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12156" w14:textId="67CBCAC3" w:rsidR="008A1B14" w:rsidRDefault="6C2C8031" w:rsidP="008A1B14">
      <w:pPr>
        <w:spacing w:line="480" w:lineRule="auto"/>
        <w:jc w:val="center"/>
        <w:rPr>
          <w:rFonts w:cs="Calibri"/>
          <w:b/>
          <w:bCs/>
          <w:color w:val="000000" w:themeColor="text1"/>
          <w:sz w:val="28"/>
          <w:szCs w:val="28"/>
        </w:rPr>
      </w:pPr>
      <w:bookmarkStart w:id="0" w:name="_Hlk86319818"/>
      <w:r w:rsidRPr="6C2C8031">
        <w:rPr>
          <w:rFonts w:cs="Calibri"/>
          <w:b/>
          <w:bCs/>
          <w:color w:val="000000" w:themeColor="text1"/>
          <w:sz w:val="28"/>
          <w:szCs w:val="28"/>
        </w:rPr>
        <w:t>Co-design of a behaviour change intervention to equip geriatricians and pharmacists to proactively deprescribe medicines that are no longer needed or are risky to continue in hospital</w:t>
      </w:r>
    </w:p>
    <w:p w14:paraId="102E9221" w14:textId="77777777" w:rsidR="008A1B14" w:rsidRDefault="008A1B14" w:rsidP="008A1B14">
      <w:pPr>
        <w:spacing w:line="480" w:lineRule="auto"/>
        <w:jc w:val="center"/>
        <w:rPr>
          <w:rFonts w:cs="Calibri"/>
          <w:b/>
          <w:bCs/>
          <w:color w:val="000000" w:themeColor="text1"/>
          <w:sz w:val="28"/>
          <w:szCs w:val="28"/>
        </w:rPr>
      </w:pPr>
    </w:p>
    <w:p w14:paraId="390B2E59" w14:textId="2E3C846D" w:rsidR="004D7843" w:rsidRPr="002D65D5" w:rsidRDefault="004D7843" w:rsidP="008A1B14">
      <w:pPr>
        <w:spacing w:line="480" w:lineRule="auto"/>
        <w:rPr>
          <w:rFonts w:cs="Calibri"/>
          <w:b/>
          <w:bCs/>
          <w:color w:val="000000" w:themeColor="text1"/>
          <w:sz w:val="28"/>
          <w:szCs w:val="28"/>
        </w:rPr>
      </w:pPr>
      <w:r>
        <w:rPr>
          <w:rFonts w:eastAsiaTheme="majorEastAsia"/>
        </w:rPr>
        <w:br w:type="page"/>
      </w:r>
    </w:p>
    <w:p w14:paraId="33DF1DA8" w14:textId="5EC64361" w:rsidR="001A11C7" w:rsidRPr="00E8591E" w:rsidRDefault="00D14220" w:rsidP="00E8591E">
      <w:pPr>
        <w:pStyle w:val="Heading1"/>
        <w:rPr>
          <w:rFonts w:ascii="Calibri" w:hAnsi="Calibri" w:cs="Calibri"/>
          <w:b/>
          <w:bCs/>
          <w:color w:val="000000" w:themeColor="text1"/>
          <w:sz w:val="28"/>
          <w:szCs w:val="28"/>
        </w:rPr>
      </w:pPr>
      <w:r w:rsidRPr="00E8591E">
        <w:rPr>
          <w:rFonts w:ascii="Calibri" w:hAnsi="Calibri" w:cs="Calibri"/>
          <w:b/>
          <w:bCs/>
          <w:color w:val="000000" w:themeColor="text1"/>
          <w:sz w:val="28"/>
          <w:szCs w:val="28"/>
        </w:rPr>
        <w:lastRenderedPageBreak/>
        <w:t>Abstract</w:t>
      </w:r>
    </w:p>
    <w:p w14:paraId="4CF63A37" w14:textId="77777777" w:rsidR="001A11C7" w:rsidRPr="001A11C7" w:rsidRDefault="001A11C7" w:rsidP="001A11C7">
      <w:pPr>
        <w:spacing w:line="240" w:lineRule="auto"/>
        <w:rPr>
          <w:b/>
          <w:bCs/>
          <w:sz w:val="28"/>
          <w:szCs w:val="28"/>
        </w:rPr>
      </w:pPr>
    </w:p>
    <w:p w14:paraId="42BB9799" w14:textId="2D97CEA3" w:rsidR="00D14220" w:rsidRDefault="00D14220" w:rsidP="00E8591E">
      <w:pPr>
        <w:spacing w:after="0" w:line="480" w:lineRule="auto"/>
        <w:rPr>
          <w:rFonts w:cs="Calibri"/>
          <w:b/>
          <w:bCs/>
          <w:color w:val="000000" w:themeColor="text1"/>
          <w:sz w:val="24"/>
          <w:szCs w:val="28"/>
        </w:rPr>
      </w:pPr>
      <w:r w:rsidRPr="00463173">
        <w:rPr>
          <w:rFonts w:cs="Calibri"/>
          <w:b/>
          <w:bCs/>
          <w:color w:val="000000" w:themeColor="text1"/>
          <w:sz w:val="24"/>
          <w:szCs w:val="28"/>
        </w:rPr>
        <w:t>Background</w:t>
      </w:r>
    </w:p>
    <w:p w14:paraId="2896DC18" w14:textId="0E54FFD3" w:rsidR="00445E51" w:rsidRPr="003E16E9" w:rsidRDefault="020C191D" w:rsidP="001A11C7">
      <w:pPr>
        <w:spacing w:line="480" w:lineRule="auto"/>
        <w:rPr>
          <w:sz w:val="24"/>
        </w:rPr>
      </w:pPr>
      <w:r w:rsidRPr="020C191D">
        <w:rPr>
          <w:sz w:val="24"/>
        </w:rPr>
        <w:t xml:space="preserve">Trials of hospital deprescribing interventions have demonstrated </w:t>
      </w:r>
      <w:r w:rsidR="00500725">
        <w:rPr>
          <w:sz w:val="24"/>
        </w:rPr>
        <w:t>limited</w:t>
      </w:r>
      <w:r w:rsidRPr="020C191D">
        <w:rPr>
          <w:sz w:val="24"/>
        </w:rPr>
        <w:t xml:space="preserve"> changes in practitioner behaviour.</w:t>
      </w:r>
      <w:r w:rsidR="00F34142">
        <w:rPr>
          <w:sz w:val="24"/>
        </w:rPr>
        <w:t xml:space="preserve"> </w:t>
      </w:r>
      <w:r w:rsidR="008F5CE1">
        <w:rPr>
          <w:sz w:val="24"/>
        </w:rPr>
        <w:t xml:space="preserve">Our previous research </w:t>
      </w:r>
      <w:r w:rsidR="00044BA6" w:rsidRPr="020C191D">
        <w:rPr>
          <w:sz w:val="24"/>
        </w:rPr>
        <w:t>characterise</w:t>
      </w:r>
      <w:r w:rsidR="00044BA6">
        <w:rPr>
          <w:sz w:val="24"/>
        </w:rPr>
        <w:t>d</w:t>
      </w:r>
      <w:r w:rsidR="00044BA6" w:rsidRPr="020C191D">
        <w:rPr>
          <w:sz w:val="24"/>
        </w:rPr>
        <w:t xml:space="preserve"> four barriers and one enabler to geriatricians and pharmacists deprescribing</w:t>
      </w:r>
      <w:r w:rsidR="00E8021F">
        <w:rPr>
          <w:sz w:val="24"/>
        </w:rPr>
        <w:t xml:space="preserve"> in hospital</w:t>
      </w:r>
      <w:r w:rsidR="00044BA6" w:rsidRPr="020C191D">
        <w:rPr>
          <w:sz w:val="24"/>
        </w:rPr>
        <w:t xml:space="preserve"> that require addressing </w:t>
      </w:r>
      <w:r w:rsidR="00907F34">
        <w:rPr>
          <w:sz w:val="24"/>
        </w:rPr>
        <w:t>by a behaviour change intervention</w:t>
      </w:r>
      <w:r w:rsidR="00044BA6" w:rsidRPr="020C191D">
        <w:rPr>
          <w:sz w:val="24"/>
        </w:rPr>
        <w:t>.</w:t>
      </w:r>
      <w:r w:rsidR="00C70B4B">
        <w:rPr>
          <w:sz w:val="24"/>
        </w:rPr>
        <w:t xml:space="preserve"> </w:t>
      </w:r>
      <w:r w:rsidR="0095189C">
        <w:rPr>
          <w:sz w:val="24"/>
        </w:rPr>
        <w:t>S</w:t>
      </w:r>
      <w:r w:rsidRPr="020C191D">
        <w:rPr>
          <w:sz w:val="24"/>
        </w:rPr>
        <w:t>ix behaviour change techniques (BCTs) have</w:t>
      </w:r>
      <w:r w:rsidR="0095189C">
        <w:rPr>
          <w:sz w:val="24"/>
        </w:rPr>
        <w:t xml:space="preserve"> also</w:t>
      </w:r>
      <w:r w:rsidRPr="020C191D">
        <w:rPr>
          <w:sz w:val="24"/>
        </w:rPr>
        <w:t xml:space="preserve"> been selected by the target audience </w:t>
      </w:r>
      <w:r w:rsidR="00DE37BF" w:rsidRPr="020C191D">
        <w:rPr>
          <w:sz w:val="24"/>
        </w:rPr>
        <w:t>using the hospital Deprescribing Implementation Framework (</w:t>
      </w:r>
      <w:proofErr w:type="spellStart"/>
      <w:r w:rsidR="00DE37BF" w:rsidRPr="020C191D">
        <w:rPr>
          <w:sz w:val="24"/>
        </w:rPr>
        <w:t>hDIF</w:t>
      </w:r>
      <w:proofErr w:type="spellEnd"/>
      <w:r w:rsidR="00DE37BF" w:rsidRPr="020C191D">
        <w:rPr>
          <w:sz w:val="24"/>
        </w:rPr>
        <w:t>)</w:t>
      </w:r>
      <w:r w:rsidR="003E16E9">
        <w:rPr>
          <w:sz w:val="24"/>
        </w:rPr>
        <w:t xml:space="preserve">. </w:t>
      </w:r>
      <w:r w:rsidR="009310FB">
        <w:rPr>
          <w:sz w:val="24"/>
          <w:szCs w:val="28"/>
        </w:rPr>
        <w:t>This research</w:t>
      </w:r>
      <w:r w:rsidR="00445E51" w:rsidRPr="00517EEA">
        <w:rPr>
          <w:sz w:val="24"/>
          <w:szCs w:val="28"/>
        </w:rPr>
        <w:t xml:space="preserve"> aimed to co-design</w:t>
      </w:r>
      <w:r w:rsidR="00B6321B">
        <w:rPr>
          <w:sz w:val="24"/>
          <w:szCs w:val="28"/>
        </w:rPr>
        <w:t xml:space="preserve"> and operationalise</w:t>
      </w:r>
      <w:r w:rsidR="00445E51" w:rsidRPr="00517EEA">
        <w:rPr>
          <w:sz w:val="24"/>
          <w:szCs w:val="28"/>
        </w:rPr>
        <w:t xml:space="preserve"> the content, mode of delivery and </w:t>
      </w:r>
      <w:r w:rsidR="00581A9A">
        <w:rPr>
          <w:sz w:val="24"/>
          <w:szCs w:val="28"/>
        </w:rPr>
        <w:t>duration/</w:t>
      </w:r>
      <w:r w:rsidR="00445E51" w:rsidRPr="00517EEA">
        <w:rPr>
          <w:sz w:val="24"/>
          <w:szCs w:val="28"/>
        </w:rPr>
        <w:t xml:space="preserve">intensity of </w:t>
      </w:r>
      <w:r w:rsidR="000E5187">
        <w:rPr>
          <w:sz w:val="24"/>
          <w:szCs w:val="28"/>
        </w:rPr>
        <w:t xml:space="preserve">the </w:t>
      </w:r>
      <w:r w:rsidR="00B070DB">
        <w:rPr>
          <w:sz w:val="24"/>
          <w:szCs w:val="28"/>
        </w:rPr>
        <w:t xml:space="preserve">six </w:t>
      </w:r>
      <w:r w:rsidR="00216D3F">
        <w:rPr>
          <w:sz w:val="24"/>
          <w:szCs w:val="28"/>
        </w:rPr>
        <w:t xml:space="preserve">selected </w:t>
      </w:r>
      <w:r w:rsidR="00445E51" w:rsidRPr="00517EEA">
        <w:rPr>
          <w:sz w:val="24"/>
          <w:szCs w:val="28"/>
        </w:rPr>
        <w:t xml:space="preserve">BCTs to develop the </w:t>
      </w:r>
      <w:proofErr w:type="spellStart"/>
      <w:r w:rsidR="00445E51" w:rsidRPr="00517EEA">
        <w:rPr>
          <w:sz w:val="24"/>
          <w:szCs w:val="28"/>
        </w:rPr>
        <w:t>CompreHensive</w:t>
      </w:r>
      <w:proofErr w:type="spellEnd"/>
      <w:r w:rsidR="00445E51" w:rsidRPr="00517EEA">
        <w:rPr>
          <w:sz w:val="24"/>
          <w:szCs w:val="28"/>
        </w:rPr>
        <w:t xml:space="preserve"> </w:t>
      </w:r>
      <w:proofErr w:type="spellStart"/>
      <w:r w:rsidR="00445E51" w:rsidRPr="00517EEA">
        <w:rPr>
          <w:sz w:val="24"/>
          <w:szCs w:val="28"/>
        </w:rPr>
        <w:t>geriAtRician</w:t>
      </w:r>
      <w:proofErr w:type="spellEnd"/>
      <w:r w:rsidR="00445E51" w:rsidRPr="00517EEA">
        <w:rPr>
          <w:sz w:val="24"/>
          <w:szCs w:val="28"/>
        </w:rPr>
        <w:t xml:space="preserve">-led </w:t>
      </w:r>
      <w:proofErr w:type="spellStart"/>
      <w:r w:rsidR="00445E51" w:rsidRPr="00517EEA">
        <w:rPr>
          <w:sz w:val="24"/>
          <w:szCs w:val="28"/>
        </w:rPr>
        <w:t>MEdication Review (C</w:t>
      </w:r>
      <w:proofErr w:type="spellEnd"/>
      <w:r w:rsidR="00445E51" w:rsidRPr="00517EEA">
        <w:rPr>
          <w:sz w:val="24"/>
          <w:szCs w:val="28"/>
        </w:rPr>
        <w:t xml:space="preserve">HARMER) </w:t>
      </w:r>
      <w:r w:rsidR="005C19AD">
        <w:rPr>
          <w:sz w:val="24"/>
          <w:szCs w:val="28"/>
        </w:rPr>
        <w:t xml:space="preserve">deprescribing </w:t>
      </w:r>
      <w:r w:rsidR="00445E51" w:rsidRPr="00517EEA">
        <w:rPr>
          <w:sz w:val="24"/>
          <w:szCs w:val="28"/>
        </w:rPr>
        <w:t>intervention.</w:t>
      </w:r>
    </w:p>
    <w:p w14:paraId="6F4AD6A6" w14:textId="3F125D3B" w:rsidR="005B221D" w:rsidRDefault="00D14220" w:rsidP="00E8591E">
      <w:pPr>
        <w:spacing w:after="0" w:line="480" w:lineRule="auto"/>
        <w:rPr>
          <w:rFonts w:cs="Calibri"/>
          <w:b/>
          <w:bCs/>
          <w:color w:val="000000" w:themeColor="text1"/>
          <w:sz w:val="24"/>
          <w:szCs w:val="28"/>
        </w:rPr>
      </w:pPr>
      <w:r w:rsidRPr="00463173">
        <w:rPr>
          <w:rFonts w:cs="Calibri"/>
          <w:b/>
          <w:bCs/>
          <w:color w:val="000000" w:themeColor="text1"/>
          <w:sz w:val="24"/>
          <w:szCs w:val="28"/>
        </w:rPr>
        <w:t>Methods</w:t>
      </w:r>
    </w:p>
    <w:p w14:paraId="3E8F812B" w14:textId="4FDFFD27" w:rsidR="00445E51" w:rsidRPr="00441592" w:rsidRDefault="020C191D" w:rsidP="001A11C7">
      <w:pPr>
        <w:spacing w:line="480" w:lineRule="auto"/>
        <w:rPr>
          <w:sz w:val="24"/>
        </w:rPr>
      </w:pPr>
      <w:r w:rsidRPr="020C191D">
        <w:rPr>
          <w:sz w:val="24"/>
        </w:rPr>
        <w:t>We established co-design panels at three hospitals representing contextual factors likely to influence CHARMER implementation. Panels comprised geriatricians, pharmacists and other hospital staff likely to be involved in implementation. We convened two rounds of co-design workshops with each hospital to design a prototype for each BCT</w:t>
      </w:r>
      <w:r w:rsidR="00162621">
        <w:rPr>
          <w:sz w:val="24"/>
        </w:rPr>
        <w:t>, which we</w:t>
      </w:r>
      <w:r w:rsidR="003E16E9">
        <w:rPr>
          <w:sz w:val="24"/>
        </w:rPr>
        <w:t>nt</w:t>
      </w:r>
      <w:r w:rsidRPr="020C191D">
        <w:rPr>
          <w:sz w:val="24"/>
        </w:rPr>
        <w:t xml:space="preserve"> for feedback at a final workshop attended by </w:t>
      </w:r>
      <w:r w:rsidR="003E16E9">
        <w:rPr>
          <w:sz w:val="24"/>
        </w:rPr>
        <w:t xml:space="preserve">all </w:t>
      </w:r>
      <w:r w:rsidRPr="020C191D">
        <w:rPr>
          <w:sz w:val="24"/>
        </w:rPr>
        <w:t>three hospital panels.</w:t>
      </w:r>
    </w:p>
    <w:p w14:paraId="2E854A17" w14:textId="6501E74A" w:rsidR="00D14220" w:rsidRDefault="00D14220" w:rsidP="00E8591E">
      <w:pPr>
        <w:spacing w:after="0" w:line="480" w:lineRule="auto"/>
        <w:rPr>
          <w:rFonts w:cs="Calibri"/>
          <w:b/>
          <w:bCs/>
          <w:color w:val="000000" w:themeColor="text1"/>
          <w:sz w:val="24"/>
          <w:szCs w:val="28"/>
        </w:rPr>
      </w:pPr>
      <w:r w:rsidRPr="00463173">
        <w:rPr>
          <w:rFonts w:cs="Calibri"/>
          <w:b/>
          <w:bCs/>
          <w:color w:val="000000" w:themeColor="text1"/>
          <w:sz w:val="24"/>
          <w:szCs w:val="28"/>
        </w:rPr>
        <w:t>Results</w:t>
      </w:r>
    </w:p>
    <w:p w14:paraId="3AA5205F" w14:textId="22DB8488" w:rsidR="00445E51" w:rsidRPr="00517EEA" w:rsidRDefault="00445E51" w:rsidP="001A11C7">
      <w:pPr>
        <w:spacing w:line="480" w:lineRule="auto"/>
        <w:rPr>
          <w:sz w:val="24"/>
          <w:szCs w:val="28"/>
        </w:rPr>
      </w:pPr>
      <w:r w:rsidRPr="00517EEA">
        <w:rPr>
          <w:sz w:val="24"/>
          <w:szCs w:val="28"/>
        </w:rPr>
        <w:t xml:space="preserve">The six BCTs were </w:t>
      </w:r>
      <w:r w:rsidR="005B23FC">
        <w:rPr>
          <w:sz w:val="24"/>
          <w:szCs w:val="28"/>
        </w:rPr>
        <w:t>co-designed</w:t>
      </w:r>
      <w:r w:rsidR="00B804E3">
        <w:rPr>
          <w:sz w:val="24"/>
          <w:szCs w:val="28"/>
        </w:rPr>
        <w:t xml:space="preserve"> </w:t>
      </w:r>
      <w:r w:rsidRPr="00517EEA">
        <w:rPr>
          <w:sz w:val="24"/>
          <w:szCs w:val="28"/>
        </w:rPr>
        <w:t>into an intervention comprising:</w:t>
      </w:r>
    </w:p>
    <w:p w14:paraId="6BD7AACF" w14:textId="5B4305C4" w:rsidR="00445E51" w:rsidRPr="00517EEA" w:rsidRDefault="020C191D" w:rsidP="001A11C7">
      <w:pPr>
        <w:spacing w:after="0" w:line="480" w:lineRule="auto"/>
        <w:rPr>
          <w:sz w:val="24"/>
        </w:rPr>
      </w:pPr>
      <w:r w:rsidRPr="020C191D">
        <w:rPr>
          <w:sz w:val="24"/>
        </w:rPr>
        <w:t>(1 &amp; 2) Pharmacists’ workshop with pros and cons of deprescribing activities, and videos of salient patient cases</w:t>
      </w:r>
    </w:p>
    <w:p w14:paraId="4BC0C048" w14:textId="30254332" w:rsidR="00445E51" w:rsidRPr="00517EEA" w:rsidRDefault="020C191D" w:rsidP="001A11C7">
      <w:pPr>
        <w:spacing w:after="0" w:line="480" w:lineRule="auto"/>
        <w:rPr>
          <w:sz w:val="24"/>
        </w:rPr>
      </w:pPr>
      <w:r w:rsidRPr="020C191D">
        <w:rPr>
          <w:sz w:val="24"/>
        </w:rPr>
        <w:t>(3) Regular geriatrician and pharmacist deprescribing briefings</w:t>
      </w:r>
    </w:p>
    <w:p w14:paraId="3C9D7860" w14:textId="77777777" w:rsidR="00445E51" w:rsidRPr="00517EEA" w:rsidRDefault="00445E51" w:rsidP="001A11C7">
      <w:pPr>
        <w:spacing w:after="0" w:line="480" w:lineRule="auto"/>
        <w:rPr>
          <w:sz w:val="24"/>
          <w:szCs w:val="28"/>
        </w:rPr>
      </w:pPr>
      <w:r w:rsidRPr="00517EEA">
        <w:rPr>
          <w:sz w:val="24"/>
          <w:szCs w:val="28"/>
        </w:rPr>
        <w:t>(4) Videos of geriatricians navigating challenging deprescribing consultations</w:t>
      </w:r>
    </w:p>
    <w:p w14:paraId="001FDC23" w14:textId="62282B4C" w:rsidR="00445E51" w:rsidRPr="00517EEA" w:rsidRDefault="00445E51" w:rsidP="001A11C7">
      <w:pPr>
        <w:spacing w:after="0" w:line="480" w:lineRule="auto"/>
        <w:rPr>
          <w:sz w:val="24"/>
          <w:szCs w:val="28"/>
        </w:rPr>
      </w:pPr>
      <w:r w:rsidRPr="00517EEA">
        <w:rPr>
          <w:sz w:val="24"/>
          <w:szCs w:val="28"/>
        </w:rPr>
        <w:lastRenderedPageBreak/>
        <w:t>(5) Hospital deprescribing act</w:t>
      </w:r>
      <w:r w:rsidR="001217F2">
        <w:rPr>
          <w:sz w:val="24"/>
          <w:szCs w:val="28"/>
        </w:rPr>
        <w:t>ion plan</w:t>
      </w:r>
    </w:p>
    <w:p w14:paraId="5BA19EBC" w14:textId="00A6B754" w:rsidR="00445E51" w:rsidRDefault="00445E51" w:rsidP="001A11C7">
      <w:pPr>
        <w:spacing w:after="0" w:line="480" w:lineRule="auto"/>
        <w:rPr>
          <w:sz w:val="24"/>
          <w:szCs w:val="28"/>
        </w:rPr>
      </w:pPr>
      <w:r w:rsidRPr="00517EEA">
        <w:rPr>
          <w:sz w:val="24"/>
          <w:szCs w:val="28"/>
        </w:rPr>
        <w:t>(6) Dashboard to benchmark deprescribing activities</w:t>
      </w:r>
    </w:p>
    <w:p w14:paraId="1512F414" w14:textId="174DDC1E" w:rsidR="00445E51" w:rsidRPr="00517EEA" w:rsidRDefault="3BE4A52A" w:rsidP="001A11C7">
      <w:pPr>
        <w:spacing w:line="480" w:lineRule="auto"/>
        <w:rPr>
          <w:rFonts w:cs="Calibri"/>
          <w:b/>
          <w:bCs/>
          <w:color w:val="000000" w:themeColor="text1"/>
          <w:sz w:val="2"/>
          <w:szCs w:val="2"/>
        </w:rPr>
      </w:pPr>
      <w:r w:rsidRPr="3BE4A52A">
        <w:rPr>
          <w:sz w:val="24"/>
        </w:rPr>
        <w:t>Automated prompts to flag high-risk patients for deprescribing and a primary and secondary care deprescribing forum were proposed as additional BCTs</w:t>
      </w:r>
      <w:r w:rsidR="00B45BFD">
        <w:rPr>
          <w:sz w:val="24"/>
        </w:rPr>
        <w:t xml:space="preserve"> by stakeholders</w:t>
      </w:r>
      <w:r w:rsidRPr="3BE4A52A">
        <w:rPr>
          <w:sz w:val="24"/>
        </w:rPr>
        <w:t>. These were later excluded as they were not fidelitous to the theoretical determinants of geriatricians’ and pharmacists’ deprescribing behaviours.</w:t>
      </w:r>
    </w:p>
    <w:p w14:paraId="509EE405" w14:textId="35A1C9CD" w:rsidR="0059790F" w:rsidRDefault="00D14220" w:rsidP="00E8591E">
      <w:pPr>
        <w:spacing w:after="0" w:line="480" w:lineRule="auto"/>
        <w:rPr>
          <w:rFonts w:cs="Calibri"/>
          <w:color w:val="000000" w:themeColor="text1"/>
          <w:sz w:val="24"/>
          <w:szCs w:val="28"/>
        </w:rPr>
      </w:pPr>
      <w:r w:rsidRPr="00463173">
        <w:rPr>
          <w:rFonts w:cs="Calibri"/>
          <w:b/>
          <w:bCs/>
          <w:color w:val="000000" w:themeColor="text1"/>
          <w:sz w:val="24"/>
          <w:szCs w:val="28"/>
        </w:rPr>
        <w:t>Conclusions</w:t>
      </w:r>
      <w:r w:rsidRPr="00463173">
        <w:rPr>
          <w:rFonts w:cs="Calibri"/>
          <w:color w:val="000000" w:themeColor="text1"/>
          <w:sz w:val="24"/>
          <w:szCs w:val="28"/>
        </w:rPr>
        <w:t xml:space="preserve"> </w:t>
      </w:r>
    </w:p>
    <w:p w14:paraId="65CA2BD0" w14:textId="77777777" w:rsidR="00571898" w:rsidRDefault="00266777" w:rsidP="00973FD7">
      <w:pPr>
        <w:spacing w:line="480" w:lineRule="auto"/>
        <w:rPr>
          <w:sz w:val="24"/>
          <w:szCs w:val="28"/>
        </w:rPr>
      </w:pPr>
      <w:r w:rsidRPr="00517EEA">
        <w:rPr>
          <w:sz w:val="24"/>
          <w:szCs w:val="28"/>
        </w:rPr>
        <w:t xml:space="preserve">This study illustrates the integration of theory and co-design methodology with the target audience and </w:t>
      </w:r>
      <w:r w:rsidR="00F51C3F" w:rsidRPr="00F51C3F">
        <w:rPr>
          <w:sz w:val="24"/>
          <w:szCs w:val="28"/>
        </w:rPr>
        <w:t xml:space="preserve">staff likely to be involved in implementation </w:t>
      </w:r>
      <w:r w:rsidR="00F51C3F">
        <w:rPr>
          <w:sz w:val="24"/>
          <w:szCs w:val="28"/>
        </w:rPr>
        <w:t>of</w:t>
      </w:r>
      <w:r w:rsidRPr="00517EEA">
        <w:rPr>
          <w:sz w:val="24"/>
          <w:szCs w:val="28"/>
        </w:rPr>
        <w:t xml:space="preserve"> a hospital deprescribing behaviour change intervention. The development of an intervention that remains faithful to the underpinning mechanisms of action of behaviour change is a strength of this approach.</w:t>
      </w:r>
    </w:p>
    <w:p w14:paraId="0BD0477D" w14:textId="77777777" w:rsidR="00571898" w:rsidRPr="00571898" w:rsidRDefault="00571898" w:rsidP="00973FD7">
      <w:pPr>
        <w:spacing w:line="480" w:lineRule="auto"/>
        <w:rPr>
          <w:b/>
          <w:bCs/>
          <w:sz w:val="24"/>
          <w:szCs w:val="28"/>
        </w:rPr>
      </w:pPr>
      <w:r w:rsidRPr="00571898">
        <w:rPr>
          <w:b/>
          <w:bCs/>
          <w:sz w:val="24"/>
          <w:szCs w:val="28"/>
        </w:rPr>
        <w:t>Key words</w:t>
      </w:r>
    </w:p>
    <w:p w14:paraId="2FF3C6C3" w14:textId="39187450" w:rsidR="0000520E" w:rsidRPr="00973FD7" w:rsidRDefault="00755FA2" w:rsidP="00973FD7">
      <w:pPr>
        <w:spacing w:line="480" w:lineRule="auto"/>
        <w:rPr>
          <w:rStyle w:val="PageNumber"/>
          <w:sz w:val="24"/>
          <w:szCs w:val="28"/>
        </w:rPr>
      </w:pPr>
      <w:r w:rsidRPr="77F3F659">
        <w:rPr>
          <w:rFonts w:cs="Calibri"/>
          <w:color w:val="000000" w:themeColor="text1"/>
          <w:sz w:val="24"/>
        </w:rPr>
        <w:t xml:space="preserve">Behaviour change, fidelity, theory, inappropriate medication, </w:t>
      </w:r>
      <w:proofErr w:type="spellStart"/>
      <w:r w:rsidRPr="77F3F659">
        <w:rPr>
          <w:rFonts w:cs="Calibri"/>
          <w:color w:val="000000" w:themeColor="text1"/>
          <w:sz w:val="24"/>
        </w:rPr>
        <w:t>deprescriptions</w:t>
      </w:r>
      <w:proofErr w:type="spellEnd"/>
      <w:r w:rsidRPr="77F3F659">
        <w:rPr>
          <w:rFonts w:cs="Calibri"/>
          <w:color w:val="000000" w:themeColor="text1"/>
          <w:sz w:val="24"/>
        </w:rPr>
        <w:t>, secondary care, older people</w:t>
      </w:r>
      <w:r w:rsidRPr="00AC15A9">
        <w:rPr>
          <w:rStyle w:val="PageNumber"/>
          <w:rFonts w:cs="Calibri"/>
          <w:b/>
          <w:bCs/>
          <w:sz w:val="28"/>
          <w:szCs w:val="28"/>
        </w:rPr>
        <w:t xml:space="preserve"> </w:t>
      </w:r>
      <w:r w:rsidR="0000520E" w:rsidRPr="00AC15A9">
        <w:rPr>
          <w:rStyle w:val="PageNumber"/>
          <w:rFonts w:cs="Calibri"/>
          <w:b/>
          <w:bCs/>
          <w:sz w:val="28"/>
          <w:szCs w:val="28"/>
        </w:rPr>
        <w:br w:type="page"/>
      </w:r>
    </w:p>
    <w:p w14:paraId="7B7DE5D0" w14:textId="77777777" w:rsidR="003164C0" w:rsidRDefault="003164C0" w:rsidP="003164C0">
      <w:pPr>
        <w:pStyle w:val="Heading1"/>
        <w:rPr>
          <w:rFonts w:ascii="Calibri" w:hAnsi="Calibri" w:cs="Calibri"/>
          <w:b/>
          <w:bCs/>
          <w:color w:val="000000" w:themeColor="text1"/>
          <w:sz w:val="28"/>
          <w:szCs w:val="28"/>
        </w:rPr>
      </w:pPr>
      <w:r w:rsidRPr="00A95AB3">
        <w:rPr>
          <w:rFonts w:ascii="Calibri" w:hAnsi="Calibri" w:cs="Calibri"/>
          <w:b/>
          <w:bCs/>
          <w:color w:val="000000" w:themeColor="text1"/>
          <w:sz w:val="28"/>
          <w:szCs w:val="28"/>
        </w:rPr>
        <w:lastRenderedPageBreak/>
        <w:t>Contributions to the literature</w:t>
      </w:r>
    </w:p>
    <w:p w14:paraId="27E659FF" w14:textId="77777777" w:rsidR="003164C0" w:rsidRPr="00AD369C" w:rsidRDefault="003164C0" w:rsidP="003164C0"/>
    <w:p w14:paraId="4B1741CF" w14:textId="17FB04AF" w:rsidR="003164C0" w:rsidRPr="006E70AA" w:rsidRDefault="003164C0" w:rsidP="003164C0">
      <w:pPr>
        <w:pStyle w:val="ListParagraph"/>
        <w:numPr>
          <w:ilvl w:val="0"/>
          <w:numId w:val="45"/>
        </w:numPr>
        <w:spacing w:line="480" w:lineRule="auto"/>
        <w:rPr>
          <w:rFonts w:cs="Calibri"/>
          <w:sz w:val="24"/>
          <w:szCs w:val="28"/>
          <w:shd w:val="clear" w:color="auto" w:fill="FFFFFF"/>
          <w:lang w:eastAsia="en-GB"/>
        </w:rPr>
      </w:pPr>
      <w:r w:rsidRPr="006E70AA">
        <w:rPr>
          <w:rFonts w:cs="Calibri"/>
          <w:sz w:val="24"/>
          <w:szCs w:val="28"/>
          <w:shd w:val="clear" w:color="auto" w:fill="FFFFFF"/>
          <w:lang w:eastAsia="en-GB"/>
        </w:rPr>
        <w:t>Deprescribing (stopping) unnecessary or harmful medicines prescribed to older adults is a World Health Organisation priority.</w:t>
      </w:r>
    </w:p>
    <w:p w14:paraId="1E3767B6" w14:textId="473A102D" w:rsidR="003164C0" w:rsidRPr="00325F9C" w:rsidRDefault="003164C0" w:rsidP="003164C0">
      <w:pPr>
        <w:pStyle w:val="ListParagraph"/>
        <w:numPr>
          <w:ilvl w:val="0"/>
          <w:numId w:val="45"/>
        </w:numPr>
        <w:spacing w:line="480" w:lineRule="auto"/>
        <w:rPr>
          <w:rFonts w:cs="Calibri"/>
          <w:sz w:val="24"/>
          <w:szCs w:val="28"/>
          <w:shd w:val="clear" w:color="auto" w:fill="FFFFFF"/>
          <w:lang w:eastAsia="en-GB"/>
        </w:rPr>
      </w:pPr>
      <w:r w:rsidRPr="00325F9C">
        <w:rPr>
          <w:rFonts w:cs="Calibri"/>
          <w:sz w:val="24"/>
          <w:szCs w:val="28"/>
          <w:shd w:val="clear" w:color="auto" w:fill="FFFFFF"/>
          <w:lang w:eastAsia="en-GB"/>
        </w:rPr>
        <w:t xml:space="preserve">This study co-designed a </w:t>
      </w:r>
      <w:r w:rsidR="00CD5E2F" w:rsidRPr="00325F9C">
        <w:rPr>
          <w:rFonts w:cs="Calibri"/>
          <w:sz w:val="24"/>
          <w:szCs w:val="28"/>
          <w:shd w:val="clear" w:color="auto" w:fill="FFFFFF"/>
          <w:lang w:eastAsia="en-GB"/>
        </w:rPr>
        <w:t xml:space="preserve">multi-component </w:t>
      </w:r>
      <w:r w:rsidR="006C021A" w:rsidRPr="00325F9C">
        <w:rPr>
          <w:rFonts w:cs="Calibri"/>
          <w:sz w:val="24"/>
          <w:szCs w:val="28"/>
          <w:shd w:val="clear" w:color="auto" w:fill="FFFFFF"/>
          <w:lang w:eastAsia="en-GB"/>
        </w:rPr>
        <w:t xml:space="preserve">hospital </w:t>
      </w:r>
      <w:r w:rsidRPr="00325F9C">
        <w:rPr>
          <w:rFonts w:cs="Calibri"/>
          <w:sz w:val="24"/>
          <w:szCs w:val="28"/>
          <w:shd w:val="clear" w:color="auto" w:fill="FFFFFF"/>
          <w:lang w:eastAsia="en-GB"/>
        </w:rPr>
        <w:t>deprescribing intervention to equip geriatricians and pharmacists to work with older adults to stop medicines before they cause harm</w:t>
      </w:r>
      <w:r w:rsidR="005F0B52" w:rsidRPr="00325F9C">
        <w:rPr>
          <w:rFonts w:cs="Calibri"/>
          <w:sz w:val="24"/>
          <w:szCs w:val="28"/>
          <w:shd w:val="clear" w:color="auto" w:fill="FFFFFF"/>
          <w:lang w:eastAsia="en-GB"/>
        </w:rPr>
        <w:t xml:space="preserve"> (proactively deprescribe)</w:t>
      </w:r>
      <w:r w:rsidRPr="00325F9C">
        <w:rPr>
          <w:rFonts w:cs="Calibri"/>
          <w:sz w:val="24"/>
          <w:szCs w:val="28"/>
          <w:shd w:val="clear" w:color="auto" w:fill="FFFFFF"/>
          <w:lang w:eastAsia="en-GB"/>
        </w:rPr>
        <w:t>.</w:t>
      </w:r>
    </w:p>
    <w:p w14:paraId="607EB929" w14:textId="1E007954" w:rsidR="00AE766D" w:rsidRPr="00325F9C" w:rsidRDefault="003164C0" w:rsidP="003164C0">
      <w:pPr>
        <w:pStyle w:val="ListParagraph"/>
        <w:numPr>
          <w:ilvl w:val="0"/>
          <w:numId w:val="45"/>
        </w:numPr>
        <w:spacing w:line="480" w:lineRule="auto"/>
        <w:rPr>
          <w:rFonts w:cs="Calibri"/>
          <w:sz w:val="24"/>
          <w:szCs w:val="28"/>
          <w:shd w:val="clear" w:color="auto" w:fill="FFFFFF"/>
          <w:lang w:eastAsia="en-GB"/>
        </w:rPr>
      </w:pPr>
      <w:r w:rsidRPr="00325F9C">
        <w:rPr>
          <w:rFonts w:cs="Calibri"/>
          <w:sz w:val="24"/>
          <w:szCs w:val="28"/>
          <w:shd w:val="clear" w:color="auto" w:fill="FFFFFF"/>
          <w:lang w:eastAsia="en-GB"/>
        </w:rPr>
        <w:t xml:space="preserve">The intervention is underpinned by </w:t>
      </w:r>
      <w:r w:rsidR="00EB6CC9" w:rsidRPr="00325F9C">
        <w:rPr>
          <w:rFonts w:cs="Calibri"/>
          <w:sz w:val="24"/>
          <w:szCs w:val="28"/>
          <w:shd w:val="clear" w:color="auto" w:fill="FFFFFF"/>
          <w:lang w:eastAsia="en-GB"/>
        </w:rPr>
        <w:t xml:space="preserve">behaviour change </w:t>
      </w:r>
      <w:r w:rsidRPr="00325F9C">
        <w:rPr>
          <w:rFonts w:cs="Calibri"/>
          <w:sz w:val="24"/>
          <w:szCs w:val="28"/>
          <w:shd w:val="clear" w:color="auto" w:fill="FFFFFF"/>
          <w:lang w:eastAsia="en-GB"/>
        </w:rPr>
        <w:t xml:space="preserve">theory and evidence about what factors help and hinder geriatricians and pharmacists to </w:t>
      </w:r>
      <w:r w:rsidR="00EB7CE0">
        <w:rPr>
          <w:rFonts w:cs="Calibri"/>
          <w:sz w:val="24"/>
          <w:szCs w:val="28"/>
          <w:shd w:val="clear" w:color="auto" w:fill="FFFFFF"/>
          <w:lang w:eastAsia="en-GB"/>
        </w:rPr>
        <w:t xml:space="preserve">proactively </w:t>
      </w:r>
      <w:r w:rsidRPr="00325F9C">
        <w:rPr>
          <w:rFonts w:cs="Calibri"/>
          <w:sz w:val="24"/>
          <w:szCs w:val="28"/>
          <w:shd w:val="clear" w:color="auto" w:fill="FFFFFF"/>
          <w:lang w:eastAsia="en-GB"/>
        </w:rPr>
        <w:t>deprescribe medicines.</w:t>
      </w:r>
    </w:p>
    <w:p w14:paraId="195BC7A4" w14:textId="76A2CE85" w:rsidR="003164C0" w:rsidRDefault="000C4D34" w:rsidP="00325F9C">
      <w:pPr>
        <w:pStyle w:val="ListParagraph"/>
        <w:numPr>
          <w:ilvl w:val="0"/>
          <w:numId w:val="45"/>
        </w:numPr>
        <w:spacing w:line="480" w:lineRule="auto"/>
        <w:rPr>
          <w:rFonts w:eastAsiaTheme="majorEastAsia" w:cs="Calibri"/>
          <w:b/>
          <w:bCs/>
          <w:color w:val="000000" w:themeColor="text1"/>
          <w:sz w:val="28"/>
        </w:rPr>
      </w:pPr>
      <w:r w:rsidRPr="00325F9C">
        <w:rPr>
          <w:rFonts w:cs="Calibri"/>
          <w:sz w:val="24"/>
          <w:szCs w:val="28"/>
          <w:shd w:val="clear" w:color="auto" w:fill="FFFFFF"/>
          <w:lang w:eastAsia="en-GB"/>
        </w:rPr>
        <w:t>By</w:t>
      </w:r>
      <w:r w:rsidR="00AE766D" w:rsidRPr="00325F9C">
        <w:rPr>
          <w:rFonts w:cs="Calibri"/>
          <w:sz w:val="24"/>
          <w:szCs w:val="28"/>
          <w:shd w:val="clear" w:color="auto" w:fill="FFFFFF"/>
          <w:lang w:eastAsia="en-GB"/>
        </w:rPr>
        <w:t xml:space="preserve"> c</w:t>
      </w:r>
      <w:r w:rsidR="003164C0" w:rsidRPr="00325F9C">
        <w:rPr>
          <w:rFonts w:cs="Calibri"/>
          <w:sz w:val="24"/>
          <w:szCs w:val="28"/>
          <w:shd w:val="clear" w:color="auto" w:fill="FFFFFF"/>
          <w:lang w:eastAsia="en-GB"/>
        </w:rPr>
        <w:t>ombining evidence, theory and co-design methods</w:t>
      </w:r>
      <w:r w:rsidR="00AE766D" w:rsidRPr="00325F9C">
        <w:rPr>
          <w:rFonts w:cs="Calibri"/>
          <w:sz w:val="24"/>
          <w:szCs w:val="28"/>
          <w:shd w:val="clear" w:color="auto" w:fill="FFFFFF"/>
          <w:lang w:eastAsia="en-GB"/>
        </w:rPr>
        <w:t>, we have developed an intervention deemed feasible by the target audience and</w:t>
      </w:r>
      <w:r w:rsidR="003164C0" w:rsidRPr="00325F9C">
        <w:rPr>
          <w:rFonts w:cs="Calibri"/>
          <w:sz w:val="24"/>
          <w:szCs w:val="28"/>
          <w:shd w:val="clear" w:color="auto" w:fill="FFFFFF"/>
          <w:lang w:eastAsia="en-GB"/>
        </w:rPr>
        <w:t xml:space="preserve"> </w:t>
      </w:r>
      <w:r w:rsidR="00981F46" w:rsidRPr="00325F9C">
        <w:rPr>
          <w:rFonts w:cs="Calibri"/>
          <w:sz w:val="24"/>
          <w:szCs w:val="28"/>
          <w:shd w:val="clear" w:color="auto" w:fill="FFFFFF"/>
          <w:lang w:eastAsia="en-GB"/>
        </w:rPr>
        <w:t>ensure</w:t>
      </w:r>
      <w:r w:rsidR="00AE766D" w:rsidRPr="00325F9C">
        <w:rPr>
          <w:rFonts w:cs="Calibri"/>
          <w:sz w:val="24"/>
          <w:szCs w:val="28"/>
          <w:shd w:val="clear" w:color="auto" w:fill="FFFFFF"/>
          <w:lang w:eastAsia="en-GB"/>
        </w:rPr>
        <w:t>d</w:t>
      </w:r>
      <w:r w:rsidR="00981F46" w:rsidRPr="00325F9C">
        <w:rPr>
          <w:rFonts w:cs="Calibri"/>
          <w:sz w:val="24"/>
          <w:szCs w:val="28"/>
          <w:shd w:val="clear" w:color="auto" w:fill="FFFFFF"/>
          <w:lang w:eastAsia="en-GB"/>
        </w:rPr>
        <w:t xml:space="preserve"> </w:t>
      </w:r>
      <w:r w:rsidR="00C248EE" w:rsidRPr="006E70AA">
        <w:rPr>
          <w:rFonts w:cs="Calibri"/>
          <w:sz w:val="24"/>
          <w:szCs w:val="28"/>
          <w:shd w:val="clear" w:color="auto" w:fill="FFFFFF"/>
          <w:lang w:eastAsia="en-GB"/>
        </w:rPr>
        <w:t>all</w:t>
      </w:r>
      <w:r w:rsidR="00981F46" w:rsidRPr="00325F9C">
        <w:rPr>
          <w:rFonts w:cs="Calibri"/>
          <w:sz w:val="24"/>
          <w:szCs w:val="28"/>
          <w:shd w:val="clear" w:color="auto" w:fill="FFFFFF"/>
          <w:lang w:eastAsia="en-GB"/>
        </w:rPr>
        <w:t xml:space="preserve"> components are faithful to the underpinning mechanisms of action of deprescribing behaviour change</w:t>
      </w:r>
      <w:r w:rsidR="00AE766D" w:rsidRPr="00325F9C">
        <w:rPr>
          <w:rFonts w:cs="Calibri"/>
          <w:sz w:val="24"/>
          <w:szCs w:val="28"/>
          <w:shd w:val="clear" w:color="auto" w:fill="FFFFFF"/>
          <w:lang w:eastAsia="en-GB"/>
        </w:rPr>
        <w:t>.</w:t>
      </w:r>
      <w:r w:rsidR="003164C0">
        <w:rPr>
          <w:rFonts w:cs="Calibri"/>
          <w:b/>
          <w:bCs/>
          <w:color w:val="000000" w:themeColor="text1"/>
          <w:sz w:val="28"/>
        </w:rPr>
        <w:br w:type="page"/>
      </w:r>
    </w:p>
    <w:p w14:paraId="6C23ED54" w14:textId="6552177B" w:rsidR="0023597E" w:rsidRPr="0023597E" w:rsidRDefault="00AB66C4" w:rsidP="000B4548">
      <w:pPr>
        <w:pStyle w:val="Heading1"/>
        <w:spacing w:line="480" w:lineRule="auto"/>
        <w:rPr>
          <w:sz w:val="2"/>
          <w:szCs w:val="2"/>
        </w:rPr>
      </w:pPr>
      <w:r>
        <w:rPr>
          <w:rFonts w:ascii="Calibri" w:hAnsi="Calibri" w:cs="Calibri"/>
          <w:b/>
          <w:bCs/>
          <w:color w:val="000000" w:themeColor="text1"/>
          <w:sz w:val="28"/>
          <w:szCs w:val="28"/>
        </w:rPr>
        <w:lastRenderedPageBreak/>
        <w:t>Introduction</w:t>
      </w:r>
    </w:p>
    <w:p w14:paraId="0FFF979E" w14:textId="7C9CCA1C" w:rsidR="00B476C6" w:rsidRPr="00B476C6" w:rsidRDefault="020C191D" w:rsidP="020C191D">
      <w:pPr>
        <w:spacing w:line="480" w:lineRule="auto"/>
        <w:rPr>
          <w:sz w:val="24"/>
        </w:rPr>
      </w:pPr>
      <w:r w:rsidRPr="020C191D">
        <w:rPr>
          <w:sz w:val="24"/>
        </w:rPr>
        <w:t xml:space="preserve">Over 50% of older people are prescribed a medicine with more risk than benefit leading to avoidable morbidity, hospitalisation and mortality </w:t>
      </w:r>
      <w:r w:rsidR="3BE4A52A" w:rsidRPr="020C191D">
        <w:rPr>
          <w:rStyle w:val="PageNumber"/>
          <w:rFonts w:cs="Arial"/>
          <w:sz w:val="24"/>
        </w:rPr>
        <w:fldChar w:fldCharType="begin" w:fldLock="1"/>
      </w:r>
      <w:r w:rsidR="00115942">
        <w:rPr>
          <w:rStyle w:val="PageNumber"/>
          <w:rFonts w:cs="Arial"/>
          <w:sz w:val="24"/>
        </w:rPr>
        <w:instrText xml:space="preserve"> ADDIN ZOTERO_ITEM CSL_CITATION {"citationID":"10FEu8od","properties":{"formattedCitation":"(1)","plainCitation":"(1)","noteIndex":0},"citationItems":[{"id":"HaMovQnS/70nEOcaY","uris":["http://www.mendeley.com/documents/?uuid=4214aecc-35f2-4902-8aa1-5e3534c56f59"],"itemData":{"ISBN":"0022801110610","ISSN":"00316970","PMID":"21584788","abstract":"PURPOSE: Potentially inappropriate prescribing is common in older people presenting to hospital with acute illness in Ireland. The aim of this study was to determine if this phenomenon is unique to Ireland or whether it is a more widespread problem in hospitals across Europe.\\n\\nMETHODS: Prospective data were collected from 900 consecutive older patients admitted to six university teaching hospitals (150 patients per centre) in Geneva (Switzerland), Madrid (Spain), Oostende (Belgium), Perugia (Italy), Prague (Czech Republic) and Cork (Ireland). Age, gender, comorbidity, cognitive status, prescription medicines taken before admission and baseline haematological, biochemical and electrocardiographic data were recorded. STOPP and Beers' criteria were applied to detect potentially inappropriate medicines (PIMs). START criteria were applied to detect potentially inappropriate prescribing omissions (PPOs).\\n\\nRESULTS: The overall PIM prevalence rate was 51.3% using STOPP criteria, varying from 34.7% in Prague to 77.3% in Geneva, and 30.4% using Beer's criteria, varying from 22.7% in Prague to 43.3% in Geneva. Using START criteria, the overall PPO prevalence rate was 59.4%, ranging from 51.3% in Cork to 72.7% in Perugia. Polypharmacy predicted the presence of PIMs using STOPP criteria [with &gt;10 medications: odds ratio (OR) 7.22, 95% confidence interval (CI) 4.30-12.12, p &lt; 0.001] and Beers' criteria (with &gt;10 medications: OR 4.87, 95% CI 3.00-7.90, p &lt; 0.001). Increasing co-morbidity (Charlson Index ≥2) and age ≥85 years significantly predicted PPOs.\\n\\nCONCLUSION: Potentially inappropriate drug prescribing and the omission of beneficial drugs are highly prevalent in acutely ill hospitalized older people in six European centres.","author":[{"dropping-particle":"","family":"Gallagher","given":"Paul","non-dropping-particle":"","parse-names":false,"suffix":""},{"dropping-particle":"","family":"Lang","given":"Pierre Olivier","non-dropping-particle":"","parse-names":false,"suffix":""},{"dropping-particle":"","family":"Cherubini","given":"Antonio","non-dropping-particle":"","parse-names":false,"suffix":""},{"dropping-particle":"","family":"Topinková","given":"Eva","non-dropping-particle":"","parse-names":false,"suffix":""},{"dropping-particle":"","family":"Cruz-Jentoft","given":"Alfonso","non-dropping-particle":"","parse-names":false,"suffix":""},{"dropping-particle":"","family":"Montero Errasquín","given":"Beatriz","non-dropping-particle":"","parse-names":false,"suffix":""},{"dropping-particle":"","family":"Mádlová","given":"Pavla","non-dropping-particle":"","parse-names":false,"suffix":""},{"dropping-particle":"","family":"Gasperini","given":"Beatrice","non-dropping-particle":"","parse-names":false,"suffix":""},{"dropping-particle":"","family":"Baeyens","given":"Hilde","non-dropping-particle":"","parse-names":false,"suffix":""},{"dropping-particle":"","family":"Baeyens","given":"Jean Pierre","non-dropping-particle":"","parse-names":false,"suffix":""},{"dropping-particle":"","family":"Michel","given":"Jean Pierre","non-dropping-particle":"","parse-names":false,"suffix":""},{"dropping-particle":"","family":"O'Mahony","given":"Denis","non-dropping-particle":"","parse-names":false,"suffix":""}],"container-title":"European Journal of Clinical Pharmacology","id":"ITEM-1","issue":"11","issued":{"date-parts":[["2011"]]},"note":"STOPP/START and Beer's","page":"1175-1188","title":"Prevalence of potentially inappropriate prescribing in an acutely ill population of older patients admitted to six European hospitals","type":"article-journal","volume":"67"}}],"schema":"https://github.com/citation-style-language/schema/raw/master/csl-citation.json"} </w:instrText>
      </w:r>
      <w:r w:rsidR="3BE4A52A" w:rsidRPr="020C191D">
        <w:rPr>
          <w:rStyle w:val="PageNumber"/>
          <w:rFonts w:cs="Arial"/>
          <w:sz w:val="24"/>
        </w:rPr>
        <w:fldChar w:fldCharType="separate"/>
      </w:r>
      <w:r w:rsidRPr="020C191D">
        <w:rPr>
          <w:rFonts w:cs="Calibri"/>
          <w:sz w:val="24"/>
        </w:rPr>
        <w:t>(1)</w:t>
      </w:r>
      <w:r w:rsidR="3BE4A52A" w:rsidRPr="020C191D">
        <w:rPr>
          <w:rStyle w:val="PageNumber"/>
          <w:rFonts w:cs="Arial"/>
          <w:sz w:val="24"/>
        </w:rPr>
        <w:fldChar w:fldCharType="end"/>
      </w:r>
      <w:r w:rsidRPr="020C191D">
        <w:rPr>
          <w:sz w:val="24"/>
        </w:rPr>
        <w:t xml:space="preserve">. </w:t>
      </w:r>
      <w:r w:rsidRPr="020C191D">
        <w:rPr>
          <w:rStyle w:val="PageNumber"/>
          <w:rFonts w:cs="Calibri"/>
          <w:sz w:val="24"/>
        </w:rPr>
        <w:t>The World Health Organisation has recognised this problem in its recent Global Patient Safety Challenge: Medication Without Harm</w:t>
      </w:r>
      <w:r w:rsidR="3BE4A52A" w:rsidRPr="020C191D">
        <w:rPr>
          <w:rStyle w:val="PageNumber"/>
          <w:rFonts w:cs="Calibri"/>
          <w:sz w:val="24"/>
        </w:rPr>
        <w:fldChar w:fldCharType="begin"/>
      </w:r>
      <w:r w:rsidR="00115942">
        <w:rPr>
          <w:rStyle w:val="PageNumber"/>
          <w:rFonts w:cs="Calibri"/>
          <w:sz w:val="24"/>
        </w:rPr>
        <w:instrText xml:space="preserve"> ADDIN ZOTERO_ITEM CSL_CITATION {"citationID":"hISIFBIA","properties":{"formattedCitation":"(2)","plainCitation":"(2)","noteIndex":0},"citationItems":[{"id":"HaMovQnS/HsHDGfeC","uris":["http://zotero.org/users/6791840/items/RYCK75BM"],"itemData":{"id":219,"type":"document","publisher":"World Health Organisation","title":"Medication Without Harm","URL":"https://www.who.int/publications/i/item/WHO-HIS-SDS-2017.6","accessed":{"date-parts":[["2022",1,21]]},"issued":{"date-parts":[["2017",5,15]]}}}],"schema":"https://github.com/citation-style-language/schema/raw/master/csl-citation.json"} </w:instrText>
      </w:r>
      <w:r w:rsidR="3BE4A52A" w:rsidRPr="020C191D">
        <w:rPr>
          <w:rStyle w:val="PageNumber"/>
          <w:rFonts w:cs="Calibri"/>
          <w:sz w:val="24"/>
        </w:rPr>
        <w:fldChar w:fldCharType="separate"/>
      </w:r>
      <w:r w:rsidRPr="020C191D">
        <w:rPr>
          <w:rFonts w:cs="Calibri"/>
          <w:sz w:val="24"/>
        </w:rPr>
        <w:t>(2)</w:t>
      </w:r>
      <w:r w:rsidR="3BE4A52A" w:rsidRPr="020C191D">
        <w:rPr>
          <w:rStyle w:val="PageNumber"/>
          <w:rFonts w:cs="Calibri"/>
          <w:sz w:val="24"/>
        </w:rPr>
        <w:fldChar w:fldCharType="end"/>
      </w:r>
      <w:r w:rsidRPr="020C191D">
        <w:rPr>
          <w:rStyle w:val="PageNumber"/>
          <w:rFonts w:cs="Calibri"/>
          <w:sz w:val="24"/>
        </w:rPr>
        <w:t xml:space="preserve">. </w:t>
      </w:r>
      <w:r w:rsidR="00D565B9">
        <w:rPr>
          <w:rStyle w:val="PageNumber"/>
          <w:rFonts w:cs="Calibri"/>
          <w:sz w:val="24"/>
        </w:rPr>
        <w:t xml:space="preserve">Deprescribing is the process of stopping </w:t>
      </w:r>
      <w:r w:rsidR="00266E50">
        <w:rPr>
          <w:rStyle w:val="PageNumber"/>
          <w:rFonts w:cs="Calibri"/>
          <w:sz w:val="24"/>
        </w:rPr>
        <w:t xml:space="preserve">inappropriate </w:t>
      </w:r>
      <w:r w:rsidR="00D565B9">
        <w:rPr>
          <w:rStyle w:val="PageNumber"/>
          <w:rFonts w:cs="Calibri"/>
          <w:sz w:val="24"/>
        </w:rPr>
        <w:t xml:space="preserve">medicines </w:t>
      </w:r>
      <w:r w:rsidR="00D22C0B">
        <w:rPr>
          <w:rStyle w:val="PageNumber"/>
          <w:rFonts w:cs="Calibri"/>
          <w:sz w:val="24"/>
        </w:rPr>
        <w:t>with the aim of</w:t>
      </w:r>
      <w:r w:rsidR="008747FA">
        <w:rPr>
          <w:rStyle w:val="PageNumber"/>
          <w:rFonts w:cs="Calibri"/>
          <w:sz w:val="24"/>
        </w:rPr>
        <w:t xml:space="preserve"> </w:t>
      </w:r>
      <w:r w:rsidR="00F506A1">
        <w:rPr>
          <w:rStyle w:val="PageNumber"/>
          <w:rFonts w:cs="Calibri"/>
          <w:sz w:val="24"/>
        </w:rPr>
        <w:t>managing</w:t>
      </w:r>
      <w:r w:rsidR="008747FA">
        <w:rPr>
          <w:rStyle w:val="PageNumber"/>
          <w:rFonts w:cs="Calibri"/>
          <w:sz w:val="24"/>
        </w:rPr>
        <w:t xml:space="preserve"> polypharmacy</w:t>
      </w:r>
      <w:r w:rsidR="00D22C0B">
        <w:rPr>
          <w:rStyle w:val="PageNumber"/>
          <w:rFonts w:cs="Calibri"/>
          <w:sz w:val="24"/>
        </w:rPr>
        <w:t xml:space="preserve"> and improving patient outcomes</w:t>
      </w:r>
      <w:r w:rsidR="00AA4552">
        <w:rPr>
          <w:rStyle w:val="PageNumber"/>
          <w:rFonts w:cs="Calibri"/>
          <w:sz w:val="24"/>
        </w:rPr>
        <w:t xml:space="preserve"> </w:t>
      </w:r>
      <w:r w:rsidR="00AA4552">
        <w:rPr>
          <w:rStyle w:val="PageNumber"/>
          <w:rFonts w:cs="Calibri"/>
          <w:sz w:val="24"/>
        </w:rPr>
        <w:fldChar w:fldCharType="begin"/>
      </w:r>
      <w:r w:rsidR="00115942">
        <w:rPr>
          <w:rStyle w:val="PageNumber"/>
          <w:rFonts w:cs="Calibri"/>
          <w:sz w:val="24"/>
        </w:rPr>
        <w:instrText xml:space="preserve"> ADDIN ZOTERO_ITEM CSL_CITATION {"citationID":"Ys6DB3gO","properties":{"formattedCitation":"(3)","plainCitation":"(3)","noteIndex":0},"citationItems":[{"id":179,"uris":["http://zotero.org/users/local/6ZPpNNIG/items/PMQCV8G3"],"itemData":{"id":179,"type":"article-journal","container-title":"JAMA Intern Med","page":"827","source":"Google Scholar","title":"Reducing Inappropriate Polypharmacy","volume":"175","author":[{"family":"ScottIA","given":"Hilmer SN"},{"family":"Reeve","given":"E."},{"family":"Potter","given":"K."},{"family":"Le Couteur","given":"D."},{"family":"Rigby","given":"D."}],"issued":{"date-parts":[["2015"]]}}}],"schema":"https://github.com/citation-style-language/schema/raw/master/csl-citation.json"} </w:instrText>
      </w:r>
      <w:r w:rsidR="00AA4552">
        <w:rPr>
          <w:rStyle w:val="PageNumber"/>
          <w:rFonts w:cs="Calibri"/>
          <w:sz w:val="24"/>
        </w:rPr>
        <w:fldChar w:fldCharType="separate"/>
      </w:r>
      <w:r w:rsidR="00115942">
        <w:rPr>
          <w:rStyle w:val="PageNumber"/>
          <w:rFonts w:cs="Calibri"/>
          <w:noProof/>
          <w:sz w:val="24"/>
        </w:rPr>
        <w:t>(3)</w:t>
      </w:r>
      <w:r w:rsidR="00AA4552">
        <w:rPr>
          <w:rStyle w:val="PageNumber"/>
          <w:rFonts w:cs="Calibri"/>
          <w:sz w:val="24"/>
        </w:rPr>
        <w:fldChar w:fldCharType="end"/>
      </w:r>
      <w:r w:rsidR="00AC69F6">
        <w:rPr>
          <w:rStyle w:val="PageNumber"/>
          <w:rFonts w:cs="Calibri"/>
          <w:sz w:val="24"/>
        </w:rPr>
        <w:t>, which may be reactive (in response to an adverse clinical trigger) or proactive (</w:t>
      </w:r>
      <w:r w:rsidR="003919DB">
        <w:rPr>
          <w:rStyle w:val="PageNumber"/>
          <w:rFonts w:cs="Calibri"/>
          <w:sz w:val="24"/>
        </w:rPr>
        <w:t>initiated before</w:t>
      </w:r>
      <w:r w:rsidR="000472F5">
        <w:rPr>
          <w:rStyle w:val="PageNumber"/>
          <w:rFonts w:cs="Calibri"/>
          <w:sz w:val="24"/>
        </w:rPr>
        <w:t xml:space="preserve"> potential</w:t>
      </w:r>
      <w:r w:rsidR="003919DB">
        <w:rPr>
          <w:rStyle w:val="PageNumber"/>
          <w:rFonts w:cs="Calibri"/>
          <w:sz w:val="24"/>
        </w:rPr>
        <w:t xml:space="preserve"> harm has occurred)</w:t>
      </w:r>
      <w:r w:rsidR="00115942">
        <w:rPr>
          <w:rStyle w:val="PageNumber"/>
          <w:rFonts w:cs="Calibri"/>
          <w:sz w:val="24"/>
        </w:rPr>
        <w:t xml:space="preserve"> </w:t>
      </w:r>
      <w:r w:rsidR="00115942">
        <w:rPr>
          <w:rStyle w:val="PageNumber"/>
          <w:rFonts w:cs="Calibri"/>
          <w:sz w:val="24"/>
        </w:rPr>
        <w:fldChar w:fldCharType="begin"/>
      </w:r>
      <w:r w:rsidR="00FC7A29">
        <w:rPr>
          <w:rStyle w:val="PageNumber"/>
          <w:rFonts w:cs="Calibri"/>
          <w:sz w:val="24"/>
        </w:rPr>
        <w:instrText xml:space="preserve"> ADDIN ZOTERO_ITEM CSL_CITATION {"citationID":"KeXMd28t","properties":{"formattedCitation":"(4)","plainCitation":"(4)","noteIndex":0},"citationItems":[{"id":"HaMovQnS/bg2nvsBo","uris":["http://zotero.org/users/6791840/items/8THAWX23"],"itemData":{"id":"HaMovQnS/bg2nvsBo","type":"article-journal","container-title":"International journal of clinical pharmacy","issue":"5","note":"publisher: Springer","page":"991–996","source":"Google Scholar","title":"Deprescribing admission medication at a UK teaching hospital; a report on quantity and nature of activity","volume":"40","author":[{"family":"Scott","given":"Sion"},{"family":"Clark","given":"Allan"},{"family":"Farrow","given":"Carol"},{"family":"May","given":"Helen"},{"family":"Patel","given":"Martyn"},{"family":"Twigg","given":"Michael James"},{"family":"Wright","given":"David John"},{"family":"Bhattacharya","given":"Debi"}],"issued":{"date-parts":[["2018"]]}}}],"schema":"https://github.com/citation-style-language/schema/raw/master/csl-citation.json"} </w:instrText>
      </w:r>
      <w:r w:rsidR="00115942">
        <w:rPr>
          <w:rStyle w:val="PageNumber"/>
          <w:rFonts w:cs="Calibri"/>
          <w:sz w:val="24"/>
        </w:rPr>
        <w:fldChar w:fldCharType="separate"/>
      </w:r>
      <w:r w:rsidR="00FC7A29">
        <w:rPr>
          <w:rStyle w:val="PageNumber"/>
          <w:rFonts w:cs="Calibri"/>
          <w:noProof/>
          <w:sz w:val="24"/>
        </w:rPr>
        <w:t>(4)</w:t>
      </w:r>
      <w:r w:rsidR="00115942">
        <w:rPr>
          <w:rStyle w:val="PageNumber"/>
          <w:rFonts w:cs="Calibri"/>
          <w:sz w:val="24"/>
        </w:rPr>
        <w:fldChar w:fldCharType="end"/>
      </w:r>
      <w:r w:rsidR="00D22C0B">
        <w:rPr>
          <w:rStyle w:val="PageNumber"/>
          <w:rFonts w:cs="Calibri"/>
          <w:sz w:val="24"/>
        </w:rPr>
        <w:t>.</w:t>
      </w:r>
      <w:r w:rsidR="007911ED">
        <w:rPr>
          <w:rStyle w:val="PageNumber"/>
          <w:rFonts w:cs="Calibri"/>
          <w:sz w:val="24"/>
        </w:rPr>
        <w:t xml:space="preserve"> </w:t>
      </w:r>
      <w:r w:rsidR="007911ED" w:rsidRPr="020C191D">
        <w:rPr>
          <w:sz w:val="24"/>
        </w:rPr>
        <w:t>Whilst the principle of deprescribing has always been an expectation of good prescribing practice, it is yet to become routine</w:t>
      </w:r>
      <w:r w:rsidR="007911ED" w:rsidRPr="020C191D">
        <w:rPr>
          <w:rFonts w:cs="Arial"/>
          <w:sz w:val="24"/>
        </w:rPr>
        <w:fldChar w:fldCharType="begin" w:fldLock="1"/>
      </w:r>
      <w:r w:rsidR="00FC7A29">
        <w:rPr>
          <w:rFonts w:cs="Arial"/>
          <w:sz w:val="24"/>
        </w:rPr>
        <w:instrText xml:space="preserve"> ADDIN ZOTERO_ITEM CSL_CITATION {"citationID":"3WVgfEyZ","properties":{"formattedCitation":"(5,6)","plainCitation":"(5,6)","noteIndex":0},"citationItems":[{"id":"HaMovQnS/JCgsI4J0","uris":["http://www.mendeley.com/documents/?uuid=e5c07fe3-2ebb-4304-96ce-121522e3e111"],"itemData":{"ISSN":"2044-6055","author":[{"dropping-particle":"","family":"Anderson","given":"Kristen","non-dropping-particle":"","parse-names":false,"suffix":""},{"dropping-particle":"","family":"Stowasser","given":"Danielle","non-dropping-particle":"","parse-names":false,"suffix":""},{"dropping-particle":"","family":"Freeman","given":"Christopher","non-dropping-particle":"","parse-names":false,"suffix":""},{"dropping-particle":"","family":"Scott","given":"Ian","non-dropping-particle":"","parse-names":false,"suffix":""}],"container-title":"BMJ open","id":"ITEM-1","issue":"12","issued":{"date-parts":[["2014"]]},"page":"e006544","publisher":"British Medical Journal Publishing Group","title":"Prescriber barriers and enablers to minimising potentially inappropriate medications in adults: a systematic review and thematic synthesis","type":"article-journal","volume":"4"}},{"id":"HaMovQnS/ssuKo8lN","uris":["http://www.mendeley.com/documents/?uuid=9b3f7af0-2cc6-4ed4-a68c-4f41ee8fd60e"],"itemData":{"ISSN":"0002-0729","author":[{"dropping-particle":"","family":"Scott","given":"Sion","non-dropping-particle":"","parse-names":false,"suffix":""},{"dropping-particle":"","family":"Twigg","given":"Michael J","non-dropping-particle":"","parse-names":false,"suffix":""},{"dropping-particle":"","family":"Clark","given":"Allan","non-dropping-particle":"","parse-names":false,"suffix":""},{"dropping-particle":"","family":"Farrow","given":"Carol","non-dropping-particle":"","parse-names":false,"suffix":""},{"dropping-particle":"","family":"May","given":"Helen","non-dropping-particle":"","parse-names":false,"suffix":""},{"dropping-particle":"","family":"Patel","given":"Martyn","non-dropping-particle":"","parse-names":false,"suffix":""},{"dropping-particle":"","family":"Taylor","given":"Johanna","non-dropping-particle":"","parse-names":false,"suffix":""},{"dropping-particle":"","family":"Wright","given":"David J","non-dropping-particle":"","parse-names":false,"suffix":""},{"dropping-particle":"","family":"Bhattacharya","given":"Debi","non-dropping-particle":"","parse-names":false,"suffix":""}],"container-title":"Age and ageing","id":"ITEM-2","issue":"1","issued":{"date-parts":[["2020"]]},"page":"102-110","publisher":"Oxford University Press","title":"Development of a hospital deprescribing implementation framework: A focus group study with geriatricians and pharmacists","type":"article-journal","volume":"49"}}],"schema":"https://github.com/citation-style-language/schema/raw/master/csl-citation.json"} </w:instrText>
      </w:r>
      <w:r w:rsidR="007911ED" w:rsidRPr="020C191D">
        <w:rPr>
          <w:rFonts w:cs="Arial"/>
          <w:sz w:val="24"/>
        </w:rPr>
        <w:fldChar w:fldCharType="separate"/>
      </w:r>
      <w:r w:rsidR="00FC7A29">
        <w:rPr>
          <w:rFonts w:cs="Calibri"/>
          <w:sz w:val="24"/>
        </w:rPr>
        <w:t>(5,6)</w:t>
      </w:r>
      <w:r w:rsidR="007911ED" w:rsidRPr="020C191D">
        <w:rPr>
          <w:rFonts w:cs="Arial"/>
          <w:sz w:val="24"/>
        </w:rPr>
        <w:fldChar w:fldCharType="end"/>
      </w:r>
      <w:r w:rsidR="007911ED" w:rsidRPr="020C191D">
        <w:rPr>
          <w:sz w:val="24"/>
        </w:rPr>
        <w:t>.</w:t>
      </w:r>
      <w:r w:rsidR="00B476C6">
        <w:rPr>
          <w:sz w:val="24"/>
        </w:rPr>
        <w:t xml:space="preserve"> </w:t>
      </w:r>
      <w:r w:rsidR="00C331FF" w:rsidRPr="008974CD">
        <w:rPr>
          <w:rStyle w:val="PageNumber"/>
          <w:sz w:val="24"/>
        </w:rPr>
        <w:t>There is an expectation from older people and carers that prescribed medicines are reviewed for appropriateness and any inappropriate medicines stopped</w:t>
      </w:r>
      <w:r w:rsidR="00B16229">
        <w:rPr>
          <w:rStyle w:val="PageNumber"/>
          <w:sz w:val="24"/>
        </w:rPr>
        <w:t>;</w:t>
      </w:r>
      <w:r w:rsidR="00C331FF" w:rsidRPr="008974CD">
        <w:rPr>
          <w:rStyle w:val="PageNumber"/>
          <w:sz w:val="24"/>
        </w:rPr>
        <w:t xml:space="preserve"> </w:t>
      </w:r>
      <w:r w:rsidR="00B16229">
        <w:rPr>
          <w:rStyle w:val="PageNumber"/>
          <w:sz w:val="24"/>
        </w:rPr>
        <w:t>h</w:t>
      </w:r>
      <w:r w:rsidR="00C331FF" w:rsidRPr="008974CD">
        <w:rPr>
          <w:rStyle w:val="PageNumber"/>
          <w:sz w:val="24"/>
        </w:rPr>
        <w:t xml:space="preserve">owever, </w:t>
      </w:r>
      <w:r w:rsidR="00DA480C" w:rsidRPr="020C191D">
        <w:rPr>
          <w:sz w:val="24"/>
        </w:rPr>
        <w:t>fewer than 1% of medicines are deprescribed during a hospital admission</w:t>
      </w:r>
      <w:r w:rsidR="00DA480C">
        <w:rPr>
          <w:rStyle w:val="PageNumber"/>
          <w:sz w:val="24"/>
        </w:rPr>
        <w:t xml:space="preserve"> and </w:t>
      </w:r>
      <w:r w:rsidR="00C331FF" w:rsidRPr="008974CD">
        <w:rPr>
          <w:rStyle w:val="PageNumber"/>
          <w:sz w:val="24"/>
        </w:rPr>
        <w:t>most medicines are only stopped after they have caused harm, i.e. reactive deprescribing.</w:t>
      </w:r>
      <w:r w:rsidR="00D328F2">
        <w:rPr>
          <w:rStyle w:val="PageNumber"/>
          <w:rFonts w:cs="Calibri"/>
          <w:sz w:val="24"/>
        </w:rPr>
        <w:t xml:space="preserve"> </w:t>
      </w:r>
    </w:p>
    <w:p w14:paraId="50467DF8" w14:textId="3B136390" w:rsidR="003234CA" w:rsidRPr="002342C1" w:rsidRDefault="020C191D" w:rsidP="020C191D">
      <w:pPr>
        <w:spacing w:line="480" w:lineRule="auto"/>
        <w:rPr>
          <w:sz w:val="24"/>
        </w:rPr>
      </w:pPr>
      <w:r w:rsidRPr="020C191D">
        <w:rPr>
          <w:sz w:val="24"/>
        </w:rPr>
        <w:t xml:space="preserve">The </w:t>
      </w:r>
      <w:proofErr w:type="spellStart"/>
      <w:r w:rsidRPr="020C191D">
        <w:rPr>
          <w:sz w:val="24"/>
        </w:rPr>
        <w:t>CompreHensive</w:t>
      </w:r>
      <w:proofErr w:type="spellEnd"/>
      <w:r w:rsidRPr="020C191D">
        <w:rPr>
          <w:sz w:val="24"/>
        </w:rPr>
        <w:t xml:space="preserve"> </w:t>
      </w:r>
      <w:proofErr w:type="spellStart"/>
      <w:r w:rsidRPr="020C191D">
        <w:rPr>
          <w:sz w:val="24"/>
        </w:rPr>
        <w:t>geriAtRician</w:t>
      </w:r>
      <w:proofErr w:type="spellEnd"/>
      <w:r w:rsidRPr="020C191D">
        <w:rPr>
          <w:sz w:val="24"/>
        </w:rPr>
        <w:t xml:space="preserve">-led </w:t>
      </w:r>
      <w:proofErr w:type="spellStart"/>
      <w:r w:rsidRPr="020C191D">
        <w:rPr>
          <w:sz w:val="24"/>
        </w:rPr>
        <w:t>MEdication</w:t>
      </w:r>
      <w:proofErr w:type="spellEnd"/>
      <w:r w:rsidRPr="020C191D">
        <w:rPr>
          <w:sz w:val="24"/>
        </w:rPr>
        <w:t xml:space="preserve"> Review (CHARMER) study</w:t>
      </w:r>
      <w:r w:rsidRPr="020C191D">
        <w:rPr>
          <w:color w:val="000000" w:themeColor="text1"/>
          <w:sz w:val="24"/>
        </w:rPr>
        <w:t xml:space="preserve"> </w:t>
      </w:r>
      <w:r w:rsidRPr="020C191D">
        <w:rPr>
          <w:sz w:val="24"/>
        </w:rPr>
        <w:t>is a UK National Institute for Health and Care Research (NIHR) programme of research aiming to address the barriers and enablers (determinants) of proactive deprescribing by designing and testing an intervention targeting geriatricians’ and pharmacists’ behaviour. The CHARMER intervention</w:t>
      </w:r>
      <w:r w:rsidR="00AB3BDB">
        <w:rPr>
          <w:sz w:val="24"/>
        </w:rPr>
        <w:t xml:space="preserve"> </w:t>
      </w:r>
      <w:r w:rsidR="00AA3782">
        <w:rPr>
          <w:sz w:val="24"/>
        </w:rPr>
        <w:t>has been developed in line with the Medical Research Council guidance for</w:t>
      </w:r>
      <w:r w:rsidR="00AA3782" w:rsidRPr="00AA3782">
        <w:t xml:space="preserve"> </w:t>
      </w:r>
      <w:r w:rsidR="00AA3782" w:rsidRPr="00AA3782">
        <w:rPr>
          <w:sz w:val="24"/>
        </w:rPr>
        <w:t>developing and evaluating complex interventions</w:t>
      </w:r>
      <w:r w:rsidR="00A71FF0">
        <w:rPr>
          <w:sz w:val="24"/>
        </w:rPr>
        <w:fldChar w:fldCharType="begin"/>
      </w:r>
      <w:r w:rsidR="00FC7A29">
        <w:rPr>
          <w:sz w:val="24"/>
        </w:rPr>
        <w:instrText xml:space="preserve"> ADDIN ZOTERO_ITEM CSL_CITATION {"citationID":"r0AfiC3E","properties":{"formattedCitation":"(7)","plainCitation":"(7)","noteIndex":0},"citationItems":[{"id":"HaMovQnS/Nrlgzjj3","uris":["http://zotero.org/users/6791840/items/FX2KKW8G"],"itemData":{"id":101,"type":"article-journal","container-title":"bmj","note":"publisher: British Medical Journal Publishing Group","source":"Google Scholar","title":"A new framework for developing and evaluating complex interventions: update of Medical Research Council guidance","title-short":"A new framework for developing and evaluating complex interventions","volume":"374","author":[{"family":"Skivington","given":"Kathryn"},{"family":"Matthews","given":"Lynsay"},{"family":"Simpson","given":"Sharon Anne"},{"family":"Craig","given":"Peter"},{"family":"Baird","given":"Janis"},{"family":"Blazeby","given":"Jane M."},{"family":"Boyd","given":"Kathleen Anne"},{"family":"Craig","given":"Neil"},{"family":"French","given":"David P."},{"family":"McIntosh","given":"Emma"}],"issued":{"date-parts":[["2021"]]}}}],"schema":"https://github.com/citation-style-language/schema/raw/master/csl-citation.json"} </w:instrText>
      </w:r>
      <w:r w:rsidR="00A71FF0">
        <w:rPr>
          <w:sz w:val="24"/>
        </w:rPr>
        <w:fldChar w:fldCharType="separate"/>
      </w:r>
      <w:r w:rsidR="00FC7A29">
        <w:rPr>
          <w:rFonts w:cs="Calibri"/>
          <w:sz w:val="24"/>
        </w:rPr>
        <w:t>(7)</w:t>
      </w:r>
      <w:r w:rsidR="00A71FF0">
        <w:rPr>
          <w:sz w:val="24"/>
        </w:rPr>
        <w:fldChar w:fldCharType="end"/>
      </w:r>
      <w:r w:rsidR="00AA3782">
        <w:rPr>
          <w:sz w:val="24"/>
        </w:rPr>
        <w:t xml:space="preserve"> </w:t>
      </w:r>
      <w:r w:rsidRPr="020C191D">
        <w:rPr>
          <w:sz w:val="24"/>
        </w:rPr>
        <w:t>using the hospital Deprescribing Implementation Framework (</w:t>
      </w:r>
      <w:proofErr w:type="spellStart"/>
      <w:r w:rsidRPr="020C191D">
        <w:rPr>
          <w:sz w:val="24"/>
        </w:rPr>
        <w:t>hDIF</w:t>
      </w:r>
      <w:proofErr w:type="spellEnd"/>
      <w:r w:rsidRPr="020C191D">
        <w:rPr>
          <w:sz w:val="24"/>
        </w:rPr>
        <w:t>)</w:t>
      </w:r>
      <w:r w:rsidR="3BE4A52A" w:rsidRPr="020C191D">
        <w:rPr>
          <w:sz w:val="24"/>
        </w:rPr>
        <w:fldChar w:fldCharType="begin"/>
      </w:r>
      <w:r w:rsidR="00FC7A29">
        <w:rPr>
          <w:sz w:val="24"/>
        </w:rPr>
        <w:instrText xml:space="preserve"> ADDIN ZOTERO_ITEM CSL_CITATION {"citationID":"cjIRM19o","properties":{"formattedCitation":"(6)","plainCitation":"(6)","noteIndex":0},"citationItems":[{"id":"HaMovQnS/ssuKo8lN","uris":["http://www.mendeley.com/documents/?uuid=9b3f7af0-2cc6-4ed4-a68c-4f41ee8fd60e"],"itemData":{"ISSN":"0002-0729","author":[{"dropping-particle":"","family":"Scott","given":"Sion","non-dropping-particle":"","parse-names":false,"suffix":""},{"dropping-particle":"","family":"Twigg","given":"Michael J","non-dropping-particle":"","parse-names":false,"suffix":""},{"dropping-particle":"","family":"Clark","given":"Allan","non-dropping-particle":"","parse-names":false,"suffix":""},{"dropping-particle":"","family":"Farrow","given":"Carol","non-dropping-particle":"","parse-names":false,"suffix":""},{"dropping-particle":"","family":"May","given":"Helen","non-dropping-particle":"","parse-names":false,"suffix":""},{"dropping-particle":"","family":"Patel","given":"Martyn","non-dropping-particle":"","parse-names":false,"suffix":""},{"dropping-particle":"","family":"Taylor","given":"Johanna","non-dropping-particle":"","parse-names":false,"suffix":""},{"dropping-particle":"","family":"Wright","given":"David J","non-dropping-particle":"","parse-names":false,"suffix":""},{"dropping-particle":"","family":"Bhattacharya","given":"Debi","non-dropping-particle":"","parse-names":false,"suffix":""}],"container-title":"Age and ageing","id":"6ZKrYA9H/eszkGyYT","issue":"1","issued":{"date-parts":[["2020"]]},"page":"102-110","publisher":"Oxford University Press","title":"Development of a hospital deprescribing implementation framework: A focus group study with geriatricians and pharmacists","type":"article-journal","volume":"49"}}],"schema":"https://github.com/citation-style-language/schema/raw/master/csl-citation.json"} </w:instrText>
      </w:r>
      <w:r w:rsidR="3BE4A52A" w:rsidRPr="020C191D">
        <w:rPr>
          <w:sz w:val="24"/>
        </w:rPr>
        <w:fldChar w:fldCharType="separate"/>
      </w:r>
      <w:r w:rsidR="00FC7A29">
        <w:rPr>
          <w:rFonts w:cs="Calibri"/>
          <w:sz w:val="24"/>
        </w:rPr>
        <w:t>(6)</w:t>
      </w:r>
      <w:r w:rsidR="3BE4A52A" w:rsidRPr="020C191D">
        <w:rPr>
          <w:sz w:val="24"/>
        </w:rPr>
        <w:fldChar w:fldCharType="end"/>
      </w:r>
      <w:r w:rsidRPr="020C191D">
        <w:rPr>
          <w:sz w:val="24"/>
        </w:rPr>
        <w:t xml:space="preserve">, which is underpinned by behaviour change theory and characterises four prioritised barriers and one enabler to geriatricians’ and pharmacists’ deprescribing that require addressing in the hospital context. The </w:t>
      </w:r>
      <w:proofErr w:type="spellStart"/>
      <w:r w:rsidRPr="020C191D">
        <w:rPr>
          <w:sz w:val="24"/>
        </w:rPr>
        <w:t>hDIF</w:t>
      </w:r>
      <w:proofErr w:type="spellEnd"/>
      <w:r w:rsidRPr="020C191D">
        <w:rPr>
          <w:sz w:val="24"/>
        </w:rPr>
        <w:t xml:space="preserve"> provides a range of 44 behaviour change techniques (BCTs) to address these five determinants permitting BCTs to be selected </w:t>
      </w:r>
      <w:r w:rsidRPr="020C191D">
        <w:rPr>
          <w:sz w:val="24"/>
        </w:rPr>
        <w:lastRenderedPageBreak/>
        <w:t>based on the individual context of healthcare systems. Behaviour change techniques are the active ingredients that make up interventions and define the principle by which intervention components aim to change behaviour</w:t>
      </w:r>
      <w:r w:rsidR="006E05E6">
        <w:rPr>
          <w:sz w:val="24"/>
        </w:rPr>
        <w:t xml:space="preserve"> </w:t>
      </w:r>
      <w:r w:rsidR="006E05E6">
        <w:rPr>
          <w:sz w:val="24"/>
        </w:rPr>
        <w:fldChar w:fldCharType="begin"/>
      </w:r>
      <w:r w:rsidR="00FC7A29">
        <w:rPr>
          <w:sz w:val="24"/>
        </w:rPr>
        <w:instrText xml:space="preserve"> ADDIN ZOTERO_ITEM CSL_CITATION {"citationID":"9FypaSlg","properties":{"formattedCitation":"(8)","plainCitation":"(8)","noteIndex":0},"citationItems":[{"id":135,"uris":["http://zotero.org/users/local/6ZPpNNIG/items/MYDHBUWB"],"itemData":{"id":135,"type":"article-journal","container-title":"Health technology assessment","issue":"99","note":"publisher: NIHR Journals Library","source":"Google Scholar","title":"Behaviour change techniques: the development and evaluation of a taxonomic method for reporting and describing behaviour change interventions (a suite of five studies involving consensus methods, randomised controlled trials and analysis of qualitative data)","title-short":"Behaviour change techniques","volume":"19","author":[{"family":"Michie","given":"Susan"},{"family":"Wood","given":"Caroline E."},{"family":"Johnston","given":"Marie"},{"family":"Abraham","given":"Charles"},{"family":"Francis","given":"Jill"},{"family":"Hardeman","given":"Wendy"}],"issued":{"date-parts":[["2015"]]}}}],"schema":"https://github.com/citation-style-language/schema/raw/master/csl-citation.json"} </w:instrText>
      </w:r>
      <w:r w:rsidR="006E05E6">
        <w:rPr>
          <w:sz w:val="24"/>
        </w:rPr>
        <w:fldChar w:fldCharType="separate"/>
      </w:r>
      <w:r w:rsidR="00FC7A29">
        <w:rPr>
          <w:noProof/>
          <w:sz w:val="24"/>
        </w:rPr>
        <w:t>(8)</w:t>
      </w:r>
      <w:r w:rsidR="006E05E6">
        <w:rPr>
          <w:sz w:val="24"/>
        </w:rPr>
        <w:fldChar w:fldCharType="end"/>
      </w:r>
      <w:r w:rsidRPr="020C191D">
        <w:rPr>
          <w:sz w:val="24"/>
        </w:rPr>
        <w:t>.</w:t>
      </w:r>
    </w:p>
    <w:p w14:paraId="0839F333" w14:textId="18F9770A" w:rsidR="00CB5B74" w:rsidRDefault="020C191D" w:rsidP="020C191D">
      <w:pPr>
        <w:spacing w:line="480" w:lineRule="auto"/>
        <w:rPr>
          <w:noProof/>
          <w:color w:val="000000" w:themeColor="text1"/>
          <w:sz w:val="24"/>
          <w:lang w:eastAsia="en-GB"/>
        </w:rPr>
      </w:pPr>
      <w:r w:rsidRPr="020C191D">
        <w:rPr>
          <w:sz w:val="24"/>
        </w:rPr>
        <w:t xml:space="preserve">Figure 1 shows the deprescribing determinants, their behavioural mechanisms of action from the </w:t>
      </w:r>
      <w:proofErr w:type="spellStart"/>
      <w:r w:rsidRPr="020C191D">
        <w:rPr>
          <w:sz w:val="24"/>
        </w:rPr>
        <w:t>hDIF</w:t>
      </w:r>
      <w:proofErr w:type="spellEnd"/>
      <w:r w:rsidRPr="020C191D">
        <w:rPr>
          <w:sz w:val="24"/>
        </w:rPr>
        <w:t xml:space="preserve"> and provides the six BCTs selected by geriatricians and pharmacists from hospitals in England for the CHARMER intervention</w:t>
      </w:r>
      <w:r w:rsidR="5DDB7EEE" w:rsidRPr="020C191D">
        <w:rPr>
          <w:sz w:val="24"/>
        </w:rPr>
        <w:fldChar w:fldCharType="begin"/>
      </w:r>
      <w:r w:rsidR="00FC7A29">
        <w:rPr>
          <w:sz w:val="24"/>
        </w:rPr>
        <w:instrText xml:space="preserve"> ADDIN ZOTERO_ITEM CSL_CITATION {"citationID":"hnunlSeG","properties":{"formattedCitation":"(9)","plainCitation":"(9)","noteIndex":0},"citationItems":[{"id":"HaMovQnS/WoH6uLMp","uris":["http://zotero.org/users/6791840/items/SAZ9RXJD"],"itemData":{"id":190,"type":"article-journal","container-title":"Age and ageing","issue":"2","note":"publisher: Oxford University Press","page":"581–586","source":"Google Scholar","title":"A practitioner behaviour change intervention for deprescribing in the hospital setting","volume":"50","author":[{"family":"Scott","given":"Sion"},{"family":"May","given":"Helen"},{"family":"Patel","given":"Martyn"},{"family":"Wright","given":"David J."},{"family":"Bhattacharya","given":"Debi"}],"issued":{"date-parts":[["2021"]]}}}],"schema":"https://github.com/citation-style-language/schema/raw/master/csl-citation.json"} </w:instrText>
      </w:r>
      <w:r w:rsidR="5DDB7EEE" w:rsidRPr="020C191D">
        <w:rPr>
          <w:sz w:val="24"/>
        </w:rPr>
        <w:fldChar w:fldCharType="separate"/>
      </w:r>
      <w:r w:rsidR="00FC7A29">
        <w:rPr>
          <w:rFonts w:cs="Calibri"/>
          <w:sz w:val="24"/>
        </w:rPr>
        <w:t>(9)</w:t>
      </w:r>
      <w:r w:rsidR="5DDB7EEE" w:rsidRPr="020C191D">
        <w:rPr>
          <w:sz w:val="24"/>
        </w:rPr>
        <w:fldChar w:fldCharType="end"/>
      </w:r>
      <w:r w:rsidRPr="020C191D">
        <w:rPr>
          <w:sz w:val="24"/>
        </w:rPr>
        <w:t>. This approach to developing a deprescribing intervention is a significant departure from previously reported approaches which have focussed on providing knowledge and prompts and cues</w:t>
      </w:r>
      <w:r w:rsidR="5DDB7EEE" w:rsidRPr="020C191D">
        <w:rPr>
          <w:sz w:val="24"/>
        </w:rPr>
        <w:fldChar w:fldCharType="begin"/>
      </w:r>
      <w:r w:rsidR="00FC7A29">
        <w:rPr>
          <w:sz w:val="24"/>
        </w:rPr>
        <w:instrText xml:space="preserve"> ADDIN ZOTERO_ITEM CSL_CITATION {"citationID":"XTV5V9wA","properties":{"formattedCitation":"(10)","plainCitation":"(10)","noteIndex":0},"citationItems":[{"id":"HaMovQnS/dGwK7i3H","uris":["http://zotero.org/users/6791840/items/9QMMCPYU"],"itemData":{"id":281,"type":"article-journal","container-title":"Drugs &amp; aging","issue":"4","note":"publisher: Springer","page":"303–319","source":"Google Scholar","title":"Impact of deprescribing interventions in older hospitalised patients on prescribing and clinical outcomes: a systematic review of randomised trials","title-short":"Impact of deprescribing interventions in older hospitalised patients on prescribing and clinical outcomes","volume":"35","author":[{"family":"Thillainadesan","given":"Janani"},{"family":"Gnjidic","given":"Danijela"},{"family":"Green","given":"Sarah"},{"family":"Hilmer","given":"Sarah N."}],"issued":{"date-parts":[["2018"]]}}}],"schema":"https://github.com/citation-style-language/schema/raw/master/csl-citation.json"} </w:instrText>
      </w:r>
      <w:r w:rsidR="5DDB7EEE" w:rsidRPr="020C191D">
        <w:rPr>
          <w:sz w:val="24"/>
        </w:rPr>
        <w:fldChar w:fldCharType="separate"/>
      </w:r>
      <w:r w:rsidR="00FC7A29">
        <w:rPr>
          <w:rFonts w:cs="Calibri"/>
          <w:sz w:val="24"/>
        </w:rPr>
        <w:t>(10)</w:t>
      </w:r>
      <w:r w:rsidR="5DDB7EEE" w:rsidRPr="020C191D">
        <w:rPr>
          <w:sz w:val="24"/>
        </w:rPr>
        <w:fldChar w:fldCharType="end"/>
      </w:r>
      <w:r w:rsidRPr="020C191D">
        <w:rPr>
          <w:sz w:val="24"/>
        </w:rPr>
        <w:t>. In contrast, focus groups with geriatricians and pharmacists confirm that they have the capability to deprescribe but lack motivation and opportunity</w:t>
      </w:r>
      <w:r w:rsidR="5DDB7EEE" w:rsidRPr="020C191D">
        <w:rPr>
          <w:sz w:val="24"/>
        </w:rPr>
        <w:fldChar w:fldCharType="begin"/>
      </w:r>
      <w:r w:rsidR="00FC7A29">
        <w:rPr>
          <w:sz w:val="24"/>
        </w:rPr>
        <w:instrText xml:space="preserve"> ADDIN ZOTERO_ITEM CSL_CITATION {"citationID":"ehX4d2xg","properties":{"formattedCitation":"(6)","plainCitation":"(6)","noteIndex":0},"citationItems":[{"id":"HaMovQnS/ssuKo8lN","uris":["http://www.mendeley.com/documents/?uuid=9b3f7af0-2cc6-4ed4-a68c-4f41ee8fd60e"],"itemData":{"ISSN":"0002-0729","author":[{"dropping-particle":"","family":"Scott","given":"Sion","non-dropping-particle":"","parse-names":false,"suffix":""},{"dropping-particle":"","family":"Twigg","given":"Michael J","non-dropping-particle":"","parse-names":false,"suffix":""},{"dropping-particle":"","family":"Clark","given":"Allan","non-dropping-particle":"","parse-names":false,"suffix":""},{"dropping-particle":"","family":"Farrow","given":"Carol","non-dropping-particle":"","parse-names":false,"suffix":""},{"dropping-particle":"","family":"May","given":"Helen","non-dropping-particle":"","parse-names":false,"suffix":""},{"dropping-particle":"","family":"Patel","given":"Martyn","non-dropping-particle":"","parse-names":false,"suffix":""},{"dropping-particle":"","family":"Taylor","given":"Johanna","non-dropping-particle":"","parse-names":false,"suffix":""},{"dropping-particle":"","family":"Wright","given":"David J","non-dropping-particle":"","parse-names":false,"suffix":""},{"dropping-particle":"","family":"Bhattacharya","given":"Debi","non-dropping-particle":"","parse-names":false,"suffix":""}],"container-title":"Age and ageing","id":"VmHsgD47/2wqRhtsN","issue":"1","issued":{"date-parts":[["2020"]]},"page":"102-110","publisher":"Oxford University Press","title":"Development of a hospital deprescribing implementation framework: A focus group study with geriatricians and pharmacists","type":"article-journal","volume":"49"}}],"schema":"https://github.com/citation-style-language/schema/raw/master/csl-citation.json"} </w:instrText>
      </w:r>
      <w:r w:rsidR="5DDB7EEE" w:rsidRPr="020C191D">
        <w:rPr>
          <w:sz w:val="24"/>
        </w:rPr>
        <w:fldChar w:fldCharType="separate"/>
      </w:r>
      <w:r w:rsidR="00FC7A29">
        <w:rPr>
          <w:rFonts w:cs="Calibri"/>
          <w:sz w:val="24"/>
        </w:rPr>
        <w:t>(6)</w:t>
      </w:r>
      <w:r w:rsidR="5DDB7EEE" w:rsidRPr="020C191D">
        <w:rPr>
          <w:sz w:val="24"/>
        </w:rPr>
        <w:fldChar w:fldCharType="end"/>
      </w:r>
      <w:r w:rsidRPr="020C191D">
        <w:rPr>
          <w:sz w:val="24"/>
        </w:rPr>
        <w:t>.</w:t>
      </w:r>
    </w:p>
    <w:p w14:paraId="01096FEE" w14:textId="445DC599" w:rsidR="00C64C87" w:rsidRDefault="00F35CE1" w:rsidP="001A11C7">
      <w:pPr>
        <w:spacing w:line="360" w:lineRule="auto"/>
        <w:jc w:val="center"/>
        <w:rPr>
          <w:b/>
        </w:rPr>
      </w:pPr>
      <w:r>
        <w:rPr>
          <w:noProof/>
          <w:color w:val="000000" w:themeColor="text1"/>
          <w:sz w:val="24"/>
          <w:lang w:eastAsia="en-GB"/>
        </w:rPr>
        <w:drawing>
          <wp:inline distT="0" distB="0" distL="0" distR="0" wp14:anchorId="1DCAA8DE" wp14:editId="26F78B23">
            <wp:extent cx="5731510" cy="4298950"/>
            <wp:effectExtent l="0" t="0" r="0" b="6350"/>
            <wp:docPr id="2" name="Picture 2" descr="Graphical user interface,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1 - Intro to BCTs.png"/>
                    <pic:cNvPicPr/>
                  </pic:nvPicPr>
                  <pic:blipFill>
                    <a:blip r:embed="rId11"/>
                    <a:stretch>
                      <a:fillRect/>
                    </a:stretch>
                  </pic:blipFill>
                  <pic:spPr>
                    <a:xfrm>
                      <a:off x="0" y="0"/>
                      <a:ext cx="5731510" cy="4298950"/>
                    </a:xfrm>
                    <a:prstGeom prst="rect">
                      <a:avLst/>
                    </a:prstGeom>
                  </pic:spPr>
                </pic:pic>
              </a:graphicData>
            </a:graphic>
          </wp:inline>
        </w:drawing>
      </w:r>
      <w:r w:rsidR="006368C9" w:rsidRPr="001F29F4">
        <w:rPr>
          <w:b/>
          <w:bCs/>
        </w:rPr>
        <w:t xml:space="preserve">Figure 1. </w:t>
      </w:r>
      <w:r w:rsidR="006368C9" w:rsidRPr="001F29F4">
        <w:rPr>
          <w:b/>
        </w:rPr>
        <w:t xml:space="preserve">Six BCTs selected from the </w:t>
      </w:r>
      <w:proofErr w:type="spellStart"/>
      <w:r w:rsidR="006368C9" w:rsidRPr="001F29F4">
        <w:rPr>
          <w:b/>
        </w:rPr>
        <w:t>hDIF</w:t>
      </w:r>
      <w:proofErr w:type="spellEnd"/>
      <w:r w:rsidR="00EA191D" w:rsidRPr="001F29F4">
        <w:rPr>
          <w:b/>
        </w:rPr>
        <w:t xml:space="preserve"> to address </w:t>
      </w:r>
      <w:r w:rsidR="001012E4" w:rsidRPr="001F29F4">
        <w:rPr>
          <w:b/>
        </w:rPr>
        <w:t xml:space="preserve">the determinants to </w:t>
      </w:r>
      <w:r w:rsidR="00EA191D" w:rsidRPr="001F29F4">
        <w:rPr>
          <w:b/>
        </w:rPr>
        <w:t xml:space="preserve">pharmacist and geriatrician </w:t>
      </w:r>
      <w:r w:rsidR="001012E4" w:rsidRPr="001F29F4">
        <w:rPr>
          <w:b/>
        </w:rPr>
        <w:t xml:space="preserve">proactive deprescribing </w:t>
      </w:r>
      <w:r w:rsidR="00B92645" w:rsidRPr="001F29F4">
        <w:rPr>
          <w:b/>
        </w:rPr>
        <w:t>behaviour in hospital</w:t>
      </w:r>
      <w:r w:rsidR="00FB46B5">
        <w:rPr>
          <w:b/>
        </w:rPr>
        <w:t>s in England</w:t>
      </w:r>
    </w:p>
    <w:p w14:paraId="22C07097" w14:textId="3EC0AF14" w:rsidR="001F29F4" w:rsidRPr="00C64C87" w:rsidRDefault="001F29F4" w:rsidP="001A11C7">
      <w:pPr>
        <w:spacing w:line="360" w:lineRule="auto"/>
        <w:jc w:val="center"/>
        <w:rPr>
          <w:iCs/>
        </w:rPr>
      </w:pPr>
      <w:proofErr w:type="spellStart"/>
      <w:r w:rsidRPr="00C64C87">
        <w:rPr>
          <w:iCs/>
          <w:vertAlign w:val="superscript"/>
        </w:rPr>
        <w:lastRenderedPageBreak/>
        <w:t>G</w:t>
      </w:r>
      <w:r w:rsidRPr="00C64C87">
        <w:rPr>
          <w:iCs/>
        </w:rPr>
        <w:t>Geriatrician</w:t>
      </w:r>
      <w:proofErr w:type="spellEnd"/>
      <w:r w:rsidRPr="00C64C87">
        <w:rPr>
          <w:iCs/>
        </w:rPr>
        <w:t xml:space="preserve"> determinant of deprescribing </w:t>
      </w:r>
      <w:proofErr w:type="spellStart"/>
      <w:r w:rsidRPr="00C64C87">
        <w:rPr>
          <w:iCs/>
          <w:vertAlign w:val="superscript"/>
        </w:rPr>
        <w:t>P</w:t>
      </w:r>
      <w:r w:rsidRPr="00C64C87">
        <w:rPr>
          <w:iCs/>
        </w:rPr>
        <w:t>Pharmacist</w:t>
      </w:r>
      <w:proofErr w:type="spellEnd"/>
      <w:r w:rsidRPr="00C64C87">
        <w:rPr>
          <w:iCs/>
        </w:rPr>
        <w:t xml:space="preserve"> determinant of deprescribing</w:t>
      </w:r>
    </w:p>
    <w:p w14:paraId="74E6F65D" w14:textId="77777777" w:rsidR="001A11C7" w:rsidRDefault="001A11C7" w:rsidP="00B82B2D">
      <w:pPr>
        <w:spacing w:line="480" w:lineRule="auto"/>
        <w:rPr>
          <w:sz w:val="24"/>
        </w:rPr>
      </w:pPr>
    </w:p>
    <w:p w14:paraId="18546A3C" w14:textId="127F973F" w:rsidR="008F39B2" w:rsidRPr="002342C1" w:rsidRDefault="003234CA" w:rsidP="00B82B2D">
      <w:pPr>
        <w:spacing w:line="480" w:lineRule="auto"/>
        <w:rPr>
          <w:sz w:val="24"/>
        </w:rPr>
      </w:pPr>
      <w:r w:rsidRPr="5DDB7EEE">
        <w:rPr>
          <w:sz w:val="24"/>
        </w:rPr>
        <w:t xml:space="preserve">To enable interventions to be effectively implemented and evaluated, BCTs require characterising in terms of their </w:t>
      </w:r>
      <w:r w:rsidRPr="5DDB7EEE">
        <w:rPr>
          <w:rFonts w:cs="Calibri"/>
          <w:sz w:val="24"/>
        </w:rPr>
        <w:t>content (what is delivered), mode of delivery (how it is delivered) and duration/intensity (how much of it is delivered)</w:t>
      </w:r>
      <w:r w:rsidR="00D52F5A">
        <w:rPr>
          <w:sz w:val="24"/>
        </w:rPr>
        <w:t xml:space="preserve"> </w:t>
      </w:r>
      <w:r w:rsidR="00D52F5A">
        <w:rPr>
          <w:sz w:val="24"/>
        </w:rPr>
        <w:fldChar w:fldCharType="begin"/>
      </w:r>
      <w:r w:rsidR="00FC7A29">
        <w:rPr>
          <w:sz w:val="24"/>
        </w:rPr>
        <w:instrText xml:space="preserve"> ADDIN ZOTERO_ITEM CSL_CITATION {"citationID":"mYzeXngZ","properties":{"formattedCitation":"(11)","plainCitation":"(11)","noteIndex":0},"citationItems":[{"id":143,"uris":["http://zotero.org/users/local/6ZPpNNIG/items/JHILA6VL"],"itemData":{"id":143,"type":"article-journal","abstract":"To identify the evidence for the effectiveness of behaviour change techniques, when used by health-care professionals, in accomplishing health-promoting behaviours in patients. Reviews were used to extract data at a study level. A taxonomy was used to classify behaviour change techniques. We included 23 systematic reviews: 14 on smoking cessation, 6 on physical exercise, and 2 on healthy diets and 1 on both exercise and diets. None of the behaviour change techniques demonstrated clear effects in a convincing majority of the studies in which they were evaluated. Techniques targeting knowledge (n = 210 studies) and facilitation of behaviour (n = 172) were evaluated most frequently. However, self-monitoring of behaviour (positive effects in 56% of the studies), risk communication (52%) and use of social support (50%) were most often identified as effective. Insufficient insight into appropriateness of technique choice and quality of technique delivery hinder precise conclusions. Relatively, however, self-monitoring of behaviour, risk communication and use of social support are most effective. Health professionals should avoid thinking that providing knowledge, materials and professional support will be sufficient for patients to accomplish change and consider alternative strategies which may be more effective.","container-title":"Health Promotion International","DOI":"10.1093/heapro/daq050","ISSN":"1460-2245","issue":"2","journalAbbreviation":"Health Promot Int","language":"eng","note":"PMID: 20739325\nPMCID: PMC3090154","page":"148-162","source":"PubMed","title":"How to promote healthy behaviours in patients? An overview of evidence for behaviour change techniques","title-short":"How to promote healthy behaviours in patients?","volume":"26","author":[{"family":"Achterberg","given":"Theo","non-dropping-particle":"van"},{"family":"Huisman-de Waal","given":"Getty G. J."},{"family":"Ketelaar","given":"Nicole A. B. M."},{"family":"Oostendorp","given":"Rob A."},{"family":"Jacobs","given":"Johanna E."},{"family":"Wollersheim","given":"Hub C. H."}],"issued":{"date-parts":[["2011",6]]}}}],"schema":"https://github.com/citation-style-language/schema/raw/master/csl-citation.json"} </w:instrText>
      </w:r>
      <w:r w:rsidR="00D52F5A">
        <w:rPr>
          <w:sz w:val="24"/>
        </w:rPr>
        <w:fldChar w:fldCharType="separate"/>
      </w:r>
      <w:r w:rsidR="00FC7A29">
        <w:rPr>
          <w:noProof/>
          <w:sz w:val="24"/>
        </w:rPr>
        <w:t>(11)</w:t>
      </w:r>
      <w:r w:rsidR="00D52F5A">
        <w:rPr>
          <w:sz w:val="24"/>
        </w:rPr>
        <w:fldChar w:fldCharType="end"/>
      </w:r>
      <w:r w:rsidRPr="5DDB7EEE">
        <w:rPr>
          <w:sz w:val="24"/>
        </w:rPr>
        <w:t>.</w:t>
      </w:r>
      <w:r>
        <w:rPr>
          <w:sz w:val="24"/>
        </w:rPr>
        <w:t xml:space="preserve"> </w:t>
      </w:r>
      <w:r w:rsidR="5DDB7EEE" w:rsidRPr="5DDB7EEE">
        <w:rPr>
          <w:sz w:val="24"/>
        </w:rPr>
        <w:t>Interventions should</w:t>
      </w:r>
      <w:r>
        <w:rPr>
          <w:sz w:val="24"/>
        </w:rPr>
        <w:t xml:space="preserve"> also</w:t>
      </w:r>
      <w:r w:rsidR="5DDB7EEE" w:rsidRPr="5DDB7EEE">
        <w:rPr>
          <w:sz w:val="24"/>
        </w:rPr>
        <w:t xml:space="preserve"> be designed to accommodate effective implementation across the diversity of complex systems and contexts to facilitate equity when scaling-up</w:t>
      </w:r>
      <w:r w:rsidR="001764BA">
        <w:rPr>
          <w:sz w:val="24"/>
        </w:rPr>
        <w:t xml:space="preserve"> </w:t>
      </w:r>
      <w:r w:rsidR="001764BA">
        <w:rPr>
          <w:sz w:val="24"/>
        </w:rPr>
        <w:fldChar w:fldCharType="begin"/>
      </w:r>
      <w:r w:rsidR="00FC7A29">
        <w:rPr>
          <w:sz w:val="24"/>
        </w:rPr>
        <w:instrText xml:space="preserve"> ADDIN ZOTERO_ITEM CSL_CITATION {"citationID":"3nvfYUdu","properties":{"formattedCitation":"(12\\uc0\\u8211{}14)","plainCitation":"(12–14)","noteIndex":0},"citationItems":[{"id":"HaMovQnS/EMk9F946","uris":["http://zotero.org/users/6791840/items/EKWNH4JE"],"itemData":{"id":"Zp8PQfP4/dDq4zSVD","type":"article-journal","container-title":"BMJ open","issue":"1","note":"publisher: British Medical Journal Publishing Group","page":"e022084","source":"Google Scholar","title":"Adapting health interventions for local fit when scaling-up: a realist review protocol","title-short":"Adapting health interventions for local fit when scaling-up","volume":"9","author":[{"family":"Power","given":"Jessica"},{"family":"Gilmore","given":"Brynne"},{"family":"Vallières","given":"Frédérique"},{"family":"Toomey","given":"Elaine"},{"family":"Mannan","given":"Hasheem"},{"family":"McAuliffe","given":"Eilish"}],"issued":{"date-parts":[["2019"]]}}},{"id":138,"uris":["http://zotero.org/users/local/6ZPpNNIG/items/G259XYLY"],"itemData":{"id":138,"type":"book","abstract":"This book considers the topic of scaling up from a particular vantage point. The focus is on ways to increase the impact of health service innovations that have been tested in pilot or experimental projects so as to benefit more people and to foster policy and programme development on a lasting sustainable basis. The book addresses a major failure in the global health and development field: namely the failure to expand the many successful small-scale pilot or demonstration projects that have been organized around the world so as to benefit larger populations than those initially served. It presents a conceptual framework for thinking about scaling up as well as case studies from Africa Asia and Latin America where the potential for expansion was a concern from the very inception of pilot or experimental projects. The case studies discuss family planning and related reproductive health service interventions as well as other innovations in primary health care.  The case studies presented in this book share a series of common values. They emphasize the imperative to build capacity within the public sector institutions to meet the health needs to the disadvantaged. They highlight the necessity of building a strong sense of both local and national ownership in the identification of priority health needs the development and testing of local solutions and the formulation of context-specific strategies for expanding small-scale successes. The book build's upon nearly 15 years of experience with the development and testing in more than 25 countries around the world of the Strategic Approach to Strengthening Reproductive Health Policies and Programmes.","ISBN":"978-92-4-156351-2","language":"en","number-of-pages":"206","publisher":"World Health Organization","source":"Google Books","title":"Scaling Up Health Service Delivery: From Pilot Innovations to Policies and Programmes","title-short":"Scaling Up Health Service Delivery","author":[{"family":"Simmons","given":"Ruth"},{"family":"Fajans","given":"Peter"},{"family":"Ghiron","given":"Laura"}],"issued":{"date-parts":[["2007"]]}}},{"id":140,"uris":["http://zotero.org/users/local/6ZPpNNIG/items/MI9KQ6HC"],"itemData":{"id":140,"type":"article-journal","abstract":"Scaling up complex health interventions to large populations is not a straightforward task. Without intentional, guided efforts to scale up, it can take many years for a new evidence-based intervention to be broadly implemented. For the past decade, researchers and implementers have developed models of scale-up that move beyond earlier paradigms that assumed ideas and practices would successfully spread through a combination of publication, policy, training, and example.","container-title":"Implementation Science","DOI":"10.1186/s13012-016-0374-x","ISSN":"1748-5908","issue":"1","journalAbbreviation":"Implementation Science","page":"12","source":"BioMed Central","title":"A framework for scaling up health interventions: lessons from large-scale improvement initiatives in Africa","title-short":"A framework for scaling up health interventions","volume":"11","author":[{"family":"Barker","given":"Pierre M."},{"family":"Reid","given":"Amy"},{"family":"Schall","given":"Marie W."}],"issued":{"date-parts":[["2016",1,29]]}}}],"schema":"https://github.com/citation-style-language/schema/raw/master/csl-citation.json"} </w:instrText>
      </w:r>
      <w:r w:rsidR="001764BA">
        <w:rPr>
          <w:sz w:val="24"/>
        </w:rPr>
        <w:fldChar w:fldCharType="separate"/>
      </w:r>
      <w:r w:rsidR="00FC7A29" w:rsidRPr="00FC7A29">
        <w:rPr>
          <w:rFonts w:cs="Calibri"/>
          <w:sz w:val="24"/>
        </w:rPr>
        <w:t>(12–14)</w:t>
      </w:r>
      <w:r w:rsidR="001764BA">
        <w:rPr>
          <w:sz w:val="24"/>
        </w:rPr>
        <w:fldChar w:fldCharType="end"/>
      </w:r>
      <w:r w:rsidR="5DDB7EEE" w:rsidRPr="5DDB7EEE">
        <w:rPr>
          <w:sz w:val="24"/>
        </w:rPr>
        <w:t>. Co-design facilitates incorporation of the required contextual insight through a partnership between the target audience who are the experts in the context</w:t>
      </w:r>
      <w:r w:rsidR="006154FA">
        <w:rPr>
          <w:sz w:val="24"/>
        </w:rPr>
        <w:t>,</w:t>
      </w:r>
      <w:r w:rsidR="5DDB7EEE" w:rsidRPr="5DDB7EEE">
        <w:rPr>
          <w:sz w:val="24"/>
        </w:rPr>
        <w:t xml:space="preserve"> and researchers who are experts in designing theory-based interventions</w:t>
      </w:r>
      <w:r w:rsidR="00B633A4">
        <w:rPr>
          <w:sz w:val="24"/>
        </w:rPr>
        <w:t xml:space="preserve"> </w:t>
      </w:r>
      <w:r w:rsidR="00B633A4">
        <w:rPr>
          <w:sz w:val="24"/>
        </w:rPr>
        <w:fldChar w:fldCharType="begin"/>
      </w:r>
      <w:r w:rsidR="00FC7A29">
        <w:rPr>
          <w:sz w:val="24"/>
        </w:rPr>
        <w:instrText xml:space="preserve"> ADDIN ZOTERO_ITEM CSL_CITATION {"citationID":"gjOiuXte","properties":{"formattedCitation":"(15)","plainCitation":"(15)","noteIndex":0},"citationItems":[{"id":148,"uris":["http://zotero.org/users/local/6ZPpNNIG/items/WUV8Z9BU"],"itemData":{"id":148,"type":"article-journal","abstract":"Over the last decade, growing attention has been paid to the potential value of design theory and practice in improving public services. Experience-based Co-design (EBCD) is a participatory research approach that draws upon design tools and ways of thinking in order to bring healthcare staff and patients together to improve the quality of care. The co-design process that is integral to EBCD is powerful but also challenging, as it requires both staff and patients to renegotiate their roles and expectations as part of a reconfiguration of the relationships of power between citizens and public services. In this paper, we reflect upon the implementation and adaptation of EBCD in a variety of projects and on the challenges of co-design work within healthcare settings. Our discussion aims to contribute to the growing field of service design and to encourage further research into how co-design processes shape—and are shaped by—the power relations that characterize contemporary public services.","container-title":"The Design Journal","DOI":"10.2752/175630615X14212498964312","ISSN":"1460-6925","issue":"2","note":"publisher: Routledge\n_eprint: https://doi.org/10.2752/175630615X14212498964312","page":"227-248","source":"Taylor and Francis+NEJM","title":"Experience-based Co-design and Healthcare Improvement: Realizing Participatory Design in the Public Sector","title-short":"Experience-based Co-design and Healthcare Improvement","volume":"18","author":[{"family":"Donetto","given":"Sara"},{"family":"Pierri","given":"Paola"},{"family":"Tsianakas","given":"Vicki"},{"family":"Robert","given":"Glenn"}],"issued":{"date-parts":[["2015",6,1]]}}}],"schema":"https://github.com/citation-style-language/schema/raw/master/csl-citation.json"} </w:instrText>
      </w:r>
      <w:r w:rsidR="00B633A4">
        <w:rPr>
          <w:sz w:val="24"/>
        </w:rPr>
        <w:fldChar w:fldCharType="separate"/>
      </w:r>
      <w:r w:rsidR="00FC7A29">
        <w:rPr>
          <w:noProof/>
          <w:sz w:val="24"/>
        </w:rPr>
        <w:t>(15)</w:t>
      </w:r>
      <w:r w:rsidR="00B633A4">
        <w:rPr>
          <w:sz w:val="24"/>
        </w:rPr>
        <w:fldChar w:fldCharType="end"/>
      </w:r>
      <w:r w:rsidR="5DDB7EEE" w:rsidRPr="5DDB7EEE">
        <w:rPr>
          <w:sz w:val="24"/>
        </w:rPr>
        <w:t>. Input from other stakeholders</w:t>
      </w:r>
      <w:r w:rsidR="002B398F">
        <w:rPr>
          <w:sz w:val="24"/>
        </w:rPr>
        <w:t xml:space="preserve"> </w:t>
      </w:r>
      <w:r w:rsidR="5DDB7EEE" w:rsidRPr="5DDB7EEE">
        <w:rPr>
          <w:sz w:val="24"/>
        </w:rPr>
        <w:t>who are impacted by a change in target audience behaviour and who may have a local role in implementation supports development of an intervention that is more likely to be acceptable and implementable</w:t>
      </w:r>
      <w:r w:rsidR="00D651D1">
        <w:rPr>
          <w:sz w:val="24"/>
        </w:rPr>
        <w:t xml:space="preserve"> </w:t>
      </w:r>
      <w:r w:rsidR="00D651D1">
        <w:rPr>
          <w:sz w:val="24"/>
        </w:rPr>
        <w:fldChar w:fldCharType="begin"/>
      </w:r>
      <w:r w:rsidR="00FC7A29">
        <w:rPr>
          <w:sz w:val="24"/>
        </w:rPr>
        <w:instrText xml:space="preserve"> ADDIN ZOTERO_ITEM CSL_CITATION {"citationID":"IfIoluV5","properties":{"formattedCitation":"(12\\uc0\\u8211{}15)","plainCitation":"(12–15)","noteIndex":0},"citationItems":[{"id":"HaMovQnS/EMk9F946","uris":["http://zotero.org/users/6791840/items/EKWNH4JE"],"itemData":{"id":"Zp8PQfP4/dDq4zSVD","type":"article-journal","container-title":"BMJ open","issue":"1","note":"publisher: British Medical Journal Publishing Group","page":"e022084","source":"Google Scholar","title":"Adapting health interventions for local fit when scaling-up: a realist review protocol","title-short":"Adapting health interventions for local fit when scaling-up","volume":"9","author":[{"family":"Power","given":"Jessica"},{"family":"Gilmore","given":"Brynne"},{"family":"Vallières","given":"Frédérique"},{"family":"Toomey","given":"Elaine"},{"family":"Mannan","given":"Hasheem"},{"family":"McAuliffe","given":"Eilish"}],"issued":{"date-parts":[["2019"]]}}},{"id":138,"uris":["http://zotero.org/users/local/6ZPpNNIG/items/G259XYLY"],"itemData":{"id":138,"type":"book","abstract":"This book considers the topic of scaling up from a particular vantage point. The focus is on ways to increase the impact of health service innovations that have been tested in pilot or experimental projects so as to benefit more people and to foster policy and programme development on a lasting sustainable basis. The book addresses a major failure in the global health and development field: namely the failure to expand the many successful small-scale pilot or demonstration projects that have been organized around the world so as to benefit larger populations than those initially served. It presents a conceptual framework for thinking about scaling up as well as case studies from Africa Asia and Latin America where the potential for expansion was a concern from the very inception of pilot or experimental projects. The case studies discuss family planning and related reproductive health service interventions as well as other innovations in primary health care.  The case studies presented in this book share a series of common values. They emphasize the imperative to build capacity within the public sector institutions to meet the health needs to the disadvantaged. They highlight the necessity of building a strong sense of both local and national ownership in the identification of priority health needs the development and testing of local solutions and the formulation of context-specific strategies for expanding small-scale successes. The book build's upon nearly 15 years of experience with the development and testing in more than 25 countries around the world of the Strategic Approach to Strengthening Reproductive Health Policies and Programmes.","ISBN":"978-92-4-156351-2","language":"en","number-of-pages":"206","publisher":"World Health Organization","source":"Google Books","title":"Scaling Up Health Service Delivery: From Pilot Innovations to Policies and Programmes","title-short":"Scaling Up Health Service Delivery","author":[{"family":"Simmons","given":"Ruth"},{"family":"Fajans","given":"Peter"},{"family":"Ghiron","given":"Laura"}],"issued":{"date-parts":[["2007"]]}}},{"id":140,"uris":["http://zotero.org/users/local/6ZPpNNIG/items/MI9KQ6HC"],"itemData":{"id":140,"type":"article-journal","abstract":"Scaling up complex health interventions to large populations is not a straightforward task. Without intentional, guided efforts to scale up, it can take many years for a new evidence-based intervention to be broadly implemented. For the past decade, researchers and implementers have developed models of scale-up that move beyond earlier paradigms that assumed ideas and practices would successfully spread through a combination of publication, policy, training, and example.","container-title":"Implementation Science","DOI":"10.1186/s13012-016-0374-x","ISSN":"1748-5908","issue":"1","journalAbbreviation":"Implementation Science","page":"12","source":"BioMed Central","title":"A framework for scaling up health interventions: lessons from large-scale improvement initiatives in Africa","title-short":"A framework for scaling up health interventions","volume":"11","author":[{"family":"Barker","given":"Pierre M."},{"family":"Reid","given":"Amy"},{"family":"Schall","given":"Marie W."}],"issued":{"date-parts":[["2016",1,29]]}}},{"id":148,"uris":["http://zotero.org/users/local/6ZPpNNIG/items/WUV8Z9BU"],"itemData":{"id":148,"type":"article-journal","abstract":"Over the last decade, growing attention has been paid to the potential value of design theory and practice in improving public services. Experience-based Co-design (EBCD) is a participatory research approach that draws upon design tools and ways of thinking in order to bring healthcare staff and patients together to improve the quality of care. The co-design process that is integral to EBCD is powerful but also challenging, as it requires both staff and patients to renegotiate their roles and expectations as part of a reconfiguration of the relationships of power between citizens and public services. In this paper, we reflect upon the implementation and adaptation of EBCD in a variety of projects and on the challenges of co-design work within healthcare settings. Our discussion aims to contribute to the growing field of service design and to encourage further research into how co-design processes shape—and are shaped by—the power relations that characterize contemporary public services.","container-title":"The Design Journal","DOI":"10.2752/175630615X14212498964312","ISSN":"1460-6925","issue":"2","note":"publisher: Routledge\n_eprint: https://doi.org/10.2752/175630615X14212498964312","page":"227-248","source":"Taylor and Francis+NEJM","title":"Experience-based Co-design and Healthcare Improvement: Realizing Participatory Design in the Public Sector","title-short":"Experience-based Co-design and Healthcare Improvement","volume":"18","author":[{"family":"Donetto","given":"Sara"},{"family":"Pierri","given":"Paola"},{"family":"Tsianakas","given":"Vicki"},{"family":"Robert","given":"Glenn"}],"issued":{"date-parts":[["2015",6,1]]}}}],"schema":"https://github.com/citation-style-language/schema/raw/master/csl-citation.json"} </w:instrText>
      </w:r>
      <w:r w:rsidR="00D651D1">
        <w:rPr>
          <w:sz w:val="24"/>
        </w:rPr>
        <w:fldChar w:fldCharType="separate"/>
      </w:r>
      <w:r w:rsidR="00FC7A29" w:rsidRPr="00FC7A29">
        <w:rPr>
          <w:rFonts w:cs="Calibri"/>
          <w:sz w:val="24"/>
        </w:rPr>
        <w:t>(12–15)</w:t>
      </w:r>
      <w:r w:rsidR="00D651D1">
        <w:rPr>
          <w:sz w:val="24"/>
        </w:rPr>
        <w:fldChar w:fldCharType="end"/>
      </w:r>
      <w:r w:rsidR="5DDB7EEE" w:rsidRPr="5DDB7EEE">
        <w:rPr>
          <w:sz w:val="24"/>
        </w:rPr>
        <w:t>.</w:t>
      </w:r>
    </w:p>
    <w:p w14:paraId="20D5CAC4" w14:textId="541920D3" w:rsidR="00C51621" w:rsidRPr="00325F9C" w:rsidRDefault="003F452F" w:rsidP="020C191D">
      <w:pPr>
        <w:spacing w:line="480" w:lineRule="auto"/>
        <w:rPr>
          <w:color w:val="000000" w:themeColor="text1"/>
          <w:sz w:val="24"/>
        </w:rPr>
      </w:pPr>
      <w:r w:rsidRPr="00325F9C">
        <w:rPr>
          <w:color w:val="000000" w:themeColor="text1"/>
          <w:sz w:val="24"/>
        </w:rPr>
        <w:t>F</w:t>
      </w:r>
      <w:r w:rsidR="020C191D" w:rsidRPr="00325F9C">
        <w:rPr>
          <w:color w:val="000000" w:themeColor="text1"/>
          <w:sz w:val="24"/>
        </w:rPr>
        <w:t xml:space="preserve">idelity is the extent to which an intervention </w:t>
      </w:r>
      <w:r w:rsidR="00853092" w:rsidRPr="00325F9C">
        <w:rPr>
          <w:color w:val="000000" w:themeColor="text1"/>
          <w:sz w:val="24"/>
        </w:rPr>
        <w:t>is</w:t>
      </w:r>
      <w:r w:rsidR="020C191D" w:rsidRPr="00325F9C">
        <w:rPr>
          <w:color w:val="000000" w:themeColor="text1"/>
          <w:sz w:val="24"/>
        </w:rPr>
        <w:t xml:space="preserve"> delivered as intended</w:t>
      </w:r>
      <w:r w:rsidR="51EE25C1" w:rsidRPr="00325F9C">
        <w:rPr>
          <w:color w:val="000000" w:themeColor="text1"/>
          <w:sz w:val="24"/>
        </w:rPr>
        <w:fldChar w:fldCharType="begin"/>
      </w:r>
      <w:r w:rsidR="00FC7A29" w:rsidRPr="00325F9C">
        <w:rPr>
          <w:color w:val="000000" w:themeColor="text1"/>
          <w:sz w:val="24"/>
        </w:rPr>
        <w:instrText xml:space="preserve"> ADDIN ZOTERO_ITEM CSL_CITATION {"citationID":"tvGehE0q","properties":{"formattedCitation":"(16)","plainCitation":"(16)","noteIndex":0},"citationItems":[{"id":"HaMovQnS/5dP8vNlV","uris":["http://zotero.org/users/6791840/items/SZAS5F32"],"itemData":{"id":492,"type":"article-journal","abstract":"Despite the critical role of fidelity and the proliferation of intervention manuals and related measures, no comprehensive, structured guide exists, resulting in definitional confusion, varying interpretations of what constitutes core components, and inconsistent application of methods to ensure fidelity. To improve integration of fidelity criteria into intervention research, this review paper focuses on three aims: 1) to identify, define, and operationalize the key ingredients and components of intervention fidelity; 2) to identify consistency and uniformity in terms of core characteristics of fidelity; and, 3) to provide a comprehensive fidelity tool that assesses the core ingredients of fidelity that can be used by researchers to measure the degree of fidelity. Twenty-four (n=24) meta-analyses and review articles focusing on fidelity were identified in a systematic literature search over the past 30years. A comprehensive review and fidelity guide outlining four required components of intervention research (design, training, monitoring of intervention delivery, and intervention receipt) was developed, with special consideration given to threats and measurement. Fidelity is imperative in all stages and phases of intervention research. This review and guide can be used by practitioners and researchers in their scientific process of designing and implementing community-based psychological, social, and behavioral intervention research.","container-title":"Clinical Psychology Review","DOI":"10.1016/j.cpr.2010.09.007","ISSN":"0272-7358","issue":"1","journalAbbreviation":"Clinical Psychology Review","language":"en","page":"79-88","source":"ScienceDirect","title":"Major ingredients of fidelity: A review and scientific guide to improving quality of intervention research implementation","title-short":"Major ingredients of fidelity","volume":"31","author":[{"family":"Gearing","given":"Robin Edward"},{"family":"El-Bassel","given":"Nabila"},{"family":"Ghesquiere","given":"Angela"},{"family":"Baldwin","given":"Susanna"},{"family":"Gillies","given":"John"},{"family":"Ngeow","given":"Evelyn"}],"issued":{"date-parts":[["2011",2,1]]}}}],"schema":"https://github.com/citation-style-language/schema/raw/master/csl-citation.json"} </w:instrText>
      </w:r>
      <w:r w:rsidR="51EE25C1" w:rsidRPr="00325F9C">
        <w:rPr>
          <w:color w:val="000000" w:themeColor="text1"/>
          <w:sz w:val="24"/>
        </w:rPr>
        <w:fldChar w:fldCharType="separate"/>
      </w:r>
      <w:r w:rsidR="00FC7A29" w:rsidRPr="00325F9C">
        <w:rPr>
          <w:rFonts w:cs="Calibri"/>
          <w:color w:val="000000" w:themeColor="text1"/>
          <w:sz w:val="24"/>
        </w:rPr>
        <w:t>(16)</w:t>
      </w:r>
      <w:r w:rsidR="51EE25C1" w:rsidRPr="00325F9C">
        <w:rPr>
          <w:color w:val="000000" w:themeColor="text1"/>
          <w:sz w:val="24"/>
        </w:rPr>
        <w:fldChar w:fldCharType="end"/>
      </w:r>
      <w:r w:rsidR="020C191D" w:rsidRPr="00325F9C">
        <w:rPr>
          <w:color w:val="000000" w:themeColor="text1"/>
          <w:sz w:val="24"/>
        </w:rPr>
        <w:t>. Higher fidelity is associated with an increase in the likelihood of an intervention</w:t>
      </w:r>
      <w:r w:rsidR="00853092" w:rsidRPr="00325F9C">
        <w:rPr>
          <w:color w:val="000000" w:themeColor="text1"/>
          <w:sz w:val="24"/>
        </w:rPr>
        <w:t xml:space="preserve"> successfully changing behaviour</w:t>
      </w:r>
      <w:r w:rsidR="00CE1A3B" w:rsidRPr="00325F9C">
        <w:rPr>
          <w:color w:val="000000" w:themeColor="text1"/>
          <w:sz w:val="24"/>
        </w:rPr>
        <w:t xml:space="preserve"> </w:t>
      </w:r>
      <w:r w:rsidR="51EE25C1" w:rsidRPr="00325F9C">
        <w:rPr>
          <w:color w:val="000000" w:themeColor="text1"/>
          <w:sz w:val="24"/>
        </w:rPr>
        <w:fldChar w:fldCharType="begin"/>
      </w:r>
      <w:r w:rsidR="00FC7A29" w:rsidRPr="00325F9C">
        <w:rPr>
          <w:color w:val="000000" w:themeColor="text1"/>
          <w:sz w:val="24"/>
        </w:rPr>
        <w:instrText xml:space="preserve"> ADDIN ZOTERO_ITEM CSL_CITATION {"citationID":"jVqqMs3v","properties":{"formattedCitation":"(17)","plainCitation":"(17)","noteIndex":0},"citationItems":[{"id":"HaMovQnS/G0MqMZPp","uris":["http://zotero.org/users/6791840/items/HE9PHCJP"],"itemData":{"id":496,"type":"article-journal","abstract":"Objectives: To discuss methods of preservation of treatment fidelity in health behavior change trials conducted in public health contexts. Methods: The treatment fidelity framework provided by the National Institutes of Health's Behavioral Change Consortium includes five domains of treatment fidelity (Study Design, Training, Delivery, Receipt, and Enactment). A measure of treatment fidelity was previously developed and validated using these categories. Results: Strategies for assessment, monitoring, and enhancing treatment fidelity within each of the five treatment fidelity domains are discussed. The previously created measure of treatment fidelity is updated to include additional items on selecting providers, additional confounders, theory testing, and multicultural considerations. Conclusions: Implementation of a treatment fidelity plan may require extra staff time and costs. However, the economic and scientific costs of lack of attention to treatment fidelity are far greater than the costs of treatment fidelity implementation. Maintaining high levels of treatment fidelity with flexible adaptation according to setting, provider, and patient is the goal for public health trials.","container-title":"Journal of Public Health Dentistry","DOI":"10.1111/j.1752-7325.2011.00233.x","ISSN":"1752-7325","issue":"s1","language":"en","note":"_eprint: https://onlinelibrary.wiley.com/doi/pdf/10.1111/j.1752-7325.2011.00233.x","page":"S52-S63","source":"Wiley Online Library","title":"The assessment, monitoring, and enhancement of treatment fidelity in public health clinical trials","volume":"71","author":[{"family":"Borrelli","given":"Belinda"}],"issued":{"date-parts":[["2011"]]}}}],"schema":"https://github.com/citation-style-language/schema/raw/master/csl-citation.json"} </w:instrText>
      </w:r>
      <w:r w:rsidR="51EE25C1" w:rsidRPr="00325F9C">
        <w:rPr>
          <w:color w:val="000000" w:themeColor="text1"/>
          <w:sz w:val="24"/>
        </w:rPr>
        <w:fldChar w:fldCharType="separate"/>
      </w:r>
      <w:r w:rsidR="00FC7A29" w:rsidRPr="00325F9C">
        <w:rPr>
          <w:rFonts w:cs="Calibri"/>
          <w:color w:val="000000" w:themeColor="text1"/>
          <w:sz w:val="24"/>
        </w:rPr>
        <w:t>(17)</w:t>
      </w:r>
      <w:r w:rsidR="51EE25C1" w:rsidRPr="00325F9C">
        <w:rPr>
          <w:color w:val="000000" w:themeColor="text1"/>
          <w:sz w:val="24"/>
        </w:rPr>
        <w:fldChar w:fldCharType="end"/>
      </w:r>
      <w:r w:rsidR="020C191D" w:rsidRPr="00325F9C">
        <w:rPr>
          <w:color w:val="000000" w:themeColor="text1"/>
          <w:sz w:val="24"/>
        </w:rPr>
        <w:t xml:space="preserve">. </w:t>
      </w:r>
      <w:r w:rsidR="00C72692" w:rsidRPr="00325F9C">
        <w:rPr>
          <w:color w:val="000000" w:themeColor="text1"/>
          <w:sz w:val="24"/>
        </w:rPr>
        <w:t>However, f</w:t>
      </w:r>
      <w:r w:rsidR="020C191D" w:rsidRPr="00325F9C">
        <w:rPr>
          <w:color w:val="000000" w:themeColor="text1"/>
          <w:sz w:val="24"/>
        </w:rPr>
        <w:t xml:space="preserve">idelity should be balanced against </w:t>
      </w:r>
      <w:r w:rsidR="00C72692" w:rsidRPr="00325F9C">
        <w:rPr>
          <w:color w:val="000000" w:themeColor="text1"/>
          <w:sz w:val="24"/>
        </w:rPr>
        <w:t xml:space="preserve">permitting </w:t>
      </w:r>
      <w:r w:rsidR="020C191D" w:rsidRPr="00325F9C">
        <w:rPr>
          <w:color w:val="000000" w:themeColor="text1"/>
          <w:sz w:val="24"/>
        </w:rPr>
        <w:t>a degree of flexibility to accommodate</w:t>
      </w:r>
      <w:r w:rsidR="00E96EBF" w:rsidRPr="00325F9C">
        <w:rPr>
          <w:color w:val="000000" w:themeColor="text1"/>
          <w:sz w:val="24"/>
        </w:rPr>
        <w:t xml:space="preserve"> differences in</w:t>
      </w:r>
      <w:r w:rsidR="020C191D" w:rsidRPr="00325F9C">
        <w:rPr>
          <w:color w:val="000000" w:themeColor="text1"/>
          <w:sz w:val="24"/>
        </w:rPr>
        <w:t xml:space="preserve"> context</w:t>
      </w:r>
      <w:r w:rsidR="00E96EBF" w:rsidRPr="00325F9C">
        <w:rPr>
          <w:color w:val="000000" w:themeColor="text1"/>
          <w:sz w:val="24"/>
        </w:rPr>
        <w:t>s</w:t>
      </w:r>
      <w:r w:rsidR="00D41828" w:rsidRPr="00325F9C">
        <w:rPr>
          <w:color w:val="000000" w:themeColor="text1"/>
          <w:sz w:val="24"/>
        </w:rPr>
        <w:t xml:space="preserve">, such as </w:t>
      </w:r>
      <w:r w:rsidR="00E96EBF" w:rsidRPr="00325F9C">
        <w:rPr>
          <w:color w:val="000000" w:themeColor="text1"/>
          <w:sz w:val="24"/>
        </w:rPr>
        <w:t>available resources</w:t>
      </w:r>
      <w:r w:rsidR="00D41828" w:rsidRPr="00325F9C">
        <w:rPr>
          <w:color w:val="000000" w:themeColor="text1"/>
          <w:sz w:val="24"/>
        </w:rPr>
        <w:t xml:space="preserve">, configuration of staff and </w:t>
      </w:r>
      <w:r w:rsidR="00593C55" w:rsidRPr="00325F9C">
        <w:rPr>
          <w:color w:val="000000" w:themeColor="text1"/>
          <w:sz w:val="24"/>
        </w:rPr>
        <w:t>cultural norms</w:t>
      </w:r>
      <w:r w:rsidR="00E96EBF" w:rsidRPr="00325F9C">
        <w:rPr>
          <w:color w:val="000000" w:themeColor="text1"/>
          <w:sz w:val="24"/>
        </w:rPr>
        <w:t xml:space="preserve"> </w:t>
      </w:r>
      <w:r w:rsidR="51EE25C1" w:rsidRPr="00325F9C">
        <w:rPr>
          <w:color w:val="000000" w:themeColor="text1"/>
          <w:sz w:val="24"/>
        </w:rPr>
        <w:fldChar w:fldCharType="begin"/>
      </w:r>
      <w:r w:rsidR="00FC7A29" w:rsidRPr="00325F9C">
        <w:rPr>
          <w:color w:val="000000" w:themeColor="text1"/>
          <w:sz w:val="24"/>
        </w:rPr>
        <w:instrText xml:space="preserve"> ADDIN ZOTERO_ITEM CSL_CITATION {"citationID":"ABa3oRGO","properties":{"formattedCitation":"(17\\uc0\\u8211{}19)","plainCitation":"(17–19)","noteIndex":0},"citationItems":[{"id":"HaMovQnS/G0MqMZPp","uris":["http://zotero.org/users/6791840/items/HE9PHCJP"],"itemData":{"id":496,"type":"article-journal","abstract":"Objectives: To discuss methods of preservation of treatment fidelity in health behavior change trials conducted in public health contexts. Methods: The treatment fidelity framework provided by the National Institutes of Health's Behavioral Change Consortium includes five domains of treatment fidelity (Study Design, Training, Delivery, Receipt, and Enactment). A measure of treatment fidelity was previously developed and validated using these categories. Results: Strategies for assessment, monitoring, and enhancing treatment fidelity within each of the five treatment fidelity domains are discussed. The previously created measure of treatment fidelity is updated to include additional items on selecting providers, additional confounders, theory testing, and multicultural considerations. Conclusions: Implementation of a treatment fidelity plan may require extra staff time and costs. However, the economic and scientific costs of lack of attention to treatment fidelity are far greater than the costs of treatment fidelity implementation. Maintaining high levels of treatment fidelity with flexible adaptation according to setting, provider, and patient is the goal for public health trials.","container-title":"Journal of Public Health Dentistry","DOI":"10.1111/j.1752-7325.2011.00233.x","ISSN":"1752-7325","issue":"s1","language":"en","note":"_eprint: https://onlinelibrary.wiley.com/doi/pdf/10.1111/j.1752-7325.2011.00233.x","page":"S52-S63","source":"Wiley Online Library","title":"The assessment, monitoring, and enhancement of treatment fidelity in public health clinical trials","volume":"71","author":[{"family":"Borrelli","given":"Belinda"}],"issued":{"date-parts":[["2011"]]}}},{"id":"HaMovQnS/ZvAWoz08","uris":["http://zotero.org/users/6791840/items/53W9DUNH"],"itemData":{"id":499,"type":"article-journal","container-title":"Annals of Behavioral Medicine","issue":"2","note":"publisher: Springer","page":"46–54","source":"Google Scholar","title":"Examples of implementation and evaluation of treatment fidelity in the BCC studies: where we are and where we need to go","title-short":"Examples of implementation and evaluation of treatment fidelity in the BCC studies","volume":"29","author":[{"family":"Resnick","given":"Barbara"},{"family":"Bellg","given":"Albert J."},{"family":"Borrelli","given":"Belinda"},{"family":"De Francesco","given":"Carol"},{"family":"Breger","given":"Rosemary"},{"family":"Hecht","given":"Jacki"},{"family":"Sharp","given":"Daryl L."},{"family":"Levesque","given":"Chantal"},{"family":"Orwig","given":"Denise"},{"family":"Ernst","given":"Denise"}],"issued":{"date-parts":[["2005"]]}}},{"id":"HaMovQnS/RexdXJCb","uris":["http://zotero.org/users/6791840/items/2ID5RBPR"],"itemData":{"id":558,"type":"article-journal","container-title":"Health psychology","issue":"5","note":"publisher: American Psychological Association","page":"465","source":"Google Scholar","title":"Does theory influence the effectiveness of health behavior interventions? Meta-analysis.","title-short":"Does theory influence the effectiveness of health behavior interventions?","volume":"33","author":[{"family":"Prestwich","given":"Andrew"},{"family":"Sniehotta","given":"Falko F."},{"family":"Whittington","given":"Craig"},{"family":"Dombrowski","given":"Stephan U."},{"family":"Rogers","given":"Lizzie"},{"family":"Michie","given":"Susan"}],"issued":{"date-parts":[["2014"]]}}}],"schema":"https://github.com/citation-style-language/schema/raw/master/csl-citation.json"} </w:instrText>
      </w:r>
      <w:r w:rsidR="51EE25C1" w:rsidRPr="00325F9C">
        <w:rPr>
          <w:color w:val="000000" w:themeColor="text1"/>
          <w:sz w:val="24"/>
        </w:rPr>
        <w:fldChar w:fldCharType="separate"/>
      </w:r>
      <w:r w:rsidR="00FC7A29" w:rsidRPr="00325F9C">
        <w:rPr>
          <w:rFonts w:cs="Calibri"/>
          <w:color w:val="000000" w:themeColor="text1"/>
          <w:sz w:val="24"/>
        </w:rPr>
        <w:t>(17–19)</w:t>
      </w:r>
      <w:r w:rsidR="51EE25C1" w:rsidRPr="00325F9C">
        <w:rPr>
          <w:color w:val="000000" w:themeColor="text1"/>
          <w:sz w:val="24"/>
        </w:rPr>
        <w:fldChar w:fldCharType="end"/>
      </w:r>
      <w:r w:rsidR="020C191D" w:rsidRPr="00325F9C">
        <w:rPr>
          <w:color w:val="000000" w:themeColor="text1"/>
          <w:sz w:val="24"/>
        </w:rPr>
        <w:t>.</w:t>
      </w:r>
    </w:p>
    <w:p w14:paraId="58ADAD9D" w14:textId="4A6578C5" w:rsidR="00072FBA" w:rsidRDefault="00A3454F" w:rsidP="020C191D">
      <w:pPr>
        <w:spacing w:line="480" w:lineRule="auto"/>
        <w:rPr>
          <w:rFonts w:cs="Calibri"/>
          <w:sz w:val="24"/>
        </w:rPr>
      </w:pPr>
      <w:r>
        <w:rPr>
          <w:sz w:val="24"/>
        </w:rPr>
        <w:t>This paper describes the process of</w:t>
      </w:r>
      <w:r w:rsidR="020C191D" w:rsidRPr="020C191D">
        <w:rPr>
          <w:sz w:val="24"/>
        </w:rPr>
        <w:t xml:space="preserve"> co-design</w:t>
      </w:r>
      <w:r>
        <w:rPr>
          <w:sz w:val="24"/>
        </w:rPr>
        <w:t>ing and operationalising</w:t>
      </w:r>
      <w:r w:rsidR="00072FBA">
        <w:rPr>
          <w:sz w:val="24"/>
        </w:rPr>
        <w:t xml:space="preserve"> the </w:t>
      </w:r>
      <w:r w:rsidR="00072FBA" w:rsidRPr="5DDB7EEE">
        <w:rPr>
          <w:rFonts w:cs="Calibri"/>
          <w:sz w:val="24"/>
        </w:rPr>
        <w:t>content, mode of delivery</w:t>
      </w:r>
      <w:r w:rsidR="00072FBA">
        <w:rPr>
          <w:rFonts w:cs="Calibri"/>
          <w:sz w:val="24"/>
        </w:rPr>
        <w:t xml:space="preserve"> </w:t>
      </w:r>
      <w:r w:rsidR="00072FBA" w:rsidRPr="5DDB7EEE">
        <w:rPr>
          <w:rFonts w:cs="Calibri"/>
          <w:sz w:val="24"/>
        </w:rPr>
        <w:t xml:space="preserve">and duration/intensity </w:t>
      </w:r>
      <w:r w:rsidR="005A5890">
        <w:rPr>
          <w:rFonts w:cs="Calibri"/>
          <w:sz w:val="24"/>
        </w:rPr>
        <w:t>of</w:t>
      </w:r>
      <w:r w:rsidR="007C2AB9">
        <w:rPr>
          <w:rFonts w:cs="Calibri"/>
          <w:sz w:val="24"/>
        </w:rPr>
        <w:t xml:space="preserve"> the six BCTs to develop the</w:t>
      </w:r>
      <w:r w:rsidR="005A5890">
        <w:rPr>
          <w:rFonts w:cs="Calibri"/>
          <w:sz w:val="24"/>
        </w:rPr>
        <w:t xml:space="preserve"> CHARMER intervention</w:t>
      </w:r>
      <w:r w:rsidR="005A5890" w:rsidRPr="020C191D">
        <w:rPr>
          <w:sz w:val="24"/>
        </w:rPr>
        <w:fldChar w:fldCharType="begin"/>
      </w:r>
      <w:r w:rsidR="00FC7A29">
        <w:rPr>
          <w:sz w:val="24"/>
        </w:rPr>
        <w:instrText xml:space="preserve"> ADDIN ZOTERO_ITEM CSL_CITATION {"citationID":"SEjs78mQ","properties":{"formattedCitation":"(9)","plainCitation":"(9)","noteIndex":0},"citationItems":[{"id":"HaMovQnS/WoH6uLMp","uris":["http://zotero.org/users/6791840/items/SAZ9RXJD"],"itemData":{"id":190,"type":"article-journal","container-title":"Age and ageing","issue":"2","note":"publisher: Oxford University Press","page":"581–586","source":"Google Scholar","title":"A practitioner behaviour change intervention for deprescribing in the hospital setting","volume":"50","author":[{"family":"Scott","given":"Sion"},{"family":"May","given":"Helen"},{"family":"Patel","given":"Martyn"},{"family":"Wright","given":"David J."},{"family":"Bhattacharya","given":"Debi"}],"issued":{"date-parts":[["2021"]]}}}],"schema":"https://github.com/citation-style-language/schema/raw/master/csl-citation.json"} </w:instrText>
      </w:r>
      <w:r w:rsidR="005A5890" w:rsidRPr="020C191D">
        <w:rPr>
          <w:sz w:val="24"/>
        </w:rPr>
        <w:fldChar w:fldCharType="separate"/>
      </w:r>
      <w:r w:rsidR="00FC7A29">
        <w:rPr>
          <w:rFonts w:cs="Calibri"/>
          <w:sz w:val="24"/>
        </w:rPr>
        <w:t>(9)</w:t>
      </w:r>
      <w:r w:rsidR="005A5890" w:rsidRPr="020C191D">
        <w:rPr>
          <w:sz w:val="24"/>
        </w:rPr>
        <w:fldChar w:fldCharType="end"/>
      </w:r>
      <w:r w:rsidR="005A5890">
        <w:rPr>
          <w:rFonts w:cs="Calibri"/>
          <w:sz w:val="24"/>
        </w:rPr>
        <w:t>.</w:t>
      </w:r>
    </w:p>
    <w:p w14:paraId="2D38AB05" w14:textId="77777777" w:rsidR="007C2AB9" w:rsidRDefault="007C2AB9" w:rsidP="020C191D">
      <w:pPr>
        <w:spacing w:line="480" w:lineRule="auto"/>
        <w:rPr>
          <w:sz w:val="24"/>
        </w:rPr>
      </w:pPr>
    </w:p>
    <w:p w14:paraId="655FC941" w14:textId="147DD45C" w:rsidR="00292480" w:rsidRPr="00292480" w:rsidRDefault="00665946" w:rsidP="00292480">
      <w:pPr>
        <w:pStyle w:val="Heading1"/>
        <w:spacing w:before="0" w:after="360"/>
        <w:rPr>
          <w:rFonts w:ascii="Calibri" w:hAnsi="Calibri" w:cs="Calibri"/>
          <w:b/>
          <w:bCs/>
          <w:color w:val="000000" w:themeColor="text1"/>
          <w:sz w:val="28"/>
          <w:szCs w:val="28"/>
        </w:rPr>
      </w:pPr>
      <w:r w:rsidRPr="00292480">
        <w:rPr>
          <w:rFonts w:ascii="Calibri" w:hAnsi="Calibri" w:cs="Calibri"/>
          <w:b/>
          <w:bCs/>
          <w:color w:val="000000" w:themeColor="text1"/>
          <w:sz w:val="28"/>
          <w:szCs w:val="28"/>
        </w:rPr>
        <w:lastRenderedPageBreak/>
        <w:t>Methods</w:t>
      </w:r>
    </w:p>
    <w:bookmarkEnd w:id="0"/>
    <w:p w14:paraId="2ACAE1A7" w14:textId="7FAB4AEC" w:rsidR="00356720" w:rsidRDefault="00D32D1B" w:rsidP="020C191D">
      <w:pPr>
        <w:spacing w:line="480" w:lineRule="auto"/>
        <w:rPr>
          <w:rFonts w:cs="Calibri"/>
          <w:sz w:val="24"/>
        </w:rPr>
      </w:pPr>
      <w:r w:rsidRPr="020C191D">
        <w:rPr>
          <w:rFonts w:cs="Calibri"/>
          <w:sz w:val="24"/>
        </w:rPr>
        <w:t>We used</w:t>
      </w:r>
      <w:r w:rsidR="008C46AD" w:rsidRPr="020C191D">
        <w:rPr>
          <w:rFonts w:cs="Calibri"/>
          <w:sz w:val="24"/>
        </w:rPr>
        <w:t xml:space="preserve"> a </w:t>
      </w:r>
      <w:r w:rsidR="003A4261" w:rsidRPr="020C191D">
        <w:rPr>
          <w:rFonts w:cs="Calibri"/>
          <w:sz w:val="24"/>
        </w:rPr>
        <w:t>co-design</w:t>
      </w:r>
      <w:r w:rsidR="00DE68CE" w:rsidRPr="020C191D">
        <w:rPr>
          <w:rFonts w:cs="Calibri"/>
          <w:sz w:val="24"/>
        </w:rPr>
        <w:t xml:space="preserve"> </w:t>
      </w:r>
      <w:r w:rsidR="008C46AD" w:rsidRPr="020C191D">
        <w:rPr>
          <w:rFonts w:cs="Calibri"/>
          <w:sz w:val="24"/>
        </w:rPr>
        <w:t>approach</w:t>
      </w:r>
      <w:r w:rsidR="00E06055" w:rsidRPr="020C191D">
        <w:rPr>
          <w:rFonts w:cs="Calibri"/>
          <w:sz w:val="24"/>
        </w:rPr>
        <w:t xml:space="preserve"> with stakeholder panels from three National Health Service (NHS) acute hospital</w:t>
      </w:r>
      <w:r w:rsidR="003E63A4" w:rsidRPr="020C191D">
        <w:rPr>
          <w:rFonts w:cs="Calibri"/>
          <w:sz w:val="24"/>
        </w:rPr>
        <w:t>s in England</w:t>
      </w:r>
      <w:r w:rsidR="00B01796" w:rsidRPr="020C191D">
        <w:rPr>
          <w:rFonts w:cs="Calibri"/>
          <w:sz w:val="24"/>
        </w:rPr>
        <w:t xml:space="preserve"> </w:t>
      </w:r>
      <w:r w:rsidR="00BF1774" w:rsidRPr="020C191D">
        <w:rPr>
          <w:rFonts w:cs="Calibri"/>
          <w:sz w:val="24"/>
        </w:rPr>
        <w:t>to develop</w:t>
      </w:r>
      <w:r w:rsidRPr="020C191D">
        <w:rPr>
          <w:rFonts w:cs="Calibri"/>
          <w:sz w:val="24"/>
        </w:rPr>
        <w:t xml:space="preserve"> </w:t>
      </w:r>
      <w:r w:rsidR="00ED3BAD" w:rsidRPr="020C191D">
        <w:rPr>
          <w:rFonts w:cs="Calibri"/>
          <w:sz w:val="24"/>
        </w:rPr>
        <w:t xml:space="preserve">the CHARMER </w:t>
      </w:r>
      <w:r w:rsidR="00E06055" w:rsidRPr="020C191D">
        <w:rPr>
          <w:rFonts w:cs="Calibri"/>
          <w:sz w:val="24"/>
        </w:rPr>
        <w:t xml:space="preserve">intervention. </w:t>
      </w:r>
      <w:r w:rsidR="005F3ACF" w:rsidRPr="020C191D">
        <w:rPr>
          <w:rFonts w:cs="Calibri"/>
          <w:sz w:val="24"/>
        </w:rPr>
        <w:t>G</w:t>
      </w:r>
      <w:r w:rsidR="00BF1774" w:rsidRPr="020C191D">
        <w:rPr>
          <w:rFonts w:cs="Calibri"/>
          <w:sz w:val="24"/>
        </w:rPr>
        <w:t>eriatricians and</w:t>
      </w:r>
      <w:r w:rsidR="00A90B91" w:rsidRPr="020C191D">
        <w:rPr>
          <w:rFonts w:cs="Calibri"/>
          <w:sz w:val="24"/>
        </w:rPr>
        <w:t xml:space="preserve"> pharmacists</w:t>
      </w:r>
      <w:r w:rsidR="00BF1774" w:rsidRPr="020C191D">
        <w:rPr>
          <w:rFonts w:cs="Calibri"/>
          <w:sz w:val="24"/>
        </w:rPr>
        <w:t xml:space="preserve"> </w:t>
      </w:r>
      <w:r w:rsidR="00FA73A5">
        <w:rPr>
          <w:rFonts w:cs="Calibri"/>
          <w:sz w:val="24"/>
        </w:rPr>
        <w:t>(</w:t>
      </w:r>
      <w:r w:rsidR="00BF1774" w:rsidRPr="020C191D">
        <w:rPr>
          <w:rFonts w:cs="Calibri"/>
          <w:sz w:val="24"/>
        </w:rPr>
        <w:t>the</w:t>
      </w:r>
      <w:r w:rsidR="00CF2DC9" w:rsidRPr="020C191D">
        <w:rPr>
          <w:rFonts w:cs="Calibri"/>
          <w:sz w:val="24"/>
        </w:rPr>
        <w:t xml:space="preserve"> intervention</w:t>
      </w:r>
      <w:r w:rsidR="00BF1774" w:rsidRPr="020C191D">
        <w:rPr>
          <w:rFonts w:cs="Calibri"/>
          <w:sz w:val="24"/>
        </w:rPr>
        <w:t xml:space="preserve"> target audience</w:t>
      </w:r>
      <w:r w:rsidR="00FA73A5">
        <w:rPr>
          <w:rFonts w:cs="Calibri"/>
          <w:sz w:val="24"/>
        </w:rPr>
        <w:t>)</w:t>
      </w:r>
      <w:r w:rsidR="00BF1774" w:rsidRPr="020C191D">
        <w:rPr>
          <w:rFonts w:cs="Calibri"/>
          <w:sz w:val="24"/>
        </w:rPr>
        <w:t xml:space="preserve"> </w:t>
      </w:r>
      <w:r w:rsidR="00A90B91" w:rsidRPr="020C191D">
        <w:rPr>
          <w:rFonts w:cs="Calibri"/>
          <w:sz w:val="24"/>
        </w:rPr>
        <w:t xml:space="preserve">and other relevant </w:t>
      </w:r>
      <w:r w:rsidR="00CF66E7" w:rsidRPr="020C191D">
        <w:rPr>
          <w:rFonts w:cs="Calibri"/>
          <w:sz w:val="24"/>
        </w:rPr>
        <w:t xml:space="preserve">hospital </w:t>
      </w:r>
      <w:r w:rsidR="00A90B91" w:rsidRPr="020C191D">
        <w:rPr>
          <w:rFonts w:cs="Calibri"/>
          <w:sz w:val="24"/>
        </w:rPr>
        <w:t>staff</w:t>
      </w:r>
      <w:r w:rsidR="00BF1774" w:rsidRPr="020C191D">
        <w:rPr>
          <w:rFonts w:cs="Calibri"/>
          <w:sz w:val="24"/>
        </w:rPr>
        <w:t xml:space="preserve"> who were likely to be involved in implement</w:t>
      </w:r>
      <w:r w:rsidR="00200753" w:rsidRPr="020C191D">
        <w:rPr>
          <w:rFonts w:cs="Calibri"/>
          <w:sz w:val="24"/>
        </w:rPr>
        <w:t>ing</w:t>
      </w:r>
      <w:r w:rsidR="00BF1774" w:rsidRPr="020C191D">
        <w:rPr>
          <w:rFonts w:cs="Calibri"/>
          <w:sz w:val="24"/>
        </w:rPr>
        <w:t xml:space="preserve"> the intervention,</w:t>
      </w:r>
      <w:r w:rsidR="005F3ACF" w:rsidRPr="020C191D">
        <w:rPr>
          <w:rFonts w:cs="Calibri"/>
          <w:sz w:val="24"/>
        </w:rPr>
        <w:t xml:space="preserve"> collaborated</w:t>
      </w:r>
      <w:r w:rsidR="00762889" w:rsidRPr="020C191D">
        <w:rPr>
          <w:rFonts w:cs="Calibri"/>
          <w:sz w:val="24"/>
        </w:rPr>
        <w:t xml:space="preserve"> with</w:t>
      </w:r>
      <w:r w:rsidR="005F3ACF" w:rsidRPr="020C191D">
        <w:rPr>
          <w:rFonts w:cs="Calibri"/>
          <w:sz w:val="24"/>
        </w:rPr>
        <w:t xml:space="preserve"> </w:t>
      </w:r>
      <w:r w:rsidR="00B01796" w:rsidRPr="020C191D">
        <w:rPr>
          <w:rFonts w:cs="Calibri"/>
          <w:sz w:val="24"/>
        </w:rPr>
        <w:t>the research team</w:t>
      </w:r>
      <w:r w:rsidR="00C974FC" w:rsidRPr="020C191D">
        <w:rPr>
          <w:rFonts w:cs="Calibri"/>
          <w:sz w:val="24"/>
        </w:rPr>
        <w:t xml:space="preserve"> </w:t>
      </w:r>
      <w:r w:rsidR="00FB63BF" w:rsidRPr="020C191D">
        <w:rPr>
          <w:rFonts w:cs="Calibri"/>
          <w:sz w:val="24"/>
        </w:rPr>
        <w:t xml:space="preserve">to </w:t>
      </w:r>
      <w:r w:rsidR="00C12294" w:rsidRPr="020C191D">
        <w:rPr>
          <w:rFonts w:cs="Calibri"/>
          <w:sz w:val="24"/>
        </w:rPr>
        <w:t xml:space="preserve">design </w:t>
      </w:r>
      <w:r w:rsidR="00CF2DC9" w:rsidRPr="020C191D">
        <w:rPr>
          <w:rFonts w:cs="Calibri"/>
          <w:sz w:val="24"/>
        </w:rPr>
        <w:t>a prototype intervention</w:t>
      </w:r>
      <w:r w:rsidR="00971EC9" w:rsidRPr="020C191D">
        <w:rPr>
          <w:rFonts w:cs="Calibri"/>
          <w:sz w:val="24"/>
        </w:rPr>
        <w:t xml:space="preserve">. </w:t>
      </w:r>
      <w:r w:rsidR="005371A4" w:rsidRPr="020C191D">
        <w:rPr>
          <w:rFonts w:cs="Calibri"/>
          <w:color w:val="000000" w:themeColor="text1"/>
          <w:sz w:val="24"/>
          <w:shd w:val="clear" w:color="auto" w:fill="FFFFFF"/>
        </w:rPr>
        <w:t>This</w:t>
      </w:r>
      <w:r w:rsidR="005371A4" w:rsidRPr="020C191D">
        <w:rPr>
          <w:rFonts w:cs="Calibri"/>
          <w:sz w:val="24"/>
        </w:rPr>
        <w:t xml:space="preserve"> process involved characterising the</w:t>
      </w:r>
      <w:r w:rsidR="00E0143E" w:rsidRPr="020C191D">
        <w:rPr>
          <w:rFonts w:cs="Calibri"/>
          <w:sz w:val="24"/>
        </w:rPr>
        <w:t xml:space="preserve"> content, mode of delivery and duration/intensity of</w:t>
      </w:r>
      <w:r w:rsidR="005371A4" w:rsidRPr="020C191D">
        <w:rPr>
          <w:rFonts w:cs="Calibri"/>
          <w:sz w:val="24"/>
        </w:rPr>
        <w:t xml:space="preserve"> six </w:t>
      </w:r>
      <w:r w:rsidR="0057766B" w:rsidRPr="020C191D">
        <w:rPr>
          <w:rFonts w:cs="Calibri"/>
          <w:sz w:val="24"/>
        </w:rPr>
        <w:t>BCTs</w:t>
      </w:r>
      <w:r w:rsidR="00EA6AD4" w:rsidRPr="020C191D">
        <w:rPr>
          <w:rFonts w:cs="Calibri"/>
          <w:sz w:val="24"/>
        </w:rPr>
        <w:t xml:space="preserve"> </w:t>
      </w:r>
      <w:r w:rsidR="00ED3BAD" w:rsidRPr="020C191D">
        <w:rPr>
          <w:rFonts w:cs="Calibri"/>
          <w:sz w:val="24"/>
        </w:rPr>
        <w:t>selected by geriatricians and pharmacists from our previous study</w:t>
      </w:r>
      <w:r w:rsidR="00E0143E" w:rsidRPr="020C191D">
        <w:rPr>
          <w:rFonts w:cs="Calibri"/>
          <w:sz w:val="24"/>
        </w:rPr>
        <w:fldChar w:fldCharType="begin"/>
      </w:r>
      <w:r w:rsidR="00FC7A29">
        <w:rPr>
          <w:rFonts w:cs="Calibri"/>
          <w:sz w:val="24"/>
        </w:rPr>
        <w:instrText xml:space="preserve"> ADDIN ZOTERO_ITEM CSL_CITATION {"citationID":"khp28h21","properties":{"formattedCitation":"(9)","plainCitation":"(9)","noteIndex":0},"citationItems":[{"id":"HaMovQnS/WoH6uLMp","uris":["http://zotero.org/users/6791840/items/SAZ9RXJD"],"itemData":{"id":190,"type":"article-journal","container-title":"Age and ageing","issue":"2","note":"publisher: Oxford University Press","page":"581–586","source":"Google Scholar","title":"A practitioner behaviour change intervention for deprescribing in the hospital setting","volume":"50","author":[{"family":"Scott","given":"Sion"},{"family":"May","given":"Helen"},{"family":"Patel","given":"Martyn"},{"family":"Wright","given":"David J."},{"family":"Bhattacharya","given":"Debi"}],"issued":{"date-parts":[["2021"]]}}}],"schema":"https://github.com/citation-style-language/schema/raw/master/csl-citation.json"} </w:instrText>
      </w:r>
      <w:r w:rsidR="00E0143E" w:rsidRPr="020C191D">
        <w:rPr>
          <w:rFonts w:cs="Calibri"/>
          <w:sz w:val="24"/>
        </w:rPr>
        <w:fldChar w:fldCharType="separate"/>
      </w:r>
      <w:r w:rsidR="00FC7A29">
        <w:rPr>
          <w:rFonts w:cs="Calibri"/>
          <w:sz w:val="24"/>
        </w:rPr>
        <w:t>(9)</w:t>
      </w:r>
      <w:r w:rsidR="00E0143E" w:rsidRPr="020C191D">
        <w:rPr>
          <w:rFonts w:cs="Calibri"/>
          <w:sz w:val="24"/>
        </w:rPr>
        <w:fldChar w:fldCharType="end"/>
      </w:r>
      <w:r w:rsidR="00ED3BAD" w:rsidRPr="020C191D">
        <w:rPr>
          <w:rFonts w:cs="Calibri"/>
          <w:sz w:val="24"/>
        </w:rPr>
        <w:t xml:space="preserve"> </w:t>
      </w:r>
      <w:r w:rsidR="00E0143E" w:rsidRPr="020C191D">
        <w:rPr>
          <w:rFonts w:cs="Calibri"/>
          <w:sz w:val="24"/>
        </w:rPr>
        <w:t xml:space="preserve">to formulate </w:t>
      </w:r>
      <w:r w:rsidR="00CF2DC9" w:rsidRPr="020C191D">
        <w:rPr>
          <w:rFonts w:cs="Calibri"/>
          <w:sz w:val="24"/>
        </w:rPr>
        <w:t>a coherent and implementable intervention package.</w:t>
      </w:r>
      <w:r w:rsidR="00E0143E" w:rsidRPr="020C191D">
        <w:rPr>
          <w:rFonts w:cs="Calibri"/>
          <w:sz w:val="24"/>
        </w:rPr>
        <w:t xml:space="preserve"> </w:t>
      </w:r>
      <w:r w:rsidR="0006136D" w:rsidRPr="020C191D">
        <w:rPr>
          <w:rFonts w:cs="Calibri"/>
          <w:sz w:val="24"/>
        </w:rPr>
        <w:t>The study was undertaken between June and December 2021.</w:t>
      </w:r>
    </w:p>
    <w:p w14:paraId="57C15C14" w14:textId="69C3ADB6" w:rsidR="00205E84" w:rsidRDefault="0013010D" w:rsidP="00B82B2D">
      <w:pPr>
        <w:spacing w:line="480" w:lineRule="auto"/>
        <w:rPr>
          <w:rFonts w:cs="Calibri"/>
          <w:color w:val="000000" w:themeColor="text1"/>
          <w:sz w:val="24"/>
          <w:szCs w:val="28"/>
          <w:shd w:val="clear" w:color="auto" w:fill="FFFFFF"/>
        </w:rPr>
      </w:pPr>
      <w:r>
        <w:rPr>
          <w:rFonts w:cs="Calibri"/>
          <w:color w:val="000000" w:themeColor="text1"/>
          <w:sz w:val="24"/>
          <w:szCs w:val="28"/>
        </w:rPr>
        <w:t>T</w:t>
      </w:r>
      <w:r w:rsidR="00F82774" w:rsidRPr="00773DB1">
        <w:rPr>
          <w:rFonts w:cs="Calibri"/>
          <w:color w:val="000000" w:themeColor="text1"/>
          <w:sz w:val="24"/>
          <w:szCs w:val="28"/>
        </w:rPr>
        <w:t xml:space="preserve">he </w:t>
      </w:r>
      <w:r w:rsidR="001F3616">
        <w:rPr>
          <w:rFonts w:cs="Calibri"/>
          <w:color w:val="000000" w:themeColor="text1"/>
          <w:sz w:val="24"/>
          <w:szCs w:val="28"/>
        </w:rPr>
        <w:t>R</w:t>
      </w:r>
      <w:r w:rsidR="006D372B">
        <w:rPr>
          <w:rFonts w:cs="Calibri"/>
          <w:color w:val="000000" w:themeColor="text1"/>
          <w:sz w:val="24"/>
          <w:szCs w:val="28"/>
        </w:rPr>
        <w:t>e</w:t>
      </w:r>
      <w:r w:rsidR="001F3616">
        <w:rPr>
          <w:rFonts w:cs="Calibri"/>
          <w:color w:val="000000" w:themeColor="text1"/>
          <w:sz w:val="24"/>
          <w:szCs w:val="28"/>
        </w:rPr>
        <w:t xml:space="preserve">porting </w:t>
      </w:r>
      <w:r w:rsidR="006D372B">
        <w:rPr>
          <w:rFonts w:cs="Calibri"/>
          <w:color w:val="000000" w:themeColor="text1"/>
          <w:sz w:val="24"/>
          <w:szCs w:val="28"/>
        </w:rPr>
        <w:t xml:space="preserve">Design Research (REDR) </w:t>
      </w:r>
      <w:r w:rsidR="00F82774" w:rsidRPr="00773DB1">
        <w:rPr>
          <w:rFonts w:cs="Calibri"/>
          <w:color w:val="000000" w:themeColor="text1"/>
          <w:sz w:val="24"/>
          <w:szCs w:val="28"/>
        </w:rPr>
        <w:t>guidelines</w:t>
      </w:r>
      <w:r w:rsidR="00E0143E">
        <w:rPr>
          <w:rFonts w:cs="Calibri"/>
          <w:color w:val="000000" w:themeColor="text1"/>
          <w:sz w:val="24"/>
          <w:szCs w:val="28"/>
        </w:rPr>
        <w:fldChar w:fldCharType="begin"/>
      </w:r>
      <w:r w:rsidR="00FC7A29">
        <w:rPr>
          <w:rFonts w:cs="Calibri"/>
          <w:color w:val="000000" w:themeColor="text1"/>
          <w:sz w:val="24"/>
          <w:szCs w:val="28"/>
        </w:rPr>
        <w:instrText xml:space="preserve"> ADDIN ZOTERO_ITEM CSL_CITATION {"citationID":"xP5d38MV","properties":{"formattedCitation":"(20)","plainCitation":"(20)","noteIndex":0},"citationItems":[{"id":"HaMovQnS/VtHXU7rU","uris":["http://zotero.org/users/6791840/items/ZU7V5ZEA"],"itemData":{"id":312,"type":"article-journal","container-title":"BMJ Global Health","issue":"2","note":"publisher: BMJ Specialist Journals","page":"e002248","source":"Google Scholar","title":"Improving the reporting of health research involving design: a proposed guideline","title-short":"Improving the reporting of health research involving design","volume":"5","author":[{"family":"Bazzano","given":"Alessandra N."},{"family":"Yan","given":"Shirley D."},{"family":"Martin","given":"Jane"},{"family":"Mulhern","given":"Emma"},{"family":"Brown","given":"Eleanor"},{"family":"LaFond","given":"Anne"},{"family":"Andrawes","given":"Ledia"},{"family":"Johnson","given":"Tracy Pilar"},{"family":"Das","given":"Shilpa"}],"issued":{"date-parts":[["2020"]]}}}],"schema":"https://github.com/citation-style-language/schema/raw/master/csl-citation.json"} </w:instrText>
      </w:r>
      <w:r w:rsidR="00E0143E">
        <w:rPr>
          <w:rFonts w:cs="Calibri"/>
          <w:color w:val="000000" w:themeColor="text1"/>
          <w:sz w:val="24"/>
          <w:szCs w:val="28"/>
        </w:rPr>
        <w:fldChar w:fldCharType="separate"/>
      </w:r>
      <w:r w:rsidR="00FC7A29">
        <w:rPr>
          <w:rFonts w:cs="Calibri"/>
          <w:sz w:val="24"/>
        </w:rPr>
        <w:t>(20)</w:t>
      </w:r>
      <w:r w:rsidR="00E0143E">
        <w:rPr>
          <w:rFonts w:cs="Calibri"/>
          <w:color w:val="000000" w:themeColor="text1"/>
          <w:sz w:val="24"/>
          <w:szCs w:val="28"/>
        </w:rPr>
        <w:fldChar w:fldCharType="end"/>
      </w:r>
      <w:r w:rsidR="00F82774" w:rsidRPr="00773DB1">
        <w:rPr>
          <w:rFonts w:cs="Calibri"/>
          <w:color w:val="000000" w:themeColor="text1"/>
          <w:sz w:val="24"/>
          <w:szCs w:val="28"/>
          <w:shd w:val="clear" w:color="auto" w:fill="FFFFFF"/>
        </w:rPr>
        <w:t xml:space="preserve"> </w:t>
      </w:r>
      <w:r>
        <w:rPr>
          <w:rFonts w:cs="Calibri"/>
          <w:color w:val="000000" w:themeColor="text1"/>
          <w:sz w:val="24"/>
          <w:szCs w:val="28"/>
          <w:shd w:val="clear" w:color="auto" w:fill="FFFFFF"/>
        </w:rPr>
        <w:t>have</w:t>
      </w:r>
      <w:r w:rsidR="00F82774" w:rsidRPr="00773DB1">
        <w:rPr>
          <w:rFonts w:cs="Calibri"/>
          <w:color w:val="000000" w:themeColor="text1"/>
          <w:sz w:val="24"/>
          <w:szCs w:val="28"/>
          <w:shd w:val="clear" w:color="auto" w:fill="FFFFFF"/>
        </w:rPr>
        <w:t xml:space="preserve"> support</w:t>
      </w:r>
      <w:r>
        <w:rPr>
          <w:rFonts w:cs="Calibri"/>
          <w:color w:val="000000" w:themeColor="text1"/>
          <w:sz w:val="24"/>
          <w:szCs w:val="28"/>
          <w:shd w:val="clear" w:color="auto" w:fill="FFFFFF"/>
        </w:rPr>
        <w:t>ed</w:t>
      </w:r>
      <w:r w:rsidR="00F82774" w:rsidRPr="00773DB1">
        <w:rPr>
          <w:rFonts w:cs="Calibri"/>
          <w:color w:val="000000" w:themeColor="text1"/>
          <w:sz w:val="24"/>
          <w:szCs w:val="28"/>
          <w:shd w:val="clear" w:color="auto" w:fill="FFFFFF"/>
        </w:rPr>
        <w:t xml:space="preserve"> our reporting of the study </w:t>
      </w:r>
      <w:r w:rsidR="00F82774" w:rsidRPr="00596318">
        <w:rPr>
          <w:rFonts w:cs="Calibri"/>
          <w:color w:val="000000" w:themeColor="text1"/>
          <w:sz w:val="24"/>
          <w:szCs w:val="28"/>
          <w:shd w:val="clear" w:color="auto" w:fill="FFFFFF"/>
        </w:rPr>
        <w:t xml:space="preserve">(Appendix </w:t>
      </w:r>
      <w:r w:rsidR="00596318" w:rsidRPr="00596318">
        <w:rPr>
          <w:rFonts w:cs="Calibri"/>
          <w:color w:val="000000" w:themeColor="text1"/>
          <w:sz w:val="24"/>
          <w:szCs w:val="28"/>
          <w:shd w:val="clear" w:color="auto" w:fill="FFFFFF"/>
        </w:rPr>
        <w:t>1</w:t>
      </w:r>
      <w:r w:rsidR="00F82774" w:rsidRPr="00596318">
        <w:rPr>
          <w:rFonts w:cs="Calibri"/>
          <w:color w:val="000000" w:themeColor="text1"/>
          <w:sz w:val="24"/>
          <w:szCs w:val="28"/>
          <w:shd w:val="clear" w:color="auto" w:fill="FFFFFF"/>
        </w:rPr>
        <w:t>).</w:t>
      </w:r>
    </w:p>
    <w:p w14:paraId="678F8BF8" w14:textId="68CA0103" w:rsidR="004379A9" w:rsidRDefault="004379A9" w:rsidP="00B82B2D">
      <w:pPr>
        <w:spacing w:after="0" w:line="480" w:lineRule="auto"/>
        <w:rPr>
          <w:rFonts w:cs="Calibri"/>
          <w:color w:val="000000" w:themeColor="text1"/>
          <w:sz w:val="24"/>
          <w:szCs w:val="28"/>
          <w:shd w:val="clear" w:color="auto" w:fill="FFFFFF"/>
        </w:rPr>
      </w:pPr>
      <w:r>
        <w:rPr>
          <w:rFonts w:cs="Calibri"/>
          <w:b/>
          <w:color w:val="000000" w:themeColor="text1"/>
          <w:sz w:val="24"/>
          <w:szCs w:val="28"/>
          <w:shd w:val="clear" w:color="auto" w:fill="FFFFFF"/>
        </w:rPr>
        <w:t>Patient and public involvement</w:t>
      </w:r>
    </w:p>
    <w:p w14:paraId="2F7DE1DC" w14:textId="1B30230A" w:rsidR="00BD4821" w:rsidRDefault="00252C54" w:rsidP="00B82B2D">
      <w:pPr>
        <w:spacing w:after="0" w:line="480" w:lineRule="auto"/>
        <w:rPr>
          <w:rFonts w:cs="Calibri"/>
          <w:color w:val="000000" w:themeColor="text1"/>
          <w:sz w:val="24"/>
          <w:shd w:val="clear" w:color="auto" w:fill="FFFFFF"/>
        </w:rPr>
      </w:pPr>
      <w:r>
        <w:rPr>
          <w:rFonts w:cs="Calibri"/>
          <w:color w:val="000000" w:themeColor="text1"/>
          <w:sz w:val="24"/>
          <w:shd w:val="clear" w:color="auto" w:fill="FFFFFF"/>
        </w:rPr>
        <w:t xml:space="preserve">While </w:t>
      </w:r>
      <w:r w:rsidR="008D7C3F">
        <w:rPr>
          <w:rFonts w:cs="Calibri"/>
          <w:color w:val="000000" w:themeColor="text1"/>
          <w:sz w:val="24"/>
          <w:shd w:val="clear" w:color="auto" w:fill="FFFFFF"/>
        </w:rPr>
        <w:t>o</w:t>
      </w:r>
      <w:r w:rsidR="00E75030" w:rsidRPr="00E75030">
        <w:rPr>
          <w:rFonts w:cs="Calibri"/>
          <w:color w:val="000000" w:themeColor="text1"/>
          <w:sz w:val="24"/>
          <w:shd w:val="clear" w:color="auto" w:fill="FFFFFF"/>
        </w:rPr>
        <w:t>lder people prescribed medicines and carers of such people</w:t>
      </w:r>
      <w:r w:rsidR="00E75030">
        <w:rPr>
          <w:rFonts w:cs="Calibri"/>
          <w:color w:val="000000" w:themeColor="text1"/>
          <w:sz w:val="24"/>
          <w:shd w:val="clear" w:color="auto" w:fill="FFFFFF"/>
        </w:rPr>
        <w:t xml:space="preserve"> are not the target audience</w:t>
      </w:r>
      <w:r w:rsidR="00577994">
        <w:rPr>
          <w:rFonts w:cs="Calibri"/>
          <w:color w:val="000000" w:themeColor="text1"/>
          <w:sz w:val="24"/>
          <w:shd w:val="clear" w:color="auto" w:fill="FFFFFF"/>
        </w:rPr>
        <w:t xml:space="preserve"> of the CHARMER intervention</w:t>
      </w:r>
      <w:r w:rsidR="00E75030">
        <w:rPr>
          <w:rFonts w:cs="Calibri"/>
          <w:color w:val="000000" w:themeColor="text1"/>
          <w:sz w:val="24"/>
          <w:shd w:val="clear" w:color="auto" w:fill="FFFFFF"/>
        </w:rPr>
        <w:t>,</w:t>
      </w:r>
      <w:r w:rsidR="00577994">
        <w:rPr>
          <w:rFonts w:cs="Calibri"/>
          <w:color w:val="000000" w:themeColor="text1"/>
          <w:sz w:val="24"/>
          <w:shd w:val="clear" w:color="auto" w:fill="FFFFFF"/>
        </w:rPr>
        <w:t xml:space="preserve"> </w:t>
      </w:r>
      <w:r w:rsidR="00E75030">
        <w:rPr>
          <w:rFonts w:cs="Calibri"/>
          <w:color w:val="000000" w:themeColor="text1"/>
          <w:sz w:val="24"/>
          <w:shd w:val="clear" w:color="auto" w:fill="FFFFFF"/>
        </w:rPr>
        <w:t>change</w:t>
      </w:r>
      <w:r w:rsidR="00CE0A44">
        <w:rPr>
          <w:rFonts w:cs="Calibri"/>
          <w:color w:val="000000" w:themeColor="text1"/>
          <w:sz w:val="24"/>
          <w:shd w:val="clear" w:color="auto" w:fill="FFFFFF"/>
        </w:rPr>
        <w:t>s</w:t>
      </w:r>
      <w:r w:rsidR="00E75030">
        <w:rPr>
          <w:rFonts w:cs="Calibri"/>
          <w:color w:val="000000" w:themeColor="text1"/>
          <w:sz w:val="24"/>
          <w:shd w:val="clear" w:color="auto" w:fill="FFFFFF"/>
        </w:rPr>
        <w:t xml:space="preserve"> in geriatrician and pharmacist behaviour </w:t>
      </w:r>
      <w:r w:rsidR="00CE0A44">
        <w:rPr>
          <w:rFonts w:cs="Calibri"/>
          <w:color w:val="000000" w:themeColor="text1"/>
          <w:sz w:val="24"/>
          <w:shd w:val="clear" w:color="auto" w:fill="FFFFFF"/>
        </w:rPr>
        <w:t>will have</w:t>
      </w:r>
      <w:r w:rsidR="00E75030">
        <w:rPr>
          <w:rFonts w:cs="Calibri"/>
          <w:color w:val="000000" w:themeColor="text1"/>
          <w:sz w:val="24"/>
          <w:shd w:val="clear" w:color="auto" w:fill="FFFFFF"/>
        </w:rPr>
        <w:t xml:space="preserve"> a direct impact on the care </w:t>
      </w:r>
      <w:r w:rsidR="00BF2639">
        <w:rPr>
          <w:rFonts w:cs="Calibri"/>
          <w:color w:val="000000" w:themeColor="text1"/>
          <w:sz w:val="24"/>
          <w:shd w:val="clear" w:color="auto" w:fill="FFFFFF"/>
        </w:rPr>
        <w:t xml:space="preserve">they </w:t>
      </w:r>
      <w:r w:rsidR="00E75030">
        <w:rPr>
          <w:rFonts w:cs="Calibri"/>
          <w:color w:val="000000" w:themeColor="text1"/>
          <w:sz w:val="24"/>
          <w:shd w:val="clear" w:color="auto" w:fill="FFFFFF"/>
        </w:rPr>
        <w:t>receive.</w:t>
      </w:r>
      <w:r w:rsidR="00BF78D9">
        <w:rPr>
          <w:rFonts w:cs="Calibri"/>
          <w:color w:val="000000" w:themeColor="text1"/>
          <w:sz w:val="24"/>
          <w:shd w:val="clear" w:color="auto" w:fill="FFFFFF"/>
        </w:rPr>
        <w:t xml:space="preserve"> To facilitate development </w:t>
      </w:r>
      <w:r w:rsidR="00820DB6">
        <w:rPr>
          <w:rFonts w:cs="Calibri"/>
          <w:color w:val="000000" w:themeColor="text1"/>
          <w:sz w:val="24"/>
          <w:shd w:val="clear" w:color="auto" w:fill="FFFFFF"/>
        </w:rPr>
        <w:t xml:space="preserve">and evaluation </w:t>
      </w:r>
      <w:r w:rsidR="00BF78D9">
        <w:rPr>
          <w:rFonts w:cs="Calibri"/>
          <w:color w:val="000000" w:themeColor="text1"/>
          <w:sz w:val="24"/>
          <w:shd w:val="clear" w:color="auto" w:fill="FFFFFF"/>
        </w:rPr>
        <w:t xml:space="preserve">of intervention content that is acceptable to the recipients of geriatrician and pharmacist care, </w:t>
      </w:r>
      <w:r w:rsidR="00820DB6">
        <w:rPr>
          <w:rFonts w:cs="Calibri"/>
          <w:color w:val="000000" w:themeColor="text1"/>
          <w:sz w:val="24"/>
          <w:shd w:val="clear" w:color="auto" w:fill="FFFFFF"/>
        </w:rPr>
        <w:t xml:space="preserve">five </w:t>
      </w:r>
      <w:r w:rsidR="00BF78D9">
        <w:rPr>
          <w:rFonts w:cs="Calibri"/>
          <w:color w:val="000000" w:themeColor="text1"/>
          <w:sz w:val="24"/>
          <w:shd w:val="clear" w:color="auto" w:fill="FFFFFF"/>
        </w:rPr>
        <w:t>p</w:t>
      </w:r>
      <w:r w:rsidR="004379A9">
        <w:rPr>
          <w:rFonts w:cs="Calibri"/>
          <w:color w:val="000000" w:themeColor="text1"/>
          <w:sz w:val="24"/>
          <w:shd w:val="clear" w:color="auto" w:fill="FFFFFF"/>
        </w:rPr>
        <w:t xml:space="preserve">atient and public involvement (PPI) </w:t>
      </w:r>
      <w:r w:rsidR="00820DB6">
        <w:rPr>
          <w:rFonts w:cs="Calibri"/>
          <w:color w:val="000000" w:themeColor="text1"/>
          <w:sz w:val="24"/>
          <w:shd w:val="clear" w:color="auto" w:fill="FFFFFF"/>
        </w:rPr>
        <w:t>members</w:t>
      </w:r>
      <w:r w:rsidR="00BF78D9">
        <w:rPr>
          <w:rFonts w:cs="Calibri"/>
          <w:color w:val="000000" w:themeColor="text1"/>
          <w:sz w:val="24"/>
          <w:shd w:val="clear" w:color="auto" w:fill="FFFFFF"/>
        </w:rPr>
        <w:t xml:space="preserve"> </w:t>
      </w:r>
      <w:r w:rsidR="004033DB">
        <w:rPr>
          <w:rFonts w:cs="Calibri"/>
          <w:color w:val="000000" w:themeColor="text1"/>
          <w:sz w:val="24"/>
          <w:shd w:val="clear" w:color="auto" w:fill="FFFFFF"/>
        </w:rPr>
        <w:t>work</w:t>
      </w:r>
      <w:r w:rsidR="00BF78D9">
        <w:rPr>
          <w:rFonts w:cs="Calibri"/>
          <w:color w:val="000000" w:themeColor="text1"/>
          <w:sz w:val="24"/>
          <w:shd w:val="clear" w:color="auto" w:fill="FFFFFF"/>
        </w:rPr>
        <w:t xml:space="preserve"> within the CHARMER research team.</w:t>
      </w:r>
      <w:r w:rsidR="00B55A8E">
        <w:rPr>
          <w:rFonts w:cs="Calibri"/>
          <w:color w:val="000000" w:themeColor="text1"/>
          <w:sz w:val="24"/>
          <w:shd w:val="clear" w:color="auto" w:fill="FFFFFF"/>
        </w:rPr>
        <w:t xml:space="preserve"> We used the Guidance for Reporting Involve</w:t>
      </w:r>
      <w:r w:rsidR="00B55A8E" w:rsidRPr="00B55A8E">
        <w:rPr>
          <w:rFonts w:cs="Calibri"/>
          <w:color w:val="000000" w:themeColor="text1"/>
          <w:sz w:val="24"/>
          <w:shd w:val="clear" w:color="auto" w:fill="FFFFFF"/>
        </w:rPr>
        <w:t>ment of Patients and the Public 2 short form</w:t>
      </w:r>
      <w:r w:rsidR="008A6DC8">
        <w:rPr>
          <w:rFonts w:cs="Calibri"/>
          <w:color w:val="000000" w:themeColor="text1"/>
          <w:sz w:val="24"/>
          <w:shd w:val="clear" w:color="auto" w:fill="FFFFFF"/>
        </w:rPr>
        <w:t xml:space="preserve"> (GRIPP 2-SF)</w:t>
      </w:r>
      <w:r w:rsidR="00B55A8E">
        <w:rPr>
          <w:rFonts w:cs="Calibri"/>
          <w:color w:val="000000" w:themeColor="text1"/>
          <w:sz w:val="24"/>
          <w:shd w:val="clear" w:color="auto" w:fill="FFFFFF"/>
        </w:rPr>
        <w:t xml:space="preserve"> to guide involvement and reporting of PPI input</w:t>
      </w:r>
      <w:r w:rsidR="00B55A8E">
        <w:rPr>
          <w:rFonts w:cs="Calibri"/>
          <w:color w:val="000000" w:themeColor="text1"/>
          <w:sz w:val="24"/>
          <w:shd w:val="clear" w:color="auto" w:fill="FFFFFF"/>
        </w:rPr>
        <w:fldChar w:fldCharType="begin"/>
      </w:r>
      <w:r w:rsidR="00FC7A29">
        <w:rPr>
          <w:rFonts w:cs="Calibri"/>
          <w:color w:val="000000" w:themeColor="text1"/>
          <w:sz w:val="24"/>
          <w:shd w:val="clear" w:color="auto" w:fill="FFFFFF"/>
        </w:rPr>
        <w:instrText xml:space="preserve"> ADDIN ZOTERO_ITEM CSL_CITATION {"citationID":"knSpPkVZ","properties":{"formattedCitation":"(21)","plainCitation":"(21)","noteIndex":0},"citationItems":[{"id":"HaMovQnS/mfM1owtR","uris":["http://zotero.org/users/6791840/items/5JKRL6GV"],"itemData":{"id":544,"type":"article-journal","container-title":"bmj","note":"publisher: British Medical Journal Publishing Group","source":"Google Scholar","title":"GRIPP2 reporting checklists: tools to improve reporting of patient and public involvement in research","title-short":"GRIPP2 reporting checklists","volume":"358","author":[{"family":"Staniszewska","given":"Sophie"},{"family":"Brett","given":"Jo"},{"family":"Simera","given":"Iveta"},{"family":"Seers","given":"Kate"},{"family":"Mockford","given":"Carole"},{"family":"Goodlad","given":"Susan"},{"family":"Altman","given":"D. G."},{"family":"Moher","given":"David"},{"family":"Barber","given":"Rosemary"},{"family":"Denegri","given":"Simon"}],"issued":{"date-parts":[["2017"]]}}}],"schema":"https://github.com/citation-style-language/schema/raw/master/csl-citation.json"} </w:instrText>
      </w:r>
      <w:r w:rsidR="00B55A8E">
        <w:rPr>
          <w:rFonts w:cs="Calibri"/>
          <w:color w:val="000000" w:themeColor="text1"/>
          <w:sz w:val="24"/>
          <w:shd w:val="clear" w:color="auto" w:fill="FFFFFF"/>
        </w:rPr>
        <w:fldChar w:fldCharType="separate"/>
      </w:r>
      <w:r w:rsidR="00FC7A29">
        <w:rPr>
          <w:rFonts w:cs="Calibri"/>
        </w:rPr>
        <w:t>(21)</w:t>
      </w:r>
      <w:r w:rsidR="00B55A8E">
        <w:rPr>
          <w:rFonts w:cs="Calibri"/>
          <w:color w:val="000000" w:themeColor="text1"/>
          <w:sz w:val="24"/>
          <w:shd w:val="clear" w:color="auto" w:fill="FFFFFF"/>
        </w:rPr>
        <w:fldChar w:fldCharType="end"/>
      </w:r>
      <w:r w:rsidR="00B55A8E">
        <w:rPr>
          <w:rFonts w:cs="Calibri"/>
          <w:color w:val="000000" w:themeColor="text1"/>
          <w:sz w:val="24"/>
          <w:shd w:val="clear" w:color="auto" w:fill="FFFFFF"/>
        </w:rPr>
        <w:t>.</w:t>
      </w:r>
      <w:r w:rsidR="003B568B" w:rsidRPr="003B568B">
        <w:rPr>
          <w:rFonts w:cs="Calibri"/>
          <w:color w:val="000000" w:themeColor="text1"/>
          <w:sz w:val="24"/>
          <w:shd w:val="clear" w:color="auto" w:fill="FFFFFF"/>
        </w:rPr>
        <w:t xml:space="preserve"> </w:t>
      </w:r>
      <w:r w:rsidR="003B568B">
        <w:rPr>
          <w:rFonts w:cs="Calibri"/>
          <w:color w:val="000000" w:themeColor="text1"/>
          <w:sz w:val="24"/>
          <w:shd w:val="clear" w:color="auto" w:fill="FFFFFF"/>
        </w:rPr>
        <w:t xml:space="preserve">A summary of PPI involvement is reported </w:t>
      </w:r>
      <w:r w:rsidR="003B568B" w:rsidRPr="009078C7">
        <w:rPr>
          <w:rFonts w:cs="Calibri"/>
          <w:color w:val="000000" w:themeColor="text1"/>
          <w:sz w:val="24"/>
          <w:shd w:val="clear" w:color="auto" w:fill="FFFFFF"/>
        </w:rPr>
        <w:t xml:space="preserve">in Table </w:t>
      </w:r>
      <w:r w:rsidR="009078C7" w:rsidRPr="009078C7">
        <w:rPr>
          <w:rFonts w:cs="Calibri"/>
          <w:color w:val="000000" w:themeColor="text1"/>
          <w:sz w:val="24"/>
          <w:shd w:val="clear" w:color="auto" w:fill="FFFFFF"/>
        </w:rPr>
        <w:t>1</w:t>
      </w:r>
      <w:r w:rsidR="003B568B" w:rsidRPr="009078C7">
        <w:rPr>
          <w:rFonts w:cs="Calibri"/>
          <w:color w:val="000000" w:themeColor="text1"/>
          <w:sz w:val="24"/>
          <w:shd w:val="clear" w:color="auto" w:fill="FFFFFF"/>
        </w:rPr>
        <w:t>.</w:t>
      </w:r>
    </w:p>
    <w:p w14:paraId="2A144292" w14:textId="77777777" w:rsidR="00BD4821" w:rsidRPr="00951CBF" w:rsidRDefault="00BD4821" w:rsidP="00B82B2D">
      <w:pPr>
        <w:spacing w:after="0" w:line="480" w:lineRule="auto"/>
        <w:rPr>
          <w:rFonts w:cs="Calibri"/>
          <w:color w:val="000000" w:themeColor="text1"/>
          <w:sz w:val="11"/>
          <w:szCs w:val="11"/>
          <w:shd w:val="clear" w:color="auto" w:fill="FFFFFF"/>
        </w:rPr>
      </w:pPr>
    </w:p>
    <w:p w14:paraId="16847551" w14:textId="664AB121" w:rsidR="004379A9" w:rsidRDefault="004C7973" w:rsidP="00B82B2D">
      <w:pPr>
        <w:spacing w:line="480" w:lineRule="auto"/>
        <w:rPr>
          <w:rFonts w:cs="Calibri"/>
          <w:b/>
          <w:bCs/>
          <w:color w:val="000000" w:themeColor="text1"/>
          <w:sz w:val="24"/>
          <w:szCs w:val="28"/>
          <w:shd w:val="clear" w:color="auto" w:fill="FFFFFF"/>
        </w:rPr>
      </w:pPr>
      <w:r w:rsidRPr="004C7973">
        <w:rPr>
          <w:rFonts w:cs="Calibri"/>
          <w:b/>
          <w:bCs/>
          <w:color w:val="000000" w:themeColor="text1"/>
          <w:sz w:val="24"/>
          <w:szCs w:val="28"/>
          <w:shd w:val="clear" w:color="auto" w:fill="FFFFFF"/>
        </w:rPr>
        <w:t>[TABLE 1 HERE]</w:t>
      </w:r>
    </w:p>
    <w:p w14:paraId="5A7A33E0" w14:textId="77777777" w:rsidR="00BD4821" w:rsidRPr="004C7973" w:rsidRDefault="00BD4821" w:rsidP="00B82B2D">
      <w:pPr>
        <w:spacing w:line="480" w:lineRule="auto"/>
        <w:rPr>
          <w:rFonts w:cs="Calibri"/>
          <w:b/>
          <w:bCs/>
          <w:color w:val="000000" w:themeColor="text1"/>
          <w:sz w:val="24"/>
          <w:szCs w:val="28"/>
          <w:shd w:val="clear" w:color="auto" w:fill="FFFFFF"/>
        </w:rPr>
      </w:pPr>
    </w:p>
    <w:p w14:paraId="38D4C5BA" w14:textId="6C501158" w:rsidR="00951CBF" w:rsidRDefault="0005128D" w:rsidP="00BD4821">
      <w:pPr>
        <w:spacing w:after="0" w:line="480" w:lineRule="auto"/>
        <w:rPr>
          <w:rFonts w:cs="Calibri"/>
          <w:b/>
          <w:bCs/>
          <w:sz w:val="24"/>
          <w:szCs w:val="28"/>
        </w:rPr>
      </w:pPr>
      <w:r w:rsidRPr="00773DB1">
        <w:rPr>
          <w:rFonts w:cs="Calibri"/>
          <w:b/>
          <w:bCs/>
          <w:sz w:val="24"/>
          <w:szCs w:val="28"/>
        </w:rPr>
        <w:lastRenderedPageBreak/>
        <w:t>Recruitment</w:t>
      </w:r>
      <w:r w:rsidR="00E06055">
        <w:rPr>
          <w:rFonts w:cs="Calibri"/>
          <w:b/>
          <w:bCs/>
          <w:sz w:val="24"/>
          <w:szCs w:val="28"/>
        </w:rPr>
        <w:t xml:space="preserve"> of co-design panels</w:t>
      </w:r>
    </w:p>
    <w:p w14:paraId="7479B89D" w14:textId="7E4173DD" w:rsidR="006B0D17" w:rsidRPr="00951CBF" w:rsidRDefault="020C191D" w:rsidP="00B82B2D">
      <w:pPr>
        <w:spacing w:line="480" w:lineRule="auto"/>
        <w:rPr>
          <w:rFonts w:cs="Calibri"/>
          <w:b/>
          <w:bCs/>
          <w:sz w:val="24"/>
        </w:rPr>
      </w:pPr>
      <w:r w:rsidRPr="020C191D">
        <w:rPr>
          <w:rFonts w:cs="Calibri"/>
          <w:sz w:val="24"/>
        </w:rPr>
        <w:t xml:space="preserve">We employed a maximum variation approach </w:t>
      </w:r>
      <w:r w:rsidR="5DDB7EEE" w:rsidRPr="020C191D">
        <w:rPr>
          <w:rFonts w:cs="Calibri"/>
          <w:sz w:val="24"/>
        </w:rPr>
        <w:fldChar w:fldCharType="begin"/>
      </w:r>
      <w:r w:rsidR="00FC7A29">
        <w:rPr>
          <w:rFonts w:cs="Calibri"/>
          <w:sz w:val="24"/>
        </w:rPr>
        <w:instrText xml:space="preserve"> ADDIN ZOTERO_ITEM CSL_CITATION {"citationID":"GpuYdsay","properties":{"formattedCitation":"(22)","plainCitation":"(22)","noteIndex":0},"citationItems":[{"id":"HaMovQnS/fFAnv7Zr","uris":["http://zotero.org/users/6791840/items/7WQ5WM4E"],"itemData":{"id":318,"type":"article-journal","container-title":"Administration and policy in mental health and mental health services research","issue":"5","note":"publisher: Springer","page":"533–544","source":"Google Scholar","title":"Purposeful sampling for qualitative data collection and analysis in mixed method implementation research","volume":"42","author":[{"family":"Palinkas","given":"Lawrence A."},{"family":"Horwitz","given":"Sarah M."},{"family":"Green","given":"Carla A."},{"family":"Wisdom","given":"Jennifer P."},{"family":"Duan","given":"Naihua"},{"family":"Hoagwood","given":"Kimberly"}],"issued":{"date-parts":[["2015"]]}}}],"schema":"https://github.com/citation-style-language/schema/raw/master/csl-citation.json"} </w:instrText>
      </w:r>
      <w:r w:rsidR="5DDB7EEE" w:rsidRPr="020C191D">
        <w:rPr>
          <w:rFonts w:cs="Calibri"/>
          <w:sz w:val="24"/>
        </w:rPr>
        <w:fldChar w:fldCharType="separate"/>
      </w:r>
      <w:r w:rsidR="00FC7A29">
        <w:rPr>
          <w:rFonts w:cs="Calibri"/>
          <w:sz w:val="24"/>
        </w:rPr>
        <w:t>(22)</w:t>
      </w:r>
      <w:r w:rsidR="5DDB7EEE" w:rsidRPr="020C191D">
        <w:rPr>
          <w:rFonts w:cs="Calibri"/>
          <w:sz w:val="24"/>
        </w:rPr>
        <w:fldChar w:fldCharType="end"/>
      </w:r>
      <w:r w:rsidRPr="020C191D">
        <w:rPr>
          <w:rFonts w:cs="Calibri"/>
          <w:sz w:val="24"/>
        </w:rPr>
        <w:t xml:space="preserve"> to purposively sample three hospitals from a sample of 27 hospitals that had expressed an interest in the CHARMER research programme. These hospitals represent </w:t>
      </w:r>
      <w:r w:rsidRPr="020C191D">
        <w:rPr>
          <w:rFonts w:cs="Calibri"/>
          <w:color w:val="000000" w:themeColor="text1"/>
          <w:sz w:val="24"/>
        </w:rPr>
        <w:t>contextual factors likely to influence implementation of the intervention: diversity in the patient population served, geographical location, maturity of IT infrastructure, and include a combination of larger teaching and smaller district general hospitals</w:t>
      </w:r>
      <w:r w:rsidR="00B25744">
        <w:rPr>
          <w:rFonts w:cs="Calibri"/>
          <w:color w:val="000000" w:themeColor="text1"/>
          <w:sz w:val="24"/>
        </w:rPr>
        <w:fldChar w:fldCharType="begin"/>
      </w:r>
      <w:r w:rsidR="00FC7A29">
        <w:rPr>
          <w:rFonts w:cs="Calibri"/>
          <w:color w:val="000000" w:themeColor="text1"/>
          <w:sz w:val="24"/>
        </w:rPr>
        <w:instrText xml:space="preserve"> ADDIN ZOTERO_ITEM CSL_CITATION {"citationID":"0l7Aasec","properties":{"formattedCitation":"(23)","plainCitation":"(23)","noteIndex":0},"citationItems":[{"id":"HaMovQnS/TH6pqMVo","uris":["http://zotero.org/users/6791840/items/SEIN5Y6E"],"itemData":{"id":576,"type":"article-journal","container-title":"American journal of community psychology","issue":"3","note":"publisher: Springer","page":"327–350","source":"Google Scholar","title":"Implementation matters: A review of research on the influence of implementation on program outcomes and the factors affecting implementation","title-short":"Implementation matters","volume":"41","author":[{"family":"Durlak","given":"Joseph A."},{"family":"DuPre","given":"Emily P."}],"issued":{"date-parts":[["2008"]]}}}],"schema":"https://github.com/citation-style-language/schema/raw/master/csl-citation.json"} </w:instrText>
      </w:r>
      <w:r w:rsidR="00B25744">
        <w:rPr>
          <w:rFonts w:cs="Calibri"/>
          <w:color w:val="000000" w:themeColor="text1"/>
          <w:sz w:val="24"/>
        </w:rPr>
        <w:fldChar w:fldCharType="separate"/>
      </w:r>
      <w:r w:rsidR="00FC7A29">
        <w:rPr>
          <w:rFonts w:cs="Calibri"/>
          <w:sz w:val="24"/>
        </w:rPr>
        <w:t>(23)</w:t>
      </w:r>
      <w:r w:rsidR="00B25744">
        <w:rPr>
          <w:rFonts w:cs="Calibri"/>
          <w:color w:val="000000" w:themeColor="text1"/>
          <w:sz w:val="24"/>
        </w:rPr>
        <w:fldChar w:fldCharType="end"/>
      </w:r>
      <w:r w:rsidRPr="020C191D">
        <w:rPr>
          <w:rFonts w:cs="Calibri"/>
          <w:color w:val="000000" w:themeColor="text1"/>
          <w:sz w:val="24"/>
        </w:rPr>
        <w:t>.</w:t>
      </w:r>
      <w:r w:rsidRPr="020C191D">
        <w:rPr>
          <w:rFonts w:cs="Calibri"/>
          <w:sz w:val="24"/>
        </w:rPr>
        <w:t xml:space="preserve"> This ensured equity in the intervention’s implementability across contextual variations arising from differing resources, patient and staff profiles, infrastructures, policies and practice.</w:t>
      </w:r>
    </w:p>
    <w:p w14:paraId="55EA506E" w14:textId="319AED78" w:rsidR="006B0D17" w:rsidRPr="00132279" w:rsidRDefault="432AF717" w:rsidP="432AF717">
      <w:pPr>
        <w:pStyle w:val="NormalWeb"/>
        <w:spacing w:before="0" w:beforeAutospacing="0" w:afterLines="120" w:after="288" w:afterAutospacing="0" w:line="480" w:lineRule="auto"/>
        <w:rPr>
          <w:rFonts w:ascii="Calibri" w:hAnsi="Calibri" w:cs="Calibri"/>
          <w:color w:val="000000" w:themeColor="text1"/>
        </w:rPr>
      </w:pPr>
      <w:r w:rsidRPr="432AF717">
        <w:rPr>
          <w:rFonts w:ascii="Calibri" w:hAnsi="Calibri" w:cs="Calibri"/>
          <w:color w:val="000000" w:themeColor="text1"/>
        </w:rPr>
        <w:t xml:space="preserve">We asked each hospital to establish a co-design panel with representation from pharmacists </w:t>
      </w:r>
      <w:r w:rsidRPr="432AF717">
        <w:rPr>
          <w:rFonts w:ascii="Calibri" w:hAnsi="Calibri" w:cs="Calibri"/>
        </w:rPr>
        <w:t>(</w:t>
      </w:r>
      <w:r w:rsidRPr="432AF717">
        <w:rPr>
          <w:rFonts w:ascii="Calibri" w:hAnsi="Calibri" w:cs="Calibri"/>
          <w:i/>
          <w:iCs/>
        </w:rPr>
        <w:t>n</w:t>
      </w:r>
      <w:r w:rsidRPr="432AF717">
        <w:rPr>
          <w:rFonts w:ascii="Calibri" w:hAnsi="Calibri" w:cs="Calibri"/>
        </w:rPr>
        <w:t xml:space="preserve">=3-4), </w:t>
      </w:r>
      <w:r w:rsidRPr="432AF717">
        <w:rPr>
          <w:rFonts w:ascii="Calibri" w:hAnsi="Calibri" w:cs="Calibri"/>
          <w:color w:val="000000" w:themeColor="text1"/>
        </w:rPr>
        <w:t xml:space="preserve">geriatricians </w:t>
      </w:r>
      <w:r w:rsidRPr="432AF717">
        <w:rPr>
          <w:rFonts w:ascii="Calibri" w:hAnsi="Calibri" w:cs="Calibri"/>
        </w:rPr>
        <w:t>(</w:t>
      </w:r>
      <w:r w:rsidRPr="432AF717">
        <w:rPr>
          <w:rFonts w:ascii="Calibri" w:hAnsi="Calibri" w:cs="Calibri"/>
          <w:i/>
          <w:iCs/>
        </w:rPr>
        <w:t>n</w:t>
      </w:r>
      <w:r w:rsidRPr="432AF717">
        <w:rPr>
          <w:rFonts w:ascii="Calibri" w:hAnsi="Calibri" w:cs="Calibri"/>
        </w:rPr>
        <w:t xml:space="preserve">=3-4) </w:t>
      </w:r>
      <w:r w:rsidRPr="432AF717">
        <w:rPr>
          <w:rFonts w:ascii="Calibri" w:hAnsi="Calibri" w:cs="Calibri"/>
          <w:color w:val="000000" w:themeColor="text1"/>
        </w:rPr>
        <w:t xml:space="preserve">and any other staff </w:t>
      </w:r>
      <w:r w:rsidRPr="432AF717">
        <w:rPr>
          <w:rFonts w:ascii="Calibri" w:hAnsi="Calibri" w:cs="Calibri"/>
        </w:rPr>
        <w:t>(</w:t>
      </w:r>
      <w:r w:rsidRPr="432AF717">
        <w:rPr>
          <w:rFonts w:ascii="Calibri" w:hAnsi="Calibri" w:cs="Calibri"/>
          <w:i/>
          <w:iCs/>
        </w:rPr>
        <w:t>n</w:t>
      </w:r>
      <w:r w:rsidRPr="432AF717">
        <w:rPr>
          <w:rFonts w:ascii="Calibri" w:hAnsi="Calibri" w:cs="Calibri"/>
        </w:rPr>
        <w:t xml:space="preserve">=3-4) who they felt were </w:t>
      </w:r>
      <w:r w:rsidRPr="432AF717">
        <w:rPr>
          <w:rFonts w:ascii="Calibri" w:hAnsi="Calibri" w:cs="Calibri"/>
          <w:color w:val="000000" w:themeColor="text1"/>
        </w:rPr>
        <w:t xml:space="preserve">likely to be involved in implementation of the intervention e.g. IT staff and senior managers. </w:t>
      </w:r>
    </w:p>
    <w:p w14:paraId="368B63C9" w14:textId="758E17E9" w:rsidR="00494250" w:rsidRPr="006B0D17" w:rsidRDefault="009A498A" w:rsidP="00B82B2D">
      <w:pPr>
        <w:spacing w:afterLines="120" w:after="288" w:line="480" w:lineRule="auto"/>
        <w:rPr>
          <w:rFonts w:cs="Calibri"/>
          <w:color w:val="000000" w:themeColor="text1"/>
          <w:sz w:val="28"/>
          <w:szCs w:val="28"/>
          <w:shd w:val="clear" w:color="auto" w:fill="FFFFFF"/>
        </w:rPr>
      </w:pPr>
      <w:r w:rsidRPr="020C191D">
        <w:rPr>
          <w:rFonts w:cs="Calibri"/>
          <w:sz w:val="24"/>
        </w:rPr>
        <w:t>A</w:t>
      </w:r>
      <w:r w:rsidR="00DE68CE" w:rsidRPr="020C191D">
        <w:rPr>
          <w:rFonts w:cs="Calibri"/>
          <w:sz w:val="24"/>
        </w:rPr>
        <w:t xml:space="preserve"> gatekeeper</w:t>
      </w:r>
      <w:r w:rsidR="0098595C" w:rsidRPr="020C191D">
        <w:rPr>
          <w:rFonts w:cs="Calibri"/>
          <w:sz w:val="24"/>
        </w:rPr>
        <w:t xml:space="preserve"> at each hospital</w:t>
      </w:r>
      <w:r w:rsidR="004E5A32" w:rsidRPr="020C191D">
        <w:rPr>
          <w:rFonts w:cs="Calibri"/>
          <w:sz w:val="24"/>
        </w:rPr>
        <w:t xml:space="preserve"> </w:t>
      </w:r>
      <w:r w:rsidR="00DE68CE" w:rsidRPr="020C191D">
        <w:rPr>
          <w:rFonts w:cs="Calibri"/>
          <w:sz w:val="24"/>
        </w:rPr>
        <w:t xml:space="preserve">identified eligible </w:t>
      </w:r>
      <w:r w:rsidR="00132279" w:rsidRPr="020C191D">
        <w:rPr>
          <w:rFonts w:cs="Calibri"/>
          <w:sz w:val="24"/>
        </w:rPr>
        <w:t>staff</w:t>
      </w:r>
      <w:r w:rsidR="00DE68CE" w:rsidRPr="020C191D">
        <w:rPr>
          <w:rFonts w:cs="Calibri"/>
          <w:sz w:val="24"/>
        </w:rPr>
        <w:t xml:space="preserve"> </w:t>
      </w:r>
      <w:r w:rsidR="009C4E3A" w:rsidRPr="020C191D">
        <w:rPr>
          <w:rFonts w:cs="Calibri"/>
          <w:sz w:val="24"/>
        </w:rPr>
        <w:t xml:space="preserve">and invited them to </w:t>
      </w:r>
      <w:r w:rsidR="00924C1C" w:rsidRPr="020C191D">
        <w:rPr>
          <w:rFonts w:cs="Calibri"/>
          <w:sz w:val="24"/>
        </w:rPr>
        <w:t>join the co-design panel</w:t>
      </w:r>
      <w:r w:rsidR="009C4E3A" w:rsidRPr="020C191D">
        <w:rPr>
          <w:rFonts w:cs="Calibri"/>
          <w:sz w:val="24"/>
        </w:rPr>
        <w:t xml:space="preserve"> via</w:t>
      </w:r>
      <w:r w:rsidR="00DE68CE" w:rsidRPr="020C191D">
        <w:rPr>
          <w:rFonts w:cs="Calibri"/>
          <w:sz w:val="24"/>
        </w:rPr>
        <w:t xml:space="preserve"> email</w:t>
      </w:r>
      <w:r w:rsidR="00DE68CE" w:rsidRPr="020C191D">
        <w:rPr>
          <w:rFonts w:cs="Calibri"/>
          <w:color w:val="000000" w:themeColor="text1"/>
          <w:sz w:val="24"/>
          <w:shd w:val="clear" w:color="auto" w:fill="FFFFFF"/>
        </w:rPr>
        <w:t>. The email contained an information sheet detailing the study aims and a link to complete a</w:t>
      </w:r>
      <w:r w:rsidR="00132279" w:rsidRPr="020C191D">
        <w:rPr>
          <w:rFonts w:cs="Calibri"/>
          <w:color w:val="000000" w:themeColor="text1"/>
          <w:sz w:val="24"/>
          <w:shd w:val="clear" w:color="auto" w:fill="FFFFFF"/>
        </w:rPr>
        <w:t>n online</w:t>
      </w:r>
      <w:r w:rsidR="00DE68CE" w:rsidRPr="020C191D">
        <w:rPr>
          <w:rFonts w:cs="Calibri"/>
          <w:color w:val="000000" w:themeColor="text1"/>
          <w:sz w:val="24"/>
          <w:shd w:val="clear" w:color="auto" w:fill="FFFFFF"/>
        </w:rPr>
        <w:t xml:space="preserve"> consent form</w:t>
      </w:r>
      <w:r w:rsidR="00132279" w:rsidRPr="020C191D">
        <w:rPr>
          <w:rFonts w:cs="Calibri"/>
          <w:color w:val="000000" w:themeColor="text1"/>
          <w:sz w:val="24"/>
          <w:shd w:val="clear" w:color="auto" w:fill="FFFFFF"/>
        </w:rPr>
        <w:t xml:space="preserve"> which also</w:t>
      </w:r>
      <w:r w:rsidR="001424AD" w:rsidRPr="020C191D">
        <w:rPr>
          <w:rFonts w:cs="Calibri"/>
          <w:color w:val="000000" w:themeColor="text1"/>
          <w:sz w:val="24"/>
          <w:shd w:val="clear" w:color="auto" w:fill="FFFFFF"/>
        </w:rPr>
        <w:t xml:space="preserve"> </w:t>
      </w:r>
      <w:r w:rsidR="00DE68CE" w:rsidRPr="020C191D">
        <w:rPr>
          <w:rFonts w:cs="Calibri"/>
          <w:color w:val="000000" w:themeColor="text1"/>
          <w:sz w:val="24"/>
          <w:shd w:val="clear" w:color="auto" w:fill="FFFFFF"/>
        </w:rPr>
        <w:t>request</w:t>
      </w:r>
      <w:r w:rsidR="00132279" w:rsidRPr="020C191D">
        <w:rPr>
          <w:rFonts w:cs="Calibri"/>
          <w:color w:val="000000" w:themeColor="text1"/>
          <w:sz w:val="24"/>
          <w:shd w:val="clear" w:color="auto" w:fill="FFFFFF"/>
        </w:rPr>
        <w:t>ed</w:t>
      </w:r>
      <w:r w:rsidR="00C75EDF" w:rsidRPr="020C191D">
        <w:rPr>
          <w:rFonts w:cs="Calibri"/>
          <w:color w:val="000000" w:themeColor="text1"/>
          <w:sz w:val="24"/>
          <w:shd w:val="clear" w:color="auto" w:fill="FFFFFF"/>
        </w:rPr>
        <w:t xml:space="preserve"> the</w:t>
      </w:r>
      <w:r w:rsidR="00132279" w:rsidRPr="020C191D">
        <w:rPr>
          <w:rFonts w:cs="Calibri"/>
          <w:color w:val="000000" w:themeColor="text1"/>
          <w:sz w:val="24"/>
          <w:shd w:val="clear" w:color="auto" w:fill="FFFFFF"/>
        </w:rPr>
        <w:t>ir</w:t>
      </w:r>
      <w:r w:rsidR="00C75EDF" w:rsidRPr="020C191D">
        <w:rPr>
          <w:rFonts w:cs="Calibri"/>
          <w:color w:val="000000" w:themeColor="text1"/>
          <w:sz w:val="24"/>
          <w:shd w:val="clear" w:color="auto" w:fill="FFFFFF"/>
        </w:rPr>
        <w:t xml:space="preserve"> </w:t>
      </w:r>
      <w:r w:rsidR="00DE68CE" w:rsidRPr="020C191D">
        <w:rPr>
          <w:rFonts w:cs="Calibri"/>
          <w:color w:val="000000" w:themeColor="text1"/>
          <w:sz w:val="24"/>
          <w:shd w:val="clear" w:color="auto" w:fill="FFFFFF"/>
        </w:rPr>
        <w:t>gender, age range</w:t>
      </w:r>
      <w:r w:rsidR="00574CAF" w:rsidRPr="020C191D">
        <w:rPr>
          <w:rFonts w:cs="Calibri"/>
          <w:color w:val="000000" w:themeColor="text1"/>
          <w:sz w:val="24"/>
          <w:shd w:val="clear" w:color="auto" w:fill="FFFFFF"/>
        </w:rPr>
        <w:t xml:space="preserve"> and </w:t>
      </w:r>
      <w:r w:rsidR="00DE68CE" w:rsidRPr="020C191D">
        <w:rPr>
          <w:rFonts w:cs="Calibri"/>
          <w:color w:val="000000" w:themeColor="text1"/>
          <w:sz w:val="24"/>
          <w:shd w:val="clear" w:color="auto" w:fill="FFFFFF"/>
        </w:rPr>
        <w:t>role</w:t>
      </w:r>
      <w:r w:rsidR="008106E6" w:rsidRPr="020C191D">
        <w:rPr>
          <w:rFonts w:cs="Calibri"/>
          <w:color w:val="000000" w:themeColor="text1"/>
          <w:sz w:val="24"/>
          <w:shd w:val="clear" w:color="auto" w:fill="FFFFFF"/>
        </w:rPr>
        <w:t xml:space="preserve">. </w:t>
      </w:r>
      <w:r w:rsidR="00DE68CE" w:rsidRPr="020C191D">
        <w:rPr>
          <w:rFonts w:cs="Calibri"/>
          <w:sz w:val="24"/>
        </w:rPr>
        <w:t>We</w:t>
      </w:r>
      <w:r w:rsidR="00DF779E" w:rsidRPr="020C191D">
        <w:rPr>
          <w:rFonts w:cs="Calibri"/>
          <w:sz w:val="24"/>
        </w:rPr>
        <w:t xml:space="preserve"> worked with gatekeepers to</w:t>
      </w:r>
      <w:r w:rsidR="00DE68CE" w:rsidRPr="020C191D">
        <w:rPr>
          <w:rFonts w:cs="Calibri"/>
          <w:sz w:val="24"/>
        </w:rPr>
        <w:t xml:space="preserve"> monitor attrition during t</w:t>
      </w:r>
      <w:r w:rsidR="00132279" w:rsidRPr="020C191D">
        <w:rPr>
          <w:rFonts w:cs="Calibri"/>
          <w:sz w:val="24"/>
        </w:rPr>
        <w:t xml:space="preserve">he study and they </w:t>
      </w:r>
      <w:r w:rsidR="00DE68CE" w:rsidRPr="020C191D">
        <w:rPr>
          <w:rFonts w:cs="Calibri"/>
          <w:sz w:val="24"/>
        </w:rPr>
        <w:t>recruited new members to the panels where n</w:t>
      </w:r>
      <w:r w:rsidR="007D1246" w:rsidRPr="020C191D">
        <w:rPr>
          <w:rFonts w:cs="Calibri"/>
          <w:sz w:val="24"/>
        </w:rPr>
        <w:t>ecessary</w:t>
      </w:r>
      <w:r w:rsidR="00DE68CE" w:rsidRPr="020C191D">
        <w:rPr>
          <w:rFonts w:cs="Calibri"/>
          <w:sz w:val="24"/>
        </w:rPr>
        <w:t xml:space="preserve"> to </w:t>
      </w:r>
      <w:r w:rsidR="00132279" w:rsidRPr="020C191D">
        <w:rPr>
          <w:rFonts w:cs="Calibri"/>
          <w:sz w:val="24"/>
        </w:rPr>
        <w:t>preserve</w:t>
      </w:r>
      <w:r w:rsidR="00DE68CE" w:rsidRPr="020C191D">
        <w:rPr>
          <w:rFonts w:cs="Calibri"/>
          <w:sz w:val="24"/>
        </w:rPr>
        <w:t xml:space="preserve"> representation of </w:t>
      </w:r>
      <w:r w:rsidR="007D1246" w:rsidRPr="020C191D">
        <w:rPr>
          <w:rFonts w:cs="Calibri"/>
          <w:sz w:val="24"/>
        </w:rPr>
        <w:t>all stakeholders.</w:t>
      </w:r>
      <w:r w:rsidR="00773DB1" w:rsidRPr="00773DB1">
        <w:rPr>
          <w:rFonts w:cs="Calibri"/>
          <w:color w:val="000000" w:themeColor="text1"/>
          <w:sz w:val="28"/>
          <w:szCs w:val="28"/>
          <w:shd w:val="clear" w:color="auto" w:fill="FFFFFF"/>
        </w:rPr>
        <w:t xml:space="preserve"> </w:t>
      </w:r>
    </w:p>
    <w:p w14:paraId="484DB786" w14:textId="5A4E975C" w:rsidR="00463173" w:rsidRDefault="00132279" w:rsidP="00B82B2D">
      <w:pPr>
        <w:spacing w:after="240" w:line="480" w:lineRule="auto"/>
        <w:rPr>
          <w:rFonts w:cs="Calibri"/>
          <w:color w:val="000000" w:themeColor="text1"/>
          <w:sz w:val="24"/>
          <w:szCs w:val="28"/>
          <w:shd w:val="clear" w:color="auto" w:fill="FFFFFF"/>
        </w:rPr>
      </w:pPr>
      <w:r>
        <w:rPr>
          <w:rFonts w:cs="Calibri"/>
          <w:color w:val="000000" w:themeColor="text1"/>
          <w:sz w:val="28"/>
          <w:szCs w:val="32"/>
          <w:shd w:val="clear" w:color="auto" w:fill="FFFFFF"/>
        </w:rPr>
        <w:t>H</w:t>
      </w:r>
      <w:r w:rsidR="007D1246" w:rsidRPr="00773DB1">
        <w:rPr>
          <w:rFonts w:cs="Calibri"/>
          <w:color w:val="000000" w:themeColor="text1"/>
          <w:sz w:val="24"/>
          <w:szCs w:val="28"/>
          <w:shd w:val="clear" w:color="auto" w:fill="FFFFFF"/>
        </w:rPr>
        <w:t>ospitals were</w:t>
      </w:r>
      <w:r w:rsidR="00DE68CE" w:rsidRPr="00773DB1">
        <w:rPr>
          <w:rFonts w:cs="Calibri"/>
          <w:color w:val="000000" w:themeColor="text1"/>
          <w:sz w:val="24"/>
          <w:szCs w:val="28"/>
          <w:shd w:val="clear" w:color="auto" w:fill="FFFFFF"/>
        </w:rPr>
        <w:t xml:space="preserve"> remunerated for participants’ time commitment to the research.</w:t>
      </w:r>
    </w:p>
    <w:p w14:paraId="1D5EE5D5" w14:textId="2A8650BD" w:rsidR="006C32E1" w:rsidRDefault="00E31B8E" w:rsidP="00BD4821">
      <w:pPr>
        <w:spacing w:after="0" w:line="480" w:lineRule="auto"/>
        <w:rPr>
          <w:b/>
          <w:bCs/>
          <w:sz w:val="24"/>
        </w:rPr>
      </w:pPr>
      <w:bookmarkStart w:id="1" w:name="_Toc53569773"/>
      <w:r w:rsidRPr="00DE68CE">
        <w:rPr>
          <w:b/>
          <w:bCs/>
          <w:sz w:val="24"/>
        </w:rPr>
        <w:t>C</w:t>
      </w:r>
      <w:r w:rsidR="006C32E1" w:rsidRPr="00DE68CE">
        <w:rPr>
          <w:b/>
          <w:bCs/>
          <w:sz w:val="24"/>
        </w:rPr>
        <w:t xml:space="preserve">o-design </w:t>
      </w:r>
      <w:r w:rsidR="00B8350E" w:rsidRPr="00DE68CE">
        <w:rPr>
          <w:b/>
          <w:bCs/>
          <w:sz w:val="24"/>
        </w:rPr>
        <w:t>process</w:t>
      </w:r>
      <w:bookmarkEnd w:id="1"/>
    </w:p>
    <w:p w14:paraId="07A53FAD" w14:textId="2A7FBC0A" w:rsidR="001076E1" w:rsidRDefault="020C191D" w:rsidP="002671E3">
      <w:pPr>
        <w:spacing w:after="240" w:line="480" w:lineRule="auto"/>
        <w:rPr>
          <w:rFonts w:asciiTheme="minorHAnsi" w:hAnsiTheme="minorHAnsi" w:cstheme="minorBidi"/>
          <w:color w:val="000000" w:themeColor="text1"/>
          <w:sz w:val="24"/>
        </w:rPr>
      </w:pPr>
      <w:r w:rsidRPr="020C191D">
        <w:rPr>
          <w:rFonts w:asciiTheme="minorHAnsi" w:hAnsiTheme="minorHAnsi" w:cstheme="minorBidi"/>
          <w:color w:val="000000" w:themeColor="text1"/>
          <w:sz w:val="24"/>
        </w:rPr>
        <w:t xml:space="preserve">In designing the CHARMER intervention, we followed the five iterative steps of design thinking: empathise, define, ideate, prototype, and test </w:t>
      </w:r>
      <w:r w:rsidR="000A1A25" w:rsidRPr="020C191D">
        <w:rPr>
          <w:rFonts w:asciiTheme="minorHAnsi" w:hAnsiTheme="minorHAnsi" w:cstheme="minorBidi"/>
          <w:color w:val="000000" w:themeColor="text1"/>
          <w:sz w:val="24"/>
        </w:rPr>
        <w:fldChar w:fldCharType="begin"/>
      </w:r>
      <w:r w:rsidR="00FC7A29">
        <w:rPr>
          <w:rFonts w:asciiTheme="minorHAnsi" w:hAnsiTheme="minorHAnsi" w:cstheme="minorBidi"/>
          <w:color w:val="000000" w:themeColor="text1"/>
          <w:sz w:val="24"/>
        </w:rPr>
        <w:instrText xml:space="preserve"> ADDIN ZOTERO_ITEM CSL_CITATION {"citationID":"M7pxAVF3","properties":{"formattedCitation":"(24)","plainCitation":"(24)","noteIndex":0},"citationItems":[{"id":"HaMovQnS/s6pOQjF3","uris":["http://zotero.org/users/6791840/items/FJUJ8F9F"],"itemData":{"id":321,"type":"book","publisher":"Springer Science &amp; Business Media","source":"Google Scholar","title":"Design thinking: understand–improve–apply","title-short":"Design thinking","author":[{"family":"Plattner","given":"Hasso"},{"family":"Meinel","given":"Christoph"},{"family":"Leifer","given":"Larry"}],"issued":{"date-parts":[["2010"]]}}}],"schema":"https://github.com/citation-style-language/schema/raw/master/csl-citation.json"} </w:instrText>
      </w:r>
      <w:r w:rsidR="000A1A25" w:rsidRPr="020C191D">
        <w:rPr>
          <w:rFonts w:asciiTheme="minorHAnsi" w:hAnsiTheme="minorHAnsi" w:cstheme="minorBidi"/>
          <w:color w:val="000000" w:themeColor="text1"/>
          <w:sz w:val="24"/>
        </w:rPr>
        <w:fldChar w:fldCharType="separate"/>
      </w:r>
      <w:r w:rsidR="00FC7A29">
        <w:rPr>
          <w:rFonts w:cs="Calibri"/>
          <w:sz w:val="24"/>
        </w:rPr>
        <w:t>(24)</w:t>
      </w:r>
      <w:r w:rsidR="000A1A25" w:rsidRPr="020C191D">
        <w:rPr>
          <w:rFonts w:asciiTheme="minorHAnsi" w:hAnsiTheme="minorHAnsi" w:cstheme="minorBidi"/>
          <w:color w:val="000000" w:themeColor="text1"/>
          <w:sz w:val="24"/>
        </w:rPr>
        <w:fldChar w:fldCharType="end"/>
      </w:r>
      <w:r w:rsidRPr="020C191D">
        <w:rPr>
          <w:rFonts w:asciiTheme="minorHAnsi" w:hAnsiTheme="minorHAnsi" w:cstheme="minorBidi"/>
          <w:color w:val="000000" w:themeColor="text1"/>
          <w:sz w:val="24"/>
        </w:rPr>
        <w:t xml:space="preserve">. Our previous research </w:t>
      </w:r>
      <w:r w:rsidR="00C312F9">
        <w:rPr>
          <w:rFonts w:asciiTheme="minorHAnsi" w:hAnsiTheme="minorHAnsi" w:cstheme="minorBidi"/>
          <w:color w:val="000000" w:themeColor="text1"/>
          <w:sz w:val="24"/>
        </w:rPr>
        <w:t>reports</w:t>
      </w:r>
      <w:r w:rsidRPr="020C191D">
        <w:rPr>
          <w:rFonts w:asciiTheme="minorHAnsi" w:hAnsiTheme="minorHAnsi" w:cstheme="minorBidi"/>
          <w:color w:val="000000" w:themeColor="text1"/>
          <w:sz w:val="24"/>
        </w:rPr>
        <w:t xml:space="preserve"> the empathise </w:t>
      </w:r>
      <w:r w:rsidR="000A1A25" w:rsidRPr="020C191D">
        <w:rPr>
          <w:rFonts w:asciiTheme="minorHAnsi" w:hAnsiTheme="minorHAnsi" w:cstheme="minorBidi"/>
          <w:color w:val="000000" w:themeColor="text1"/>
          <w:sz w:val="24"/>
        </w:rPr>
        <w:fldChar w:fldCharType="begin"/>
      </w:r>
      <w:r w:rsidR="00FC7A29">
        <w:rPr>
          <w:rFonts w:asciiTheme="minorHAnsi" w:hAnsiTheme="minorHAnsi" w:cstheme="minorBidi"/>
          <w:color w:val="000000" w:themeColor="text1"/>
          <w:sz w:val="24"/>
        </w:rPr>
        <w:instrText xml:space="preserve"> ADDIN ZOTERO_ITEM CSL_CITATION {"citationID":"y8LRIRY5","properties":{"formattedCitation":"(25)","plainCitation":"(25)","noteIndex":0},"citationItems":[{"id":"HaMovQnS/LL299ZDx","uris":["http://zotero.org/users/6791840/items/RZIS68B7"],"itemData":{"id":109,"type":"article-journal","container-title":"Age and ageing","issue":"1","note":"publisher: Oxford University Press","page":"102–110","source":"Google Scholar","title":"Development of a hospital deprescribing implementation framework: a focus group study with geriatricians and pharmacists","title-short":"Development of a hospital deprescribing implementation framework","volume":"49","author":[{"family":"Scott","given":"Sion"},{"family":"Twigg","given":"Michael J."},{"family":"Clark","given":"Allan"},{"family":"Farrow","given":"Carol"},{"family":"May","given":"Helen"},{"family":"Patel","given":"Martyn"},{"family":"Taylor","given":"Johanna"},{"family":"Wright","given":"David J."},{"family":"Bhattacharya","given":"Debi"}],"issued":{"date-parts":[["2020"]]}}}],"schema":"https://github.com/citation-style-language/schema/raw/master/csl-citation.json"} </w:instrText>
      </w:r>
      <w:r w:rsidR="000A1A25" w:rsidRPr="020C191D">
        <w:rPr>
          <w:rFonts w:asciiTheme="minorHAnsi" w:hAnsiTheme="minorHAnsi" w:cstheme="minorBidi"/>
          <w:color w:val="000000" w:themeColor="text1"/>
          <w:sz w:val="24"/>
        </w:rPr>
        <w:fldChar w:fldCharType="separate"/>
      </w:r>
      <w:r w:rsidR="00FC7A29">
        <w:rPr>
          <w:rFonts w:cs="Calibri"/>
          <w:sz w:val="24"/>
        </w:rPr>
        <w:t>(25)</w:t>
      </w:r>
      <w:r w:rsidR="000A1A25" w:rsidRPr="020C191D">
        <w:rPr>
          <w:rFonts w:asciiTheme="minorHAnsi" w:hAnsiTheme="minorHAnsi" w:cstheme="minorBidi"/>
          <w:color w:val="000000" w:themeColor="text1"/>
          <w:sz w:val="24"/>
        </w:rPr>
        <w:fldChar w:fldCharType="end"/>
      </w:r>
      <w:r w:rsidRPr="020C191D">
        <w:rPr>
          <w:rFonts w:asciiTheme="minorHAnsi" w:hAnsiTheme="minorHAnsi" w:cstheme="minorBidi"/>
          <w:color w:val="000000" w:themeColor="text1"/>
          <w:sz w:val="24"/>
        </w:rPr>
        <w:t xml:space="preserve"> and define </w:t>
      </w:r>
      <w:r w:rsidR="000A1A25" w:rsidRPr="020C191D">
        <w:rPr>
          <w:rFonts w:asciiTheme="minorHAnsi" w:hAnsiTheme="minorHAnsi" w:cstheme="minorBidi"/>
          <w:color w:val="000000" w:themeColor="text1"/>
          <w:sz w:val="24"/>
        </w:rPr>
        <w:fldChar w:fldCharType="begin"/>
      </w:r>
      <w:r w:rsidR="00FC7A29">
        <w:rPr>
          <w:rFonts w:asciiTheme="minorHAnsi" w:hAnsiTheme="minorHAnsi" w:cstheme="minorBidi"/>
          <w:color w:val="000000" w:themeColor="text1"/>
          <w:sz w:val="24"/>
        </w:rPr>
        <w:instrText xml:space="preserve"> ADDIN ZOTERO_ITEM CSL_CITATION {"citationID":"oEtwTJwc","properties":{"formattedCitation":"(9)","plainCitation":"(9)","noteIndex":0},"citationItems":[{"id":"HaMovQnS/WoH6uLMp","uris":["http://zotero.org/users/6791840/items/SAZ9RXJD"],"itemData":{"id":190,"type":"article-journal","container-title":"Age and ageing","issue":"2","note":"publisher: Oxford University Press","page":"581–586","source":"Google Scholar","title":"A practitioner behaviour change intervention for deprescribing in the hospital setting","volume":"50","author":[{"family":"Scott","given":"Sion"},{"family":"May","given":"Helen"},{"family":"Patel","given":"Martyn"},{"family":"Wright","given":"David J."},{"family":"Bhattacharya","given":"Debi"}],"issued":{"date-parts":[["2021"]]}}}],"schema":"https://github.com/citation-style-language/schema/raw/master/csl-citation.json"} </w:instrText>
      </w:r>
      <w:r w:rsidR="000A1A25" w:rsidRPr="020C191D">
        <w:rPr>
          <w:rFonts w:asciiTheme="minorHAnsi" w:hAnsiTheme="minorHAnsi" w:cstheme="minorBidi"/>
          <w:color w:val="000000" w:themeColor="text1"/>
          <w:sz w:val="24"/>
        </w:rPr>
        <w:fldChar w:fldCharType="separate"/>
      </w:r>
      <w:r w:rsidR="00FC7A29">
        <w:rPr>
          <w:rFonts w:cs="Calibri"/>
          <w:sz w:val="24"/>
        </w:rPr>
        <w:t>(9)</w:t>
      </w:r>
      <w:r w:rsidR="000A1A25" w:rsidRPr="020C191D">
        <w:rPr>
          <w:rFonts w:asciiTheme="minorHAnsi" w:hAnsiTheme="minorHAnsi" w:cstheme="minorBidi"/>
          <w:color w:val="000000" w:themeColor="text1"/>
          <w:sz w:val="24"/>
        </w:rPr>
        <w:fldChar w:fldCharType="end"/>
      </w:r>
      <w:r w:rsidRPr="020C191D">
        <w:rPr>
          <w:rFonts w:asciiTheme="minorHAnsi" w:hAnsiTheme="minorHAnsi" w:cstheme="minorBidi"/>
          <w:color w:val="000000" w:themeColor="text1"/>
          <w:sz w:val="24"/>
        </w:rPr>
        <w:t xml:space="preserve"> phases and this manuscript reports the processes to </w:t>
      </w:r>
      <w:r w:rsidRPr="020C191D">
        <w:rPr>
          <w:rFonts w:asciiTheme="minorHAnsi" w:hAnsiTheme="minorHAnsi" w:cstheme="minorBidi"/>
          <w:color w:val="000000" w:themeColor="text1"/>
          <w:sz w:val="24"/>
        </w:rPr>
        <w:lastRenderedPageBreak/>
        <w:t>ideate and prototype the intervention. Progress of the subsequent testing phase can be</w:t>
      </w:r>
      <w:r w:rsidR="009D212E">
        <w:rPr>
          <w:rFonts w:asciiTheme="minorHAnsi" w:hAnsiTheme="minorHAnsi" w:cstheme="minorBidi"/>
          <w:color w:val="000000" w:themeColor="text1"/>
          <w:sz w:val="24"/>
        </w:rPr>
        <w:t xml:space="preserve"> </w:t>
      </w:r>
      <w:r w:rsidRPr="020C191D">
        <w:rPr>
          <w:rFonts w:asciiTheme="minorHAnsi" w:hAnsiTheme="minorHAnsi" w:cstheme="minorBidi"/>
          <w:color w:val="000000" w:themeColor="text1"/>
          <w:sz w:val="24"/>
        </w:rPr>
        <w:t>followed</w:t>
      </w:r>
      <w:r w:rsidR="009D212E">
        <w:rPr>
          <w:rFonts w:asciiTheme="minorHAnsi" w:hAnsiTheme="minorHAnsi" w:cstheme="minorBidi"/>
          <w:color w:val="000000" w:themeColor="text1"/>
          <w:sz w:val="24"/>
        </w:rPr>
        <w:t xml:space="preserve"> </w:t>
      </w:r>
      <w:r w:rsidRPr="020C191D">
        <w:rPr>
          <w:rFonts w:asciiTheme="minorHAnsi" w:hAnsiTheme="minorHAnsi" w:cstheme="minorBidi"/>
          <w:color w:val="000000" w:themeColor="text1"/>
          <w:sz w:val="24"/>
        </w:rPr>
        <w:t xml:space="preserve">at </w:t>
      </w:r>
      <w:r w:rsidR="006B05DA">
        <w:t xml:space="preserve">[link omitted for </w:t>
      </w:r>
      <w:r w:rsidR="00D64A16">
        <w:t>anonymised review].</w:t>
      </w:r>
    </w:p>
    <w:p w14:paraId="5EBA788A" w14:textId="6988844C" w:rsidR="00ED605C" w:rsidRDefault="020C191D" w:rsidP="020C191D">
      <w:pPr>
        <w:spacing w:after="0" w:line="480" w:lineRule="auto"/>
        <w:rPr>
          <w:sz w:val="24"/>
        </w:rPr>
      </w:pPr>
      <w:r w:rsidRPr="020C191D">
        <w:rPr>
          <w:rFonts w:cs="Calibri"/>
          <w:sz w:val="24"/>
        </w:rPr>
        <w:t xml:space="preserve">Figure 2 provides an overview of the co-design process undertaken between May and November 2021. </w:t>
      </w:r>
      <w:r w:rsidRPr="020C191D">
        <w:rPr>
          <w:sz w:val="24"/>
        </w:rPr>
        <w:t>Due to the Covid-19 restrictions, all workshops (</w:t>
      </w:r>
      <w:r w:rsidRPr="020C191D">
        <w:rPr>
          <w:i/>
          <w:iCs/>
          <w:sz w:val="24"/>
        </w:rPr>
        <w:t>n</w:t>
      </w:r>
      <w:r w:rsidRPr="020C191D">
        <w:rPr>
          <w:sz w:val="24"/>
        </w:rPr>
        <w:t>=7) took place virtually</w:t>
      </w:r>
      <w:r w:rsidR="009D212E">
        <w:rPr>
          <w:sz w:val="24"/>
        </w:rPr>
        <w:t xml:space="preserve"> using Microsoft® Teams</w:t>
      </w:r>
      <w:r w:rsidR="00C2515A">
        <w:rPr>
          <w:sz w:val="24"/>
        </w:rPr>
        <w:t xml:space="preserve"> and Zoom®</w:t>
      </w:r>
      <w:r w:rsidRPr="020C191D">
        <w:rPr>
          <w:sz w:val="24"/>
        </w:rPr>
        <w:t>.</w:t>
      </w:r>
    </w:p>
    <w:p w14:paraId="35483725" w14:textId="77777777" w:rsidR="001076E1" w:rsidRDefault="001076E1" w:rsidP="020C191D">
      <w:pPr>
        <w:spacing w:after="0" w:line="480" w:lineRule="auto"/>
        <w:rPr>
          <w:rFonts w:cs="Calibri"/>
          <w:sz w:val="24"/>
        </w:rPr>
      </w:pPr>
    </w:p>
    <w:p w14:paraId="03142903" w14:textId="4C7372F8" w:rsidR="00ED605C" w:rsidRDefault="00DA4E6F" w:rsidP="00B82B2D">
      <w:pPr>
        <w:spacing w:after="0" w:line="480" w:lineRule="auto"/>
        <w:jc w:val="center"/>
        <w:rPr>
          <w:rFonts w:cs="Calibri"/>
          <w:bCs/>
          <w:sz w:val="24"/>
        </w:rPr>
      </w:pPr>
      <w:r>
        <w:rPr>
          <w:rFonts w:cs="Calibri"/>
          <w:bCs/>
          <w:noProof/>
          <w:sz w:val="24"/>
          <w:lang w:eastAsia="en-GB"/>
        </w:rPr>
        <w:drawing>
          <wp:inline distT="0" distB="0" distL="0" distR="0" wp14:anchorId="6D0F1CE8" wp14:editId="3F5CB3E5">
            <wp:extent cx="2877670" cy="5247516"/>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 PNG colour .png"/>
                    <pic:cNvPicPr/>
                  </pic:nvPicPr>
                  <pic:blipFill>
                    <a:blip r:embed="rId12">
                      <a:extLst>
                        <a:ext uri="{28A0092B-C50C-407E-A947-70E740481C1C}">
                          <a14:useLocalDpi xmlns:a14="http://schemas.microsoft.com/office/drawing/2010/main" val="0"/>
                        </a:ext>
                      </a:extLst>
                    </a:blip>
                    <a:stretch>
                      <a:fillRect/>
                    </a:stretch>
                  </pic:blipFill>
                  <pic:spPr>
                    <a:xfrm>
                      <a:off x="0" y="0"/>
                      <a:ext cx="2877670" cy="5247516"/>
                    </a:xfrm>
                    <a:prstGeom prst="rect">
                      <a:avLst/>
                    </a:prstGeom>
                  </pic:spPr>
                </pic:pic>
              </a:graphicData>
            </a:graphic>
          </wp:inline>
        </w:drawing>
      </w:r>
    </w:p>
    <w:p w14:paraId="4A35995B" w14:textId="7254D15E" w:rsidR="00647904" w:rsidRPr="00E612EA" w:rsidRDefault="5DDB7EEE" w:rsidP="00B82B2D">
      <w:pPr>
        <w:spacing w:line="480" w:lineRule="auto"/>
        <w:jc w:val="center"/>
        <w:rPr>
          <w:b/>
          <w:bCs/>
        </w:rPr>
      </w:pPr>
      <w:r w:rsidRPr="5DDB7EEE">
        <w:rPr>
          <w:b/>
          <w:bCs/>
        </w:rPr>
        <w:t>Figure 2. Co-design process</w:t>
      </w:r>
    </w:p>
    <w:p w14:paraId="02C3AD9A" w14:textId="77777777" w:rsidR="00916BB3" w:rsidRPr="00916BB3" w:rsidRDefault="00916BB3" w:rsidP="00B82B2D">
      <w:pPr>
        <w:pStyle w:val="NormalWeb"/>
        <w:spacing w:line="480" w:lineRule="auto"/>
        <w:rPr>
          <w:rFonts w:ascii="Calibri" w:hAnsi="Calibri"/>
          <w:sz w:val="2"/>
          <w:szCs w:val="2"/>
        </w:rPr>
      </w:pPr>
    </w:p>
    <w:p w14:paraId="78495B23" w14:textId="7E14E5E0" w:rsidR="00934884" w:rsidRDefault="5DDB7EEE" w:rsidP="00B82B2D">
      <w:pPr>
        <w:pStyle w:val="NormalWeb"/>
        <w:spacing w:line="480" w:lineRule="auto"/>
        <w:rPr>
          <w:rFonts w:ascii="Calibri" w:hAnsi="Calibri" w:cstheme="minorBidi"/>
          <w:color w:val="000000" w:themeColor="text1"/>
        </w:rPr>
      </w:pPr>
      <w:r w:rsidRPr="0B106703">
        <w:rPr>
          <w:rFonts w:ascii="Calibri" w:hAnsi="Calibri"/>
        </w:rPr>
        <w:lastRenderedPageBreak/>
        <w:t xml:space="preserve">We piloted the co-design activities with geriatrician and pharmacist collaborators unfamiliar with the CHARMER research programme. This was </w:t>
      </w:r>
      <w:r w:rsidRPr="0B106703">
        <w:rPr>
          <w:rFonts w:ascii="Calibri" w:hAnsi="Calibri" w:cstheme="minorBidi"/>
          <w:color w:val="000000" w:themeColor="text1"/>
        </w:rPr>
        <w:t xml:space="preserve">in order to identify any difficulties with understanding and interpreting concepts and content. This also provided an opportunity to evaluate whether the data generated </w:t>
      </w:r>
      <w:r w:rsidR="1F8754E1" w:rsidRPr="0B106703">
        <w:rPr>
          <w:rFonts w:ascii="Calibri" w:hAnsi="Calibri" w:cstheme="minorBidi"/>
          <w:color w:val="000000" w:themeColor="text1"/>
        </w:rPr>
        <w:t>would address</w:t>
      </w:r>
      <w:r w:rsidRPr="0B106703">
        <w:rPr>
          <w:rFonts w:ascii="Calibri" w:hAnsi="Calibri" w:cstheme="minorBidi"/>
          <w:color w:val="000000" w:themeColor="text1"/>
        </w:rPr>
        <w:t xml:space="preserve"> the aims of the study.</w:t>
      </w:r>
    </w:p>
    <w:p w14:paraId="20608C97" w14:textId="79197B9D" w:rsidR="00222E37" w:rsidRPr="00047E96" w:rsidRDefault="0069047E" w:rsidP="00B82B2D">
      <w:pPr>
        <w:pStyle w:val="NormalWeb"/>
        <w:spacing w:line="480" w:lineRule="auto"/>
        <w:rPr>
          <w:rFonts w:ascii="Calibri" w:hAnsi="Calibri" w:cs="Calibri"/>
          <w:color w:val="000000" w:themeColor="text1"/>
          <w:shd w:val="clear" w:color="auto" w:fill="FFFFFF"/>
        </w:rPr>
      </w:pPr>
      <w:r>
        <w:rPr>
          <w:rFonts w:ascii="Calibri" w:hAnsi="Calibri" w:cs="Calibri"/>
          <w:color w:val="000000" w:themeColor="text1"/>
        </w:rPr>
        <w:t>We undertook t</w:t>
      </w:r>
      <w:r w:rsidR="00F83025">
        <w:rPr>
          <w:rFonts w:ascii="Calibri" w:hAnsi="Calibri" w:cs="Calibri"/>
          <w:color w:val="000000" w:themeColor="text1"/>
        </w:rPr>
        <w:t>hree</w:t>
      </w:r>
      <w:r>
        <w:rPr>
          <w:rFonts w:ascii="Calibri" w:hAnsi="Calibri" w:cs="Calibri"/>
          <w:color w:val="000000" w:themeColor="text1"/>
        </w:rPr>
        <w:t xml:space="preserve"> rounds of</w:t>
      </w:r>
      <w:r w:rsidR="009B72DF" w:rsidRPr="009B72DF">
        <w:rPr>
          <w:rFonts w:ascii="Calibri" w:hAnsi="Calibri" w:cs="Calibri"/>
          <w:color w:val="000000" w:themeColor="text1"/>
        </w:rPr>
        <w:t xml:space="preserve"> </w:t>
      </w:r>
      <w:r w:rsidR="00967DDE">
        <w:rPr>
          <w:rFonts w:ascii="Calibri" w:hAnsi="Calibri" w:cs="Calibri"/>
          <w:color w:val="000000" w:themeColor="text1"/>
        </w:rPr>
        <w:t xml:space="preserve">(three-hour and two-hour) </w:t>
      </w:r>
      <w:r w:rsidR="009B72DF" w:rsidRPr="009B72DF">
        <w:rPr>
          <w:rFonts w:ascii="Calibri" w:hAnsi="Calibri" w:cs="Calibri"/>
          <w:color w:val="000000" w:themeColor="text1"/>
        </w:rPr>
        <w:t>workshops</w:t>
      </w:r>
      <w:r w:rsidR="00F83025">
        <w:rPr>
          <w:rFonts w:ascii="Calibri" w:hAnsi="Calibri" w:cs="Calibri"/>
          <w:color w:val="000000" w:themeColor="text1"/>
        </w:rPr>
        <w:t xml:space="preserve"> </w:t>
      </w:r>
      <w:r w:rsidR="009B72DF" w:rsidRPr="009B72DF">
        <w:rPr>
          <w:rFonts w:ascii="Calibri" w:hAnsi="Calibri" w:cs="Calibri"/>
          <w:color w:val="000000" w:themeColor="text1"/>
        </w:rPr>
        <w:t>facilitated by</w:t>
      </w:r>
      <w:r w:rsidR="00294721">
        <w:rPr>
          <w:rFonts w:ascii="Calibri" w:hAnsi="Calibri" w:cs="Calibri"/>
          <w:color w:val="000000" w:themeColor="text1"/>
        </w:rPr>
        <w:t xml:space="preserve"> [omitted for anonymised review]</w:t>
      </w:r>
      <w:r w:rsidR="009B72DF" w:rsidRPr="009B72DF">
        <w:rPr>
          <w:rFonts w:ascii="Calibri" w:hAnsi="Calibri" w:cs="Calibri"/>
          <w:color w:val="000000" w:themeColor="text1"/>
        </w:rPr>
        <w:t xml:space="preserve">. </w:t>
      </w:r>
      <w:r w:rsidR="003B1E9A" w:rsidRPr="009B72DF">
        <w:rPr>
          <w:rFonts w:ascii="Calibri" w:hAnsi="Calibri" w:cs="Calibri"/>
          <w:color w:val="000000" w:themeColor="text1"/>
          <w:shd w:val="clear" w:color="auto" w:fill="FFFFFF"/>
        </w:rPr>
        <w:t>Additional members of the research team audio-recorded the workshops and took note of participants’ ideas.</w:t>
      </w:r>
    </w:p>
    <w:p w14:paraId="51CCBCD1" w14:textId="4CE9284F" w:rsidR="004D624C" w:rsidRDefault="004D624C" w:rsidP="001076E1">
      <w:pPr>
        <w:spacing w:after="0" w:line="480" w:lineRule="auto"/>
        <w:rPr>
          <w:b/>
          <w:bCs/>
          <w:sz w:val="24"/>
        </w:rPr>
      </w:pPr>
      <w:r w:rsidRPr="77F3F659">
        <w:rPr>
          <w:b/>
          <w:bCs/>
          <w:sz w:val="24"/>
        </w:rPr>
        <w:t>Round 1</w:t>
      </w:r>
    </w:p>
    <w:p w14:paraId="52DDF17D" w14:textId="17240083" w:rsidR="007C6785" w:rsidRPr="007C6785" w:rsidRDefault="020C191D" w:rsidP="020C191D">
      <w:pPr>
        <w:spacing w:line="480" w:lineRule="auto"/>
        <w:rPr>
          <w:sz w:val="24"/>
        </w:rPr>
      </w:pPr>
      <w:r w:rsidRPr="020C191D">
        <w:rPr>
          <w:sz w:val="24"/>
        </w:rPr>
        <w:t>The first round aimed to generate ideas for the six BCTs. W</w:t>
      </w:r>
      <w:r w:rsidRPr="020C191D">
        <w:rPr>
          <w:rFonts w:cs="Calibri"/>
          <w:sz w:val="24"/>
        </w:rPr>
        <w:t xml:space="preserve">e worked with each hospital co-design panel independently to </w:t>
      </w:r>
      <w:r w:rsidRPr="020C191D">
        <w:rPr>
          <w:rFonts w:cs="Calibri"/>
          <w:color w:val="000000" w:themeColor="text1"/>
          <w:sz w:val="24"/>
        </w:rPr>
        <w:t>ensure we could identify and address issues affecting acceptability and feasibility of the intervention specific to that hospital.</w:t>
      </w:r>
    </w:p>
    <w:p w14:paraId="4764B7A5" w14:textId="705BD4AD" w:rsidR="00074619" w:rsidRPr="00101A22" w:rsidRDefault="00101A22" w:rsidP="001076E1">
      <w:pPr>
        <w:spacing w:after="0" w:line="480" w:lineRule="auto"/>
        <w:rPr>
          <w:b/>
          <w:bCs/>
          <w:i/>
          <w:sz w:val="24"/>
        </w:rPr>
      </w:pPr>
      <w:bookmarkStart w:id="2" w:name="_Toc53569774"/>
      <w:r>
        <w:rPr>
          <w:b/>
          <w:bCs/>
          <w:i/>
          <w:sz w:val="24"/>
        </w:rPr>
        <w:t>Round 1 p</w:t>
      </w:r>
      <w:r w:rsidR="00074619" w:rsidRPr="00101A22">
        <w:rPr>
          <w:b/>
          <w:bCs/>
          <w:i/>
          <w:sz w:val="24"/>
        </w:rPr>
        <w:t xml:space="preserve">re-workshop </w:t>
      </w:r>
      <w:bookmarkEnd w:id="2"/>
      <w:r w:rsidR="00D90BA6" w:rsidRPr="00101A22">
        <w:rPr>
          <w:b/>
          <w:bCs/>
          <w:i/>
          <w:sz w:val="24"/>
        </w:rPr>
        <w:t>activity</w:t>
      </w:r>
    </w:p>
    <w:p w14:paraId="7DE620AF" w14:textId="609CE8DD" w:rsidR="00074619" w:rsidRDefault="020C191D" w:rsidP="020C191D">
      <w:pPr>
        <w:spacing w:line="480" w:lineRule="auto"/>
        <w:rPr>
          <w:rFonts w:cs="Calibri"/>
          <w:sz w:val="24"/>
        </w:rPr>
      </w:pPr>
      <w:r w:rsidRPr="020C191D">
        <w:rPr>
          <w:rFonts w:cs="Calibri"/>
          <w:sz w:val="24"/>
        </w:rPr>
        <w:t xml:space="preserve">We embedded a trigger film </w:t>
      </w:r>
      <w:r w:rsidR="003A086D" w:rsidRPr="020C191D">
        <w:rPr>
          <w:rFonts w:cs="Calibri"/>
          <w:sz w:val="24"/>
        </w:rPr>
        <w:fldChar w:fldCharType="begin"/>
      </w:r>
      <w:r w:rsidR="00FC7A29">
        <w:rPr>
          <w:rFonts w:cs="Calibri"/>
          <w:sz w:val="24"/>
        </w:rPr>
        <w:instrText xml:space="preserve"> ADDIN ZOTERO_ITEM CSL_CITATION {"citationID":"2WzCfi9Y","properties":{"formattedCitation":"(26)","plainCitation":"(26)","noteIndex":0},"citationItems":[{"id":"HaMovQnS/XLGQzkFM","uris":["http://zotero.org/users/6791840/items/R7Q4F7G3"],"itemData":{"id":548,"type":"article-journal","abstract":"Knowledge mobilisation is a term used in healthcare research to describe the process of generating, sharing and using evidence. ‘Co’approaches, such as co-production, co-design and co-creation, have been proposed as a way of overcoming the knowledge to practice gap. There is a need to understand why researchers choose to adopt these approaches, how they achieve knowledge mobilisation in the management of health conditions, and the extent to which knowledge mobilisation is accomplished.","container-title":"BMC Health Services Research","DOI":"10.1186/s12913-022-08079-y","ISSN":"1472-6963","issue":"1","journalAbbreviation":"BMC Health Services Research","page":"877","source":"BioMed Central","title":"The use of co-production, co-design and co-creation to mobilise knowledge in the management of health conditions: a systematic review","title-short":"The use of co-production, co-design and co-creation to mobilise knowledge in the management of health conditions","volume":"22","author":[{"family":"Grindell","given":"Cheryl"},{"family":"Coates","given":"Elizabeth"},{"family":"Croot","given":"Liz"},{"family":"O’Cathain","given":"Alicia"}],"issued":{"date-parts":[["2022",7,7]]}}}],"schema":"https://github.com/citation-style-language/schema/raw/master/csl-citation.json"} </w:instrText>
      </w:r>
      <w:r w:rsidR="003A086D" w:rsidRPr="020C191D">
        <w:rPr>
          <w:rFonts w:cs="Calibri"/>
          <w:sz w:val="24"/>
        </w:rPr>
        <w:fldChar w:fldCharType="separate"/>
      </w:r>
      <w:r w:rsidR="00FC7A29">
        <w:rPr>
          <w:rFonts w:cs="Calibri"/>
          <w:sz w:val="24"/>
        </w:rPr>
        <w:t>(26)</w:t>
      </w:r>
      <w:r w:rsidR="003A086D" w:rsidRPr="020C191D">
        <w:rPr>
          <w:rFonts w:cs="Calibri"/>
          <w:sz w:val="24"/>
        </w:rPr>
        <w:fldChar w:fldCharType="end"/>
      </w:r>
      <w:r w:rsidRPr="020C191D">
        <w:rPr>
          <w:rFonts w:cs="Calibri"/>
          <w:sz w:val="24"/>
        </w:rPr>
        <w:t xml:space="preserve"> introducing the barriers and enabler to deprescribing </w:t>
      </w:r>
      <w:r w:rsidR="003A086D" w:rsidRPr="020C191D">
        <w:rPr>
          <w:rFonts w:cs="Calibri"/>
          <w:sz w:val="24"/>
        </w:rPr>
        <w:fldChar w:fldCharType="begin"/>
      </w:r>
      <w:r w:rsidR="00FC7A29">
        <w:rPr>
          <w:rFonts w:cs="Calibri"/>
          <w:sz w:val="24"/>
        </w:rPr>
        <w:instrText xml:space="preserve"> ADDIN ZOTERO_ITEM CSL_CITATION {"citationID":"XX81RFcJ","properties":{"formattedCitation":"(25)","plainCitation":"(25)","noteIndex":0},"citationItems":[{"id":"HaMovQnS/LL299ZDx","uris":["http://zotero.org/users/6791840/items/RZIS68B7"],"itemData":{"id":109,"type":"article-journal","container-title":"Age and ageing","issue":"1","note":"publisher: Oxford University Press","page":"102–110","source":"Google Scholar","title":"Development of a hospital deprescribing implementation framework: a focus group study with geriatricians and pharmacists","title-short":"Development of a hospital deprescribing implementation framework","volume":"49","author":[{"family":"Scott","given":"Sion"},{"family":"Twigg","given":"Michael J."},{"family":"Clark","given":"Allan"},{"family":"Farrow","given":"Carol"},{"family":"May","given":"Helen"},{"family":"Patel","given":"Martyn"},{"family":"Taylor","given":"Johanna"},{"family":"Wright","given":"David J."},{"family":"Bhattacharya","given":"Debi"}],"issued":{"date-parts":[["2020"]]}}}],"schema":"https://github.com/citation-style-language/schema/raw/master/csl-citation.json"} </w:instrText>
      </w:r>
      <w:r w:rsidR="003A086D" w:rsidRPr="020C191D">
        <w:rPr>
          <w:rFonts w:cs="Calibri"/>
          <w:sz w:val="24"/>
        </w:rPr>
        <w:fldChar w:fldCharType="separate"/>
      </w:r>
      <w:r w:rsidR="00FC7A29">
        <w:rPr>
          <w:rFonts w:cs="Calibri"/>
          <w:sz w:val="24"/>
        </w:rPr>
        <w:t>(25)</w:t>
      </w:r>
      <w:r w:rsidR="003A086D" w:rsidRPr="020C191D">
        <w:rPr>
          <w:rFonts w:cs="Calibri"/>
          <w:sz w:val="24"/>
        </w:rPr>
        <w:fldChar w:fldCharType="end"/>
      </w:r>
      <w:r w:rsidRPr="020C191D">
        <w:rPr>
          <w:rFonts w:cs="Calibri"/>
          <w:sz w:val="24"/>
        </w:rPr>
        <w:t xml:space="preserve"> and the six BCTs </w:t>
      </w:r>
      <w:r w:rsidR="003A086D" w:rsidRPr="020C191D">
        <w:rPr>
          <w:rFonts w:cs="Calibri"/>
          <w:sz w:val="24"/>
        </w:rPr>
        <w:fldChar w:fldCharType="begin"/>
      </w:r>
      <w:r w:rsidR="00115942">
        <w:rPr>
          <w:rFonts w:cs="Calibri"/>
          <w:sz w:val="24"/>
        </w:rPr>
        <w:instrText xml:space="preserve"> ADDIN ZOTERO_ITEM CSL_CITATION {"citationID":"oM7kvtk0","properties":{"formattedCitation":"(6)","plainCitation":"(6)","dontUpdate":true,"noteIndex":0},"citationItems":[{"id":"HaMovQnS/WoH6uLMp","uris":["http://zotero.org/users/6791840/items/SAZ9RXJD"],"itemData":{"id":190,"type":"article-journal","container-title":"Age and ageing","issue":"2","note":"publisher: Oxford University Press","page":"581–586","source":"Google Scholar","title":"A practitioner behaviour change intervention for deprescribing in the hospital setting","volume":"50","author":[{"family":"Scott","given":"Sion"},{"family":"May","given":"Helen"},{"family":"Patel","given":"Martyn"},{"family":"Wright","given":"David J."},{"family":"Bhattacharya","given":"Debi"}],"issued":{"date-parts":[["2021"]]}}}],"schema":"https://github.com/citation-style-language/schema/raw/master/csl-citation.json"} </w:instrText>
      </w:r>
      <w:r w:rsidR="003A086D" w:rsidRPr="020C191D">
        <w:rPr>
          <w:rFonts w:cs="Calibri"/>
          <w:sz w:val="24"/>
        </w:rPr>
        <w:fldChar w:fldCharType="separate"/>
      </w:r>
      <w:r w:rsidRPr="020C191D">
        <w:rPr>
          <w:rFonts w:cs="Calibri"/>
          <w:sz w:val="24"/>
        </w:rPr>
        <w:t xml:space="preserve">(6) </w:t>
      </w:r>
      <w:r w:rsidR="003A086D" w:rsidRPr="020C191D">
        <w:rPr>
          <w:rFonts w:cs="Calibri"/>
          <w:sz w:val="24"/>
        </w:rPr>
        <w:fldChar w:fldCharType="end"/>
      </w:r>
      <w:r w:rsidRPr="020C191D">
        <w:rPr>
          <w:rFonts w:cs="Calibri"/>
          <w:sz w:val="24"/>
        </w:rPr>
        <w:t>into an online survey. Ahead of Round 1 workshops, we asked panel members to view the video and to record their initial ideas about how the BCTs could be operationalised at their hospital.</w:t>
      </w:r>
    </w:p>
    <w:p w14:paraId="5E91BE7B" w14:textId="7DBC27E4" w:rsidR="00B946D4" w:rsidRPr="00101A22" w:rsidRDefault="00101A22" w:rsidP="001076E1">
      <w:pPr>
        <w:spacing w:after="0" w:line="480" w:lineRule="auto"/>
        <w:rPr>
          <w:rFonts w:asciiTheme="minorHAnsi" w:hAnsiTheme="minorHAnsi" w:cstheme="minorBidi"/>
          <w:b/>
          <w:bCs/>
          <w:i/>
          <w:color w:val="000000" w:themeColor="text1"/>
          <w:sz w:val="24"/>
        </w:rPr>
      </w:pPr>
      <w:r w:rsidRPr="00101A22">
        <w:rPr>
          <w:rFonts w:asciiTheme="minorHAnsi" w:hAnsiTheme="minorHAnsi" w:cstheme="minorBidi"/>
          <w:b/>
          <w:bCs/>
          <w:i/>
          <w:color w:val="000000" w:themeColor="text1"/>
          <w:sz w:val="24"/>
        </w:rPr>
        <w:t>Round 1 w</w:t>
      </w:r>
      <w:r w:rsidR="0069047E" w:rsidRPr="00101A22">
        <w:rPr>
          <w:rFonts w:asciiTheme="minorHAnsi" w:hAnsiTheme="minorHAnsi" w:cstheme="minorBidi"/>
          <w:b/>
          <w:bCs/>
          <w:i/>
          <w:color w:val="000000" w:themeColor="text1"/>
          <w:sz w:val="24"/>
        </w:rPr>
        <w:t>orkshops</w:t>
      </w:r>
    </w:p>
    <w:p w14:paraId="6593A3A4" w14:textId="4B19B7B3" w:rsidR="009B4059" w:rsidRPr="00862AEC" w:rsidRDefault="1A0FCC0B" w:rsidP="00B82B2D">
      <w:pPr>
        <w:spacing w:line="480" w:lineRule="auto"/>
        <w:rPr>
          <w:rFonts w:asciiTheme="minorHAnsi" w:hAnsiTheme="minorHAnsi" w:cstheme="minorBidi"/>
          <w:color w:val="000000" w:themeColor="text1"/>
          <w:sz w:val="24"/>
        </w:rPr>
      </w:pPr>
      <w:r w:rsidRPr="51A42684">
        <w:rPr>
          <w:rFonts w:asciiTheme="minorHAnsi" w:hAnsiTheme="minorHAnsi" w:cstheme="minorBidi"/>
          <w:color w:val="000000" w:themeColor="text1"/>
          <w:sz w:val="24"/>
        </w:rPr>
        <w:t>To help guide the ideation process, w</w:t>
      </w:r>
      <w:r w:rsidR="0048ADA8" w:rsidRPr="51A42684">
        <w:rPr>
          <w:rFonts w:asciiTheme="minorHAnsi" w:hAnsiTheme="minorHAnsi" w:cstheme="minorBidi"/>
          <w:color w:val="000000" w:themeColor="text1"/>
          <w:sz w:val="24"/>
        </w:rPr>
        <w:t xml:space="preserve">e </w:t>
      </w:r>
      <w:r w:rsidRPr="51A42684">
        <w:rPr>
          <w:rFonts w:asciiTheme="minorHAnsi" w:hAnsiTheme="minorHAnsi" w:cstheme="minorBidi"/>
          <w:color w:val="000000" w:themeColor="text1"/>
          <w:sz w:val="24"/>
        </w:rPr>
        <w:t>introduced</w:t>
      </w:r>
      <w:r w:rsidR="0048ADA8" w:rsidRPr="51A42684">
        <w:rPr>
          <w:rFonts w:asciiTheme="minorHAnsi" w:hAnsiTheme="minorHAnsi" w:cstheme="minorBidi"/>
          <w:color w:val="000000" w:themeColor="text1"/>
          <w:sz w:val="24"/>
        </w:rPr>
        <w:t xml:space="preserve"> </w:t>
      </w:r>
      <w:r w:rsidR="13ACB775" w:rsidRPr="51A42684">
        <w:rPr>
          <w:rFonts w:asciiTheme="minorHAnsi" w:hAnsiTheme="minorHAnsi" w:cstheme="minorBidi"/>
          <w:color w:val="000000" w:themeColor="text1"/>
          <w:sz w:val="24"/>
        </w:rPr>
        <w:t>geriatrician and pharmacist</w:t>
      </w:r>
      <w:r w:rsidR="38C68370" w:rsidRPr="51A42684">
        <w:rPr>
          <w:rFonts w:asciiTheme="minorHAnsi" w:hAnsiTheme="minorHAnsi" w:cstheme="minorBidi"/>
          <w:color w:val="000000" w:themeColor="text1"/>
          <w:sz w:val="24"/>
        </w:rPr>
        <w:t xml:space="preserve"> </w:t>
      </w:r>
      <w:r w:rsidR="76982B31" w:rsidRPr="51A42684">
        <w:rPr>
          <w:rFonts w:asciiTheme="minorHAnsi" w:hAnsiTheme="minorHAnsi" w:cstheme="minorBidi"/>
          <w:color w:val="000000" w:themeColor="text1"/>
          <w:sz w:val="24"/>
        </w:rPr>
        <w:t>personas</w:t>
      </w:r>
      <w:r w:rsidR="00862AEC">
        <w:rPr>
          <w:rFonts w:asciiTheme="minorHAnsi" w:hAnsiTheme="minorHAnsi" w:cstheme="minorBidi"/>
          <w:color w:val="000000" w:themeColor="text1"/>
          <w:sz w:val="24"/>
        </w:rPr>
        <w:t xml:space="preserve"> to present experiences expressed in a previous focus group study relating to the </w:t>
      </w:r>
      <w:r w:rsidR="00862AEC" w:rsidRPr="51A42684">
        <w:rPr>
          <w:rFonts w:asciiTheme="minorHAnsi" w:hAnsiTheme="minorHAnsi" w:cstheme="minorBidi"/>
          <w:color w:val="000000" w:themeColor="text1"/>
          <w:sz w:val="24"/>
        </w:rPr>
        <w:t>barriers and enabler</w:t>
      </w:r>
      <w:r w:rsidR="00862AEC">
        <w:rPr>
          <w:rFonts w:asciiTheme="minorHAnsi" w:hAnsiTheme="minorHAnsi" w:cstheme="minorBidi"/>
          <w:color w:val="000000" w:themeColor="text1"/>
          <w:sz w:val="24"/>
        </w:rPr>
        <w:fldChar w:fldCharType="begin"/>
      </w:r>
      <w:r w:rsidR="00FC7A29">
        <w:rPr>
          <w:rFonts w:asciiTheme="minorHAnsi" w:hAnsiTheme="minorHAnsi" w:cstheme="minorBidi"/>
          <w:color w:val="000000" w:themeColor="text1"/>
          <w:sz w:val="24"/>
        </w:rPr>
        <w:instrText xml:space="preserve"> ADDIN ZOTERO_ITEM CSL_CITATION {"citationID":"J0kzwSBI","properties":{"formattedCitation":"(25)","plainCitation":"(25)","noteIndex":0},"citationItems":[{"id":"HaMovQnS/LL299ZDx","uris":["http://zotero.org/users/6791840/items/RZIS68B7"],"itemData":{"id":109,"type":"article-journal","container-title":"Age and ageing","issue":"1","note":"publisher: Oxford University Press","page":"102–110","source":"Google Scholar","title":"Development of a hospital deprescribing implementation framework: a focus group study with geriatricians and pharmacists","title-short":"Development of a hospital deprescribing implementation framework","volume":"49","author":[{"family":"Scott","given":"Sion"},{"family":"Twigg","given":"Michael J."},{"family":"Clark","given":"Allan"},{"family":"Farrow","given":"Carol"},{"family":"May","given":"Helen"},{"family":"Patel","given":"Martyn"},{"family":"Taylor","given":"Johanna"},{"family":"Wright","given":"David J."},{"family":"Bhattacharya","given":"Debi"}],"issued":{"date-parts":[["2020"]]}}}],"schema":"https://github.com/citation-style-language/schema/raw/master/csl-citation.json"} </w:instrText>
      </w:r>
      <w:r w:rsidR="00862AEC">
        <w:rPr>
          <w:rFonts w:asciiTheme="minorHAnsi" w:hAnsiTheme="minorHAnsi" w:cstheme="minorBidi"/>
          <w:color w:val="000000" w:themeColor="text1"/>
          <w:sz w:val="24"/>
        </w:rPr>
        <w:fldChar w:fldCharType="separate"/>
      </w:r>
      <w:r w:rsidR="00FC7A29">
        <w:rPr>
          <w:rFonts w:cs="Calibri"/>
          <w:sz w:val="24"/>
        </w:rPr>
        <w:t>(25)</w:t>
      </w:r>
      <w:r w:rsidR="00862AEC">
        <w:rPr>
          <w:rFonts w:asciiTheme="minorHAnsi" w:hAnsiTheme="minorHAnsi" w:cstheme="minorBidi"/>
          <w:color w:val="000000" w:themeColor="text1"/>
          <w:sz w:val="24"/>
        </w:rPr>
        <w:fldChar w:fldCharType="end"/>
      </w:r>
      <w:r w:rsidR="00862AEC">
        <w:rPr>
          <w:rFonts w:asciiTheme="minorHAnsi" w:hAnsiTheme="minorHAnsi" w:cstheme="minorBidi"/>
          <w:color w:val="000000" w:themeColor="text1"/>
          <w:sz w:val="24"/>
        </w:rPr>
        <w:t xml:space="preserve"> to deprescribing</w:t>
      </w:r>
      <w:r w:rsidR="00862AEC" w:rsidRPr="51A42684">
        <w:rPr>
          <w:rFonts w:asciiTheme="minorHAnsi" w:hAnsiTheme="minorHAnsi" w:cstheme="minorBidi"/>
          <w:color w:val="000000" w:themeColor="text1"/>
          <w:sz w:val="24"/>
        </w:rPr>
        <w:t xml:space="preserve"> that the CHARMER intervention seeks to address (</w:t>
      </w:r>
      <w:r w:rsidR="00862AEC" w:rsidRPr="51A42684">
        <w:rPr>
          <w:rFonts w:cs="Calibri"/>
          <w:sz w:val="24"/>
        </w:rPr>
        <w:t>Supplementary file 1)</w:t>
      </w:r>
      <w:r w:rsidR="00862AEC">
        <w:rPr>
          <w:rFonts w:cs="Calibri"/>
          <w:sz w:val="24"/>
        </w:rPr>
        <w:fldChar w:fldCharType="begin"/>
      </w:r>
      <w:r w:rsidR="00FC7A29">
        <w:rPr>
          <w:rFonts w:cs="Calibri"/>
          <w:sz w:val="24"/>
        </w:rPr>
        <w:instrText xml:space="preserve"> ADDIN ZOTERO_ITEM CSL_CITATION {"citationID":"vq9dn1E6","properties":{"formattedCitation":"(26)","plainCitation":"(26)","noteIndex":0},"citationItems":[{"id":"HaMovQnS/XLGQzkFM","uris":["http://zotero.org/users/6791840/items/R7Q4F7G3"],"itemData":{"id":548,"type":"article-journal","abstract":"Knowledge mobilisation is a term used in healthcare research to describe the process of generating, sharing and using evidence. ‘Co’approaches, such as co-production, co-design and co-creation, have been proposed as a way of overcoming the knowledge to practice gap. There is a need to understand why researchers choose to adopt these approaches, how they achieve knowledge mobilisation in the management of health conditions, and the extent to which knowledge mobilisation is accomplished.","container-title":"BMC Health Services Research","DOI":"10.1186/s12913-022-08079-y","ISSN":"1472-6963","issue":"1","journalAbbreviation":"BMC Health Services Research","page":"877","source":"BioMed Central","title":"The use of co-production, co-design and co-creation to mobilise knowledge in the management of health conditions: a systematic review","title-short":"The use of co-production, co-design and co-creation to mobilise knowledge in the management of health conditions","volume":"22","author":[{"family":"Grindell","given":"Cheryl"},{"family":"Coates","given":"Elizabeth"},{"family":"Croot","given":"Liz"},{"family":"O’Cathain","given":"Alicia"}],"issued":{"date-parts":[["2022",7,7]]}}}],"schema":"https://github.com/citation-style-language/schema/raw/master/csl-citation.json"} </w:instrText>
      </w:r>
      <w:r w:rsidR="00862AEC">
        <w:rPr>
          <w:rFonts w:cs="Calibri"/>
          <w:sz w:val="24"/>
        </w:rPr>
        <w:fldChar w:fldCharType="separate"/>
      </w:r>
      <w:r w:rsidR="00FC7A29">
        <w:rPr>
          <w:rFonts w:cs="Calibri"/>
          <w:sz w:val="24"/>
        </w:rPr>
        <w:t>(26)</w:t>
      </w:r>
      <w:r w:rsidR="00862AEC">
        <w:rPr>
          <w:rFonts w:cs="Calibri"/>
          <w:sz w:val="24"/>
        </w:rPr>
        <w:fldChar w:fldCharType="end"/>
      </w:r>
      <w:r w:rsidR="00862AEC" w:rsidRPr="51A42684">
        <w:rPr>
          <w:rFonts w:cs="Calibri"/>
          <w:sz w:val="24"/>
        </w:rPr>
        <w:t>.</w:t>
      </w:r>
      <w:r w:rsidR="00862AEC">
        <w:rPr>
          <w:rFonts w:cs="Calibri"/>
          <w:sz w:val="24"/>
        </w:rPr>
        <w:t xml:space="preserve"> </w:t>
      </w:r>
      <w:r w:rsidR="26A51614" w:rsidRPr="51A42684">
        <w:rPr>
          <w:rFonts w:cs="Calibri"/>
          <w:sz w:val="24"/>
        </w:rPr>
        <w:t xml:space="preserve">We </w:t>
      </w:r>
      <w:r w:rsidR="00862AEC">
        <w:rPr>
          <w:rFonts w:cs="Calibri"/>
          <w:sz w:val="24"/>
        </w:rPr>
        <w:t xml:space="preserve">then </w:t>
      </w:r>
      <w:r w:rsidR="26A51614" w:rsidRPr="51A42684">
        <w:rPr>
          <w:rFonts w:cs="Calibri"/>
          <w:sz w:val="24"/>
        </w:rPr>
        <w:t xml:space="preserve">asked </w:t>
      </w:r>
      <w:r w:rsidR="200A1DC8" w:rsidRPr="51A42684">
        <w:rPr>
          <w:rFonts w:cs="Calibri"/>
          <w:sz w:val="24"/>
        </w:rPr>
        <w:t>panel members</w:t>
      </w:r>
      <w:r w:rsidR="26A51614" w:rsidRPr="51A42684">
        <w:rPr>
          <w:rFonts w:cs="Calibri"/>
          <w:sz w:val="24"/>
        </w:rPr>
        <w:t xml:space="preserve"> </w:t>
      </w:r>
      <w:r w:rsidR="29C5227A" w:rsidRPr="51A42684">
        <w:rPr>
          <w:rFonts w:cs="Calibri"/>
          <w:sz w:val="24"/>
        </w:rPr>
        <w:t xml:space="preserve">to discuss </w:t>
      </w:r>
      <w:r w:rsidR="00862AEC">
        <w:rPr>
          <w:rFonts w:cs="Calibri"/>
          <w:sz w:val="24"/>
        </w:rPr>
        <w:t>how the</w:t>
      </w:r>
      <w:r w:rsidR="29C5227A" w:rsidRPr="51A42684">
        <w:rPr>
          <w:rFonts w:cs="Calibri"/>
          <w:sz w:val="24"/>
        </w:rPr>
        <w:t xml:space="preserve"> barriers and enabler</w:t>
      </w:r>
      <w:r w:rsidR="00862AEC">
        <w:rPr>
          <w:rFonts w:cs="Calibri"/>
          <w:sz w:val="24"/>
        </w:rPr>
        <w:t xml:space="preserve"> influence deprescribing practice through a journey mapping exercise, followed by</w:t>
      </w:r>
      <w:r w:rsidR="29C5227A" w:rsidRPr="51A42684">
        <w:rPr>
          <w:rFonts w:cs="Calibri"/>
          <w:sz w:val="24"/>
        </w:rPr>
        <w:t xml:space="preserve"> </w:t>
      </w:r>
      <w:r w:rsidR="26A51614" w:rsidRPr="51A42684">
        <w:rPr>
          <w:rFonts w:cs="Calibri"/>
          <w:sz w:val="24"/>
        </w:rPr>
        <w:lastRenderedPageBreak/>
        <w:t>brainstor</w:t>
      </w:r>
      <w:r w:rsidR="29C5227A" w:rsidRPr="51A42684">
        <w:rPr>
          <w:rFonts w:cs="Calibri"/>
          <w:sz w:val="24"/>
        </w:rPr>
        <w:t>m</w:t>
      </w:r>
      <w:r w:rsidR="0095557C">
        <w:rPr>
          <w:rFonts w:cs="Calibri"/>
          <w:sz w:val="24"/>
        </w:rPr>
        <w:t>ing</w:t>
      </w:r>
      <w:r w:rsidR="29C5227A" w:rsidRPr="51A42684">
        <w:rPr>
          <w:rFonts w:cs="Calibri"/>
          <w:sz w:val="24"/>
        </w:rPr>
        <w:t xml:space="preserve"> ideas for</w:t>
      </w:r>
      <w:r w:rsidR="200A1DC8" w:rsidRPr="51A42684">
        <w:rPr>
          <w:rFonts w:cs="Calibri"/>
          <w:sz w:val="24"/>
        </w:rPr>
        <w:t xml:space="preserve"> how the relevant BCT(s) to address them could be operationalised</w:t>
      </w:r>
      <w:r w:rsidR="2A4F9154" w:rsidRPr="51A42684">
        <w:rPr>
          <w:rFonts w:cs="Calibri"/>
          <w:sz w:val="24"/>
        </w:rPr>
        <w:t>, emphasising free flow of ideas regardless of acceptability and feasibility at this stage</w:t>
      </w:r>
      <w:r w:rsidR="200A1DC8" w:rsidRPr="51A42684">
        <w:rPr>
          <w:rFonts w:cs="Calibri"/>
          <w:sz w:val="24"/>
        </w:rPr>
        <w:t xml:space="preserve">. </w:t>
      </w:r>
      <w:r w:rsidR="7659BE25" w:rsidRPr="51A42684">
        <w:rPr>
          <w:rFonts w:asciiTheme="minorHAnsi" w:hAnsiTheme="minorHAnsi" w:cstheme="minorBidi"/>
          <w:color w:val="000000" w:themeColor="text1"/>
          <w:sz w:val="24"/>
        </w:rPr>
        <w:t>W</w:t>
      </w:r>
      <w:r w:rsidR="72EDB1F1" w:rsidRPr="51A42684">
        <w:rPr>
          <w:rFonts w:asciiTheme="minorHAnsi" w:hAnsiTheme="minorHAnsi" w:cstheme="minorBidi"/>
          <w:color w:val="000000" w:themeColor="text1"/>
          <w:sz w:val="24"/>
        </w:rPr>
        <w:t>e</w:t>
      </w:r>
      <w:r w:rsidR="7659BE25" w:rsidRPr="51A42684">
        <w:rPr>
          <w:rFonts w:asciiTheme="minorHAnsi" w:hAnsiTheme="minorHAnsi" w:cstheme="minorBidi"/>
          <w:color w:val="000000" w:themeColor="text1"/>
          <w:sz w:val="24"/>
        </w:rPr>
        <w:t xml:space="preserve"> then</w:t>
      </w:r>
      <w:r w:rsidR="116094DB" w:rsidRPr="51A42684">
        <w:rPr>
          <w:rFonts w:asciiTheme="minorHAnsi" w:hAnsiTheme="minorHAnsi" w:cstheme="minorBidi"/>
          <w:color w:val="000000" w:themeColor="text1"/>
          <w:sz w:val="24"/>
        </w:rPr>
        <w:t xml:space="preserve"> </w:t>
      </w:r>
      <w:r w:rsidR="2262F39D" w:rsidRPr="51A42684">
        <w:rPr>
          <w:rFonts w:asciiTheme="minorHAnsi" w:hAnsiTheme="minorHAnsi" w:cstheme="minorBidi"/>
          <w:color w:val="000000" w:themeColor="text1"/>
          <w:sz w:val="24"/>
        </w:rPr>
        <w:t xml:space="preserve">presented </w:t>
      </w:r>
      <w:r w:rsidR="26A51614" w:rsidRPr="51A42684">
        <w:rPr>
          <w:rFonts w:asciiTheme="minorHAnsi" w:hAnsiTheme="minorHAnsi" w:cstheme="minorBidi"/>
          <w:color w:val="000000" w:themeColor="text1"/>
          <w:sz w:val="24"/>
        </w:rPr>
        <w:t>a summary of</w:t>
      </w:r>
      <w:r w:rsidR="2262F39D" w:rsidRPr="51A42684">
        <w:rPr>
          <w:rFonts w:asciiTheme="minorHAnsi" w:hAnsiTheme="minorHAnsi" w:cstheme="minorBidi"/>
          <w:color w:val="000000" w:themeColor="text1"/>
          <w:sz w:val="24"/>
        </w:rPr>
        <w:t xml:space="preserve"> the pre-workshop activity</w:t>
      </w:r>
      <w:r w:rsidR="0607BF7F" w:rsidRPr="51A42684">
        <w:rPr>
          <w:rFonts w:asciiTheme="minorHAnsi" w:hAnsiTheme="minorHAnsi" w:cstheme="minorBidi"/>
          <w:color w:val="000000" w:themeColor="text1"/>
          <w:sz w:val="24"/>
        </w:rPr>
        <w:t xml:space="preserve"> ideas</w:t>
      </w:r>
      <w:r w:rsidR="2262F39D" w:rsidRPr="51A42684">
        <w:rPr>
          <w:rFonts w:asciiTheme="minorHAnsi" w:hAnsiTheme="minorHAnsi" w:cstheme="minorBidi"/>
          <w:color w:val="000000" w:themeColor="text1"/>
          <w:sz w:val="24"/>
        </w:rPr>
        <w:t xml:space="preserve"> </w:t>
      </w:r>
      <w:r w:rsidR="200A1DC8" w:rsidRPr="51A42684">
        <w:rPr>
          <w:rFonts w:asciiTheme="minorHAnsi" w:hAnsiTheme="minorHAnsi" w:cstheme="minorBidi"/>
          <w:color w:val="000000" w:themeColor="text1"/>
          <w:sz w:val="24"/>
        </w:rPr>
        <w:t>to generate</w:t>
      </w:r>
      <w:r w:rsidR="7EA699C1" w:rsidRPr="51A42684">
        <w:rPr>
          <w:rFonts w:asciiTheme="minorHAnsi" w:hAnsiTheme="minorHAnsi" w:cstheme="minorBidi"/>
          <w:color w:val="000000" w:themeColor="text1"/>
          <w:sz w:val="24"/>
        </w:rPr>
        <w:t xml:space="preserve"> further </w:t>
      </w:r>
      <w:r w:rsidR="0A927FC9" w:rsidRPr="51A42684">
        <w:rPr>
          <w:rFonts w:asciiTheme="minorHAnsi" w:hAnsiTheme="minorHAnsi" w:cstheme="minorBidi"/>
          <w:color w:val="000000" w:themeColor="text1"/>
          <w:sz w:val="24"/>
        </w:rPr>
        <w:t>discussion.</w:t>
      </w:r>
      <w:r w:rsidR="35A8DC42" w:rsidRPr="51A42684">
        <w:rPr>
          <w:rFonts w:asciiTheme="minorHAnsi" w:hAnsiTheme="minorHAnsi" w:cstheme="minorBidi"/>
          <w:color w:val="000000" w:themeColor="text1"/>
          <w:sz w:val="24"/>
        </w:rPr>
        <w:t xml:space="preserve"> </w:t>
      </w:r>
      <w:r w:rsidR="200A1DC8" w:rsidRPr="51A42684">
        <w:rPr>
          <w:rFonts w:asciiTheme="minorHAnsi" w:hAnsiTheme="minorHAnsi" w:cstheme="minorBidi"/>
          <w:color w:val="000000" w:themeColor="text1"/>
          <w:sz w:val="24"/>
        </w:rPr>
        <w:t xml:space="preserve">The discussion then focussed on evaluating the </w:t>
      </w:r>
      <w:r w:rsidR="44DBE6BC" w:rsidRPr="51A42684">
        <w:rPr>
          <w:rFonts w:asciiTheme="minorHAnsi" w:hAnsiTheme="minorHAnsi" w:cstheme="minorBidi"/>
          <w:color w:val="000000" w:themeColor="text1"/>
          <w:sz w:val="24"/>
        </w:rPr>
        <w:t>feasibility and accep</w:t>
      </w:r>
      <w:r w:rsidR="200A1DC8" w:rsidRPr="51A42684">
        <w:rPr>
          <w:rFonts w:asciiTheme="minorHAnsi" w:hAnsiTheme="minorHAnsi" w:cstheme="minorBidi"/>
          <w:color w:val="000000" w:themeColor="text1"/>
          <w:sz w:val="24"/>
        </w:rPr>
        <w:t>tability of each idea.</w:t>
      </w:r>
    </w:p>
    <w:p w14:paraId="4007FCEB" w14:textId="33EF2A2B" w:rsidR="004D624C" w:rsidRPr="00101A22" w:rsidRDefault="00101A22" w:rsidP="001076E1">
      <w:pPr>
        <w:spacing w:after="0" w:line="480" w:lineRule="auto"/>
        <w:rPr>
          <w:rFonts w:asciiTheme="minorHAnsi" w:hAnsiTheme="minorHAnsi" w:cstheme="minorBidi"/>
          <w:b/>
          <w:bCs/>
          <w:i/>
          <w:color w:val="000000" w:themeColor="text1"/>
          <w:sz w:val="24"/>
        </w:rPr>
      </w:pPr>
      <w:r w:rsidRPr="00101A22">
        <w:rPr>
          <w:rFonts w:asciiTheme="minorHAnsi" w:hAnsiTheme="minorHAnsi" w:cstheme="minorBidi"/>
          <w:b/>
          <w:bCs/>
          <w:i/>
          <w:color w:val="000000" w:themeColor="text1"/>
          <w:sz w:val="24"/>
        </w:rPr>
        <w:t>Round 1 s</w:t>
      </w:r>
      <w:r w:rsidR="004D624C" w:rsidRPr="00101A22">
        <w:rPr>
          <w:rFonts w:asciiTheme="minorHAnsi" w:hAnsiTheme="minorHAnsi" w:cstheme="minorBidi"/>
          <w:b/>
          <w:bCs/>
          <w:i/>
          <w:color w:val="000000" w:themeColor="text1"/>
          <w:sz w:val="24"/>
        </w:rPr>
        <w:t>ynthesis session</w:t>
      </w:r>
    </w:p>
    <w:p w14:paraId="64066FEB" w14:textId="0FDFED31" w:rsidR="004D624C" w:rsidRPr="00C9349C" w:rsidRDefault="020C191D" w:rsidP="020C191D">
      <w:pPr>
        <w:spacing w:line="480" w:lineRule="auto"/>
        <w:rPr>
          <w:rFonts w:asciiTheme="minorHAnsi" w:hAnsiTheme="minorHAnsi" w:cstheme="minorBidi"/>
          <w:color w:val="000000" w:themeColor="text1"/>
          <w:sz w:val="24"/>
        </w:rPr>
      </w:pPr>
      <w:r w:rsidRPr="020C191D">
        <w:rPr>
          <w:rFonts w:asciiTheme="minorHAnsi" w:hAnsiTheme="minorHAnsi" w:cstheme="minorBidi"/>
          <w:color w:val="000000" w:themeColor="text1"/>
          <w:sz w:val="24"/>
        </w:rPr>
        <w:t>The research team which includes patient representatives, behavioural scientists, geriatricians and pharmacists, synthesised the BCT operationalisation ideas from the three hospitals into a matrix which presented the operationalisation idea, the content, duration/intensity and mode of delivery to populate for each BCT.</w:t>
      </w:r>
    </w:p>
    <w:p w14:paraId="4C6D9D48" w14:textId="4EEA4A9B" w:rsidR="004D624C" w:rsidRDefault="004D624C" w:rsidP="00891D32">
      <w:pPr>
        <w:spacing w:after="0" w:line="480" w:lineRule="auto"/>
        <w:rPr>
          <w:b/>
          <w:bCs/>
          <w:sz w:val="24"/>
          <w:szCs w:val="28"/>
        </w:rPr>
      </w:pPr>
      <w:r w:rsidRPr="003F6D7C">
        <w:rPr>
          <w:b/>
          <w:bCs/>
          <w:sz w:val="24"/>
          <w:szCs w:val="28"/>
        </w:rPr>
        <w:t>Round 2</w:t>
      </w:r>
    </w:p>
    <w:p w14:paraId="6A7E0194" w14:textId="34361CD0" w:rsidR="007C6785" w:rsidRPr="007C6785" w:rsidRDefault="007C6785" w:rsidP="00B82B2D">
      <w:pPr>
        <w:spacing w:line="480" w:lineRule="auto"/>
        <w:rPr>
          <w:sz w:val="24"/>
        </w:rPr>
      </w:pPr>
      <w:r w:rsidRPr="77F3F659">
        <w:rPr>
          <w:sz w:val="24"/>
        </w:rPr>
        <w:t>The aim of the second round was to</w:t>
      </w:r>
      <w:r w:rsidR="00F63935" w:rsidRPr="77F3F659">
        <w:rPr>
          <w:sz w:val="24"/>
        </w:rPr>
        <w:t xml:space="preserve"> reach a consensus about which of the</w:t>
      </w:r>
      <w:r w:rsidR="000A6B24" w:rsidRPr="77F3F659">
        <w:rPr>
          <w:sz w:val="24"/>
        </w:rPr>
        <w:t xml:space="preserve"> </w:t>
      </w:r>
      <w:r w:rsidR="34C804D8" w:rsidRPr="77F3F659">
        <w:rPr>
          <w:sz w:val="24"/>
        </w:rPr>
        <w:t>R</w:t>
      </w:r>
      <w:r w:rsidR="000A6B24" w:rsidRPr="77F3F659">
        <w:rPr>
          <w:sz w:val="24"/>
        </w:rPr>
        <w:t xml:space="preserve">ound </w:t>
      </w:r>
      <w:r w:rsidR="3EF53970" w:rsidRPr="77F3F659">
        <w:rPr>
          <w:sz w:val="24"/>
        </w:rPr>
        <w:t>1</w:t>
      </w:r>
      <w:r w:rsidR="000A6B24" w:rsidRPr="77F3F659">
        <w:rPr>
          <w:sz w:val="24"/>
        </w:rPr>
        <w:t xml:space="preserve"> BCT operationalisation</w:t>
      </w:r>
      <w:r w:rsidR="00F63935" w:rsidRPr="77F3F659">
        <w:rPr>
          <w:sz w:val="24"/>
        </w:rPr>
        <w:t xml:space="preserve"> ideas were most promising</w:t>
      </w:r>
      <w:r w:rsidR="009674FF" w:rsidRPr="77F3F659">
        <w:rPr>
          <w:sz w:val="24"/>
        </w:rPr>
        <w:t>,</w:t>
      </w:r>
      <w:r w:rsidR="00F63935" w:rsidRPr="77F3F659">
        <w:rPr>
          <w:sz w:val="24"/>
        </w:rPr>
        <w:t xml:space="preserve"> and </w:t>
      </w:r>
      <w:r w:rsidR="000A6B24" w:rsidRPr="77F3F659">
        <w:rPr>
          <w:sz w:val="24"/>
        </w:rPr>
        <w:t>then refine their</w:t>
      </w:r>
      <w:r w:rsidR="00F63935" w:rsidRPr="77F3F659">
        <w:rPr>
          <w:sz w:val="24"/>
        </w:rPr>
        <w:t xml:space="preserve"> content, mode of delivery and </w:t>
      </w:r>
      <w:r w:rsidR="00196126" w:rsidRPr="77F3F659">
        <w:rPr>
          <w:sz w:val="24"/>
        </w:rPr>
        <w:t>duration</w:t>
      </w:r>
      <w:r w:rsidR="00F27C09" w:rsidRPr="77F3F659">
        <w:rPr>
          <w:sz w:val="24"/>
        </w:rPr>
        <w:t>/</w:t>
      </w:r>
      <w:r w:rsidR="00196126" w:rsidRPr="77F3F659">
        <w:rPr>
          <w:sz w:val="24"/>
        </w:rPr>
        <w:t>intensity</w:t>
      </w:r>
      <w:r w:rsidR="000A6B24" w:rsidRPr="77F3F659">
        <w:rPr>
          <w:sz w:val="24"/>
        </w:rPr>
        <w:t>.</w:t>
      </w:r>
    </w:p>
    <w:p w14:paraId="1737324E" w14:textId="5303FA5F" w:rsidR="004D624C" w:rsidRPr="00951CBF" w:rsidRDefault="00951CBF" w:rsidP="00891D32">
      <w:pPr>
        <w:spacing w:after="0" w:line="480" w:lineRule="auto"/>
        <w:rPr>
          <w:b/>
          <w:bCs/>
          <w:i/>
          <w:iCs/>
          <w:sz w:val="24"/>
        </w:rPr>
      </w:pPr>
      <w:r w:rsidRPr="00951CBF">
        <w:rPr>
          <w:b/>
          <w:bCs/>
          <w:i/>
          <w:iCs/>
          <w:sz w:val="24"/>
        </w:rPr>
        <w:t>Round 2 p</w:t>
      </w:r>
      <w:r w:rsidR="004D624C" w:rsidRPr="00951CBF">
        <w:rPr>
          <w:b/>
          <w:bCs/>
          <w:i/>
          <w:iCs/>
          <w:sz w:val="24"/>
        </w:rPr>
        <w:t xml:space="preserve">re-workshop </w:t>
      </w:r>
      <w:r w:rsidR="000A2D39" w:rsidRPr="00951CBF">
        <w:rPr>
          <w:b/>
          <w:bCs/>
          <w:i/>
          <w:iCs/>
          <w:sz w:val="24"/>
        </w:rPr>
        <w:t>activity</w:t>
      </w:r>
    </w:p>
    <w:p w14:paraId="31413FB8" w14:textId="7B5C79B0" w:rsidR="004D624C" w:rsidRDefault="001929A8" w:rsidP="00B82B2D">
      <w:pPr>
        <w:spacing w:line="480" w:lineRule="auto"/>
        <w:rPr>
          <w:color w:val="000000" w:themeColor="text1"/>
          <w:sz w:val="24"/>
        </w:rPr>
      </w:pPr>
      <w:r w:rsidRPr="77F3F659">
        <w:rPr>
          <w:rFonts w:cs="Calibri"/>
          <w:sz w:val="24"/>
        </w:rPr>
        <w:t>We presented each BCT operationalisation</w:t>
      </w:r>
      <w:r w:rsidR="000A6B24" w:rsidRPr="77F3F659">
        <w:rPr>
          <w:rFonts w:cs="Calibri"/>
          <w:sz w:val="24"/>
        </w:rPr>
        <w:t xml:space="preserve"> idea</w:t>
      </w:r>
      <w:r w:rsidRPr="77F3F659">
        <w:rPr>
          <w:rFonts w:cs="Calibri"/>
          <w:sz w:val="24"/>
        </w:rPr>
        <w:t xml:space="preserve"> from </w:t>
      </w:r>
      <w:r w:rsidR="001C4F31">
        <w:rPr>
          <w:rFonts w:cs="Calibri"/>
          <w:sz w:val="24"/>
        </w:rPr>
        <w:t>Round 1</w:t>
      </w:r>
      <w:r w:rsidRPr="77F3F659">
        <w:rPr>
          <w:rFonts w:cs="Calibri"/>
          <w:sz w:val="24"/>
        </w:rPr>
        <w:t xml:space="preserve"> </w:t>
      </w:r>
      <w:r w:rsidR="0071381C" w:rsidRPr="77F3F659">
        <w:rPr>
          <w:rFonts w:cs="Calibri"/>
          <w:sz w:val="24"/>
        </w:rPr>
        <w:t xml:space="preserve">to panel members </w:t>
      </w:r>
      <w:r w:rsidR="002C4CFF" w:rsidRPr="77F3F659">
        <w:rPr>
          <w:rFonts w:cs="Calibri"/>
          <w:sz w:val="24"/>
        </w:rPr>
        <w:t>in an online survey</w:t>
      </w:r>
      <w:r w:rsidR="00EA3D38" w:rsidRPr="77F3F659">
        <w:rPr>
          <w:rFonts w:cs="Calibri"/>
          <w:sz w:val="24"/>
        </w:rPr>
        <w:t xml:space="preserve"> and</w:t>
      </w:r>
      <w:r w:rsidR="002C4CFF" w:rsidRPr="77F3F659">
        <w:rPr>
          <w:rFonts w:cs="Calibri"/>
          <w:sz w:val="24"/>
        </w:rPr>
        <w:t xml:space="preserve"> </w:t>
      </w:r>
      <w:r w:rsidR="004D624C" w:rsidRPr="77F3F659">
        <w:rPr>
          <w:rFonts w:cs="Calibri"/>
          <w:sz w:val="24"/>
        </w:rPr>
        <w:t xml:space="preserve">asked </w:t>
      </w:r>
      <w:r w:rsidR="002C4CFF" w:rsidRPr="77F3F659">
        <w:rPr>
          <w:rFonts w:cs="Calibri"/>
          <w:sz w:val="24"/>
        </w:rPr>
        <w:t xml:space="preserve">them </w:t>
      </w:r>
      <w:r w:rsidR="004D624C" w:rsidRPr="77F3F659">
        <w:rPr>
          <w:rFonts w:cs="Calibri"/>
          <w:sz w:val="24"/>
        </w:rPr>
        <w:t xml:space="preserve">to </w:t>
      </w:r>
      <w:r w:rsidR="004D624C" w:rsidRPr="77F3F659">
        <w:rPr>
          <w:color w:val="000000" w:themeColor="text1"/>
          <w:sz w:val="24"/>
        </w:rPr>
        <w:t xml:space="preserve">rate </w:t>
      </w:r>
      <w:r w:rsidR="7FB5E4AF" w:rsidRPr="77F3F659">
        <w:rPr>
          <w:color w:val="000000" w:themeColor="text1"/>
          <w:sz w:val="24"/>
        </w:rPr>
        <w:t>each one</w:t>
      </w:r>
      <w:r w:rsidR="000A6B24" w:rsidRPr="77F3F659">
        <w:rPr>
          <w:color w:val="000000" w:themeColor="text1"/>
          <w:sz w:val="24"/>
        </w:rPr>
        <w:t xml:space="preserve"> according</w:t>
      </w:r>
      <w:r w:rsidR="004D624C" w:rsidRPr="77F3F659">
        <w:rPr>
          <w:color w:val="000000" w:themeColor="text1"/>
          <w:sz w:val="24"/>
        </w:rPr>
        <w:t xml:space="preserve"> to </w:t>
      </w:r>
      <w:r w:rsidR="000A6B24" w:rsidRPr="77F3F659">
        <w:rPr>
          <w:color w:val="000000" w:themeColor="text1"/>
          <w:sz w:val="24"/>
        </w:rPr>
        <w:t>their</w:t>
      </w:r>
      <w:r w:rsidR="00383D3E" w:rsidRPr="77F3F659">
        <w:rPr>
          <w:color w:val="000000" w:themeColor="text1"/>
          <w:sz w:val="24"/>
        </w:rPr>
        <w:t xml:space="preserve"> </w:t>
      </w:r>
      <w:r w:rsidR="004D624C" w:rsidRPr="77F3F659">
        <w:rPr>
          <w:color w:val="000000" w:themeColor="text1"/>
          <w:sz w:val="24"/>
        </w:rPr>
        <w:t>acceptability</w:t>
      </w:r>
      <w:r w:rsidR="00951CBF">
        <w:rPr>
          <w:color w:val="000000" w:themeColor="text1"/>
          <w:sz w:val="24"/>
        </w:rPr>
        <w:t xml:space="preserve"> (to patients, carers and practitioners)</w:t>
      </w:r>
      <w:r w:rsidR="004D624C" w:rsidRPr="77F3F659">
        <w:rPr>
          <w:color w:val="000000" w:themeColor="text1"/>
          <w:sz w:val="24"/>
        </w:rPr>
        <w:t>, deliverability</w:t>
      </w:r>
      <w:r w:rsidR="00951CBF">
        <w:rPr>
          <w:color w:val="000000" w:themeColor="text1"/>
          <w:sz w:val="24"/>
        </w:rPr>
        <w:t xml:space="preserve"> (in terms of the cost and effort to implement the strategy</w:t>
      </w:r>
      <w:r w:rsidR="00B06773">
        <w:rPr>
          <w:color w:val="000000" w:themeColor="text1"/>
          <w:sz w:val="24"/>
        </w:rPr>
        <w:t xml:space="preserve"> in their hospital</w:t>
      </w:r>
      <w:r w:rsidR="00951CBF">
        <w:rPr>
          <w:color w:val="000000" w:themeColor="text1"/>
          <w:sz w:val="24"/>
        </w:rPr>
        <w:t>)</w:t>
      </w:r>
      <w:r w:rsidR="004D624C" w:rsidRPr="77F3F659">
        <w:rPr>
          <w:color w:val="000000" w:themeColor="text1"/>
          <w:sz w:val="24"/>
        </w:rPr>
        <w:t xml:space="preserve"> and effectiveness</w:t>
      </w:r>
      <w:r w:rsidR="00951CBF">
        <w:rPr>
          <w:color w:val="000000" w:themeColor="text1"/>
          <w:sz w:val="24"/>
        </w:rPr>
        <w:t xml:space="preserve"> (at addressing the barrier or enabler to deprescribing)</w:t>
      </w:r>
      <w:r w:rsidR="00B06773">
        <w:rPr>
          <w:color w:val="000000" w:themeColor="text1"/>
          <w:sz w:val="24"/>
        </w:rPr>
        <w:t>.</w:t>
      </w:r>
    </w:p>
    <w:p w14:paraId="1343B3B7" w14:textId="14BAA7FC" w:rsidR="00896867" w:rsidRPr="00C156E1" w:rsidRDefault="00896867" w:rsidP="00B82B2D">
      <w:pPr>
        <w:spacing w:line="480" w:lineRule="auto"/>
        <w:rPr>
          <w:color w:val="000000" w:themeColor="text1"/>
          <w:sz w:val="24"/>
        </w:rPr>
      </w:pPr>
      <w:r w:rsidRPr="77F3F659">
        <w:rPr>
          <w:color w:val="000000" w:themeColor="text1"/>
          <w:sz w:val="24"/>
        </w:rPr>
        <w:t xml:space="preserve">We collated the </w:t>
      </w:r>
      <w:r w:rsidR="00CE1293" w:rsidRPr="77F3F659">
        <w:rPr>
          <w:color w:val="000000" w:themeColor="text1"/>
          <w:sz w:val="24"/>
        </w:rPr>
        <w:t xml:space="preserve">responses from the three hospitals and organised </w:t>
      </w:r>
      <w:r w:rsidR="00105203" w:rsidRPr="77F3F659">
        <w:rPr>
          <w:color w:val="000000" w:themeColor="text1"/>
          <w:sz w:val="24"/>
        </w:rPr>
        <w:t>the BCT operationalisation ideas</w:t>
      </w:r>
      <w:r w:rsidR="00CE1293" w:rsidRPr="77F3F659">
        <w:rPr>
          <w:color w:val="000000" w:themeColor="text1"/>
          <w:sz w:val="24"/>
        </w:rPr>
        <w:t xml:space="preserve"> into the following categories:</w:t>
      </w:r>
      <w:r w:rsidR="00E91EEE" w:rsidRPr="77F3F659">
        <w:rPr>
          <w:color w:val="000000" w:themeColor="text1"/>
          <w:sz w:val="24"/>
        </w:rPr>
        <w:t xml:space="preserve"> green = </w:t>
      </w:r>
      <w:r w:rsidR="00105203" w:rsidRPr="77F3F659">
        <w:rPr>
          <w:rFonts w:cs="Calibri"/>
          <w:color w:val="000000" w:themeColor="text1"/>
          <w:sz w:val="24"/>
        </w:rPr>
        <w:t>≥</w:t>
      </w:r>
      <w:r w:rsidR="00E91EEE" w:rsidRPr="77F3F659">
        <w:rPr>
          <w:color w:val="000000" w:themeColor="text1"/>
          <w:sz w:val="24"/>
        </w:rPr>
        <w:t xml:space="preserve">70% ‘Yes’ vote across </w:t>
      </w:r>
      <w:r w:rsidR="00E91EEE" w:rsidRPr="77F3F659">
        <w:rPr>
          <w:color w:val="000000" w:themeColor="text1"/>
          <w:sz w:val="24"/>
        </w:rPr>
        <w:lastRenderedPageBreak/>
        <w:t>acceptability, deliverability and effectiveness</w:t>
      </w:r>
      <w:r w:rsidR="00C64F55" w:rsidRPr="77F3F659">
        <w:rPr>
          <w:color w:val="000000" w:themeColor="text1"/>
          <w:sz w:val="24"/>
        </w:rPr>
        <w:t>,</w:t>
      </w:r>
      <w:r w:rsidR="00E91EEE" w:rsidRPr="77F3F659">
        <w:rPr>
          <w:color w:val="000000" w:themeColor="text1"/>
          <w:sz w:val="24"/>
        </w:rPr>
        <w:t xml:space="preserve"> a</w:t>
      </w:r>
      <w:r w:rsidR="00105203" w:rsidRPr="77F3F659">
        <w:rPr>
          <w:color w:val="000000" w:themeColor="text1"/>
          <w:sz w:val="24"/>
        </w:rPr>
        <w:t xml:space="preserve">mber = </w:t>
      </w:r>
      <w:r w:rsidR="00105203" w:rsidRPr="77F3F659">
        <w:rPr>
          <w:rFonts w:cs="Calibri"/>
          <w:color w:val="000000" w:themeColor="text1"/>
          <w:sz w:val="24"/>
        </w:rPr>
        <w:t>≥</w:t>
      </w:r>
      <w:r w:rsidR="00E91EEE" w:rsidRPr="77F3F659">
        <w:rPr>
          <w:color w:val="000000" w:themeColor="text1"/>
          <w:sz w:val="24"/>
        </w:rPr>
        <w:t>60%</w:t>
      </w:r>
      <w:r w:rsidR="00C64F55" w:rsidRPr="77F3F659">
        <w:rPr>
          <w:color w:val="000000" w:themeColor="text1"/>
          <w:sz w:val="24"/>
        </w:rPr>
        <w:t>,</w:t>
      </w:r>
      <w:r w:rsidR="00E91EEE" w:rsidRPr="77F3F659">
        <w:rPr>
          <w:color w:val="000000" w:themeColor="text1"/>
          <w:sz w:val="24"/>
        </w:rPr>
        <w:t xml:space="preserve"> </w:t>
      </w:r>
      <w:r w:rsidR="00C156E1" w:rsidRPr="77F3F659">
        <w:rPr>
          <w:color w:val="000000" w:themeColor="text1"/>
          <w:sz w:val="24"/>
        </w:rPr>
        <w:t xml:space="preserve">and </w:t>
      </w:r>
      <w:r w:rsidR="00E91EEE" w:rsidRPr="77F3F659">
        <w:rPr>
          <w:color w:val="000000" w:themeColor="text1"/>
          <w:sz w:val="24"/>
        </w:rPr>
        <w:t>the remainder red</w:t>
      </w:r>
      <w:r w:rsidR="00805D2E" w:rsidRPr="77F3F659">
        <w:rPr>
          <w:color w:val="000000" w:themeColor="text1"/>
          <w:sz w:val="24"/>
        </w:rPr>
        <w:t xml:space="preserve"> (</w:t>
      </w:r>
      <w:r w:rsidR="00834A74" w:rsidRPr="77F3F659">
        <w:rPr>
          <w:color w:val="000000" w:themeColor="text1"/>
          <w:sz w:val="24"/>
        </w:rPr>
        <w:t xml:space="preserve">see </w:t>
      </w:r>
      <w:r w:rsidR="00805D2E" w:rsidRPr="77F3F659">
        <w:rPr>
          <w:color w:val="000000" w:themeColor="text1"/>
          <w:sz w:val="24"/>
        </w:rPr>
        <w:t xml:space="preserve">Table </w:t>
      </w:r>
      <w:r w:rsidR="00B77B5C">
        <w:rPr>
          <w:color w:val="000000" w:themeColor="text1"/>
          <w:sz w:val="24"/>
        </w:rPr>
        <w:t>3</w:t>
      </w:r>
      <w:r w:rsidR="00834A74" w:rsidRPr="77F3F659">
        <w:rPr>
          <w:color w:val="000000" w:themeColor="text1"/>
          <w:sz w:val="24"/>
        </w:rPr>
        <w:t xml:space="preserve"> for results</w:t>
      </w:r>
      <w:r w:rsidR="00805D2E" w:rsidRPr="77F3F659">
        <w:rPr>
          <w:color w:val="000000" w:themeColor="text1"/>
          <w:sz w:val="24"/>
        </w:rPr>
        <w:t>)</w:t>
      </w:r>
      <w:r w:rsidR="00E91EEE" w:rsidRPr="77F3F659">
        <w:rPr>
          <w:color w:val="000000" w:themeColor="text1"/>
          <w:sz w:val="24"/>
        </w:rPr>
        <w:t>.</w:t>
      </w:r>
      <w:r w:rsidR="00B06773">
        <w:rPr>
          <w:color w:val="000000" w:themeColor="text1"/>
          <w:sz w:val="24"/>
        </w:rPr>
        <w:t xml:space="preserve"> We retained the results from each hospital site to allow for comparison against the overall ratings; in the event that a hospital’s rating differed to the collated results, panel members were given the opportunity to</w:t>
      </w:r>
      <w:r w:rsidR="00DD51C4">
        <w:rPr>
          <w:color w:val="000000" w:themeColor="text1"/>
          <w:sz w:val="24"/>
        </w:rPr>
        <w:t xml:space="preserve"> express any disagreements.</w:t>
      </w:r>
    </w:p>
    <w:p w14:paraId="6312F647" w14:textId="155A6A87" w:rsidR="00335915" w:rsidRPr="00951CBF" w:rsidRDefault="00951CBF" w:rsidP="00891D32">
      <w:pPr>
        <w:spacing w:after="0" w:line="480" w:lineRule="auto"/>
        <w:rPr>
          <w:b/>
          <w:bCs/>
          <w:i/>
          <w:iCs/>
          <w:sz w:val="24"/>
        </w:rPr>
      </w:pPr>
      <w:r w:rsidRPr="00951CBF">
        <w:rPr>
          <w:b/>
          <w:bCs/>
          <w:i/>
          <w:iCs/>
          <w:sz w:val="24"/>
        </w:rPr>
        <w:t>Round 2 w</w:t>
      </w:r>
      <w:r w:rsidR="004D624C" w:rsidRPr="00951CBF">
        <w:rPr>
          <w:b/>
          <w:bCs/>
          <w:i/>
          <w:iCs/>
          <w:sz w:val="24"/>
        </w:rPr>
        <w:t>orkshops</w:t>
      </w:r>
    </w:p>
    <w:p w14:paraId="65FC8056" w14:textId="1680BF9A" w:rsidR="00A8030B" w:rsidRDefault="00D06DB1" w:rsidP="00B82B2D">
      <w:pPr>
        <w:spacing w:line="480" w:lineRule="auto"/>
        <w:rPr>
          <w:color w:val="000000" w:themeColor="text1"/>
          <w:sz w:val="24"/>
        </w:rPr>
      </w:pPr>
      <w:r w:rsidRPr="77F3F659">
        <w:rPr>
          <w:color w:val="000000" w:themeColor="text1"/>
          <w:sz w:val="24"/>
        </w:rPr>
        <w:t xml:space="preserve">We presented </w:t>
      </w:r>
      <w:r w:rsidR="00726C54" w:rsidRPr="77F3F659">
        <w:rPr>
          <w:color w:val="000000" w:themeColor="text1"/>
          <w:sz w:val="24"/>
        </w:rPr>
        <w:t>the</w:t>
      </w:r>
      <w:r w:rsidR="00B04981" w:rsidRPr="77F3F659">
        <w:rPr>
          <w:color w:val="000000" w:themeColor="text1"/>
          <w:sz w:val="24"/>
        </w:rPr>
        <w:t xml:space="preserve"> </w:t>
      </w:r>
      <w:r w:rsidR="0041554D" w:rsidRPr="77F3F659">
        <w:rPr>
          <w:color w:val="000000" w:themeColor="text1"/>
          <w:sz w:val="24"/>
        </w:rPr>
        <w:t xml:space="preserve">categorised </w:t>
      </w:r>
      <w:r w:rsidR="00B04981" w:rsidRPr="77F3F659">
        <w:rPr>
          <w:color w:val="000000" w:themeColor="text1"/>
          <w:sz w:val="24"/>
        </w:rPr>
        <w:t>BCT operationalisation</w:t>
      </w:r>
      <w:r w:rsidR="0041554D" w:rsidRPr="77F3F659">
        <w:rPr>
          <w:color w:val="000000" w:themeColor="text1"/>
          <w:sz w:val="24"/>
        </w:rPr>
        <w:t xml:space="preserve"> ideas</w:t>
      </w:r>
      <w:r w:rsidR="76BBD375" w:rsidRPr="77F3F659">
        <w:rPr>
          <w:color w:val="000000" w:themeColor="text1"/>
          <w:sz w:val="24"/>
        </w:rPr>
        <w:t xml:space="preserve"> and how these were rated d</w:t>
      </w:r>
      <w:r w:rsidR="008B5E63">
        <w:rPr>
          <w:color w:val="000000" w:themeColor="text1"/>
          <w:sz w:val="24"/>
        </w:rPr>
        <w:t>uring the pre-workshop activity</w:t>
      </w:r>
      <w:r w:rsidR="00760D09" w:rsidRPr="77F3F659">
        <w:rPr>
          <w:color w:val="000000" w:themeColor="text1"/>
          <w:sz w:val="24"/>
        </w:rPr>
        <w:t xml:space="preserve"> </w:t>
      </w:r>
      <w:r w:rsidR="009475DE" w:rsidRPr="77F3F659">
        <w:rPr>
          <w:color w:val="000000" w:themeColor="text1"/>
          <w:sz w:val="24"/>
        </w:rPr>
        <w:t>to panel members</w:t>
      </w:r>
      <w:r w:rsidR="00FE69C8" w:rsidRPr="77F3F659">
        <w:rPr>
          <w:color w:val="000000" w:themeColor="text1"/>
          <w:sz w:val="24"/>
        </w:rPr>
        <w:t xml:space="preserve"> </w:t>
      </w:r>
      <w:r w:rsidR="00F80D34" w:rsidRPr="77F3F659">
        <w:rPr>
          <w:color w:val="000000" w:themeColor="text1"/>
          <w:sz w:val="24"/>
        </w:rPr>
        <w:t xml:space="preserve">and </w:t>
      </w:r>
      <w:r w:rsidR="000500EA" w:rsidRPr="77F3F659">
        <w:rPr>
          <w:color w:val="000000" w:themeColor="text1"/>
          <w:sz w:val="24"/>
        </w:rPr>
        <w:t xml:space="preserve">asked </w:t>
      </w:r>
      <w:r w:rsidR="0041554D" w:rsidRPr="77F3F659">
        <w:rPr>
          <w:color w:val="000000" w:themeColor="text1"/>
          <w:sz w:val="24"/>
        </w:rPr>
        <w:t xml:space="preserve">for </w:t>
      </w:r>
      <w:r w:rsidR="000500EA" w:rsidRPr="77F3F659">
        <w:rPr>
          <w:color w:val="000000" w:themeColor="text1"/>
          <w:sz w:val="24"/>
        </w:rPr>
        <w:t>their</w:t>
      </w:r>
      <w:r w:rsidR="005F2183" w:rsidRPr="77F3F659">
        <w:rPr>
          <w:color w:val="000000" w:themeColor="text1"/>
          <w:sz w:val="24"/>
        </w:rPr>
        <w:t xml:space="preserve"> </w:t>
      </w:r>
      <w:r w:rsidR="003526DB" w:rsidRPr="77F3F659">
        <w:rPr>
          <w:color w:val="000000" w:themeColor="text1"/>
          <w:sz w:val="24"/>
        </w:rPr>
        <w:t xml:space="preserve">initial </w:t>
      </w:r>
      <w:r w:rsidR="0092172A" w:rsidRPr="77F3F659">
        <w:rPr>
          <w:color w:val="000000" w:themeColor="text1"/>
          <w:sz w:val="24"/>
        </w:rPr>
        <w:t>thoughts</w:t>
      </w:r>
      <w:r w:rsidR="00F80D34" w:rsidRPr="77F3F659">
        <w:rPr>
          <w:color w:val="000000" w:themeColor="text1"/>
          <w:sz w:val="24"/>
        </w:rPr>
        <w:t xml:space="preserve">. </w:t>
      </w:r>
      <w:r w:rsidR="002439C5" w:rsidRPr="77F3F659">
        <w:rPr>
          <w:color w:val="000000" w:themeColor="text1"/>
          <w:sz w:val="24"/>
        </w:rPr>
        <w:t xml:space="preserve">This </w:t>
      </w:r>
      <w:r w:rsidR="560E460E" w:rsidRPr="77F3F659">
        <w:rPr>
          <w:color w:val="000000" w:themeColor="text1"/>
          <w:sz w:val="24"/>
        </w:rPr>
        <w:t>provided</w:t>
      </w:r>
      <w:r w:rsidR="007D7CBB" w:rsidRPr="77F3F659">
        <w:rPr>
          <w:color w:val="000000" w:themeColor="text1"/>
          <w:sz w:val="24"/>
        </w:rPr>
        <w:t xml:space="preserve"> </w:t>
      </w:r>
      <w:r w:rsidR="00221708" w:rsidRPr="77F3F659">
        <w:rPr>
          <w:color w:val="000000" w:themeColor="text1"/>
          <w:sz w:val="24"/>
        </w:rPr>
        <w:t xml:space="preserve">each hospital panel </w:t>
      </w:r>
      <w:r w:rsidR="2BF5BBEE" w:rsidRPr="77F3F659">
        <w:rPr>
          <w:color w:val="000000" w:themeColor="text1"/>
          <w:sz w:val="24"/>
        </w:rPr>
        <w:t xml:space="preserve">with </w:t>
      </w:r>
      <w:r w:rsidR="00221708" w:rsidRPr="77F3F659">
        <w:rPr>
          <w:color w:val="000000" w:themeColor="text1"/>
          <w:sz w:val="24"/>
        </w:rPr>
        <w:t>an</w:t>
      </w:r>
      <w:r w:rsidR="007D7CBB" w:rsidRPr="77F3F659">
        <w:rPr>
          <w:color w:val="000000" w:themeColor="text1"/>
          <w:sz w:val="24"/>
        </w:rPr>
        <w:t xml:space="preserve"> </w:t>
      </w:r>
      <w:r w:rsidR="002439C5" w:rsidRPr="77F3F659">
        <w:rPr>
          <w:color w:val="000000" w:themeColor="text1"/>
          <w:sz w:val="24"/>
        </w:rPr>
        <w:t>opportunity to express any disagreements</w:t>
      </w:r>
      <w:r w:rsidR="00700250" w:rsidRPr="77F3F659">
        <w:rPr>
          <w:color w:val="000000" w:themeColor="text1"/>
          <w:sz w:val="24"/>
        </w:rPr>
        <w:t xml:space="preserve"> </w:t>
      </w:r>
      <w:r w:rsidR="4FEBEE80" w:rsidRPr="77F3F659">
        <w:rPr>
          <w:color w:val="000000" w:themeColor="text1"/>
          <w:sz w:val="24"/>
        </w:rPr>
        <w:t xml:space="preserve">about </w:t>
      </w:r>
      <w:r w:rsidR="004F26A2" w:rsidRPr="77F3F659">
        <w:rPr>
          <w:color w:val="000000" w:themeColor="text1"/>
          <w:sz w:val="24"/>
        </w:rPr>
        <w:t xml:space="preserve">whether they felt </w:t>
      </w:r>
      <w:r w:rsidR="00EA1945" w:rsidRPr="77F3F659">
        <w:rPr>
          <w:color w:val="000000" w:themeColor="text1"/>
          <w:sz w:val="24"/>
        </w:rPr>
        <w:t>any operationalisations</w:t>
      </w:r>
      <w:r w:rsidR="004F26A2" w:rsidRPr="77F3F659">
        <w:rPr>
          <w:color w:val="000000" w:themeColor="text1"/>
          <w:sz w:val="24"/>
        </w:rPr>
        <w:t xml:space="preserve"> could</w:t>
      </w:r>
      <w:r w:rsidR="00EA1945" w:rsidRPr="77F3F659">
        <w:rPr>
          <w:color w:val="000000" w:themeColor="text1"/>
          <w:sz w:val="24"/>
        </w:rPr>
        <w:t xml:space="preserve">/could not </w:t>
      </w:r>
      <w:r w:rsidR="004F26A2" w:rsidRPr="77F3F659">
        <w:rPr>
          <w:color w:val="000000" w:themeColor="text1"/>
          <w:sz w:val="24"/>
        </w:rPr>
        <w:t>be implemented in their hospital.</w:t>
      </w:r>
      <w:r w:rsidR="00EE028F" w:rsidRPr="77F3F659">
        <w:rPr>
          <w:color w:val="000000" w:themeColor="text1"/>
          <w:sz w:val="24"/>
        </w:rPr>
        <w:t xml:space="preserve"> </w:t>
      </w:r>
      <w:r w:rsidR="002439C5" w:rsidRPr="77F3F659">
        <w:rPr>
          <w:color w:val="000000" w:themeColor="text1"/>
          <w:sz w:val="24"/>
        </w:rPr>
        <w:t xml:space="preserve">We then asked </w:t>
      </w:r>
      <w:r w:rsidR="0092172A" w:rsidRPr="77F3F659">
        <w:rPr>
          <w:color w:val="000000" w:themeColor="text1"/>
          <w:sz w:val="24"/>
        </w:rPr>
        <w:t>them</w:t>
      </w:r>
      <w:r w:rsidR="002439C5" w:rsidRPr="77F3F659">
        <w:rPr>
          <w:color w:val="000000" w:themeColor="text1"/>
          <w:sz w:val="24"/>
        </w:rPr>
        <w:t xml:space="preserve"> to </w:t>
      </w:r>
      <w:r w:rsidR="002D2E5B" w:rsidRPr="77F3F659">
        <w:rPr>
          <w:color w:val="000000" w:themeColor="text1"/>
          <w:sz w:val="24"/>
        </w:rPr>
        <w:t>select</w:t>
      </w:r>
      <w:r w:rsidR="0031295E" w:rsidRPr="77F3F659">
        <w:rPr>
          <w:color w:val="000000" w:themeColor="text1"/>
          <w:sz w:val="24"/>
        </w:rPr>
        <w:t xml:space="preserve"> </w:t>
      </w:r>
      <w:r w:rsidR="00866D5B" w:rsidRPr="77F3F659">
        <w:rPr>
          <w:color w:val="000000" w:themeColor="text1"/>
          <w:sz w:val="24"/>
        </w:rPr>
        <w:t>a maximum of two</w:t>
      </w:r>
      <w:r w:rsidR="0031295E" w:rsidRPr="77F3F659">
        <w:rPr>
          <w:color w:val="000000" w:themeColor="text1"/>
          <w:sz w:val="24"/>
        </w:rPr>
        <w:t xml:space="preserve"> </w:t>
      </w:r>
      <w:r w:rsidR="005E6868" w:rsidRPr="77F3F659">
        <w:rPr>
          <w:color w:val="000000" w:themeColor="text1"/>
          <w:sz w:val="24"/>
        </w:rPr>
        <w:t xml:space="preserve">best candidate </w:t>
      </w:r>
      <w:r w:rsidR="0031295E" w:rsidRPr="77F3F659">
        <w:rPr>
          <w:color w:val="000000" w:themeColor="text1"/>
          <w:sz w:val="24"/>
        </w:rPr>
        <w:t>operationalisations</w:t>
      </w:r>
      <w:r w:rsidR="0092172A" w:rsidRPr="77F3F659">
        <w:rPr>
          <w:color w:val="000000" w:themeColor="text1"/>
          <w:sz w:val="24"/>
        </w:rPr>
        <w:t xml:space="preserve"> </w:t>
      </w:r>
      <w:r w:rsidR="004F46EA" w:rsidRPr="77F3F659">
        <w:rPr>
          <w:color w:val="000000" w:themeColor="text1"/>
          <w:sz w:val="24"/>
        </w:rPr>
        <w:t xml:space="preserve">for </w:t>
      </w:r>
      <w:r w:rsidR="67016966" w:rsidRPr="77F3F659">
        <w:rPr>
          <w:color w:val="000000" w:themeColor="text1"/>
          <w:sz w:val="24"/>
        </w:rPr>
        <w:t xml:space="preserve">each of </w:t>
      </w:r>
      <w:r w:rsidR="00866D5B" w:rsidRPr="77F3F659">
        <w:rPr>
          <w:color w:val="000000" w:themeColor="text1"/>
          <w:sz w:val="24"/>
        </w:rPr>
        <w:t xml:space="preserve">the six </w:t>
      </w:r>
      <w:r w:rsidR="0031295E" w:rsidRPr="77F3F659">
        <w:rPr>
          <w:color w:val="000000" w:themeColor="text1"/>
          <w:sz w:val="24"/>
        </w:rPr>
        <w:t>BCT</w:t>
      </w:r>
      <w:r w:rsidR="00866D5B" w:rsidRPr="77F3F659">
        <w:rPr>
          <w:color w:val="000000" w:themeColor="text1"/>
          <w:sz w:val="24"/>
        </w:rPr>
        <w:t>s</w:t>
      </w:r>
      <w:r w:rsidR="00DD51C4">
        <w:rPr>
          <w:color w:val="000000" w:themeColor="text1"/>
          <w:sz w:val="24"/>
        </w:rPr>
        <w:t>,</w:t>
      </w:r>
      <w:r w:rsidR="00B06773">
        <w:rPr>
          <w:color w:val="000000" w:themeColor="text1"/>
          <w:sz w:val="24"/>
        </w:rPr>
        <w:t xml:space="preserve"> </w:t>
      </w:r>
      <w:r w:rsidR="00DD51C4">
        <w:rPr>
          <w:color w:val="000000" w:themeColor="text1"/>
          <w:sz w:val="24"/>
        </w:rPr>
        <w:t xml:space="preserve">which could be </w:t>
      </w:r>
      <w:r w:rsidR="00B06773">
        <w:rPr>
          <w:color w:val="000000" w:themeColor="text1"/>
          <w:sz w:val="24"/>
        </w:rPr>
        <w:t>from the green, amber or red categor</w:t>
      </w:r>
      <w:r w:rsidR="00DD51C4">
        <w:rPr>
          <w:color w:val="000000" w:themeColor="text1"/>
          <w:sz w:val="24"/>
        </w:rPr>
        <w:t>ies</w:t>
      </w:r>
      <w:r w:rsidR="00B06773">
        <w:rPr>
          <w:color w:val="000000" w:themeColor="text1"/>
          <w:sz w:val="24"/>
        </w:rPr>
        <w:t>.</w:t>
      </w:r>
    </w:p>
    <w:p w14:paraId="31C5F026" w14:textId="75D7EEB6" w:rsidR="008F6054" w:rsidRPr="00A8030B" w:rsidRDefault="020C191D" w:rsidP="020C191D">
      <w:pPr>
        <w:spacing w:line="480" w:lineRule="auto"/>
        <w:rPr>
          <w:color w:val="000000" w:themeColor="text1"/>
          <w:sz w:val="24"/>
        </w:rPr>
      </w:pPr>
      <w:r w:rsidRPr="020C191D">
        <w:rPr>
          <w:color w:val="000000" w:themeColor="text1"/>
          <w:sz w:val="24"/>
        </w:rPr>
        <w:t>I</w:t>
      </w:r>
      <w:r w:rsidR="002E76D7">
        <w:rPr>
          <w:color w:val="000000" w:themeColor="text1"/>
          <w:sz w:val="24"/>
        </w:rPr>
        <w:t xml:space="preserve">n order to maximise intervention efficiency, </w:t>
      </w:r>
      <w:r w:rsidR="00A85679">
        <w:rPr>
          <w:color w:val="000000" w:themeColor="text1"/>
          <w:sz w:val="24"/>
        </w:rPr>
        <w:t>the second half of the workshop invited</w:t>
      </w:r>
      <w:r w:rsidRPr="020C191D">
        <w:rPr>
          <w:color w:val="000000" w:themeColor="text1"/>
          <w:sz w:val="24"/>
        </w:rPr>
        <w:t xml:space="preserve"> panel members to consider whether any overlap between BCT operationalisation ideas would lend to co-delivering several BCTs within one operationalisation.</w:t>
      </w:r>
      <w:r w:rsidR="00691A8B">
        <w:rPr>
          <w:color w:val="000000" w:themeColor="text1"/>
          <w:sz w:val="24"/>
        </w:rPr>
        <w:t xml:space="preserve"> </w:t>
      </w:r>
    </w:p>
    <w:p w14:paraId="58D57F09" w14:textId="4403C802" w:rsidR="005E199A" w:rsidRDefault="0005039E" w:rsidP="00B82B2D">
      <w:pPr>
        <w:spacing w:line="480" w:lineRule="auto"/>
        <w:rPr>
          <w:color w:val="000000" w:themeColor="text1"/>
          <w:sz w:val="24"/>
          <w:szCs w:val="28"/>
        </w:rPr>
      </w:pPr>
      <w:r>
        <w:rPr>
          <w:color w:val="000000" w:themeColor="text1"/>
          <w:sz w:val="24"/>
          <w:szCs w:val="28"/>
        </w:rPr>
        <w:t xml:space="preserve">To enable us to </w:t>
      </w:r>
      <w:r w:rsidR="00D334C2">
        <w:rPr>
          <w:color w:val="000000" w:themeColor="text1"/>
          <w:sz w:val="24"/>
          <w:szCs w:val="28"/>
        </w:rPr>
        <w:t>develop prototypes f</w:t>
      </w:r>
      <w:r w:rsidR="003D28F8">
        <w:rPr>
          <w:color w:val="000000" w:themeColor="text1"/>
          <w:sz w:val="24"/>
          <w:szCs w:val="28"/>
        </w:rPr>
        <w:t xml:space="preserve">or best candidate BCT operationalisations, we asked panel members </w:t>
      </w:r>
      <w:r w:rsidR="00032CAD">
        <w:rPr>
          <w:color w:val="000000" w:themeColor="text1"/>
          <w:sz w:val="24"/>
          <w:szCs w:val="28"/>
        </w:rPr>
        <w:t xml:space="preserve">to </w:t>
      </w:r>
      <w:r w:rsidR="003D39A7">
        <w:rPr>
          <w:color w:val="000000" w:themeColor="text1"/>
          <w:sz w:val="24"/>
          <w:szCs w:val="28"/>
        </w:rPr>
        <w:t>expand on</w:t>
      </w:r>
      <w:r w:rsidR="0093008B">
        <w:rPr>
          <w:color w:val="000000" w:themeColor="text1"/>
          <w:sz w:val="24"/>
          <w:szCs w:val="28"/>
        </w:rPr>
        <w:t xml:space="preserve"> key</w:t>
      </w:r>
      <w:r w:rsidR="00352222">
        <w:rPr>
          <w:color w:val="000000" w:themeColor="text1"/>
          <w:sz w:val="24"/>
          <w:szCs w:val="28"/>
        </w:rPr>
        <w:t xml:space="preserve"> design elements</w:t>
      </w:r>
      <w:r w:rsidR="00731831">
        <w:rPr>
          <w:color w:val="000000" w:themeColor="text1"/>
          <w:sz w:val="24"/>
          <w:szCs w:val="28"/>
        </w:rPr>
        <w:t>. Th</w:t>
      </w:r>
      <w:r w:rsidR="00690DF1">
        <w:rPr>
          <w:color w:val="000000" w:themeColor="text1"/>
          <w:sz w:val="24"/>
          <w:szCs w:val="28"/>
        </w:rPr>
        <w:t>is</w:t>
      </w:r>
      <w:r w:rsidR="00731831">
        <w:rPr>
          <w:color w:val="000000" w:themeColor="text1"/>
          <w:sz w:val="24"/>
          <w:szCs w:val="28"/>
        </w:rPr>
        <w:t xml:space="preserve"> was </w:t>
      </w:r>
      <w:r w:rsidR="00690DF1">
        <w:rPr>
          <w:color w:val="000000" w:themeColor="text1"/>
          <w:sz w:val="24"/>
          <w:szCs w:val="28"/>
        </w:rPr>
        <w:t>guided by</w:t>
      </w:r>
      <w:r w:rsidR="00352222">
        <w:rPr>
          <w:color w:val="000000" w:themeColor="text1"/>
          <w:sz w:val="24"/>
          <w:szCs w:val="28"/>
        </w:rPr>
        <w:t xml:space="preserve"> </w:t>
      </w:r>
      <w:r w:rsidR="005E199A">
        <w:rPr>
          <w:color w:val="000000" w:themeColor="text1"/>
          <w:sz w:val="24"/>
          <w:szCs w:val="28"/>
        </w:rPr>
        <w:t>the</w:t>
      </w:r>
      <w:r w:rsidR="00506456">
        <w:rPr>
          <w:color w:val="000000" w:themeColor="text1"/>
          <w:sz w:val="24"/>
          <w:szCs w:val="28"/>
        </w:rPr>
        <w:t xml:space="preserve"> T</w:t>
      </w:r>
      <w:r w:rsidR="00506456" w:rsidRPr="00506456">
        <w:rPr>
          <w:color w:val="000000" w:themeColor="text1"/>
          <w:sz w:val="24"/>
          <w:szCs w:val="28"/>
        </w:rPr>
        <w:t xml:space="preserve">emplate for </w:t>
      </w:r>
      <w:r w:rsidR="00506456">
        <w:rPr>
          <w:color w:val="000000" w:themeColor="text1"/>
          <w:sz w:val="24"/>
          <w:szCs w:val="28"/>
        </w:rPr>
        <w:t>Intervention Description and R</w:t>
      </w:r>
      <w:r w:rsidR="00506456" w:rsidRPr="00506456">
        <w:rPr>
          <w:color w:val="000000" w:themeColor="text1"/>
          <w:sz w:val="24"/>
          <w:szCs w:val="28"/>
        </w:rPr>
        <w:t>eplication</w:t>
      </w:r>
      <w:r w:rsidR="005E199A">
        <w:rPr>
          <w:color w:val="000000" w:themeColor="text1"/>
          <w:sz w:val="24"/>
          <w:szCs w:val="28"/>
        </w:rPr>
        <w:t xml:space="preserve"> </w:t>
      </w:r>
      <w:r w:rsidR="00506456">
        <w:rPr>
          <w:color w:val="000000" w:themeColor="text1"/>
          <w:sz w:val="24"/>
          <w:szCs w:val="28"/>
        </w:rPr>
        <w:t>(</w:t>
      </w:r>
      <w:proofErr w:type="spellStart"/>
      <w:r w:rsidR="005E199A">
        <w:rPr>
          <w:color w:val="000000" w:themeColor="text1"/>
          <w:sz w:val="24"/>
          <w:szCs w:val="28"/>
        </w:rPr>
        <w:t>TIDieR</w:t>
      </w:r>
      <w:proofErr w:type="spellEnd"/>
      <w:r w:rsidR="00506456">
        <w:rPr>
          <w:color w:val="000000" w:themeColor="text1"/>
          <w:sz w:val="24"/>
          <w:szCs w:val="28"/>
        </w:rPr>
        <w:t>)</w:t>
      </w:r>
      <w:r w:rsidR="007934A3">
        <w:rPr>
          <w:color w:val="000000" w:themeColor="text1"/>
          <w:sz w:val="24"/>
          <w:szCs w:val="28"/>
        </w:rPr>
        <w:t xml:space="preserve"> </w:t>
      </w:r>
      <w:r w:rsidR="00506456">
        <w:rPr>
          <w:color w:val="000000" w:themeColor="text1"/>
          <w:sz w:val="24"/>
          <w:szCs w:val="28"/>
        </w:rPr>
        <w:fldChar w:fldCharType="begin"/>
      </w:r>
      <w:r w:rsidR="00FC7A29">
        <w:rPr>
          <w:color w:val="000000" w:themeColor="text1"/>
          <w:sz w:val="24"/>
          <w:szCs w:val="28"/>
        </w:rPr>
        <w:instrText xml:space="preserve"> ADDIN ZOTERO_ITEM CSL_CITATION {"citationID":"Ml97b8W6","properties":{"formattedCitation":"(27)","plainCitation":"(27)","noteIndex":0},"citationItems":[{"id":"HaMovQnS/ABpLuhRm","uris":["http://zotero.org/users/6791840/items/IPPV47NL"],"itemData":{"id":323,"type":"article-journal","container-title":"Bmj","note":"publisher: British Medical Journal Publishing Group","source":"Google Scholar","title":"Better reporting of interventions: template for intervention description and replication (TIDieR) checklist and guide","title-short":"Better reporting of interventions","volume":"348","author":[{"family":"Hoffmann","given":"Tammy C."},{"family":"Glasziou","given":"Paul P."},{"family":"Boutron","given":"Isabelle"},{"family":"Milne","given":"Ruairidh"},{"family":"Perera","given":"Rafael"},{"family":"Moher","given":"David"},{"family":"Altman","given":"Douglas G."},{"family":"Barbour","given":"Virginia"},{"family":"Macdonald","given":"Helen"},{"family":"Johnston","given":"Marie"}],"issued":{"date-parts":[["2014"]]}}}],"schema":"https://github.com/citation-style-language/schema/raw/master/csl-citation.json"} </w:instrText>
      </w:r>
      <w:r w:rsidR="00506456">
        <w:rPr>
          <w:color w:val="000000" w:themeColor="text1"/>
          <w:sz w:val="24"/>
          <w:szCs w:val="28"/>
        </w:rPr>
        <w:fldChar w:fldCharType="separate"/>
      </w:r>
      <w:r w:rsidR="00FC7A29">
        <w:rPr>
          <w:rFonts w:cs="Calibri"/>
          <w:sz w:val="24"/>
        </w:rPr>
        <w:t>(27)</w:t>
      </w:r>
      <w:r w:rsidR="00506456">
        <w:rPr>
          <w:color w:val="000000" w:themeColor="text1"/>
          <w:sz w:val="24"/>
          <w:szCs w:val="28"/>
        </w:rPr>
        <w:fldChar w:fldCharType="end"/>
      </w:r>
      <w:r w:rsidR="009B5D09">
        <w:rPr>
          <w:color w:val="000000" w:themeColor="text1"/>
          <w:sz w:val="24"/>
          <w:szCs w:val="28"/>
        </w:rPr>
        <w:t xml:space="preserve"> and covered</w:t>
      </w:r>
      <w:r w:rsidR="00C162FC">
        <w:rPr>
          <w:color w:val="000000" w:themeColor="text1"/>
          <w:sz w:val="24"/>
          <w:szCs w:val="28"/>
        </w:rPr>
        <w:t xml:space="preserve"> the following:</w:t>
      </w:r>
      <w:r w:rsidR="005E199A">
        <w:rPr>
          <w:color w:val="000000" w:themeColor="text1"/>
          <w:sz w:val="24"/>
          <w:szCs w:val="28"/>
        </w:rPr>
        <w:t xml:space="preserve"> </w:t>
      </w:r>
      <w:r w:rsidR="001638BB">
        <w:rPr>
          <w:color w:val="000000" w:themeColor="text1"/>
          <w:sz w:val="24"/>
          <w:szCs w:val="28"/>
        </w:rPr>
        <w:t>h</w:t>
      </w:r>
      <w:r w:rsidR="00E44CD0">
        <w:rPr>
          <w:color w:val="000000" w:themeColor="text1"/>
          <w:sz w:val="24"/>
          <w:szCs w:val="28"/>
        </w:rPr>
        <w:t xml:space="preserve">ow </w:t>
      </w:r>
      <w:r w:rsidR="004473A5">
        <w:rPr>
          <w:color w:val="000000" w:themeColor="text1"/>
          <w:sz w:val="24"/>
          <w:szCs w:val="28"/>
        </w:rPr>
        <w:t>the BCT operationalisation</w:t>
      </w:r>
      <w:r w:rsidR="00B37E72">
        <w:rPr>
          <w:color w:val="000000" w:themeColor="text1"/>
          <w:sz w:val="24"/>
          <w:szCs w:val="28"/>
        </w:rPr>
        <w:t>s</w:t>
      </w:r>
      <w:r w:rsidR="001638BB">
        <w:rPr>
          <w:color w:val="000000" w:themeColor="text1"/>
          <w:sz w:val="24"/>
          <w:szCs w:val="28"/>
        </w:rPr>
        <w:t xml:space="preserve"> will</w:t>
      </w:r>
      <w:r w:rsidR="00E44CD0">
        <w:rPr>
          <w:color w:val="000000" w:themeColor="text1"/>
          <w:sz w:val="24"/>
          <w:szCs w:val="28"/>
        </w:rPr>
        <w:t xml:space="preserve"> be delivered</w:t>
      </w:r>
      <w:r w:rsidR="00506456">
        <w:rPr>
          <w:color w:val="000000" w:themeColor="text1"/>
          <w:sz w:val="24"/>
          <w:szCs w:val="28"/>
        </w:rPr>
        <w:t>,</w:t>
      </w:r>
      <w:r w:rsidR="00E44CD0">
        <w:rPr>
          <w:color w:val="000000" w:themeColor="text1"/>
          <w:sz w:val="24"/>
          <w:szCs w:val="28"/>
        </w:rPr>
        <w:t xml:space="preserve"> </w:t>
      </w:r>
      <w:r w:rsidR="001638BB">
        <w:rPr>
          <w:color w:val="000000" w:themeColor="text1"/>
          <w:sz w:val="24"/>
          <w:szCs w:val="28"/>
        </w:rPr>
        <w:t>w</w:t>
      </w:r>
      <w:r w:rsidR="00CD3284">
        <w:rPr>
          <w:color w:val="000000" w:themeColor="text1"/>
          <w:sz w:val="24"/>
          <w:szCs w:val="28"/>
        </w:rPr>
        <w:t xml:space="preserve">here </w:t>
      </w:r>
      <w:r w:rsidR="00D15AA5">
        <w:rPr>
          <w:color w:val="000000" w:themeColor="text1"/>
          <w:sz w:val="24"/>
          <w:szCs w:val="28"/>
        </w:rPr>
        <w:t>they</w:t>
      </w:r>
      <w:r w:rsidR="001638BB">
        <w:rPr>
          <w:color w:val="000000" w:themeColor="text1"/>
          <w:sz w:val="24"/>
          <w:szCs w:val="28"/>
        </w:rPr>
        <w:t xml:space="preserve"> will</w:t>
      </w:r>
      <w:r w:rsidR="00CD3284">
        <w:rPr>
          <w:color w:val="000000" w:themeColor="text1"/>
          <w:sz w:val="24"/>
          <w:szCs w:val="28"/>
        </w:rPr>
        <w:t xml:space="preserve"> occur</w:t>
      </w:r>
      <w:r w:rsidR="00506456">
        <w:rPr>
          <w:color w:val="000000" w:themeColor="text1"/>
          <w:sz w:val="24"/>
          <w:szCs w:val="28"/>
        </w:rPr>
        <w:t>,</w:t>
      </w:r>
      <w:r w:rsidR="001638BB">
        <w:rPr>
          <w:color w:val="000000" w:themeColor="text1"/>
          <w:sz w:val="24"/>
          <w:szCs w:val="28"/>
        </w:rPr>
        <w:t xml:space="preserve"> w</w:t>
      </w:r>
      <w:r w:rsidR="00CD3284">
        <w:rPr>
          <w:color w:val="000000" w:themeColor="text1"/>
          <w:sz w:val="24"/>
          <w:szCs w:val="28"/>
        </w:rPr>
        <w:t xml:space="preserve">ho will provide </w:t>
      </w:r>
      <w:r w:rsidR="00D15AA5">
        <w:rPr>
          <w:color w:val="000000" w:themeColor="text1"/>
          <w:sz w:val="24"/>
          <w:szCs w:val="28"/>
        </w:rPr>
        <w:t>them</w:t>
      </w:r>
      <w:r w:rsidR="00506456">
        <w:rPr>
          <w:color w:val="000000" w:themeColor="text1"/>
          <w:sz w:val="24"/>
          <w:szCs w:val="28"/>
        </w:rPr>
        <w:t>,</w:t>
      </w:r>
      <w:r w:rsidR="00CD3284">
        <w:rPr>
          <w:color w:val="000000" w:themeColor="text1"/>
          <w:sz w:val="24"/>
          <w:szCs w:val="28"/>
        </w:rPr>
        <w:t xml:space="preserve"> </w:t>
      </w:r>
      <w:r w:rsidR="00D15AA5">
        <w:rPr>
          <w:color w:val="000000" w:themeColor="text1"/>
          <w:sz w:val="24"/>
          <w:szCs w:val="28"/>
        </w:rPr>
        <w:t>their</w:t>
      </w:r>
      <w:r w:rsidR="00C162FC">
        <w:rPr>
          <w:color w:val="000000" w:themeColor="text1"/>
          <w:sz w:val="24"/>
          <w:szCs w:val="28"/>
        </w:rPr>
        <w:t xml:space="preserve"> duration</w:t>
      </w:r>
      <w:r w:rsidR="00D15AA5">
        <w:rPr>
          <w:color w:val="000000" w:themeColor="text1"/>
          <w:sz w:val="24"/>
          <w:szCs w:val="28"/>
        </w:rPr>
        <w:t xml:space="preserve"> and intensity,</w:t>
      </w:r>
      <w:r w:rsidR="00CD3284">
        <w:rPr>
          <w:color w:val="000000" w:themeColor="text1"/>
          <w:sz w:val="24"/>
          <w:szCs w:val="28"/>
        </w:rPr>
        <w:t xml:space="preserve"> </w:t>
      </w:r>
      <w:r w:rsidR="00032CAD">
        <w:rPr>
          <w:color w:val="000000" w:themeColor="text1"/>
          <w:sz w:val="24"/>
          <w:szCs w:val="28"/>
        </w:rPr>
        <w:t>and w</w:t>
      </w:r>
      <w:r w:rsidR="00CD3284">
        <w:rPr>
          <w:color w:val="000000" w:themeColor="text1"/>
          <w:sz w:val="24"/>
          <w:szCs w:val="28"/>
        </w:rPr>
        <w:t xml:space="preserve">hat </w:t>
      </w:r>
      <w:r w:rsidR="00506456">
        <w:rPr>
          <w:color w:val="000000" w:themeColor="text1"/>
          <w:sz w:val="24"/>
          <w:szCs w:val="28"/>
        </w:rPr>
        <w:t>resources</w:t>
      </w:r>
      <w:r w:rsidR="00CD3284">
        <w:rPr>
          <w:color w:val="000000" w:themeColor="text1"/>
          <w:sz w:val="24"/>
          <w:szCs w:val="28"/>
        </w:rPr>
        <w:t xml:space="preserve"> are </w:t>
      </w:r>
      <w:r w:rsidR="00582282">
        <w:rPr>
          <w:color w:val="000000" w:themeColor="text1"/>
          <w:sz w:val="24"/>
          <w:szCs w:val="28"/>
        </w:rPr>
        <w:t>required</w:t>
      </w:r>
      <w:r w:rsidR="00032CAD">
        <w:rPr>
          <w:color w:val="000000" w:themeColor="text1"/>
          <w:sz w:val="24"/>
          <w:szCs w:val="28"/>
        </w:rPr>
        <w:t>.</w:t>
      </w:r>
    </w:p>
    <w:p w14:paraId="34C38099" w14:textId="23176B31" w:rsidR="004D624C" w:rsidRPr="00951CBF" w:rsidRDefault="00951CBF" w:rsidP="009346BB">
      <w:pPr>
        <w:spacing w:after="0" w:line="480" w:lineRule="auto"/>
        <w:rPr>
          <w:b/>
          <w:bCs/>
          <w:i/>
          <w:iCs/>
          <w:sz w:val="24"/>
        </w:rPr>
      </w:pPr>
      <w:r w:rsidRPr="00951CBF">
        <w:rPr>
          <w:b/>
          <w:bCs/>
          <w:i/>
          <w:iCs/>
          <w:sz w:val="24"/>
        </w:rPr>
        <w:t>Round 2 s</w:t>
      </w:r>
      <w:r w:rsidR="004D624C" w:rsidRPr="00951CBF">
        <w:rPr>
          <w:b/>
          <w:bCs/>
          <w:i/>
          <w:iCs/>
          <w:sz w:val="24"/>
        </w:rPr>
        <w:t>ynthesis session</w:t>
      </w:r>
    </w:p>
    <w:p w14:paraId="4858E491" w14:textId="071640BB" w:rsidR="00ED520C" w:rsidRDefault="00671654" w:rsidP="00B82B2D">
      <w:pPr>
        <w:spacing w:line="480" w:lineRule="auto"/>
        <w:rPr>
          <w:rFonts w:asciiTheme="minorHAnsi" w:hAnsiTheme="minorHAnsi" w:cstheme="minorBidi"/>
          <w:color w:val="000000" w:themeColor="text1"/>
          <w:sz w:val="24"/>
        </w:rPr>
      </w:pPr>
      <w:r w:rsidRPr="0B106703">
        <w:rPr>
          <w:rFonts w:asciiTheme="minorHAnsi" w:hAnsiTheme="minorHAnsi" w:cstheme="minorBidi"/>
          <w:color w:val="000000" w:themeColor="text1"/>
          <w:sz w:val="24"/>
        </w:rPr>
        <w:lastRenderedPageBreak/>
        <w:t>W</w:t>
      </w:r>
      <w:r w:rsidR="00F66B6A" w:rsidRPr="0B106703">
        <w:rPr>
          <w:rFonts w:asciiTheme="minorHAnsi" w:hAnsiTheme="minorHAnsi" w:cstheme="minorBidi"/>
          <w:color w:val="000000" w:themeColor="text1"/>
          <w:sz w:val="24"/>
        </w:rPr>
        <w:t>e</w:t>
      </w:r>
      <w:r w:rsidRPr="0B106703">
        <w:rPr>
          <w:rFonts w:asciiTheme="minorHAnsi" w:hAnsiTheme="minorHAnsi" w:cstheme="minorBidi"/>
          <w:color w:val="000000" w:themeColor="text1"/>
          <w:sz w:val="24"/>
        </w:rPr>
        <w:t xml:space="preserve"> </w:t>
      </w:r>
      <w:r w:rsidR="00050677" w:rsidRPr="0B106703">
        <w:rPr>
          <w:rFonts w:asciiTheme="minorHAnsi" w:hAnsiTheme="minorHAnsi" w:cstheme="minorBidi"/>
          <w:color w:val="000000" w:themeColor="text1"/>
          <w:sz w:val="24"/>
        </w:rPr>
        <w:t xml:space="preserve">identified </w:t>
      </w:r>
      <w:r w:rsidR="00144FE9" w:rsidRPr="0B106703">
        <w:rPr>
          <w:rFonts w:asciiTheme="minorHAnsi" w:hAnsiTheme="minorHAnsi" w:cstheme="minorBidi"/>
          <w:color w:val="000000" w:themeColor="text1"/>
          <w:sz w:val="24"/>
        </w:rPr>
        <w:t>BCT operationalis</w:t>
      </w:r>
      <w:r w:rsidR="00582282" w:rsidRPr="0B106703">
        <w:rPr>
          <w:rFonts w:asciiTheme="minorHAnsi" w:hAnsiTheme="minorHAnsi" w:cstheme="minorBidi"/>
          <w:color w:val="000000" w:themeColor="text1"/>
          <w:sz w:val="24"/>
        </w:rPr>
        <w:t>ation</w:t>
      </w:r>
      <w:r w:rsidR="00514180" w:rsidRPr="0B106703">
        <w:rPr>
          <w:rFonts w:asciiTheme="minorHAnsi" w:hAnsiTheme="minorHAnsi" w:cstheme="minorBidi"/>
          <w:color w:val="000000" w:themeColor="text1"/>
          <w:sz w:val="24"/>
        </w:rPr>
        <w:t>s</w:t>
      </w:r>
      <w:r w:rsidR="00050677" w:rsidRPr="0B106703">
        <w:rPr>
          <w:rFonts w:asciiTheme="minorHAnsi" w:hAnsiTheme="minorHAnsi" w:cstheme="minorBidi"/>
          <w:color w:val="000000" w:themeColor="text1"/>
          <w:sz w:val="24"/>
        </w:rPr>
        <w:t xml:space="preserve"> </w:t>
      </w:r>
      <w:r w:rsidR="00582282" w:rsidRPr="0B106703">
        <w:rPr>
          <w:rFonts w:asciiTheme="minorHAnsi" w:hAnsiTheme="minorHAnsi" w:cstheme="minorBidi"/>
          <w:color w:val="000000" w:themeColor="text1"/>
          <w:sz w:val="24"/>
        </w:rPr>
        <w:t>that</w:t>
      </w:r>
      <w:r w:rsidR="00050677" w:rsidRPr="0B106703">
        <w:rPr>
          <w:rFonts w:asciiTheme="minorHAnsi" w:hAnsiTheme="minorHAnsi" w:cstheme="minorBidi"/>
          <w:color w:val="000000" w:themeColor="text1"/>
          <w:sz w:val="24"/>
        </w:rPr>
        <w:t xml:space="preserve"> were </w:t>
      </w:r>
      <w:r w:rsidRPr="0B106703">
        <w:rPr>
          <w:rFonts w:asciiTheme="minorHAnsi" w:hAnsiTheme="minorHAnsi" w:cstheme="minorBidi"/>
          <w:color w:val="000000" w:themeColor="text1"/>
          <w:sz w:val="24"/>
        </w:rPr>
        <w:t xml:space="preserve">selected as the </w:t>
      </w:r>
      <w:r w:rsidR="00050677" w:rsidRPr="0B106703">
        <w:rPr>
          <w:rFonts w:asciiTheme="minorHAnsi" w:hAnsiTheme="minorHAnsi" w:cstheme="minorBidi"/>
          <w:color w:val="000000" w:themeColor="text1"/>
          <w:sz w:val="24"/>
        </w:rPr>
        <w:t>best candidate</w:t>
      </w:r>
      <w:r w:rsidRPr="0B106703">
        <w:rPr>
          <w:rFonts w:asciiTheme="minorHAnsi" w:hAnsiTheme="minorHAnsi" w:cstheme="minorBidi"/>
          <w:color w:val="000000" w:themeColor="text1"/>
          <w:sz w:val="24"/>
        </w:rPr>
        <w:t>s</w:t>
      </w:r>
      <w:r w:rsidR="00144FE9" w:rsidRPr="0B106703">
        <w:rPr>
          <w:rFonts w:asciiTheme="minorHAnsi" w:hAnsiTheme="minorHAnsi" w:cstheme="minorBidi"/>
          <w:color w:val="000000" w:themeColor="text1"/>
          <w:sz w:val="24"/>
        </w:rPr>
        <w:t xml:space="preserve"> </w:t>
      </w:r>
      <w:r w:rsidR="00050677" w:rsidRPr="0B106703">
        <w:rPr>
          <w:rFonts w:asciiTheme="minorHAnsi" w:hAnsiTheme="minorHAnsi" w:cstheme="minorBidi"/>
          <w:color w:val="000000" w:themeColor="text1"/>
          <w:sz w:val="24"/>
        </w:rPr>
        <w:t>by</w:t>
      </w:r>
      <w:r w:rsidR="00144FE9" w:rsidRPr="0B106703">
        <w:rPr>
          <w:rFonts w:asciiTheme="minorHAnsi" w:hAnsiTheme="minorHAnsi" w:cstheme="minorBidi"/>
          <w:color w:val="000000" w:themeColor="text1"/>
          <w:sz w:val="24"/>
        </w:rPr>
        <w:t xml:space="preserve"> </w:t>
      </w:r>
      <w:r w:rsidR="00050677" w:rsidRPr="0B106703">
        <w:rPr>
          <w:rFonts w:asciiTheme="minorHAnsi" w:hAnsiTheme="minorHAnsi" w:cstheme="minorBidi"/>
          <w:color w:val="000000" w:themeColor="text1"/>
          <w:sz w:val="24"/>
        </w:rPr>
        <w:t>all</w:t>
      </w:r>
      <w:r w:rsidR="00144FE9" w:rsidRPr="0B106703">
        <w:rPr>
          <w:rFonts w:asciiTheme="minorHAnsi" w:hAnsiTheme="minorHAnsi" w:cstheme="minorBidi"/>
          <w:color w:val="000000" w:themeColor="text1"/>
          <w:sz w:val="24"/>
        </w:rPr>
        <w:t xml:space="preserve"> three </w:t>
      </w:r>
      <w:r w:rsidR="00582282" w:rsidRPr="0B106703">
        <w:rPr>
          <w:rFonts w:asciiTheme="minorHAnsi" w:hAnsiTheme="minorHAnsi" w:cstheme="minorBidi"/>
          <w:color w:val="000000" w:themeColor="text1"/>
          <w:sz w:val="24"/>
        </w:rPr>
        <w:t xml:space="preserve">hospital </w:t>
      </w:r>
      <w:r w:rsidR="00144FE9" w:rsidRPr="0B106703">
        <w:rPr>
          <w:rFonts w:asciiTheme="minorHAnsi" w:hAnsiTheme="minorHAnsi" w:cstheme="minorBidi"/>
          <w:color w:val="000000" w:themeColor="text1"/>
          <w:sz w:val="24"/>
        </w:rPr>
        <w:t>panels</w:t>
      </w:r>
      <w:r w:rsidR="00ED520C" w:rsidRPr="0B106703">
        <w:rPr>
          <w:rFonts w:asciiTheme="minorHAnsi" w:hAnsiTheme="minorHAnsi" w:cstheme="minorBidi"/>
          <w:color w:val="000000" w:themeColor="text1"/>
          <w:sz w:val="24"/>
        </w:rPr>
        <w:t>.</w:t>
      </w:r>
      <w:r w:rsidR="00024375" w:rsidRPr="0B106703">
        <w:rPr>
          <w:rFonts w:asciiTheme="minorHAnsi" w:hAnsiTheme="minorHAnsi" w:cstheme="minorBidi"/>
          <w:color w:val="000000" w:themeColor="text1"/>
          <w:sz w:val="24"/>
        </w:rPr>
        <w:t xml:space="preserve"> </w:t>
      </w:r>
      <w:r w:rsidR="008F7FAB" w:rsidRPr="0B106703">
        <w:rPr>
          <w:rFonts w:asciiTheme="minorHAnsi" w:hAnsiTheme="minorHAnsi" w:cstheme="minorBidi"/>
          <w:color w:val="000000" w:themeColor="text1"/>
          <w:sz w:val="24"/>
        </w:rPr>
        <w:t xml:space="preserve">We </w:t>
      </w:r>
      <w:r w:rsidR="008B5E63">
        <w:rPr>
          <w:rFonts w:asciiTheme="minorHAnsi" w:hAnsiTheme="minorHAnsi" w:cstheme="minorBidi"/>
          <w:color w:val="000000" w:themeColor="text1"/>
          <w:sz w:val="24"/>
        </w:rPr>
        <w:t>used them to</w:t>
      </w:r>
      <w:r w:rsidR="008F7FAB" w:rsidRPr="0B106703">
        <w:rPr>
          <w:rFonts w:asciiTheme="minorHAnsi" w:hAnsiTheme="minorHAnsi" w:cstheme="minorBidi"/>
          <w:color w:val="000000" w:themeColor="text1"/>
          <w:sz w:val="24"/>
        </w:rPr>
        <w:t xml:space="preserve"> </w:t>
      </w:r>
      <w:r w:rsidR="008B5E63">
        <w:rPr>
          <w:rFonts w:asciiTheme="minorHAnsi" w:hAnsiTheme="minorHAnsi" w:cstheme="minorBidi"/>
          <w:color w:val="000000" w:themeColor="text1"/>
          <w:sz w:val="24"/>
        </w:rPr>
        <w:t>populate the matrix</w:t>
      </w:r>
      <w:r w:rsidR="00FB3985" w:rsidRPr="0B106703">
        <w:rPr>
          <w:rFonts w:asciiTheme="minorHAnsi" w:hAnsiTheme="minorHAnsi" w:cstheme="minorBidi"/>
          <w:color w:val="000000" w:themeColor="text1"/>
          <w:sz w:val="24"/>
        </w:rPr>
        <w:t xml:space="preserve"> </w:t>
      </w:r>
      <w:r w:rsidR="00237696" w:rsidRPr="0B106703">
        <w:rPr>
          <w:rFonts w:asciiTheme="minorHAnsi" w:hAnsiTheme="minorHAnsi" w:cstheme="minorBidi"/>
          <w:color w:val="000000" w:themeColor="text1"/>
          <w:sz w:val="24"/>
        </w:rPr>
        <w:t xml:space="preserve">with the key design elements </w:t>
      </w:r>
      <w:r w:rsidR="00FB3985" w:rsidRPr="0B106703">
        <w:rPr>
          <w:rFonts w:asciiTheme="minorHAnsi" w:hAnsiTheme="minorHAnsi" w:cstheme="minorBidi"/>
          <w:color w:val="000000" w:themeColor="text1"/>
          <w:sz w:val="24"/>
        </w:rPr>
        <w:t xml:space="preserve">and </w:t>
      </w:r>
      <w:r w:rsidR="008F7FAB" w:rsidRPr="0B106703">
        <w:rPr>
          <w:rFonts w:asciiTheme="minorHAnsi" w:hAnsiTheme="minorHAnsi" w:cstheme="minorBidi"/>
          <w:color w:val="000000" w:themeColor="text1"/>
          <w:sz w:val="24"/>
        </w:rPr>
        <w:t xml:space="preserve">identified commonalities </w:t>
      </w:r>
      <w:r w:rsidR="00701F95" w:rsidRPr="0B106703">
        <w:rPr>
          <w:rFonts w:asciiTheme="minorHAnsi" w:hAnsiTheme="minorHAnsi" w:cstheme="minorBidi"/>
          <w:color w:val="000000" w:themeColor="text1"/>
          <w:sz w:val="24"/>
        </w:rPr>
        <w:t xml:space="preserve">across panels </w:t>
      </w:r>
      <w:r w:rsidR="00596D38" w:rsidRPr="0B106703">
        <w:rPr>
          <w:rFonts w:asciiTheme="minorHAnsi" w:hAnsiTheme="minorHAnsi" w:cstheme="minorBidi"/>
          <w:color w:val="000000" w:themeColor="text1"/>
          <w:sz w:val="24"/>
        </w:rPr>
        <w:t>for</w:t>
      </w:r>
      <w:r w:rsidR="00701F95" w:rsidRPr="0B106703">
        <w:rPr>
          <w:rFonts w:asciiTheme="minorHAnsi" w:hAnsiTheme="minorHAnsi" w:cstheme="minorBidi"/>
          <w:color w:val="000000" w:themeColor="text1"/>
          <w:sz w:val="24"/>
        </w:rPr>
        <w:t xml:space="preserve"> incorporat</w:t>
      </w:r>
      <w:r w:rsidR="00596D38" w:rsidRPr="0B106703">
        <w:rPr>
          <w:rFonts w:asciiTheme="minorHAnsi" w:hAnsiTheme="minorHAnsi" w:cstheme="minorBidi"/>
          <w:color w:val="000000" w:themeColor="text1"/>
          <w:sz w:val="24"/>
        </w:rPr>
        <w:t>ion</w:t>
      </w:r>
      <w:r w:rsidR="00701F95" w:rsidRPr="0B106703">
        <w:rPr>
          <w:rFonts w:asciiTheme="minorHAnsi" w:hAnsiTheme="minorHAnsi" w:cstheme="minorBidi"/>
          <w:color w:val="000000" w:themeColor="text1"/>
          <w:sz w:val="24"/>
        </w:rPr>
        <w:t xml:space="preserve"> into</w:t>
      </w:r>
      <w:r w:rsidR="00EC7DC3" w:rsidRPr="0B106703">
        <w:rPr>
          <w:rFonts w:asciiTheme="minorHAnsi" w:hAnsiTheme="minorHAnsi" w:cstheme="minorBidi"/>
          <w:color w:val="000000" w:themeColor="text1"/>
          <w:sz w:val="24"/>
        </w:rPr>
        <w:t xml:space="preserve"> BCT prototypes.</w:t>
      </w:r>
    </w:p>
    <w:p w14:paraId="2FBEE34C" w14:textId="3FFAE4C0" w:rsidR="00321174" w:rsidRPr="00237059" w:rsidRDefault="00582282" w:rsidP="00B82B2D">
      <w:pPr>
        <w:spacing w:line="480" w:lineRule="auto"/>
        <w:rPr>
          <w:rFonts w:asciiTheme="minorHAnsi" w:hAnsiTheme="minorHAnsi" w:cstheme="minorHAnsi"/>
          <w:color w:val="000000" w:themeColor="text1"/>
          <w:sz w:val="2"/>
          <w:szCs w:val="2"/>
        </w:rPr>
      </w:pPr>
      <w:r>
        <w:rPr>
          <w:rFonts w:asciiTheme="minorHAnsi" w:hAnsiTheme="minorHAnsi" w:cstheme="minorHAnsi"/>
          <w:color w:val="000000" w:themeColor="text1"/>
          <w:sz w:val="24"/>
        </w:rPr>
        <w:t>Members of the research team with relevant expertise and contextual insight developed</w:t>
      </w:r>
      <w:r w:rsidR="00DD45F3">
        <w:rPr>
          <w:rFonts w:asciiTheme="minorHAnsi" w:hAnsiTheme="minorHAnsi" w:cstheme="minorHAnsi"/>
          <w:color w:val="000000" w:themeColor="text1"/>
          <w:sz w:val="24"/>
        </w:rPr>
        <w:t xml:space="preserve"> BCT prototypes </w:t>
      </w:r>
      <w:r>
        <w:rPr>
          <w:rFonts w:asciiTheme="minorHAnsi" w:hAnsiTheme="minorHAnsi" w:cstheme="minorHAnsi"/>
          <w:color w:val="000000" w:themeColor="text1"/>
          <w:sz w:val="24"/>
        </w:rPr>
        <w:t>based on the matrix descriptions</w:t>
      </w:r>
      <w:r w:rsidR="003B4759">
        <w:rPr>
          <w:rFonts w:asciiTheme="minorHAnsi" w:hAnsiTheme="minorHAnsi" w:cstheme="minorHAnsi"/>
          <w:color w:val="000000" w:themeColor="text1"/>
          <w:sz w:val="24"/>
        </w:rPr>
        <w:t>. For example,</w:t>
      </w:r>
      <w:r w:rsidR="00DD45F3">
        <w:rPr>
          <w:rFonts w:asciiTheme="minorHAnsi" w:hAnsiTheme="minorHAnsi" w:cstheme="minorHAnsi"/>
          <w:color w:val="000000" w:themeColor="text1"/>
          <w:sz w:val="24"/>
        </w:rPr>
        <w:t xml:space="preserve"> BCTs targeting </w:t>
      </w:r>
      <w:r w:rsidR="003B4759">
        <w:rPr>
          <w:rFonts w:asciiTheme="minorHAnsi" w:hAnsiTheme="minorHAnsi" w:cstheme="minorHAnsi"/>
          <w:color w:val="000000" w:themeColor="text1"/>
          <w:sz w:val="24"/>
        </w:rPr>
        <w:t xml:space="preserve">geriatrician </w:t>
      </w:r>
      <w:r w:rsidR="00892F1B">
        <w:rPr>
          <w:rFonts w:asciiTheme="minorHAnsi" w:hAnsiTheme="minorHAnsi" w:cstheme="minorHAnsi"/>
          <w:color w:val="000000" w:themeColor="text1"/>
          <w:sz w:val="24"/>
        </w:rPr>
        <w:t>behaviour</w:t>
      </w:r>
      <w:r w:rsidR="00992D4C">
        <w:rPr>
          <w:rFonts w:asciiTheme="minorHAnsi" w:hAnsiTheme="minorHAnsi" w:cstheme="minorHAnsi"/>
          <w:color w:val="000000" w:themeColor="text1"/>
          <w:sz w:val="24"/>
        </w:rPr>
        <w:t xml:space="preserve"> were assigned to </w:t>
      </w:r>
      <w:r w:rsidR="003B4759">
        <w:rPr>
          <w:rFonts w:asciiTheme="minorHAnsi" w:hAnsiTheme="minorHAnsi" w:cstheme="minorHAnsi"/>
          <w:color w:val="000000" w:themeColor="text1"/>
          <w:sz w:val="24"/>
        </w:rPr>
        <w:t>geriatrician</w:t>
      </w:r>
      <w:r w:rsidR="009E4323">
        <w:rPr>
          <w:rFonts w:asciiTheme="minorHAnsi" w:hAnsiTheme="minorHAnsi" w:cstheme="minorHAnsi"/>
          <w:color w:val="000000" w:themeColor="text1"/>
          <w:sz w:val="24"/>
        </w:rPr>
        <w:t>,</w:t>
      </w:r>
      <w:r w:rsidR="003B4759">
        <w:rPr>
          <w:rFonts w:asciiTheme="minorHAnsi" w:hAnsiTheme="minorHAnsi" w:cstheme="minorHAnsi"/>
          <w:color w:val="000000" w:themeColor="text1"/>
          <w:sz w:val="24"/>
        </w:rPr>
        <w:t xml:space="preserve"> patient representative</w:t>
      </w:r>
      <w:r w:rsidR="009E4323">
        <w:rPr>
          <w:rFonts w:asciiTheme="minorHAnsi" w:hAnsiTheme="minorHAnsi" w:cstheme="minorHAnsi"/>
          <w:color w:val="000000" w:themeColor="text1"/>
          <w:sz w:val="24"/>
        </w:rPr>
        <w:t xml:space="preserve"> and behavioural scientist</w:t>
      </w:r>
      <w:r w:rsidR="00992D4C">
        <w:rPr>
          <w:rFonts w:asciiTheme="minorHAnsi" w:hAnsiTheme="minorHAnsi" w:cstheme="minorHAnsi"/>
          <w:color w:val="000000" w:themeColor="text1"/>
          <w:sz w:val="24"/>
        </w:rPr>
        <w:t xml:space="preserve"> members of the </w:t>
      </w:r>
      <w:r w:rsidR="009E4323">
        <w:rPr>
          <w:rFonts w:asciiTheme="minorHAnsi" w:hAnsiTheme="minorHAnsi" w:cstheme="minorHAnsi"/>
          <w:color w:val="000000" w:themeColor="text1"/>
          <w:sz w:val="24"/>
        </w:rPr>
        <w:t xml:space="preserve">research </w:t>
      </w:r>
      <w:r w:rsidR="00992D4C">
        <w:rPr>
          <w:rFonts w:asciiTheme="minorHAnsi" w:hAnsiTheme="minorHAnsi" w:cstheme="minorHAnsi"/>
          <w:color w:val="000000" w:themeColor="text1"/>
          <w:sz w:val="24"/>
        </w:rPr>
        <w:t>team</w:t>
      </w:r>
      <w:r w:rsidR="00892F1B">
        <w:rPr>
          <w:rFonts w:asciiTheme="minorHAnsi" w:hAnsiTheme="minorHAnsi" w:cstheme="minorHAnsi"/>
          <w:color w:val="000000" w:themeColor="text1"/>
          <w:sz w:val="24"/>
        </w:rPr>
        <w:t>.</w:t>
      </w:r>
      <w:r w:rsidR="00AF028C">
        <w:rPr>
          <w:rFonts w:asciiTheme="minorHAnsi" w:hAnsiTheme="minorHAnsi" w:cstheme="minorHAnsi"/>
          <w:color w:val="000000" w:themeColor="text1"/>
          <w:sz w:val="24"/>
        </w:rPr>
        <w:t xml:space="preserve"> </w:t>
      </w:r>
    </w:p>
    <w:p w14:paraId="0C1DB841" w14:textId="22237EA9" w:rsidR="004D624C" w:rsidRDefault="004D624C" w:rsidP="009346BB">
      <w:pPr>
        <w:spacing w:after="0" w:line="480" w:lineRule="auto"/>
        <w:rPr>
          <w:b/>
          <w:bCs/>
          <w:sz w:val="24"/>
          <w:szCs w:val="28"/>
        </w:rPr>
      </w:pPr>
      <w:r w:rsidRPr="00E9336E">
        <w:rPr>
          <w:b/>
          <w:bCs/>
          <w:sz w:val="24"/>
          <w:szCs w:val="28"/>
        </w:rPr>
        <w:t>Round 3</w:t>
      </w:r>
    </w:p>
    <w:p w14:paraId="64A93282" w14:textId="1A1C055D" w:rsidR="51EE25C1" w:rsidRDefault="51EE25C1" w:rsidP="00B82B2D">
      <w:pPr>
        <w:spacing w:line="480" w:lineRule="auto"/>
        <w:rPr>
          <w:rFonts w:cs="Calibri"/>
          <w:sz w:val="24"/>
        </w:rPr>
      </w:pPr>
      <w:r w:rsidRPr="51EE25C1">
        <w:rPr>
          <w:sz w:val="24"/>
        </w:rPr>
        <w:t xml:space="preserve">The aim of the third round was to </w:t>
      </w:r>
      <w:r w:rsidR="0006136D">
        <w:rPr>
          <w:sz w:val="24"/>
        </w:rPr>
        <w:t>review</w:t>
      </w:r>
      <w:r w:rsidRPr="51EE25C1">
        <w:rPr>
          <w:sz w:val="24"/>
        </w:rPr>
        <w:t xml:space="preserve"> and refine prototypes for each </w:t>
      </w:r>
      <w:r w:rsidR="003250E5">
        <w:rPr>
          <w:sz w:val="24"/>
        </w:rPr>
        <w:t xml:space="preserve">operationalised </w:t>
      </w:r>
      <w:r w:rsidRPr="51EE25C1">
        <w:rPr>
          <w:sz w:val="24"/>
        </w:rPr>
        <w:t xml:space="preserve">BCT at </w:t>
      </w:r>
      <w:r w:rsidRPr="51EE25C1">
        <w:rPr>
          <w:rFonts w:cs="Calibri"/>
          <w:sz w:val="24"/>
        </w:rPr>
        <w:t xml:space="preserve">a joint workshop attended by all three co-design panels. </w:t>
      </w:r>
      <w:r w:rsidR="00BC63E3" w:rsidRPr="51EE25C1">
        <w:rPr>
          <w:rFonts w:cs="Calibri"/>
          <w:sz w:val="24"/>
        </w:rPr>
        <w:t>This was to ensure that the intervention was refined and ratified in view of the diversity and contextual factors represented by the three hospitals</w:t>
      </w:r>
      <w:r w:rsidR="00227750">
        <w:rPr>
          <w:rFonts w:cs="Calibri"/>
          <w:sz w:val="24"/>
        </w:rPr>
        <w:fldChar w:fldCharType="begin"/>
      </w:r>
      <w:r w:rsidR="00FC7A29">
        <w:rPr>
          <w:rFonts w:cs="Calibri"/>
          <w:sz w:val="24"/>
        </w:rPr>
        <w:instrText xml:space="preserve"> ADDIN ZOTERO_ITEM CSL_CITATION {"citationID":"jmUz3sNK","properties":{"formattedCitation":"(28)","plainCitation":"(28)","noteIndex":0},"citationItems":[{"id":"HaMovQnS/YedPSke0","uris":["http://zotero.org/users/6791840/items/JGIRRLXY"],"itemData":{"id":567,"type":"article-journal","container-title":"BMJ open","issue":"2","note":"publisher: British Medical Journal Publishing Group","page":"e035686","source":"Google Scholar","title":"‘Function First—Be Active, Stay Independent’—promoting physical activity and physical function in people with long-term conditions by primary care: a protocol for a realist synthesis with embedded co-production and co-design","title-short":"‘Function First—Be Active, Stay Independent’—promoting physical activity and physical function in people with long-term conditions by primary care","volume":"10","author":[{"family":"Law","given":"Rebecca-Jane"},{"family":"Williams","given":"Lynne"},{"family":"Langley","given":"Joseph"},{"family":"Burton","given":"Christopher"},{"family":"Hall","given":"Beth"},{"family":"Hiscock","given":"Julia"},{"family":"Morrison","given":"Val"},{"family":"Lemmey","given":"Andrew"},{"family":"Partridge","given":"Rebecca"},{"family":"Lovell-Smith","given":"Candida"}],"issued":{"date-parts":[["2020"]]}}}],"schema":"https://github.com/citation-style-language/schema/raw/master/csl-citation.json"} </w:instrText>
      </w:r>
      <w:r w:rsidR="00227750">
        <w:rPr>
          <w:rFonts w:cs="Calibri"/>
          <w:sz w:val="24"/>
        </w:rPr>
        <w:fldChar w:fldCharType="separate"/>
      </w:r>
      <w:r w:rsidR="00FC7A29">
        <w:rPr>
          <w:rFonts w:cs="Calibri"/>
          <w:sz w:val="24"/>
        </w:rPr>
        <w:t>(28)</w:t>
      </w:r>
      <w:r w:rsidR="00227750">
        <w:rPr>
          <w:rFonts w:cs="Calibri"/>
          <w:sz w:val="24"/>
        </w:rPr>
        <w:fldChar w:fldCharType="end"/>
      </w:r>
      <w:r w:rsidR="00BC63E3" w:rsidRPr="51EE25C1">
        <w:rPr>
          <w:rFonts w:cs="Calibri"/>
          <w:sz w:val="24"/>
        </w:rPr>
        <w:t>.</w:t>
      </w:r>
    </w:p>
    <w:p w14:paraId="104AFC5E" w14:textId="149D2613" w:rsidR="004D624C" w:rsidRPr="00951CBF" w:rsidRDefault="00951CBF" w:rsidP="009346BB">
      <w:pPr>
        <w:spacing w:after="0" w:line="480" w:lineRule="auto"/>
        <w:rPr>
          <w:b/>
          <w:bCs/>
          <w:i/>
          <w:iCs/>
          <w:sz w:val="24"/>
        </w:rPr>
      </w:pPr>
      <w:r w:rsidRPr="00951CBF">
        <w:rPr>
          <w:b/>
          <w:bCs/>
          <w:i/>
          <w:iCs/>
          <w:sz w:val="24"/>
        </w:rPr>
        <w:t>Round 3 p</w:t>
      </w:r>
      <w:r w:rsidR="004D624C" w:rsidRPr="00951CBF">
        <w:rPr>
          <w:b/>
          <w:bCs/>
          <w:i/>
          <w:iCs/>
          <w:sz w:val="24"/>
        </w:rPr>
        <w:t xml:space="preserve">re-workshop </w:t>
      </w:r>
      <w:r w:rsidR="00902CA1" w:rsidRPr="00951CBF">
        <w:rPr>
          <w:b/>
          <w:bCs/>
          <w:i/>
          <w:iCs/>
          <w:sz w:val="24"/>
        </w:rPr>
        <w:t>activity</w:t>
      </w:r>
    </w:p>
    <w:p w14:paraId="4FFB5BFB" w14:textId="59B41AA4" w:rsidR="00CE14FB" w:rsidRDefault="001D4F8A" w:rsidP="00B82B2D">
      <w:pPr>
        <w:spacing w:line="480" w:lineRule="auto"/>
        <w:rPr>
          <w:rFonts w:cs="Calibri"/>
          <w:sz w:val="24"/>
        </w:rPr>
      </w:pPr>
      <w:r w:rsidRPr="0B106703">
        <w:rPr>
          <w:rFonts w:cs="Calibri"/>
          <w:sz w:val="24"/>
        </w:rPr>
        <w:t xml:space="preserve">We </w:t>
      </w:r>
      <w:r w:rsidR="00535AC3">
        <w:rPr>
          <w:rFonts w:cs="Calibri"/>
          <w:sz w:val="24"/>
        </w:rPr>
        <w:t xml:space="preserve">emailed panel members a link to </w:t>
      </w:r>
      <w:r w:rsidR="00D25AC2" w:rsidRPr="0B106703">
        <w:rPr>
          <w:rFonts w:cs="Calibri"/>
          <w:sz w:val="24"/>
        </w:rPr>
        <w:t xml:space="preserve">access </w:t>
      </w:r>
      <w:r w:rsidR="00624253" w:rsidRPr="0B106703">
        <w:rPr>
          <w:rFonts w:cs="Calibri"/>
          <w:sz w:val="24"/>
        </w:rPr>
        <w:t>the</w:t>
      </w:r>
      <w:r w:rsidR="003F57D5" w:rsidRPr="0B106703">
        <w:rPr>
          <w:rFonts w:cs="Calibri"/>
          <w:sz w:val="24"/>
        </w:rPr>
        <w:t xml:space="preserve"> </w:t>
      </w:r>
      <w:r w:rsidR="006945F8">
        <w:rPr>
          <w:rFonts w:cs="Calibri"/>
          <w:sz w:val="24"/>
        </w:rPr>
        <w:t>operationalised</w:t>
      </w:r>
      <w:r w:rsidR="00624253" w:rsidRPr="0B106703">
        <w:rPr>
          <w:rFonts w:cs="Calibri"/>
          <w:sz w:val="24"/>
        </w:rPr>
        <w:t xml:space="preserve"> </w:t>
      </w:r>
      <w:r w:rsidRPr="0B106703">
        <w:rPr>
          <w:rFonts w:cs="Calibri"/>
          <w:sz w:val="24"/>
        </w:rPr>
        <w:t>BCT</w:t>
      </w:r>
      <w:r w:rsidR="005A7E2E" w:rsidRPr="0B106703">
        <w:rPr>
          <w:rFonts w:cs="Calibri"/>
          <w:sz w:val="24"/>
        </w:rPr>
        <w:t xml:space="preserve"> </w:t>
      </w:r>
      <w:r w:rsidR="00EE0940" w:rsidRPr="0B106703">
        <w:rPr>
          <w:rFonts w:cs="Calibri"/>
          <w:sz w:val="24"/>
        </w:rPr>
        <w:t>prototypes</w:t>
      </w:r>
      <w:r w:rsidR="007F1D49" w:rsidRPr="0B106703">
        <w:rPr>
          <w:rFonts w:cs="Calibri"/>
          <w:sz w:val="24"/>
        </w:rPr>
        <w:t xml:space="preserve"> </w:t>
      </w:r>
      <w:r w:rsidR="001A1AF1">
        <w:rPr>
          <w:rFonts w:cs="Calibri"/>
          <w:sz w:val="24"/>
        </w:rPr>
        <w:t xml:space="preserve">relevant to them </w:t>
      </w:r>
      <w:r w:rsidR="00D25AC2" w:rsidRPr="0B106703">
        <w:rPr>
          <w:rFonts w:cs="Calibri"/>
          <w:sz w:val="24"/>
        </w:rPr>
        <w:t xml:space="preserve">and asked them </w:t>
      </w:r>
      <w:r w:rsidR="004936D8" w:rsidRPr="0B106703">
        <w:rPr>
          <w:rFonts w:cs="Calibri"/>
          <w:sz w:val="24"/>
        </w:rPr>
        <w:t xml:space="preserve">to </w:t>
      </w:r>
      <w:r w:rsidR="0006136D">
        <w:rPr>
          <w:rFonts w:cs="Calibri"/>
          <w:sz w:val="24"/>
        </w:rPr>
        <w:t>review</w:t>
      </w:r>
      <w:r w:rsidR="3C9EA666" w:rsidRPr="0B106703">
        <w:rPr>
          <w:rFonts w:cs="Calibri"/>
          <w:sz w:val="24"/>
        </w:rPr>
        <w:t xml:space="preserve"> </w:t>
      </w:r>
      <w:r w:rsidR="004936D8" w:rsidRPr="0B106703">
        <w:rPr>
          <w:rFonts w:cs="Calibri"/>
          <w:sz w:val="24"/>
        </w:rPr>
        <w:t>them</w:t>
      </w:r>
      <w:r w:rsidR="0006136D">
        <w:rPr>
          <w:rFonts w:cs="Calibri"/>
          <w:sz w:val="24"/>
        </w:rPr>
        <w:t xml:space="preserve"> ahead of the workshop</w:t>
      </w:r>
      <w:r w:rsidR="00C368B8" w:rsidRPr="0B106703">
        <w:rPr>
          <w:rFonts w:cs="Calibri"/>
          <w:sz w:val="24"/>
        </w:rPr>
        <w:t>.</w:t>
      </w:r>
      <w:r w:rsidR="0006136D" w:rsidRPr="0006136D">
        <w:rPr>
          <w:rFonts w:cs="Calibri"/>
          <w:sz w:val="24"/>
        </w:rPr>
        <w:t xml:space="preserve"> </w:t>
      </w:r>
      <w:r w:rsidR="0006136D">
        <w:rPr>
          <w:rFonts w:cs="Calibri"/>
          <w:sz w:val="24"/>
        </w:rPr>
        <w:t>For example, we asked geriatricians to watch the videos of geriatricians sharing their experiences of deprescribing, and asked pharmacists to review the ‘pros and cons workbook’ and watch the patient videos.</w:t>
      </w:r>
    </w:p>
    <w:p w14:paraId="27C05181" w14:textId="37DBB957" w:rsidR="004D624C" w:rsidRPr="00951CBF" w:rsidRDefault="00951CBF" w:rsidP="009346BB">
      <w:pPr>
        <w:spacing w:after="0" w:line="480" w:lineRule="auto"/>
        <w:rPr>
          <w:b/>
          <w:bCs/>
          <w:i/>
          <w:iCs/>
          <w:sz w:val="24"/>
        </w:rPr>
      </w:pPr>
      <w:r w:rsidRPr="00951CBF">
        <w:rPr>
          <w:b/>
          <w:bCs/>
          <w:i/>
          <w:iCs/>
          <w:sz w:val="24"/>
        </w:rPr>
        <w:t>Round 3 w</w:t>
      </w:r>
      <w:r w:rsidR="004D624C" w:rsidRPr="00951CBF">
        <w:rPr>
          <w:b/>
          <w:bCs/>
          <w:i/>
          <w:iCs/>
          <w:sz w:val="24"/>
        </w:rPr>
        <w:t>orkshop</w:t>
      </w:r>
    </w:p>
    <w:p w14:paraId="00D6E62C" w14:textId="768A807A" w:rsidR="00E71578" w:rsidRDefault="020C191D" w:rsidP="00B82B2D">
      <w:pPr>
        <w:spacing w:line="480" w:lineRule="auto"/>
        <w:rPr>
          <w:sz w:val="24"/>
        </w:rPr>
      </w:pPr>
      <w:r w:rsidRPr="020C191D">
        <w:rPr>
          <w:sz w:val="24"/>
        </w:rPr>
        <w:t xml:space="preserve">We </w:t>
      </w:r>
      <w:r w:rsidR="00A30398">
        <w:rPr>
          <w:sz w:val="24"/>
        </w:rPr>
        <w:t>invited</w:t>
      </w:r>
      <w:r w:rsidRPr="020C191D">
        <w:rPr>
          <w:sz w:val="24"/>
        </w:rPr>
        <w:t xml:space="preserve"> the panels</w:t>
      </w:r>
      <w:r w:rsidR="003D0D3F">
        <w:rPr>
          <w:sz w:val="24"/>
        </w:rPr>
        <w:t xml:space="preserve"> to provide</w:t>
      </w:r>
      <w:r w:rsidRPr="020C191D">
        <w:rPr>
          <w:sz w:val="24"/>
        </w:rPr>
        <w:t xml:space="preserve"> feedback and explored any remaining uncertainties relating to the potential efficacy, acceptability or feasibility of combining the six operationalised BCTs into the CHARMER intervention package.</w:t>
      </w:r>
    </w:p>
    <w:p w14:paraId="2817BBD4" w14:textId="0AC09F22" w:rsidR="004D624C" w:rsidRPr="00951CBF" w:rsidRDefault="00951CBF" w:rsidP="009346BB">
      <w:pPr>
        <w:spacing w:after="0" w:line="480" w:lineRule="auto"/>
        <w:rPr>
          <w:b/>
          <w:bCs/>
          <w:i/>
          <w:iCs/>
          <w:sz w:val="24"/>
        </w:rPr>
      </w:pPr>
      <w:r w:rsidRPr="00951CBF">
        <w:rPr>
          <w:b/>
          <w:bCs/>
          <w:i/>
          <w:iCs/>
          <w:sz w:val="24"/>
        </w:rPr>
        <w:lastRenderedPageBreak/>
        <w:t>Round 3 s</w:t>
      </w:r>
      <w:r w:rsidR="004D624C" w:rsidRPr="00951CBF">
        <w:rPr>
          <w:b/>
          <w:bCs/>
          <w:i/>
          <w:iCs/>
          <w:sz w:val="24"/>
        </w:rPr>
        <w:t>ynthesis sessions</w:t>
      </w:r>
    </w:p>
    <w:p w14:paraId="6A26A196" w14:textId="0181883C" w:rsidR="003E787D" w:rsidRPr="00225A71" w:rsidRDefault="020C191D" w:rsidP="00B82B2D">
      <w:pPr>
        <w:spacing w:line="480" w:lineRule="auto"/>
        <w:rPr>
          <w:sz w:val="24"/>
        </w:rPr>
      </w:pPr>
      <w:r w:rsidRPr="020C191D">
        <w:rPr>
          <w:sz w:val="24"/>
        </w:rPr>
        <w:t>We refined the matrix based on the workshop feedback. Any outstanding uncertainties about the BCT operationalisations were explored with the wider CHARMER team with constant cross-referencing to the data generated at each round in the study.</w:t>
      </w:r>
    </w:p>
    <w:p w14:paraId="104A7A71" w14:textId="55547CEF" w:rsidR="00292480" w:rsidRDefault="00D74043" w:rsidP="00292480">
      <w:pPr>
        <w:spacing w:after="0" w:line="480" w:lineRule="auto"/>
        <w:rPr>
          <w:rFonts w:asciiTheme="minorHAnsi" w:hAnsiTheme="minorHAnsi" w:cstheme="minorHAnsi"/>
          <w:sz w:val="24"/>
        </w:rPr>
      </w:pPr>
      <w:r w:rsidRPr="001B722A">
        <w:rPr>
          <w:rFonts w:asciiTheme="minorHAnsi" w:hAnsiTheme="minorHAnsi" w:cstheme="minorHAnsi"/>
          <w:sz w:val="24"/>
        </w:rPr>
        <w:t xml:space="preserve">A detailed specification </w:t>
      </w:r>
      <w:r w:rsidR="00FE321B">
        <w:rPr>
          <w:rFonts w:asciiTheme="minorHAnsi" w:hAnsiTheme="minorHAnsi" w:cstheme="minorHAnsi"/>
          <w:sz w:val="24"/>
        </w:rPr>
        <w:t>for the CHARMER intervention</w:t>
      </w:r>
      <w:r w:rsidR="008177E5">
        <w:rPr>
          <w:rFonts w:asciiTheme="minorHAnsi" w:hAnsiTheme="minorHAnsi" w:cstheme="minorHAnsi"/>
          <w:sz w:val="24"/>
        </w:rPr>
        <w:t xml:space="preserve"> and the fully operationalised BCTs</w:t>
      </w:r>
      <w:r w:rsidR="00FE321B">
        <w:rPr>
          <w:rFonts w:asciiTheme="minorHAnsi" w:hAnsiTheme="minorHAnsi" w:cstheme="minorHAnsi"/>
          <w:sz w:val="24"/>
        </w:rPr>
        <w:t xml:space="preserve"> w</w:t>
      </w:r>
      <w:r w:rsidR="008177E5">
        <w:rPr>
          <w:rFonts w:asciiTheme="minorHAnsi" w:hAnsiTheme="minorHAnsi" w:cstheme="minorHAnsi"/>
          <w:sz w:val="24"/>
        </w:rPr>
        <w:t>ere</w:t>
      </w:r>
      <w:r w:rsidR="00FE321B">
        <w:rPr>
          <w:rFonts w:asciiTheme="minorHAnsi" w:hAnsiTheme="minorHAnsi" w:cstheme="minorHAnsi"/>
          <w:sz w:val="24"/>
        </w:rPr>
        <w:t xml:space="preserve"> produced</w:t>
      </w:r>
      <w:r w:rsidR="008177E5">
        <w:rPr>
          <w:rFonts w:asciiTheme="minorHAnsi" w:hAnsiTheme="minorHAnsi" w:cstheme="minorHAnsi"/>
          <w:sz w:val="24"/>
        </w:rPr>
        <w:t>.</w:t>
      </w:r>
    </w:p>
    <w:p w14:paraId="2549D1DD" w14:textId="77777777" w:rsidR="00292480" w:rsidRDefault="00292480" w:rsidP="00292480">
      <w:pPr>
        <w:spacing w:after="0" w:line="480" w:lineRule="auto"/>
        <w:rPr>
          <w:rFonts w:asciiTheme="minorHAnsi" w:hAnsiTheme="minorHAnsi" w:cstheme="minorHAnsi"/>
          <w:sz w:val="24"/>
        </w:rPr>
      </w:pPr>
    </w:p>
    <w:p w14:paraId="5D600723" w14:textId="6CF2B7FB" w:rsidR="00EB1863" w:rsidRPr="00292480" w:rsidRDefault="00C3219B" w:rsidP="00292480">
      <w:pPr>
        <w:pStyle w:val="Heading1"/>
        <w:spacing w:before="0" w:after="240"/>
        <w:rPr>
          <w:rFonts w:ascii="Calibri" w:hAnsi="Calibri" w:cs="Calibri"/>
          <w:b/>
          <w:bCs/>
          <w:color w:val="000000" w:themeColor="text1"/>
          <w:sz w:val="28"/>
          <w:szCs w:val="28"/>
        </w:rPr>
      </w:pPr>
      <w:r w:rsidRPr="00EB1863">
        <w:rPr>
          <w:rFonts w:ascii="Calibri" w:hAnsi="Calibri" w:cs="Calibri"/>
          <w:b/>
          <w:bCs/>
          <w:color w:val="000000" w:themeColor="text1"/>
          <w:sz w:val="28"/>
          <w:szCs w:val="28"/>
        </w:rPr>
        <w:t>Results</w:t>
      </w:r>
    </w:p>
    <w:p w14:paraId="3D1A06A3" w14:textId="548FDC75" w:rsidR="00C461A8" w:rsidRPr="00457FAB" w:rsidRDefault="00CE3359" w:rsidP="00C461A8">
      <w:pPr>
        <w:spacing w:line="480" w:lineRule="auto"/>
        <w:rPr>
          <w:rFonts w:cs="Calibri"/>
          <w:sz w:val="24"/>
        </w:rPr>
      </w:pPr>
      <w:r w:rsidRPr="77F3F659">
        <w:rPr>
          <w:rFonts w:cs="Calibri"/>
          <w:sz w:val="24"/>
        </w:rPr>
        <w:t>Thirty-three</w:t>
      </w:r>
      <w:r w:rsidR="00CC18E6" w:rsidRPr="77F3F659">
        <w:rPr>
          <w:rFonts w:cs="Calibri"/>
          <w:sz w:val="24"/>
        </w:rPr>
        <w:t xml:space="preserve"> </w:t>
      </w:r>
      <w:r w:rsidRPr="77F3F659">
        <w:rPr>
          <w:rFonts w:cs="Calibri"/>
          <w:sz w:val="24"/>
        </w:rPr>
        <w:t>co-design panel members</w:t>
      </w:r>
      <w:r w:rsidR="00CC18E6" w:rsidRPr="77F3F659">
        <w:rPr>
          <w:rFonts w:cs="Calibri"/>
          <w:sz w:val="24"/>
        </w:rPr>
        <w:t xml:space="preserve"> participated across the three hospitals</w:t>
      </w:r>
      <w:r w:rsidR="00E21F0B" w:rsidRPr="77F3F659">
        <w:rPr>
          <w:rFonts w:cs="Calibri"/>
          <w:sz w:val="24"/>
        </w:rPr>
        <w:t xml:space="preserve"> (</w:t>
      </w:r>
      <w:r w:rsidR="00041498" w:rsidRPr="77F3F659">
        <w:rPr>
          <w:rFonts w:cs="Calibri"/>
          <w:sz w:val="24"/>
        </w:rPr>
        <w:t>1</w:t>
      </w:r>
      <w:r w:rsidR="001A6BDA" w:rsidRPr="77F3F659">
        <w:rPr>
          <w:rFonts w:cs="Calibri"/>
          <w:sz w:val="24"/>
        </w:rPr>
        <w:t>7</w:t>
      </w:r>
      <w:r w:rsidR="00E21F0B" w:rsidRPr="77F3F659">
        <w:rPr>
          <w:rFonts w:cs="Calibri"/>
          <w:sz w:val="24"/>
        </w:rPr>
        <w:t xml:space="preserve"> geriatricians, </w:t>
      </w:r>
      <w:r w:rsidR="009B4102" w:rsidRPr="77F3F659">
        <w:rPr>
          <w:rFonts w:cs="Calibri"/>
          <w:sz w:val="24"/>
        </w:rPr>
        <w:t>12</w:t>
      </w:r>
      <w:r w:rsidR="00E21F0B" w:rsidRPr="77F3F659">
        <w:rPr>
          <w:rFonts w:cs="Calibri"/>
          <w:sz w:val="24"/>
        </w:rPr>
        <w:t xml:space="preserve"> pharmacists and </w:t>
      </w:r>
      <w:r w:rsidR="006C1FFC" w:rsidRPr="77F3F659">
        <w:rPr>
          <w:rFonts w:cs="Calibri"/>
          <w:sz w:val="24"/>
        </w:rPr>
        <w:t>4</w:t>
      </w:r>
      <w:r w:rsidR="00E21F0B" w:rsidRPr="77F3F659">
        <w:rPr>
          <w:rFonts w:cs="Calibri"/>
          <w:sz w:val="24"/>
        </w:rPr>
        <w:t xml:space="preserve"> other hospital staff)</w:t>
      </w:r>
      <w:r w:rsidR="00CC18E6" w:rsidRPr="77F3F659">
        <w:rPr>
          <w:rFonts w:cs="Calibri"/>
          <w:sz w:val="24"/>
        </w:rPr>
        <w:t xml:space="preserve">. </w:t>
      </w:r>
      <w:r w:rsidR="00A03BCB" w:rsidRPr="77F3F659">
        <w:rPr>
          <w:rFonts w:cs="Calibri"/>
          <w:sz w:val="24"/>
        </w:rPr>
        <w:t xml:space="preserve">The </w:t>
      </w:r>
      <w:r w:rsidR="00290C51" w:rsidRPr="77F3F659">
        <w:rPr>
          <w:rFonts w:cs="Calibri"/>
          <w:sz w:val="24"/>
        </w:rPr>
        <w:t xml:space="preserve">median </w:t>
      </w:r>
      <w:r w:rsidR="00FD7D02" w:rsidRPr="77F3F659">
        <w:rPr>
          <w:rFonts w:cs="Calibri"/>
          <w:sz w:val="24"/>
        </w:rPr>
        <w:t xml:space="preserve">age </w:t>
      </w:r>
      <w:r w:rsidRPr="77F3F659">
        <w:rPr>
          <w:rFonts w:cs="Calibri"/>
          <w:sz w:val="24"/>
        </w:rPr>
        <w:t xml:space="preserve">range </w:t>
      </w:r>
      <w:r w:rsidR="00A03BCB" w:rsidRPr="77F3F659">
        <w:rPr>
          <w:rFonts w:cs="Calibri"/>
          <w:sz w:val="24"/>
        </w:rPr>
        <w:t>was</w:t>
      </w:r>
      <w:r w:rsidR="00D13940" w:rsidRPr="77F3F659">
        <w:rPr>
          <w:rFonts w:cs="Calibri"/>
          <w:sz w:val="24"/>
        </w:rPr>
        <w:t xml:space="preserve"> </w:t>
      </w:r>
      <w:r w:rsidR="00DB20C5" w:rsidRPr="77F3F659">
        <w:rPr>
          <w:rFonts w:cs="Calibri"/>
          <w:sz w:val="24"/>
        </w:rPr>
        <w:t>25</w:t>
      </w:r>
      <w:r w:rsidR="00FD7D02" w:rsidRPr="77F3F659">
        <w:rPr>
          <w:rFonts w:cs="Calibri"/>
          <w:sz w:val="24"/>
        </w:rPr>
        <w:t>-</w:t>
      </w:r>
      <w:r w:rsidR="00DB20C5" w:rsidRPr="77F3F659">
        <w:rPr>
          <w:rFonts w:cs="Calibri"/>
          <w:sz w:val="24"/>
        </w:rPr>
        <w:t>34</w:t>
      </w:r>
      <w:r w:rsidR="3851E9E1" w:rsidRPr="77F3F659">
        <w:rPr>
          <w:rFonts w:cs="Calibri"/>
          <w:sz w:val="24"/>
        </w:rPr>
        <w:t xml:space="preserve"> years</w:t>
      </w:r>
      <w:r w:rsidR="00A03BCB" w:rsidRPr="77F3F659">
        <w:rPr>
          <w:rFonts w:cs="Calibri"/>
          <w:sz w:val="24"/>
        </w:rPr>
        <w:t xml:space="preserve"> and</w:t>
      </w:r>
      <w:r w:rsidR="00FD7D02" w:rsidRPr="77F3F659">
        <w:rPr>
          <w:rFonts w:cs="Calibri"/>
          <w:sz w:val="24"/>
        </w:rPr>
        <w:t xml:space="preserve"> </w:t>
      </w:r>
      <w:r w:rsidR="00DD506C" w:rsidRPr="77F3F659">
        <w:rPr>
          <w:rFonts w:cs="Calibri"/>
          <w:sz w:val="24"/>
        </w:rPr>
        <w:t>23</w:t>
      </w:r>
      <w:r w:rsidR="00A03BCB" w:rsidRPr="77F3F659">
        <w:rPr>
          <w:rFonts w:cs="Calibri"/>
          <w:sz w:val="24"/>
        </w:rPr>
        <w:t xml:space="preserve"> </w:t>
      </w:r>
      <w:r w:rsidR="00FD7D02" w:rsidRPr="77F3F659">
        <w:rPr>
          <w:rFonts w:cs="Calibri"/>
          <w:sz w:val="24"/>
        </w:rPr>
        <w:t>(</w:t>
      </w:r>
      <w:r w:rsidR="00D07798" w:rsidRPr="77F3F659">
        <w:rPr>
          <w:rFonts w:cs="Calibri"/>
          <w:sz w:val="24"/>
        </w:rPr>
        <w:t>69</w:t>
      </w:r>
      <w:r w:rsidR="00A03BCB" w:rsidRPr="77F3F659">
        <w:rPr>
          <w:rFonts w:cs="Calibri"/>
          <w:sz w:val="24"/>
        </w:rPr>
        <w:t>%</w:t>
      </w:r>
      <w:r w:rsidR="00FD7D02" w:rsidRPr="77F3F659">
        <w:rPr>
          <w:rFonts w:cs="Calibri"/>
          <w:sz w:val="24"/>
        </w:rPr>
        <w:t>)</w:t>
      </w:r>
      <w:r w:rsidR="00A03BCB" w:rsidRPr="77F3F659">
        <w:rPr>
          <w:rFonts w:cs="Calibri"/>
          <w:sz w:val="24"/>
        </w:rPr>
        <w:t xml:space="preserve"> were women</w:t>
      </w:r>
      <w:r w:rsidR="006C1FFC" w:rsidRPr="77F3F659">
        <w:rPr>
          <w:rFonts w:cs="Calibri"/>
          <w:sz w:val="24"/>
        </w:rPr>
        <w:t xml:space="preserve">. </w:t>
      </w:r>
      <w:r w:rsidR="00BA0F31" w:rsidRPr="77F3F659">
        <w:rPr>
          <w:rFonts w:cs="Calibri"/>
          <w:sz w:val="24"/>
        </w:rPr>
        <w:t xml:space="preserve">Table </w:t>
      </w:r>
      <w:r w:rsidR="0033489D">
        <w:rPr>
          <w:rFonts w:cs="Calibri"/>
          <w:sz w:val="24"/>
        </w:rPr>
        <w:t>2</w:t>
      </w:r>
      <w:r w:rsidR="00BA0F31" w:rsidRPr="77F3F659">
        <w:rPr>
          <w:rFonts w:cs="Calibri"/>
          <w:sz w:val="24"/>
        </w:rPr>
        <w:t xml:space="preserve"> provides the comp</w:t>
      </w:r>
      <w:r w:rsidRPr="77F3F659">
        <w:rPr>
          <w:rFonts w:cs="Calibri"/>
          <w:sz w:val="24"/>
        </w:rPr>
        <w:t xml:space="preserve">osition of the co-design panels </w:t>
      </w:r>
      <w:r w:rsidR="00BA0F31" w:rsidRPr="77F3F659">
        <w:rPr>
          <w:rFonts w:cs="Calibri"/>
          <w:sz w:val="24"/>
        </w:rPr>
        <w:t>across the workshops.</w:t>
      </w:r>
    </w:p>
    <w:p w14:paraId="14C0639C" w14:textId="302087D3" w:rsidR="0023597E" w:rsidRPr="00457FAB" w:rsidRDefault="00C461A8" w:rsidP="00B82B2D">
      <w:pPr>
        <w:spacing w:line="480" w:lineRule="auto"/>
        <w:rPr>
          <w:b/>
          <w:bCs/>
          <w:sz w:val="24"/>
          <w:szCs w:val="28"/>
        </w:rPr>
      </w:pPr>
      <w:r>
        <w:rPr>
          <w:b/>
          <w:bCs/>
          <w:sz w:val="24"/>
          <w:szCs w:val="28"/>
        </w:rPr>
        <w:t>[</w:t>
      </w:r>
      <w:r w:rsidR="005A16A2" w:rsidRPr="002671E3">
        <w:rPr>
          <w:b/>
          <w:bCs/>
          <w:sz w:val="24"/>
          <w:szCs w:val="28"/>
        </w:rPr>
        <w:t>T</w:t>
      </w:r>
      <w:r>
        <w:rPr>
          <w:b/>
          <w:bCs/>
          <w:sz w:val="24"/>
          <w:szCs w:val="28"/>
        </w:rPr>
        <w:t>ABLE</w:t>
      </w:r>
      <w:r w:rsidR="005A16A2" w:rsidRPr="002671E3">
        <w:rPr>
          <w:b/>
          <w:bCs/>
          <w:sz w:val="24"/>
          <w:szCs w:val="28"/>
        </w:rPr>
        <w:t xml:space="preserve"> </w:t>
      </w:r>
      <w:r w:rsidR="0033489D" w:rsidRPr="002671E3">
        <w:rPr>
          <w:b/>
          <w:bCs/>
          <w:sz w:val="24"/>
          <w:szCs w:val="28"/>
        </w:rPr>
        <w:t>2</w:t>
      </w:r>
      <w:r>
        <w:rPr>
          <w:b/>
          <w:bCs/>
          <w:sz w:val="24"/>
          <w:szCs w:val="28"/>
        </w:rPr>
        <w:t xml:space="preserve"> HERE]</w:t>
      </w:r>
    </w:p>
    <w:p w14:paraId="4963DE31" w14:textId="68C62F17" w:rsidR="004C2FCD" w:rsidRDefault="008A6051" w:rsidP="00B82B2D">
      <w:pPr>
        <w:spacing w:line="480" w:lineRule="auto"/>
        <w:rPr>
          <w:color w:val="000000" w:themeColor="text1"/>
          <w:sz w:val="24"/>
        </w:rPr>
      </w:pPr>
      <w:r w:rsidRPr="0B106703">
        <w:rPr>
          <w:color w:val="000000" w:themeColor="text1"/>
          <w:sz w:val="24"/>
        </w:rPr>
        <w:t xml:space="preserve">Initial brainstorming at </w:t>
      </w:r>
      <w:r w:rsidR="26268AF9" w:rsidRPr="0B106703">
        <w:rPr>
          <w:color w:val="000000" w:themeColor="text1"/>
          <w:sz w:val="24"/>
        </w:rPr>
        <w:t>R</w:t>
      </w:r>
      <w:r w:rsidRPr="0B106703">
        <w:rPr>
          <w:color w:val="000000" w:themeColor="text1"/>
          <w:sz w:val="24"/>
        </w:rPr>
        <w:t xml:space="preserve">ound </w:t>
      </w:r>
      <w:r w:rsidR="001422FA">
        <w:rPr>
          <w:color w:val="000000" w:themeColor="text1"/>
          <w:sz w:val="24"/>
        </w:rPr>
        <w:t>1</w:t>
      </w:r>
      <w:r w:rsidRPr="0B106703">
        <w:rPr>
          <w:color w:val="000000" w:themeColor="text1"/>
          <w:sz w:val="24"/>
        </w:rPr>
        <w:t xml:space="preserve"> led to 29 potential operationalisations </w:t>
      </w:r>
      <w:r w:rsidR="00C25FED" w:rsidRPr="0B106703">
        <w:rPr>
          <w:color w:val="000000" w:themeColor="text1"/>
          <w:sz w:val="24"/>
        </w:rPr>
        <w:t>for the six BCTs</w:t>
      </w:r>
      <w:r w:rsidR="2B2D1BC6" w:rsidRPr="0B106703">
        <w:rPr>
          <w:color w:val="000000" w:themeColor="text1"/>
          <w:sz w:val="24"/>
        </w:rPr>
        <w:t xml:space="preserve">, which were rated in the pre-workshop survey for Round </w:t>
      </w:r>
      <w:r w:rsidR="00916BB3">
        <w:rPr>
          <w:color w:val="000000" w:themeColor="text1"/>
          <w:sz w:val="24"/>
        </w:rPr>
        <w:t>2</w:t>
      </w:r>
      <w:r w:rsidR="00283994" w:rsidRPr="0B106703">
        <w:rPr>
          <w:color w:val="000000" w:themeColor="text1"/>
          <w:sz w:val="24"/>
        </w:rPr>
        <w:t xml:space="preserve"> (Table </w:t>
      </w:r>
      <w:r w:rsidR="00077025">
        <w:rPr>
          <w:color w:val="000000" w:themeColor="text1"/>
          <w:sz w:val="24"/>
        </w:rPr>
        <w:t>3</w:t>
      </w:r>
      <w:r w:rsidR="00283994" w:rsidRPr="0B106703">
        <w:rPr>
          <w:color w:val="000000" w:themeColor="text1"/>
          <w:sz w:val="24"/>
        </w:rPr>
        <w:t>)</w:t>
      </w:r>
      <w:r w:rsidRPr="0B106703">
        <w:rPr>
          <w:color w:val="000000" w:themeColor="text1"/>
          <w:sz w:val="24"/>
        </w:rPr>
        <w:t xml:space="preserve">. </w:t>
      </w:r>
      <w:r w:rsidR="00C25FED" w:rsidRPr="0B106703">
        <w:rPr>
          <w:color w:val="000000" w:themeColor="text1"/>
          <w:sz w:val="24"/>
        </w:rPr>
        <w:t>This</w:t>
      </w:r>
      <w:r w:rsidR="00E26CC7" w:rsidRPr="0B106703">
        <w:rPr>
          <w:color w:val="000000" w:themeColor="text1"/>
          <w:sz w:val="24"/>
        </w:rPr>
        <w:t xml:space="preserve"> was</w:t>
      </w:r>
      <w:r w:rsidR="00F74A79" w:rsidRPr="0B106703">
        <w:rPr>
          <w:color w:val="000000" w:themeColor="text1"/>
          <w:sz w:val="24"/>
        </w:rPr>
        <w:t xml:space="preserve"> refined to 17 </w:t>
      </w:r>
      <w:r w:rsidR="00375053" w:rsidRPr="0B106703">
        <w:rPr>
          <w:color w:val="000000" w:themeColor="text1"/>
          <w:sz w:val="24"/>
        </w:rPr>
        <w:t>during</w:t>
      </w:r>
      <w:r w:rsidR="005D766B" w:rsidRPr="0B106703">
        <w:rPr>
          <w:color w:val="000000" w:themeColor="text1"/>
          <w:sz w:val="24"/>
        </w:rPr>
        <w:t xml:space="preserve"> </w:t>
      </w:r>
      <w:r w:rsidR="00F74A79" w:rsidRPr="0B106703">
        <w:rPr>
          <w:color w:val="000000" w:themeColor="text1"/>
          <w:sz w:val="24"/>
        </w:rPr>
        <w:t xml:space="preserve">the </w:t>
      </w:r>
      <w:r w:rsidR="2B4BA3D0" w:rsidRPr="0B106703">
        <w:rPr>
          <w:color w:val="000000" w:themeColor="text1"/>
          <w:sz w:val="24"/>
        </w:rPr>
        <w:t>R</w:t>
      </w:r>
      <w:r w:rsidR="001422FA">
        <w:rPr>
          <w:color w:val="000000" w:themeColor="text1"/>
          <w:sz w:val="24"/>
        </w:rPr>
        <w:t xml:space="preserve">ound 2 </w:t>
      </w:r>
      <w:r w:rsidR="00F74A79" w:rsidRPr="0B106703">
        <w:rPr>
          <w:color w:val="000000" w:themeColor="text1"/>
          <w:sz w:val="24"/>
        </w:rPr>
        <w:t>workshop</w:t>
      </w:r>
      <w:r w:rsidR="00861850" w:rsidRPr="0B106703">
        <w:rPr>
          <w:color w:val="000000" w:themeColor="text1"/>
          <w:sz w:val="24"/>
        </w:rPr>
        <w:t xml:space="preserve">, wherein </w:t>
      </w:r>
      <w:r w:rsidR="57226FED" w:rsidRPr="0B106703">
        <w:rPr>
          <w:color w:val="000000" w:themeColor="text1"/>
          <w:sz w:val="24"/>
        </w:rPr>
        <w:t xml:space="preserve">each </w:t>
      </w:r>
      <w:r w:rsidR="00861850" w:rsidRPr="0B106703">
        <w:rPr>
          <w:color w:val="000000" w:themeColor="text1"/>
          <w:sz w:val="24"/>
        </w:rPr>
        <w:t>panel</w:t>
      </w:r>
      <w:r w:rsidR="00453E0F" w:rsidRPr="0B106703">
        <w:rPr>
          <w:color w:val="000000" w:themeColor="text1"/>
          <w:sz w:val="24"/>
        </w:rPr>
        <w:t xml:space="preserve"> select</w:t>
      </w:r>
      <w:r w:rsidR="00B540C6">
        <w:rPr>
          <w:color w:val="000000" w:themeColor="text1"/>
          <w:sz w:val="24"/>
        </w:rPr>
        <w:t>ed</w:t>
      </w:r>
      <w:r w:rsidR="00453E0F" w:rsidRPr="0B106703">
        <w:rPr>
          <w:color w:val="000000" w:themeColor="text1"/>
          <w:sz w:val="24"/>
        </w:rPr>
        <w:t xml:space="preserve"> the best candidate operationalisations for their hospital</w:t>
      </w:r>
      <w:r w:rsidR="00F74A79" w:rsidRPr="0B106703">
        <w:rPr>
          <w:color w:val="000000" w:themeColor="text1"/>
          <w:sz w:val="24"/>
        </w:rPr>
        <w:t>.</w:t>
      </w:r>
      <w:r w:rsidR="00530B54" w:rsidRPr="0B106703">
        <w:rPr>
          <w:color w:val="000000" w:themeColor="text1"/>
          <w:sz w:val="24"/>
        </w:rPr>
        <w:t xml:space="preserve"> </w:t>
      </w:r>
      <w:r w:rsidR="00C25FED" w:rsidRPr="0B106703">
        <w:rPr>
          <w:color w:val="000000" w:themeColor="text1"/>
          <w:sz w:val="24"/>
        </w:rPr>
        <w:t xml:space="preserve">For each BCT, one operationalisation idea was selected as a best candidate by </w:t>
      </w:r>
      <w:r w:rsidR="002F68B6">
        <w:rPr>
          <w:color w:val="000000" w:themeColor="text1"/>
          <w:sz w:val="24"/>
        </w:rPr>
        <w:t xml:space="preserve">all </w:t>
      </w:r>
      <w:r w:rsidR="00C25FED" w:rsidRPr="0B106703">
        <w:rPr>
          <w:color w:val="000000" w:themeColor="text1"/>
          <w:sz w:val="24"/>
        </w:rPr>
        <w:t xml:space="preserve">three hospitals and these were therefore included in the CHARMER intervention. </w:t>
      </w:r>
      <w:r w:rsidR="00AC7CD8" w:rsidRPr="0B106703">
        <w:rPr>
          <w:color w:val="000000" w:themeColor="text1"/>
          <w:sz w:val="24"/>
        </w:rPr>
        <w:t>Figure 3 provides an overview of the final five-component CHARMER intervention.</w:t>
      </w:r>
      <w:r w:rsidR="00317D45">
        <w:rPr>
          <w:color w:val="000000" w:themeColor="text1"/>
          <w:sz w:val="24"/>
        </w:rPr>
        <w:t xml:space="preserve"> </w:t>
      </w:r>
      <w:r w:rsidR="00317D45" w:rsidRPr="00317D45">
        <w:rPr>
          <w:color w:val="000000" w:themeColor="text1"/>
          <w:sz w:val="24"/>
        </w:rPr>
        <w:t>The evidence underpinning the</w:t>
      </w:r>
      <w:r w:rsidR="000C34A2">
        <w:rPr>
          <w:color w:val="000000" w:themeColor="text1"/>
          <w:sz w:val="24"/>
        </w:rPr>
        <w:t xml:space="preserve"> development of these components is provided below.</w:t>
      </w:r>
    </w:p>
    <w:p w14:paraId="16096557" w14:textId="77777777" w:rsidR="007E36C7" w:rsidRDefault="007E36C7" w:rsidP="00B82B2D">
      <w:pPr>
        <w:spacing w:line="480" w:lineRule="auto"/>
        <w:rPr>
          <w:color w:val="000000" w:themeColor="text1"/>
          <w:sz w:val="24"/>
        </w:rPr>
      </w:pPr>
    </w:p>
    <w:p w14:paraId="20D3AD33" w14:textId="2E094EDE" w:rsidR="00B74BF8" w:rsidRDefault="00323991" w:rsidP="00B82B2D">
      <w:pPr>
        <w:spacing w:line="480" w:lineRule="auto"/>
        <w:rPr>
          <w:b/>
          <w:bCs/>
          <w:color w:val="000000" w:themeColor="text1"/>
          <w:sz w:val="24"/>
          <w:szCs w:val="28"/>
        </w:rPr>
      </w:pPr>
      <w:r w:rsidRPr="00243641">
        <w:rPr>
          <w:b/>
          <w:bCs/>
          <w:color w:val="000000" w:themeColor="text1"/>
          <w:sz w:val="24"/>
          <w:szCs w:val="28"/>
        </w:rPr>
        <w:lastRenderedPageBreak/>
        <w:t xml:space="preserve">[TABLE </w:t>
      </w:r>
      <w:r w:rsidR="00077025">
        <w:rPr>
          <w:b/>
          <w:bCs/>
          <w:color w:val="000000" w:themeColor="text1"/>
          <w:sz w:val="24"/>
          <w:szCs w:val="28"/>
        </w:rPr>
        <w:t>3</w:t>
      </w:r>
      <w:r w:rsidR="00AC7CD8" w:rsidRPr="00243641">
        <w:rPr>
          <w:b/>
          <w:bCs/>
          <w:color w:val="000000" w:themeColor="text1"/>
          <w:sz w:val="24"/>
          <w:szCs w:val="28"/>
        </w:rPr>
        <w:t xml:space="preserve"> HERE</w:t>
      </w:r>
      <w:r w:rsidRPr="00243641">
        <w:rPr>
          <w:b/>
          <w:bCs/>
          <w:color w:val="000000" w:themeColor="text1"/>
          <w:sz w:val="24"/>
          <w:szCs w:val="28"/>
        </w:rPr>
        <w:t>]</w:t>
      </w:r>
    </w:p>
    <w:p w14:paraId="362376BC" w14:textId="77777777" w:rsidR="00457FAB" w:rsidRDefault="00457FAB" w:rsidP="00B82B2D">
      <w:pPr>
        <w:spacing w:line="480" w:lineRule="auto"/>
        <w:rPr>
          <w:b/>
          <w:bCs/>
          <w:color w:val="000000" w:themeColor="text1"/>
          <w:sz w:val="24"/>
          <w:szCs w:val="28"/>
        </w:rPr>
      </w:pPr>
    </w:p>
    <w:p w14:paraId="324F3D4B" w14:textId="77777777" w:rsidR="000537A1" w:rsidRDefault="00DD51C4" w:rsidP="000537A1">
      <w:pPr>
        <w:spacing w:after="0" w:line="480" w:lineRule="auto"/>
        <w:rPr>
          <w:b/>
        </w:rPr>
      </w:pPr>
      <w:r>
        <w:rPr>
          <w:b/>
          <w:bCs/>
          <w:noProof/>
        </w:rPr>
        <w:drawing>
          <wp:inline distT="0" distB="0" distL="0" distR="0" wp14:anchorId="70A56DA9" wp14:editId="195EF65D">
            <wp:extent cx="5731157" cy="4077730"/>
            <wp:effectExtent l="0" t="0" r="0" b="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2 paper - Figure 3.png"/>
                    <pic:cNvPicPr/>
                  </pic:nvPicPr>
                  <pic:blipFill rotWithShape="1">
                    <a:blip r:embed="rId13"/>
                    <a:srcRect t="2874" b="2265"/>
                    <a:stretch/>
                  </pic:blipFill>
                  <pic:spPr bwMode="auto">
                    <a:xfrm>
                      <a:off x="0" y="0"/>
                      <a:ext cx="5731157" cy="4077730"/>
                    </a:xfrm>
                    <a:prstGeom prst="rect">
                      <a:avLst/>
                    </a:prstGeom>
                    <a:ln>
                      <a:noFill/>
                    </a:ln>
                    <a:extLst>
                      <a:ext uri="{53640926-AAD7-44D8-BBD7-CCE9431645EC}">
                        <a14:shadowObscured xmlns:a14="http://schemas.microsoft.com/office/drawing/2010/main"/>
                      </a:ext>
                    </a:extLst>
                  </pic:spPr>
                </pic:pic>
              </a:graphicData>
            </a:graphic>
          </wp:inline>
        </w:drawing>
      </w:r>
      <w:r w:rsidR="00CF0DFE" w:rsidRPr="00CF0DFE">
        <w:rPr>
          <w:b/>
          <w:bCs/>
        </w:rPr>
        <w:t>F</w:t>
      </w:r>
      <w:r w:rsidR="006368C9" w:rsidRPr="00CF0DFE">
        <w:rPr>
          <w:b/>
          <w:bCs/>
        </w:rPr>
        <w:t xml:space="preserve">igure 3. </w:t>
      </w:r>
      <w:r w:rsidR="006368C9" w:rsidRPr="00CF0DFE">
        <w:rPr>
          <w:b/>
        </w:rPr>
        <w:t>Overview of the</w:t>
      </w:r>
      <w:r w:rsidR="00706E33" w:rsidRPr="00CF0DFE">
        <w:rPr>
          <w:b/>
        </w:rPr>
        <w:t xml:space="preserve"> BCT operationalisations </w:t>
      </w:r>
      <w:r w:rsidR="00012374" w:rsidRPr="00CF0DFE">
        <w:rPr>
          <w:b/>
        </w:rPr>
        <w:t>that comprise the</w:t>
      </w:r>
      <w:r w:rsidR="006368C9" w:rsidRPr="00CF0DFE">
        <w:rPr>
          <w:b/>
        </w:rPr>
        <w:t xml:space="preserve"> </w:t>
      </w:r>
      <w:r w:rsidR="00EC11CC" w:rsidRPr="00CF0DFE">
        <w:rPr>
          <w:b/>
        </w:rPr>
        <w:t xml:space="preserve">five-component </w:t>
      </w:r>
      <w:r w:rsidR="006368C9" w:rsidRPr="00CF0DFE">
        <w:rPr>
          <w:b/>
        </w:rPr>
        <w:t>CHARMER intervention</w:t>
      </w:r>
      <w:r w:rsidR="00CF0DFE">
        <w:rPr>
          <w:b/>
        </w:rPr>
        <w:t xml:space="preserve"> </w:t>
      </w:r>
    </w:p>
    <w:p w14:paraId="4A81988D" w14:textId="7F4BD2E3" w:rsidR="007E36C7" w:rsidRDefault="00CF0DFE" w:rsidP="00292480">
      <w:pPr>
        <w:spacing w:after="0" w:line="480" w:lineRule="auto"/>
        <w:rPr>
          <w:iCs/>
        </w:rPr>
      </w:pPr>
      <w:proofErr w:type="spellStart"/>
      <w:r w:rsidRPr="00AE7578">
        <w:rPr>
          <w:iCs/>
          <w:vertAlign w:val="superscript"/>
        </w:rPr>
        <w:t>G</w:t>
      </w:r>
      <w:r w:rsidRPr="00AE7578">
        <w:rPr>
          <w:iCs/>
        </w:rPr>
        <w:t>Geriatrician</w:t>
      </w:r>
      <w:proofErr w:type="spellEnd"/>
      <w:r w:rsidRPr="00AE7578">
        <w:rPr>
          <w:iCs/>
        </w:rPr>
        <w:t xml:space="preserve"> Behaviour Change Technique </w:t>
      </w:r>
      <w:proofErr w:type="spellStart"/>
      <w:r w:rsidRPr="00AE7578">
        <w:rPr>
          <w:iCs/>
          <w:vertAlign w:val="superscript"/>
        </w:rPr>
        <w:t>P</w:t>
      </w:r>
      <w:r w:rsidRPr="00AE7578">
        <w:rPr>
          <w:iCs/>
        </w:rPr>
        <w:t>Pharmacist</w:t>
      </w:r>
      <w:proofErr w:type="spellEnd"/>
      <w:r w:rsidRPr="00AE7578">
        <w:rPr>
          <w:iCs/>
        </w:rPr>
        <w:t xml:space="preserve"> Behaviour Change Technique</w:t>
      </w:r>
    </w:p>
    <w:p w14:paraId="1AE64321" w14:textId="77777777" w:rsidR="00292480" w:rsidRPr="007E36C7" w:rsidRDefault="00292480" w:rsidP="00292480">
      <w:pPr>
        <w:spacing w:after="0" w:line="480" w:lineRule="auto"/>
        <w:rPr>
          <w:b/>
        </w:rPr>
      </w:pPr>
    </w:p>
    <w:p w14:paraId="6C048D79" w14:textId="3C57AB03" w:rsidR="005D640F" w:rsidRDefault="004D499C" w:rsidP="007E36C7">
      <w:pPr>
        <w:spacing w:after="0" w:line="480" w:lineRule="auto"/>
        <w:rPr>
          <w:b/>
          <w:bCs/>
          <w:color w:val="000000" w:themeColor="text1"/>
          <w:sz w:val="24"/>
        </w:rPr>
      </w:pPr>
      <w:r w:rsidRPr="0B106703">
        <w:rPr>
          <w:b/>
          <w:bCs/>
          <w:color w:val="000000" w:themeColor="text1"/>
          <w:sz w:val="24"/>
        </w:rPr>
        <w:t xml:space="preserve">Action Planning &gt; </w:t>
      </w:r>
      <w:r w:rsidR="00FA36FE">
        <w:rPr>
          <w:b/>
          <w:bCs/>
          <w:color w:val="000000" w:themeColor="text1"/>
          <w:sz w:val="24"/>
        </w:rPr>
        <w:t>H</w:t>
      </w:r>
      <w:r w:rsidR="00CE77DB" w:rsidRPr="0B106703">
        <w:rPr>
          <w:b/>
          <w:bCs/>
          <w:color w:val="000000" w:themeColor="text1"/>
          <w:sz w:val="24"/>
        </w:rPr>
        <w:t>ospital action plan</w:t>
      </w:r>
    </w:p>
    <w:p w14:paraId="55C3DDB6" w14:textId="5DE08718" w:rsidR="005D4E0C" w:rsidRDefault="020C191D" w:rsidP="00A11BA3">
      <w:pPr>
        <w:spacing w:after="240" w:line="480" w:lineRule="auto"/>
        <w:rPr>
          <w:rFonts w:cs="Calibri"/>
          <w:sz w:val="24"/>
        </w:rPr>
      </w:pPr>
      <w:r w:rsidRPr="020C191D">
        <w:rPr>
          <w:rFonts w:cs="Calibri"/>
          <w:sz w:val="24"/>
        </w:rPr>
        <w:t xml:space="preserve">There was agreement across the three hospitals that an action plan for proactive deprescribing initiated by the organisation’s senior leadership team was most likely to be effective in setting deprescribing as a high priority for the organisation. However, panel members were not confident that securing senior leadership’s engagement was feasible as deprescribing </w:t>
      </w:r>
      <w:r w:rsidR="00BA3E70">
        <w:rPr>
          <w:rFonts w:cs="Calibri"/>
          <w:sz w:val="24"/>
        </w:rPr>
        <w:t xml:space="preserve">was perceived </w:t>
      </w:r>
      <w:r w:rsidRPr="020C191D">
        <w:rPr>
          <w:rFonts w:cs="Calibri"/>
          <w:sz w:val="24"/>
        </w:rPr>
        <w:t>not</w:t>
      </w:r>
      <w:r w:rsidR="0038604D">
        <w:rPr>
          <w:rFonts w:cs="Calibri"/>
          <w:sz w:val="24"/>
        </w:rPr>
        <w:t xml:space="preserve"> to</w:t>
      </w:r>
      <w:r w:rsidRPr="020C191D">
        <w:rPr>
          <w:rFonts w:cs="Calibri"/>
          <w:sz w:val="24"/>
        </w:rPr>
        <w:t xml:space="preserve"> </w:t>
      </w:r>
      <w:r w:rsidR="0038604D">
        <w:rPr>
          <w:rFonts w:cs="Calibri"/>
          <w:sz w:val="24"/>
        </w:rPr>
        <w:t>be a priority</w:t>
      </w:r>
      <w:r w:rsidR="00BB5C8F">
        <w:rPr>
          <w:rFonts w:cs="Calibri"/>
          <w:sz w:val="24"/>
        </w:rPr>
        <w:t xml:space="preserve"> for</w:t>
      </w:r>
      <w:r w:rsidRPr="020C191D">
        <w:rPr>
          <w:rFonts w:cs="Calibri"/>
          <w:sz w:val="24"/>
        </w:rPr>
        <w:t xml:space="preserve"> acute hospitals. Whilst less impactful, </w:t>
      </w:r>
      <w:r w:rsidRPr="020C191D">
        <w:rPr>
          <w:rFonts w:cs="Calibri"/>
          <w:sz w:val="24"/>
        </w:rPr>
        <w:lastRenderedPageBreak/>
        <w:t>they felt it would be more feasible to set an action plan at their department level (e.g. Pharmacy and Older People’s Medicine departments) because this was something that was already within their remit as senior members of these departments. It was agreed that as a minimum, the action plan should be at the department level with flexibility to permit this to be at the hospital organisation level if possible.</w:t>
      </w:r>
    </w:p>
    <w:p w14:paraId="7F9F2B05" w14:textId="391E721D" w:rsidR="007E206C" w:rsidRPr="00C02EC1" w:rsidRDefault="00A93F15" w:rsidP="00B82B2D">
      <w:pPr>
        <w:spacing w:after="0" w:line="480" w:lineRule="auto"/>
        <w:rPr>
          <w:b/>
          <w:bCs/>
          <w:color w:val="000000" w:themeColor="text1"/>
          <w:sz w:val="24"/>
          <w:szCs w:val="28"/>
        </w:rPr>
      </w:pPr>
      <w:r>
        <w:rPr>
          <w:b/>
          <w:bCs/>
          <w:color w:val="000000" w:themeColor="text1"/>
          <w:sz w:val="24"/>
          <w:szCs w:val="28"/>
        </w:rPr>
        <w:t xml:space="preserve">Pros and Cons and </w:t>
      </w:r>
      <w:r w:rsidR="006F2EED">
        <w:rPr>
          <w:b/>
          <w:bCs/>
          <w:color w:val="000000" w:themeColor="text1"/>
          <w:sz w:val="24"/>
          <w:szCs w:val="28"/>
        </w:rPr>
        <w:t xml:space="preserve">Salience of consequences </w:t>
      </w:r>
      <w:r w:rsidR="009F67F7">
        <w:rPr>
          <w:b/>
          <w:bCs/>
          <w:color w:val="000000" w:themeColor="text1"/>
          <w:sz w:val="24"/>
          <w:szCs w:val="28"/>
        </w:rPr>
        <w:t xml:space="preserve">&gt; </w:t>
      </w:r>
      <w:r w:rsidR="005D640F">
        <w:rPr>
          <w:b/>
          <w:bCs/>
          <w:color w:val="000000" w:themeColor="text1"/>
          <w:sz w:val="24"/>
          <w:szCs w:val="28"/>
        </w:rPr>
        <w:t>Workshop for pharmacists</w:t>
      </w:r>
      <w:r w:rsidR="00C02EC1">
        <w:rPr>
          <w:b/>
          <w:bCs/>
          <w:color w:val="000000" w:themeColor="text1"/>
          <w:sz w:val="24"/>
          <w:szCs w:val="28"/>
        </w:rPr>
        <w:t>, including videos of fictional patient case studies</w:t>
      </w:r>
    </w:p>
    <w:p w14:paraId="47B7D1D6" w14:textId="5D5C5FDE" w:rsidR="00343496" w:rsidRPr="00343496" w:rsidRDefault="004E0422" w:rsidP="020C191D">
      <w:pPr>
        <w:spacing w:line="480" w:lineRule="auto"/>
        <w:rPr>
          <w:rFonts w:cs="Segoe UI"/>
          <w:color w:val="000000" w:themeColor="text1"/>
          <w:sz w:val="24"/>
          <w:shd w:val="clear" w:color="auto" w:fill="FFFFFF"/>
          <w:lang w:eastAsia="en-GB"/>
        </w:rPr>
      </w:pPr>
      <w:r w:rsidRPr="020C191D">
        <w:rPr>
          <w:sz w:val="24"/>
        </w:rPr>
        <w:t xml:space="preserve">For </w:t>
      </w:r>
      <w:r w:rsidRPr="020C191D">
        <w:rPr>
          <w:i/>
          <w:iCs/>
          <w:sz w:val="24"/>
        </w:rPr>
        <w:t xml:space="preserve">pros and </w:t>
      </w:r>
      <w:r w:rsidRPr="007E36C7">
        <w:rPr>
          <w:i/>
          <w:iCs/>
          <w:sz w:val="24"/>
        </w:rPr>
        <w:t>cons</w:t>
      </w:r>
      <w:r w:rsidRPr="020C191D">
        <w:rPr>
          <w:sz w:val="24"/>
        </w:rPr>
        <w:t>, t</w:t>
      </w:r>
      <w:r w:rsidR="005D640F" w:rsidRPr="020C191D">
        <w:rPr>
          <w:sz w:val="24"/>
        </w:rPr>
        <w:t>here was agreement from the outset that</w:t>
      </w:r>
      <w:r w:rsidR="00343496" w:rsidRPr="020C191D">
        <w:rPr>
          <w:sz w:val="24"/>
        </w:rPr>
        <w:t xml:space="preserve"> addressing </w:t>
      </w:r>
      <w:r w:rsidR="00343496" w:rsidRPr="020C191D">
        <w:rPr>
          <w:rFonts w:cs="Segoe UI"/>
          <w:color w:val="000000" w:themeColor="text1"/>
          <w:sz w:val="24"/>
          <w:shd w:val="clear" w:color="auto" w:fill="FFFFFF"/>
          <w:lang w:eastAsia="en-GB"/>
        </w:rPr>
        <w:t xml:space="preserve">pharmacists’ concerns about </w:t>
      </w:r>
      <w:r w:rsidR="00F0533D" w:rsidRPr="020C191D">
        <w:rPr>
          <w:rFonts w:cs="Segoe UI"/>
          <w:color w:val="000000" w:themeColor="text1"/>
          <w:sz w:val="24"/>
          <w:shd w:val="clear" w:color="auto" w:fill="FFFFFF"/>
          <w:lang w:eastAsia="en-GB"/>
        </w:rPr>
        <w:t xml:space="preserve">the </w:t>
      </w:r>
      <w:r w:rsidR="00343496" w:rsidRPr="020C191D">
        <w:rPr>
          <w:rFonts w:cs="Segoe UI"/>
          <w:color w:val="000000" w:themeColor="text1"/>
          <w:sz w:val="24"/>
          <w:shd w:val="clear" w:color="auto" w:fill="FFFFFF"/>
          <w:lang w:eastAsia="en-GB"/>
        </w:rPr>
        <w:t>potential adverse consequences of deprescribing should be operationalised through either</w:t>
      </w:r>
      <w:r w:rsidR="00343496" w:rsidRPr="020C191D">
        <w:rPr>
          <w:sz w:val="24"/>
        </w:rPr>
        <w:t xml:space="preserve"> </w:t>
      </w:r>
      <w:r w:rsidR="005D640F" w:rsidRPr="020C191D">
        <w:rPr>
          <w:sz w:val="24"/>
        </w:rPr>
        <w:t xml:space="preserve">asynchronous e-Learning or synchronous </w:t>
      </w:r>
      <w:r w:rsidR="00343496" w:rsidRPr="020C191D">
        <w:rPr>
          <w:sz w:val="24"/>
        </w:rPr>
        <w:t>training</w:t>
      </w:r>
      <w:r w:rsidR="005D640F" w:rsidRPr="020C191D">
        <w:rPr>
          <w:rFonts w:cs="Segoe UI"/>
          <w:color w:val="000000" w:themeColor="text1"/>
          <w:sz w:val="24"/>
          <w:shd w:val="clear" w:color="auto" w:fill="FFFFFF"/>
          <w:lang w:eastAsia="en-GB"/>
        </w:rPr>
        <w:t xml:space="preserve">. </w:t>
      </w:r>
      <w:r w:rsidR="00813764" w:rsidRPr="020C191D">
        <w:rPr>
          <w:rFonts w:cs="Segoe UI"/>
          <w:color w:val="000000" w:themeColor="text1"/>
          <w:sz w:val="24"/>
          <w:shd w:val="clear" w:color="auto" w:fill="FFFFFF"/>
          <w:lang w:eastAsia="en-GB"/>
        </w:rPr>
        <w:t>However, a</w:t>
      </w:r>
      <w:r w:rsidR="003551E3" w:rsidRPr="020C191D">
        <w:rPr>
          <w:rFonts w:cs="Segoe UI"/>
          <w:color w:val="000000" w:themeColor="text1"/>
          <w:sz w:val="24"/>
          <w:shd w:val="clear" w:color="auto" w:fill="FFFFFF"/>
          <w:lang w:eastAsia="en-GB"/>
        </w:rPr>
        <w:t>s</w:t>
      </w:r>
      <w:r w:rsidR="005D640F" w:rsidRPr="020C191D">
        <w:rPr>
          <w:rFonts w:cs="Segoe UI"/>
          <w:color w:val="000000" w:themeColor="text1"/>
          <w:sz w:val="24"/>
          <w:shd w:val="clear" w:color="auto" w:fill="FFFFFF"/>
          <w:lang w:eastAsia="en-GB"/>
        </w:rPr>
        <w:t xml:space="preserve"> pharmacists already have to complete several e-Learning </w:t>
      </w:r>
      <w:r w:rsidR="00343496" w:rsidRPr="020C191D">
        <w:rPr>
          <w:rFonts w:cs="Segoe UI"/>
          <w:color w:val="000000" w:themeColor="text1"/>
          <w:sz w:val="24"/>
          <w:shd w:val="clear" w:color="auto" w:fill="FFFFFF"/>
          <w:lang w:eastAsia="en-GB"/>
        </w:rPr>
        <w:t>packages</w:t>
      </w:r>
      <w:r w:rsidR="005D640F" w:rsidRPr="020C191D">
        <w:rPr>
          <w:rFonts w:cs="Segoe UI"/>
          <w:color w:val="000000" w:themeColor="text1"/>
          <w:sz w:val="24"/>
          <w:shd w:val="clear" w:color="auto" w:fill="FFFFFF"/>
          <w:lang w:eastAsia="en-GB"/>
        </w:rPr>
        <w:t xml:space="preserve">, </w:t>
      </w:r>
      <w:r w:rsidR="00343496" w:rsidRPr="020C191D">
        <w:rPr>
          <w:rFonts w:cs="Segoe UI"/>
          <w:color w:val="000000" w:themeColor="text1"/>
          <w:sz w:val="24"/>
          <w:shd w:val="clear" w:color="auto" w:fill="FFFFFF"/>
          <w:lang w:eastAsia="en-GB"/>
        </w:rPr>
        <w:t>panel</w:t>
      </w:r>
      <w:r w:rsidR="00542A3D" w:rsidRPr="020C191D">
        <w:rPr>
          <w:rFonts w:cs="Segoe UI"/>
          <w:color w:val="000000" w:themeColor="text1"/>
          <w:sz w:val="24"/>
          <w:shd w:val="clear" w:color="auto" w:fill="FFFFFF"/>
          <w:lang w:eastAsia="en-GB"/>
        </w:rPr>
        <w:t xml:space="preserve"> members</w:t>
      </w:r>
      <w:r w:rsidR="00343496" w:rsidRPr="020C191D">
        <w:rPr>
          <w:rFonts w:cs="Segoe UI"/>
          <w:color w:val="000000" w:themeColor="text1"/>
          <w:sz w:val="24"/>
          <w:shd w:val="clear" w:color="auto" w:fill="FFFFFF"/>
          <w:lang w:eastAsia="en-GB"/>
        </w:rPr>
        <w:t xml:space="preserve"> felt </w:t>
      </w:r>
      <w:r w:rsidR="00813764" w:rsidRPr="020C191D">
        <w:rPr>
          <w:rFonts w:cs="Segoe UI"/>
          <w:color w:val="000000" w:themeColor="text1"/>
          <w:sz w:val="24"/>
          <w:shd w:val="clear" w:color="auto" w:fill="FFFFFF"/>
          <w:lang w:eastAsia="en-GB"/>
        </w:rPr>
        <w:t xml:space="preserve">that </w:t>
      </w:r>
      <w:r w:rsidR="00BE58BC" w:rsidRPr="020C191D">
        <w:rPr>
          <w:rFonts w:cs="Segoe UI"/>
          <w:color w:val="000000" w:themeColor="text1"/>
          <w:sz w:val="24"/>
          <w:shd w:val="clear" w:color="auto" w:fill="FFFFFF"/>
          <w:lang w:eastAsia="en-GB"/>
        </w:rPr>
        <w:t>this operationalisation</w:t>
      </w:r>
      <w:r w:rsidR="00343496" w:rsidRPr="020C191D">
        <w:rPr>
          <w:rFonts w:cs="Segoe UI"/>
          <w:color w:val="000000" w:themeColor="text1"/>
          <w:sz w:val="24"/>
          <w:shd w:val="clear" w:color="auto" w:fill="FFFFFF"/>
          <w:lang w:eastAsia="en-GB"/>
        </w:rPr>
        <w:t xml:space="preserve"> </w:t>
      </w:r>
      <w:r w:rsidR="00084A82" w:rsidRPr="020C191D">
        <w:rPr>
          <w:rFonts w:cs="Segoe UI"/>
          <w:color w:val="000000" w:themeColor="text1"/>
          <w:sz w:val="24"/>
          <w:shd w:val="clear" w:color="auto" w:fill="FFFFFF"/>
          <w:lang w:eastAsia="en-GB"/>
        </w:rPr>
        <w:t>c</w:t>
      </w:r>
      <w:r w:rsidR="00343496" w:rsidRPr="020C191D">
        <w:rPr>
          <w:rFonts w:cs="Segoe UI"/>
          <w:color w:val="000000" w:themeColor="text1"/>
          <w:sz w:val="24"/>
          <w:shd w:val="clear" w:color="auto" w:fill="FFFFFF"/>
          <w:lang w:eastAsia="en-GB"/>
        </w:rPr>
        <w:t xml:space="preserve">ould </w:t>
      </w:r>
      <w:r w:rsidR="00084A82" w:rsidRPr="020C191D">
        <w:rPr>
          <w:rFonts w:cs="Segoe UI"/>
          <w:color w:val="000000" w:themeColor="text1"/>
          <w:sz w:val="24"/>
          <w:shd w:val="clear" w:color="auto" w:fill="FFFFFF"/>
          <w:lang w:eastAsia="en-GB"/>
        </w:rPr>
        <w:t>become</w:t>
      </w:r>
      <w:r w:rsidR="00343496" w:rsidRPr="020C191D">
        <w:rPr>
          <w:rFonts w:cs="Segoe UI"/>
          <w:color w:val="000000" w:themeColor="text1"/>
          <w:sz w:val="24"/>
          <w:shd w:val="clear" w:color="auto" w:fill="FFFFFF"/>
          <w:lang w:eastAsia="en-GB"/>
        </w:rPr>
        <w:t xml:space="preserve"> </w:t>
      </w:r>
      <w:r w:rsidR="005D640F" w:rsidRPr="020C191D">
        <w:rPr>
          <w:rFonts w:cs="Segoe UI"/>
          <w:color w:val="000000" w:themeColor="text1"/>
          <w:sz w:val="24"/>
          <w:shd w:val="clear" w:color="auto" w:fill="FFFFFF"/>
          <w:lang w:eastAsia="en-GB"/>
        </w:rPr>
        <w:t xml:space="preserve">another “tick box” exercise. It was therefore agreed that any training would be more </w:t>
      </w:r>
      <w:r w:rsidR="001D26F2">
        <w:rPr>
          <w:rFonts w:cs="Segoe UI"/>
          <w:color w:val="000000" w:themeColor="text1"/>
          <w:sz w:val="24"/>
          <w:shd w:val="clear" w:color="auto" w:fill="FFFFFF"/>
          <w:lang w:eastAsia="en-GB"/>
        </w:rPr>
        <w:t>effective</w:t>
      </w:r>
      <w:r w:rsidR="00343496" w:rsidRPr="020C191D">
        <w:rPr>
          <w:rFonts w:cs="Segoe UI"/>
          <w:color w:val="000000" w:themeColor="text1"/>
          <w:sz w:val="24"/>
          <w:shd w:val="clear" w:color="auto" w:fill="FFFFFF"/>
          <w:lang w:eastAsia="en-GB"/>
        </w:rPr>
        <w:t xml:space="preserve"> </w:t>
      </w:r>
      <w:r w:rsidR="004D1E26">
        <w:rPr>
          <w:rFonts w:cs="Segoe UI"/>
          <w:color w:val="000000" w:themeColor="text1"/>
          <w:sz w:val="24"/>
          <w:shd w:val="clear" w:color="auto" w:fill="FFFFFF"/>
          <w:lang w:eastAsia="en-GB"/>
        </w:rPr>
        <w:t xml:space="preserve">if </w:t>
      </w:r>
      <w:r w:rsidR="00343496" w:rsidRPr="020C191D">
        <w:rPr>
          <w:rFonts w:cs="Segoe UI"/>
          <w:color w:val="000000" w:themeColor="text1"/>
          <w:sz w:val="24"/>
          <w:shd w:val="clear" w:color="auto" w:fill="FFFFFF"/>
          <w:lang w:eastAsia="en-GB"/>
        </w:rPr>
        <w:t>delivered via a synchronous workshop, either online or face-to-face</w:t>
      </w:r>
      <w:r w:rsidR="005D640F" w:rsidRPr="020C191D">
        <w:rPr>
          <w:rFonts w:cs="Segoe UI"/>
          <w:color w:val="000000" w:themeColor="text1"/>
          <w:sz w:val="24"/>
          <w:shd w:val="clear" w:color="auto" w:fill="FFFFFF"/>
          <w:lang w:eastAsia="en-GB"/>
        </w:rPr>
        <w:t xml:space="preserve">. </w:t>
      </w:r>
      <w:r w:rsidR="00AA631C" w:rsidRPr="020C191D">
        <w:rPr>
          <w:rFonts w:cs="Segoe UI"/>
          <w:color w:val="000000" w:themeColor="text1"/>
          <w:sz w:val="24"/>
          <w:shd w:val="clear" w:color="auto" w:fill="FFFFFF"/>
          <w:lang w:eastAsia="en-GB"/>
        </w:rPr>
        <w:t>One of the</w:t>
      </w:r>
      <w:r w:rsidR="0055175F" w:rsidRPr="020C191D">
        <w:rPr>
          <w:rFonts w:cs="Segoe UI"/>
          <w:color w:val="000000" w:themeColor="text1"/>
          <w:sz w:val="24"/>
          <w:shd w:val="clear" w:color="auto" w:fill="FFFFFF"/>
          <w:lang w:eastAsia="en-GB"/>
        </w:rPr>
        <w:t xml:space="preserve"> workshop</w:t>
      </w:r>
      <w:r w:rsidR="00343496" w:rsidRPr="020C191D">
        <w:rPr>
          <w:rFonts w:cs="Segoe UI"/>
          <w:color w:val="000000" w:themeColor="text1"/>
          <w:sz w:val="24"/>
          <w:shd w:val="clear" w:color="auto" w:fill="FFFFFF"/>
          <w:lang w:eastAsia="en-GB"/>
        </w:rPr>
        <w:t xml:space="preserve"> activit</w:t>
      </w:r>
      <w:r w:rsidR="00087EEF" w:rsidRPr="020C191D">
        <w:rPr>
          <w:rFonts w:cs="Segoe UI"/>
          <w:color w:val="000000" w:themeColor="text1"/>
          <w:sz w:val="24"/>
          <w:shd w:val="clear" w:color="auto" w:fill="FFFFFF"/>
          <w:lang w:eastAsia="en-GB"/>
        </w:rPr>
        <w:t xml:space="preserve">ies </w:t>
      </w:r>
      <w:r w:rsidR="00AA631C" w:rsidRPr="020C191D">
        <w:rPr>
          <w:rFonts w:cs="Segoe UI"/>
          <w:color w:val="000000" w:themeColor="text1"/>
          <w:sz w:val="24"/>
          <w:shd w:val="clear" w:color="auto" w:fill="FFFFFF"/>
          <w:lang w:eastAsia="en-GB"/>
        </w:rPr>
        <w:t>was s</w:t>
      </w:r>
      <w:r w:rsidR="00B53439" w:rsidRPr="020C191D">
        <w:rPr>
          <w:rFonts w:cs="Segoe UI"/>
          <w:color w:val="000000" w:themeColor="text1"/>
          <w:sz w:val="24"/>
          <w:shd w:val="clear" w:color="auto" w:fill="FFFFFF"/>
          <w:lang w:eastAsia="en-GB"/>
        </w:rPr>
        <w:t>tructured</w:t>
      </w:r>
      <w:r w:rsidR="00343496" w:rsidRPr="020C191D">
        <w:rPr>
          <w:rFonts w:cs="Segoe UI"/>
          <w:color w:val="000000" w:themeColor="text1"/>
          <w:sz w:val="24"/>
          <w:shd w:val="clear" w:color="auto" w:fill="FFFFFF"/>
          <w:lang w:eastAsia="en-GB"/>
        </w:rPr>
        <w:t xml:space="preserve"> around a patient case study</w:t>
      </w:r>
      <w:r w:rsidR="00B53439" w:rsidRPr="020C191D">
        <w:rPr>
          <w:rFonts w:cs="Segoe UI"/>
          <w:color w:val="000000" w:themeColor="text1"/>
          <w:sz w:val="24"/>
          <w:shd w:val="clear" w:color="auto" w:fill="FFFFFF"/>
          <w:lang w:eastAsia="en-GB"/>
        </w:rPr>
        <w:t>,</w:t>
      </w:r>
      <w:r w:rsidR="00343496" w:rsidRPr="020C191D">
        <w:rPr>
          <w:rFonts w:cs="Segoe UI"/>
          <w:color w:val="000000" w:themeColor="text1"/>
          <w:sz w:val="24"/>
          <w:shd w:val="clear" w:color="auto" w:fill="FFFFFF"/>
          <w:lang w:eastAsia="en-GB"/>
        </w:rPr>
        <w:t xml:space="preserve"> which enabled it to be </w:t>
      </w:r>
      <w:r w:rsidR="0023058C" w:rsidRPr="020C191D">
        <w:rPr>
          <w:rFonts w:cs="Segoe UI"/>
          <w:color w:val="000000" w:themeColor="text1"/>
          <w:sz w:val="24"/>
          <w:shd w:val="clear" w:color="auto" w:fill="FFFFFF"/>
          <w:lang w:eastAsia="en-GB"/>
        </w:rPr>
        <w:t xml:space="preserve">delivered as a joint component with </w:t>
      </w:r>
      <w:r w:rsidR="00343496" w:rsidRPr="020C191D">
        <w:rPr>
          <w:rFonts w:cs="Segoe UI"/>
          <w:i/>
          <w:iCs/>
          <w:color w:val="000000" w:themeColor="text1"/>
          <w:sz w:val="24"/>
          <w:shd w:val="clear" w:color="auto" w:fill="FFFFFF"/>
          <w:lang w:eastAsia="en-GB"/>
        </w:rPr>
        <w:t>salience of consequences</w:t>
      </w:r>
      <w:r w:rsidR="00343496" w:rsidRPr="020C191D">
        <w:rPr>
          <w:rFonts w:cs="Segoe UI"/>
          <w:color w:val="000000" w:themeColor="text1"/>
          <w:sz w:val="24"/>
          <w:shd w:val="clear" w:color="auto" w:fill="FFFFFF"/>
          <w:lang w:eastAsia="en-GB"/>
        </w:rPr>
        <w:t xml:space="preserve"> (below).</w:t>
      </w:r>
    </w:p>
    <w:p w14:paraId="7DC4E883" w14:textId="5C0FBC33" w:rsidR="00F22F5C" w:rsidRDefault="020C191D" w:rsidP="020C191D">
      <w:pPr>
        <w:spacing w:line="480" w:lineRule="auto"/>
        <w:rPr>
          <w:color w:val="000000" w:themeColor="text1"/>
          <w:sz w:val="24"/>
        </w:rPr>
      </w:pPr>
      <w:r w:rsidRPr="020C191D">
        <w:rPr>
          <w:color w:val="000000" w:themeColor="text1"/>
          <w:sz w:val="24"/>
        </w:rPr>
        <w:t xml:space="preserve">Panel members suggested that salient information about the consequences of deprescribing for patients should be delivered through automated computer pop-ups (for example, flagging high-risk medicines) or videos of fictional patient case studies. However, while information that might be contained in pop-ups derived from lists of potentially inappropriate medicines such as STOPP </w:t>
      </w:r>
      <w:r w:rsidR="00066325" w:rsidRPr="020C191D">
        <w:rPr>
          <w:color w:val="000000" w:themeColor="text1"/>
          <w:sz w:val="24"/>
        </w:rPr>
        <w:fldChar w:fldCharType="begin"/>
      </w:r>
      <w:r w:rsidR="00FC7A29">
        <w:rPr>
          <w:color w:val="000000" w:themeColor="text1"/>
          <w:sz w:val="24"/>
        </w:rPr>
        <w:instrText xml:space="preserve"> ADDIN ZOTERO_ITEM CSL_CITATION {"citationID":"wXnGWj5m","properties":{"formattedCitation":"(29)","plainCitation":"(29)","noteIndex":0},"citationItems":[{"id":"HaMovQnS/Ek3wfXxQ","uris":["http://zotero.org/users/6791840/items/998NPTJ3"],"itemData":{"id":245,"type":"article-journal","container-title":"Age and ageing","issue":"2","note":"publisher: British Geriatrics Society","page":"213–218","source":"Google Scholar","title":"STOPP/START criteria for potentially inappropriate prescribing in older people: version 2","title-short":"STOPP/START criteria for potentially inappropriate prescribing in older people","volume":"44","author":[{"family":"O'Mahony","given":"Denis"},{"family":"O'Sullivan","given":"David"},{"family":"Byrne","given":"Stephen"},{"family":"O'Connor","given":"Marie Noelle"},{"family":"Ryan","given":"Cristin"},{"family":"Gallagher","given":"Paul"}],"issued":{"date-parts":[["2014"]]}}}],"schema":"https://github.com/citation-style-language/schema/raw/master/csl-citation.json"} </w:instrText>
      </w:r>
      <w:r w:rsidR="00066325" w:rsidRPr="020C191D">
        <w:rPr>
          <w:color w:val="000000" w:themeColor="text1"/>
          <w:sz w:val="24"/>
        </w:rPr>
        <w:fldChar w:fldCharType="separate"/>
      </w:r>
      <w:r w:rsidR="00FC7A29">
        <w:rPr>
          <w:rFonts w:cs="Calibri"/>
          <w:sz w:val="24"/>
        </w:rPr>
        <w:t>(29)</w:t>
      </w:r>
      <w:r w:rsidR="00066325" w:rsidRPr="020C191D">
        <w:rPr>
          <w:color w:val="000000" w:themeColor="text1"/>
          <w:sz w:val="24"/>
        </w:rPr>
        <w:fldChar w:fldCharType="end"/>
      </w:r>
      <w:r w:rsidRPr="020C191D">
        <w:rPr>
          <w:color w:val="000000" w:themeColor="text1"/>
          <w:sz w:val="24"/>
        </w:rPr>
        <w:t xml:space="preserve"> and Beer’s </w:t>
      </w:r>
      <w:r w:rsidR="00066325" w:rsidRPr="020C191D">
        <w:rPr>
          <w:color w:val="000000" w:themeColor="text1"/>
          <w:sz w:val="24"/>
        </w:rPr>
        <w:fldChar w:fldCharType="begin"/>
      </w:r>
      <w:r w:rsidR="00FC7A29">
        <w:rPr>
          <w:color w:val="000000" w:themeColor="text1"/>
          <w:sz w:val="24"/>
        </w:rPr>
        <w:instrText xml:space="preserve"> ADDIN ZOTERO_ITEM CSL_CITATION {"citationID":"IZCLZgpJ","properties":{"formattedCitation":"(30)","plainCitation":"(30)","noteIndex":0},"citationItems":[{"id":"HaMovQnS/I8T1k4Q3","uris":["http://zotero.org/users/6791840/items/DRYIY446"],"itemData":{"id":35,"type":"article-journal","abstract":"Medication toxic effects and drug-related problems can have profound medical and safety consequences for older adults and economically affect the health care system. The purpose of this initiative was to revise and update the Beers criteria for potentially inappropriate medication use in adults 65 years and older in the United States.This study used a modified Delphi method, a set of procedures and methods for formulating a group judgment for a subject matter in which precise information is lacking. The criteria reviewed covered 2 types of statements: (1) medications or medication classes that should generally be avoided in persons 65 years or older because they are either ineffective or they pose unnecessarily high risk for older persons and a safer alternative is available and (2) medications that should not be used in older persons known to have specific medical conditions.This study identified 48 individual medications or classes of medications to avoid in older adults and their potential concerns and 20 diseases/conditions and medications to be avoided in older adults with these conditions. Of these potentially inappropriate drugs, 66 were considered by the panel to have adverse outcomes of high severity.This study is an important update of previously established criteria that have been widely used and cited. The application of the Beers criteria and other tools for identifying potentially inappropriate medication use will continue to enable providers to plan interventions for decreasing both drug-related costs and overall costs and thus minimize drug-related problems.Arch Intern Med. 2003;163:2716-2724--&gt;","container-title":"Archives of Internal Medicine","DOI":"10.1001/archinte.163.22.2716","ISSN":"0003-9926","issue":"22","journalAbbreviation":"Archives of Internal Medicine","page":"2716-2724","source":"Silverchair","title":"Updating the Beers Criteria for Potentially Inappropriate Medication Use in Older Adults: Results of a US Consensus Panel of Experts","title-short":"Updating the Beers Criteria for Potentially Inappropriate Medication Use in Older Adults","volume":"163","author":[{"family":"Fick","given":"Donna M."},{"family":"Cooper","given":"James W."},{"family":"Wade","given":"William E."},{"family":"Waller","given":"Jennifer L."},{"family":"Maclean","given":"J. Ross"},{"family":"Beers","given":"Mark H."}],"issued":{"date-parts":[["2003",12,8]]}}}],"schema":"https://github.com/citation-style-language/schema/raw/master/csl-citation.json"} </w:instrText>
      </w:r>
      <w:r w:rsidR="00066325" w:rsidRPr="020C191D">
        <w:rPr>
          <w:color w:val="000000" w:themeColor="text1"/>
          <w:sz w:val="24"/>
        </w:rPr>
        <w:fldChar w:fldCharType="separate"/>
      </w:r>
      <w:r w:rsidR="00FC7A29">
        <w:rPr>
          <w:rFonts w:cs="Calibri"/>
          <w:sz w:val="24"/>
        </w:rPr>
        <w:t>(30)</w:t>
      </w:r>
      <w:r w:rsidR="00066325" w:rsidRPr="020C191D">
        <w:rPr>
          <w:color w:val="000000" w:themeColor="text1"/>
          <w:sz w:val="24"/>
        </w:rPr>
        <w:fldChar w:fldCharType="end"/>
      </w:r>
      <w:r w:rsidRPr="020C191D">
        <w:rPr>
          <w:color w:val="000000" w:themeColor="text1"/>
          <w:sz w:val="24"/>
        </w:rPr>
        <w:t xml:space="preserve"> could provide just-in-time salient information, panel members were concerned that they would be disruptive in practice and ultimately ignored. Videos of fictional patient case studies were appealing </w:t>
      </w:r>
      <w:r w:rsidRPr="020C191D">
        <w:rPr>
          <w:color w:val="000000" w:themeColor="text1"/>
          <w:sz w:val="24"/>
        </w:rPr>
        <w:lastRenderedPageBreak/>
        <w:t>because they could foster reflection on the longer-term benefits of deprescribing for patients that hospital pharmacists do not usually see within the limitations of a short admission. There was also a desire for a facilitated discussion between peers following watching the videos and so, as the two BCTs intended to address the same barrier, this operationalisation</w:t>
      </w:r>
      <w:r w:rsidRPr="020C191D">
        <w:rPr>
          <w:i/>
          <w:iCs/>
          <w:color w:val="000000" w:themeColor="text1"/>
          <w:sz w:val="24"/>
        </w:rPr>
        <w:t xml:space="preserve"> </w:t>
      </w:r>
      <w:r w:rsidRPr="020C191D">
        <w:rPr>
          <w:color w:val="000000" w:themeColor="text1"/>
          <w:sz w:val="24"/>
        </w:rPr>
        <w:t xml:space="preserve">was incorporated into the </w:t>
      </w:r>
      <w:r w:rsidRPr="020C191D">
        <w:rPr>
          <w:i/>
          <w:iCs/>
          <w:color w:val="000000" w:themeColor="text1"/>
          <w:sz w:val="24"/>
        </w:rPr>
        <w:t>pros and cons</w:t>
      </w:r>
      <w:r w:rsidRPr="020C191D">
        <w:rPr>
          <w:color w:val="000000" w:themeColor="text1"/>
          <w:sz w:val="24"/>
        </w:rPr>
        <w:t xml:space="preserve"> workshop.</w:t>
      </w:r>
    </w:p>
    <w:p w14:paraId="16DAD2BB" w14:textId="04DB9A00" w:rsidR="00754A77" w:rsidRDefault="00D7464D" w:rsidP="00A11BA3">
      <w:pPr>
        <w:spacing w:after="240" w:line="480" w:lineRule="auto"/>
        <w:rPr>
          <w:color w:val="000000" w:themeColor="text1"/>
          <w:sz w:val="24"/>
          <w:szCs w:val="28"/>
        </w:rPr>
      </w:pPr>
      <w:r w:rsidRPr="00565F2D">
        <w:rPr>
          <w:i/>
          <w:iCs/>
          <w:color w:val="000000" w:themeColor="text1"/>
          <w:sz w:val="24"/>
          <w:szCs w:val="28"/>
        </w:rPr>
        <w:t>Salience of consequences</w:t>
      </w:r>
      <w:r>
        <w:rPr>
          <w:color w:val="000000" w:themeColor="text1"/>
          <w:sz w:val="24"/>
          <w:szCs w:val="28"/>
        </w:rPr>
        <w:t xml:space="preserve"> was also operationalised as a j</w:t>
      </w:r>
      <w:r w:rsidRPr="00C71177">
        <w:rPr>
          <w:color w:val="000000" w:themeColor="text1"/>
          <w:sz w:val="24"/>
          <w:szCs w:val="28"/>
        </w:rPr>
        <w:t>oint primary</w:t>
      </w:r>
      <w:r>
        <w:rPr>
          <w:color w:val="000000" w:themeColor="text1"/>
          <w:sz w:val="24"/>
          <w:szCs w:val="28"/>
        </w:rPr>
        <w:t xml:space="preserve"> and s</w:t>
      </w:r>
      <w:r w:rsidRPr="00C71177">
        <w:rPr>
          <w:color w:val="000000" w:themeColor="text1"/>
          <w:sz w:val="24"/>
          <w:szCs w:val="28"/>
        </w:rPr>
        <w:t>econdary care meeting where</w:t>
      </w:r>
      <w:r>
        <w:rPr>
          <w:color w:val="000000" w:themeColor="text1"/>
          <w:sz w:val="24"/>
          <w:szCs w:val="28"/>
        </w:rPr>
        <w:t>in</w:t>
      </w:r>
      <w:r w:rsidRPr="00C71177">
        <w:rPr>
          <w:color w:val="000000" w:themeColor="text1"/>
          <w:sz w:val="24"/>
          <w:szCs w:val="28"/>
        </w:rPr>
        <w:t xml:space="preserve"> geriatricians and pharmacists </w:t>
      </w:r>
      <w:r>
        <w:rPr>
          <w:color w:val="000000" w:themeColor="text1"/>
          <w:sz w:val="24"/>
          <w:szCs w:val="28"/>
        </w:rPr>
        <w:t xml:space="preserve">could </w:t>
      </w:r>
      <w:r w:rsidRPr="00C71177">
        <w:rPr>
          <w:color w:val="000000" w:themeColor="text1"/>
          <w:sz w:val="24"/>
          <w:szCs w:val="28"/>
        </w:rPr>
        <w:t>hear from primary care colleagues of the positive outcomes arising from deprescribing</w:t>
      </w:r>
      <w:r>
        <w:rPr>
          <w:color w:val="000000" w:themeColor="text1"/>
          <w:sz w:val="24"/>
          <w:szCs w:val="28"/>
        </w:rPr>
        <w:t xml:space="preserve"> in hospital. </w:t>
      </w:r>
      <w:r w:rsidR="00C51CC5">
        <w:rPr>
          <w:color w:val="000000" w:themeColor="text1"/>
          <w:sz w:val="24"/>
          <w:szCs w:val="28"/>
        </w:rPr>
        <w:t>Panel members</w:t>
      </w:r>
      <w:r w:rsidR="00A731BE">
        <w:rPr>
          <w:color w:val="000000" w:themeColor="text1"/>
          <w:sz w:val="24"/>
          <w:szCs w:val="28"/>
        </w:rPr>
        <w:t>, however,</w:t>
      </w:r>
      <w:r w:rsidR="00C51CC5">
        <w:rPr>
          <w:color w:val="000000" w:themeColor="text1"/>
          <w:sz w:val="24"/>
          <w:szCs w:val="28"/>
        </w:rPr>
        <w:t xml:space="preserve"> discussed </w:t>
      </w:r>
      <w:r w:rsidR="00267228">
        <w:rPr>
          <w:color w:val="000000" w:themeColor="text1"/>
          <w:sz w:val="24"/>
          <w:szCs w:val="28"/>
        </w:rPr>
        <w:t xml:space="preserve">this joint meeting more </w:t>
      </w:r>
      <w:r w:rsidR="00C51CC5">
        <w:rPr>
          <w:color w:val="000000" w:themeColor="text1"/>
          <w:sz w:val="24"/>
          <w:szCs w:val="28"/>
        </w:rPr>
        <w:t xml:space="preserve">as an approach </w:t>
      </w:r>
      <w:r w:rsidR="00C51CC5" w:rsidRPr="00A31B1D">
        <w:rPr>
          <w:color w:val="000000" w:themeColor="text1"/>
          <w:sz w:val="24"/>
          <w:szCs w:val="28"/>
        </w:rPr>
        <w:t>to address</w:t>
      </w:r>
      <w:r w:rsidR="00C51CC5">
        <w:rPr>
          <w:color w:val="000000" w:themeColor="text1"/>
          <w:sz w:val="24"/>
          <w:szCs w:val="28"/>
        </w:rPr>
        <w:t>ing</w:t>
      </w:r>
      <w:r w:rsidR="00C51CC5" w:rsidRPr="00A31B1D">
        <w:rPr>
          <w:color w:val="000000" w:themeColor="text1"/>
          <w:sz w:val="24"/>
          <w:szCs w:val="28"/>
        </w:rPr>
        <w:t xml:space="preserve"> issues of poor communication at transition of care</w:t>
      </w:r>
      <w:r w:rsidR="00E111CF">
        <w:rPr>
          <w:color w:val="000000" w:themeColor="text1"/>
          <w:sz w:val="24"/>
          <w:szCs w:val="28"/>
        </w:rPr>
        <w:t>.</w:t>
      </w:r>
      <w:r w:rsidR="00C51CC5">
        <w:rPr>
          <w:color w:val="000000" w:themeColor="text1"/>
          <w:sz w:val="24"/>
          <w:szCs w:val="28"/>
        </w:rPr>
        <w:t xml:space="preserve"> </w:t>
      </w:r>
      <w:r>
        <w:rPr>
          <w:color w:val="000000" w:themeColor="text1"/>
          <w:sz w:val="24"/>
          <w:szCs w:val="28"/>
        </w:rPr>
        <w:t xml:space="preserve">This operationalisation was </w:t>
      </w:r>
      <w:r w:rsidR="00E111CF">
        <w:rPr>
          <w:color w:val="000000" w:themeColor="text1"/>
          <w:sz w:val="24"/>
          <w:szCs w:val="28"/>
        </w:rPr>
        <w:t xml:space="preserve">therefore </w:t>
      </w:r>
      <w:r>
        <w:rPr>
          <w:color w:val="000000" w:themeColor="text1"/>
          <w:sz w:val="24"/>
          <w:szCs w:val="28"/>
        </w:rPr>
        <w:t xml:space="preserve">dropped at </w:t>
      </w:r>
      <w:r w:rsidR="00E240D7">
        <w:rPr>
          <w:color w:val="000000" w:themeColor="text1"/>
          <w:sz w:val="24"/>
          <w:szCs w:val="28"/>
        </w:rPr>
        <w:t>Round</w:t>
      </w:r>
      <w:r>
        <w:rPr>
          <w:color w:val="000000" w:themeColor="text1"/>
          <w:sz w:val="24"/>
          <w:szCs w:val="28"/>
        </w:rPr>
        <w:t xml:space="preserve"> </w:t>
      </w:r>
      <w:r w:rsidR="00E240D7">
        <w:rPr>
          <w:color w:val="000000" w:themeColor="text1"/>
          <w:sz w:val="24"/>
          <w:szCs w:val="28"/>
        </w:rPr>
        <w:t>3</w:t>
      </w:r>
      <w:r>
        <w:rPr>
          <w:color w:val="000000" w:themeColor="text1"/>
          <w:sz w:val="24"/>
          <w:szCs w:val="28"/>
        </w:rPr>
        <w:t xml:space="preserve">, as it was established during review by the research team that it </w:t>
      </w:r>
      <w:r w:rsidR="00A723F4">
        <w:rPr>
          <w:color w:val="000000" w:themeColor="text1"/>
          <w:sz w:val="24"/>
          <w:szCs w:val="28"/>
        </w:rPr>
        <w:t>was operating</w:t>
      </w:r>
      <w:r w:rsidR="005944E9">
        <w:rPr>
          <w:color w:val="000000" w:themeColor="text1"/>
          <w:sz w:val="24"/>
          <w:szCs w:val="28"/>
        </w:rPr>
        <w:t xml:space="preserve"> mainly</w:t>
      </w:r>
      <w:r w:rsidR="00A723F4">
        <w:rPr>
          <w:color w:val="000000" w:themeColor="text1"/>
          <w:sz w:val="24"/>
          <w:szCs w:val="28"/>
        </w:rPr>
        <w:t xml:space="preserve"> via the mechanism </w:t>
      </w:r>
      <w:r w:rsidR="00754A77">
        <w:rPr>
          <w:color w:val="000000" w:themeColor="text1"/>
          <w:sz w:val="24"/>
          <w:szCs w:val="28"/>
        </w:rPr>
        <w:t xml:space="preserve">of </w:t>
      </w:r>
      <w:r w:rsidR="00664C48" w:rsidRPr="000C151B">
        <w:rPr>
          <w:i/>
          <w:iCs/>
          <w:color w:val="000000" w:themeColor="text1"/>
          <w:sz w:val="24"/>
          <w:szCs w:val="28"/>
        </w:rPr>
        <w:t>restr</w:t>
      </w:r>
      <w:r w:rsidR="005944E9" w:rsidRPr="000C151B">
        <w:rPr>
          <w:i/>
          <w:iCs/>
          <w:color w:val="000000" w:themeColor="text1"/>
          <w:sz w:val="24"/>
          <w:szCs w:val="28"/>
        </w:rPr>
        <w:t>ucturing the enviro</w:t>
      </w:r>
      <w:r w:rsidR="00AB6316" w:rsidRPr="000C151B">
        <w:rPr>
          <w:i/>
          <w:iCs/>
          <w:color w:val="000000" w:themeColor="text1"/>
          <w:sz w:val="24"/>
          <w:szCs w:val="28"/>
        </w:rPr>
        <w:t>nment</w:t>
      </w:r>
      <w:r w:rsidR="00AB6316">
        <w:rPr>
          <w:color w:val="000000" w:themeColor="text1"/>
          <w:sz w:val="24"/>
          <w:szCs w:val="28"/>
        </w:rPr>
        <w:t xml:space="preserve"> </w:t>
      </w:r>
      <w:r w:rsidR="007A021E">
        <w:rPr>
          <w:color w:val="000000" w:themeColor="text1"/>
          <w:sz w:val="24"/>
          <w:szCs w:val="28"/>
        </w:rPr>
        <w:t xml:space="preserve">rather than </w:t>
      </w:r>
      <w:r w:rsidR="007A021E" w:rsidRPr="000C151B">
        <w:rPr>
          <w:i/>
          <w:iCs/>
          <w:color w:val="000000" w:themeColor="text1"/>
          <w:sz w:val="24"/>
          <w:szCs w:val="28"/>
        </w:rPr>
        <w:t>salience of consequences</w:t>
      </w:r>
      <w:r w:rsidR="007A021E">
        <w:rPr>
          <w:color w:val="000000" w:themeColor="text1"/>
          <w:sz w:val="24"/>
          <w:szCs w:val="28"/>
        </w:rPr>
        <w:t>.</w:t>
      </w:r>
    </w:p>
    <w:p w14:paraId="39D61F46" w14:textId="7EED9870" w:rsidR="00F6551D" w:rsidRDefault="00694CEE" w:rsidP="00A11BA3">
      <w:pPr>
        <w:spacing w:after="0" w:line="480" w:lineRule="auto"/>
        <w:rPr>
          <w:rFonts w:cs="Calibri"/>
          <w:b/>
          <w:bCs/>
          <w:sz w:val="24"/>
        </w:rPr>
      </w:pPr>
      <w:r>
        <w:rPr>
          <w:rFonts w:cs="Calibri"/>
          <w:b/>
          <w:bCs/>
          <w:sz w:val="24"/>
        </w:rPr>
        <w:t xml:space="preserve">Social Comparison &gt; </w:t>
      </w:r>
      <w:r w:rsidR="000249BF">
        <w:rPr>
          <w:rFonts w:cs="Calibri"/>
          <w:b/>
          <w:bCs/>
          <w:sz w:val="24"/>
        </w:rPr>
        <w:t>Video</w:t>
      </w:r>
      <w:r w:rsidR="0023158B">
        <w:rPr>
          <w:rFonts w:cs="Calibri"/>
          <w:b/>
          <w:bCs/>
          <w:sz w:val="24"/>
        </w:rPr>
        <w:t>s</w:t>
      </w:r>
      <w:r w:rsidR="000249BF">
        <w:rPr>
          <w:rFonts w:cs="Calibri"/>
          <w:b/>
          <w:bCs/>
          <w:sz w:val="24"/>
        </w:rPr>
        <w:t xml:space="preserve"> </w:t>
      </w:r>
      <w:r w:rsidR="0023158B">
        <w:rPr>
          <w:rFonts w:cs="Calibri"/>
          <w:b/>
          <w:bCs/>
          <w:sz w:val="24"/>
        </w:rPr>
        <w:t>of</w:t>
      </w:r>
      <w:r w:rsidR="000249BF">
        <w:rPr>
          <w:rFonts w:cs="Calibri"/>
          <w:b/>
          <w:bCs/>
          <w:sz w:val="24"/>
        </w:rPr>
        <w:t xml:space="preserve"> geriatricians</w:t>
      </w:r>
      <w:r w:rsidR="006D2D4B">
        <w:rPr>
          <w:rFonts w:cs="Calibri"/>
          <w:b/>
          <w:bCs/>
          <w:sz w:val="24"/>
        </w:rPr>
        <w:t xml:space="preserve"> navigating deprescribing consultations</w:t>
      </w:r>
    </w:p>
    <w:p w14:paraId="417695D8" w14:textId="31FC85C3" w:rsidR="0040689A" w:rsidRDefault="00064A87" w:rsidP="00A11BA3">
      <w:pPr>
        <w:spacing w:after="240" w:line="480" w:lineRule="auto"/>
        <w:rPr>
          <w:color w:val="000000" w:themeColor="text1"/>
          <w:sz w:val="24"/>
        </w:rPr>
      </w:pPr>
      <w:r w:rsidRPr="78309AD8">
        <w:rPr>
          <w:color w:val="000000" w:themeColor="text1"/>
          <w:sz w:val="24"/>
        </w:rPr>
        <w:t>Two ideas were pro</w:t>
      </w:r>
      <w:r w:rsidR="4B7C247C" w:rsidRPr="78309AD8">
        <w:rPr>
          <w:color w:val="000000" w:themeColor="text1"/>
          <w:sz w:val="24"/>
        </w:rPr>
        <w:t>po</w:t>
      </w:r>
      <w:r w:rsidRPr="78309AD8">
        <w:rPr>
          <w:color w:val="000000" w:themeColor="text1"/>
          <w:sz w:val="24"/>
        </w:rPr>
        <w:t>sed around s</w:t>
      </w:r>
      <w:r w:rsidR="000249BF" w:rsidRPr="78309AD8">
        <w:rPr>
          <w:color w:val="000000" w:themeColor="text1"/>
          <w:sz w:val="24"/>
        </w:rPr>
        <w:t>haring</w:t>
      </w:r>
      <w:r w:rsidRPr="78309AD8">
        <w:rPr>
          <w:color w:val="000000" w:themeColor="text1"/>
          <w:sz w:val="24"/>
        </w:rPr>
        <w:t xml:space="preserve"> of practice to operationalise </w:t>
      </w:r>
      <w:r w:rsidRPr="78309AD8">
        <w:rPr>
          <w:i/>
          <w:color w:val="000000" w:themeColor="text1"/>
          <w:sz w:val="24"/>
        </w:rPr>
        <w:t>social comparison</w:t>
      </w:r>
      <w:r w:rsidRPr="78309AD8">
        <w:rPr>
          <w:color w:val="000000" w:themeColor="text1"/>
          <w:sz w:val="24"/>
        </w:rPr>
        <w:t xml:space="preserve"> to address the misconception that </w:t>
      </w:r>
      <w:r w:rsidR="008D1084">
        <w:rPr>
          <w:color w:val="000000" w:themeColor="text1"/>
          <w:sz w:val="24"/>
        </w:rPr>
        <w:t>patients</w:t>
      </w:r>
      <w:r w:rsidR="008D1084" w:rsidRPr="78309AD8">
        <w:rPr>
          <w:color w:val="000000" w:themeColor="text1"/>
          <w:sz w:val="24"/>
        </w:rPr>
        <w:t xml:space="preserve"> </w:t>
      </w:r>
      <w:r w:rsidRPr="78309AD8">
        <w:rPr>
          <w:color w:val="000000" w:themeColor="text1"/>
          <w:sz w:val="24"/>
        </w:rPr>
        <w:t>are resistant to deprescribing. These were</w:t>
      </w:r>
      <w:r w:rsidR="005D4E0C" w:rsidRPr="78309AD8">
        <w:rPr>
          <w:color w:val="000000" w:themeColor="text1"/>
          <w:sz w:val="24"/>
        </w:rPr>
        <w:t xml:space="preserve"> a deprescribing ‘champion’ regularly presenti</w:t>
      </w:r>
      <w:r w:rsidR="009A6E74" w:rsidRPr="78309AD8">
        <w:rPr>
          <w:color w:val="000000" w:themeColor="text1"/>
          <w:sz w:val="24"/>
        </w:rPr>
        <w:t>ng</w:t>
      </w:r>
      <w:r w:rsidR="005D4E0C" w:rsidRPr="78309AD8">
        <w:rPr>
          <w:color w:val="000000" w:themeColor="text1"/>
          <w:sz w:val="24"/>
        </w:rPr>
        <w:t xml:space="preserve"> successful case studies </w:t>
      </w:r>
      <w:r w:rsidR="0040689A" w:rsidRPr="78309AD8">
        <w:rPr>
          <w:color w:val="000000" w:themeColor="text1"/>
          <w:sz w:val="24"/>
        </w:rPr>
        <w:t>or</w:t>
      </w:r>
      <w:r w:rsidRPr="78309AD8">
        <w:rPr>
          <w:color w:val="000000" w:themeColor="text1"/>
          <w:sz w:val="24"/>
        </w:rPr>
        <w:t xml:space="preserve"> </w:t>
      </w:r>
      <w:r w:rsidR="0040689A" w:rsidRPr="78309AD8">
        <w:rPr>
          <w:color w:val="000000" w:themeColor="text1"/>
          <w:sz w:val="24"/>
        </w:rPr>
        <w:t>videos showing</w:t>
      </w:r>
      <w:r w:rsidR="005D4E0C" w:rsidRPr="78309AD8">
        <w:rPr>
          <w:color w:val="000000" w:themeColor="text1"/>
          <w:sz w:val="24"/>
        </w:rPr>
        <w:t xml:space="preserve"> </w:t>
      </w:r>
      <w:r w:rsidR="000249BF" w:rsidRPr="78309AD8">
        <w:rPr>
          <w:color w:val="000000" w:themeColor="text1"/>
          <w:sz w:val="24"/>
        </w:rPr>
        <w:t>positive</w:t>
      </w:r>
      <w:r w:rsidR="004C3D7D" w:rsidRPr="78309AD8">
        <w:rPr>
          <w:color w:val="000000" w:themeColor="text1"/>
          <w:sz w:val="24"/>
        </w:rPr>
        <w:t xml:space="preserve"> (fictional)</w:t>
      </w:r>
      <w:r w:rsidR="000249BF" w:rsidRPr="78309AD8">
        <w:rPr>
          <w:color w:val="000000" w:themeColor="text1"/>
          <w:sz w:val="24"/>
        </w:rPr>
        <w:t xml:space="preserve"> </w:t>
      </w:r>
      <w:r w:rsidR="005D4E0C" w:rsidRPr="78309AD8">
        <w:rPr>
          <w:color w:val="000000" w:themeColor="text1"/>
          <w:sz w:val="24"/>
        </w:rPr>
        <w:t>deprescribing encounters between a geriatrician and a patient</w:t>
      </w:r>
      <w:r w:rsidR="000249BF" w:rsidRPr="78309AD8">
        <w:rPr>
          <w:color w:val="000000" w:themeColor="text1"/>
          <w:sz w:val="24"/>
        </w:rPr>
        <w:t xml:space="preserve"> or relative.</w:t>
      </w:r>
      <w:r w:rsidR="004C5560" w:rsidRPr="78309AD8">
        <w:rPr>
          <w:color w:val="000000" w:themeColor="text1"/>
          <w:sz w:val="24"/>
        </w:rPr>
        <w:t xml:space="preserve"> </w:t>
      </w:r>
      <w:r w:rsidR="001E2487" w:rsidRPr="78309AD8">
        <w:rPr>
          <w:color w:val="000000" w:themeColor="text1"/>
          <w:sz w:val="24"/>
        </w:rPr>
        <w:t>T</w:t>
      </w:r>
      <w:r w:rsidR="005D4E0C" w:rsidRPr="78309AD8">
        <w:rPr>
          <w:color w:val="000000" w:themeColor="text1"/>
          <w:sz w:val="24"/>
        </w:rPr>
        <w:t>here</w:t>
      </w:r>
      <w:r w:rsidR="000249BF" w:rsidRPr="78309AD8">
        <w:rPr>
          <w:color w:val="000000" w:themeColor="text1"/>
          <w:sz w:val="24"/>
        </w:rPr>
        <w:t xml:space="preserve"> were concerns that the champion </w:t>
      </w:r>
      <w:r w:rsidR="0040689A" w:rsidRPr="78309AD8">
        <w:rPr>
          <w:color w:val="000000" w:themeColor="text1"/>
          <w:sz w:val="24"/>
        </w:rPr>
        <w:t xml:space="preserve">could lead to demotivation if people perceived they were being benchmarked against an unrealistic standard. </w:t>
      </w:r>
      <w:r w:rsidR="004C3D7D" w:rsidRPr="78309AD8">
        <w:rPr>
          <w:color w:val="000000" w:themeColor="text1"/>
          <w:sz w:val="24"/>
        </w:rPr>
        <w:t>The fictional v</w:t>
      </w:r>
      <w:r w:rsidR="0040689A" w:rsidRPr="78309AD8">
        <w:rPr>
          <w:color w:val="000000" w:themeColor="text1"/>
          <w:sz w:val="24"/>
        </w:rPr>
        <w:t>ideos were therefore taken forward</w:t>
      </w:r>
      <w:r w:rsidR="00214DD2" w:rsidRPr="78309AD8">
        <w:rPr>
          <w:color w:val="000000" w:themeColor="text1"/>
          <w:sz w:val="24"/>
        </w:rPr>
        <w:t xml:space="preserve"> as the chosen operationalisation.</w:t>
      </w:r>
      <w:r w:rsidR="00B11FDE" w:rsidRPr="78309AD8">
        <w:rPr>
          <w:color w:val="000000" w:themeColor="text1"/>
          <w:sz w:val="24"/>
        </w:rPr>
        <w:t xml:space="preserve"> </w:t>
      </w:r>
      <w:r w:rsidR="00214DD2" w:rsidRPr="78309AD8">
        <w:rPr>
          <w:color w:val="000000" w:themeColor="text1"/>
          <w:sz w:val="24"/>
        </w:rPr>
        <w:t>I</w:t>
      </w:r>
      <w:r w:rsidR="00B11FDE" w:rsidRPr="78309AD8">
        <w:rPr>
          <w:color w:val="000000" w:themeColor="text1"/>
          <w:sz w:val="24"/>
        </w:rPr>
        <w:t>n their feedback on the prototype</w:t>
      </w:r>
      <w:r w:rsidR="000141F9" w:rsidRPr="78309AD8">
        <w:rPr>
          <w:color w:val="000000" w:themeColor="text1"/>
          <w:sz w:val="24"/>
        </w:rPr>
        <w:t xml:space="preserve"> videos,</w:t>
      </w:r>
      <w:r w:rsidR="00B11FDE" w:rsidRPr="78309AD8">
        <w:rPr>
          <w:color w:val="000000" w:themeColor="text1"/>
          <w:sz w:val="24"/>
        </w:rPr>
        <w:t xml:space="preserve"> panel members asked </w:t>
      </w:r>
      <w:r w:rsidR="0040689A" w:rsidRPr="78309AD8">
        <w:rPr>
          <w:color w:val="000000" w:themeColor="text1"/>
          <w:sz w:val="24"/>
        </w:rPr>
        <w:t xml:space="preserve">for the </w:t>
      </w:r>
      <w:r w:rsidR="00FD7F4C" w:rsidRPr="78309AD8">
        <w:rPr>
          <w:color w:val="000000" w:themeColor="text1"/>
          <w:sz w:val="24"/>
        </w:rPr>
        <w:t>scenarios</w:t>
      </w:r>
      <w:r w:rsidR="0040689A" w:rsidRPr="78309AD8">
        <w:rPr>
          <w:color w:val="000000" w:themeColor="text1"/>
          <w:sz w:val="24"/>
        </w:rPr>
        <w:t xml:space="preserve"> to</w:t>
      </w:r>
      <w:r w:rsidR="00B11FDE" w:rsidRPr="78309AD8">
        <w:rPr>
          <w:color w:val="000000" w:themeColor="text1"/>
          <w:sz w:val="24"/>
        </w:rPr>
        <w:t xml:space="preserve"> explicitly</w:t>
      </w:r>
      <w:r w:rsidR="0040689A" w:rsidRPr="78309AD8">
        <w:rPr>
          <w:color w:val="000000" w:themeColor="text1"/>
          <w:sz w:val="24"/>
        </w:rPr>
        <w:t xml:space="preserve"> include tips on </w:t>
      </w:r>
      <w:r w:rsidR="0040689A" w:rsidRPr="78309AD8">
        <w:rPr>
          <w:i/>
          <w:color w:val="000000" w:themeColor="text1"/>
          <w:sz w:val="24"/>
        </w:rPr>
        <w:t>how</w:t>
      </w:r>
      <w:r w:rsidR="0040689A" w:rsidRPr="78309AD8">
        <w:rPr>
          <w:color w:val="000000" w:themeColor="text1"/>
          <w:sz w:val="24"/>
        </w:rPr>
        <w:t xml:space="preserve"> to </w:t>
      </w:r>
      <w:r w:rsidR="0040689A" w:rsidRPr="78309AD8">
        <w:rPr>
          <w:color w:val="000000" w:themeColor="text1"/>
          <w:sz w:val="24"/>
        </w:rPr>
        <w:lastRenderedPageBreak/>
        <w:t>navigate challenging depresc</w:t>
      </w:r>
      <w:r w:rsidR="00B11FDE" w:rsidRPr="78309AD8">
        <w:rPr>
          <w:color w:val="000000" w:themeColor="text1"/>
          <w:sz w:val="24"/>
        </w:rPr>
        <w:t>ribing consultations, which were incorporated</w:t>
      </w:r>
      <w:r w:rsidR="00FD7F4C" w:rsidRPr="78309AD8">
        <w:rPr>
          <w:color w:val="000000" w:themeColor="text1"/>
          <w:sz w:val="24"/>
        </w:rPr>
        <w:t xml:space="preserve"> into the final component.</w:t>
      </w:r>
    </w:p>
    <w:p w14:paraId="3B1C0768" w14:textId="303E856E" w:rsidR="00BE58B3" w:rsidRDefault="009F67F7" w:rsidP="00A11BA3">
      <w:pPr>
        <w:spacing w:after="0" w:line="480" w:lineRule="auto"/>
        <w:rPr>
          <w:b/>
          <w:bCs/>
          <w:color w:val="000000" w:themeColor="text1"/>
          <w:sz w:val="24"/>
          <w:szCs w:val="28"/>
        </w:rPr>
      </w:pPr>
      <w:r>
        <w:rPr>
          <w:b/>
          <w:bCs/>
          <w:color w:val="000000" w:themeColor="text1"/>
          <w:sz w:val="24"/>
          <w:szCs w:val="28"/>
        </w:rPr>
        <w:t xml:space="preserve">Environmental Restructuring &gt; </w:t>
      </w:r>
      <w:r w:rsidR="00F22540">
        <w:rPr>
          <w:b/>
          <w:bCs/>
          <w:color w:val="000000" w:themeColor="text1"/>
          <w:sz w:val="24"/>
          <w:szCs w:val="28"/>
        </w:rPr>
        <w:t>Regular geriatrician and pharmacist briefing</w:t>
      </w:r>
    </w:p>
    <w:p w14:paraId="046EEFEA" w14:textId="10B4E71A" w:rsidR="002760A3" w:rsidRPr="003F75CB" w:rsidRDefault="002760A3" w:rsidP="00A11BA3">
      <w:pPr>
        <w:spacing w:after="240" w:line="480" w:lineRule="auto"/>
        <w:rPr>
          <w:color w:val="000000" w:themeColor="text1"/>
          <w:sz w:val="24"/>
          <w:szCs w:val="28"/>
        </w:rPr>
      </w:pPr>
      <w:r>
        <w:rPr>
          <w:color w:val="000000" w:themeColor="text1"/>
          <w:sz w:val="24"/>
          <w:szCs w:val="28"/>
        </w:rPr>
        <w:t xml:space="preserve">Ideas for operationalising </w:t>
      </w:r>
      <w:r w:rsidR="005D4E0C" w:rsidRPr="002760A3">
        <w:rPr>
          <w:i/>
          <w:color w:val="000000" w:themeColor="text1"/>
          <w:sz w:val="24"/>
          <w:szCs w:val="28"/>
        </w:rPr>
        <w:t>environmental restructuring</w:t>
      </w:r>
      <w:r w:rsidR="005D4E0C" w:rsidRPr="002C3D1D">
        <w:rPr>
          <w:color w:val="000000" w:themeColor="text1"/>
          <w:sz w:val="24"/>
          <w:szCs w:val="28"/>
        </w:rPr>
        <w:t xml:space="preserve"> converged around strategies to enable a face-to-face interaction between pharmacists and geriatricians</w:t>
      </w:r>
      <w:r w:rsidR="00A047F8">
        <w:rPr>
          <w:color w:val="000000" w:themeColor="text1"/>
          <w:sz w:val="24"/>
          <w:szCs w:val="28"/>
        </w:rPr>
        <w:t xml:space="preserve"> to discuss potential deprescribing opportunities</w:t>
      </w:r>
      <w:r w:rsidR="005D4E0C" w:rsidRPr="002C3D1D">
        <w:rPr>
          <w:color w:val="000000" w:themeColor="text1"/>
          <w:sz w:val="24"/>
          <w:szCs w:val="28"/>
        </w:rPr>
        <w:t xml:space="preserve">. </w:t>
      </w:r>
      <w:r>
        <w:rPr>
          <w:color w:val="000000" w:themeColor="text1"/>
          <w:sz w:val="24"/>
          <w:szCs w:val="28"/>
        </w:rPr>
        <w:t xml:space="preserve">Initially, </w:t>
      </w:r>
      <w:r w:rsidR="005D4E0C">
        <w:rPr>
          <w:color w:val="000000" w:themeColor="text1"/>
          <w:sz w:val="24"/>
          <w:szCs w:val="28"/>
        </w:rPr>
        <w:t xml:space="preserve">pharmacists attending existing </w:t>
      </w:r>
      <w:r w:rsidR="00F0784C">
        <w:rPr>
          <w:color w:val="000000" w:themeColor="text1"/>
          <w:sz w:val="24"/>
          <w:szCs w:val="28"/>
        </w:rPr>
        <w:t xml:space="preserve">multidisciplinary team </w:t>
      </w:r>
      <w:r w:rsidR="005D4E0C">
        <w:rPr>
          <w:color w:val="000000" w:themeColor="text1"/>
          <w:sz w:val="24"/>
          <w:szCs w:val="28"/>
        </w:rPr>
        <w:t>ward rounds</w:t>
      </w:r>
      <w:r>
        <w:rPr>
          <w:color w:val="000000" w:themeColor="text1"/>
          <w:sz w:val="24"/>
          <w:szCs w:val="28"/>
        </w:rPr>
        <w:t xml:space="preserve"> was proposed. H</w:t>
      </w:r>
      <w:r w:rsidR="005D4E0C">
        <w:rPr>
          <w:color w:val="000000" w:themeColor="text1"/>
          <w:sz w:val="24"/>
          <w:szCs w:val="28"/>
        </w:rPr>
        <w:t xml:space="preserve">owever, </w:t>
      </w:r>
      <w:r w:rsidR="00201EE7">
        <w:rPr>
          <w:color w:val="000000" w:themeColor="text1"/>
          <w:sz w:val="24"/>
          <w:szCs w:val="28"/>
        </w:rPr>
        <w:t>as</w:t>
      </w:r>
      <w:r w:rsidR="005D4E0C">
        <w:rPr>
          <w:color w:val="000000" w:themeColor="text1"/>
          <w:sz w:val="24"/>
          <w:szCs w:val="28"/>
        </w:rPr>
        <w:t xml:space="preserve"> </w:t>
      </w:r>
      <w:r>
        <w:rPr>
          <w:color w:val="000000" w:themeColor="text1"/>
          <w:sz w:val="24"/>
          <w:szCs w:val="28"/>
        </w:rPr>
        <w:t>deprescribing</w:t>
      </w:r>
      <w:r w:rsidR="005D4E0C">
        <w:rPr>
          <w:color w:val="000000" w:themeColor="text1"/>
          <w:sz w:val="24"/>
          <w:szCs w:val="28"/>
        </w:rPr>
        <w:t xml:space="preserve"> decisions </w:t>
      </w:r>
      <w:r>
        <w:rPr>
          <w:color w:val="000000" w:themeColor="text1"/>
          <w:sz w:val="24"/>
          <w:szCs w:val="28"/>
        </w:rPr>
        <w:t>would</w:t>
      </w:r>
      <w:r w:rsidR="005D4E0C">
        <w:rPr>
          <w:color w:val="000000" w:themeColor="text1"/>
          <w:sz w:val="24"/>
          <w:szCs w:val="28"/>
        </w:rPr>
        <w:t xml:space="preserve"> only</w:t>
      </w:r>
      <w:r>
        <w:rPr>
          <w:color w:val="000000" w:themeColor="text1"/>
          <w:sz w:val="24"/>
          <w:szCs w:val="28"/>
        </w:rPr>
        <w:t xml:space="preserve"> constitute</w:t>
      </w:r>
      <w:r w:rsidR="005D4E0C">
        <w:rPr>
          <w:color w:val="000000" w:themeColor="text1"/>
          <w:sz w:val="24"/>
          <w:szCs w:val="28"/>
        </w:rPr>
        <w:t xml:space="preserve"> a small part of ward </w:t>
      </w:r>
      <w:r>
        <w:rPr>
          <w:color w:val="000000" w:themeColor="text1"/>
          <w:sz w:val="24"/>
          <w:szCs w:val="28"/>
        </w:rPr>
        <w:t>round activities, the panels felt that</w:t>
      </w:r>
      <w:r w:rsidR="007F678A">
        <w:rPr>
          <w:color w:val="000000" w:themeColor="text1"/>
          <w:sz w:val="24"/>
          <w:szCs w:val="28"/>
        </w:rPr>
        <w:t xml:space="preserve"> mandating</w:t>
      </w:r>
      <w:r>
        <w:rPr>
          <w:color w:val="000000" w:themeColor="text1"/>
          <w:sz w:val="24"/>
          <w:szCs w:val="28"/>
        </w:rPr>
        <w:t xml:space="preserve"> this was inefficient</w:t>
      </w:r>
      <w:r w:rsidR="007F678A">
        <w:rPr>
          <w:color w:val="000000" w:themeColor="text1"/>
          <w:sz w:val="24"/>
          <w:szCs w:val="28"/>
        </w:rPr>
        <w:t xml:space="preserve"> for hospitals where this was not already routine practice. It</w:t>
      </w:r>
      <w:r>
        <w:rPr>
          <w:color w:val="000000" w:themeColor="text1"/>
          <w:sz w:val="24"/>
          <w:szCs w:val="28"/>
        </w:rPr>
        <w:t xml:space="preserve"> could</w:t>
      </w:r>
      <w:r w:rsidR="007F678A">
        <w:rPr>
          <w:color w:val="000000" w:themeColor="text1"/>
          <w:sz w:val="24"/>
          <w:szCs w:val="28"/>
        </w:rPr>
        <w:t xml:space="preserve"> also</w:t>
      </w:r>
      <w:r>
        <w:rPr>
          <w:color w:val="000000" w:themeColor="text1"/>
          <w:sz w:val="24"/>
          <w:szCs w:val="28"/>
        </w:rPr>
        <w:t xml:space="preserve"> lead to inequity resulting from variation in pharmacist capacity in different hospitals. Additionally, some pharmacists said that they would need training before joining </w:t>
      </w:r>
      <w:r w:rsidRPr="002760A3">
        <w:rPr>
          <w:color w:val="000000" w:themeColor="text1"/>
          <w:sz w:val="24"/>
          <w:szCs w:val="28"/>
        </w:rPr>
        <w:t>multidisciplinary team ward rounds</w:t>
      </w:r>
      <w:r>
        <w:rPr>
          <w:color w:val="000000" w:themeColor="text1"/>
          <w:sz w:val="24"/>
          <w:szCs w:val="28"/>
        </w:rPr>
        <w:t xml:space="preserve"> to feel confident to contribute.</w:t>
      </w:r>
      <w:r w:rsidR="003F75CB">
        <w:rPr>
          <w:color w:val="000000" w:themeColor="text1"/>
          <w:sz w:val="24"/>
          <w:szCs w:val="28"/>
        </w:rPr>
        <w:t xml:space="preserve"> A weekly protected time slot for pharmacists to brief geriatricians on potential deprescribing opportunities was the</w:t>
      </w:r>
      <w:r w:rsidR="00BC1F3A">
        <w:rPr>
          <w:color w:val="000000" w:themeColor="text1"/>
          <w:sz w:val="24"/>
          <w:szCs w:val="28"/>
        </w:rPr>
        <w:t>refore the</w:t>
      </w:r>
      <w:r w:rsidR="003F75CB">
        <w:rPr>
          <w:color w:val="000000" w:themeColor="text1"/>
          <w:sz w:val="24"/>
          <w:szCs w:val="28"/>
        </w:rPr>
        <w:t xml:space="preserve"> final operationalisation for </w:t>
      </w:r>
      <w:r w:rsidR="00FB0EC7">
        <w:rPr>
          <w:iCs/>
          <w:color w:val="000000" w:themeColor="text1"/>
          <w:sz w:val="24"/>
          <w:szCs w:val="28"/>
        </w:rPr>
        <w:t>this BCT</w:t>
      </w:r>
      <w:r w:rsidR="003F75CB">
        <w:rPr>
          <w:color w:val="000000" w:themeColor="text1"/>
          <w:sz w:val="24"/>
          <w:szCs w:val="28"/>
        </w:rPr>
        <w:t>, with optional additional protected time for pharmacist</w:t>
      </w:r>
      <w:r w:rsidR="00FB0EC7">
        <w:rPr>
          <w:color w:val="000000" w:themeColor="text1"/>
          <w:sz w:val="24"/>
          <w:szCs w:val="28"/>
        </w:rPr>
        <w:t>s</w:t>
      </w:r>
      <w:r w:rsidR="003F75CB">
        <w:rPr>
          <w:color w:val="000000" w:themeColor="text1"/>
          <w:sz w:val="24"/>
          <w:szCs w:val="28"/>
        </w:rPr>
        <w:t xml:space="preserve"> to prepare before the briefing if </w:t>
      </w:r>
      <w:r w:rsidR="00AF0AA8">
        <w:rPr>
          <w:color w:val="000000" w:themeColor="text1"/>
          <w:sz w:val="24"/>
          <w:szCs w:val="28"/>
        </w:rPr>
        <w:t>needed.</w:t>
      </w:r>
    </w:p>
    <w:p w14:paraId="506454FF" w14:textId="7CB33D87" w:rsidR="00CC5450" w:rsidRDefault="00694CEE" w:rsidP="00A11BA3">
      <w:pPr>
        <w:spacing w:after="0" w:line="480" w:lineRule="auto"/>
        <w:rPr>
          <w:b/>
          <w:bCs/>
          <w:sz w:val="24"/>
        </w:rPr>
      </w:pPr>
      <w:r>
        <w:rPr>
          <w:b/>
          <w:bCs/>
          <w:sz w:val="24"/>
        </w:rPr>
        <w:t xml:space="preserve">Social Comparison &gt; </w:t>
      </w:r>
      <w:r w:rsidR="006D2D4B">
        <w:rPr>
          <w:b/>
          <w:bCs/>
          <w:sz w:val="24"/>
        </w:rPr>
        <w:t>Deprescribing d</w:t>
      </w:r>
      <w:r w:rsidR="00CC5450" w:rsidRPr="00304A91">
        <w:rPr>
          <w:b/>
          <w:bCs/>
          <w:sz w:val="24"/>
        </w:rPr>
        <w:t>ashboard</w:t>
      </w:r>
    </w:p>
    <w:p w14:paraId="3ED29F66" w14:textId="6C3CA442" w:rsidR="00292480" w:rsidRDefault="432AF717" w:rsidP="00665363">
      <w:pPr>
        <w:spacing w:after="0" w:line="480" w:lineRule="auto"/>
        <w:rPr>
          <w:sz w:val="24"/>
        </w:rPr>
      </w:pPr>
      <w:r w:rsidRPr="432AF717">
        <w:rPr>
          <w:sz w:val="24"/>
        </w:rPr>
        <w:t xml:space="preserve">There was agreement from the outset that operationalising </w:t>
      </w:r>
      <w:r w:rsidRPr="432AF717">
        <w:rPr>
          <w:i/>
          <w:iCs/>
          <w:sz w:val="24"/>
        </w:rPr>
        <w:t>social comparison</w:t>
      </w:r>
      <w:r w:rsidRPr="432AF717">
        <w:rPr>
          <w:sz w:val="24"/>
        </w:rPr>
        <w:t xml:space="preserve"> to incentivise deprescribing would comprise a national dashboard reporting a range of metrics to enable hospitals to monitor their own performance and benchmark against other hospitals. Exactly what metrics would be reported dominated the remaining discussions for this BCT. All three hospitals coalesced around three categories of metric to provide an overall picture of performance: 1) a process measure that captures an indication of the work undertaken to deprescribe, 2) a performance measure and 3) a measure of the quality of deprescribing. </w:t>
      </w:r>
      <w:r w:rsidRPr="432AF717">
        <w:rPr>
          <w:sz w:val="24"/>
        </w:rPr>
        <w:lastRenderedPageBreak/>
        <w:t xml:space="preserve">For the process measure, it was important that this captured work undertaken even if it is determined that continuing to prescribe a medicine is the most appropriate course of action. </w:t>
      </w:r>
      <w:r w:rsidR="000A5F6C">
        <w:rPr>
          <w:sz w:val="24"/>
        </w:rPr>
        <w:t>The number</w:t>
      </w:r>
      <w:r w:rsidR="000A5F6C" w:rsidRPr="432AF717">
        <w:rPr>
          <w:sz w:val="24"/>
        </w:rPr>
        <w:t xml:space="preserve"> </w:t>
      </w:r>
      <w:r w:rsidRPr="432AF717">
        <w:rPr>
          <w:sz w:val="24"/>
        </w:rPr>
        <w:t xml:space="preserve">of deprescribing discussions with patients and/or relatives </w:t>
      </w:r>
      <w:r w:rsidR="00AF6495">
        <w:rPr>
          <w:sz w:val="24"/>
        </w:rPr>
        <w:t>logged</w:t>
      </w:r>
      <w:r w:rsidR="000A5F6C">
        <w:rPr>
          <w:sz w:val="24"/>
        </w:rPr>
        <w:t xml:space="preserve"> by prescribers </w:t>
      </w:r>
      <w:r w:rsidRPr="432AF717">
        <w:rPr>
          <w:sz w:val="24"/>
        </w:rPr>
        <w:t>was therefore the agreed measure. For the performance measure, the number of medicines stopped was the chosen measure. The number of medicines that required re-prescribing within 30 days of a patient being discharged was the selected quality measure. This is because deprescribing in hospital that subsequently requires medicines to be re-prescribed by primary care was agreed to constitute poor quality care.</w:t>
      </w:r>
    </w:p>
    <w:p w14:paraId="6D765842" w14:textId="77777777" w:rsidR="00665363" w:rsidRPr="00292480" w:rsidRDefault="00665363" w:rsidP="00665363">
      <w:pPr>
        <w:spacing w:after="0" w:line="480" w:lineRule="auto"/>
        <w:rPr>
          <w:sz w:val="24"/>
        </w:rPr>
      </w:pPr>
    </w:p>
    <w:p w14:paraId="2EF8BCD8" w14:textId="42AEF517" w:rsidR="00292480" w:rsidRPr="00292480" w:rsidRDefault="146D1B9B" w:rsidP="00292480">
      <w:pPr>
        <w:pStyle w:val="Heading1"/>
        <w:spacing w:before="0" w:after="240"/>
        <w:rPr>
          <w:rFonts w:ascii="Calibri" w:hAnsi="Calibri" w:cs="Calibri"/>
          <w:b/>
          <w:bCs/>
          <w:color w:val="000000" w:themeColor="text1"/>
          <w:sz w:val="28"/>
          <w:szCs w:val="28"/>
        </w:rPr>
      </w:pPr>
      <w:r w:rsidRPr="00292480">
        <w:rPr>
          <w:rFonts w:ascii="Calibri" w:hAnsi="Calibri" w:cs="Calibri"/>
          <w:b/>
          <w:bCs/>
          <w:color w:val="000000" w:themeColor="text1"/>
          <w:sz w:val="28"/>
          <w:szCs w:val="28"/>
        </w:rPr>
        <w:t>Discussion</w:t>
      </w:r>
    </w:p>
    <w:p w14:paraId="5AB1DF71" w14:textId="2E9FA58A" w:rsidR="00890EBA" w:rsidRDefault="356AE69E" w:rsidP="00B82B2D">
      <w:pPr>
        <w:spacing w:line="480" w:lineRule="auto"/>
        <w:rPr>
          <w:sz w:val="24"/>
        </w:rPr>
      </w:pPr>
      <w:r w:rsidRPr="51A42684">
        <w:rPr>
          <w:sz w:val="24"/>
        </w:rPr>
        <w:t>Th</w:t>
      </w:r>
      <w:r w:rsidR="00F25CBC">
        <w:rPr>
          <w:sz w:val="24"/>
        </w:rPr>
        <w:t xml:space="preserve">rough integrating evidence and behaviour change theory into the co-design process, we have </w:t>
      </w:r>
      <w:r w:rsidR="0030115E">
        <w:rPr>
          <w:sz w:val="24"/>
        </w:rPr>
        <w:t>developed</w:t>
      </w:r>
      <w:r w:rsidR="00AA5B7A" w:rsidRPr="002342C1">
        <w:rPr>
          <w:sz w:val="24"/>
        </w:rPr>
        <w:t xml:space="preserve"> </w:t>
      </w:r>
      <w:r w:rsidR="00AA5B7A">
        <w:rPr>
          <w:sz w:val="24"/>
        </w:rPr>
        <w:t>an intervention package</w:t>
      </w:r>
      <w:r w:rsidR="0030115E" w:rsidRPr="0030115E">
        <w:rPr>
          <w:sz w:val="24"/>
        </w:rPr>
        <w:t xml:space="preserve"> </w:t>
      </w:r>
      <w:r w:rsidR="0030115E">
        <w:rPr>
          <w:sz w:val="24"/>
        </w:rPr>
        <w:t>deemed implementable by the target audience and th</w:t>
      </w:r>
      <w:r w:rsidR="0018723A">
        <w:rPr>
          <w:sz w:val="24"/>
        </w:rPr>
        <w:t>e hospital team members required to support implementation.</w:t>
      </w:r>
      <w:r w:rsidR="005F4C89">
        <w:rPr>
          <w:sz w:val="24"/>
        </w:rPr>
        <w:t xml:space="preserve"> The </w:t>
      </w:r>
      <w:r w:rsidRPr="51A42684">
        <w:rPr>
          <w:sz w:val="24"/>
        </w:rPr>
        <w:t xml:space="preserve">six </w:t>
      </w:r>
      <w:r w:rsidR="468FEFC4" w:rsidRPr="51A42684">
        <w:rPr>
          <w:sz w:val="24"/>
        </w:rPr>
        <w:t>BCTs</w:t>
      </w:r>
      <w:r w:rsidRPr="51A42684">
        <w:rPr>
          <w:sz w:val="24"/>
        </w:rPr>
        <w:t xml:space="preserve"> have been </w:t>
      </w:r>
      <w:r w:rsidR="73592193" w:rsidRPr="51A42684">
        <w:rPr>
          <w:sz w:val="24"/>
        </w:rPr>
        <w:t xml:space="preserve">operationalised </w:t>
      </w:r>
      <w:r w:rsidRPr="51A42684">
        <w:rPr>
          <w:sz w:val="24"/>
        </w:rPr>
        <w:t>into a five</w:t>
      </w:r>
      <w:r w:rsidR="1481367F" w:rsidRPr="51A42684">
        <w:rPr>
          <w:sz w:val="24"/>
        </w:rPr>
        <w:t>-</w:t>
      </w:r>
      <w:r w:rsidRPr="51A42684">
        <w:rPr>
          <w:sz w:val="24"/>
        </w:rPr>
        <w:t>component intervention</w:t>
      </w:r>
      <w:r w:rsidR="003D4459">
        <w:rPr>
          <w:sz w:val="24"/>
        </w:rPr>
        <w:t xml:space="preserve"> </w:t>
      </w:r>
      <w:r w:rsidR="00C13ADF">
        <w:rPr>
          <w:sz w:val="24"/>
        </w:rPr>
        <w:t>to</w:t>
      </w:r>
      <w:r w:rsidR="00890EBA">
        <w:rPr>
          <w:sz w:val="24"/>
        </w:rPr>
        <w:t xml:space="preserve"> address</w:t>
      </w:r>
      <w:r w:rsidR="00890EBA" w:rsidRPr="51A42684">
        <w:rPr>
          <w:sz w:val="24"/>
        </w:rPr>
        <w:t xml:space="preserve"> </w:t>
      </w:r>
      <w:r w:rsidR="002B1580">
        <w:rPr>
          <w:sz w:val="24"/>
        </w:rPr>
        <w:t xml:space="preserve">determinants related to opportunity and motivation for </w:t>
      </w:r>
      <w:r w:rsidR="00890EBA" w:rsidRPr="51A42684">
        <w:rPr>
          <w:sz w:val="24"/>
        </w:rPr>
        <w:t>geriatricians and pharmacists</w:t>
      </w:r>
      <w:r w:rsidR="00890EBA">
        <w:rPr>
          <w:sz w:val="24"/>
        </w:rPr>
        <w:t xml:space="preserve"> </w:t>
      </w:r>
      <w:r w:rsidR="00890EBA" w:rsidRPr="51A42684">
        <w:rPr>
          <w:sz w:val="24"/>
        </w:rPr>
        <w:t xml:space="preserve">to proactively </w:t>
      </w:r>
      <w:r w:rsidR="00C13ADF">
        <w:rPr>
          <w:sz w:val="24"/>
        </w:rPr>
        <w:t>d</w:t>
      </w:r>
      <w:r w:rsidR="00890EBA" w:rsidRPr="51A42684">
        <w:rPr>
          <w:sz w:val="24"/>
        </w:rPr>
        <w:t>eprescrib</w:t>
      </w:r>
      <w:r w:rsidR="00C13ADF">
        <w:rPr>
          <w:sz w:val="24"/>
        </w:rPr>
        <w:t>e.</w:t>
      </w:r>
      <w:r w:rsidR="004863AD">
        <w:rPr>
          <w:sz w:val="24"/>
        </w:rPr>
        <w:t xml:space="preserve"> </w:t>
      </w:r>
    </w:p>
    <w:p w14:paraId="40AB7B1F" w14:textId="02C7A351" w:rsidR="00353877" w:rsidRPr="00607AF4" w:rsidRDefault="461890C7" w:rsidP="00B82B2D">
      <w:pPr>
        <w:spacing w:line="480" w:lineRule="auto"/>
        <w:rPr>
          <w:sz w:val="24"/>
        </w:rPr>
      </w:pPr>
      <w:r w:rsidRPr="51A42684">
        <w:rPr>
          <w:sz w:val="24"/>
        </w:rPr>
        <w:t>To prepare geriatricians and pharmacists to proactively deprescribe, the CHARMER intervention comprises</w:t>
      </w:r>
      <w:r w:rsidR="0D68CEC2" w:rsidRPr="51A42684">
        <w:rPr>
          <w:sz w:val="24"/>
        </w:rPr>
        <w:t>:</w:t>
      </w:r>
      <w:r w:rsidRPr="51A42684">
        <w:rPr>
          <w:sz w:val="24"/>
        </w:rPr>
        <w:t xml:space="preserve"> an</w:t>
      </w:r>
      <w:r w:rsidR="0DE37387" w:rsidRPr="51A42684">
        <w:rPr>
          <w:sz w:val="24"/>
        </w:rPr>
        <w:t xml:space="preserve"> organisational</w:t>
      </w:r>
      <w:r w:rsidRPr="51A42684">
        <w:rPr>
          <w:sz w:val="24"/>
        </w:rPr>
        <w:t xml:space="preserve"> action plan to prioritise proactive deprescribing</w:t>
      </w:r>
      <w:r w:rsidR="0D68CEC2" w:rsidRPr="51A42684">
        <w:rPr>
          <w:sz w:val="24"/>
        </w:rPr>
        <w:t>;</w:t>
      </w:r>
      <w:r w:rsidRPr="51A42684">
        <w:rPr>
          <w:sz w:val="24"/>
        </w:rPr>
        <w:t xml:space="preserve"> a workshop </w:t>
      </w:r>
      <w:r w:rsidR="25D58850" w:rsidRPr="78309AD8">
        <w:rPr>
          <w:sz w:val="24"/>
        </w:rPr>
        <w:t>including patient case studies</w:t>
      </w:r>
      <w:r w:rsidRPr="78309AD8">
        <w:rPr>
          <w:sz w:val="24"/>
        </w:rPr>
        <w:t xml:space="preserve"> </w:t>
      </w:r>
      <w:r w:rsidRPr="51A42684">
        <w:rPr>
          <w:sz w:val="24"/>
        </w:rPr>
        <w:t>for pharmacists</w:t>
      </w:r>
      <w:r w:rsidR="629A27CA" w:rsidRPr="51A42684">
        <w:rPr>
          <w:sz w:val="24"/>
        </w:rPr>
        <w:t xml:space="preserve"> to address negative beliefs about the consequences </w:t>
      </w:r>
      <w:r w:rsidR="2FD420DF" w:rsidRPr="51A42684">
        <w:rPr>
          <w:sz w:val="24"/>
        </w:rPr>
        <w:t xml:space="preserve">of proactive deprescribing; </w:t>
      </w:r>
      <w:r w:rsidR="629A27CA" w:rsidRPr="51A42684">
        <w:rPr>
          <w:sz w:val="24"/>
        </w:rPr>
        <w:t>a video for geriatricians to address a misconception that patients and families are resistant</w:t>
      </w:r>
      <w:r w:rsidR="65484A79" w:rsidRPr="51A42684">
        <w:rPr>
          <w:sz w:val="24"/>
        </w:rPr>
        <w:t xml:space="preserve"> to proactive deprescribing proposals; r</w:t>
      </w:r>
      <w:r w:rsidR="629A27CA" w:rsidRPr="51A42684">
        <w:rPr>
          <w:sz w:val="24"/>
        </w:rPr>
        <w:t xml:space="preserve">egular briefings </w:t>
      </w:r>
      <w:r w:rsidR="65484A79" w:rsidRPr="51A42684">
        <w:rPr>
          <w:sz w:val="24"/>
        </w:rPr>
        <w:t xml:space="preserve">to </w:t>
      </w:r>
      <w:r w:rsidR="629A27CA" w:rsidRPr="51A42684">
        <w:rPr>
          <w:sz w:val="24"/>
        </w:rPr>
        <w:t>provide</w:t>
      </w:r>
      <w:r w:rsidR="65484A79" w:rsidRPr="51A42684">
        <w:rPr>
          <w:sz w:val="24"/>
        </w:rPr>
        <w:t xml:space="preserve"> protected</w:t>
      </w:r>
      <w:r w:rsidR="629A27CA" w:rsidRPr="51A42684">
        <w:rPr>
          <w:sz w:val="24"/>
        </w:rPr>
        <w:t xml:space="preserve"> time for pharmacists to discuss proactive deprescribing opportunities with geriatricians</w:t>
      </w:r>
      <w:r w:rsidR="65484A79" w:rsidRPr="51A42684">
        <w:rPr>
          <w:sz w:val="24"/>
        </w:rPr>
        <w:t>;</w:t>
      </w:r>
      <w:r w:rsidR="629A27CA" w:rsidRPr="51A42684">
        <w:rPr>
          <w:sz w:val="24"/>
        </w:rPr>
        <w:t xml:space="preserve"> </w:t>
      </w:r>
      <w:r w:rsidR="65484A79" w:rsidRPr="51A42684">
        <w:rPr>
          <w:sz w:val="24"/>
        </w:rPr>
        <w:t>and a</w:t>
      </w:r>
      <w:r w:rsidR="629A27CA" w:rsidRPr="51A42684">
        <w:rPr>
          <w:sz w:val="24"/>
        </w:rPr>
        <w:t xml:space="preserve"> national deprescribing dashboard</w:t>
      </w:r>
      <w:r w:rsidR="239BA918" w:rsidRPr="51A42684">
        <w:rPr>
          <w:sz w:val="24"/>
        </w:rPr>
        <w:t xml:space="preserve"> </w:t>
      </w:r>
      <w:r w:rsidR="65484A79" w:rsidRPr="51A42684">
        <w:rPr>
          <w:sz w:val="24"/>
        </w:rPr>
        <w:t xml:space="preserve">to </w:t>
      </w:r>
      <w:r w:rsidR="239BA918" w:rsidRPr="51A42684">
        <w:rPr>
          <w:sz w:val="24"/>
        </w:rPr>
        <w:lastRenderedPageBreak/>
        <w:t>provide an incentive by</w:t>
      </w:r>
      <w:r w:rsidR="629A27CA" w:rsidRPr="51A42684">
        <w:rPr>
          <w:sz w:val="24"/>
        </w:rPr>
        <w:t xml:space="preserve"> report</w:t>
      </w:r>
      <w:r w:rsidR="239BA918" w:rsidRPr="51A42684">
        <w:rPr>
          <w:sz w:val="24"/>
        </w:rPr>
        <w:t>ing</w:t>
      </w:r>
      <w:r w:rsidR="629A27CA" w:rsidRPr="51A42684">
        <w:rPr>
          <w:sz w:val="24"/>
        </w:rPr>
        <w:t xml:space="preserve"> salient metrics to geriatricians and pharmacists on their proactive deprescribing activities</w:t>
      </w:r>
      <w:r w:rsidR="239BA918" w:rsidRPr="51A42684">
        <w:rPr>
          <w:sz w:val="24"/>
        </w:rPr>
        <w:t>.</w:t>
      </w:r>
    </w:p>
    <w:p w14:paraId="5F22E20E" w14:textId="32AD0FB6" w:rsidR="00485304" w:rsidRDefault="00571E0D" w:rsidP="00B82B2D">
      <w:pPr>
        <w:spacing w:line="480" w:lineRule="auto"/>
        <w:rPr>
          <w:sz w:val="24"/>
        </w:rPr>
      </w:pPr>
      <w:r>
        <w:rPr>
          <w:sz w:val="24"/>
        </w:rPr>
        <w:t>U</w:t>
      </w:r>
      <w:r w:rsidR="51EE25C1" w:rsidRPr="51EE25C1">
        <w:rPr>
          <w:sz w:val="24"/>
        </w:rPr>
        <w:t>s</w:t>
      </w:r>
      <w:r>
        <w:rPr>
          <w:sz w:val="24"/>
        </w:rPr>
        <w:t>ing</w:t>
      </w:r>
      <w:r w:rsidR="51EE25C1" w:rsidRPr="51EE25C1">
        <w:rPr>
          <w:sz w:val="24"/>
        </w:rPr>
        <w:t xml:space="preserve"> evidence regarding </w:t>
      </w:r>
      <w:r w:rsidR="00FC0508">
        <w:rPr>
          <w:sz w:val="24"/>
        </w:rPr>
        <w:t>the</w:t>
      </w:r>
      <w:r w:rsidR="00FC0508" w:rsidRPr="51EE25C1">
        <w:rPr>
          <w:sz w:val="24"/>
        </w:rPr>
        <w:t xml:space="preserve"> </w:t>
      </w:r>
      <w:r w:rsidR="002D3265">
        <w:rPr>
          <w:sz w:val="24"/>
        </w:rPr>
        <w:t>determinants of</w:t>
      </w:r>
      <w:r w:rsidR="51EE25C1" w:rsidRPr="51EE25C1">
        <w:rPr>
          <w:sz w:val="24"/>
        </w:rPr>
        <w:t xml:space="preserve"> the behaviour </w:t>
      </w:r>
      <w:r w:rsidR="00FC0508">
        <w:rPr>
          <w:sz w:val="24"/>
        </w:rPr>
        <w:t xml:space="preserve">that </w:t>
      </w:r>
      <w:r w:rsidR="51EE25C1" w:rsidRPr="51EE25C1">
        <w:rPr>
          <w:sz w:val="24"/>
        </w:rPr>
        <w:t xml:space="preserve">require addressing </w:t>
      </w:r>
      <w:r w:rsidR="005A29A1" w:rsidRPr="51EE25C1">
        <w:rPr>
          <w:sz w:val="24"/>
        </w:rPr>
        <w:fldChar w:fldCharType="begin"/>
      </w:r>
      <w:r w:rsidR="00FC7A29">
        <w:rPr>
          <w:sz w:val="24"/>
        </w:rPr>
        <w:instrText xml:space="preserve"> ADDIN ZOTERO_ITEM CSL_CITATION {"citationID":"teDhXgEY","properties":{"formattedCitation":"(25)","plainCitation":"(25)","noteIndex":0},"citationItems":[{"id":"HaMovQnS/LL299ZDx","uris":["http://zotero.org/users/6791840/items/RZIS68B7"],"itemData":{"id":109,"type":"article-journal","container-title":"Age and ageing","issue":"1","note":"publisher: Oxford University Press","page":"102–110","source":"Google Scholar","title":"Development of a hospital deprescribing implementation framework: a focus group study with geriatricians and pharmacists","title-short":"Development of a hospital deprescribing implementation framework","volume":"49","author":[{"family":"Scott","given":"Sion"},{"family":"Twigg","given":"Michael J."},{"family":"Clark","given":"Allan"},{"family":"Farrow","given":"Carol"},{"family":"May","given":"Helen"},{"family":"Patel","given":"Martyn"},{"family":"Taylor","given":"Johanna"},{"family":"Wright","given":"David J."},{"family":"Bhattacharya","given":"Debi"}],"issued":{"date-parts":[["2020"]]}}}],"schema":"https://github.com/citation-style-language/schema/raw/master/csl-citation.json"} </w:instrText>
      </w:r>
      <w:r w:rsidR="005A29A1" w:rsidRPr="51EE25C1">
        <w:rPr>
          <w:sz w:val="24"/>
        </w:rPr>
        <w:fldChar w:fldCharType="separate"/>
      </w:r>
      <w:r w:rsidR="00FC7A29">
        <w:rPr>
          <w:rFonts w:cs="Calibri"/>
          <w:sz w:val="24"/>
        </w:rPr>
        <w:t>(25)</w:t>
      </w:r>
      <w:r w:rsidR="005A29A1" w:rsidRPr="51EE25C1">
        <w:rPr>
          <w:sz w:val="24"/>
        </w:rPr>
        <w:fldChar w:fldCharType="end"/>
      </w:r>
      <w:r w:rsidR="51EE25C1" w:rsidRPr="51EE25C1">
        <w:rPr>
          <w:sz w:val="24"/>
        </w:rPr>
        <w:t xml:space="preserve">, coupled with </w:t>
      </w:r>
      <w:r w:rsidR="00F76687">
        <w:rPr>
          <w:sz w:val="24"/>
        </w:rPr>
        <w:t>behaviour change theory</w:t>
      </w:r>
      <w:r w:rsidR="51EE25C1" w:rsidRPr="51EE25C1">
        <w:rPr>
          <w:sz w:val="24"/>
        </w:rPr>
        <w:t xml:space="preserve"> </w:t>
      </w:r>
      <w:r w:rsidR="005A29A1" w:rsidRPr="51EE25C1">
        <w:rPr>
          <w:sz w:val="24"/>
        </w:rPr>
        <w:fldChar w:fldCharType="begin"/>
      </w:r>
      <w:r w:rsidR="00FC7A29">
        <w:rPr>
          <w:sz w:val="24"/>
        </w:rPr>
        <w:instrText xml:space="preserve"> ADDIN ZOTERO_ITEM CSL_CITATION {"citationID":"1kD7cbow","properties":{"formattedCitation":"(31)","plainCitation":"(31)","noteIndex":0},"citationItems":[{"id":"HaMovQnS/1GR4Q3NF","uris":["http://zotero.org/users/6791840/items/5IEWQ9CG"],"itemData":{"id":104,"type":"article-journal","container-title":"Implementation Science","issue":"1","note":"publisher: BioMed Central","page":"1–18","source":"Google Scholar","title":"A guide to using the Theoretical Domains Framework of behaviour change to investigate implementation problems","volume":"12","author":[{"family":"Atkins","given":"Lou"},{"family":"Francis","given":"Jill"},{"family":"Islam","given":"Rafat"},{"family":"O’Connor","given":"Denise"},{"family":"Patey","given":"Andrea"},{"family":"Ivers","given":"Noah"},{"family":"Foy","given":"Robbie"},{"family":"Duncan","given":"Eilidh M."},{"family":"Colquhoun","given":"Heather"},{"family":"Grimshaw","given":"Jeremy M."}],"issued":{"date-parts":[["2017"]]}}}],"schema":"https://github.com/citation-style-language/schema/raw/master/csl-citation.json"} </w:instrText>
      </w:r>
      <w:r w:rsidR="005A29A1" w:rsidRPr="51EE25C1">
        <w:rPr>
          <w:sz w:val="24"/>
        </w:rPr>
        <w:fldChar w:fldCharType="separate"/>
      </w:r>
      <w:r w:rsidR="00FC7A29">
        <w:rPr>
          <w:rFonts w:cs="Calibri"/>
          <w:sz w:val="24"/>
        </w:rPr>
        <w:t>(31)</w:t>
      </w:r>
      <w:r w:rsidR="005A29A1" w:rsidRPr="51EE25C1">
        <w:rPr>
          <w:sz w:val="24"/>
        </w:rPr>
        <w:fldChar w:fldCharType="end"/>
      </w:r>
      <w:r w:rsidR="51EE25C1" w:rsidRPr="51EE25C1">
        <w:rPr>
          <w:sz w:val="24"/>
        </w:rPr>
        <w:t xml:space="preserve"> to underpin the co-design process, is a key strength of this study</w:t>
      </w:r>
      <w:r w:rsidR="00C80758">
        <w:rPr>
          <w:sz w:val="24"/>
        </w:rPr>
        <w:t xml:space="preserve">. This </w:t>
      </w:r>
      <w:r w:rsidR="00B039A4">
        <w:rPr>
          <w:sz w:val="24"/>
        </w:rPr>
        <w:t xml:space="preserve">approach has not only </w:t>
      </w:r>
      <w:r w:rsidR="00540F86">
        <w:rPr>
          <w:sz w:val="24"/>
        </w:rPr>
        <w:t xml:space="preserve">translated existing knowledge into </w:t>
      </w:r>
      <w:r w:rsidR="00165FA2">
        <w:rPr>
          <w:sz w:val="24"/>
        </w:rPr>
        <w:t>a</w:t>
      </w:r>
      <w:r w:rsidR="00B16F60">
        <w:rPr>
          <w:sz w:val="24"/>
        </w:rPr>
        <w:t xml:space="preserve"> </w:t>
      </w:r>
      <w:r w:rsidR="001B1126">
        <w:rPr>
          <w:sz w:val="24"/>
        </w:rPr>
        <w:t>fully operationalised</w:t>
      </w:r>
      <w:r w:rsidR="00B16F60">
        <w:rPr>
          <w:sz w:val="24"/>
        </w:rPr>
        <w:t xml:space="preserve"> </w:t>
      </w:r>
      <w:r w:rsidR="00241841">
        <w:rPr>
          <w:sz w:val="24"/>
        </w:rPr>
        <w:t>intervention</w:t>
      </w:r>
      <w:r w:rsidR="0018366E">
        <w:rPr>
          <w:sz w:val="24"/>
        </w:rPr>
        <w:t xml:space="preserve"> (i.e. leading to practical deprescribing efforts)</w:t>
      </w:r>
      <w:r w:rsidR="0024780E">
        <w:rPr>
          <w:sz w:val="24"/>
        </w:rPr>
        <w:fldChar w:fldCharType="begin"/>
      </w:r>
      <w:r w:rsidR="0024780E">
        <w:rPr>
          <w:sz w:val="24"/>
        </w:rPr>
        <w:instrText xml:space="preserve"> ADDIN ZOTERO_ITEM CSL_CITATION {"citationID":"jmueHII0","properties":{"formattedCitation":"(32)","plainCitation":"(32)","noteIndex":0},"citationItems":[{"id":188,"uris":["http://zotero.org/users/local/6ZPpNNIG/items/FHGW5QN8"],"itemData":{"id":188,"type":"article-journal","abstract":"Unnecessary polypharmacy continues to be a problem among older adults. The field of deprescribing (planned, supervised process of medication discontinuation) aims to address this problem. Deprescribing is a relatively new field despite having grown substantially in recent years. Much of the early research in this area focused on identifying barriers to and facilitators of deprescribing in clinical practice, which contributed to a large body of work on this topic. However, with continuing research around barriers and facilitators, we need to be mindful to undertake research that builds on existing knowledge, addresses known gaps, and advances the field. Additionally, there is a need in deprescribing research to shift focus to developing ways to address known barriers and harness knowledge of facilitators. That is, translating existing knowledge into strategies and tools that can impact clinical practice and lead to practical and sustained deprescribing efforts.","container-title":"Research in Social and Administrative Pharmacy","DOI":"10.1016/j.sapharm.2021.04.004","ISSN":"1551-7411","issue":"3","journalAbbreviation":"Research in Social and Administrative Pharmacy","language":"en","page":"2547-2549","source":"ScienceDirect","title":"Deprescribing: Moving beyond barriers and facilitators","title-short":"Deprescribing","volume":"18","author":[{"family":"Thompson","given":"Wade"},{"family":"Reeve","given":"Emily"}],"issued":{"date-parts":[["2022",3,1]]}}}],"schema":"https://github.com/citation-style-language/schema/raw/master/csl-citation.json"} </w:instrText>
      </w:r>
      <w:r w:rsidR="0024780E">
        <w:rPr>
          <w:sz w:val="24"/>
        </w:rPr>
        <w:fldChar w:fldCharType="separate"/>
      </w:r>
      <w:r w:rsidR="0024780E">
        <w:rPr>
          <w:noProof/>
          <w:sz w:val="24"/>
        </w:rPr>
        <w:t>(32)</w:t>
      </w:r>
      <w:r w:rsidR="0024780E">
        <w:rPr>
          <w:sz w:val="24"/>
        </w:rPr>
        <w:fldChar w:fldCharType="end"/>
      </w:r>
      <w:r w:rsidR="00241841">
        <w:rPr>
          <w:sz w:val="24"/>
        </w:rPr>
        <w:t xml:space="preserve"> </w:t>
      </w:r>
      <w:r w:rsidR="001B1126">
        <w:rPr>
          <w:sz w:val="24"/>
        </w:rPr>
        <w:t>but has</w:t>
      </w:r>
      <w:r w:rsidR="003142AD" w:rsidRPr="51EE25C1">
        <w:rPr>
          <w:sz w:val="24"/>
        </w:rPr>
        <w:t xml:space="preserve"> ensured that the CHARMER intervention components are faithful to the underpinning mechanisms of action of behaviour change.</w:t>
      </w:r>
      <w:r w:rsidR="006529ED">
        <w:rPr>
          <w:sz w:val="24"/>
        </w:rPr>
        <w:t xml:space="preserve"> </w:t>
      </w:r>
      <w:r w:rsidR="008070DA">
        <w:rPr>
          <w:sz w:val="24"/>
        </w:rPr>
        <w:t xml:space="preserve">This was demonstrated by the two potential operationalisations that were not retained due to </w:t>
      </w:r>
      <w:r w:rsidR="006F6717">
        <w:rPr>
          <w:sz w:val="24"/>
        </w:rPr>
        <w:t xml:space="preserve">deviating from the intended mechanism of action for the </w:t>
      </w:r>
      <w:r w:rsidR="006F6717" w:rsidRPr="51EE25C1">
        <w:rPr>
          <w:sz w:val="24"/>
        </w:rPr>
        <w:t xml:space="preserve">CHARMER intervention </w:t>
      </w:r>
      <w:r w:rsidR="006F6717" w:rsidRPr="51EE25C1">
        <w:rPr>
          <w:sz w:val="24"/>
        </w:rPr>
        <w:fldChar w:fldCharType="begin"/>
      </w:r>
      <w:r w:rsidR="00FC7A29">
        <w:rPr>
          <w:sz w:val="24"/>
        </w:rPr>
        <w:instrText xml:space="preserve"> ADDIN ZOTERO_ITEM CSL_CITATION {"citationID":"4Pckgk7O","properties":{"formattedCitation":"(25)","plainCitation":"(25)","noteIndex":0},"citationItems":[{"id":"HaMovQnS/LL299ZDx","uris":["http://zotero.org/users/6791840/items/RZIS68B7"],"itemData":{"id":109,"type":"article-journal","container-title":"Age and ageing","issue":"1","note":"publisher: Oxford University Press","page":"102–110","source":"Google Scholar","title":"Development of a hospital deprescribing implementation framework: a focus group study with geriatricians and pharmacists","title-short":"Development of a hospital deprescribing implementation framework","volume":"49","author":[{"family":"Scott","given":"Sion"},{"family":"Twigg","given":"Michael J."},{"family":"Clark","given":"Allan"},{"family":"Farrow","given":"Carol"},{"family":"May","given":"Helen"},{"family":"Patel","given":"Martyn"},{"family":"Taylor","given":"Johanna"},{"family":"Wright","given":"David J."},{"family":"Bhattacharya","given":"Debi"}],"issued":{"date-parts":[["2020"]]}}}],"schema":"https://github.com/citation-style-language/schema/raw/master/csl-citation.json"} </w:instrText>
      </w:r>
      <w:r w:rsidR="006F6717" w:rsidRPr="51EE25C1">
        <w:rPr>
          <w:sz w:val="24"/>
        </w:rPr>
        <w:fldChar w:fldCharType="separate"/>
      </w:r>
      <w:r w:rsidR="00FC7A29">
        <w:rPr>
          <w:rFonts w:cs="Calibri"/>
          <w:sz w:val="24"/>
        </w:rPr>
        <w:t>(25)</w:t>
      </w:r>
      <w:r w:rsidR="006F6717" w:rsidRPr="51EE25C1">
        <w:rPr>
          <w:sz w:val="24"/>
        </w:rPr>
        <w:fldChar w:fldCharType="end"/>
      </w:r>
      <w:r w:rsidR="006F6717">
        <w:rPr>
          <w:sz w:val="24"/>
        </w:rPr>
        <w:t>.</w:t>
      </w:r>
      <w:r w:rsidR="00D44D0B">
        <w:rPr>
          <w:sz w:val="24"/>
        </w:rPr>
        <w:t xml:space="preserve"> </w:t>
      </w:r>
      <w:r w:rsidR="51EE25C1" w:rsidRPr="51EE25C1">
        <w:rPr>
          <w:sz w:val="24"/>
        </w:rPr>
        <w:t>The initially proposed operationalisation of automated deprescribing pop-ups</w:t>
      </w:r>
      <w:r w:rsidR="00B945A2" w:rsidRPr="00B945A2">
        <w:rPr>
          <w:sz w:val="24"/>
        </w:rPr>
        <w:t xml:space="preserve"> </w:t>
      </w:r>
      <w:r w:rsidR="00B945A2" w:rsidRPr="51EE25C1">
        <w:rPr>
          <w:sz w:val="24"/>
        </w:rPr>
        <w:t xml:space="preserve">was selected to address negative beliefs about the consequences of deprescribing </w:t>
      </w:r>
      <w:r w:rsidR="00B945A2" w:rsidRPr="51EE25C1">
        <w:rPr>
          <w:sz w:val="24"/>
        </w:rPr>
        <w:fldChar w:fldCharType="begin"/>
      </w:r>
      <w:r w:rsidR="00FC7A29">
        <w:rPr>
          <w:sz w:val="24"/>
        </w:rPr>
        <w:instrText xml:space="preserve"> ADDIN ZOTERO_ITEM CSL_CITATION {"citationID":"YBrpVhEe","properties":{"formattedCitation":"(9)","plainCitation":"(9)","noteIndex":0},"citationItems":[{"id":"HaMovQnS/WoH6uLMp","uris":["http://zotero.org/users/6791840/items/SAZ9RXJD"],"itemData":{"id":190,"type":"article-journal","container-title":"Age and ageing","issue":"2","note":"publisher: Oxford University Press","page":"581–586","source":"Google Scholar","title":"A practitioner behaviour change intervention for deprescribing in the hospital setting","volume":"50","author":[{"family":"Scott","given":"Sion"},{"family":"May","given":"Helen"},{"family":"Patel","given":"Martyn"},{"family":"Wright","given":"David J."},{"family":"Bhattacharya","given":"Debi"}],"issued":{"date-parts":[["2021"]]}}}],"schema":"https://github.com/citation-style-language/schema/raw/master/csl-citation.json"} </w:instrText>
      </w:r>
      <w:r w:rsidR="00B945A2" w:rsidRPr="51EE25C1">
        <w:rPr>
          <w:sz w:val="24"/>
        </w:rPr>
        <w:fldChar w:fldCharType="separate"/>
      </w:r>
      <w:r w:rsidR="00FC7A29">
        <w:rPr>
          <w:rFonts w:cs="Calibri"/>
          <w:sz w:val="24"/>
        </w:rPr>
        <w:t>(9)</w:t>
      </w:r>
      <w:r w:rsidR="00B945A2" w:rsidRPr="51EE25C1">
        <w:rPr>
          <w:sz w:val="24"/>
        </w:rPr>
        <w:fldChar w:fldCharType="end"/>
      </w:r>
      <w:r w:rsidR="00C53717">
        <w:rPr>
          <w:sz w:val="24"/>
        </w:rPr>
        <w:t xml:space="preserve"> and thus the intended BCT mechanism of action was </w:t>
      </w:r>
      <w:r w:rsidR="51EE25C1" w:rsidRPr="51EE25C1">
        <w:rPr>
          <w:i/>
          <w:iCs/>
          <w:sz w:val="24"/>
        </w:rPr>
        <w:t>salience of consequences</w:t>
      </w:r>
      <w:r w:rsidR="51EE25C1" w:rsidRPr="51EE25C1">
        <w:rPr>
          <w:sz w:val="24"/>
        </w:rPr>
        <w:t xml:space="preserve">. </w:t>
      </w:r>
      <w:r w:rsidR="00C53717">
        <w:rPr>
          <w:sz w:val="24"/>
        </w:rPr>
        <w:t>However,</w:t>
      </w:r>
      <w:r w:rsidR="51EE25C1" w:rsidRPr="51EE25C1">
        <w:rPr>
          <w:sz w:val="24"/>
        </w:rPr>
        <w:t xml:space="preserve"> automatic pop-ups target the </w:t>
      </w:r>
      <w:r w:rsidR="51EE25C1" w:rsidRPr="009A0F7D">
        <w:rPr>
          <w:i/>
          <w:iCs/>
          <w:sz w:val="24"/>
        </w:rPr>
        <w:t>memory, attention and decision processes</w:t>
      </w:r>
      <w:r w:rsidR="51EE25C1" w:rsidRPr="51EE25C1">
        <w:rPr>
          <w:sz w:val="24"/>
        </w:rPr>
        <w:t xml:space="preserve"> mechanism </w:t>
      </w:r>
      <w:r w:rsidR="005A29A1" w:rsidRPr="51EE25C1">
        <w:rPr>
          <w:sz w:val="24"/>
        </w:rPr>
        <w:fldChar w:fldCharType="begin"/>
      </w:r>
      <w:r w:rsidR="00FC7A29">
        <w:rPr>
          <w:sz w:val="24"/>
        </w:rPr>
        <w:instrText xml:space="preserve"> ADDIN ZOTERO_ITEM CSL_CITATION {"citationID":"PylljiSf","properties":{"formattedCitation":"(31)","plainCitation":"(31)","noteIndex":0},"citationItems":[{"id":"HaMovQnS/1GR4Q3NF","uris":["http://zotero.org/users/6791840/items/5IEWQ9CG"],"itemData":{"id":104,"type":"article-journal","container-title":"Implementation Science","issue":"1","note":"publisher: BioMed Central","page":"1–18","source":"Google Scholar","title":"A guide to using the Theoretical Domains Framework of behaviour change to investigate implementation problems","volume":"12","author":[{"family":"Atkins","given":"Lou"},{"family":"Francis","given":"Jill"},{"family":"Islam","given":"Rafat"},{"family":"O’Connor","given":"Denise"},{"family":"Patey","given":"Andrea"},{"family":"Ivers","given":"Noah"},{"family":"Foy","given":"Robbie"},{"family":"Duncan","given":"Eilidh M."},{"family":"Colquhoun","given":"Heather"},{"family":"Grimshaw","given":"Jeremy M."}],"issued":{"date-parts":[["2017"]]}}}],"schema":"https://github.com/citation-style-language/schema/raw/master/csl-citation.json"} </w:instrText>
      </w:r>
      <w:r w:rsidR="005A29A1" w:rsidRPr="51EE25C1">
        <w:rPr>
          <w:sz w:val="24"/>
        </w:rPr>
        <w:fldChar w:fldCharType="separate"/>
      </w:r>
      <w:r w:rsidR="00FC7A29">
        <w:rPr>
          <w:rFonts w:cs="Calibri"/>
          <w:sz w:val="24"/>
        </w:rPr>
        <w:t>(31)</w:t>
      </w:r>
      <w:r w:rsidR="005A29A1" w:rsidRPr="51EE25C1">
        <w:rPr>
          <w:sz w:val="24"/>
        </w:rPr>
        <w:fldChar w:fldCharType="end"/>
      </w:r>
      <w:r w:rsidR="51EE25C1" w:rsidRPr="51EE25C1">
        <w:rPr>
          <w:sz w:val="24"/>
        </w:rPr>
        <w:t xml:space="preserve">. There is a wealth of literature demonstrating that interventions that are designed to prompt a behaviour </w:t>
      </w:r>
      <w:r w:rsidR="004A56BE">
        <w:rPr>
          <w:sz w:val="24"/>
        </w:rPr>
        <w:t>about which</w:t>
      </w:r>
      <w:r w:rsidR="004A56BE" w:rsidRPr="51EE25C1">
        <w:rPr>
          <w:sz w:val="24"/>
        </w:rPr>
        <w:t xml:space="preserve"> </w:t>
      </w:r>
      <w:r w:rsidR="51EE25C1" w:rsidRPr="51EE25C1">
        <w:rPr>
          <w:sz w:val="24"/>
        </w:rPr>
        <w:t xml:space="preserve">people have ingrained reservations are ineffective, including in large deprescribing trials </w:t>
      </w:r>
      <w:r w:rsidR="005A29A1" w:rsidRPr="51EE25C1">
        <w:rPr>
          <w:sz w:val="24"/>
        </w:rPr>
        <w:fldChar w:fldCharType="begin"/>
      </w:r>
      <w:r w:rsidR="0024780E">
        <w:rPr>
          <w:sz w:val="24"/>
        </w:rPr>
        <w:instrText xml:space="preserve"> ADDIN ZOTERO_ITEM CSL_CITATION {"citationID":"qdM0iPSP","properties":{"formattedCitation":"(33,34)","plainCitation":"(33,34)","noteIndex":0},"citationItems":[{"id":"HaMovQnS/b0bMIfB5","uris":["http://zotero.org/users/6791840/items/9XXLGSEA"],"itemData":{"id":278,"type":"article-journal","container-title":"Drugs &amp; Aging","issue":"9","note":"publisher: Springer","page":"703–713","source":"Google Scholar","title":"Factors affecting prescriber implementation of computer-generated medication recommendations in the SENATOR trial: a qualitative study","title-short":"Factors affecting prescriber implementation of computer-generated medication recommendations in the SENATOR trial","volume":"37","author":[{"family":"Dalton","given":"Kieran"},{"family":"O’Mahony","given":"Denis"},{"family":"Cullinan","given":"Shane"},{"family":"Byrne","given":"Stephen"}],"issued":{"date-parts":[["2020"]]}}},{"id":"HaMovQnS/xtPgK4Ad","uris":["http://zotero.org/users/6791840/items/AV7MHHFQ"],"itemData":{"id":232,"type":"article-journal","container-title":"Age and Ageing","issue":"4","note":"publisher: Oxford University Press","page":"605–614","source":"Google Scholar","title":"Prevention of adverse drug reactions in hospitalized older patients with multi-morbidity and polypharmacy: the SENATOR* randomized controlled clinical trial","title-short":"Prevention of adverse drug reactions in hospitalized older patients with multi-morbidity and polypharmacy","volume":"49","author":[{"family":"O'Mahony","given":"Denis"},{"family":"Gudmundsson","given":"Adalsteinn"},{"family":"Soiza","given":"Roy L."},{"family":"Petrovic","given":"Mirko"},{"family":"Cruz-Jentoft","given":"Alfonso Jose"},{"family":"Cherubini","given":"Antonio"},{"family":"Fordham","given":"Richard"},{"family":"Byrne","given":"Stephen"},{"family":"Dahly","given":"Darren"},{"family":"Gallagher","given":"Paul"}],"issued":{"date-parts":[["2020"]]}}}],"schema":"https://github.com/citation-style-language/schema/raw/master/csl-citation.json"} </w:instrText>
      </w:r>
      <w:r w:rsidR="005A29A1" w:rsidRPr="51EE25C1">
        <w:rPr>
          <w:sz w:val="24"/>
        </w:rPr>
        <w:fldChar w:fldCharType="separate"/>
      </w:r>
      <w:r w:rsidR="0024780E">
        <w:rPr>
          <w:rFonts w:cs="Calibri"/>
          <w:sz w:val="24"/>
        </w:rPr>
        <w:t>(33,34)</w:t>
      </w:r>
      <w:r w:rsidR="005A29A1" w:rsidRPr="51EE25C1">
        <w:rPr>
          <w:sz w:val="24"/>
        </w:rPr>
        <w:fldChar w:fldCharType="end"/>
      </w:r>
      <w:r w:rsidR="51EE25C1" w:rsidRPr="51EE25C1">
        <w:rPr>
          <w:sz w:val="24"/>
        </w:rPr>
        <w:t xml:space="preserve">. </w:t>
      </w:r>
      <w:r w:rsidR="004A6AA6" w:rsidRPr="00485304">
        <w:rPr>
          <w:sz w:val="24"/>
        </w:rPr>
        <w:t>The proposal to operationalise</w:t>
      </w:r>
      <w:r w:rsidR="05BBC1FE" w:rsidRPr="00485304">
        <w:rPr>
          <w:sz w:val="24"/>
        </w:rPr>
        <w:t xml:space="preserve"> </w:t>
      </w:r>
      <w:r w:rsidR="05BBC1FE" w:rsidRPr="00485304">
        <w:rPr>
          <w:i/>
          <w:iCs/>
          <w:sz w:val="24"/>
        </w:rPr>
        <w:t>Salience of consequences</w:t>
      </w:r>
      <w:r w:rsidR="05BBC1FE" w:rsidRPr="00485304">
        <w:rPr>
          <w:sz w:val="24"/>
        </w:rPr>
        <w:t xml:space="preserve"> </w:t>
      </w:r>
      <w:r w:rsidR="2E8AC5B9" w:rsidRPr="00485304">
        <w:rPr>
          <w:sz w:val="24"/>
        </w:rPr>
        <w:t>as</w:t>
      </w:r>
      <w:r w:rsidR="21271C16" w:rsidRPr="00485304">
        <w:rPr>
          <w:sz w:val="24"/>
        </w:rPr>
        <w:t xml:space="preserve"> a</w:t>
      </w:r>
      <w:r w:rsidR="5D5A0172" w:rsidRPr="00485304">
        <w:rPr>
          <w:sz w:val="24"/>
        </w:rPr>
        <w:t xml:space="preserve"> forum </w:t>
      </w:r>
      <w:r w:rsidR="5694012A" w:rsidRPr="00485304">
        <w:rPr>
          <w:sz w:val="24"/>
        </w:rPr>
        <w:t>between primary and secondary care</w:t>
      </w:r>
      <w:r w:rsidR="00740F6F" w:rsidRPr="00485304">
        <w:rPr>
          <w:sz w:val="24"/>
        </w:rPr>
        <w:t xml:space="preserve"> was</w:t>
      </w:r>
      <w:r w:rsidR="008C6350">
        <w:rPr>
          <w:sz w:val="24"/>
        </w:rPr>
        <w:t xml:space="preserve"> also</w:t>
      </w:r>
      <w:r w:rsidR="00740F6F" w:rsidRPr="00485304">
        <w:rPr>
          <w:sz w:val="24"/>
        </w:rPr>
        <w:t xml:space="preserve"> dropped </w:t>
      </w:r>
      <w:r w:rsidR="00566C3C" w:rsidRPr="009A0F7D">
        <w:rPr>
          <w:sz w:val="24"/>
        </w:rPr>
        <w:t xml:space="preserve">as it did </w:t>
      </w:r>
      <w:r w:rsidR="007B715C" w:rsidRPr="00485304">
        <w:rPr>
          <w:sz w:val="24"/>
        </w:rPr>
        <w:t>not operat</w:t>
      </w:r>
      <w:r w:rsidR="008C6350">
        <w:rPr>
          <w:sz w:val="24"/>
        </w:rPr>
        <w:t>e</w:t>
      </w:r>
      <w:r w:rsidR="007B715C" w:rsidRPr="00485304">
        <w:rPr>
          <w:sz w:val="24"/>
        </w:rPr>
        <w:t xml:space="preserve"> via the intended mechanism</w:t>
      </w:r>
      <w:r w:rsidR="21271C16" w:rsidRPr="00485304">
        <w:rPr>
          <w:sz w:val="24"/>
        </w:rPr>
        <w:t xml:space="preserve"> </w:t>
      </w:r>
      <w:r w:rsidR="5D5A0172" w:rsidRPr="00485304">
        <w:rPr>
          <w:sz w:val="24"/>
        </w:rPr>
        <w:t>(</w:t>
      </w:r>
      <w:r w:rsidR="59D38F51" w:rsidRPr="00485304">
        <w:rPr>
          <w:sz w:val="24"/>
        </w:rPr>
        <w:t>16</w:t>
      </w:r>
      <w:r w:rsidR="5D5A0172" w:rsidRPr="00485304">
        <w:rPr>
          <w:sz w:val="24"/>
        </w:rPr>
        <w:t>).</w:t>
      </w:r>
      <w:r w:rsidR="5D5A0172" w:rsidRPr="51A42684">
        <w:rPr>
          <w:sz w:val="24"/>
        </w:rPr>
        <w:t xml:space="preserve"> </w:t>
      </w:r>
    </w:p>
    <w:p w14:paraId="69FBD266" w14:textId="6E7B2504" w:rsidR="004C58E4" w:rsidRDefault="020C191D" w:rsidP="020C191D">
      <w:pPr>
        <w:spacing w:line="480" w:lineRule="auto"/>
        <w:rPr>
          <w:sz w:val="24"/>
        </w:rPr>
      </w:pPr>
      <w:r w:rsidRPr="020C191D">
        <w:rPr>
          <w:sz w:val="24"/>
        </w:rPr>
        <w:t>The workshop discussions did however highlight the potential and important role of primary care in CHARMER; namely, how any increase in hospital proactive deprescribing due to the CHARMER intervention will have an impact on primary care. In response to the workshop feedback, and in order to understand the effects of CHARMER on primary care, we established a Primary Care Advisory Group</w:t>
      </w:r>
      <w:r w:rsidR="00CC7C63">
        <w:rPr>
          <w:sz w:val="24"/>
        </w:rPr>
        <w:t xml:space="preserve"> consisting of </w:t>
      </w:r>
      <w:r w:rsidR="00057C12">
        <w:rPr>
          <w:sz w:val="24"/>
        </w:rPr>
        <w:t xml:space="preserve">chief and senior clinical </w:t>
      </w:r>
      <w:r w:rsidR="00057C12">
        <w:rPr>
          <w:sz w:val="24"/>
        </w:rPr>
        <w:lastRenderedPageBreak/>
        <w:t xml:space="preserve">pharmacists, </w:t>
      </w:r>
      <w:r w:rsidR="00C74A3B">
        <w:rPr>
          <w:sz w:val="24"/>
        </w:rPr>
        <w:t>medical directors and senior general practitioners.</w:t>
      </w:r>
      <w:r w:rsidRPr="020C191D">
        <w:rPr>
          <w:sz w:val="24"/>
        </w:rPr>
        <w:t xml:space="preserve"> The group will meet twice yearly at key time points in the CHARMER project. The focus of the first meetings are to ensure that any increase in hospital proactive deprescribing activity is effectively communicated with primary care.</w:t>
      </w:r>
    </w:p>
    <w:p w14:paraId="6A04DC96" w14:textId="4AD77274" w:rsidR="00F32AF6" w:rsidRDefault="020C191D" w:rsidP="00B82B2D">
      <w:pPr>
        <w:spacing w:line="480" w:lineRule="auto"/>
        <w:rPr>
          <w:sz w:val="24"/>
        </w:rPr>
      </w:pPr>
      <w:r w:rsidRPr="020C191D">
        <w:rPr>
          <w:sz w:val="24"/>
        </w:rPr>
        <w:t xml:space="preserve">It is widely recognised that implementation in a complex system such as a hospital organisation requires participation and action from people other than the intervention target audience </w:t>
      </w:r>
      <w:r w:rsidR="006F74A5" w:rsidRPr="020C191D">
        <w:rPr>
          <w:sz w:val="24"/>
        </w:rPr>
        <w:fldChar w:fldCharType="begin"/>
      </w:r>
      <w:r w:rsidR="0024780E">
        <w:rPr>
          <w:sz w:val="24"/>
        </w:rPr>
        <w:instrText xml:space="preserve"> ADDIN ZOTERO_ITEM CSL_CITATION {"citationID":"WL3FwpAe","properties":{"formattedCitation":"(35)","plainCitation":"(35)","noteIndex":0},"citationItems":[{"id":"HaMovQnS/5wUoL4H7","uris":["http://zotero.org/users/6791840/items/IUFYKJ5R"],"itemData":{"id":341,"type":"article-journal","abstract":"Theories are important tools in the social and natural sciences. The methods by which they are derived are rarely described and discussed. Normalization Process Theory explains how new technologies, ways of acting, and ways of working become routinely embedded in everyday practice, and has applications in the study of implementation processes. This paper describes the process by which it was built.","container-title":"Implementation Science","DOI":"10.1186/1748-5908-4-29","ISSN":"1748-5908","issue":"1","journalAbbreviation":"Implementation Science","page":"29","source":"BioMed Central","title":"Development of a theory of implementation and integration: Normalization Process Theory","title-short":"Development of a theory of implementation and integration","volume":"4","author":[{"family":"May","given":"Carl R."},{"family":"Mair","given":"Frances"},{"family":"Finch","given":"Tracy"},{"family":"MacFarlane","given":"Anne"},{"family":"Dowrick","given":"Christopher"},{"family":"Treweek","given":"Shaun"},{"family":"Rapley","given":"Tim"},{"family":"Ballini","given":"Luciana"},{"family":"Ong","given":"Bie Nio"},{"family":"Rogers","given":"Anne"},{"family":"Murray","given":"Elizabeth"},{"family":"Elwyn","given":"Glyn"},{"family":"Légaré","given":"France"},{"family":"Gunn","given":"Jane"},{"family":"Montori","given":"Victor M."}],"issued":{"date-parts":[["2009",5,21]]}}}],"schema":"https://github.com/citation-style-language/schema/raw/master/csl-citation.json"} </w:instrText>
      </w:r>
      <w:r w:rsidR="006F74A5" w:rsidRPr="020C191D">
        <w:rPr>
          <w:sz w:val="24"/>
        </w:rPr>
        <w:fldChar w:fldCharType="separate"/>
      </w:r>
      <w:r w:rsidR="0024780E">
        <w:rPr>
          <w:rFonts w:cs="Calibri"/>
          <w:sz w:val="24"/>
        </w:rPr>
        <w:t>(35)</w:t>
      </w:r>
      <w:r w:rsidR="006F74A5" w:rsidRPr="020C191D">
        <w:rPr>
          <w:sz w:val="24"/>
        </w:rPr>
        <w:fldChar w:fldCharType="end"/>
      </w:r>
      <w:r w:rsidRPr="020C191D">
        <w:rPr>
          <w:sz w:val="24"/>
        </w:rPr>
        <w:t xml:space="preserve">. Co-designing the CHARMER intervention with geriatricians and pharmacists ensures acceptability to the target audience </w:t>
      </w:r>
      <w:r w:rsidR="006F74A5" w:rsidRPr="020C191D">
        <w:rPr>
          <w:sz w:val="24"/>
        </w:rPr>
        <w:fldChar w:fldCharType="begin"/>
      </w:r>
      <w:r w:rsidR="0024780E">
        <w:rPr>
          <w:sz w:val="24"/>
        </w:rPr>
        <w:instrText xml:space="preserve"> ADDIN ZOTERO_ITEM CSL_CITATION {"citationID":"4oWcv2wp","properties":{"formattedCitation":"(36)","plainCitation":"(36)","noteIndex":0},"citationItems":[{"id":"HaMovQnS/oMtmvvQM","uris":["http://zotero.org/users/6791840/items/WUVLTE48"],"itemData":{"id":338,"type":"article-journal","container-title":"The Design Journal","issue":"2","note":"publisher: Taylor &amp; Francis","page":"227–248","source":"Google Scholar","title":"Experience-based co-design and healthcare improvement: realizing participatory design in the public sector","title-short":"Experience-based co-design and healthcare improvement","volume":"18","author":[{"family":"Donetto","given":"Sara"},{"family":"Pierri","given":"Paola"},{"family":"Tsianakas","given":"Vicki"},{"family":"Robert","given":"Glenn"}],"issued":{"date-parts":[["2015"]]}}}],"schema":"https://github.com/citation-style-language/schema/raw/master/csl-citation.json"} </w:instrText>
      </w:r>
      <w:r w:rsidR="006F74A5" w:rsidRPr="020C191D">
        <w:rPr>
          <w:sz w:val="24"/>
        </w:rPr>
        <w:fldChar w:fldCharType="separate"/>
      </w:r>
      <w:r w:rsidR="0024780E">
        <w:rPr>
          <w:rFonts w:cs="Calibri"/>
          <w:sz w:val="24"/>
        </w:rPr>
        <w:t>(36)</w:t>
      </w:r>
      <w:r w:rsidR="006F74A5" w:rsidRPr="020C191D">
        <w:rPr>
          <w:sz w:val="24"/>
        </w:rPr>
        <w:fldChar w:fldCharType="end"/>
      </w:r>
      <w:r w:rsidRPr="020C191D">
        <w:rPr>
          <w:sz w:val="24"/>
        </w:rPr>
        <w:t xml:space="preserve">. Permitting hospitals to invite other key stakeholders at their discretion to co-design the intervention also enabled identification of who else needs to be involved and what work they would need to do to support CHARMER intervention implementation </w:t>
      </w:r>
      <w:r w:rsidR="006F74A5" w:rsidRPr="020C191D">
        <w:rPr>
          <w:sz w:val="24"/>
        </w:rPr>
        <w:fldChar w:fldCharType="begin"/>
      </w:r>
      <w:r w:rsidR="0024780E">
        <w:rPr>
          <w:sz w:val="24"/>
        </w:rPr>
        <w:instrText xml:space="preserve"> ADDIN ZOTERO_ITEM CSL_CITATION {"citationID":"YIWNnFpD","properties":{"formattedCitation":"(37)","plainCitation":"(37)","noteIndex":0},"citationItems":[{"id":"HaMovQnS/KPL1Bm0x","uris":["http://zotero.org/users/6791840/items/XCLFRB33"],"itemData":{"id":344,"type":"article-journal","abstract":"The past decade has seen considerable interest in the development and evaluation of complex interventions to improve health. Such interventions can only have a significant impact on health and health care if they are shown to be effective when tested, are capable of being widely implemented and can be normalised into routine practice. To date, there is still a problematic gap between research and implementation. The Normalisation Process Theory (NPT) addresses the factors needed for successful implementation and integration of interventions into routine work (normalisation).","container-title":"BMC Medicine","DOI":"10.1186/1741-7015-8-63","ISSN":"1741-7015","issue":"1","journalAbbreviation":"BMC Med","language":"en","page":"63","source":"Springer Link","title":"Normalisation process theory: a framework for developing, evaluating and implementing complex interventions","title-short":"Normalisation process theory","volume":"8","author":[{"family":"Murray","given":"Elizabeth"},{"family":"Treweek","given":"Shaun"},{"family":"Pope","given":"Catherine"},{"family":"MacFarlane","given":"Anne"},{"family":"Ballini","given":"Luciana"},{"family":"Dowrick","given":"Christopher"},{"family":"Finch","given":"Tracy"},{"family":"Kennedy","given":"Anne"},{"family":"Mair","given":"Frances"},{"family":"O'Donnell","given":"Catherine"},{"family":"Ong","given":"Bie Nio"},{"family":"Rapley","given":"Tim"},{"family":"Rogers","given":"Anne"},{"family":"May","given":"Carl"}],"issued":{"date-parts":[["2010",10,20]]}}}],"schema":"https://github.com/citation-style-language/schema/raw/master/csl-citation.json"} </w:instrText>
      </w:r>
      <w:r w:rsidR="006F74A5" w:rsidRPr="020C191D">
        <w:rPr>
          <w:sz w:val="24"/>
        </w:rPr>
        <w:fldChar w:fldCharType="separate"/>
      </w:r>
      <w:r w:rsidR="0024780E">
        <w:rPr>
          <w:rFonts w:cs="Calibri"/>
          <w:sz w:val="24"/>
        </w:rPr>
        <w:t>(37)</w:t>
      </w:r>
      <w:r w:rsidR="006F74A5" w:rsidRPr="020C191D">
        <w:rPr>
          <w:sz w:val="24"/>
        </w:rPr>
        <w:fldChar w:fldCharType="end"/>
      </w:r>
      <w:r w:rsidRPr="020C191D">
        <w:rPr>
          <w:sz w:val="24"/>
        </w:rPr>
        <w:t xml:space="preserve">. Together with representatives from the target audience, these other key stakeholders constitute a local implementation team, whose responsibility is to agree local adaptations and oversee implementation </w:t>
      </w:r>
      <w:r w:rsidR="006F74A5" w:rsidRPr="020C191D">
        <w:rPr>
          <w:sz w:val="24"/>
        </w:rPr>
        <w:fldChar w:fldCharType="begin"/>
      </w:r>
      <w:r w:rsidR="0024780E">
        <w:rPr>
          <w:sz w:val="24"/>
        </w:rPr>
        <w:instrText xml:space="preserve"> ADDIN ZOTERO_ITEM CSL_CITATION {"citationID":"Ajc5OR5F","properties":{"formattedCitation":"(38)","plainCitation":"(38)","noteIndex":0},"citationItems":[{"id":"HaMovQnS/EAHpiBvC","uris":["http://zotero.org/users/6791840/items/WWK6IZ9Y"],"itemData":{"id":353,"type":"article-journal","container-title":"Journal of nursing care quality","issue":"4","note":"publisher: LWW","page":"297–304","source":"Google Scholar","title":"The PARIHS framework—a framework for guiding the implementation of evidence-based practice","volume":"19","author":[{"family":"Rycroft-Malone","given":"Jo"}],"issued":{"date-parts":[["2004"]]}}}],"schema":"https://github.com/citation-style-language/schema/raw/master/csl-citation.json"} </w:instrText>
      </w:r>
      <w:r w:rsidR="006F74A5" w:rsidRPr="020C191D">
        <w:rPr>
          <w:sz w:val="24"/>
        </w:rPr>
        <w:fldChar w:fldCharType="separate"/>
      </w:r>
      <w:r w:rsidR="0024780E">
        <w:rPr>
          <w:rFonts w:cs="Calibri"/>
          <w:sz w:val="24"/>
        </w:rPr>
        <w:t>(38)</w:t>
      </w:r>
      <w:r w:rsidR="006F74A5" w:rsidRPr="020C191D">
        <w:rPr>
          <w:sz w:val="24"/>
        </w:rPr>
        <w:fldChar w:fldCharType="end"/>
      </w:r>
      <w:r w:rsidRPr="020C191D">
        <w:rPr>
          <w:sz w:val="24"/>
        </w:rPr>
        <w:t xml:space="preserve">. </w:t>
      </w:r>
    </w:p>
    <w:p w14:paraId="00EACE5F" w14:textId="12328CD4" w:rsidR="00CA3BC5" w:rsidRDefault="73CE737B" w:rsidP="00133BD8">
      <w:pPr>
        <w:spacing w:line="480" w:lineRule="auto"/>
        <w:rPr>
          <w:sz w:val="24"/>
        </w:rPr>
      </w:pPr>
      <w:r w:rsidRPr="51A42684">
        <w:rPr>
          <w:sz w:val="24"/>
        </w:rPr>
        <w:t>The workshop for pharmacists, video for geriatricians</w:t>
      </w:r>
      <w:r w:rsidR="5C0B03CA" w:rsidRPr="51A42684">
        <w:rPr>
          <w:sz w:val="24"/>
        </w:rPr>
        <w:t>,</w:t>
      </w:r>
      <w:r w:rsidRPr="51A42684">
        <w:rPr>
          <w:sz w:val="24"/>
        </w:rPr>
        <w:t xml:space="preserve"> and </w:t>
      </w:r>
      <w:r w:rsidR="4D928B63" w:rsidRPr="51A42684">
        <w:rPr>
          <w:sz w:val="24"/>
        </w:rPr>
        <w:t xml:space="preserve">the </w:t>
      </w:r>
      <w:r w:rsidRPr="51A42684">
        <w:rPr>
          <w:sz w:val="24"/>
        </w:rPr>
        <w:t xml:space="preserve">dashboard </w:t>
      </w:r>
      <w:r w:rsidR="63C8E5EE" w:rsidRPr="51A42684">
        <w:rPr>
          <w:sz w:val="24"/>
        </w:rPr>
        <w:t>have been co-design</w:t>
      </w:r>
      <w:r w:rsidR="0C149E59" w:rsidRPr="51A42684">
        <w:rPr>
          <w:sz w:val="24"/>
        </w:rPr>
        <w:t>ed</w:t>
      </w:r>
      <w:r w:rsidR="63C8E5EE" w:rsidRPr="51A42684">
        <w:rPr>
          <w:sz w:val="24"/>
        </w:rPr>
        <w:t xml:space="preserve"> as</w:t>
      </w:r>
      <w:r w:rsidRPr="51A42684">
        <w:rPr>
          <w:sz w:val="24"/>
        </w:rPr>
        <w:t xml:space="preserve"> components of the CHARMER intervention</w:t>
      </w:r>
      <w:r w:rsidR="64A9989F" w:rsidRPr="78309AD8">
        <w:rPr>
          <w:sz w:val="24"/>
        </w:rPr>
        <w:t xml:space="preserve"> that have limited flexibility for implementation</w:t>
      </w:r>
      <w:r w:rsidRPr="78309AD8">
        <w:rPr>
          <w:sz w:val="24"/>
        </w:rPr>
        <w:t>.</w:t>
      </w:r>
      <w:r w:rsidRPr="51A42684">
        <w:rPr>
          <w:sz w:val="24"/>
        </w:rPr>
        <w:t xml:space="preserve"> However, there is flexibility in how </w:t>
      </w:r>
      <w:r w:rsidR="6EC5B5BA" w:rsidRPr="51A42684">
        <w:rPr>
          <w:sz w:val="24"/>
        </w:rPr>
        <w:t xml:space="preserve">the </w:t>
      </w:r>
      <w:r w:rsidR="3EB934A9" w:rsidRPr="51A42684">
        <w:rPr>
          <w:sz w:val="24"/>
        </w:rPr>
        <w:t xml:space="preserve">regular </w:t>
      </w:r>
      <w:r w:rsidR="6EC5B5BA" w:rsidRPr="51A42684">
        <w:rPr>
          <w:sz w:val="24"/>
        </w:rPr>
        <w:t>briefing</w:t>
      </w:r>
      <w:r w:rsidR="3FDFB450" w:rsidRPr="51A42684">
        <w:rPr>
          <w:sz w:val="24"/>
        </w:rPr>
        <w:t>s</w:t>
      </w:r>
      <w:r w:rsidR="6EC5B5BA" w:rsidRPr="51A42684">
        <w:rPr>
          <w:sz w:val="24"/>
        </w:rPr>
        <w:t xml:space="preserve"> and hospital action plan</w:t>
      </w:r>
      <w:r w:rsidRPr="51A42684">
        <w:rPr>
          <w:sz w:val="24"/>
        </w:rPr>
        <w:t xml:space="preserve"> can be </w:t>
      </w:r>
      <w:r w:rsidR="19C3ED55" w:rsidRPr="51A42684">
        <w:rPr>
          <w:sz w:val="24"/>
        </w:rPr>
        <w:t>operationalised</w:t>
      </w:r>
      <w:r w:rsidRPr="51A42684">
        <w:rPr>
          <w:sz w:val="24"/>
        </w:rPr>
        <w:t xml:space="preserve"> by hospitals</w:t>
      </w:r>
      <w:r w:rsidR="19C3ED55" w:rsidRPr="51A42684">
        <w:rPr>
          <w:sz w:val="24"/>
        </w:rPr>
        <w:t xml:space="preserve"> in recognition of the diversity of resource available</w:t>
      </w:r>
      <w:r w:rsidR="1AFEF9CB" w:rsidRPr="51A42684">
        <w:rPr>
          <w:sz w:val="24"/>
        </w:rPr>
        <w:t xml:space="preserve"> </w:t>
      </w:r>
      <w:r w:rsidR="00A43107" w:rsidRPr="51A42684">
        <w:rPr>
          <w:sz w:val="24"/>
        </w:rPr>
        <w:fldChar w:fldCharType="begin"/>
      </w:r>
      <w:r w:rsidR="00FC7A29">
        <w:rPr>
          <w:sz w:val="24"/>
        </w:rPr>
        <w:instrText xml:space="preserve"> ADDIN ZOTERO_ITEM CSL_CITATION {"citationID":"ANRJMjc5","properties":{"formattedCitation":"(17)","plainCitation":"(17)","noteIndex":0},"citationItems":[{"id":"HaMovQnS/G0MqMZPp","uris":["http://zotero.org/users/6791840/items/HE9PHCJP"],"itemData":{"id":496,"type":"article-journal","abstract":"Objectives: To discuss methods of preservation of treatment fidelity in health behavior change trials conducted in public health contexts. Methods: The treatment fidelity framework provided by the National Institutes of Health's Behavioral Change Consortium includes five domains of treatment fidelity (Study Design, Training, Delivery, Receipt, and Enactment). A measure of treatment fidelity was previously developed and validated using these categories. Results: Strategies for assessment, monitoring, and enhancing treatment fidelity within each of the five treatment fidelity domains are discussed. The previously created measure of treatment fidelity is updated to include additional items on selecting providers, additional confounders, theory testing, and multicultural considerations. Conclusions: Implementation of a treatment fidelity plan may require extra staff time and costs. However, the economic and scientific costs of lack of attention to treatment fidelity are far greater than the costs of treatment fidelity implementation. Maintaining high levels of treatment fidelity with flexible adaptation according to setting, provider, and patient is the goal for public health trials.","container-title":"Journal of Public Health Dentistry","DOI":"10.1111/j.1752-7325.2011.00233.x","ISSN":"1752-7325","issue":"s1","language":"en","note":"_eprint: https://onlinelibrary.wiley.com/doi/pdf/10.1111/j.1752-7325.2011.00233.x","page":"S52-S63","source":"Wiley Online Library","title":"The assessment, monitoring, and enhancement of treatment fidelity in public health clinical trials","volume":"71","author":[{"family":"Borrelli","given":"Belinda"}],"issued":{"date-parts":[["2011"]]}}}],"schema":"https://github.com/citation-style-language/schema/raw/master/csl-citation.json"} </w:instrText>
      </w:r>
      <w:r w:rsidR="00A43107" w:rsidRPr="51A42684">
        <w:rPr>
          <w:sz w:val="24"/>
        </w:rPr>
        <w:fldChar w:fldCharType="separate"/>
      </w:r>
      <w:r w:rsidR="00FC7A29">
        <w:rPr>
          <w:rFonts w:cs="Calibri"/>
          <w:sz w:val="24"/>
        </w:rPr>
        <w:t>(17)</w:t>
      </w:r>
      <w:r w:rsidR="00A43107" w:rsidRPr="51A42684">
        <w:rPr>
          <w:sz w:val="24"/>
        </w:rPr>
        <w:fldChar w:fldCharType="end"/>
      </w:r>
      <w:r w:rsidRPr="51A42684">
        <w:rPr>
          <w:sz w:val="24"/>
        </w:rPr>
        <w:t xml:space="preserve">. </w:t>
      </w:r>
      <w:r w:rsidR="765CF0EC" w:rsidRPr="51A42684">
        <w:rPr>
          <w:sz w:val="24"/>
        </w:rPr>
        <w:t xml:space="preserve">The </w:t>
      </w:r>
      <w:r w:rsidR="66AAF52C" w:rsidRPr="51A42684">
        <w:rPr>
          <w:sz w:val="24"/>
        </w:rPr>
        <w:t xml:space="preserve">regular briefing can be </w:t>
      </w:r>
      <w:r w:rsidR="485C2E28" w:rsidRPr="51A42684">
        <w:rPr>
          <w:sz w:val="24"/>
        </w:rPr>
        <w:t>fulfilled by</w:t>
      </w:r>
      <w:r w:rsidR="66AAF52C" w:rsidRPr="51A42684">
        <w:rPr>
          <w:sz w:val="24"/>
        </w:rPr>
        <w:t xml:space="preserve"> pharmacists attending multidisciplinary ward rounds if this is already standard practice. Where it is not, </w:t>
      </w:r>
      <w:r w:rsidR="485C2E28" w:rsidRPr="51A42684">
        <w:rPr>
          <w:sz w:val="24"/>
        </w:rPr>
        <w:t>a regular protected time slot between a pharmacist and geriatrician is also permitted. The latter</w:t>
      </w:r>
      <w:r w:rsidR="70C71FFF" w:rsidRPr="51A42684">
        <w:rPr>
          <w:sz w:val="24"/>
        </w:rPr>
        <w:t xml:space="preserve"> also</w:t>
      </w:r>
      <w:r w:rsidR="485C2E28" w:rsidRPr="51A42684">
        <w:rPr>
          <w:sz w:val="24"/>
        </w:rPr>
        <w:t xml:space="preserve"> circumvents the</w:t>
      </w:r>
      <w:r w:rsidR="70C71FFF" w:rsidRPr="51A42684">
        <w:rPr>
          <w:sz w:val="24"/>
        </w:rPr>
        <w:t xml:space="preserve"> barrier that </w:t>
      </w:r>
      <w:r w:rsidR="19C3ED55" w:rsidRPr="51A42684">
        <w:rPr>
          <w:sz w:val="24"/>
        </w:rPr>
        <w:t xml:space="preserve">some </w:t>
      </w:r>
      <w:r w:rsidR="70C71FFF" w:rsidRPr="51A42684">
        <w:rPr>
          <w:sz w:val="24"/>
        </w:rPr>
        <w:t xml:space="preserve">pharmacists </w:t>
      </w:r>
      <w:r w:rsidR="19C3ED55" w:rsidRPr="51A42684">
        <w:rPr>
          <w:sz w:val="24"/>
        </w:rPr>
        <w:t>do</w:t>
      </w:r>
      <w:r w:rsidR="3390760B" w:rsidRPr="51A42684">
        <w:rPr>
          <w:sz w:val="24"/>
        </w:rPr>
        <w:t xml:space="preserve"> </w:t>
      </w:r>
      <w:r w:rsidR="19C3ED55" w:rsidRPr="51A42684">
        <w:rPr>
          <w:sz w:val="24"/>
        </w:rPr>
        <w:t>n</w:t>
      </w:r>
      <w:r w:rsidR="3390760B" w:rsidRPr="51A42684">
        <w:rPr>
          <w:sz w:val="24"/>
        </w:rPr>
        <w:t>o</w:t>
      </w:r>
      <w:r w:rsidR="19C3ED55" w:rsidRPr="51A42684">
        <w:rPr>
          <w:sz w:val="24"/>
        </w:rPr>
        <w:t>t</w:t>
      </w:r>
      <w:r w:rsidR="0FF5565B" w:rsidRPr="51A42684">
        <w:rPr>
          <w:sz w:val="24"/>
        </w:rPr>
        <w:t xml:space="preserve"> feel </w:t>
      </w:r>
      <w:r w:rsidR="58C8A76C" w:rsidRPr="51A42684">
        <w:rPr>
          <w:sz w:val="24"/>
        </w:rPr>
        <w:t>confident to contribute to a multidisciplinary ward round without prior training.</w:t>
      </w:r>
      <w:r w:rsidR="19C3ED55" w:rsidRPr="51A42684">
        <w:rPr>
          <w:sz w:val="24"/>
        </w:rPr>
        <w:t xml:space="preserve"> Similarly, t</w:t>
      </w:r>
      <w:r w:rsidRPr="51A42684">
        <w:rPr>
          <w:sz w:val="24"/>
        </w:rPr>
        <w:t xml:space="preserve">he hospital action plan can either be established at the organisational level, which may be more effective, or at the departmental </w:t>
      </w:r>
      <w:r w:rsidRPr="51A42684">
        <w:rPr>
          <w:sz w:val="24"/>
        </w:rPr>
        <w:lastRenderedPageBreak/>
        <w:t>level, which</w:t>
      </w:r>
      <w:r w:rsidR="19C3ED55" w:rsidRPr="51A42684">
        <w:rPr>
          <w:sz w:val="24"/>
        </w:rPr>
        <w:t xml:space="preserve"> is likely to be more feasible. This scope for some adaptation is necessary when developing scalable interventions because it permits local contexts to implement according to what is achievable with the resources available </w:t>
      </w:r>
      <w:r w:rsidR="00A43107" w:rsidRPr="51A42684">
        <w:rPr>
          <w:sz w:val="24"/>
        </w:rPr>
        <w:fldChar w:fldCharType="begin"/>
      </w:r>
      <w:r w:rsidR="0024780E">
        <w:rPr>
          <w:sz w:val="24"/>
        </w:rPr>
        <w:instrText xml:space="preserve"> ADDIN ZOTERO_ITEM CSL_CITATION {"citationID":"Muep5UQs","properties":{"formattedCitation":"(39)","plainCitation":"(39)","noteIndex":0},"citationItems":[{"id":"HaMovQnS/FKzQ5i6C","uris":["http://zotero.org/users/6791840/items/TVF43R7J"],"itemData":{"id":348,"type":"article-journal","container-title":"Health promotion practice","issue":"2","note":"publisher: Sage Publications Sage CA: Los Angeles, CA","page":"275–282","source":"Google Scholar","title":"Implementers’ Perspectives on Fidelity of Implementation: “Teach Every Single Part” or “Be Right With the Curriculum”?","title-short":"Implementers’ Perspectives on Fidelity of Implementation","volume":"18","author":[{"family":"Cutbush","given":"Stacey"},{"family":"Gibbs","given":"Deborah"},{"family":"Krieger","given":"Kathleen"},{"family":"Clinton-Sherrod","given":"Monique"},{"family":"Miller","given":"Shari"}],"issued":{"date-parts":[["2017"]]}}}],"schema":"https://github.com/citation-style-language/schema/raw/master/csl-citation.json"} </w:instrText>
      </w:r>
      <w:r w:rsidR="00A43107" w:rsidRPr="51A42684">
        <w:rPr>
          <w:sz w:val="24"/>
        </w:rPr>
        <w:fldChar w:fldCharType="separate"/>
      </w:r>
      <w:r w:rsidR="0024780E">
        <w:rPr>
          <w:rFonts w:cs="Calibri"/>
          <w:sz w:val="24"/>
        </w:rPr>
        <w:t>(39)</w:t>
      </w:r>
      <w:r w:rsidR="00A43107" w:rsidRPr="51A42684">
        <w:rPr>
          <w:sz w:val="24"/>
        </w:rPr>
        <w:fldChar w:fldCharType="end"/>
      </w:r>
      <w:r w:rsidR="19C3ED55" w:rsidRPr="51A42684">
        <w:rPr>
          <w:sz w:val="24"/>
        </w:rPr>
        <w:t xml:space="preserve">. Moreover, by permitting local ownership of the intervention, adaptation increases the likelihood that the implementation is sustained </w:t>
      </w:r>
      <w:r w:rsidR="00A43107" w:rsidRPr="51A42684">
        <w:rPr>
          <w:sz w:val="24"/>
        </w:rPr>
        <w:fldChar w:fldCharType="begin"/>
      </w:r>
      <w:r w:rsidR="0024780E">
        <w:rPr>
          <w:sz w:val="24"/>
        </w:rPr>
        <w:instrText xml:space="preserve"> ADDIN ZOTERO_ITEM CSL_CITATION {"citationID":"RUfly71N","properties":{"formattedCitation":"(40)","plainCitation":"(40)","noteIndex":0},"citationItems":[{"id":"HaMovQnS/OOmY6u3v","uris":["http://zotero.org/users/6791840/items/XVGLHL7V"],"itemData":{"id":351,"type":"article-journal","container-title":"Implementation Science","issue":"1","note":"publisher: BioMed Central","page":"1–12","source":"Google Scholar","title":"Evidence-based intervention sustainability strategies: a systematic review","title-short":"Evidence-based intervention sustainability strategies","volume":"14","author":[{"family":"Hailemariam","given":"Maji"},{"family":"Bustos","given":"Tatiana"},{"family":"Montgomery","given":"Barrett"},{"family":"Barajas","given":"Rolando"},{"family":"Evans","given":"Luther B."},{"family":"Drahota","given":"Amy"}],"issued":{"date-parts":[["2019"]]}}}],"schema":"https://github.com/citation-style-language/schema/raw/master/csl-citation.json"} </w:instrText>
      </w:r>
      <w:r w:rsidR="00A43107" w:rsidRPr="51A42684">
        <w:rPr>
          <w:sz w:val="24"/>
        </w:rPr>
        <w:fldChar w:fldCharType="separate"/>
      </w:r>
      <w:r w:rsidR="0024780E">
        <w:rPr>
          <w:rFonts w:cs="Calibri"/>
          <w:sz w:val="24"/>
        </w:rPr>
        <w:t>(40)</w:t>
      </w:r>
      <w:r w:rsidR="00A43107" w:rsidRPr="51A42684">
        <w:rPr>
          <w:sz w:val="24"/>
        </w:rPr>
        <w:fldChar w:fldCharType="end"/>
      </w:r>
      <w:r w:rsidR="19C3ED55" w:rsidRPr="51A42684">
        <w:rPr>
          <w:sz w:val="24"/>
        </w:rPr>
        <w:t>.</w:t>
      </w:r>
    </w:p>
    <w:p w14:paraId="45833F64" w14:textId="420BFD90" w:rsidR="00F157D2" w:rsidRDefault="020C191D" w:rsidP="00133BD8">
      <w:pPr>
        <w:spacing w:line="480" w:lineRule="auto"/>
        <w:rPr>
          <w:sz w:val="24"/>
        </w:rPr>
      </w:pPr>
      <w:r w:rsidRPr="020C191D">
        <w:rPr>
          <w:sz w:val="24"/>
        </w:rPr>
        <w:t xml:space="preserve">Contextual factors may present barriers and enablers to implementation of an intervention </w:t>
      </w:r>
      <w:r w:rsidR="19C3ED55" w:rsidRPr="020C191D">
        <w:rPr>
          <w:sz w:val="24"/>
        </w:rPr>
        <w:fldChar w:fldCharType="begin"/>
      </w:r>
      <w:r w:rsidR="00A92B65">
        <w:rPr>
          <w:sz w:val="24"/>
        </w:rPr>
        <w:instrText xml:space="preserve"> ADDIN ZOTERO_ITEM CSL_CITATION {"citationID":"4s1gLpcR","properties":{"formattedCitation":"(41,42)","plainCitation":"(41,42)","noteIndex":0},"citationItems":[{"id":"HaMovQnS/RHAqTMs5","uris":["http://zotero.org/users/6791840/items/VMQ6UIQB"],"itemData":{"id":326,"type":"article-journal","abstract":"Context is a problem in research on health behaviour change, knowledge translation, practice implementation and health improvement. This is because many intervention and evaluation designs seek to eliminate contextual confounders, when these represent the normal conditions into which interventions must be integrated if they are to be workable in practice.","container-title":"Implementation Science","DOI":"10.1186/s13012-016-0506-3","ISSN":"1748-5908","issue":"1","journalAbbreviation":"Implementation Science","page":"141","source":"BioMed Central","title":"Implementation, context and complexity","volume":"11","author":[{"family":"May","given":"Carl R."},{"family":"Johnson","given":"Mark"},{"family":"Finch","given":"Tracy"}],"issued":{"date-parts":[["2016",10,19]]}}},{"id":191,"uris":["http://zotero.org/users/local/6ZPpNNIG/items/TT5LBFMK"],"itemData":{"id":191,"type":"article-journal","abstract":"Background\nOver 70% of care home residents are prescribed potentially inappropriate medications (PIMs) associated with morbidity and mortality. Deprescribing is a common recommendation by pharmacists performing medication reviews in care homes, however requiring prescriber authorisation is a barrier. Care home Independent Pharmacist Prescribing Study (CHIPPS), a cluster randomised control trial integrated pharmacist independent prescriber (PIPs) into care homes to improve medication management, providing a unique opportunity to identify their barriers and enablers to deprescribing.\nObjectives\nTo identify barriers and enablers to PIPs deprescribing medications in care homes.\nMethods\nSecondary qualitative framework analysis was performed on interviews with CHIPPS’ PIPs. A maximum variation sampling approach was used to select from the 14 PIPs included in the process evaluation to achieve diversity of PIPs' contextual factors e.g., previous experience in care homes. Transcripts were coded inductively for barriers and enablers to deprescribing and then mapped to Theoretical Domains Framework (TDF).\nResults\nEleven PIP's interviews were sampled. Factors acted as enablers and barriers were PIP relationship with General Practitioner (GP), care home staff and residents/families, awareness of the PIP role and family trust in PIPs' deprescribing activities (social influences); PIPs' independent prescribing confidence, previous experience and ability dealing with residents' medications (beliefs about capabilities); understanding of PIP role and PIP confidence in their role as an independent prescriber (Social/professional role and identity); access to residents' records, deprescribing decision support, regular follow-up from care home staff, resident difficulties with medications, teamwork, and time restraints (Environmental context and resources). One factor acted as a barrier: believing negatives of deprescribing outweigh benefits regarding certain medications (Beliefs about consequences).\nConclusion\nPIPs' involvement in deprescribing within care homes is influenced by multiple barriers and enablers. Data mapped to TDF domains represent barriers that need addressing and enablers that should be highlighted to enhance PIPs' effectiveness in future interventions.","container-title":"Research in Social and Administrative Pharmacy","DOI":"10.1016/j.sapharm.2023.01.013","ISSN":"1551-7411","journalAbbreviation":"Research in Social and Administrative Pharmacy","language":"en","source":"ScienceDirect","title":"Barriers and enablers to deprescribing for older people in care homes: The theory-based perspectives of pharmacist independent prescribers","title-short":"Barriers and enablers to deprescribing for older people in care homes","URL":"https://www.sciencedirect.com/science/article/pii/S1551741123000335","author":[{"family":"Alharthi","given":"Mohammed"},{"family":"Wright","given":"David"},{"family":"Scott","given":"Sion"},{"family":"Birt","given":"Linda"}],"accessed":{"date-parts":[["2023",2,7]]},"issued":{"date-parts":[["2023",1,31]]}}}],"schema":"https://github.com/citation-style-language/schema/raw/master/csl-citation.json"} </w:instrText>
      </w:r>
      <w:r w:rsidR="19C3ED55" w:rsidRPr="020C191D">
        <w:rPr>
          <w:sz w:val="24"/>
        </w:rPr>
        <w:fldChar w:fldCharType="separate"/>
      </w:r>
      <w:r w:rsidR="00A92B65">
        <w:rPr>
          <w:rFonts w:cs="Calibri"/>
          <w:sz w:val="24"/>
        </w:rPr>
        <w:t>(41,42)</w:t>
      </w:r>
      <w:r w:rsidR="19C3ED55" w:rsidRPr="020C191D">
        <w:rPr>
          <w:sz w:val="24"/>
        </w:rPr>
        <w:fldChar w:fldCharType="end"/>
      </w:r>
      <w:r w:rsidRPr="020C191D">
        <w:rPr>
          <w:sz w:val="24"/>
        </w:rPr>
        <w:t xml:space="preserve">. </w:t>
      </w:r>
      <w:r w:rsidR="00B02907">
        <w:rPr>
          <w:rFonts w:ascii="AppleSystemUIFont" w:eastAsiaTheme="minorHAnsi" w:hAnsi="AppleSystemUIFont" w:cs="AppleSystemUIFont"/>
          <w:sz w:val="24"/>
        </w:rPr>
        <w:t xml:space="preserve">Purposively sampling for hospital contextual factors permitted representation of the ‘extremes’ of factors likely to impact CHARMER implementation and thus an intervention to accommodate for these. </w:t>
      </w:r>
      <w:r w:rsidR="001D366A">
        <w:rPr>
          <w:rFonts w:ascii="AppleSystemUIFont" w:eastAsiaTheme="minorHAnsi" w:hAnsi="AppleSystemUIFont" w:cs="AppleSystemUIFont"/>
          <w:sz w:val="24"/>
        </w:rPr>
        <w:t>While it is possible that</w:t>
      </w:r>
      <w:r w:rsidR="00B02907">
        <w:rPr>
          <w:rFonts w:ascii="AppleSystemUIFont" w:eastAsiaTheme="minorHAnsi" w:hAnsi="AppleSystemUIFont" w:cs="AppleSystemUIFont"/>
          <w:sz w:val="24"/>
        </w:rPr>
        <w:t xml:space="preserve"> this </w:t>
      </w:r>
      <w:r w:rsidR="001D366A">
        <w:rPr>
          <w:rFonts w:ascii="AppleSystemUIFont" w:eastAsiaTheme="minorHAnsi" w:hAnsi="AppleSystemUIFont" w:cs="AppleSystemUIFont"/>
          <w:sz w:val="24"/>
        </w:rPr>
        <w:t xml:space="preserve">method </w:t>
      </w:r>
      <w:r w:rsidR="00B02907">
        <w:rPr>
          <w:rFonts w:ascii="AppleSystemUIFont" w:eastAsiaTheme="minorHAnsi" w:hAnsi="AppleSystemUIFont" w:cs="AppleSystemUIFont"/>
          <w:sz w:val="24"/>
        </w:rPr>
        <w:t xml:space="preserve">may result in an intervention that </w:t>
      </w:r>
      <w:r w:rsidR="001D366A">
        <w:rPr>
          <w:rFonts w:ascii="AppleSystemUIFont" w:eastAsiaTheme="minorHAnsi" w:hAnsi="AppleSystemUIFont" w:cs="AppleSystemUIFont"/>
          <w:sz w:val="24"/>
        </w:rPr>
        <w:t>is</w:t>
      </w:r>
      <w:r w:rsidR="00B02907">
        <w:rPr>
          <w:rFonts w:ascii="AppleSystemUIFont" w:eastAsiaTheme="minorHAnsi" w:hAnsi="AppleSystemUIFont" w:cs="AppleSystemUIFont"/>
          <w:sz w:val="24"/>
        </w:rPr>
        <w:t xml:space="preserve"> not fully optimised for</w:t>
      </w:r>
      <w:r w:rsidR="00D52C92">
        <w:rPr>
          <w:rFonts w:ascii="AppleSystemUIFont" w:eastAsiaTheme="minorHAnsi" w:hAnsi="AppleSystemUIFont" w:cs="AppleSystemUIFont"/>
          <w:sz w:val="24"/>
        </w:rPr>
        <w:t xml:space="preserve"> some</w:t>
      </w:r>
      <w:r w:rsidR="00B02907">
        <w:rPr>
          <w:rFonts w:ascii="AppleSystemUIFont" w:eastAsiaTheme="minorHAnsi" w:hAnsi="AppleSystemUIFont" w:cs="AppleSystemUIFont"/>
          <w:sz w:val="24"/>
        </w:rPr>
        <w:t xml:space="preserve"> hospitals </w:t>
      </w:r>
      <w:r w:rsidR="001D366A">
        <w:rPr>
          <w:rFonts w:ascii="AppleSystemUIFont" w:eastAsiaTheme="minorHAnsi" w:hAnsi="AppleSystemUIFont" w:cs="AppleSystemUIFont"/>
          <w:sz w:val="24"/>
        </w:rPr>
        <w:t xml:space="preserve">(i.e. those </w:t>
      </w:r>
      <w:r w:rsidR="00B02907">
        <w:rPr>
          <w:rFonts w:ascii="AppleSystemUIFont" w:eastAsiaTheme="minorHAnsi" w:hAnsi="AppleSystemUIFont" w:cs="AppleSystemUIFont"/>
          <w:sz w:val="24"/>
        </w:rPr>
        <w:t xml:space="preserve">that do not fall within these </w:t>
      </w:r>
      <w:r w:rsidR="001D366A">
        <w:rPr>
          <w:rFonts w:ascii="AppleSystemUIFont" w:eastAsiaTheme="minorHAnsi" w:hAnsi="AppleSystemUIFont" w:cs="AppleSystemUIFont"/>
          <w:sz w:val="24"/>
        </w:rPr>
        <w:t>‘</w:t>
      </w:r>
      <w:r w:rsidR="00B02907">
        <w:rPr>
          <w:rFonts w:ascii="AppleSystemUIFont" w:eastAsiaTheme="minorHAnsi" w:hAnsi="AppleSystemUIFont" w:cs="AppleSystemUIFont"/>
          <w:sz w:val="24"/>
        </w:rPr>
        <w:t>extremes</w:t>
      </w:r>
      <w:r w:rsidR="001D366A">
        <w:rPr>
          <w:rFonts w:ascii="AppleSystemUIFont" w:eastAsiaTheme="minorHAnsi" w:hAnsi="AppleSystemUIFont" w:cs="AppleSystemUIFont"/>
          <w:sz w:val="24"/>
        </w:rPr>
        <w:t>’), i</w:t>
      </w:r>
      <w:r w:rsidRPr="020C191D">
        <w:rPr>
          <w:sz w:val="24"/>
        </w:rPr>
        <w:t xml:space="preserve">ncorporating an understanding of how a range of factors are likely to influence intervention implementation is essential to achieving equity and scalability. Co-designing the CHARMER intervention with three diverse hospitals fulfils this requirement. This key strength was made possible owing to the virtual nature of the workshops, which permitted convening a geographically diverse group of stakeholders. Establishing separate co-design panels at the three hospitals to work independently in phases one and two was a key requirement to ensure that no initial ideas critical to implementability were masked by virtue of a single panel </w:t>
      </w:r>
      <w:r w:rsidR="19C3ED55" w:rsidRPr="020C191D">
        <w:rPr>
          <w:sz w:val="24"/>
        </w:rPr>
        <w:fldChar w:fldCharType="begin"/>
      </w:r>
      <w:r w:rsidR="00A92B65">
        <w:rPr>
          <w:sz w:val="24"/>
        </w:rPr>
        <w:instrText xml:space="preserve"> ADDIN ZOTERO_ITEM CSL_CITATION {"citationID":"m0Cdj8me","properties":{"formattedCitation":"(43)","plainCitation":"(43)","noteIndex":0},"citationItems":[{"id":"HaMovQnS/YxoKJcjX","uris":["http://zotero.org/users/6791840/items/JHSQ42R7"],"itemData":{"id":332,"type":"article-journal","abstract":"Implementation research may play an important role in reducing research waste by identifying strategies that support translation of evidence into practice. Implementation of healthcare interventions is influenced by multiple factors including the organisational context, implementation strategies and features of the intervention as perceived by people delivering and receiving the intervention. Recently, concepts relating to perceived features of interventions have been gaining traction in published literature, namely, acceptability, fidelity, feasibility, scalability and sustainability. These concepts may influence uptake of healthcare interventions, yet there seems to be little consensus about their nature and impact. The aim of this paper is to develop a testable conceptual framework of implementability of healthcare interventions that includes these five concepts.","container-title":"Implementation Science","DOI":"10.1186/s13012-021-01171-7","ISSN":"1748-5908","issue":"1","journalAbbreviation":"Implementation Science","page":"10","source":"BioMed Central","title":"Implementability of healthcare interventions: an overview of reviews and development of a conceptual framework","title-short":"Implementability of healthcare interventions","volume":"17","author":[{"family":"Klaic","given":"Marlena"},{"family":"Kapp","given":"Suzanne"},{"family":"Hudson","given":"Peter"},{"family":"Chapman","given":"Wendy"},{"family":"Denehy","given":"Linda"},{"family":"Story","given":"David"},{"family":"Francis","given":"Jill J."}],"issued":{"date-parts":[["2022",1,27]]}}}],"schema":"https://github.com/citation-style-language/schema/raw/master/csl-citation.json"} </w:instrText>
      </w:r>
      <w:r w:rsidR="19C3ED55" w:rsidRPr="020C191D">
        <w:rPr>
          <w:sz w:val="24"/>
        </w:rPr>
        <w:fldChar w:fldCharType="separate"/>
      </w:r>
      <w:r w:rsidR="00A92B65">
        <w:rPr>
          <w:rFonts w:cs="Calibri"/>
          <w:sz w:val="24"/>
        </w:rPr>
        <w:t>(43)</w:t>
      </w:r>
      <w:r w:rsidR="19C3ED55" w:rsidRPr="020C191D">
        <w:rPr>
          <w:sz w:val="24"/>
        </w:rPr>
        <w:fldChar w:fldCharType="end"/>
      </w:r>
      <w:r w:rsidRPr="020C191D">
        <w:rPr>
          <w:sz w:val="24"/>
        </w:rPr>
        <w:t xml:space="preserve">. </w:t>
      </w:r>
    </w:p>
    <w:p w14:paraId="3A90C78C" w14:textId="7D24B766" w:rsidR="00E3149E" w:rsidRDefault="004E2639" w:rsidP="00D16F28">
      <w:pPr>
        <w:spacing w:line="480" w:lineRule="auto"/>
        <w:rPr>
          <w:sz w:val="24"/>
        </w:rPr>
      </w:pPr>
      <w:r w:rsidRPr="020C191D">
        <w:rPr>
          <w:sz w:val="24"/>
        </w:rPr>
        <w:t>W</w:t>
      </w:r>
      <w:r>
        <w:rPr>
          <w:sz w:val="24"/>
        </w:rPr>
        <w:t xml:space="preserve">hile </w:t>
      </w:r>
      <w:r w:rsidRPr="020C191D">
        <w:rPr>
          <w:sz w:val="24"/>
        </w:rPr>
        <w:t>panel</w:t>
      </w:r>
      <w:r>
        <w:rPr>
          <w:sz w:val="24"/>
        </w:rPr>
        <w:t xml:space="preserve"> members were able </w:t>
      </w:r>
      <w:r w:rsidR="006D1E5B" w:rsidRPr="51EE25C1">
        <w:rPr>
          <w:sz w:val="24"/>
        </w:rPr>
        <w:t xml:space="preserve">to </w:t>
      </w:r>
      <w:r w:rsidR="006D1E5B">
        <w:rPr>
          <w:sz w:val="24"/>
        </w:rPr>
        <w:t>review</w:t>
      </w:r>
      <w:r w:rsidR="006D1E5B" w:rsidRPr="51EE25C1">
        <w:rPr>
          <w:sz w:val="24"/>
        </w:rPr>
        <w:t xml:space="preserve"> and refine </w:t>
      </w:r>
      <w:r>
        <w:rPr>
          <w:sz w:val="24"/>
        </w:rPr>
        <w:t xml:space="preserve">the </w:t>
      </w:r>
      <w:r w:rsidR="00943991">
        <w:rPr>
          <w:sz w:val="24"/>
        </w:rPr>
        <w:t xml:space="preserve">BCT </w:t>
      </w:r>
      <w:r w:rsidR="006D1E5B" w:rsidRPr="51EE25C1">
        <w:rPr>
          <w:sz w:val="24"/>
        </w:rPr>
        <w:t>prototypes</w:t>
      </w:r>
      <w:r w:rsidR="00943991">
        <w:rPr>
          <w:sz w:val="24"/>
        </w:rPr>
        <w:t xml:space="preserve">, </w:t>
      </w:r>
      <w:r w:rsidR="00D16ACE">
        <w:rPr>
          <w:sz w:val="24"/>
        </w:rPr>
        <w:t xml:space="preserve">they did not </w:t>
      </w:r>
      <w:r w:rsidR="003C3EE9">
        <w:rPr>
          <w:sz w:val="24"/>
        </w:rPr>
        <w:t xml:space="preserve">have the opportunity to comment on </w:t>
      </w:r>
      <w:r w:rsidR="00943991">
        <w:rPr>
          <w:sz w:val="24"/>
        </w:rPr>
        <w:t xml:space="preserve">the </w:t>
      </w:r>
      <w:r w:rsidR="001D001A">
        <w:rPr>
          <w:sz w:val="24"/>
        </w:rPr>
        <w:t xml:space="preserve">final </w:t>
      </w:r>
      <w:r w:rsidR="00D16F28">
        <w:rPr>
          <w:sz w:val="24"/>
        </w:rPr>
        <w:t>iterations</w:t>
      </w:r>
      <w:r w:rsidR="001D001A">
        <w:rPr>
          <w:sz w:val="24"/>
        </w:rPr>
        <w:t xml:space="preserve"> of the </w:t>
      </w:r>
      <w:r w:rsidR="00710994">
        <w:rPr>
          <w:sz w:val="24"/>
        </w:rPr>
        <w:t>BCT</w:t>
      </w:r>
      <w:r w:rsidR="008941FF">
        <w:rPr>
          <w:sz w:val="24"/>
        </w:rPr>
        <w:t>s</w:t>
      </w:r>
      <w:r w:rsidR="001D001A">
        <w:rPr>
          <w:sz w:val="24"/>
        </w:rPr>
        <w:t xml:space="preserve"> </w:t>
      </w:r>
      <w:r w:rsidR="00943991">
        <w:rPr>
          <w:sz w:val="24"/>
        </w:rPr>
        <w:t xml:space="preserve">developed after the </w:t>
      </w:r>
      <w:r w:rsidR="00DC25C5">
        <w:rPr>
          <w:sz w:val="24"/>
        </w:rPr>
        <w:t>final workshop</w:t>
      </w:r>
      <w:r w:rsidR="003C3EE9">
        <w:rPr>
          <w:sz w:val="24"/>
        </w:rPr>
        <w:t>.</w:t>
      </w:r>
      <w:r w:rsidR="00710994">
        <w:rPr>
          <w:sz w:val="24"/>
        </w:rPr>
        <w:t xml:space="preserve"> </w:t>
      </w:r>
      <w:r w:rsidR="00110C55">
        <w:rPr>
          <w:sz w:val="24"/>
        </w:rPr>
        <w:t xml:space="preserve">This may impact on the </w:t>
      </w:r>
      <w:r w:rsidR="00110C55" w:rsidRPr="020C191D">
        <w:rPr>
          <w:sz w:val="24"/>
        </w:rPr>
        <w:t>potential efficacy, acceptability or feasibility</w:t>
      </w:r>
      <w:r w:rsidR="00110C55">
        <w:rPr>
          <w:sz w:val="24"/>
        </w:rPr>
        <w:t xml:space="preserve"> of the BCTs,</w:t>
      </w:r>
      <w:r w:rsidR="00773591">
        <w:rPr>
          <w:sz w:val="24"/>
        </w:rPr>
        <w:t xml:space="preserve"> h</w:t>
      </w:r>
      <w:r w:rsidR="00710994">
        <w:rPr>
          <w:sz w:val="24"/>
        </w:rPr>
        <w:t>owever, t</w:t>
      </w:r>
      <w:r w:rsidR="00710994" w:rsidRPr="020C191D">
        <w:rPr>
          <w:sz w:val="24"/>
        </w:rPr>
        <w:t>he next phase in the CHARMER programme of research is to feasibility test the intervention and trial processes</w:t>
      </w:r>
      <w:r w:rsidR="00710994">
        <w:rPr>
          <w:sz w:val="24"/>
        </w:rPr>
        <w:t xml:space="preserve"> to inform any necessary refinements</w:t>
      </w:r>
      <w:r w:rsidR="00710994" w:rsidRPr="020C191D">
        <w:rPr>
          <w:sz w:val="24"/>
        </w:rPr>
        <w:t xml:space="preserve"> </w:t>
      </w:r>
      <w:r w:rsidR="00710994" w:rsidRPr="020C191D">
        <w:rPr>
          <w:sz w:val="24"/>
        </w:rPr>
        <w:fldChar w:fldCharType="begin"/>
      </w:r>
      <w:r w:rsidR="00FC7A29">
        <w:rPr>
          <w:sz w:val="24"/>
        </w:rPr>
        <w:instrText xml:space="preserve"> ADDIN ZOTERO_ITEM CSL_CITATION {"citationID":"m5Rt6G11","properties":{"formattedCitation":"(7)","plainCitation":"(7)","noteIndex":0},"citationItems":[{"id":"HaMovQnS/Nrlgzjj3","uris":["http://zotero.org/users/6791840/items/FX2KKW8G"],"itemData":{"id":101,"type":"article-journal","container-title":"bmj","note":"publisher: British Medical Journal Publishing Group","source":"Google Scholar","title":"A new framework for developing and evaluating complex interventions: update of Medical Research Council guidance","title-short":"A new framework for developing and evaluating complex interventions","volume":"374","author":[{"family":"Skivington","given":"Kathryn"},{"family":"Matthews","given":"Lynsay"},{"family":"Simpson","given":"Sharon Anne"},{"family":"Craig","given":"Peter"},{"family":"Baird","given":"Janis"},{"family":"Blazeby","given":"Jane M."},{"family":"Boyd","given":"Kathleen Anne"},{"family":"Craig","given":"Neil"},{"family":"French","given":"David P."},{"family":"McIntosh","given":"Emma"}],"issued":{"date-parts":[["2021"]]}}}],"schema":"https://github.com/citation-style-language/schema/raw/master/csl-citation.json"} </w:instrText>
      </w:r>
      <w:r w:rsidR="00710994" w:rsidRPr="020C191D">
        <w:rPr>
          <w:sz w:val="24"/>
        </w:rPr>
        <w:fldChar w:fldCharType="separate"/>
      </w:r>
      <w:r w:rsidR="00FC7A29">
        <w:rPr>
          <w:rFonts w:cs="Calibri"/>
          <w:sz w:val="24"/>
        </w:rPr>
        <w:t>(7)</w:t>
      </w:r>
      <w:r w:rsidR="00710994" w:rsidRPr="020C191D">
        <w:rPr>
          <w:sz w:val="24"/>
        </w:rPr>
        <w:fldChar w:fldCharType="end"/>
      </w:r>
      <w:r w:rsidR="00FE5890">
        <w:rPr>
          <w:sz w:val="24"/>
        </w:rPr>
        <w:t>.</w:t>
      </w:r>
      <w:r w:rsidR="00710994" w:rsidRPr="020C191D">
        <w:rPr>
          <w:sz w:val="24"/>
        </w:rPr>
        <w:t xml:space="preserve"> </w:t>
      </w:r>
      <w:r w:rsidR="00FE5890">
        <w:rPr>
          <w:sz w:val="24"/>
        </w:rPr>
        <w:t>This process</w:t>
      </w:r>
      <w:r w:rsidR="00710994" w:rsidRPr="020C191D">
        <w:rPr>
          <w:sz w:val="24"/>
        </w:rPr>
        <w:t xml:space="preserve"> will </w:t>
      </w:r>
      <w:r w:rsidR="00710994" w:rsidRPr="020C191D">
        <w:rPr>
          <w:sz w:val="24"/>
        </w:rPr>
        <w:lastRenderedPageBreak/>
        <w:t>similarly be undertaken across diverse contexts to test th</w:t>
      </w:r>
      <w:r w:rsidR="00FE5890">
        <w:rPr>
          <w:sz w:val="24"/>
        </w:rPr>
        <w:t>e CHARMER intervention’s</w:t>
      </w:r>
      <w:r w:rsidR="00710994" w:rsidRPr="020C191D">
        <w:rPr>
          <w:sz w:val="24"/>
        </w:rPr>
        <w:t xml:space="preserve"> theoretical implementability</w:t>
      </w:r>
      <w:r w:rsidR="00FE5890">
        <w:rPr>
          <w:sz w:val="24"/>
        </w:rPr>
        <w:t xml:space="preserve"> </w:t>
      </w:r>
      <w:r w:rsidR="00710994" w:rsidRPr="020C191D">
        <w:rPr>
          <w:sz w:val="24"/>
        </w:rPr>
        <w:fldChar w:fldCharType="begin"/>
      </w:r>
      <w:r w:rsidR="00A92B65">
        <w:rPr>
          <w:sz w:val="24"/>
        </w:rPr>
        <w:instrText xml:space="preserve"> ADDIN ZOTERO_ITEM CSL_CITATION {"citationID":"zC2LuG4y","properties":{"formattedCitation":"(44)","plainCitation":"(44)","noteIndex":0},"citationItems":[{"id":"HaMovQnS/1TYBNwIb","uris":["http://zotero.org/users/6791840/items/UVUSYAY3"],"itemData":{"id":329,"type":"article-journal","abstract":"Effective translation of evidence-based research into clinical practice requires assessment of the many factors that can impact implementation success. Research methods that draw on recognised implementation frameworks, such as the Promoting Action Research in Health Services (PARiHS) framework, and that test feasibility to gain information prior to full-scale roll-out, can support a more structured approach to implementation.","container-title":"Pilot and Feasibility Studies","DOI":"10.1186/s40814-020-00648-4","ISSN":"2055-5784","issue":"1","journalAbbreviation":"Pilot and Feasibility Studies","page":"109","source":"BioMed Central","title":"The value of real-world testing: a qualitative feasibility study to explore staff and organisational barriers and strategies to support implementation of a clinical pathway for the management of anxiety and depression in adult cancer patients","title-short":"The value of real-world testing","volume":"6","author":[{"family":"Geerligs","given":"Liesbeth"},{"family":"Shepherd","given":"Heather L."},{"family":"Rankin","given":"Nicole M."},{"family":"Masya","given":"Lindy"},{"family":"Shaw","given":"Joanne M."},{"family":"Price","given":"Melanie A."},{"family":"Dhillon","given":"Haryana"},{"family":"Dolan","given":"Colette"},{"family":"Prest","given":"Gabrielle"},{"family":"Andrews","given":"Gavin"},{"family":"Baychek","given":"Kate"},{"family":"Beale","given":"Philip"},{"family":"Allison","given":"Karen"},{"family":"Clayton","given":"Josephine"},{"family":"Coll","given":"Joseph"},{"family":"Cuddy","given":"Jessica"},{"family":"Girgis","given":"Afaf"},{"family":"Grimison","given":"Peter"},{"family":"Hack","given":"Tom"},{"family":"Kelly","given":"Brian"},{"family":"Kirsten","given":"Laura"},{"family":"Lindsay","given":"Toni"},{"family":"Lovell","given":"Melanie"},{"family":"Luckett","given":"Tim"},{"family":"Murphy","given":"Michael"},{"family":"Newby","given":"Jill"},{"family":"Orr","given":"Frances"},{"family":"Pearce","given":"Alison"},{"family":"Piro","given":"Don"},{"family":"Shaw","given":"Tim"},{"family":"Stubbs","given":"John"},{"family":"Viney","given":"Rosalie"},{"family":"White","given":"Fiona"},{"family":"Yim","given":"Jackie"},{"family":"Butow","given":"Phyllis"},{"literal":"The ADAPT Program Group"}],"issued":{"date-parts":[["2020",7,29]]}}}],"schema":"https://github.com/citation-style-language/schema/raw/master/csl-citation.json"} </w:instrText>
      </w:r>
      <w:r w:rsidR="00710994" w:rsidRPr="020C191D">
        <w:rPr>
          <w:sz w:val="24"/>
        </w:rPr>
        <w:fldChar w:fldCharType="separate"/>
      </w:r>
      <w:r w:rsidR="00A92B65">
        <w:rPr>
          <w:rFonts w:cs="Calibri"/>
          <w:sz w:val="24"/>
        </w:rPr>
        <w:t>(44)</w:t>
      </w:r>
      <w:r w:rsidR="00710994" w:rsidRPr="020C191D">
        <w:rPr>
          <w:sz w:val="24"/>
        </w:rPr>
        <w:fldChar w:fldCharType="end"/>
      </w:r>
      <w:r w:rsidR="00710994" w:rsidRPr="020C191D">
        <w:rPr>
          <w:sz w:val="24"/>
        </w:rPr>
        <w:t>.</w:t>
      </w:r>
    </w:p>
    <w:p w14:paraId="0FEB73AC" w14:textId="529CFF12" w:rsidR="00CB0716" w:rsidRPr="00CB0716" w:rsidRDefault="00CB0716" w:rsidP="00CB0716">
      <w:pPr>
        <w:pStyle w:val="Heading1"/>
        <w:rPr>
          <w:rFonts w:ascii="Calibri" w:hAnsi="Calibri" w:cs="Calibri"/>
          <w:b/>
          <w:bCs/>
          <w:color w:val="000000" w:themeColor="text1"/>
          <w:sz w:val="28"/>
          <w:szCs w:val="28"/>
        </w:rPr>
      </w:pPr>
      <w:r w:rsidRPr="00CB0716">
        <w:rPr>
          <w:rFonts w:ascii="Calibri" w:hAnsi="Calibri" w:cs="Calibri"/>
          <w:b/>
          <w:bCs/>
          <w:color w:val="000000" w:themeColor="text1"/>
          <w:sz w:val="28"/>
          <w:szCs w:val="28"/>
        </w:rPr>
        <w:t>Conclusions</w:t>
      </w:r>
    </w:p>
    <w:p w14:paraId="6EE0CFE2" w14:textId="77777777" w:rsidR="00E3149E" w:rsidRPr="00237059" w:rsidRDefault="00E3149E" w:rsidP="00081AD7">
      <w:pPr>
        <w:spacing w:line="480" w:lineRule="auto"/>
        <w:rPr>
          <w:rFonts w:asciiTheme="minorHAnsi" w:hAnsiTheme="minorHAnsi" w:cstheme="minorHAnsi"/>
          <w:color w:val="000000" w:themeColor="text1"/>
          <w:sz w:val="2"/>
          <w:szCs w:val="2"/>
        </w:rPr>
      </w:pPr>
    </w:p>
    <w:p w14:paraId="7C408711" w14:textId="43B7D07F" w:rsidR="00483849" w:rsidRPr="00531759" w:rsidRDefault="00973FD7" w:rsidP="00BE35A9">
      <w:pPr>
        <w:spacing w:line="480" w:lineRule="auto"/>
        <w:rPr>
          <w:sz w:val="24"/>
        </w:rPr>
      </w:pPr>
      <w:r w:rsidRPr="00D47E2F">
        <w:rPr>
          <w:sz w:val="24"/>
        </w:rPr>
        <w:t xml:space="preserve">This study illustrates the </w:t>
      </w:r>
      <w:r w:rsidR="00342106" w:rsidRPr="00D47E2F">
        <w:rPr>
          <w:sz w:val="24"/>
        </w:rPr>
        <w:t xml:space="preserve">importance of </w:t>
      </w:r>
      <w:r w:rsidRPr="00D47E2F">
        <w:rPr>
          <w:sz w:val="24"/>
        </w:rPr>
        <w:t>integrati</w:t>
      </w:r>
      <w:r w:rsidR="00342106" w:rsidRPr="00D47E2F">
        <w:rPr>
          <w:sz w:val="24"/>
        </w:rPr>
        <w:t>ng</w:t>
      </w:r>
      <w:r w:rsidR="00E0068A" w:rsidRPr="00D47E2F">
        <w:rPr>
          <w:sz w:val="24"/>
        </w:rPr>
        <w:t xml:space="preserve"> evidence,</w:t>
      </w:r>
      <w:r w:rsidR="00490F41" w:rsidRPr="00D47E2F">
        <w:rPr>
          <w:sz w:val="24"/>
        </w:rPr>
        <w:t xml:space="preserve"> </w:t>
      </w:r>
      <w:r w:rsidR="00342106" w:rsidRPr="00D47E2F">
        <w:rPr>
          <w:sz w:val="24"/>
        </w:rPr>
        <w:t>behaviour change theory</w:t>
      </w:r>
      <w:r w:rsidRPr="00D47E2F">
        <w:rPr>
          <w:sz w:val="24"/>
        </w:rPr>
        <w:t xml:space="preserve"> and co-design </w:t>
      </w:r>
      <w:r w:rsidRPr="00531759">
        <w:rPr>
          <w:rFonts w:cs="Calibri"/>
          <w:sz w:val="24"/>
        </w:rPr>
        <w:t>meth</w:t>
      </w:r>
      <w:r w:rsidR="00BE35A9" w:rsidRPr="00531759">
        <w:rPr>
          <w:rFonts w:cs="Calibri"/>
          <w:sz w:val="24"/>
        </w:rPr>
        <w:t>od</w:t>
      </w:r>
      <w:r w:rsidR="0046458D" w:rsidRPr="00531759">
        <w:rPr>
          <w:rFonts w:cs="Calibri"/>
          <w:sz w:val="24"/>
        </w:rPr>
        <w:t>ology</w:t>
      </w:r>
      <w:r w:rsidRPr="00531759">
        <w:rPr>
          <w:rFonts w:cs="Calibri"/>
          <w:sz w:val="24"/>
        </w:rPr>
        <w:t xml:space="preserve"> </w:t>
      </w:r>
      <w:r w:rsidR="00D47E2F" w:rsidRPr="00531759">
        <w:rPr>
          <w:rFonts w:cs="Calibri"/>
          <w:sz w:val="24"/>
        </w:rPr>
        <w:t xml:space="preserve">into the design of </w:t>
      </w:r>
      <w:r w:rsidR="002F056A" w:rsidRPr="00531759">
        <w:rPr>
          <w:rFonts w:cs="Calibri"/>
          <w:sz w:val="24"/>
        </w:rPr>
        <w:t xml:space="preserve">hospital </w:t>
      </w:r>
      <w:r w:rsidR="00D47E2F" w:rsidRPr="00531759">
        <w:rPr>
          <w:rFonts w:cs="Calibri"/>
          <w:sz w:val="24"/>
        </w:rPr>
        <w:t>deprescribing intervention.</w:t>
      </w:r>
      <w:r w:rsidR="00836ABE" w:rsidRPr="00531759">
        <w:rPr>
          <w:rFonts w:cs="Calibri"/>
          <w:sz w:val="24"/>
        </w:rPr>
        <w:t xml:space="preserve"> In doing so, we have </w:t>
      </w:r>
      <w:r w:rsidR="005973E4">
        <w:rPr>
          <w:rFonts w:cs="Calibri"/>
          <w:sz w:val="24"/>
        </w:rPr>
        <w:t>developed</w:t>
      </w:r>
      <w:r w:rsidR="00836ABE" w:rsidRPr="00531759">
        <w:rPr>
          <w:rFonts w:cs="Calibri"/>
          <w:sz w:val="24"/>
        </w:rPr>
        <w:t xml:space="preserve"> the CHARMER intervention components </w:t>
      </w:r>
      <w:r w:rsidR="005973E4">
        <w:rPr>
          <w:rFonts w:cs="Calibri"/>
          <w:sz w:val="24"/>
        </w:rPr>
        <w:t>to be</w:t>
      </w:r>
      <w:r w:rsidR="00836ABE" w:rsidRPr="00531759">
        <w:rPr>
          <w:rFonts w:cs="Calibri"/>
          <w:sz w:val="24"/>
        </w:rPr>
        <w:t xml:space="preserve"> faithful to the underpinning mechanisms of action of </w:t>
      </w:r>
      <w:r w:rsidR="005973E4">
        <w:rPr>
          <w:rFonts w:cs="Calibri"/>
          <w:sz w:val="24"/>
        </w:rPr>
        <w:t xml:space="preserve">deprescribing </w:t>
      </w:r>
      <w:r w:rsidR="00836ABE" w:rsidRPr="00531759">
        <w:rPr>
          <w:rFonts w:cs="Calibri"/>
          <w:sz w:val="24"/>
        </w:rPr>
        <w:t>behaviour change and developed an intervention deemed feasible by the target audience</w:t>
      </w:r>
      <w:r w:rsidR="005973E4">
        <w:rPr>
          <w:rFonts w:cs="Calibri"/>
          <w:sz w:val="24"/>
        </w:rPr>
        <w:t xml:space="preserve"> of</w:t>
      </w:r>
      <w:r w:rsidR="00836ABE" w:rsidRPr="00531759">
        <w:rPr>
          <w:rFonts w:cs="Calibri"/>
          <w:sz w:val="24"/>
        </w:rPr>
        <w:t xml:space="preserve"> </w:t>
      </w:r>
      <w:r w:rsidR="00D661D3" w:rsidRPr="00531759">
        <w:rPr>
          <w:rFonts w:cs="Calibri"/>
          <w:sz w:val="24"/>
          <w:shd w:val="clear" w:color="auto" w:fill="FFFFFF"/>
        </w:rPr>
        <w:t>geriatricians</w:t>
      </w:r>
      <w:r w:rsidR="005973E4">
        <w:rPr>
          <w:rFonts w:cs="Calibri"/>
          <w:sz w:val="24"/>
          <w:shd w:val="clear" w:color="auto" w:fill="FFFFFF"/>
        </w:rPr>
        <w:t xml:space="preserve"> and</w:t>
      </w:r>
      <w:r w:rsidR="00D661D3" w:rsidRPr="00531759">
        <w:rPr>
          <w:rFonts w:cs="Calibri"/>
          <w:sz w:val="24"/>
          <w:shd w:val="clear" w:color="auto" w:fill="FFFFFF"/>
        </w:rPr>
        <w:t xml:space="preserve"> pharmacists</w:t>
      </w:r>
      <w:r w:rsidR="005973E4">
        <w:rPr>
          <w:rFonts w:cs="Calibri"/>
          <w:sz w:val="24"/>
          <w:shd w:val="clear" w:color="auto" w:fill="FFFFFF"/>
        </w:rPr>
        <w:t>,</w:t>
      </w:r>
      <w:r w:rsidR="00D661D3" w:rsidRPr="00531759">
        <w:rPr>
          <w:rFonts w:cs="Calibri"/>
          <w:sz w:val="24"/>
          <w:shd w:val="clear" w:color="auto" w:fill="FFFFFF"/>
        </w:rPr>
        <w:t xml:space="preserve"> and </w:t>
      </w:r>
      <w:r w:rsidR="00836ABE" w:rsidRPr="00531759">
        <w:rPr>
          <w:rFonts w:cs="Calibri"/>
          <w:sz w:val="24"/>
          <w:shd w:val="clear" w:color="auto" w:fill="FFFFFF"/>
        </w:rPr>
        <w:t xml:space="preserve">hospital </w:t>
      </w:r>
      <w:r w:rsidR="00D661D3" w:rsidRPr="00531759">
        <w:rPr>
          <w:rFonts w:cs="Calibri"/>
          <w:sz w:val="24"/>
          <w:shd w:val="clear" w:color="auto" w:fill="FFFFFF"/>
        </w:rPr>
        <w:t>staff</w:t>
      </w:r>
      <w:r w:rsidRPr="00531759">
        <w:rPr>
          <w:rFonts w:cs="Calibri"/>
          <w:sz w:val="24"/>
        </w:rPr>
        <w:t xml:space="preserve"> likely to be involved in</w:t>
      </w:r>
      <w:r w:rsidR="008F6685" w:rsidRPr="00531759">
        <w:rPr>
          <w:rFonts w:cs="Calibri"/>
          <w:sz w:val="24"/>
        </w:rPr>
        <w:t xml:space="preserve"> supporting</w:t>
      </w:r>
      <w:r w:rsidRPr="00531759">
        <w:rPr>
          <w:rFonts w:cs="Calibri"/>
          <w:sz w:val="24"/>
        </w:rPr>
        <w:t xml:space="preserve"> implementation</w:t>
      </w:r>
      <w:r w:rsidR="008F6685" w:rsidRPr="00531759">
        <w:rPr>
          <w:rFonts w:cs="Calibri"/>
          <w:sz w:val="24"/>
        </w:rPr>
        <w:t>.</w:t>
      </w:r>
      <w:r w:rsidR="005973E4">
        <w:rPr>
          <w:rFonts w:cs="Calibri"/>
          <w:sz w:val="24"/>
        </w:rPr>
        <w:t xml:space="preserve"> T</w:t>
      </w:r>
      <w:r w:rsidR="00BD4048" w:rsidRPr="00531759">
        <w:rPr>
          <w:rFonts w:cs="Calibri"/>
          <w:sz w:val="24"/>
        </w:rPr>
        <w:t>his</w:t>
      </w:r>
      <w:r w:rsidR="005973E4">
        <w:rPr>
          <w:rFonts w:cs="Calibri"/>
          <w:sz w:val="24"/>
        </w:rPr>
        <w:t xml:space="preserve"> approach</w:t>
      </w:r>
      <w:r w:rsidR="00BD4048" w:rsidRPr="00531759">
        <w:rPr>
          <w:rFonts w:cs="Calibri"/>
          <w:sz w:val="24"/>
        </w:rPr>
        <w:t xml:space="preserve"> </w:t>
      </w:r>
      <w:r w:rsidR="005973E4">
        <w:rPr>
          <w:rFonts w:cs="Calibri"/>
          <w:sz w:val="24"/>
        </w:rPr>
        <w:t>departs</w:t>
      </w:r>
      <w:r w:rsidR="000D1291" w:rsidRPr="00531759">
        <w:rPr>
          <w:rFonts w:cs="Calibri"/>
          <w:sz w:val="24"/>
        </w:rPr>
        <w:t xml:space="preserve"> from existing deprescribing interventions in that it </w:t>
      </w:r>
      <w:r w:rsidR="007B4941" w:rsidRPr="00531759">
        <w:rPr>
          <w:rFonts w:eastAsiaTheme="minorHAnsi" w:cs="Calibri"/>
          <w:sz w:val="24"/>
        </w:rPr>
        <w:t>increas</w:t>
      </w:r>
      <w:r w:rsidR="000D1291" w:rsidRPr="00531759">
        <w:rPr>
          <w:rFonts w:eastAsiaTheme="minorHAnsi" w:cs="Calibri"/>
          <w:sz w:val="24"/>
        </w:rPr>
        <w:t>es</w:t>
      </w:r>
      <w:r w:rsidR="007B4941" w:rsidRPr="00531759">
        <w:rPr>
          <w:rFonts w:eastAsiaTheme="minorHAnsi" w:cs="Calibri"/>
          <w:sz w:val="24"/>
        </w:rPr>
        <w:t xml:space="preserve"> the likelihood that deprescribing activity resulting from the intervention is sustained beyond the trial period.</w:t>
      </w:r>
      <w:r w:rsidR="007B4941">
        <w:rPr>
          <w:rFonts w:ascii="AppleSystemUIFont" w:eastAsiaTheme="minorHAnsi" w:hAnsi="AppleSystemUIFont" w:cs="AppleSystemUIFont"/>
          <w:sz w:val="24"/>
        </w:rPr>
        <w:t xml:space="preserve"> </w:t>
      </w:r>
    </w:p>
    <w:p w14:paraId="47DE084E" w14:textId="0288C281" w:rsidR="0000520E" w:rsidRPr="00B02907" w:rsidRDefault="0000520E" w:rsidP="00133BD8">
      <w:pPr>
        <w:spacing w:line="480" w:lineRule="auto"/>
        <w:rPr>
          <w:sz w:val="24"/>
        </w:rPr>
      </w:pPr>
      <w:bookmarkStart w:id="3" w:name="_Toc53569786"/>
      <w:r>
        <w:rPr>
          <w:sz w:val="28"/>
          <w:szCs w:val="28"/>
        </w:rPr>
        <w:br w:type="page"/>
      </w:r>
    </w:p>
    <w:p w14:paraId="304FA498" w14:textId="38D7B3B1" w:rsidR="00E81F55" w:rsidRDefault="009366C8" w:rsidP="00665363">
      <w:pPr>
        <w:pStyle w:val="Heading1"/>
        <w:rPr>
          <w:rFonts w:ascii="Calibri" w:hAnsi="Calibri" w:cs="Calibri"/>
          <w:b/>
          <w:bCs/>
          <w:color w:val="000000" w:themeColor="text1"/>
          <w:sz w:val="28"/>
          <w:szCs w:val="28"/>
        </w:rPr>
      </w:pPr>
      <w:r w:rsidRPr="00665363">
        <w:rPr>
          <w:rFonts w:ascii="Calibri" w:hAnsi="Calibri" w:cs="Calibri"/>
          <w:b/>
          <w:bCs/>
          <w:color w:val="000000" w:themeColor="text1"/>
          <w:sz w:val="28"/>
          <w:szCs w:val="28"/>
        </w:rPr>
        <w:lastRenderedPageBreak/>
        <w:t>References</w:t>
      </w:r>
      <w:bookmarkEnd w:id="3"/>
    </w:p>
    <w:p w14:paraId="461559A7" w14:textId="77777777" w:rsidR="00665363" w:rsidRPr="00665363" w:rsidRDefault="00665363" w:rsidP="00665363"/>
    <w:p w14:paraId="78480874" w14:textId="77777777" w:rsidR="00A92B65" w:rsidRPr="00A92B65" w:rsidRDefault="00762B3F" w:rsidP="00A92B65">
      <w:pPr>
        <w:pStyle w:val="Bibliography"/>
        <w:rPr>
          <w:rFonts w:cs="Calibri"/>
        </w:rPr>
      </w:pPr>
      <w:r>
        <w:rPr>
          <w:b/>
          <w:bCs/>
          <w:sz w:val="28"/>
          <w:szCs w:val="28"/>
        </w:rPr>
        <w:fldChar w:fldCharType="begin"/>
      </w:r>
      <w:r w:rsidR="00130BCD">
        <w:rPr>
          <w:b/>
          <w:bCs/>
          <w:sz w:val="28"/>
          <w:szCs w:val="28"/>
        </w:rPr>
        <w:instrText xml:space="preserve"> ADDIN ZOTERO_BIBL {"uncited":[],"omitted":[],"custom":[]} CSL_BIBLIOGRAPHY </w:instrText>
      </w:r>
      <w:r>
        <w:rPr>
          <w:b/>
          <w:bCs/>
          <w:sz w:val="28"/>
          <w:szCs w:val="28"/>
        </w:rPr>
        <w:fldChar w:fldCharType="separate"/>
      </w:r>
      <w:r w:rsidR="00A92B65" w:rsidRPr="00A92B65">
        <w:rPr>
          <w:rFonts w:cs="Calibri"/>
        </w:rPr>
        <w:t>1.</w:t>
      </w:r>
      <w:r w:rsidR="00A92B65" w:rsidRPr="00A92B65">
        <w:rPr>
          <w:rFonts w:cs="Calibri"/>
        </w:rPr>
        <w:tab/>
        <w:t xml:space="preserve">Gallagher P, Lang PO, Cherubini A, Topinková E, Cruz-Jentoft A, Montero Errasquín B, et al. Prevalence of potentially inappropriate prescribing in an acutely ill population of older patients admitted to six European hospitals. European Journal of Clinical Pharmacology. 2011;67(11):1175–88. </w:t>
      </w:r>
    </w:p>
    <w:p w14:paraId="7E79476B" w14:textId="77777777" w:rsidR="00A92B65" w:rsidRPr="00A92B65" w:rsidRDefault="00A92B65" w:rsidP="00A92B65">
      <w:pPr>
        <w:pStyle w:val="Bibliography"/>
        <w:rPr>
          <w:rFonts w:cs="Calibri"/>
        </w:rPr>
      </w:pPr>
      <w:r w:rsidRPr="00A92B65">
        <w:rPr>
          <w:rFonts w:cs="Calibri"/>
        </w:rPr>
        <w:t>2.</w:t>
      </w:r>
      <w:r w:rsidRPr="00A92B65">
        <w:rPr>
          <w:rFonts w:cs="Calibri"/>
        </w:rPr>
        <w:tab/>
        <w:t>Medication Without Harm [Internet]. World Health Organisation; 2017 [cited 2022 Jan 21]. Available from: https://www.who.int/publications/i/item/WHO-HIS-SDS-2017.6</w:t>
      </w:r>
    </w:p>
    <w:p w14:paraId="0DB5C8B0" w14:textId="77777777" w:rsidR="00A92B65" w:rsidRPr="00A92B65" w:rsidRDefault="00A92B65" w:rsidP="00A92B65">
      <w:pPr>
        <w:pStyle w:val="Bibliography"/>
        <w:rPr>
          <w:rFonts w:cs="Calibri"/>
        </w:rPr>
      </w:pPr>
      <w:r w:rsidRPr="00A92B65">
        <w:rPr>
          <w:rFonts w:cs="Calibri"/>
        </w:rPr>
        <w:t>3.</w:t>
      </w:r>
      <w:r w:rsidRPr="00A92B65">
        <w:rPr>
          <w:rFonts w:cs="Calibri"/>
        </w:rPr>
        <w:tab/>
        <w:t xml:space="preserve">ScottIA HS, Reeve E, Potter K, Le Couteur D, Rigby D. Reducing Inappropriate Polypharmacy. JAMA Intern Med. 2015;175:827. </w:t>
      </w:r>
    </w:p>
    <w:p w14:paraId="11E0C24F" w14:textId="77777777" w:rsidR="00A92B65" w:rsidRPr="00A92B65" w:rsidRDefault="00A92B65" w:rsidP="00A92B65">
      <w:pPr>
        <w:pStyle w:val="Bibliography"/>
        <w:rPr>
          <w:rFonts w:cs="Calibri"/>
        </w:rPr>
      </w:pPr>
      <w:r w:rsidRPr="00A92B65">
        <w:rPr>
          <w:rFonts w:cs="Calibri"/>
        </w:rPr>
        <w:t>4.</w:t>
      </w:r>
      <w:r w:rsidRPr="00A92B65">
        <w:rPr>
          <w:rFonts w:cs="Calibri"/>
        </w:rPr>
        <w:tab/>
        <w:t xml:space="preserve">Scott S, Clark A, Farrow C, May H, Patel M, Twigg MJ, et al. Deprescribing admission medication at a UK teaching hospital; a report on quantity and nature of activity. International journal of clinical pharmacy. 2018;40(5):991–6. </w:t>
      </w:r>
    </w:p>
    <w:p w14:paraId="768B1747" w14:textId="77777777" w:rsidR="00A92B65" w:rsidRPr="00A92B65" w:rsidRDefault="00A92B65" w:rsidP="00A92B65">
      <w:pPr>
        <w:pStyle w:val="Bibliography"/>
        <w:rPr>
          <w:rFonts w:cs="Calibri"/>
        </w:rPr>
      </w:pPr>
      <w:r w:rsidRPr="00A92B65">
        <w:rPr>
          <w:rFonts w:cs="Calibri"/>
        </w:rPr>
        <w:t>5.</w:t>
      </w:r>
      <w:r w:rsidRPr="00A92B65">
        <w:rPr>
          <w:rFonts w:cs="Calibri"/>
        </w:rPr>
        <w:tab/>
        <w:t xml:space="preserve">Anderson K, Stowasser D, Freeman C, Scott I. Prescriber barriers and enablers to minimising potentially inappropriate medications in adults: a systematic review and thematic synthesis. BMJ open. 2014;4(12):e006544. </w:t>
      </w:r>
    </w:p>
    <w:p w14:paraId="5109030A" w14:textId="77777777" w:rsidR="00A92B65" w:rsidRPr="00A92B65" w:rsidRDefault="00A92B65" w:rsidP="00A92B65">
      <w:pPr>
        <w:pStyle w:val="Bibliography"/>
        <w:rPr>
          <w:rFonts w:cs="Calibri"/>
        </w:rPr>
      </w:pPr>
      <w:r w:rsidRPr="00A92B65">
        <w:rPr>
          <w:rFonts w:cs="Calibri"/>
        </w:rPr>
        <w:t>6.</w:t>
      </w:r>
      <w:r w:rsidRPr="00A92B65">
        <w:rPr>
          <w:rFonts w:cs="Calibri"/>
        </w:rPr>
        <w:tab/>
        <w:t xml:space="preserve">Scott S, Twigg MJ, Clark A, Farrow C, May H, Patel M, et al. Development of a hospital deprescribing implementation framework: A focus group study with geriatricians and pharmacists. Age and ageing. 2020;49(1):102–10. </w:t>
      </w:r>
    </w:p>
    <w:p w14:paraId="61C68766" w14:textId="77777777" w:rsidR="00A92B65" w:rsidRPr="00A92B65" w:rsidRDefault="00A92B65" w:rsidP="00A92B65">
      <w:pPr>
        <w:pStyle w:val="Bibliography"/>
        <w:rPr>
          <w:rFonts w:cs="Calibri"/>
        </w:rPr>
      </w:pPr>
      <w:r w:rsidRPr="00A92B65">
        <w:rPr>
          <w:rFonts w:cs="Calibri"/>
        </w:rPr>
        <w:t>7.</w:t>
      </w:r>
      <w:r w:rsidRPr="00A92B65">
        <w:rPr>
          <w:rFonts w:cs="Calibri"/>
        </w:rPr>
        <w:tab/>
        <w:t xml:space="preserve">Skivington K, Matthews L, Simpson SA, Craig P, Baird J, Blazeby JM, et al. A new framework for developing and evaluating complex interventions: update of Medical Research Council guidance. bmj. 2021;374. </w:t>
      </w:r>
    </w:p>
    <w:p w14:paraId="18453C0F" w14:textId="77777777" w:rsidR="00A92B65" w:rsidRPr="00A92B65" w:rsidRDefault="00A92B65" w:rsidP="00A92B65">
      <w:pPr>
        <w:pStyle w:val="Bibliography"/>
        <w:rPr>
          <w:rFonts w:cs="Calibri"/>
        </w:rPr>
      </w:pPr>
      <w:r w:rsidRPr="00A92B65">
        <w:rPr>
          <w:rFonts w:cs="Calibri"/>
        </w:rPr>
        <w:t>8.</w:t>
      </w:r>
      <w:r w:rsidRPr="00A92B65">
        <w:rPr>
          <w:rFonts w:cs="Calibri"/>
        </w:rPr>
        <w:tab/>
        <w:t xml:space="preserve">Michie S, Wood CE, Johnston M, Abraham C, Francis J, Hardeman W. Behaviour change techniques: the development and evaluation of a taxonomic method for reporting and describing behaviour change interventions (a suite of five studies involving consensus methods, randomised controlled trials and analysis of qualitative data). Health technology assessment. 2015;19(99). </w:t>
      </w:r>
    </w:p>
    <w:p w14:paraId="331DC36C" w14:textId="77777777" w:rsidR="00A92B65" w:rsidRPr="00A92B65" w:rsidRDefault="00A92B65" w:rsidP="00A92B65">
      <w:pPr>
        <w:pStyle w:val="Bibliography"/>
        <w:rPr>
          <w:rFonts w:cs="Calibri"/>
        </w:rPr>
      </w:pPr>
      <w:r w:rsidRPr="00A92B65">
        <w:rPr>
          <w:rFonts w:cs="Calibri"/>
        </w:rPr>
        <w:t>9.</w:t>
      </w:r>
      <w:r w:rsidRPr="00A92B65">
        <w:rPr>
          <w:rFonts w:cs="Calibri"/>
        </w:rPr>
        <w:tab/>
        <w:t xml:space="preserve">Scott S, May H, Patel M, Wright DJ, Bhattacharya D. A practitioner behaviour change intervention for deprescribing in the hospital setting. Age and ageing. 2021;50(2):581–6. </w:t>
      </w:r>
    </w:p>
    <w:p w14:paraId="17DED403" w14:textId="77777777" w:rsidR="00A92B65" w:rsidRPr="00A92B65" w:rsidRDefault="00A92B65" w:rsidP="00A92B65">
      <w:pPr>
        <w:pStyle w:val="Bibliography"/>
        <w:rPr>
          <w:rFonts w:cs="Calibri"/>
        </w:rPr>
      </w:pPr>
      <w:r w:rsidRPr="00A92B65">
        <w:rPr>
          <w:rFonts w:cs="Calibri"/>
        </w:rPr>
        <w:t>10.</w:t>
      </w:r>
      <w:r w:rsidRPr="00A92B65">
        <w:rPr>
          <w:rFonts w:cs="Calibri"/>
        </w:rPr>
        <w:tab/>
        <w:t xml:space="preserve">Thillainadesan J, Gnjidic D, Green S, Hilmer SN. Impact of deprescribing interventions in older hospitalised patients on prescribing and clinical outcomes: a systematic review of randomised trials. Drugs &amp; aging. 2018;35(4):303–19. </w:t>
      </w:r>
    </w:p>
    <w:p w14:paraId="5A783F65" w14:textId="77777777" w:rsidR="00A92B65" w:rsidRPr="00A92B65" w:rsidRDefault="00A92B65" w:rsidP="00A92B65">
      <w:pPr>
        <w:pStyle w:val="Bibliography"/>
        <w:rPr>
          <w:rFonts w:cs="Calibri"/>
        </w:rPr>
      </w:pPr>
      <w:r w:rsidRPr="00A92B65">
        <w:rPr>
          <w:rFonts w:cs="Calibri"/>
        </w:rPr>
        <w:t>11.</w:t>
      </w:r>
      <w:r w:rsidRPr="00A92B65">
        <w:rPr>
          <w:rFonts w:cs="Calibri"/>
        </w:rPr>
        <w:tab/>
        <w:t xml:space="preserve">van Achterberg T, Huisman-de Waal GGJ, Ketelaar NABM, Oostendorp RA, Jacobs JE, Wollersheim HCH. How to promote healthy behaviours in patients? An overview of evidence for behaviour change techniques. Health Promot Int. 2011 Jun;26(2):148–62. </w:t>
      </w:r>
    </w:p>
    <w:p w14:paraId="5224EA65" w14:textId="77777777" w:rsidR="00A92B65" w:rsidRPr="00A92B65" w:rsidRDefault="00A92B65" w:rsidP="00A92B65">
      <w:pPr>
        <w:pStyle w:val="Bibliography"/>
        <w:rPr>
          <w:rFonts w:cs="Calibri"/>
        </w:rPr>
      </w:pPr>
      <w:r w:rsidRPr="00A92B65">
        <w:rPr>
          <w:rFonts w:cs="Calibri"/>
        </w:rPr>
        <w:t>12.</w:t>
      </w:r>
      <w:r w:rsidRPr="00A92B65">
        <w:rPr>
          <w:rFonts w:cs="Calibri"/>
        </w:rPr>
        <w:tab/>
        <w:t xml:space="preserve">Power J, Gilmore B, Vallières F, Toomey E, Mannan H, McAuliffe E. Adapting health interventions for local fit when scaling-up: a realist review protocol. BMJ open. 2019;9(1):e022084. </w:t>
      </w:r>
    </w:p>
    <w:p w14:paraId="6D410353" w14:textId="77777777" w:rsidR="00A92B65" w:rsidRPr="00A92B65" w:rsidRDefault="00A92B65" w:rsidP="00A92B65">
      <w:pPr>
        <w:pStyle w:val="Bibliography"/>
        <w:rPr>
          <w:rFonts w:cs="Calibri"/>
        </w:rPr>
      </w:pPr>
      <w:r w:rsidRPr="00A92B65">
        <w:rPr>
          <w:rFonts w:cs="Calibri"/>
        </w:rPr>
        <w:lastRenderedPageBreak/>
        <w:t>13.</w:t>
      </w:r>
      <w:r w:rsidRPr="00A92B65">
        <w:rPr>
          <w:rFonts w:cs="Calibri"/>
        </w:rPr>
        <w:tab/>
        <w:t xml:space="preserve">Simmons R, Fajans P, Ghiron L. Scaling Up Health Service Delivery: From Pilot Innovations to Policies and Programmes. World Health Organization; 2007. 206 p. </w:t>
      </w:r>
    </w:p>
    <w:p w14:paraId="722970CC" w14:textId="77777777" w:rsidR="00A92B65" w:rsidRPr="00A92B65" w:rsidRDefault="00A92B65" w:rsidP="00A92B65">
      <w:pPr>
        <w:pStyle w:val="Bibliography"/>
        <w:rPr>
          <w:rFonts w:cs="Calibri"/>
        </w:rPr>
      </w:pPr>
      <w:r w:rsidRPr="00A92B65">
        <w:rPr>
          <w:rFonts w:cs="Calibri"/>
        </w:rPr>
        <w:t>14.</w:t>
      </w:r>
      <w:r w:rsidRPr="00A92B65">
        <w:rPr>
          <w:rFonts w:cs="Calibri"/>
        </w:rPr>
        <w:tab/>
        <w:t xml:space="preserve">Barker PM, Reid A, Schall MW. A framework for scaling up health interventions: lessons from large-scale improvement initiatives in Africa. Implementation Science. 2016 Jan 29;11(1):12. </w:t>
      </w:r>
    </w:p>
    <w:p w14:paraId="3AD946CF" w14:textId="77777777" w:rsidR="00A92B65" w:rsidRPr="00A92B65" w:rsidRDefault="00A92B65" w:rsidP="00A92B65">
      <w:pPr>
        <w:pStyle w:val="Bibliography"/>
        <w:rPr>
          <w:rFonts w:cs="Calibri"/>
        </w:rPr>
      </w:pPr>
      <w:r w:rsidRPr="00A92B65">
        <w:rPr>
          <w:rFonts w:cs="Calibri"/>
        </w:rPr>
        <w:t>15.</w:t>
      </w:r>
      <w:r w:rsidRPr="00A92B65">
        <w:rPr>
          <w:rFonts w:cs="Calibri"/>
        </w:rPr>
        <w:tab/>
        <w:t xml:space="preserve">Donetto S, Pierri P, Tsianakas V, Robert G. Experience-based Co-design and Healthcare Improvement: Realizing Participatory Design in the Public Sector. The Design Journal. 2015 Jun 1;18(2):227–48. </w:t>
      </w:r>
    </w:p>
    <w:p w14:paraId="3C7E410D" w14:textId="77777777" w:rsidR="00A92B65" w:rsidRPr="00A92B65" w:rsidRDefault="00A92B65" w:rsidP="00A92B65">
      <w:pPr>
        <w:pStyle w:val="Bibliography"/>
        <w:rPr>
          <w:rFonts w:cs="Calibri"/>
        </w:rPr>
      </w:pPr>
      <w:r w:rsidRPr="00A92B65">
        <w:rPr>
          <w:rFonts w:cs="Calibri"/>
        </w:rPr>
        <w:t>16.</w:t>
      </w:r>
      <w:r w:rsidRPr="00A92B65">
        <w:rPr>
          <w:rFonts w:cs="Calibri"/>
        </w:rPr>
        <w:tab/>
        <w:t xml:space="preserve">Gearing RE, El-Bassel N, Ghesquiere A, Baldwin S, Gillies J, Ngeow E. Major ingredients of fidelity: A review and scientific guide to improving quality of intervention research implementation. Clinical Psychology Review. 2011 Feb 1;31(1):79–88. </w:t>
      </w:r>
    </w:p>
    <w:p w14:paraId="52925EFF" w14:textId="77777777" w:rsidR="00A92B65" w:rsidRPr="00A92B65" w:rsidRDefault="00A92B65" w:rsidP="00A92B65">
      <w:pPr>
        <w:pStyle w:val="Bibliography"/>
        <w:rPr>
          <w:rFonts w:cs="Calibri"/>
        </w:rPr>
      </w:pPr>
      <w:r w:rsidRPr="00A92B65">
        <w:rPr>
          <w:rFonts w:cs="Calibri"/>
        </w:rPr>
        <w:t>17.</w:t>
      </w:r>
      <w:r w:rsidRPr="00A92B65">
        <w:rPr>
          <w:rFonts w:cs="Calibri"/>
        </w:rPr>
        <w:tab/>
        <w:t xml:space="preserve">Borrelli B. The assessment, monitoring, and enhancement of treatment fidelity in public health clinical trials. Journal of Public Health Dentistry. 2011;71(s1):S52–63. </w:t>
      </w:r>
    </w:p>
    <w:p w14:paraId="54533D38" w14:textId="77777777" w:rsidR="00A92B65" w:rsidRPr="00A92B65" w:rsidRDefault="00A92B65" w:rsidP="00A92B65">
      <w:pPr>
        <w:pStyle w:val="Bibliography"/>
        <w:rPr>
          <w:rFonts w:cs="Calibri"/>
        </w:rPr>
      </w:pPr>
      <w:r w:rsidRPr="00A92B65">
        <w:rPr>
          <w:rFonts w:cs="Calibri"/>
        </w:rPr>
        <w:t>18.</w:t>
      </w:r>
      <w:r w:rsidRPr="00A92B65">
        <w:rPr>
          <w:rFonts w:cs="Calibri"/>
        </w:rPr>
        <w:tab/>
        <w:t xml:space="preserve">Resnick B, Bellg AJ, Borrelli B, De Francesco C, Breger R, Hecht J, et al. Examples of implementation and evaluation of treatment fidelity in the BCC studies: where we are and where we need to go. Annals of Behavioral Medicine. 2005;29(2):46–54. </w:t>
      </w:r>
    </w:p>
    <w:p w14:paraId="18606C5B" w14:textId="77777777" w:rsidR="00A92B65" w:rsidRPr="00A92B65" w:rsidRDefault="00A92B65" w:rsidP="00A92B65">
      <w:pPr>
        <w:pStyle w:val="Bibliography"/>
        <w:rPr>
          <w:rFonts w:cs="Calibri"/>
        </w:rPr>
      </w:pPr>
      <w:r w:rsidRPr="00A92B65">
        <w:rPr>
          <w:rFonts w:cs="Calibri"/>
        </w:rPr>
        <w:t>19.</w:t>
      </w:r>
      <w:r w:rsidRPr="00A92B65">
        <w:rPr>
          <w:rFonts w:cs="Calibri"/>
        </w:rPr>
        <w:tab/>
        <w:t xml:space="preserve">Prestwich A, Sniehotta FF, Whittington C, Dombrowski SU, Rogers L, Michie S. Does theory influence the effectiveness of health behavior interventions? Meta-analysis. Health psychology. 2014;33(5):465. </w:t>
      </w:r>
    </w:p>
    <w:p w14:paraId="46299ED3" w14:textId="77777777" w:rsidR="00A92B65" w:rsidRPr="00A92B65" w:rsidRDefault="00A92B65" w:rsidP="00A92B65">
      <w:pPr>
        <w:pStyle w:val="Bibliography"/>
        <w:rPr>
          <w:rFonts w:cs="Calibri"/>
        </w:rPr>
      </w:pPr>
      <w:r w:rsidRPr="00A92B65">
        <w:rPr>
          <w:rFonts w:cs="Calibri"/>
        </w:rPr>
        <w:t>20.</w:t>
      </w:r>
      <w:r w:rsidRPr="00A92B65">
        <w:rPr>
          <w:rFonts w:cs="Calibri"/>
        </w:rPr>
        <w:tab/>
        <w:t xml:space="preserve">Bazzano AN, Yan SD, Martin J, Mulhern E, Brown E, LaFond A, et al. Improving the reporting of health research involving design: a proposed guideline. BMJ Global Health. 2020;5(2):e002248. </w:t>
      </w:r>
    </w:p>
    <w:p w14:paraId="45BECE3B" w14:textId="77777777" w:rsidR="00A92B65" w:rsidRPr="00A92B65" w:rsidRDefault="00A92B65" w:rsidP="00A92B65">
      <w:pPr>
        <w:pStyle w:val="Bibliography"/>
        <w:rPr>
          <w:rFonts w:cs="Calibri"/>
        </w:rPr>
      </w:pPr>
      <w:r w:rsidRPr="00A92B65">
        <w:rPr>
          <w:rFonts w:cs="Calibri"/>
        </w:rPr>
        <w:t>21.</w:t>
      </w:r>
      <w:r w:rsidRPr="00A92B65">
        <w:rPr>
          <w:rFonts w:cs="Calibri"/>
        </w:rPr>
        <w:tab/>
        <w:t xml:space="preserve">Staniszewska S, Brett J, Simera I, Seers K, Mockford C, Goodlad S, et al. GRIPP2 reporting checklists: tools to improve reporting of patient and public involvement in research. bmj. 2017;358. </w:t>
      </w:r>
    </w:p>
    <w:p w14:paraId="43FA9582" w14:textId="77777777" w:rsidR="00A92B65" w:rsidRPr="00A92B65" w:rsidRDefault="00A92B65" w:rsidP="00A92B65">
      <w:pPr>
        <w:pStyle w:val="Bibliography"/>
        <w:rPr>
          <w:rFonts w:cs="Calibri"/>
        </w:rPr>
      </w:pPr>
      <w:r w:rsidRPr="00A92B65">
        <w:rPr>
          <w:rFonts w:cs="Calibri"/>
        </w:rPr>
        <w:t>22.</w:t>
      </w:r>
      <w:r w:rsidRPr="00A92B65">
        <w:rPr>
          <w:rFonts w:cs="Calibri"/>
        </w:rPr>
        <w:tab/>
        <w:t xml:space="preserve">Palinkas LA, Horwitz SM, Green CA, Wisdom JP, Duan N, Hoagwood K. Purposeful sampling for qualitative data collection and analysis in mixed method implementation research. Administration and policy in mental health and mental health services research. 2015;42(5):533–44. </w:t>
      </w:r>
    </w:p>
    <w:p w14:paraId="7F468187" w14:textId="77777777" w:rsidR="00A92B65" w:rsidRPr="00A92B65" w:rsidRDefault="00A92B65" w:rsidP="00A92B65">
      <w:pPr>
        <w:pStyle w:val="Bibliography"/>
        <w:rPr>
          <w:rFonts w:cs="Calibri"/>
        </w:rPr>
      </w:pPr>
      <w:r w:rsidRPr="00A92B65">
        <w:rPr>
          <w:rFonts w:cs="Calibri"/>
        </w:rPr>
        <w:t>23.</w:t>
      </w:r>
      <w:r w:rsidRPr="00A92B65">
        <w:rPr>
          <w:rFonts w:cs="Calibri"/>
        </w:rPr>
        <w:tab/>
        <w:t xml:space="preserve">Durlak JA, DuPre EP. Implementation matters: A review of research on the influence of implementation on program outcomes and the factors affecting implementation. American journal of community psychology. 2008;41(3):327–50. </w:t>
      </w:r>
    </w:p>
    <w:p w14:paraId="4EE4080F" w14:textId="77777777" w:rsidR="00A92B65" w:rsidRPr="00A92B65" w:rsidRDefault="00A92B65" w:rsidP="00A92B65">
      <w:pPr>
        <w:pStyle w:val="Bibliography"/>
        <w:rPr>
          <w:rFonts w:cs="Calibri"/>
        </w:rPr>
      </w:pPr>
      <w:r w:rsidRPr="00A92B65">
        <w:rPr>
          <w:rFonts w:cs="Calibri"/>
        </w:rPr>
        <w:t>24.</w:t>
      </w:r>
      <w:r w:rsidRPr="00A92B65">
        <w:rPr>
          <w:rFonts w:cs="Calibri"/>
        </w:rPr>
        <w:tab/>
        <w:t xml:space="preserve">Plattner H, Meinel C, Leifer L. Design thinking: understand–improve–apply. Springer Science &amp; Business Media; 2010. </w:t>
      </w:r>
    </w:p>
    <w:p w14:paraId="1D161692" w14:textId="77777777" w:rsidR="00A92B65" w:rsidRPr="00A92B65" w:rsidRDefault="00A92B65" w:rsidP="00A92B65">
      <w:pPr>
        <w:pStyle w:val="Bibliography"/>
        <w:rPr>
          <w:rFonts w:cs="Calibri"/>
        </w:rPr>
      </w:pPr>
      <w:r w:rsidRPr="00A92B65">
        <w:rPr>
          <w:rFonts w:cs="Calibri"/>
        </w:rPr>
        <w:t>25.</w:t>
      </w:r>
      <w:r w:rsidRPr="00A92B65">
        <w:rPr>
          <w:rFonts w:cs="Calibri"/>
        </w:rPr>
        <w:tab/>
        <w:t xml:space="preserve">Scott S, Twigg MJ, Clark A, Farrow C, May H, Patel M, et al. Development of a hospital deprescribing implementation framework: a focus group study with geriatricians and pharmacists. Age and ageing. 2020;49(1):102–10. </w:t>
      </w:r>
    </w:p>
    <w:p w14:paraId="736CA0D3" w14:textId="77777777" w:rsidR="00A92B65" w:rsidRPr="00A92B65" w:rsidRDefault="00A92B65" w:rsidP="00A92B65">
      <w:pPr>
        <w:pStyle w:val="Bibliography"/>
        <w:rPr>
          <w:rFonts w:cs="Calibri"/>
        </w:rPr>
      </w:pPr>
      <w:r w:rsidRPr="00A92B65">
        <w:rPr>
          <w:rFonts w:cs="Calibri"/>
        </w:rPr>
        <w:t>26.</w:t>
      </w:r>
      <w:r w:rsidRPr="00A92B65">
        <w:rPr>
          <w:rFonts w:cs="Calibri"/>
        </w:rPr>
        <w:tab/>
        <w:t xml:space="preserve">Grindell C, Coates E, Croot L, O’Cathain A. The use of co-production, co-design and co-creation to mobilise knowledge in the management of health conditions: a systematic review. BMC Health Services Research. 2022 Jul 7;22(1):877. </w:t>
      </w:r>
    </w:p>
    <w:p w14:paraId="2962AAED" w14:textId="77777777" w:rsidR="00A92B65" w:rsidRPr="00A92B65" w:rsidRDefault="00A92B65" w:rsidP="00A92B65">
      <w:pPr>
        <w:pStyle w:val="Bibliography"/>
        <w:rPr>
          <w:rFonts w:cs="Calibri"/>
        </w:rPr>
      </w:pPr>
      <w:r w:rsidRPr="00A92B65">
        <w:rPr>
          <w:rFonts w:cs="Calibri"/>
        </w:rPr>
        <w:lastRenderedPageBreak/>
        <w:t>27.</w:t>
      </w:r>
      <w:r w:rsidRPr="00A92B65">
        <w:rPr>
          <w:rFonts w:cs="Calibri"/>
        </w:rPr>
        <w:tab/>
        <w:t xml:space="preserve">Hoffmann TC, Glasziou PP, Boutron I, Milne R, Perera R, Moher D, et al. Better reporting of interventions: template for intervention description and replication (TIDieR) checklist and guide. Bmj. 2014;348. </w:t>
      </w:r>
    </w:p>
    <w:p w14:paraId="49440BB5" w14:textId="77777777" w:rsidR="00A92B65" w:rsidRPr="00A92B65" w:rsidRDefault="00A92B65" w:rsidP="00A92B65">
      <w:pPr>
        <w:pStyle w:val="Bibliography"/>
        <w:rPr>
          <w:rFonts w:cs="Calibri"/>
        </w:rPr>
      </w:pPr>
      <w:r w:rsidRPr="00A92B65">
        <w:rPr>
          <w:rFonts w:cs="Calibri"/>
        </w:rPr>
        <w:t>28.</w:t>
      </w:r>
      <w:r w:rsidRPr="00A92B65">
        <w:rPr>
          <w:rFonts w:cs="Calibri"/>
        </w:rPr>
        <w:tab/>
        <w:t xml:space="preserve">Law RJ, Williams L, Langley J, Burton C, Hall B, Hiscock J, et al. ‘Function First—Be Active, Stay Independent’—promoting physical activity and physical function in people with long-term conditions by primary care: a protocol for a realist synthesis with embedded co-production and co-design. BMJ open. 2020;10(2):e035686. </w:t>
      </w:r>
    </w:p>
    <w:p w14:paraId="5281EEC7" w14:textId="77777777" w:rsidR="00A92B65" w:rsidRPr="00A92B65" w:rsidRDefault="00A92B65" w:rsidP="00A92B65">
      <w:pPr>
        <w:pStyle w:val="Bibliography"/>
        <w:rPr>
          <w:rFonts w:cs="Calibri"/>
        </w:rPr>
      </w:pPr>
      <w:r w:rsidRPr="00A92B65">
        <w:rPr>
          <w:rFonts w:cs="Calibri"/>
        </w:rPr>
        <w:t>29.</w:t>
      </w:r>
      <w:r w:rsidRPr="00A92B65">
        <w:rPr>
          <w:rFonts w:cs="Calibri"/>
        </w:rPr>
        <w:tab/>
        <w:t xml:space="preserve">O’Mahony D, O’Sullivan D, Byrne S, O’Connor MN, Ryan C, Gallagher P. STOPP/START criteria for potentially inappropriate prescribing in older people: version 2. Age and ageing. 2014;44(2):213–8. </w:t>
      </w:r>
    </w:p>
    <w:p w14:paraId="5DB221D5" w14:textId="77777777" w:rsidR="00A92B65" w:rsidRPr="00A92B65" w:rsidRDefault="00A92B65" w:rsidP="00A92B65">
      <w:pPr>
        <w:pStyle w:val="Bibliography"/>
        <w:rPr>
          <w:rFonts w:cs="Calibri"/>
        </w:rPr>
      </w:pPr>
      <w:r w:rsidRPr="00A92B65">
        <w:rPr>
          <w:rFonts w:cs="Calibri"/>
        </w:rPr>
        <w:t>30.</w:t>
      </w:r>
      <w:r w:rsidRPr="00A92B65">
        <w:rPr>
          <w:rFonts w:cs="Calibri"/>
        </w:rPr>
        <w:tab/>
        <w:t xml:space="preserve">Fick DM, Cooper JW, Wade WE, Waller JL, Maclean JR, Beers MH. Updating the Beers Criteria for Potentially Inappropriate Medication Use in Older Adults: Results of a US Consensus Panel of Experts. Archives of Internal Medicine. 2003 Dec 8;163(22):2716–24. </w:t>
      </w:r>
    </w:p>
    <w:p w14:paraId="15C8C48B" w14:textId="77777777" w:rsidR="00A92B65" w:rsidRPr="00A92B65" w:rsidRDefault="00A92B65" w:rsidP="00A92B65">
      <w:pPr>
        <w:pStyle w:val="Bibliography"/>
        <w:rPr>
          <w:rFonts w:cs="Calibri"/>
        </w:rPr>
      </w:pPr>
      <w:r w:rsidRPr="00A92B65">
        <w:rPr>
          <w:rFonts w:cs="Calibri"/>
        </w:rPr>
        <w:t>31.</w:t>
      </w:r>
      <w:r w:rsidRPr="00A92B65">
        <w:rPr>
          <w:rFonts w:cs="Calibri"/>
        </w:rPr>
        <w:tab/>
        <w:t xml:space="preserve">Atkins L, Francis J, Islam R, O’Connor D, Patey A, Ivers N, et al. A guide to using the Theoretical Domains Framework of behaviour change to investigate implementation problems. Implementation Science. 2017;12(1):1–18. </w:t>
      </w:r>
    </w:p>
    <w:p w14:paraId="5228CC01" w14:textId="77777777" w:rsidR="00A92B65" w:rsidRPr="00A92B65" w:rsidRDefault="00A92B65" w:rsidP="00A92B65">
      <w:pPr>
        <w:pStyle w:val="Bibliography"/>
        <w:rPr>
          <w:rFonts w:cs="Calibri"/>
        </w:rPr>
      </w:pPr>
      <w:r w:rsidRPr="00A92B65">
        <w:rPr>
          <w:rFonts w:cs="Calibri"/>
        </w:rPr>
        <w:t>32.</w:t>
      </w:r>
      <w:r w:rsidRPr="00A92B65">
        <w:rPr>
          <w:rFonts w:cs="Calibri"/>
        </w:rPr>
        <w:tab/>
        <w:t xml:space="preserve">Thompson W, Reeve E. Deprescribing: Moving beyond barriers and facilitators. Research in Social and Administrative Pharmacy. 2022 Mar 1;18(3):2547–9. </w:t>
      </w:r>
    </w:p>
    <w:p w14:paraId="02273575" w14:textId="77777777" w:rsidR="00A92B65" w:rsidRPr="00A92B65" w:rsidRDefault="00A92B65" w:rsidP="00A92B65">
      <w:pPr>
        <w:pStyle w:val="Bibliography"/>
        <w:rPr>
          <w:rFonts w:cs="Calibri"/>
        </w:rPr>
      </w:pPr>
      <w:r w:rsidRPr="00A92B65">
        <w:rPr>
          <w:rFonts w:cs="Calibri"/>
        </w:rPr>
        <w:t>33.</w:t>
      </w:r>
      <w:r w:rsidRPr="00A92B65">
        <w:rPr>
          <w:rFonts w:cs="Calibri"/>
        </w:rPr>
        <w:tab/>
        <w:t xml:space="preserve">Dalton K, O’Mahony D, Cullinan S, Byrne S. Factors affecting prescriber implementation of computer-generated medication recommendations in the SENATOR trial: a qualitative study. Drugs &amp; Aging. 2020;37(9):703–13. </w:t>
      </w:r>
    </w:p>
    <w:p w14:paraId="353A7CFB" w14:textId="77777777" w:rsidR="00A92B65" w:rsidRPr="00A92B65" w:rsidRDefault="00A92B65" w:rsidP="00A92B65">
      <w:pPr>
        <w:pStyle w:val="Bibliography"/>
        <w:rPr>
          <w:rFonts w:cs="Calibri"/>
        </w:rPr>
      </w:pPr>
      <w:r w:rsidRPr="00A92B65">
        <w:rPr>
          <w:rFonts w:cs="Calibri"/>
        </w:rPr>
        <w:t>34.</w:t>
      </w:r>
      <w:r w:rsidRPr="00A92B65">
        <w:rPr>
          <w:rFonts w:cs="Calibri"/>
        </w:rPr>
        <w:tab/>
        <w:t xml:space="preserve">O’Mahony D, Gudmundsson A, Soiza RL, Petrovic M, Cruz-Jentoft AJ, Cherubini A, et al. Prevention of adverse drug reactions in hospitalized older patients with multi-morbidity and polypharmacy: the SENATOR* randomized controlled clinical trial. Age and Ageing. 2020;49(4):605–14. </w:t>
      </w:r>
    </w:p>
    <w:p w14:paraId="1FD97ADC" w14:textId="77777777" w:rsidR="00A92B65" w:rsidRPr="00A92B65" w:rsidRDefault="00A92B65" w:rsidP="00A92B65">
      <w:pPr>
        <w:pStyle w:val="Bibliography"/>
        <w:rPr>
          <w:rFonts w:cs="Calibri"/>
        </w:rPr>
      </w:pPr>
      <w:r w:rsidRPr="00A92B65">
        <w:rPr>
          <w:rFonts w:cs="Calibri"/>
        </w:rPr>
        <w:t>35.</w:t>
      </w:r>
      <w:r w:rsidRPr="00A92B65">
        <w:rPr>
          <w:rFonts w:cs="Calibri"/>
        </w:rPr>
        <w:tab/>
        <w:t xml:space="preserve">May CR, Mair F, Finch T, MacFarlane A, Dowrick C, Treweek S, et al. Development of a theory of implementation and integration: Normalization Process Theory. Implementation Science. 2009 May 21;4(1):29. </w:t>
      </w:r>
    </w:p>
    <w:p w14:paraId="754B13F3" w14:textId="77777777" w:rsidR="00A92B65" w:rsidRPr="00A92B65" w:rsidRDefault="00A92B65" w:rsidP="00A92B65">
      <w:pPr>
        <w:pStyle w:val="Bibliography"/>
        <w:rPr>
          <w:rFonts w:cs="Calibri"/>
        </w:rPr>
      </w:pPr>
      <w:r w:rsidRPr="00A92B65">
        <w:rPr>
          <w:rFonts w:cs="Calibri"/>
        </w:rPr>
        <w:t>36.</w:t>
      </w:r>
      <w:r w:rsidRPr="00A92B65">
        <w:rPr>
          <w:rFonts w:cs="Calibri"/>
        </w:rPr>
        <w:tab/>
        <w:t xml:space="preserve">Donetto S, Pierri P, Tsianakas V, Robert G. Experience-based co-design and healthcare improvement: realizing participatory design in the public sector. The Design Journal. 2015;18(2):227–48. </w:t>
      </w:r>
    </w:p>
    <w:p w14:paraId="5C493CCC" w14:textId="77777777" w:rsidR="00A92B65" w:rsidRPr="00A92B65" w:rsidRDefault="00A92B65" w:rsidP="00A92B65">
      <w:pPr>
        <w:pStyle w:val="Bibliography"/>
        <w:rPr>
          <w:rFonts w:cs="Calibri"/>
        </w:rPr>
      </w:pPr>
      <w:r w:rsidRPr="00A92B65">
        <w:rPr>
          <w:rFonts w:cs="Calibri"/>
        </w:rPr>
        <w:t>37.</w:t>
      </w:r>
      <w:r w:rsidRPr="00A92B65">
        <w:rPr>
          <w:rFonts w:cs="Calibri"/>
        </w:rPr>
        <w:tab/>
        <w:t xml:space="preserve">Murray E, Treweek S, Pope C, MacFarlane A, Ballini L, Dowrick C, et al. Normalisation process theory: a framework for developing, evaluating and implementing complex interventions. BMC Med. 2010 Oct 20;8(1):63. </w:t>
      </w:r>
    </w:p>
    <w:p w14:paraId="00AE5121" w14:textId="77777777" w:rsidR="00A92B65" w:rsidRPr="00A92B65" w:rsidRDefault="00A92B65" w:rsidP="00A92B65">
      <w:pPr>
        <w:pStyle w:val="Bibliography"/>
        <w:rPr>
          <w:rFonts w:cs="Calibri"/>
        </w:rPr>
      </w:pPr>
      <w:r w:rsidRPr="00A92B65">
        <w:rPr>
          <w:rFonts w:cs="Calibri"/>
        </w:rPr>
        <w:t>38.</w:t>
      </w:r>
      <w:r w:rsidRPr="00A92B65">
        <w:rPr>
          <w:rFonts w:cs="Calibri"/>
        </w:rPr>
        <w:tab/>
        <w:t xml:space="preserve">Rycroft-Malone J. The PARIHS framework—a framework for guiding the implementation of evidence-based practice. Journal of nursing care quality. 2004;19(4):297–304. </w:t>
      </w:r>
    </w:p>
    <w:p w14:paraId="3A6B0B7F" w14:textId="77777777" w:rsidR="00A92B65" w:rsidRPr="00A92B65" w:rsidRDefault="00A92B65" w:rsidP="00A92B65">
      <w:pPr>
        <w:pStyle w:val="Bibliography"/>
        <w:rPr>
          <w:rFonts w:cs="Calibri"/>
        </w:rPr>
      </w:pPr>
      <w:r w:rsidRPr="00A92B65">
        <w:rPr>
          <w:rFonts w:cs="Calibri"/>
        </w:rPr>
        <w:t>39.</w:t>
      </w:r>
      <w:r w:rsidRPr="00A92B65">
        <w:rPr>
          <w:rFonts w:cs="Calibri"/>
        </w:rPr>
        <w:tab/>
        <w:t xml:space="preserve">Cutbush S, Gibbs D, Krieger K, Clinton-Sherrod M, Miller S. Implementers’ Perspectives on Fidelity of Implementation: “Teach Every Single Part” or “Be Right With the Curriculum”? Health promotion practice. 2017;18(2):275–82. </w:t>
      </w:r>
    </w:p>
    <w:p w14:paraId="37A4DCEE" w14:textId="77777777" w:rsidR="00A92B65" w:rsidRPr="00A92B65" w:rsidRDefault="00A92B65" w:rsidP="00A92B65">
      <w:pPr>
        <w:pStyle w:val="Bibliography"/>
        <w:rPr>
          <w:rFonts w:cs="Calibri"/>
        </w:rPr>
      </w:pPr>
      <w:r w:rsidRPr="00A92B65">
        <w:rPr>
          <w:rFonts w:cs="Calibri"/>
        </w:rPr>
        <w:lastRenderedPageBreak/>
        <w:t>40.</w:t>
      </w:r>
      <w:r w:rsidRPr="00A92B65">
        <w:rPr>
          <w:rFonts w:cs="Calibri"/>
        </w:rPr>
        <w:tab/>
        <w:t xml:space="preserve">Hailemariam M, Bustos T, Montgomery B, Barajas R, Evans LB, Drahota A. Evidence-based intervention sustainability strategies: a systematic review. Implementation Science. 2019;14(1):1–12. </w:t>
      </w:r>
    </w:p>
    <w:p w14:paraId="4ABC7AF0" w14:textId="77777777" w:rsidR="00A92B65" w:rsidRPr="00A92B65" w:rsidRDefault="00A92B65" w:rsidP="00A92B65">
      <w:pPr>
        <w:pStyle w:val="Bibliography"/>
        <w:rPr>
          <w:rFonts w:cs="Calibri"/>
        </w:rPr>
      </w:pPr>
      <w:r w:rsidRPr="00A92B65">
        <w:rPr>
          <w:rFonts w:cs="Calibri"/>
        </w:rPr>
        <w:t>41.</w:t>
      </w:r>
      <w:r w:rsidRPr="00A92B65">
        <w:rPr>
          <w:rFonts w:cs="Calibri"/>
        </w:rPr>
        <w:tab/>
        <w:t xml:space="preserve">May CR, Johnson M, Finch T. Implementation, context and complexity. Implementation Science. 2016 Oct 19;11(1):141. </w:t>
      </w:r>
    </w:p>
    <w:p w14:paraId="3BC53948" w14:textId="77777777" w:rsidR="00A92B65" w:rsidRPr="00A92B65" w:rsidRDefault="00A92B65" w:rsidP="00A92B65">
      <w:pPr>
        <w:pStyle w:val="Bibliography"/>
        <w:rPr>
          <w:rFonts w:cs="Calibri"/>
        </w:rPr>
      </w:pPr>
      <w:r w:rsidRPr="00A92B65">
        <w:rPr>
          <w:rFonts w:cs="Calibri"/>
        </w:rPr>
        <w:t>42.</w:t>
      </w:r>
      <w:r w:rsidRPr="00A92B65">
        <w:rPr>
          <w:rFonts w:cs="Calibri"/>
        </w:rPr>
        <w:tab/>
        <w:t>Alharthi M, Wright D, Scott S, Birt L. Barriers and enablers to deprescribing for older people in care homes: The theory-based perspectives of pharmacist independent prescribers. Research in Social and Administrative Pharmacy [Internet]. 2023 Jan 31 [cited 2023 Feb 7]; Available from: https://www.sciencedirect.com/science/article/pii/S1551741123000335</w:t>
      </w:r>
    </w:p>
    <w:p w14:paraId="18334ECF" w14:textId="77777777" w:rsidR="00A92B65" w:rsidRPr="00A92B65" w:rsidRDefault="00A92B65" w:rsidP="00A92B65">
      <w:pPr>
        <w:pStyle w:val="Bibliography"/>
        <w:rPr>
          <w:rFonts w:cs="Calibri"/>
        </w:rPr>
      </w:pPr>
      <w:r w:rsidRPr="00A92B65">
        <w:rPr>
          <w:rFonts w:cs="Calibri"/>
        </w:rPr>
        <w:t>43.</w:t>
      </w:r>
      <w:r w:rsidRPr="00A92B65">
        <w:rPr>
          <w:rFonts w:cs="Calibri"/>
        </w:rPr>
        <w:tab/>
        <w:t xml:space="preserve">Klaic M, Kapp S, Hudson P, Chapman W, Denehy L, Story D, et al. Implementability of healthcare interventions: an overview of reviews and development of a conceptual framework. Implementation Science. 2022 Jan 27;17(1):10. </w:t>
      </w:r>
    </w:p>
    <w:p w14:paraId="036311E7" w14:textId="77777777" w:rsidR="00A92B65" w:rsidRPr="00A92B65" w:rsidRDefault="00A92B65" w:rsidP="00A92B65">
      <w:pPr>
        <w:pStyle w:val="Bibliography"/>
        <w:rPr>
          <w:rFonts w:cs="Calibri"/>
        </w:rPr>
      </w:pPr>
      <w:r w:rsidRPr="00A92B65">
        <w:rPr>
          <w:rFonts w:cs="Calibri"/>
        </w:rPr>
        <w:t>44.</w:t>
      </w:r>
      <w:r w:rsidRPr="00A92B65">
        <w:rPr>
          <w:rFonts w:cs="Calibri"/>
        </w:rPr>
        <w:tab/>
        <w:t xml:space="preserve">Geerligs L, Shepherd HL, Rankin NM, Masya L, Shaw JM, Price MA, et al. The value of real-world testing: a qualitative feasibility study to explore staff and organisational barriers and strategies to support implementation of a clinical pathway for the management of anxiety and depression in adult cancer patients. Pilot and Feasibility Studies. 2020 Jul 29;6(1):109. </w:t>
      </w:r>
    </w:p>
    <w:p w14:paraId="1C6657E5" w14:textId="15445F37" w:rsidR="00447DF3" w:rsidRDefault="00762B3F" w:rsidP="00B82B2D">
      <w:pPr>
        <w:spacing w:line="480" w:lineRule="auto"/>
        <w:rPr>
          <w:b/>
          <w:bCs/>
          <w:sz w:val="28"/>
          <w:szCs w:val="28"/>
        </w:rPr>
      </w:pPr>
      <w:r>
        <w:rPr>
          <w:b/>
          <w:bCs/>
          <w:sz w:val="28"/>
          <w:szCs w:val="28"/>
        </w:rPr>
        <w:fldChar w:fldCharType="end"/>
      </w:r>
    </w:p>
    <w:p w14:paraId="3B64FDE7" w14:textId="2C6D5FC9" w:rsidR="00447DF3" w:rsidRDefault="00447DF3" w:rsidP="00B82B2D">
      <w:pPr>
        <w:spacing w:line="480" w:lineRule="auto"/>
        <w:rPr>
          <w:b/>
          <w:bCs/>
          <w:sz w:val="28"/>
          <w:szCs w:val="28"/>
        </w:rPr>
      </w:pPr>
    </w:p>
    <w:p w14:paraId="59260F0B" w14:textId="77777777" w:rsidR="00447DF3" w:rsidRDefault="00447DF3" w:rsidP="00B82B2D">
      <w:pPr>
        <w:spacing w:after="160" w:line="480" w:lineRule="auto"/>
        <w:rPr>
          <w:b/>
          <w:bCs/>
          <w:sz w:val="28"/>
          <w:szCs w:val="28"/>
        </w:rPr>
      </w:pPr>
      <w:r>
        <w:rPr>
          <w:b/>
          <w:bCs/>
          <w:sz w:val="28"/>
          <w:szCs w:val="28"/>
        </w:rPr>
        <w:br w:type="page"/>
      </w:r>
    </w:p>
    <w:p w14:paraId="7B0065D4" w14:textId="0FE95412" w:rsidR="00447DF3" w:rsidRPr="006D048E" w:rsidRDefault="00447DF3" w:rsidP="00F72416">
      <w:pPr>
        <w:pStyle w:val="Heading1"/>
        <w:rPr>
          <w:rFonts w:ascii="Calibri" w:hAnsi="Calibri" w:cs="Calibri"/>
          <w:b/>
          <w:bCs/>
          <w:color w:val="000000" w:themeColor="text1"/>
          <w:sz w:val="28"/>
          <w:szCs w:val="28"/>
        </w:rPr>
      </w:pPr>
      <w:r w:rsidRPr="006D048E">
        <w:rPr>
          <w:rFonts w:ascii="Calibri" w:hAnsi="Calibri" w:cs="Calibri"/>
          <w:b/>
          <w:bCs/>
          <w:color w:val="000000" w:themeColor="text1"/>
          <w:sz w:val="28"/>
          <w:szCs w:val="28"/>
        </w:rPr>
        <w:lastRenderedPageBreak/>
        <w:t>Declarations</w:t>
      </w:r>
    </w:p>
    <w:p w14:paraId="054AE91F" w14:textId="77777777" w:rsidR="0041740E" w:rsidRPr="0041740E" w:rsidRDefault="0041740E" w:rsidP="0041740E"/>
    <w:p w14:paraId="299E6B8D" w14:textId="4B8538C4" w:rsidR="00925EEF" w:rsidRDefault="00447DF3" w:rsidP="004472F0">
      <w:pPr>
        <w:shd w:val="clear" w:color="auto" w:fill="FFFFFF"/>
        <w:spacing w:after="0" w:line="360" w:lineRule="auto"/>
        <w:rPr>
          <w:rFonts w:cs="Calibri"/>
          <w:b/>
          <w:bCs/>
          <w:color w:val="000000" w:themeColor="text1"/>
          <w:sz w:val="24"/>
          <w:lang w:eastAsia="en-GB"/>
        </w:rPr>
      </w:pPr>
      <w:r w:rsidRPr="00F37BF6">
        <w:rPr>
          <w:rFonts w:cs="Calibri"/>
          <w:b/>
          <w:bCs/>
          <w:color w:val="000000" w:themeColor="text1"/>
          <w:sz w:val="24"/>
          <w:lang w:eastAsia="en-GB"/>
        </w:rPr>
        <w:t>Ethics approval and consent to participate</w:t>
      </w:r>
    </w:p>
    <w:p w14:paraId="1E6455A5" w14:textId="77777777" w:rsidR="009E6C20" w:rsidRDefault="009E6C20" w:rsidP="009E6C20">
      <w:pPr>
        <w:spacing w:after="0" w:line="360" w:lineRule="auto"/>
        <w:rPr>
          <w:rFonts w:cs="Calibri"/>
          <w:color w:val="000000" w:themeColor="text1"/>
          <w:sz w:val="24"/>
          <w:shd w:val="clear" w:color="auto" w:fill="FFFFFF"/>
          <w:lang w:eastAsia="en-GB"/>
        </w:rPr>
      </w:pPr>
      <w:r>
        <w:rPr>
          <w:rFonts w:cs="Calibri"/>
          <w:color w:val="000000" w:themeColor="text1"/>
          <w:sz w:val="24"/>
          <w:shd w:val="clear" w:color="auto" w:fill="FFFFFF"/>
          <w:lang w:eastAsia="en-GB"/>
        </w:rPr>
        <w:t>[Omitted for anonymised review]</w:t>
      </w:r>
    </w:p>
    <w:p w14:paraId="0D8B81C7" w14:textId="77777777" w:rsidR="00925EEF" w:rsidRPr="00925EEF" w:rsidRDefault="00925EEF" w:rsidP="00925EEF">
      <w:pPr>
        <w:pStyle w:val="NormalWeb"/>
        <w:spacing w:before="0" w:beforeAutospacing="0" w:after="0" w:afterAutospacing="0" w:line="360" w:lineRule="auto"/>
        <w:rPr>
          <w:rFonts w:ascii="Calibri" w:hAnsi="Calibri" w:cs="Calibri"/>
          <w:color w:val="000000" w:themeColor="text1"/>
          <w:shd w:val="clear" w:color="auto" w:fill="FFFFFF"/>
        </w:rPr>
      </w:pPr>
    </w:p>
    <w:p w14:paraId="4345C167" w14:textId="77777777" w:rsidR="00447DF3" w:rsidRDefault="00447DF3" w:rsidP="004472F0">
      <w:pPr>
        <w:shd w:val="clear" w:color="auto" w:fill="FFFFFF"/>
        <w:spacing w:after="0" w:line="360" w:lineRule="auto"/>
        <w:rPr>
          <w:rFonts w:cs="Calibri"/>
          <w:b/>
          <w:bCs/>
          <w:color w:val="000000" w:themeColor="text1"/>
          <w:sz w:val="24"/>
          <w:lang w:eastAsia="en-GB"/>
        </w:rPr>
      </w:pPr>
      <w:r w:rsidRPr="00F37BF6">
        <w:rPr>
          <w:rFonts w:cs="Calibri"/>
          <w:b/>
          <w:bCs/>
          <w:color w:val="000000" w:themeColor="text1"/>
          <w:sz w:val="24"/>
          <w:lang w:eastAsia="en-GB"/>
        </w:rPr>
        <w:t>Consent for publication</w:t>
      </w:r>
    </w:p>
    <w:p w14:paraId="4F5E7AFD" w14:textId="5AC9EAE8" w:rsidR="00D62FFA" w:rsidRDefault="004472F0" w:rsidP="004472F0">
      <w:pPr>
        <w:shd w:val="clear" w:color="auto" w:fill="FFFFFF"/>
        <w:spacing w:after="0" w:line="360" w:lineRule="auto"/>
        <w:rPr>
          <w:rFonts w:cs="Calibri"/>
          <w:color w:val="000000" w:themeColor="text1"/>
          <w:sz w:val="24"/>
          <w:lang w:eastAsia="en-GB"/>
        </w:rPr>
      </w:pPr>
      <w:r w:rsidRPr="004472F0">
        <w:rPr>
          <w:rFonts w:cs="Calibri"/>
          <w:color w:val="000000" w:themeColor="text1"/>
          <w:sz w:val="24"/>
          <w:lang w:eastAsia="en-GB"/>
        </w:rPr>
        <w:t xml:space="preserve">Not applicable. </w:t>
      </w:r>
    </w:p>
    <w:p w14:paraId="0F45B494" w14:textId="77777777" w:rsidR="004472F0" w:rsidRPr="004472F0" w:rsidRDefault="004472F0" w:rsidP="004472F0">
      <w:pPr>
        <w:shd w:val="clear" w:color="auto" w:fill="FFFFFF"/>
        <w:spacing w:after="0" w:line="360" w:lineRule="auto"/>
        <w:rPr>
          <w:rFonts w:cs="Calibri"/>
          <w:color w:val="000000" w:themeColor="text1"/>
          <w:sz w:val="24"/>
          <w:lang w:eastAsia="en-GB"/>
        </w:rPr>
      </w:pPr>
    </w:p>
    <w:p w14:paraId="1697A7D0" w14:textId="1F4C8F98" w:rsidR="00ED7433" w:rsidRDefault="00447DF3" w:rsidP="004472F0">
      <w:pPr>
        <w:shd w:val="clear" w:color="auto" w:fill="FFFFFF"/>
        <w:spacing w:after="0" w:line="360" w:lineRule="auto"/>
        <w:rPr>
          <w:rFonts w:cs="Calibri"/>
          <w:b/>
          <w:bCs/>
          <w:color w:val="000000" w:themeColor="text1"/>
          <w:sz w:val="24"/>
          <w:lang w:eastAsia="en-GB"/>
        </w:rPr>
      </w:pPr>
      <w:r w:rsidRPr="00F37BF6">
        <w:rPr>
          <w:rFonts w:cs="Calibri"/>
          <w:b/>
          <w:bCs/>
          <w:color w:val="000000" w:themeColor="text1"/>
          <w:sz w:val="24"/>
          <w:lang w:eastAsia="en-GB"/>
        </w:rPr>
        <w:t>Availability of data and materials</w:t>
      </w:r>
    </w:p>
    <w:p w14:paraId="1C565DBA" w14:textId="3397748B" w:rsidR="00D62FFA" w:rsidRDefault="00AC3EF4" w:rsidP="004472F0">
      <w:pPr>
        <w:shd w:val="clear" w:color="auto" w:fill="FFFFFF"/>
        <w:spacing w:after="0" w:line="360" w:lineRule="auto"/>
        <w:rPr>
          <w:rFonts w:cs="Calibri"/>
          <w:color w:val="000000" w:themeColor="text1"/>
          <w:sz w:val="24"/>
          <w:lang w:eastAsia="en-GB"/>
        </w:rPr>
      </w:pPr>
      <w:r>
        <w:rPr>
          <w:rFonts w:cs="Calibri"/>
          <w:color w:val="000000" w:themeColor="text1"/>
          <w:sz w:val="24"/>
          <w:lang w:eastAsia="en-GB"/>
        </w:rPr>
        <w:t>All relevant materials with the exception of the matrix are available within the manuscript and its supplementary files. The matrix</w:t>
      </w:r>
      <w:r w:rsidR="00D31AF5">
        <w:rPr>
          <w:rFonts w:cs="Calibri"/>
          <w:color w:val="000000" w:themeColor="text1"/>
          <w:sz w:val="24"/>
          <w:lang w:eastAsia="en-GB"/>
        </w:rPr>
        <w:t xml:space="preserve">, which includes </w:t>
      </w:r>
      <w:r w:rsidR="001D14D5">
        <w:rPr>
          <w:rFonts w:cs="Calibri"/>
          <w:color w:val="000000" w:themeColor="text1"/>
          <w:sz w:val="24"/>
          <w:lang w:eastAsia="en-GB"/>
        </w:rPr>
        <w:t xml:space="preserve">confidential </w:t>
      </w:r>
      <w:r w:rsidR="00D31AF5">
        <w:rPr>
          <w:rFonts w:cs="Calibri"/>
          <w:color w:val="000000" w:themeColor="text1"/>
          <w:sz w:val="24"/>
          <w:lang w:eastAsia="en-GB"/>
        </w:rPr>
        <w:t>details regarding</w:t>
      </w:r>
      <w:r w:rsidR="00E20ACF">
        <w:rPr>
          <w:rFonts w:cs="Calibri"/>
          <w:color w:val="000000" w:themeColor="text1"/>
          <w:sz w:val="24"/>
          <w:lang w:eastAsia="en-GB"/>
        </w:rPr>
        <w:t xml:space="preserve"> the design elements (the content, duration/intensity and mode of delivery for each Behaviour Change Technique operationalisation) </w:t>
      </w:r>
      <w:r>
        <w:rPr>
          <w:rFonts w:cs="Calibri"/>
          <w:color w:val="000000" w:themeColor="text1"/>
          <w:sz w:val="24"/>
          <w:lang w:eastAsia="en-GB"/>
        </w:rPr>
        <w:t>will be available on the CHARMER website once the definitive trial has been completed</w:t>
      </w:r>
      <w:r w:rsidR="00D31AF5">
        <w:rPr>
          <w:rFonts w:cs="Calibri"/>
          <w:color w:val="000000" w:themeColor="text1"/>
          <w:sz w:val="24"/>
          <w:lang w:eastAsia="en-GB"/>
        </w:rPr>
        <w:t>. This is</w:t>
      </w:r>
      <w:r>
        <w:rPr>
          <w:rFonts w:cs="Calibri"/>
          <w:color w:val="000000" w:themeColor="text1"/>
          <w:sz w:val="24"/>
          <w:lang w:eastAsia="en-GB"/>
        </w:rPr>
        <w:t xml:space="preserve"> to preserve the intervention’s </w:t>
      </w:r>
      <w:r w:rsidR="002C4FB7">
        <w:rPr>
          <w:rFonts w:cs="Calibri"/>
          <w:color w:val="000000" w:themeColor="text1"/>
          <w:sz w:val="24"/>
          <w:lang w:eastAsia="en-GB"/>
        </w:rPr>
        <w:t>innovation.</w:t>
      </w:r>
      <w:r w:rsidR="003A0667">
        <w:rPr>
          <w:rFonts w:cs="Calibri"/>
          <w:color w:val="000000" w:themeColor="text1"/>
          <w:sz w:val="24"/>
          <w:lang w:eastAsia="en-GB"/>
        </w:rPr>
        <w:t xml:space="preserve"> </w:t>
      </w:r>
    </w:p>
    <w:p w14:paraId="65EE145D" w14:textId="77777777" w:rsidR="004472F0" w:rsidRPr="00D62FFA" w:rsidRDefault="004472F0" w:rsidP="004472F0">
      <w:pPr>
        <w:shd w:val="clear" w:color="auto" w:fill="FFFFFF"/>
        <w:spacing w:after="0" w:line="360" w:lineRule="auto"/>
        <w:rPr>
          <w:rFonts w:cs="Calibri"/>
          <w:color w:val="000000" w:themeColor="text1"/>
          <w:sz w:val="24"/>
          <w:lang w:eastAsia="en-GB"/>
        </w:rPr>
      </w:pPr>
    </w:p>
    <w:p w14:paraId="784F39D1" w14:textId="77777777" w:rsidR="00447DF3" w:rsidRDefault="00447DF3" w:rsidP="004472F0">
      <w:pPr>
        <w:shd w:val="clear" w:color="auto" w:fill="FFFFFF"/>
        <w:spacing w:after="0" w:line="360" w:lineRule="auto"/>
        <w:rPr>
          <w:rFonts w:cs="Calibri"/>
          <w:b/>
          <w:bCs/>
          <w:color w:val="000000" w:themeColor="text1"/>
          <w:sz w:val="24"/>
          <w:lang w:eastAsia="en-GB"/>
        </w:rPr>
      </w:pPr>
      <w:r w:rsidRPr="00F37BF6">
        <w:rPr>
          <w:rFonts w:cs="Calibri"/>
          <w:b/>
          <w:bCs/>
          <w:color w:val="000000" w:themeColor="text1"/>
          <w:sz w:val="24"/>
          <w:lang w:eastAsia="en-GB"/>
        </w:rPr>
        <w:t>Competing interests</w:t>
      </w:r>
    </w:p>
    <w:p w14:paraId="6F5A95B4" w14:textId="18C53175" w:rsidR="00804174" w:rsidRDefault="00573F5C" w:rsidP="004472F0">
      <w:pPr>
        <w:shd w:val="clear" w:color="auto" w:fill="FFFFFF"/>
        <w:spacing w:after="0" w:line="360" w:lineRule="auto"/>
        <w:rPr>
          <w:rFonts w:cs="Calibri"/>
          <w:color w:val="000000" w:themeColor="text1"/>
          <w:sz w:val="24"/>
          <w:lang w:eastAsia="en-GB"/>
        </w:rPr>
      </w:pPr>
      <w:r>
        <w:rPr>
          <w:rFonts w:cs="Calibri"/>
          <w:color w:val="000000" w:themeColor="text1"/>
          <w:sz w:val="24"/>
          <w:lang w:eastAsia="en-GB"/>
        </w:rPr>
        <w:t>The authors declare that they have no competing interests</w:t>
      </w:r>
      <w:r w:rsidR="000B38EB">
        <w:rPr>
          <w:rFonts w:cs="Calibri"/>
          <w:color w:val="000000" w:themeColor="text1"/>
          <w:sz w:val="24"/>
          <w:lang w:eastAsia="en-GB"/>
        </w:rPr>
        <w:t>.</w:t>
      </w:r>
    </w:p>
    <w:p w14:paraId="287E3B21" w14:textId="77777777" w:rsidR="004472F0" w:rsidRPr="00804174" w:rsidRDefault="004472F0" w:rsidP="004472F0">
      <w:pPr>
        <w:shd w:val="clear" w:color="auto" w:fill="FFFFFF"/>
        <w:spacing w:after="0" w:line="360" w:lineRule="auto"/>
        <w:rPr>
          <w:rFonts w:cs="Calibri"/>
          <w:color w:val="000000" w:themeColor="text1"/>
          <w:sz w:val="24"/>
          <w:lang w:eastAsia="en-GB"/>
        </w:rPr>
      </w:pPr>
    </w:p>
    <w:p w14:paraId="126A0063" w14:textId="77777777" w:rsidR="00447DF3" w:rsidRDefault="00447DF3" w:rsidP="004472F0">
      <w:pPr>
        <w:shd w:val="clear" w:color="auto" w:fill="FFFFFF"/>
        <w:spacing w:after="0" w:line="360" w:lineRule="auto"/>
        <w:rPr>
          <w:rFonts w:cs="Calibri"/>
          <w:b/>
          <w:bCs/>
          <w:color w:val="000000" w:themeColor="text1"/>
          <w:sz w:val="24"/>
          <w:lang w:eastAsia="en-GB"/>
        </w:rPr>
      </w:pPr>
      <w:r w:rsidRPr="00F37BF6">
        <w:rPr>
          <w:rFonts w:cs="Calibri"/>
          <w:b/>
          <w:bCs/>
          <w:color w:val="000000" w:themeColor="text1"/>
          <w:sz w:val="24"/>
          <w:lang w:eastAsia="en-GB"/>
        </w:rPr>
        <w:t>Funding</w:t>
      </w:r>
    </w:p>
    <w:p w14:paraId="013D34AF" w14:textId="77777777" w:rsidR="009E6C20" w:rsidRDefault="009E6C20" w:rsidP="009E6C20">
      <w:pPr>
        <w:spacing w:after="0" w:line="360" w:lineRule="auto"/>
        <w:rPr>
          <w:rFonts w:cs="Calibri"/>
          <w:color w:val="000000" w:themeColor="text1"/>
          <w:sz w:val="24"/>
          <w:shd w:val="clear" w:color="auto" w:fill="FFFFFF"/>
          <w:lang w:eastAsia="en-GB"/>
        </w:rPr>
      </w:pPr>
      <w:r>
        <w:rPr>
          <w:rFonts w:cs="Calibri"/>
          <w:color w:val="000000" w:themeColor="text1"/>
          <w:sz w:val="24"/>
          <w:shd w:val="clear" w:color="auto" w:fill="FFFFFF"/>
          <w:lang w:eastAsia="en-GB"/>
        </w:rPr>
        <w:t>[Omitted for anonymised review]</w:t>
      </w:r>
    </w:p>
    <w:p w14:paraId="15C43073" w14:textId="77777777" w:rsidR="004472F0" w:rsidRDefault="004472F0" w:rsidP="004472F0">
      <w:pPr>
        <w:shd w:val="clear" w:color="auto" w:fill="FFFFFF"/>
        <w:spacing w:after="0" w:line="360" w:lineRule="auto"/>
        <w:rPr>
          <w:rFonts w:cs="Calibri"/>
          <w:b/>
          <w:bCs/>
          <w:color w:val="000000" w:themeColor="text1"/>
          <w:sz w:val="24"/>
          <w:lang w:eastAsia="en-GB"/>
        </w:rPr>
      </w:pPr>
    </w:p>
    <w:p w14:paraId="499AB684" w14:textId="6F42404E" w:rsidR="00DD65F5" w:rsidRPr="007016E6" w:rsidRDefault="00447DF3" w:rsidP="007016E6">
      <w:pPr>
        <w:shd w:val="clear" w:color="auto" w:fill="FFFFFF"/>
        <w:spacing w:after="0" w:line="360" w:lineRule="auto"/>
        <w:rPr>
          <w:rFonts w:cs="Calibri"/>
          <w:b/>
          <w:bCs/>
          <w:color w:val="000000" w:themeColor="text1"/>
          <w:sz w:val="24"/>
          <w:lang w:eastAsia="en-GB"/>
        </w:rPr>
      </w:pPr>
      <w:r w:rsidRPr="00F37BF6">
        <w:rPr>
          <w:rFonts w:cs="Calibri"/>
          <w:b/>
          <w:bCs/>
          <w:color w:val="000000" w:themeColor="text1"/>
          <w:sz w:val="24"/>
          <w:lang w:eastAsia="en-GB"/>
        </w:rPr>
        <w:t>Authors' contributions</w:t>
      </w:r>
    </w:p>
    <w:p w14:paraId="2A86F099" w14:textId="77777777" w:rsidR="009E6C20" w:rsidRDefault="009E6C20" w:rsidP="009E6C20">
      <w:pPr>
        <w:spacing w:after="0" w:line="360" w:lineRule="auto"/>
        <w:rPr>
          <w:rFonts w:cs="Calibri"/>
          <w:color w:val="000000" w:themeColor="text1"/>
          <w:sz w:val="24"/>
          <w:shd w:val="clear" w:color="auto" w:fill="FFFFFF"/>
          <w:lang w:eastAsia="en-GB"/>
        </w:rPr>
      </w:pPr>
      <w:r>
        <w:rPr>
          <w:rFonts w:cs="Calibri"/>
          <w:color w:val="000000" w:themeColor="text1"/>
          <w:sz w:val="24"/>
          <w:shd w:val="clear" w:color="auto" w:fill="FFFFFF"/>
          <w:lang w:eastAsia="en-GB"/>
        </w:rPr>
        <w:t>[Omitted for anonymised review]</w:t>
      </w:r>
    </w:p>
    <w:p w14:paraId="3A2B658E" w14:textId="77777777" w:rsidR="00CD78F5" w:rsidRPr="00CD78F5" w:rsidRDefault="00CD78F5" w:rsidP="00CD78F5">
      <w:pPr>
        <w:spacing w:after="0" w:line="360" w:lineRule="auto"/>
        <w:rPr>
          <w:rFonts w:cs="Calibri"/>
          <w:color w:val="000000" w:themeColor="text1"/>
          <w:sz w:val="24"/>
          <w:shd w:val="clear" w:color="auto" w:fill="FFFFFF"/>
          <w:lang w:eastAsia="en-GB"/>
        </w:rPr>
      </w:pPr>
    </w:p>
    <w:p w14:paraId="4438287F" w14:textId="22836FE4" w:rsidR="00447DF3" w:rsidRDefault="00447DF3" w:rsidP="004472F0">
      <w:pPr>
        <w:shd w:val="clear" w:color="auto" w:fill="FFFFFF"/>
        <w:spacing w:after="0" w:line="360" w:lineRule="auto"/>
        <w:rPr>
          <w:rFonts w:cs="Calibri"/>
          <w:b/>
          <w:bCs/>
          <w:color w:val="000000" w:themeColor="text1"/>
          <w:sz w:val="24"/>
          <w:lang w:eastAsia="en-GB"/>
        </w:rPr>
      </w:pPr>
      <w:r w:rsidRPr="00F37BF6">
        <w:rPr>
          <w:rFonts w:cs="Calibri"/>
          <w:b/>
          <w:bCs/>
          <w:color w:val="000000" w:themeColor="text1"/>
          <w:sz w:val="24"/>
          <w:lang w:eastAsia="en-GB"/>
        </w:rPr>
        <w:t>Acknowledgements</w:t>
      </w:r>
    </w:p>
    <w:p w14:paraId="6B228B0E" w14:textId="1D2D8ECF" w:rsidR="00DE03CB" w:rsidRPr="00791CB8" w:rsidRDefault="00F72416" w:rsidP="004472F0">
      <w:pPr>
        <w:spacing w:after="0" w:line="360" w:lineRule="auto"/>
        <w:rPr>
          <w:rFonts w:cs="Calibri"/>
          <w:color w:val="000000" w:themeColor="text1"/>
          <w:sz w:val="24"/>
          <w:lang w:eastAsia="en-GB"/>
        </w:rPr>
      </w:pPr>
      <w:r w:rsidRPr="00F72416">
        <w:rPr>
          <w:rFonts w:cs="Calibri"/>
          <w:color w:val="000000" w:themeColor="text1"/>
          <w:sz w:val="24"/>
          <w:shd w:val="clear" w:color="auto" w:fill="FFFFFF"/>
          <w:lang w:eastAsia="en-GB"/>
        </w:rPr>
        <w:t xml:space="preserve">The authors would like to thank all </w:t>
      </w:r>
      <w:r w:rsidR="00D44F9E">
        <w:rPr>
          <w:rFonts w:cs="Calibri"/>
          <w:color w:val="000000" w:themeColor="text1"/>
          <w:sz w:val="24"/>
          <w:shd w:val="clear" w:color="auto" w:fill="FFFFFF"/>
          <w:lang w:eastAsia="en-GB"/>
        </w:rPr>
        <w:t xml:space="preserve">workshop </w:t>
      </w:r>
      <w:r w:rsidRPr="00F72416">
        <w:rPr>
          <w:rFonts w:cs="Calibri"/>
          <w:color w:val="000000" w:themeColor="text1"/>
          <w:sz w:val="24"/>
          <w:shd w:val="clear" w:color="auto" w:fill="FFFFFF"/>
          <w:lang w:eastAsia="en-GB"/>
        </w:rPr>
        <w:t>participants. We thank all participating sites</w:t>
      </w:r>
      <w:r w:rsidR="00F86075">
        <w:rPr>
          <w:rFonts w:cs="Calibri"/>
          <w:color w:val="000000" w:themeColor="text1"/>
          <w:sz w:val="24"/>
          <w:shd w:val="clear" w:color="auto" w:fill="FFFFFF"/>
          <w:lang w:eastAsia="en-GB"/>
        </w:rPr>
        <w:t xml:space="preserve"> and </w:t>
      </w:r>
      <w:r w:rsidR="00E920D1">
        <w:rPr>
          <w:rFonts w:cs="Calibri"/>
          <w:color w:val="000000" w:themeColor="text1"/>
          <w:sz w:val="24"/>
          <w:shd w:val="clear" w:color="auto" w:fill="FFFFFF"/>
          <w:lang w:eastAsia="en-GB"/>
        </w:rPr>
        <w:t xml:space="preserve">the </w:t>
      </w:r>
      <w:r w:rsidR="00F86075">
        <w:rPr>
          <w:rFonts w:cs="Calibri"/>
          <w:color w:val="000000" w:themeColor="text1"/>
          <w:sz w:val="24"/>
          <w:shd w:val="clear" w:color="auto" w:fill="FFFFFF"/>
          <w:lang w:eastAsia="en-GB"/>
        </w:rPr>
        <w:t>principle investigators</w:t>
      </w:r>
      <w:r w:rsidR="00E920D1">
        <w:rPr>
          <w:rFonts w:cs="Calibri"/>
          <w:color w:val="000000" w:themeColor="text1"/>
          <w:sz w:val="24"/>
          <w:shd w:val="clear" w:color="auto" w:fill="FFFFFF"/>
          <w:lang w:eastAsia="en-GB"/>
        </w:rPr>
        <w:t xml:space="preserve"> at these sites</w:t>
      </w:r>
      <w:r w:rsidRPr="00F72416">
        <w:rPr>
          <w:rFonts w:cs="Calibri"/>
          <w:color w:val="000000" w:themeColor="text1"/>
          <w:sz w:val="24"/>
          <w:shd w:val="clear" w:color="auto" w:fill="FFFFFF"/>
          <w:lang w:eastAsia="en-GB"/>
        </w:rPr>
        <w:t xml:space="preserve"> for identifying p</w:t>
      </w:r>
      <w:r w:rsidR="00F86075">
        <w:rPr>
          <w:rFonts w:cs="Calibri"/>
          <w:color w:val="000000" w:themeColor="text1"/>
          <w:sz w:val="24"/>
          <w:shd w:val="clear" w:color="auto" w:fill="FFFFFF"/>
          <w:lang w:eastAsia="en-GB"/>
        </w:rPr>
        <w:t>articipants</w:t>
      </w:r>
      <w:r w:rsidRPr="00F72416">
        <w:rPr>
          <w:rFonts w:cs="Calibri"/>
          <w:color w:val="000000" w:themeColor="text1"/>
          <w:sz w:val="24"/>
          <w:shd w:val="clear" w:color="auto" w:fill="FFFFFF"/>
          <w:lang w:eastAsia="en-GB"/>
        </w:rPr>
        <w:t xml:space="preserve"> for the study, in particularly difficult </w:t>
      </w:r>
      <w:r w:rsidRPr="00E61436">
        <w:rPr>
          <w:rFonts w:cs="Calibri"/>
          <w:color w:val="000000" w:themeColor="text1"/>
          <w:sz w:val="24"/>
          <w:shd w:val="clear" w:color="auto" w:fill="FFFFFF"/>
          <w:lang w:eastAsia="en-GB"/>
        </w:rPr>
        <w:t>times. </w:t>
      </w:r>
      <w:r w:rsidR="00791CB8" w:rsidRPr="00E61436">
        <w:rPr>
          <w:rFonts w:cs="Calibri"/>
          <w:color w:val="000000" w:themeColor="text1"/>
          <w:sz w:val="24"/>
          <w:lang w:eastAsia="en-GB"/>
        </w:rPr>
        <w:t xml:space="preserve">We also thank the </w:t>
      </w:r>
      <w:r w:rsidR="00E61436" w:rsidRPr="00E61436">
        <w:rPr>
          <w:rFonts w:cs="Calibri"/>
          <w:color w:val="000000" w:themeColor="text1"/>
          <w:sz w:val="24"/>
          <w:lang w:eastAsia="en-GB"/>
        </w:rPr>
        <w:t xml:space="preserve">NIHR </w:t>
      </w:r>
      <w:r w:rsidR="00DE03CB" w:rsidRPr="00E61436">
        <w:rPr>
          <w:rFonts w:cs="Calibri"/>
          <w:color w:val="000000" w:themeColor="text1"/>
          <w:sz w:val="24"/>
          <w:lang w:eastAsia="en-GB"/>
        </w:rPr>
        <w:t>C</w:t>
      </w:r>
      <w:r w:rsidR="00E61436" w:rsidRPr="00E61436">
        <w:rPr>
          <w:rFonts w:cs="Calibri"/>
          <w:color w:val="000000" w:themeColor="text1"/>
          <w:sz w:val="24"/>
          <w:lang w:eastAsia="en-GB"/>
        </w:rPr>
        <w:t xml:space="preserve">linical </w:t>
      </w:r>
      <w:r w:rsidR="00DE03CB" w:rsidRPr="00E61436">
        <w:rPr>
          <w:rFonts w:cs="Calibri"/>
          <w:color w:val="000000" w:themeColor="text1"/>
          <w:sz w:val="24"/>
          <w:lang w:eastAsia="en-GB"/>
        </w:rPr>
        <w:t>R</w:t>
      </w:r>
      <w:r w:rsidR="00E61436" w:rsidRPr="00E61436">
        <w:rPr>
          <w:rFonts w:cs="Calibri"/>
          <w:color w:val="000000" w:themeColor="text1"/>
          <w:sz w:val="24"/>
          <w:lang w:eastAsia="en-GB"/>
        </w:rPr>
        <w:t xml:space="preserve">esearch </w:t>
      </w:r>
      <w:r w:rsidR="00DE03CB" w:rsidRPr="00E61436">
        <w:rPr>
          <w:rFonts w:cs="Calibri"/>
          <w:color w:val="000000" w:themeColor="text1"/>
          <w:sz w:val="24"/>
          <w:lang w:eastAsia="en-GB"/>
        </w:rPr>
        <w:t>N</w:t>
      </w:r>
      <w:r w:rsidR="00E61436" w:rsidRPr="00E61436">
        <w:rPr>
          <w:rFonts w:cs="Calibri"/>
          <w:color w:val="000000" w:themeColor="text1"/>
          <w:sz w:val="24"/>
          <w:lang w:eastAsia="en-GB"/>
        </w:rPr>
        <w:t>etwork</w:t>
      </w:r>
      <w:r w:rsidR="00DE03CB" w:rsidRPr="00E61436">
        <w:rPr>
          <w:rFonts w:cs="Calibri"/>
          <w:color w:val="000000" w:themeColor="text1"/>
          <w:sz w:val="24"/>
          <w:lang w:eastAsia="en-GB"/>
        </w:rPr>
        <w:t xml:space="preserve"> for supporting recruitment</w:t>
      </w:r>
      <w:r w:rsidR="00791CB8" w:rsidRPr="00E61436">
        <w:rPr>
          <w:rFonts w:cs="Calibri"/>
          <w:color w:val="000000" w:themeColor="text1"/>
          <w:sz w:val="24"/>
          <w:lang w:eastAsia="en-GB"/>
        </w:rPr>
        <w:t>.</w:t>
      </w:r>
    </w:p>
    <w:p w14:paraId="51CA484B" w14:textId="77777777" w:rsidR="00F23059" w:rsidRDefault="00F23059" w:rsidP="004472F0">
      <w:pPr>
        <w:shd w:val="clear" w:color="auto" w:fill="FFFFFF"/>
        <w:spacing w:after="0" w:line="360" w:lineRule="auto"/>
        <w:rPr>
          <w:rFonts w:cs="Calibri"/>
          <w:color w:val="000000" w:themeColor="text1"/>
          <w:sz w:val="24"/>
          <w:lang w:eastAsia="en-GB"/>
        </w:rPr>
      </w:pPr>
    </w:p>
    <w:p w14:paraId="510C146F" w14:textId="77777777" w:rsidR="00F23059" w:rsidRDefault="00F23059" w:rsidP="004472F0">
      <w:pPr>
        <w:shd w:val="clear" w:color="auto" w:fill="FFFFFF"/>
        <w:spacing w:after="0" w:line="360" w:lineRule="auto"/>
        <w:rPr>
          <w:rFonts w:cs="Calibri"/>
          <w:color w:val="000000" w:themeColor="text1"/>
          <w:sz w:val="24"/>
          <w:lang w:eastAsia="en-GB"/>
        </w:rPr>
      </w:pPr>
    </w:p>
    <w:p w14:paraId="0144F279" w14:textId="584458B6" w:rsidR="00F23059" w:rsidRPr="004472F0" w:rsidRDefault="00F23059" w:rsidP="004472F0">
      <w:pPr>
        <w:shd w:val="clear" w:color="auto" w:fill="FFFFFF"/>
        <w:spacing w:after="0" w:line="360" w:lineRule="auto"/>
        <w:rPr>
          <w:rFonts w:cs="Calibri"/>
          <w:color w:val="000000" w:themeColor="text1"/>
          <w:sz w:val="24"/>
          <w:lang w:eastAsia="en-GB"/>
        </w:rPr>
        <w:sectPr w:rsidR="00F23059" w:rsidRPr="004472F0" w:rsidSect="0000520E">
          <w:footerReference w:type="even" r:id="rId14"/>
          <w:footerReference w:type="default" r:id="rId15"/>
          <w:pgSz w:w="11906" w:h="16838"/>
          <w:pgMar w:top="1440" w:right="1440" w:bottom="1440" w:left="1440" w:header="708" w:footer="708" w:gutter="0"/>
          <w:cols w:space="708"/>
          <w:docGrid w:linePitch="360"/>
        </w:sectPr>
      </w:pPr>
    </w:p>
    <w:p w14:paraId="4248D667" w14:textId="21A6690F" w:rsidR="009078C7" w:rsidRPr="008A6DC8" w:rsidRDefault="009078C7" w:rsidP="00B82B2D">
      <w:pPr>
        <w:spacing w:line="480" w:lineRule="auto"/>
        <w:rPr>
          <w:rFonts w:cs="Calibri"/>
          <w:b/>
          <w:color w:val="000000" w:themeColor="text1"/>
          <w:sz w:val="24"/>
          <w:szCs w:val="28"/>
          <w:shd w:val="clear" w:color="auto" w:fill="FFFFFF"/>
        </w:rPr>
      </w:pPr>
      <w:r w:rsidRPr="009078C7">
        <w:rPr>
          <w:rFonts w:cs="Calibri"/>
          <w:b/>
          <w:color w:val="000000" w:themeColor="text1"/>
          <w:sz w:val="24"/>
          <w:szCs w:val="28"/>
          <w:shd w:val="clear" w:color="auto" w:fill="FFFFFF"/>
        </w:rPr>
        <w:lastRenderedPageBreak/>
        <w:t>Table 1. PPI</w:t>
      </w:r>
      <w:r w:rsidRPr="008A6DC8">
        <w:rPr>
          <w:rFonts w:cs="Calibri"/>
          <w:b/>
          <w:color w:val="000000" w:themeColor="text1"/>
          <w:sz w:val="24"/>
          <w:szCs w:val="28"/>
          <w:shd w:val="clear" w:color="auto" w:fill="FFFFFF"/>
        </w:rPr>
        <w:t xml:space="preserve"> involvement in co-designing the CHARMER intervention reported using GRIPP 2-SF</w:t>
      </w:r>
    </w:p>
    <w:tbl>
      <w:tblPr>
        <w:tblStyle w:val="TableGrid1"/>
        <w:tblW w:w="5000" w:type="pct"/>
        <w:tblLook w:val="04A0" w:firstRow="1" w:lastRow="0" w:firstColumn="1" w:lastColumn="0" w:noHBand="0" w:noVBand="1"/>
      </w:tblPr>
      <w:tblGrid>
        <w:gridCol w:w="3379"/>
        <w:gridCol w:w="12009"/>
      </w:tblGrid>
      <w:tr w:rsidR="004C7973" w:rsidRPr="00F24DA2" w14:paraId="2B27C875" w14:textId="77777777" w:rsidTr="00791E47">
        <w:trPr>
          <w:trHeight w:val="323"/>
        </w:trPr>
        <w:tc>
          <w:tcPr>
            <w:tcW w:w="1098" w:type="pct"/>
          </w:tcPr>
          <w:p w14:paraId="26114258" w14:textId="566AEBEC" w:rsidR="004C7973" w:rsidRPr="008A6DC8" w:rsidRDefault="004C7973" w:rsidP="00B82B2D">
            <w:pPr>
              <w:spacing w:after="0" w:line="480" w:lineRule="auto"/>
              <w:rPr>
                <w:rFonts w:eastAsiaTheme="minorHAnsi" w:cstheme="minorBidi"/>
                <w:b/>
                <w:color w:val="000000" w:themeColor="text1"/>
              </w:rPr>
            </w:pPr>
            <w:r w:rsidRPr="008A6DC8">
              <w:rPr>
                <w:rFonts w:eastAsiaTheme="minorHAnsi" w:cstheme="minorBidi"/>
                <w:b/>
                <w:color w:val="000000" w:themeColor="text1"/>
              </w:rPr>
              <w:t>Section and topic</w:t>
            </w:r>
          </w:p>
        </w:tc>
        <w:tc>
          <w:tcPr>
            <w:tcW w:w="3902" w:type="pct"/>
          </w:tcPr>
          <w:p w14:paraId="7F2AE1DD" w14:textId="77777777" w:rsidR="004C7973" w:rsidRPr="008A6DC8" w:rsidRDefault="004C7973" w:rsidP="00B82B2D">
            <w:pPr>
              <w:spacing w:after="0" w:line="480" w:lineRule="auto"/>
              <w:rPr>
                <w:rFonts w:eastAsiaTheme="minorHAnsi" w:cstheme="minorBidi"/>
                <w:b/>
              </w:rPr>
            </w:pPr>
            <w:r w:rsidRPr="008A6DC8">
              <w:rPr>
                <w:rFonts w:eastAsiaTheme="minorHAnsi" w:cstheme="minorBidi"/>
                <w:b/>
              </w:rPr>
              <w:t>Item</w:t>
            </w:r>
          </w:p>
        </w:tc>
      </w:tr>
      <w:tr w:rsidR="004C7973" w:rsidRPr="00F24DA2" w14:paraId="3B046B4D" w14:textId="77777777" w:rsidTr="00791E47">
        <w:trPr>
          <w:trHeight w:val="323"/>
        </w:trPr>
        <w:tc>
          <w:tcPr>
            <w:tcW w:w="1098" w:type="pct"/>
          </w:tcPr>
          <w:p w14:paraId="3041FD02" w14:textId="77777777" w:rsidR="004C7973" w:rsidRPr="008A6DC8" w:rsidRDefault="004C7973" w:rsidP="00B82B2D">
            <w:pPr>
              <w:spacing w:after="0" w:line="480" w:lineRule="auto"/>
              <w:rPr>
                <w:rFonts w:eastAsiaTheme="minorHAnsi" w:cstheme="minorBidi"/>
                <w:bCs/>
                <w:color w:val="000000" w:themeColor="text1"/>
              </w:rPr>
            </w:pPr>
            <w:r w:rsidRPr="008A6DC8">
              <w:rPr>
                <w:rFonts w:eastAsiaTheme="minorHAnsi" w:cstheme="minorBidi"/>
                <w:bCs/>
                <w:color w:val="000000" w:themeColor="text1"/>
              </w:rPr>
              <w:t>1. Aim</w:t>
            </w:r>
            <w:r>
              <w:rPr>
                <w:rFonts w:eastAsiaTheme="minorHAnsi" w:cstheme="minorBidi"/>
                <w:bCs/>
                <w:color w:val="000000" w:themeColor="text1"/>
              </w:rPr>
              <w:t>/s</w:t>
            </w:r>
          </w:p>
        </w:tc>
        <w:tc>
          <w:tcPr>
            <w:tcW w:w="3902" w:type="pct"/>
          </w:tcPr>
          <w:p w14:paraId="6E93FAA8" w14:textId="77777777" w:rsidR="004C7973" w:rsidRDefault="004C7973" w:rsidP="00B82B2D">
            <w:pPr>
              <w:spacing w:after="0" w:line="480" w:lineRule="auto"/>
              <w:rPr>
                <w:rFonts w:eastAsiaTheme="minorHAnsi" w:cstheme="minorBidi"/>
                <w:bCs/>
              </w:rPr>
            </w:pPr>
            <w:r>
              <w:rPr>
                <w:rFonts w:eastAsiaTheme="minorHAnsi" w:cstheme="minorBidi"/>
                <w:bCs/>
              </w:rPr>
              <w:t xml:space="preserve">To collaboratively involve </w:t>
            </w:r>
            <w:r>
              <w:t xml:space="preserve">older people prescribed medicines and cares of such people </w:t>
            </w:r>
            <w:r>
              <w:rPr>
                <w:rFonts w:eastAsiaTheme="minorHAnsi" w:cstheme="minorBidi"/>
                <w:bCs/>
              </w:rPr>
              <w:t>in the development of the CHARMER intervention.</w:t>
            </w:r>
          </w:p>
          <w:p w14:paraId="3E04036E" w14:textId="77777777" w:rsidR="004C7973" w:rsidRPr="002D748A" w:rsidRDefault="004C7973" w:rsidP="00B82B2D">
            <w:pPr>
              <w:spacing w:after="0" w:line="480" w:lineRule="auto"/>
            </w:pPr>
            <w:r>
              <w:rPr>
                <w:rFonts w:eastAsiaTheme="minorHAnsi" w:cstheme="minorBidi"/>
                <w:bCs/>
              </w:rPr>
              <w:t xml:space="preserve">To ensure </w:t>
            </w:r>
            <w:r>
              <w:t>the CHARMER intervention is acceptable to the recipients of a change in care delivered by geriatricians and pharmacists exposed to the CHARMER intervention.</w:t>
            </w:r>
          </w:p>
        </w:tc>
      </w:tr>
      <w:tr w:rsidR="004C7973" w:rsidRPr="00F24DA2" w14:paraId="4A46C9AF" w14:textId="77777777" w:rsidTr="00791E47">
        <w:trPr>
          <w:trHeight w:val="323"/>
        </w:trPr>
        <w:tc>
          <w:tcPr>
            <w:tcW w:w="1098" w:type="pct"/>
          </w:tcPr>
          <w:p w14:paraId="339548BB" w14:textId="77777777" w:rsidR="004C7973" w:rsidRPr="008A6DC8" w:rsidRDefault="004C7973" w:rsidP="00B82B2D">
            <w:pPr>
              <w:spacing w:after="0" w:line="480" w:lineRule="auto"/>
              <w:rPr>
                <w:rFonts w:eastAsiaTheme="minorHAnsi" w:cstheme="minorBidi"/>
                <w:bCs/>
                <w:color w:val="000000" w:themeColor="text1"/>
              </w:rPr>
            </w:pPr>
            <w:r w:rsidRPr="008A6DC8">
              <w:rPr>
                <w:rFonts w:eastAsiaTheme="minorHAnsi" w:cstheme="minorBidi"/>
                <w:bCs/>
                <w:color w:val="000000" w:themeColor="text1"/>
              </w:rPr>
              <w:t>2. Methods</w:t>
            </w:r>
          </w:p>
        </w:tc>
        <w:tc>
          <w:tcPr>
            <w:tcW w:w="3902" w:type="pct"/>
          </w:tcPr>
          <w:p w14:paraId="01140D06" w14:textId="467ED13C" w:rsidR="004C7973" w:rsidRDefault="004C7973" w:rsidP="00B82B2D">
            <w:pPr>
              <w:spacing w:after="0" w:line="480" w:lineRule="auto"/>
              <w:rPr>
                <w:rFonts w:eastAsiaTheme="minorHAnsi" w:cstheme="minorBidi"/>
                <w:bCs/>
              </w:rPr>
            </w:pPr>
            <w:r>
              <w:rPr>
                <w:rFonts w:eastAsiaTheme="minorHAnsi" w:cstheme="minorBidi"/>
                <w:bCs/>
              </w:rPr>
              <w:t>Two PPI of the five CHARMER PPI members joined the sub-research team for this study and were involved in all stages of its development, from research design to data collection through to data analysis. The PPI team members contributed to the design of the co-design workshops in terms of structure and content, attended and supported the facilitation of all workshops (</w:t>
            </w:r>
            <w:r w:rsidRPr="008E4FB6">
              <w:rPr>
                <w:rFonts w:eastAsiaTheme="minorHAnsi" w:cstheme="minorBidi"/>
                <w:bCs/>
                <w:i/>
                <w:iCs/>
              </w:rPr>
              <w:t>n</w:t>
            </w:r>
            <w:r>
              <w:rPr>
                <w:rFonts w:eastAsiaTheme="minorHAnsi" w:cstheme="minorBidi"/>
                <w:bCs/>
              </w:rPr>
              <w:t>=7)</w:t>
            </w:r>
            <w:r w:rsidR="00AF028C">
              <w:rPr>
                <w:rFonts w:eastAsiaTheme="minorHAnsi" w:cstheme="minorBidi"/>
                <w:bCs/>
              </w:rPr>
              <w:t xml:space="preserve"> and attended all synthesis sessions</w:t>
            </w:r>
            <w:r>
              <w:rPr>
                <w:rFonts w:eastAsiaTheme="minorHAnsi" w:cstheme="minorBidi"/>
                <w:bCs/>
              </w:rPr>
              <w:t>. Attendance at the workshops meant that PPI team members also took part in the selection and design of the BCTs alongside the other stakeholders. PPI team members attended synthesis sessions in between workshops, assisting in the collation and interpretation of the workshop data.</w:t>
            </w:r>
          </w:p>
          <w:p w14:paraId="79443F8C" w14:textId="77777777" w:rsidR="004C7973" w:rsidRPr="008A6DC8" w:rsidRDefault="004C7973" w:rsidP="00B82B2D">
            <w:pPr>
              <w:spacing w:after="0" w:line="480" w:lineRule="auto"/>
              <w:rPr>
                <w:rFonts w:eastAsiaTheme="minorHAnsi" w:cstheme="minorBidi"/>
                <w:bCs/>
              </w:rPr>
            </w:pPr>
            <w:r>
              <w:rPr>
                <w:rFonts w:eastAsiaTheme="minorHAnsi" w:cstheme="minorBidi"/>
                <w:bCs/>
              </w:rPr>
              <w:t>The three other CHARMER PPI members also provided input at programme management meetings along with other members of the wider research team.</w:t>
            </w:r>
          </w:p>
        </w:tc>
      </w:tr>
      <w:tr w:rsidR="004C7973" w:rsidRPr="00F24DA2" w14:paraId="2353768F" w14:textId="77777777" w:rsidTr="00791E47">
        <w:trPr>
          <w:trHeight w:val="323"/>
        </w:trPr>
        <w:tc>
          <w:tcPr>
            <w:tcW w:w="1098" w:type="pct"/>
          </w:tcPr>
          <w:p w14:paraId="18B40C47" w14:textId="77777777" w:rsidR="004C7973" w:rsidRPr="008A6DC8" w:rsidRDefault="004C7973" w:rsidP="00B82B2D">
            <w:pPr>
              <w:spacing w:after="0" w:line="480" w:lineRule="auto"/>
              <w:rPr>
                <w:rFonts w:eastAsiaTheme="minorHAnsi" w:cstheme="minorBidi"/>
                <w:bCs/>
                <w:color w:val="000000" w:themeColor="text1"/>
              </w:rPr>
            </w:pPr>
            <w:r w:rsidRPr="008A6DC8">
              <w:rPr>
                <w:rFonts w:eastAsiaTheme="minorHAnsi" w:cstheme="minorBidi"/>
                <w:bCs/>
                <w:color w:val="000000" w:themeColor="text1"/>
              </w:rPr>
              <w:t>3. Results</w:t>
            </w:r>
          </w:p>
        </w:tc>
        <w:tc>
          <w:tcPr>
            <w:tcW w:w="3902" w:type="pct"/>
          </w:tcPr>
          <w:p w14:paraId="4E47C121" w14:textId="77777777" w:rsidR="004C7973" w:rsidRDefault="004C7973" w:rsidP="00B82B2D">
            <w:pPr>
              <w:spacing w:after="0" w:line="480" w:lineRule="auto"/>
              <w:rPr>
                <w:rFonts w:eastAsiaTheme="minorHAnsi" w:cstheme="minorBidi"/>
                <w:bCs/>
              </w:rPr>
            </w:pPr>
            <w:r>
              <w:rPr>
                <w:rFonts w:eastAsiaTheme="minorHAnsi" w:cstheme="minorBidi"/>
                <w:bCs/>
              </w:rPr>
              <w:t>PPI team members contributed to the development of the CHARMER intervention in several ways. These include:</w:t>
            </w:r>
          </w:p>
          <w:p w14:paraId="31C8F7D0" w14:textId="77777777" w:rsidR="004C7973" w:rsidRDefault="004C7973" w:rsidP="00B82B2D">
            <w:pPr>
              <w:pStyle w:val="ListParagraph"/>
              <w:numPr>
                <w:ilvl w:val="0"/>
                <w:numId w:val="42"/>
              </w:numPr>
              <w:spacing w:after="0" w:line="480" w:lineRule="auto"/>
              <w:rPr>
                <w:rFonts w:eastAsiaTheme="minorHAnsi" w:cstheme="minorBidi"/>
                <w:bCs/>
              </w:rPr>
            </w:pPr>
            <w:r>
              <w:rPr>
                <w:rFonts w:eastAsiaTheme="minorHAnsi" w:cstheme="minorBidi"/>
                <w:bCs/>
              </w:rPr>
              <w:lastRenderedPageBreak/>
              <w:t xml:space="preserve">Highlighting </w:t>
            </w:r>
            <w:r w:rsidRPr="00B95D80">
              <w:rPr>
                <w:rFonts w:eastAsiaTheme="minorHAnsi" w:cstheme="minorBidi"/>
                <w:bCs/>
              </w:rPr>
              <w:t>the importance of PPI</w:t>
            </w:r>
            <w:r>
              <w:rPr>
                <w:rFonts w:eastAsiaTheme="minorHAnsi" w:cstheme="minorBidi"/>
                <w:bCs/>
              </w:rPr>
              <w:t xml:space="preserve"> team</w:t>
            </w:r>
            <w:r w:rsidRPr="00B95D80">
              <w:rPr>
                <w:rFonts w:eastAsiaTheme="minorHAnsi" w:cstheme="minorBidi"/>
                <w:bCs/>
              </w:rPr>
              <w:t xml:space="preserve"> members attending all </w:t>
            </w:r>
            <w:r>
              <w:rPr>
                <w:rFonts w:eastAsiaTheme="minorHAnsi" w:cstheme="minorBidi"/>
                <w:bCs/>
              </w:rPr>
              <w:t xml:space="preserve">co-design </w:t>
            </w:r>
            <w:r w:rsidRPr="00B95D80">
              <w:rPr>
                <w:rFonts w:eastAsiaTheme="minorHAnsi" w:cstheme="minorBidi"/>
                <w:bCs/>
              </w:rPr>
              <w:t>workshops (rather than the final</w:t>
            </w:r>
            <w:r>
              <w:rPr>
                <w:rFonts w:eastAsiaTheme="minorHAnsi" w:cstheme="minorBidi"/>
                <w:bCs/>
              </w:rPr>
              <w:t xml:space="preserve"> two rounds of </w:t>
            </w:r>
            <w:r w:rsidRPr="00B95D80">
              <w:rPr>
                <w:rFonts w:eastAsiaTheme="minorHAnsi" w:cstheme="minorBidi"/>
                <w:bCs/>
              </w:rPr>
              <w:t>workshops</w:t>
            </w:r>
            <w:r>
              <w:rPr>
                <w:rFonts w:eastAsiaTheme="minorHAnsi" w:cstheme="minorBidi"/>
                <w:bCs/>
              </w:rPr>
              <w:t>,</w:t>
            </w:r>
            <w:r w:rsidRPr="00B95D80">
              <w:rPr>
                <w:rFonts w:eastAsiaTheme="minorHAnsi" w:cstheme="minorBidi"/>
                <w:bCs/>
              </w:rPr>
              <w:t xml:space="preserve"> as originally planned)</w:t>
            </w:r>
            <w:r>
              <w:rPr>
                <w:rFonts w:eastAsiaTheme="minorHAnsi" w:cstheme="minorBidi"/>
                <w:bCs/>
              </w:rPr>
              <w:t xml:space="preserve">. This ensured that the impact of the CHARMER intervention on patients and carers was fully considered from the outset. </w:t>
            </w:r>
          </w:p>
          <w:p w14:paraId="05D7C4D3" w14:textId="77777777" w:rsidR="004C7973" w:rsidRDefault="004C7973" w:rsidP="00B82B2D">
            <w:pPr>
              <w:pStyle w:val="ListParagraph"/>
              <w:numPr>
                <w:ilvl w:val="0"/>
                <w:numId w:val="42"/>
              </w:numPr>
              <w:spacing w:after="0" w:line="480" w:lineRule="auto"/>
              <w:rPr>
                <w:rFonts w:eastAsiaTheme="minorHAnsi" w:cstheme="minorBidi"/>
                <w:bCs/>
              </w:rPr>
            </w:pPr>
            <w:r>
              <w:rPr>
                <w:rFonts w:eastAsiaTheme="minorHAnsi" w:cstheme="minorBidi"/>
                <w:bCs/>
              </w:rPr>
              <w:t>I</w:t>
            </w:r>
            <w:r w:rsidRPr="00BF6AFA">
              <w:rPr>
                <w:rFonts w:eastAsiaTheme="minorHAnsi" w:cstheme="minorBidi"/>
                <w:bCs/>
              </w:rPr>
              <w:t>dentif</w:t>
            </w:r>
            <w:r>
              <w:rPr>
                <w:rFonts w:eastAsiaTheme="minorHAnsi" w:cstheme="minorBidi"/>
                <w:bCs/>
              </w:rPr>
              <w:t>ying</w:t>
            </w:r>
            <w:r w:rsidRPr="00BF6AFA">
              <w:rPr>
                <w:rFonts w:eastAsiaTheme="minorHAnsi" w:cstheme="minorBidi"/>
                <w:bCs/>
              </w:rPr>
              <w:t xml:space="preserve"> 'patient touchpoints' in the deprescribing process</w:t>
            </w:r>
            <w:r>
              <w:rPr>
                <w:rFonts w:eastAsiaTheme="minorHAnsi" w:cstheme="minorBidi"/>
                <w:bCs/>
              </w:rPr>
              <w:t xml:space="preserve"> prior to the first round of co-design workshops. This </w:t>
            </w:r>
            <w:r w:rsidRPr="00BF6AFA">
              <w:rPr>
                <w:rFonts w:eastAsiaTheme="minorHAnsi" w:cstheme="minorBidi"/>
                <w:bCs/>
              </w:rPr>
              <w:t>ensure</w:t>
            </w:r>
            <w:r>
              <w:rPr>
                <w:rFonts w:eastAsiaTheme="minorHAnsi" w:cstheme="minorBidi"/>
                <w:bCs/>
              </w:rPr>
              <w:t>d</w:t>
            </w:r>
            <w:r w:rsidRPr="00BF6AFA">
              <w:rPr>
                <w:rFonts w:eastAsiaTheme="minorHAnsi" w:cstheme="minorBidi"/>
                <w:bCs/>
              </w:rPr>
              <w:t xml:space="preserve"> </w:t>
            </w:r>
            <w:r>
              <w:rPr>
                <w:rFonts w:eastAsiaTheme="minorHAnsi" w:cstheme="minorBidi"/>
                <w:bCs/>
              </w:rPr>
              <w:t>the researchers were familiar with the patient perspective prior to the workshop and that these touchpoints were</w:t>
            </w:r>
            <w:r w:rsidRPr="00BF6AFA">
              <w:rPr>
                <w:rFonts w:eastAsiaTheme="minorHAnsi" w:cstheme="minorBidi"/>
                <w:bCs/>
              </w:rPr>
              <w:t xml:space="preserve"> considered by </w:t>
            </w:r>
            <w:r>
              <w:rPr>
                <w:rFonts w:eastAsiaTheme="minorHAnsi" w:cstheme="minorBidi"/>
                <w:bCs/>
              </w:rPr>
              <w:t>the other stakeholders</w:t>
            </w:r>
            <w:r w:rsidRPr="00BF6AFA">
              <w:rPr>
                <w:rFonts w:eastAsiaTheme="minorHAnsi" w:cstheme="minorBidi"/>
                <w:bCs/>
              </w:rPr>
              <w:t xml:space="preserve"> when designing the</w:t>
            </w:r>
            <w:r>
              <w:rPr>
                <w:rFonts w:eastAsiaTheme="minorHAnsi" w:cstheme="minorBidi"/>
                <w:bCs/>
              </w:rPr>
              <w:t xml:space="preserve"> BCTs.</w:t>
            </w:r>
          </w:p>
          <w:p w14:paraId="41A69976" w14:textId="77777777" w:rsidR="004C7973" w:rsidRPr="00AF028C" w:rsidRDefault="004C7973" w:rsidP="00B82B2D">
            <w:pPr>
              <w:pStyle w:val="ListParagraph"/>
              <w:numPr>
                <w:ilvl w:val="0"/>
                <w:numId w:val="42"/>
              </w:numPr>
              <w:spacing w:after="0" w:line="480" w:lineRule="auto"/>
              <w:rPr>
                <w:rFonts w:eastAsiaTheme="minorHAnsi" w:cstheme="minorBidi"/>
                <w:bCs/>
                <w:color w:val="000000" w:themeColor="text1"/>
              </w:rPr>
            </w:pPr>
            <w:r>
              <w:rPr>
                <w:rFonts w:eastAsiaTheme="minorHAnsi" w:cstheme="minorBidi"/>
                <w:bCs/>
              </w:rPr>
              <w:t>Contributing to</w:t>
            </w:r>
            <w:r w:rsidRPr="007F791C">
              <w:rPr>
                <w:rFonts w:eastAsiaTheme="minorHAnsi" w:cstheme="minorBidi"/>
                <w:bCs/>
              </w:rPr>
              <w:t xml:space="preserve"> the</w:t>
            </w:r>
            <w:r>
              <w:rPr>
                <w:rFonts w:eastAsiaTheme="minorHAnsi" w:cstheme="minorBidi"/>
                <w:bCs/>
              </w:rPr>
              <w:t xml:space="preserve"> development of the</w:t>
            </w:r>
            <w:r w:rsidRPr="007F791C">
              <w:rPr>
                <w:rFonts w:eastAsiaTheme="minorHAnsi" w:cstheme="minorBidi"/>
                <w:bCs/>
              </w:rPr>
              <w:t xml:space="preserve"> patient and carer case studies (intervention component four)</w:t>
            </w:r>
            <w:r>
              <w:rPr>
                <w:rFonts w:eastAsiaTheme="minorHAnsi" w:cstheme="minorBidi"/>
                <w:bCs/>
              </w:rPr>
              <w:t xml:space="preserve"> in terms of script development and production (such as set design and acting directions). This ensured the case studies </w:t>
            </w:r>
            <w:r w:rsidRPr="00AF028C">
              <w:rPr>
                <w:rFonts w:eastAsiaTheme="minorHAnsi" w:cstheme="minorBidi"/>
                <w:bCs/>
                <w:color w:val="000000" w:themeColor="text1"/>
              </w:rPr>
              <w:t>represented the patient voice.</w:t>
            </w:r>
          </w:p>
          <w:p w14:paraId="2F5A104C" w14:textId="2A2F3576" w:rsidR="004C7973" w:rsidRPr="00AF028C" w:rsidRDefault="00AF028C" w:rsidP="00B82B2D">
            <w:pPr>
              <w:pStyle w:val="ListParagraph"/>
              <w:numPr>
                <w:ilvl w:val="0"/>
                <w:numId w:val="42"/>
              </w:numPr>
              <w:spacing w:after="0" w:line="480" w:lineRule="auto"/>
              <w:rPr>
                <w:rFonts w:eastAsiaTheme="minorHAnsi" w:cstheme="minorBidi"/>
                <w:bCs/>
                <w:color w:val="000000" w:themeColor="text1"/>
              </w:rPr>
            </w:pPr>
            <w:r w:rsidRPr="00AF028C">
              <w:rPr>
                <w:rFonts w:eastAsiaTheme="minorHAnsi" w:cstheme="minorBidi"/>
                <w:bCs/>
                <w:color w:val="000000" w:themeColor="text1"/>
              </w:rPr>
              <w:t>Contributing to all synthesis sessions</w:t>
            </w:r>
            <w:r>
              <w:rPr>
                <w:rFonts w:eastAsiaTheme="minorHAnsi" w:cstheme="minorBidi"/>
                <w:bCs/>
                <w:color w:val="000000" w:themeColor="text1"/>
              </w:rPr>
              <w:t xml:space="preserve"> and analysis of the pre-workshop and workshop data</w:t>
            </w:r>
            <w:r w:rsidRPr="00AF028C">
              <w:rPr>
                <w:rFonts w:eastAsiaTheme="minorHAnsi" w:cstheme="minorBidi"/>
                <w:bCs/>
                <w:color w:val="000000" w:themeColor="text1"/>
              </w:rPr>
              <w:t xml:space="preserve"> (see Methods and Results)</w:t>
            </w:r>
            <w:r>
              <w:rPr>
                <w:rFonts w:eastAsiaTheme="minorHAnsi" w:cstheme="minorBidi"/>
                <w:bCs/>
                <w:color w:val="000000" w:themeColor="text1"/>
              </w:rPr>
              <w:t>.</w:t>
            </w:r>
          </w:p>
          <w:p w14:paraId="2D2FF194" w14:textId="30398850" w:rsidR="004C7973" w:rsidRPr="00D566C3" w:rsidRDefault="004C7973" w:rsidP="00B82B2D">
            <w:pPr>
              <w:pStyle w:val="ListParagraph"/>
              <w:numPr>
                <w:ilvl w:val="0"/>
                <w:numId w:val="42"/>
              </w:numPr>
              <w:spacing w:after="0" w:line="480" w:lineRule="auto"/>
              <w:rPr>
                <w:rFonts w:eastAsiaTheme="minorHAnsi" w:cstheme="minorBidi"/>
                <w:bCs/>
              </w:rPr>
            </w:pPr>
            <w:r w:rsidRPr="00951CBF">
              <w:rPr>
                <w:rFonts w:eastAsiaTheme="minorHAnsi" w:cstheme="minorBidi"/>
                <w:bCs/>
                <w:color w:val="000000" w:themeColor="text1"/>
              </w:rPr>
              <w:t>Contribut</w:t>
            </w:r>
            <w:r w:rsidR="00951CBF" w:rsidRPr="00951CBF">
              <w:rPr>
                <w:rFonts w:eastAsiaTheme="minorHAnsi" w:cstheme="minorBidi"/>
                <w:bCs/>
                <w:color w:val="000000" w:themeColor="text1"/>
              </w:rPr>
              <w:t>ing</w:t>
            </w:r>
            <w:r w:rsidRPr="00951CBF">
              <w:rPr>
                <w:rFonts w:eastAsiaTheme="minorHAnsi" w:cstheme="minorBidi"/>
                <w:bCs/>
                <w:color w:val="000000" w:themeColor="text1"/>
              </w:rPr>
              <w:t xml:space="preserve"> to the edits of the manuscript</w:t>
            </w:r>
            <w:r w:rsidR="00AF028C">
              <w:rPr>
                <w:rFonts w:eastAsiaTheme="minorHAnsi" w:cstheme="minorBidi"/>
                <w:bCs/>
                <w:color w:val="000000" w:themeColor="text1"/>
              </w:rPr>
              <w:t>.</w:t>
            </w:r>
          </w:p>
        </w:tc>
      </w:tr>
      <w:tr w:rsidR="004C7973" w:rsidRPr="00F24DA2" w14:paraId="670C6EE3" w14:textId="77777777" w:rsidTr="00791E47">
        <w:trPr>
          <w:trHeight w:val="323"/>
        </w:trPr>
        <w:tc>
          <w:tcPr>
            <w:tcW w:w="1098" w:type="pct"/>
          </w:tcPr>
          <w:p w14:paraId="53F823D7" w14:textId="77777777" w:rsidR="004C7973" w:rsidRPr="008A6DC8" w:rsidRDefault="004C7973" w:rsidP="00B82B2D">
            <w:pPr>
              <w:spacing w:after="0" w:line="480" w:lineRule="auto"/>
              <w:rPr>
                <w:rFonts w:eastAsiaTheme="minorHAnsi" w:cstheme="minorBidi"/>
                <w:bCs/>
                <w:color w:val="000000" w:themeColor="text1"/>
              </w:rPr>
            </w:pPr>
            <w:r>
              <w:rPr>
                <w:rFonts w:eastAsiaTheme="minorHAnsi" w:cstheme="minorBidi"/>
                <w:bCs/>
                <w:color w:val="000000" w:themeColor="text1"/>
              </w:rPr>
              <w:lastRenderedPageBreak/>
              <w:t>4. Discussion</w:t>
            </w:r>
          </w:p>
        </w:tc>
        <w:tc>
          <w:tcPr>
            <w:tcW w:w="3902" w:type="pct"/>
          </w:tcPr>
          <w:p w14:paraId="7183CB6A" w14:textId="77777777" w:rsidR="004C7973" w:rsidRDefault="004C7973" w:rsidP="00B82B2D">
            <w:pPr>
              <w:spacing w:after="0" w:line="480" w:lineRule="auto"/>
              <w:rPr>
                <w:rFonts w:eastAsiaTheme="minorHAnsi" w:cstheme="minorBidi"/>
                <w:bCs/>
              </w:rPr>
            </w:pPr>
            <w:r>
              <w:rPr>
                <w:rFonts w:eastAsiaTheme="minorHAnsi" w:cstheme="minorBidi"/>
                <w:bCs/>
              </w:rPr>
              <w:t xml:space="preserve">The success and effectiveness of PPI in this study is attributable to a number of factors; firstly, the PPI team members were already embedded in the wider CHARMER programme of research, meaning they were familiar with its aims and context and available to contribute to (and shape) this research from the outset. In addition, the research team held weekly meetings which provided an opportunity for PPI team members to have regular input and ask questions. The </w:t>
            </w:r>
            <w:r>
              <w:rPr>
                <w:rFonts w:eastAsiaTheme="minorHAnsi" w:cstheme="minorBidi"/>
                <w:bCs/>
              </w:rPr>
              <w:lastRenderedPageBreak/>
              <w:t xml:space="preserve">researchers also provided training and support where necessary (e.g. on how PPI team members could contribute to and support facilitation of the co-design workshops). These factors established a collaborative environment and ensured that PPI were fully embedded into the research team throughout the study. </w:t>
            </w:r>
          </w:p>
          <w:p w14:paraId="681F9951" w14:textId="77777777" w:rsidR="004C7973" w:rsidRDefault="004C7973" w:rsidP="00B82B2D">
            <w:pPr>
              <w:spacing w:after="0" w:line="480" w:lineRule="auto"/>
              <w:rPr>
                <w:rFonts w:eastAsiaTheme="minorHAnsi" w:cstheme="minorBidi"/>
                <w:bCs/>
              </w:rPr>
            </w:pPr>
          </w:p>
          <w:p w14:paraId="1F49A35A" w14:textId="77777777" w:rsidR="004C7973" w:rsidRPr="0036248D" w:rsidRDefault="004C7973" w:rsidP="00B82B2D">
            <w:pPr>
              <w:spacing w:after="0" w:line="480" w:lineRule="auto"/>
              <w:rPr>
                <w:rFonts w:eastAsiaTheme="minorHAnsi" w:cstheme="minorBidi"/>
                <w:bCs/>
                <w:color w:val="000000" w:themeColor="text1"/>
              </w:rPr>
            </w:pPr>
            <w:r>
              <w:rPr>
                <w:rFonts w:eastAsiaTheme="minorHAnsi" w:cstheme="minorBidi"/>
                <w:bCs/>
              </w:rPr>
              <w:t xml:space="preserve">An </w:t>
            </w:r>
            <w:r w:rsidRPr="00E95F63">
              <w:rPr>
                <w:rFonts w:eastAsiaTheme="minorHAnsi" w:cstheme="minorBidi"/>
                <w:bCs/>
                <w:color w:val="000000" w:themeColor="text1"/>
              </w:rPr>
              <w:t xml:space="preserve">advantage of PPI team members being present in all co-design workshops was that they were part of process from the outset; however, as a practitioner behaviour change intervention, </w:t>
            </w:r>
            <w:r>
              <w:rPr>
                <w:rFonts w:eastAsiaTheme="minorHAnsi" w:cstheme="minorBidi"/>
                <w:bCs/>
                <w:color w:val="000000" w:themeColor="text1"/>
              </w:rPr>
              <w:t>their p</w:t>
            </w:r>
            <w:r w:rsidRPr="00E95F63">
              <w:rPr>
                <w:rFonts w:eastAsiaTheme="minorHAnsi" w:cstheme="minorBidi"/>
                <w:bCs/>
                <w:color w:val="000000" w:themeColor="text1"/>
              </w:rPr>
              <w:t xml:space="preserve">resence may have inhibited free and open sharing of concerns and working practices among other stakeholders. </w:t>
            </w:r>
            <w:r>
              <w:rPr>
                <w:rFonts w:eastAsiaTheme="minorHAnsi" w:cstheme="minorBidi"/>
                <w:bCs/>
                <w:color w:val="000000" w:themeColor="text1"/>
              </w:rPr>
              <w:t xml:space="preserve">Furthermore, the first round of workshops </w:t>
            </w:r>
            <w:r w:rsidRPr="00F476C0">
              <w:rPr>
                <w:rFonts w:eastAsiaTheme="minorHAnsi" w:cstheme="minorBidi"/>
                <w:bCs/>
                <w:color w:val="000000" w:themeColor="text1"/>
              </w:rPr>
              <w:t>was</w:t>
            </w:r>
            <w:r>
              <w:rPr>
                <w:rFonts w:eastAsiaTheme="minorHAnsi" w:cstheme="minorBidi"/>
                <w:bCs/>
                <w:color w:val="000000" w:themeColor="text1"/>
              </w:rPr>
              <w:t xml:space="preserve"> </w:t>
            </w:r>
            <w:r w:rsidRPr="00F476C0">
              <w:rPr>
                <w:rFonts w:eastAsiaTheme="minorHAnsi" w:cstheme="minorBidi"/>
                <w:bCs/>
                <w:color w:val="000000" w:themeColor="text1"/>
              </w:rPr>
              <w:t>amenable to PPI</w:t>
            </w:r>
            <w:r>
              <w:rPr>
                <w:rFonts w:eastAsiaTheme="minorHAnsi" w:cstheme="minorBidi"/>
                <w:bCs/>
                <w:color w:val="000000" w:themeColor="text1"/>
              </w:rPr>
              <w:t xml:space="preserve"> contribution </w:t>
            </w:r>
            <w:r w:rsidRPr="00F476C0">
              <w:rPr>
                <w:rFonts w:eastAsiaTheme="minorHAnsi" w:cstheme="minorBidi"/>
                <w:bCs/>
                <w:color w:val="000000" w:themeColor="text1"/>
              </w:rPr>
              <w:t xml:space="preserve">as it involved </w:t>
            </w:r>
            <w:r>
              <w:rPr>
                <w:rFonts w:eastAsiaTheme="minorHAnsi" w:cstheme="minorBidi"/>
                <w:bCs/>
                <w:color w:val="000000" w:themeColor="text1"/>
              </w:rPr>
              <w:t xml:space="preserve">co-design panels </w:t>
            </w:r>
            <w:r w:rsidRPr="00F476C0">
              <w:rPr>
                <w:rFonts w:eastAsiaTheme="minorHAnsi" w:cstheme="minorBidi"/>
                <w:bCs/>
                <w:color w:val="000000" w:themeColor="text1"/>
              </w:rPr>
              <w:t xml:space="preserve">brainstorming ideas </w:t>
            </w:r>
            <w:r>
              <w:rPr>
                <w:rFonts w:eastAsiaTheme="minorHAnsi" w:cstheme="minorBidi"/>
                <w:bCs/>
                <w:color w:val="000000" w:themeColor="text1"/>
              </w:rPr>
              <w:t>for</w:t>
            </w:r>
            <w:r w:rsidRPr="00F476C0">
              <w:rPr>
                <w:rFonts w:eastAsiaTheme="minorHAnsi" w:cstheme="minorBidi"/>
                <w:bCs/>
                <w:color w:val="000000" w:themeColor="text1"/>
              </w:rPr>
              <w:t xml:space="preserve"> the BCTs. </w:t>
            </w:r>
            <w:r>
              <w:rPr>
                <w:rFonts w:eastAsiaTheme="minorHAnsi" w:cstheme="minorBidi"/>
                <w:bCs/>
                <w:color w:val="000000" w:themeColor="text1"/>
              </w:rPr>
              <w:t>The second and third rounds of workshops</w:t>
            </w:r>
            <w:r w:rsidRPr="00F476C0">
              <w:rPr>
                <w:rFonts w:eastAsiaTheme="minorHAnsi" w:cstheme="minorBidi"/>
                <w:bCs/>
                <w:color w:val="000000" w:themeColor="text1"/>
              </w:rPr>
              <w:t xml:space="preserve"> </w:t>
            </w:r>
            <w:r>
              <w:rPr>
                <w:rFonts w:eastAsiaTheme="minorHAnsi" w:cstheme="minorBidi"/>
                <w:bCs/>
                <w:color w:val="000000" w:themeColor="text1"/>
              </w:rPr>
              <w:t xml:space="preserve">involved stakeholders refining the BCTs </w:t>
            </w:r>
            <w:r w:rsidRPr="77F3F659">
              <w:rPr>
                <w:color w:val="000000" w:themeColor="text1"/>
              </w:rPr>
              <w:t xml:space="preserve">according to their acceptability, deliverability and effectiveness in </w:t>
            </w:r>
            <w:r>
              <w:rPr>
                <w:color w:val="000000" w:themeColor="text1"/>
              </w:rPr>
              <w:t xml:space="preserve">their specific </w:t>
            </w:r>
            <w:r w:rsidRPr="77F3F659">
              <w:rPr>
                <w:color w:val="000000" w:themeColor="text1"/>
              </w:rPr>
              <w:t>hospital</w:t>
            </w:r>
            <w:r>
              <w:rPr>
                <w:color w:val="000000" w:themeColor="text1"/>
              </w:rPr>
              <w:t xml:space="preserve"> settings, thus PPI contribution at this stage was more difficult</w:t>
            </w:r>
            <w:r>
              <w:rPr>
                <w:rFonts w:eastAsiaTheme="minorHAnsi" w:cstheme="minorBidi"/>
                <w:bCs/>
                <w:color w:val="000000" w:themeColor="text1"/>
              </w:rPr>
              <w:t xml:space="preserve">. </w:t>
            </w:r>
          </w:p>
        </w:tc>
      </w:tr>
      <w:tr w:rsidR="004C7973" w:rsidRPr="00F24DA2" w14:paraId="76FDE457" w14:textId="77777777" w:rsidTr="00791E47">
        <w:trPr>
          <w:trHeight w:val="323"/>
        </w:trPr>
        <w:tc>
          <w:tcPr>
            <w:tcW w:w="1098" w:type="pct"/>
          </w:tcPr>
          <w:p w14:paraId="6306E755" w14:textId="77777777" w:rsidR="004C7973" w:rsidRPr="008A6DC8" w:rsidRDefault="004C7973" w:rsidP="00B82B2D">
            <w:pPr>
              <w:spacing w:after="0" w:line="480" w:lineRule="auto"/>
              <w:rPr>
                <w:rFonts w:eastAsiaTheme="minorHAnsi" w:cstheme="minorBidi"/>
                <w:bCs/>
                <w:color w:val="000000" w:themeColor="text1"/>
              </w:rPr>
            </w:pPr>
            <w:r>
              <w:rPr>
                <w:rFonts w:eastAsiaTheme="minorHAnsi" w:cstheme="minorBidi"/>
                <w:bCs/>
                <w:color w:val="000000" w:themeColor="text1"/>
              </w:rPr>
              <w:lastRenderedPageBreak/>
              <w:t>5. Reflections</w:t>
            </w:r>
          </w:p>
        </w:tc>
        <w:tc>
          <w:tcPr>
            <w:tcW w:w="3902" w:type="pct"/>
          </w:tcPr>
          <w:p w14:paraId="1AE5A529" w14:textId="77777777" w:rsidR="004C7973" w:rsidRPr="001A56E3" w:rsidRDefault="004C7973" w:rsidP="00B82B2D">
            <w:pPr>
              <w:spacing w:after="0" w:line="480" w:lineRule="auto"/>
              <w:rPr>
                <w:color w:val="000000" w:themeColor="text1"/>
              </w:rPr>
            </w:pPr>
            <w:r>
              <w:rPr>
                <w:rFonts w:eastAsiaTheme="minorHAnsi" w:cstheme="minorBidi"/>
                <w:bCs/>
              </w:rPr>
              <w:t xml:space="preserve">The PPI team members in this study successfully contributed to the co-design of the CHARMER intervention. A key challenge was ensuring that PPI team members were able to contribute to the workshop activities and provide input on the design of the BCTs where these were focused on establishing their </w:t>
            </w:r>
            <w:r w:rsidRPr="77F3F659">
              <w:rPr>
                <w:color w:val="000000" w:themeColor="text1"/>
              </w:rPr>
              <w:t xml:space="preserve">acceptability, deliverability and effectiveness </w:t>
            </w:r>
            <w:r>
              <w:rPr>
                <w:color w:val="000000" w:themeColor="text1"/>
              </w:rPr>
              <w:t>in</w:t>
            </w:r>
            <w:r w:rsidRPr="77F3F659">
              <w:rPr>
                <w:color w:val="000000" w:themeColor="text1"/>
              </w:rPr>
              <w:t xml:space="preserve"> hospital</w:t>
            </w:r>
            <w:r>
              <w:rPr>
                <w:color w:val="000000" w:themeColor="text1"/>
              </w:rPr>
              <w:t xml:space="preserve"> and from a practitioner perspective. However, PPI</w:t>
            </w:r>
            <w:r>
              <w:rPr>
                <w:rFonts w:eastAsiaTheme="minorHAnsi" w:cstheme="minorBidi"/>
                <w:bCs/>
                <w:color w:val="000000" w:themeColor="text1"/>
              </w:rPr>
              <w:t xml:space="preserve"> attendance at the synthesis sessions (data analysis stage) and their role as co-facilitators of the workshops went some way in remedying this limitation.</w:t>
            </w:r>
          </w:p>
        </w:tc>
      </w:tr>
    </w:tbl>
    <w:p w14:paraId="17B45173" w14:textId="77777777" w:rsidR="009078C7" w:rsidRDefault="009078C7" w:rsidP="00B82B2D">
      <w:pPr>
        <w:spacing w:line="480" w:lineRule="auto"/>
        <w:rPr>
          <w:b/>
          <w:bCs/>
          <w:color w:val="000000" w:themeColor="text1"/>
          <w:sz w:val="24"/>
        </w:rPr>
      </w:pPr>
    </w:p>
    <w:p w14:paraId="14D078C2" w14:textId="77777777" w:rsidR="009078C7" w:rsidRDefault="009078C7" w:rsidP="00B82B2D">
      <w:pPr>
        <w:spacing w:line="480" w:lineRule="auto"/>
        <w:rPr>
          <w:b/>
          <w:bCs/>
          <w:color w:val="000000" w:themeColor="text1"/>
          <w:sz w:val="24"/>
        </w:rPr>
      </w:pPr>
    </w:p>
    <w:p w14:paraId="1B063974" w14:textId="77777777" w:rsidR="00C461A8" w:rsidRPr="002671E3" w:rsidRDefault="00C461A8" w:rsidP="00C461A8">
      <w:pPr>
        <w:spacing w:line="480" w:lineRule="auto"/>
        <w:rPr>
          <w:b/>
          <w:sz w:val="24"/>
          <w:szCs w:val="28"/>
        </w:rPr>
      </w:pPr>
      <w:r w:rsidRPr="002671E3">
        <w:rPr>
          <w:b/>
          <w:bCs/>
          <w:sz w:val="24"/>
          <w:szCs w:val="28"/>
        </w:rPr>
        <w:lastRenderedPageBreak/>
        <w:t>Table 2:</w:t>
      </w:r>
      <w:r w:rsidRPr="002671E3">
        <w:rPr>
          <w:b/>
          <w:sz w:val="24"/>
          <w:szCs w:val="28"/>
        </w:rPr>
        <w:t xml:space="preserve"> Overview of co-design panel member composition across workshops</w:t>
      </w:r>
    </w:p>
    <w:tbl>
      <w:tblPr>
        <w:tblStyle w:val="TableGrid1"/>
        <w:tblW w:w="5000" w:type="pct"/>
        <w:tblLook w:val="04A0" w:firstRow="1" w:lastRow="0" w:firstColumn="1" w:lastColumn="0" w:noHBand="0" w:noVBand="1"/>
      </w:tblPr>
      <w:tblGrid>
        <w:gridCol w:w="2926"/>
        <w:gridCol w:w="3909"/>
        <w:gridCol w:w="2933"/>
        <w:gridCol w:w="2933"/>
        <w:gridCol w:w="2687"/>
      </w:tblGrid>
      <w:tr w:rsidR="001D47C5" w:rsidRPr="00F24DA2" w14:paraId="184C7896" w14:textId="77777777" w:rsidTr="000A2690">
        <w:trPr>
          <w:trHeight w:val="265"/>
        </w:trPr>
        <w:tc>
          <w:tcPr>
            <w:tcW w:w="951" w:type="pct"/>
          </w:tcPr>
          <w:p w14:paraId="035BE355" w14:textId="77777777" w:rsidR="001D47C5" w:rsidRPr="00922651" w:rsidRDefault="001D47C5" w:rsidP="000A2690">
            <w:pPr>
              <w:spacing w:after="0" w:line="240" w:lineRule="auto"/>
              <w:rPr>
                <w:rFonts w:eastAsiaTheme="minorHAnsi" w:cstheme="minorBidi"/>
                <w:b/>
                <w:bCs/>
              </w:rPr>
            </w:pPr>
          </w:p>
        </w:tc>
        <w:tc>
          <w:tcPr>
            <w:tcW w:w="1270" w:type="pct"/>
          </w:tcPr>
          <w:p w14:paraId="772CF19E" w14:textId="77777777" w:rsidR="001D47C5" w:rsidRPr="00922651" w:rsidRDefault="001D47C5" w:rsidP="000A2690">
            <w:pPr>
              <w:spacing w:after="0" w:line="240" w:lineRule="auto"/>
              <w:rPr>
                <w:rFonts w:eastAsiaTheme="minorHAnsi" w:cstheme="minorBidi"/>
                <w:b/>
                <w:bCs/>
              </w:rPr>
            </w:pPr>
            <w:r w:rsidRPr="00922651">
              <w:rPr>
                <w:rFonts w:eastAsiaTheme="minorHAnsi" w:cstheme="minorBidi"/>
                <w:b/>
                <w:bCs/>
              </w:rPr>
              <w:t>Role</w:t>
            </w:r>
          </w:p>
        </w:tc>
        <w:tc>
          <w:tcPr>
            <w:tcW w:w="953" w:type="pct"/>
          </w:tcPr>
          <w:p w14:paraId="3CD00331" w14:textId="77777777" w:rsidR="001D47C5" w:rsidRDefault="001D47C5" w:rsidP="000A2690">
            <w:pPr>
              <w:spacing w:after="0" w:line="240" w:lineRule="auto"/>
              <w:jc w:val="center"/>
              <w:rPr>
                <w:rFonts w:eastAsiaTheme="minorHAnsi" w:cstheme="minorBidi"/>
                <w:b/>
                <w:bCs/>
              </w:rPr>
            </w:pPr>
            <w:r w:rsidRPr="00922651">
              <w:rPr>
                <w:rFonts w:eastAsiaTheme="minorHAnsi" w:cstheme="minorBidi"/>
                <w:b/>
                <w:bCs/>
              </w:rPr>
              <w:t>Hospital A</w:t>
            </w:r>
          </w:p>
          <w:p w14:paraId="123E2E04" w14:textId="61C9BE82" w:rsidR="00E1578E" w:rsidRPr="00922651" w:rsidRDefault="004757AA" w:rsidP="000A2690">
            <w:pPr>
              <w:spacing w:after="0" w:line="240" w:lineRule="auto"/>
              <w:jc w:val="center"/>
              <w:rPr>
                <w:rFonts w:eastAsiaTheme="minorHAnsi" w:cstheme="minorBidi"/>
                <w:b/>
                <w:bCs/>
              </w:rPr>
            </w:pPr>
            <w:r>
              <w:rPr>
                <w:rFonts w:cs="Calibri"/>
                <w:i/>
                <w:iCs/>
                <w:color w:val="000000" w:themeColor="text1"/>
                <w:szCs w:val="28"/>
              </w:rPr>
              <w:t>R</w:t>
            </w:r>
            <w:r w:rsidRPr="002671E3">
              <w:rPr>
                <w:rFonts w:cs="Calibri"/>
                <w:i/>
                <w:iCs/>
                <w:color w:val="000000" w:themeColor="text1"/>
                <w:szCs w:val="28"/>
              </w:rPr>
              <w:t>epresent</w:t>
            </w:r>
            <w:r>
              <w:rPr>
                <w:rFonts w:cs="Calibri"/>
                <w:i/>
                <w:iCs/>
                <w:color w:val="000000" w:themeColor="text1"/>
                <w:szCs w:val="28"/>
              </w:rPr>
              <w:t>ing</w:t>
            </w:r>
            <w:r w:rsidRPr="002671E3">
              <w:rPr>
                <w:rFonts w:cs="Calibri"/>
                <w:i/>
                <w:iCs/>
                <w:color w:val="000000" w:themeColor="text1"/>
                <w:szCs w:val="28"/>
              </w:rPr>
              <w:t xml:space="preserve"> a large hospital with mature IT infrastructure</w:t>
            </w:r>
          </w:p>
        </w:tc>
        <w:tc>
          <w:tcPr>
            <w:tcW w:w="953" w:type="pct"/>
          </w:tcPr>
          <w:p w14:paraId="4F4857C4" w14:textId="77777777" w:rsidR="001D47C5" w:rsidRDefault="001D47C5" w:rsidP="000A2690">
            <w:pPr>
              <w:spacing w:after="0" w:line="240" w:lineRule="auto"/>
              <w:jc w:val="center"/>
              <w:rPr>
                <w:rFonts w:eastAsiaTheme="minorHAnsi" w:cstheme="minorBidi"/>
                <w:b/>
                <w:bCs/>
              </w:rPr>
            </w:pPr>
            <w:r w:rsidRPr="00922651">
              <w:rPr>
                <w:rFonts w:eastAsiaTheme="minorHAnsi" w:cstheme="minorBidi"/>
                <w:b/>
                <w:bCs/>
              </w:rPr>
              <w:t>Hospital B</w:t>
            </w:r>
          </w:p>
          <w:p w14:paraId="76780D6A" w14:textId="2D4B139A" w:rsidR="00664AD3" w:rsidRPr="00922651" w:rsidRDefault="00664AD3" w:rsidP="000A2690">
            <w:pPr>
              <w:spacing w:after="0" w:line="240" w:lineRule="auto"/>
              <w:jc w:val="center"/>
              <w:rPr>
                <w:rFonts w:eastAsiaTheme="minorHAnsi" w:cstheme="minorBidi"/>
                <w:b/>
                <w:bCs/>
              </w:rPr>
            </w:pPr>
            <w:r>
              <w:rPr>
                <w:rFonts w:cs="Calibri"/>
                <w:i/>
                <w:iCs/>
                <w:color w:val="000000" w:themeColor="text1"/>
                <w:szCs w:val="28"/>
              </w:rPr>
              <w:t>R</w:t>
            </w:r>
            <w:r w:rsidRPr="002671E3">
              <w:rPr>
                <w:rFonts w:cs="Calibri"/>
                <w:i/>
                <w:iCs/>
                <w:color w:val="000000" w:themeColor="text1"/>
                <w:szCs w:val="28"/>
              </w:rPr>
              <w:t>epresent</w:t>
            </w:r>
            <w:r>
              <w:rPr>
                <w:rFonts w:cs="Calibri"/>
                <w:i/>
                <w:iCs/>
                <w:color w:val="000000" w:themeColor="text1"/>
                <w:szCs w:val="28"/>
              </w:rPr>
              <w:t>ing</w:t>
            </w:r>
            <w:r w:rsidRPr="002671E3">
              <w:rPr>
                <w:rFonts w:cs="Calibri"/>
                <w:i/>
                <w:iCs/>
                <w:color w:val="000000" w:themeColor="text1"/>
                <w:szCs w:val="28"/>
              </w:rPr>
              <w:t xml:space="preserve"> a smaller district general hospital</w:t>
            </w:r>
          </w:p>
        </w:tc>
        <w:tc>
          <w:tcPr>
            <w:tcW w:w="874" w:type="pct"/>
          </w:tcPr>
          <w:p w14:paraId="42CF0EA4" w14:textId="77777777" w:rsidR="001D47C5" w:rsidRDefault="001D47C5" w:rsidP="000A2690">
            <w:pPr>
              <w:spacing w:after="0" w:line="240" w:lineRule="auto"/>
              <w:jc w:val="center"/>
              <w:rPr>
                <w:rFonts w:eastAsiaTheme="minorHAnsi" w:cstheme="minorBidi"/>
                <w:b/>
                <w:bCs/>
              </w:rPr>
            </w:pPr>
            <w:r w:rsidRPr="00922651">
              <w:rPr>
                <w:rFonts w:eastAsiaTheme="minorHAnsi" w:cstheme="minorBidi"/>
                <w:b/>
                <w:bCs/>
              </w:rPr>
              <w:t>Hospital C</w:t>
            </w:r>
          </w:p>
          <w:p w14:paraId="76A7A406" w14:textId="40317E2E" w:rsidR="00664AD3" w:rsidRPr="00922651" w:rsidRDefault="00664AD3" w:rsidP="000A2690">
            <w:pPr>
              <w:spacing w:after="0" w:line="240" w:lineRule="auto"/>
              <w:jc w:val="center"/>
              <w:rPr>
                <w:rFonts w:eastAsiaTheme="minorHAnsi" w:cstheme="minorBidi"/>
                <w:b/>
                <w:bCs/>
              </w:rPr>
            </w:pPr>
            <w:r>
              <w:rPr>
                <w:rFonts w:cs="Calibri"/>
                <w:i/>
                <w:iCs/>
                <w:color w:val="000000" w:themeColor="text1"/>
                <w:szCs w:val="28"/>
              </w:rPr>
              <w:t>R</w:t>
            </w:r>
            <w:r w:rsidRPr="002671E3">
              <w:rPr>
                <w:rFonts w:cs="Calibri"/>
                <w:i/>
                <w:iCs/>
                <w:color w:val="000000" w:themeColor="text1"/>
                <w:szCs w:val="28"/>
              </w:rPr>
              <w:t>epresent</w:t>
            </w:r>
            <w:r>
              <w:rPr>
                <w:rFonts w:cs="Calibri"/>
                <w:i/>
                <w:iCs/>
                <w:color w:val="000000" w:themeColor="text1"/>
                <w:szCs w:val="28"/>
              </w:rPr>
              <w:t>ing</w:t>
            </w:r>
            <w:r w:rsidRPr="002671E3">
              <w:rPr>
                <w:rFonts w:cs="Calibri"/>
                <w:i/>
                <w:iCs/>
                <w:color w:val="000000" w:themeColor="text1"/>
                <w:szCs w:val="28"/>
              </w:rPr>
              <w:t xml:space="preserve"> diversity in patient population</w:t>
            </w:r>
          </w:p>
        </w:tc>
      </w:tr>
      <w:tr w:rsidR="001D47C5" w:rsidRPr="00F24DA2" w14:paraId="1A18DB05" w14:textId="77777777" w:rsidTr="000A2690">
        <w:trPr>
          <w:trHeight w:val="323"/>
        </w:trPr>
        <w:tc>
          <w:tcPr>
            <w:tcW w:w="951" w:type="pct"/>
            <w:vMerge w:val="restart"/>
            <w:vAlign w:val="center"/>
          </w:tcPr>
          <w:p w14:paraId="48BAD674" w14:textId="77777777" w:rsidR="001D47C5" w:rsidRPr="00F24DA2" w:rsidRDefault="001D47C5" w:rsidP="000A2690">
            <w:pPr>
              <w:spacing w:after="0" w:line="240" w:lineRule="auto"/>
              <w:jc w:val="center"/>
              <w:rPr>
                <w:rFonts w:eastAsiaTheme="minorHAnsi" w:cstheme="minorBidi"/>
                <w:color w:val="000000" w:themeColor="text1"/>
              </w:rPr>
            </w:pPr>
            <w:r w:rsidRPr="00F24DA2">
              <w:rPr>
                <w:rFonts w:eastAsiaTheme="minorHAnsi" w:cstheme="minorBidi"/>
                <w:color w:val="000000" w:themeColor="text1"/>
              </w:rPr>
              <w:t>Workshop 1</w:t>
            </w:r>
          </w:p>
        </w:tc>
        <w:tc>
          <w:tcPr>
            <w:tcW w:w="1270" w:type="pct"/>
          </w:tcPr>
          <w:p w14:paraId="42C1F050"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Geriatricians</w:t>
            </w:r>
          </w:p>
        </w:tc>
        <w:tc>
          <w:tcPr>
            <w:tcW w:w="953" w:type="pct"/>
          </w:tcPr>
          <w:p w14:paraId="252D148A"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3</w:t>
            </w:r>
          </w:p>
        </w:tc>
        <w:tc>
          <w:tcPr>
            <w:tcW w:w="953" w:type="pct"/>
          </w:tcPr>
          <w:p w14:paraId="4D79C60D"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4</w:t>
            </w:r>
          </w:p>
        </w:tc>
        <w:tc>
          <w:tcPr>
            <w:tcW w:w="874" w:type="pct"/>
          </w:tcPr>
          <w:p w14:paraId="53AFCB58"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color w:val="000000" w:themeColor="text1"/>
              </w:rPr>
              <w:t>3</w:t>
            </w:r>
          </w:p>
        </w:tc>
      </w:tr>
      <w:tr w:rsidR="001D47C5" w:rsidRPr="00F24DA2" w14:paraId="77A439FE" w14:textId="77777777" w:rsidTr="000A2690">
        <w:trPr>
          <w:trHeight w:val="323"/>
        </w:trPr>
        <w:tc>
          <w:tcPr>
            <w:tcW w:w="951" w:type="pct"/>
            <w:vMerge/>
          </w:tcPr>
          <w:p w14:paraId="4696FF72" w14:textId="77777777" w:rsidR="001D47C5" w:rsidRPr="00F24DA2" w:rsidRDefault="001D47C5" w:rsidP="000A2690">
            <w:pPr>
              <w:spacing w:after="0" w:line="240" w:lineRule="auto"/>
              <w:rPr>
                <w:rFonts w:eastAsiaTheme="minorHAnsi" w:cstheme="minorBidi"/>
                <w:color w:val="000000" w:themeColor="text1"/>
              </w:rPr>
            </w:pPr>
          </w:p>
        </w:tc>
        <w:tc>
          <w:tcPr>
            <w:tcW w:w="1270" w:type="pct"/>
          </w:tcPr>
          <w:p w14:paraId="29D28DD6"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 xml:space="preserve">Pharmacists </w:t>
            </w:r>
          </w:p>
        </w:tc>
        <w:tc>
          <w:tcPr>
            <w:tcW w:w="953" w:type="pct"/>
          </w:tcPr>
          <w:p w14:paraId="0D9800EB"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4</w:t>
            </w:r>
          </w:p>
        </w:tc>
        <w:tc>
          <w:tcPr>
            <w:tcW w:w="953" w:type="pct"/>
          </w:tcPr>
          <w:p w14:paraId="1B67F75D"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3</w:t>
            </w:r>
          </w:p>
        </w:tc>
        <w:tc>
          <w:tcPr>
            <w:tcW w:w="874" w:type="pct"/>
          </w:tcPr>
          <w:p w14:paraId="7E8962E7"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4</w:t>
            </w:r>
          </w:p>
        </w:tc>
      </w:tr>
      <w:tr w:rsidR="001D47C5" w:rsidRPr="00F24DA2" w14:paraId="3384AD2B" w14:textId="77777777" w:rsidTr="000A2690">
        <w:trPr>
          <w:trHeight w:val="323"/>
        </w:trPr>
        <w:tc>
          <w:tcPr>
            <w:tcW w:w="951" w:type="pct"/>
            <w:vMerge/>
          </w:tcPr>
          <w:p w14:paraId="7251ABB3" w14:textId="77777777" w:rsidR="001D47C5" w:rsidRPr="00F24DA2" w:rsidRDefault="001D47C5" w:rsidP="000A2690">
            <w:pPr>
              <w:spacing w:after="0" w:line="240" w:lineRule="auto"/>
              <w:rPr>
                <w:rFonts w:eastAsiaTheme="minorHAnsi" w:cstheme="minorBidi"/>
                <w:color w:val="000000" w:themeColor="text1"/>
              </w:rPr>
            </w:pPr>
          </w:p>
        </w:tc>
        <w:tc>
          <w:tcPr>
            <w:tcW w:w="1270" w:type="pct"/>
          </w:tcPr>
          <w:p w14:paraId="4234D78E"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Other stakeholders</w:t>
            </w:r>
          </w:p>
        </w:tc>
        <w:tc>
          <w:tcPr>
            <w:tcW w:w="953" w:type="pct"/>
          </w:tcPr>
          <w:p w14:paraId="003E4139"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2</w:t>
            </w:r>
          </w:p>
        </w:tc>
        <w:tc>
          <w:tcPr>
            <w:tcW w:w="953" w:type="pct"/>
          </w:tcPr>
          <w:p w14:paraId="6F58EAFD"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color w:val="000000" w:themeColor="text1"/>
              </w:rPr>
              <w:t>2*</w:t>
            </w:r>
          </w:p>
        </w:tc>
        <w:tc>
          <w:tcPr>
            <w:tcW w:w="874" w:type="pct"/>
          </w:tcPr>
          <w:p w14:paraId="413BF076"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1</w:t>
            </w:r>
          </w:p>
        </w:tc>
      </w:tr>
      <w:tr w:rsidR="001D47C5" w:rsidRPr="00F24DA2" w14:paraId="7961A0FA" w14:textId="77777777" w:rsidTr="000A2690">
        <w:trPr>
          <w:trHeight w:val="323"/>
        </w:trPr>
        <w:tc>
          <w:tcPr>
            <w:tcW w:w="2220" w:type="pct"/>
            <w:gridSpan w:val="2"/>
          </w:tcPr>
          <w:p w14:paraId="03F41D59"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 xml:space="preserve">Total participants at </w:t>
            </w:r>
            <w:r>
              <w:rPr>
                <w:rFonts w:eastAsiaTheme="minorHAnsi" w:cstheme="minorBidi"/>
                <w:color w:val="000000" w:themeColor="text1"/>
              </w:rPr>
              <w:t>R</w:t>
            </w:r>
            <w:r w:rsidRPr="00F24DA2">
              <w:rPr>
                <w:rFonts w:eastAsiaTheme="minorHAnsi" w:cstheme="minorBidi"/>
                <w:color w:val="000000" w:themeColor="text1"/>
              </w:rPr>
              <w:t>ound 1</w:t>
            </w:r>
          </w:p>
        </w:tc>
        <w:tc>
          <w:tcPr>
            <w:tcW w:w="953" w:type="pct"/>
          </w:tcPr>
          <w:p w14:paraId="471680D3"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9</w:t>
            </w:r>
          </w:p>
        </w:tc>
        <w:tc>
          <w:tcPr>
            <w:tcW w:w="953" w:type="pct"/>
          </w:tcPr>
          <w:p w14:paraId="4558FFE9" w14:textId="77777777" w:rsidR="001D47C5" w:rsidRPr="00F24DA2" w:rsidRDefault="001D47C5" w:rsidP="000A2690">
            <w:pPr>
              <w:spacing w:after="0" w:line="240" w:lineRule="auto"/>
              <w:jc w:val="center"/>
              <w:rPr>
                <w:rFonts w:eastAsiaTheme="minorHAnsi" w:cstheme="minorBidi"/>
                <w:color w:val="000000" w:themeColor="text1"/>
              </w:rPr>
            </w:pPr>
            <w:r w:rsidRPr="00F24DA2">
              <w:rPr>
                <w:rFonts w:eastAsiaTheme="minorHAnsi" w:cstheme="minorBidi"/>
                <w:color w:val="000000" w:themeColor="text1"/>
              </w:rPr>
              <w:t>7</w:t>
            </w:r>
          </w:p>
        </w:tc>
        <w:tc>
          <w:tcPr>
            <w:tcW w:w="874" w:type="pct"/>
          </w:tcPr>
          <w:p w14:paraId="025E5EA5"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8</w:t>
            </w:r>
          </w:p>
        </w:tc>
      </w:tr>
      <w:tr w:rsidR="001D47C5" w:rsidRPr="00F24DA2" w14:paraId="21467FEF" w14:textId="77777777" w:rsidTr="000A2690">
        <w:trPr>
          <w:trHeight w:val="296"/>
        </w:trPr>
        <w:tc>
          <w:tcPr>
            <w:tcW w:w="951" w:type="pct"/>
            <w:vMerge w:val="restart"/>
            <w:vAlign w:val="center"/>
          </w:tcPr>
          <w:p w14:paraId="31698A23" w14:textId="77777777" w:rsidR="001D47C5" w:rsidRPr="00F24DA2" w:rsidRDefault="001D47C5" w:rsidP="000A2690">
            <w:pPr>
              <w:spacing w:after="0" w:line="240" w:lineRule="auto"/>
              <w:jc w:val="center"/>
              <w:rPr>
                <w:rFonts w:eastAsiaTheme="minorHAnsi" w:cstheme="minorBidi"/>
                <w:color w:val="000000" w:themeColor="text1"/>
              </w:rPr>
            </w:pPr>
            <w:r w:rsidRPr="00F24DA2">
              <w:rPr>
                <w:rFonts w:eastAsiaTheme="minorHAnsi" w:cstheme="minorBidi"/>
                <w:color w:val="000000" w:themeColor="text1"/>
              </w:rPr>
              <w:t>Workshop 2</w:t>
            </w:r>
          </w:p>
        </w:tc>
        <w:tc>
          <w:tcPr>
            <w:tcW w:w="1270" w:type="pct"/>
          </w:tcPr>
          <w:p w14:paraId="38E54019"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Geriatricians</w:t>
            </w:r>
          </w:p>
        </w:tc>
        <w:tc>
          <w:tcPr>
            <w:tcW w:w="953" w:type="pct"/>
          </w:tcPr>
          <w:p w14:paraId="4DD8E1B0"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color w:val="000000" w:themeColor="text1"/>
              </w:rPr>
              <w:t>5</w:t>
            </w:r>
          </w:p>
        </w:tc>
        <w:tc>
          <w:tcPr>
            <w:tcW w:w="953" w:type="pct"/>
          </w:tcPr>
          <w:p w14:paraId="1456F847"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4</w:t>
            </w:r>
          </w:p>
        </w:tc>
        <w:tc>
          <w:tcPr>
            <w:tcW w:w="874" w:type="pct"/>
          </w:tcPr>
          <w:p w14:paraId="677F7F60"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3</w:t>
            </w:r>
          </w:p>
        </w:tc>
      </w:tr>
      <w:tr w:rsidR="001D47C5" w:rsidRPr="00F24DA2" w14:paraId="6467B367" w14:textId="77777777" w:rsidTr="000A2690">
        <w:trPr>
          <w:trHeight w:val="323"/>
        </w:trPr>
        <w:tc>
          <w:tcPr>
            <w:tcW w:w="951" w:type="pct"/>
            <w:vMerge/>
          </w:tcPr>
          <w:p w14:paraId="28A6C98B" w14:textId="77777777" w:rsidR="001D47C5" w:rsidRPr="00F24DA2" w:rsidRDefault="001D47C5" w:rsidP="000A2690">
            <w:pPr>
              <w:spacing w:after="0" w:line="240" w:lineRule="auto"/>
              <w:rPr>
                <w:rFonts w:eastAsiaTheme="minorHAnsi" w:cstheme="minorBidi"/>
                <w:color w:val="000000" w:themeColor="text1"/>
              </w:rPr>
            </w:pPr>
          </w:p>
        </w:tc>
        <w:tc>
          <w:tcPr>
            <w:tcW w:w="1270" w:type="pct"/>
          </w:tcPr>
          <w:p w14:paraId="218EAB8B"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 xml:space="preserve">Pharmacists </w:t>
            </w:r>
          </w:p>
        </w:tc>
        <w:tc>
          <w:tcPr>
            <w:tcW w:w="953" w:type="pct"/>
          </w:tcPr>
          <w:p w14:paraId="7957C95C"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3</w:t>
            </w:r>
          </w:p>
        </w:tc>
        <w:tc>
          <w:tcPr>
            <w:tcW w:w="953" w:type="pct"/>
          </w:tcPr>
          <w:p w14:paraId="37D4D4C5"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4</w:t>
            </w:r>
          </w:p>
        </w:tc>
        <w:tc>
          <w:tcPr>
            <w:tcW w:w="874" w:type="pct"/>
          </w:tcPr>
          <w:p w14:paraId="7AF35744"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3</w:t>
            </w:r>
          </w:p>
        </w:tc>
      </w:tr>
      <w:tr w:rsidR="001D47C5" w:rsidRPr="00F24DA2" w14:paraId="6E419FCC" w14:textId="77777777" w:rsidTr="000A2690">
        <w:trPr>
          <w:trHeight w:val="323"/>
        </w:trPr>
        <w:tc>
          <w:tcPr>
            <w:tcW w:w="951" w:type="pct"/>
            <w:vMerge/>
          </w:tcPr>
          <w:p w14:paraId="795A5F3D" w14:textId="77777777" w:rsidR="001D47C5" w:rsidRPr="00F24DA2" w:rsidRDefault="001D47C5" w:rsidP="000A2690">
            <w:pPr>
              <w:spacing w:after="0" w:line="240" w:lineRule="auto"/>
              <w:rPr>
                <w:rFonts w:eastAsiaTheme="minorHAnsi" w:cstheme="minorBidi"/>
                <w:color w:val="000000" w:themeColor="text1"/>
              </w:rPr>
            </w:pPr>
          </w:p>
        </w:tc>
        <w:tc>
          <w:tcPr>
            <w:tcW w:w="1270" w:type="pct"/>
          </w:tcPr>
          <w:p w14:paraId="1B04ABC9"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Other stakeholders</w:t>
            </w:r>
          </w:p>
        </w:tc>
        <w:tc>
          <w:tcPr>
            <w:tcW w:w="953" w:type="pct"/>
          </w:tcPr>
          <w:p w14:paraId="1D3F04FB"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1</w:t>
            </w:r>
          </w:p>
        </w:tc>
        <w:tc>
          <w:tcPr>
            <w:tcW w:w="953" w:type="pct"/>
          </w:tcPr>
          <w:p w14:paraId="15AEC530"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color w:val="000000" w:themeColor="text1"/>
              </w:rPr>
              <w:t>2*</w:t>
            </w:r>
          </w:p>
        </w:tc>
        <w:tc>
          <w:tcPr>
            <w:tcW w:w="874" w:type="pct"/>
          </w:tcPr>
          <w:p w14:paraId="6CCF7829"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2</w:t>
            </w:r>
          </w:p>
        </w:tc>
      </w:tr>
      <w:tr w:rsidR="001D47C5" w:rsidRPr="00F24DA2" w14:paraId="063080F0" w14:textId="77777777" w:rsidTr="000A2690">
        <w:trPr>
          <w:trHeight w:val="323"/>
        </w:trPr>
        <w:tc>
          <w:tcPr>
            <w:tcW w:w="2220" w:type="pct"/>
            <w:gridSpan w:val="2"/>
          </w:tcPr>
          <w:p w14:paraId="669C4C51"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 xml:space="preserve">Total participants at </w:t>
            </w:r>
            <w:r>
              <w:rPr>
                <w:rFonts w:eastAsiaTheme="minorHAnsi" w:cstheme="minorBidi"/>
                <w:color w:val="000000" w:themeColor="text1"/>
              </w:rPr>
              <w:t>R</w:t>
            </w:r>
            <w:r w:rsidRPr="00F24DA2">
              <w:rPr>
                <w:rFonts w:eastAsiaTheme="minorHAnsi" w:cstheme="minorBidi"/>
                <w:color w:val="000000" w:themeColor="text1"/>
              </w:rPr>
              <w:t>ound 2</w:t>
            </w:r>
          </w:p>
        </w:tc>
        <w:tc>
          <w:tcPr>
            <w:tcW w:w="953" w:type="pct"/>
          </w:tcPr>
          <w:p w14:paraId="1528BF55"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9</w:t>
            </w:r>
          </w:p>
        </w:tc>
        <w:tc>
          <w:tcPr>
            <w:tcW w:w="953" w:type="pct"/>
          </w:tcPr>
          <w:p w14:paraId="5740D5AD" w14:textId="77777777" w:rsidR="001D47C5" w:rsidRPr="00F24DA2" w:rsidRDefault="001D47C5" w:rsidP="000A2690">
            <w:pPr>
              <w:spacing w:after="0" w:line="240" w:lineRule="auto"/>
              <w:jc w:val="center"/>
              <w:rPr>
                <w:rFonts w:eastAsiaTheme="minorHAnsi" w:cstheme="minorBidi"/>
                <w:color w:val="000000" w:themeColor="text1"/>
              </w:rPr>
            </w:pPr>
            <w:r w:rsidRPr="00F24DA2">
              <w:rPr>
                <w:rFonts w:eastAsiaTheme="minorHAnsi" w:cstheme="minorBidi"/>
                <w:color w:val="000000" w:themeColor="text1"/>
              </w:rPr>
              <w:t>8</w:t>
            </w:r>
          </w:p>
        </w:tc>
        <w:tc>
          <w:tcPr>
            <w:tcW w:w="874" w:type="pct"/>
          </w:tcPr>
          <w:p w14:paraId="6D5237B8"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8</w:t>
            </w:r>
          </w:p>
        </w:tc>
      </w:tr>
      <w:tr w:rsidR="001D47C5" w:rsidRPr="00F24DA2" w14:paraId="73074C62" w14:textId="77777777" w:rsidTr="000A2690">
        <w:trPr>
          <w:trHeight w:val="323"/>
        </w:trPr>
        <w:tc>
          <w:tcPr>
            <w:tcW w:w="951" w:type="pct"/>
            <w:vMerge w:val="restart"/>
            <w:vAlign w:val="center"/>
          </w:tcPr>
          <w:p w14:paraId="0DCF2AAB" w14:textId="77777777" w:rsidR="001D47C5" w:rsidRPr="00F24DA2" w:rsidRDefault="001D47C5" w:rsidP="000A2690">
            <w:pPr>
              <w:spacing w:after="0" w:line="240" w:lineRule="auto"/>
              <w:jc w:val="center"/>
              <w:rPr>
                <w:rFonts w:eastAsiaTheme="minorHAnsi" w:cstheme="minorBidi"/>
                <w:color w:val="000000" w:themeColor="text1"/>
              </w:rPr>
            </w:pPr>
            <w:r w:rsidRPr="00F24DA2">
              <w:rPr>
                <w:rFonts w:eastAsiaTheme="minorHAnsi" w:cstheme="minorBidi"/>
                <w:color w:val="000000" w:themeColor="text1"/>
              </w:rPr>
              <w:t>Workshop 3</w:t>
            </w:r>
          </w:p>
        </w:tc>
        <w:tc>
          <w:tcPr>
            <w:tcW w:w="1270" w:type="pct"/>
          </w:tcPr>
          <w:p w14:paraId="5FA48D6E"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Geriatricians</w:t>
            </w:r>
          </w:p>
        </w:tc>
        <w:tc>
          <w:tcPr>
            <w:tcW w:w="953" w:type="pct"/>
          </w:tcPr>
          <w:p w14:paraId="46D28E5A"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color w:val="000000" w:themeColor="text1"/>
              </w:rPr>
              <w:t>5</w:t>
            </w:r>
          </w:p>
        </w:tc>
        <w:tc>
          <w:tcPr>
            <w:tcW w:w="953" w:type="pct"/>
          </w:tcPr>
          <w:p w14:paraId="16ABE0EC"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2</w:t>
            </w:r>
          </w:p>
        </w:tc>
        <w:tc>
          <w:tcPr>
            <w:tcW w:w="874" w:type="pct"/>
          </w:tcPr>
          <w:p w14:paraId="5AE0897C"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1</w:t>
            </w:r>
          </w:p>
        </w:tc>
      </w:tr>
      <w:tr w:rsidR="001D47C5" w:rsidRPr="00F24DA2" w14:paraId="4A538D62" w14:textId="77777777" w:rsidTr="000A2690">
        <w:trPr>
          <w:trHeight w:val="296"/>
        </w:trPr>
        <w:tc>
          <w:tcPr>
            <w:tcW w:w="951" w:type="pct"/>
            <w:vMerge/>
          </w:tcPr>
          <w:p w14:paraId="7A0A52D8" w14:textId="77777777" w:rsidR="001D47C5" w:rsidRPr="00F24DA2" w:rsidRDefault="001D47C5" w:rsidP="000A2690">
            <w:pPr>
              <w:spacing w:after="0" w:line="240" w:lineRule="auto"/>
              <w:rPr>
                <w:rFonts w:eastAsiaTheme="minorHAnsi" w:cstheme="minorBidi"/>
                <w:color w:val="000000" w:themeColor="text1"/>
              </w:rPr>
            </w:pPr>
          </w:p>
        </w:tc>
        <w:tc>
          <w:tcPr>
            <w:tcW w:w="1270" w:type="pct"/>
          </w:tcPr>
          <w:p w14:paraId="7919236C"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 xml:space="preserve">Pharmacists </w:t>
            </w:r>
          </w:p>
        </w:tc>
        <w:tc>
          <w:tcPr>
            <w:tcW w:w="953" w:type="pct"/>
          </w:tcPr>
          <w:p w14:paraId="5470E948"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4</w:t>
            </w:r>
          </w:p>
        </w:tc>
        <w:tc>
          <w:tcPr>
            <w:tcW w:w="953" w:type="pct"/>
          </w:tcPr>
          <w:p w14:paraId="0AB26386"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3</w:t>
            </w:r>
          </w:p>
        </w:tc>
        <w:tc>
          <w:tcPr>
            <w:tcW w:w="874" w:type="pct"/>
          </w:tcPr>
          <w:p w14:paraId="78A0C286"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2</w:t>
            </w:r>
          </w:p>
        </w:tc>
      </w:tr>
      <w:tr w:rsidR="001D47C5" w:rsidRPr="00F24DA2" w14:paraId="0EB5D892" w14:textId="77777777" w:rsidTr="000A2690">
        <w:trPr>
          <w:trHeight w:val="323"/>
        </w:trPr>
        <w:tc>
          <w:tcPr>
            <w:tcW w:w="951" w:type="pct"/>
            <w:vMerge/>
          </w:tcPr>
          <w:p w14:paraId="0263C870" w14:textId="77777777" w:rsidR="001D47C5" w:rsidRPr="00F24DA2" w:rsidRDefault="001D47C5" w:rsidP="000A2690">
            <w:pPr>
              <w:spacing w:after="0" w:line="240" w:lineRule="auto"/>
              <w:rPr>
                <w:rFonts w:eastAsiaTheme="minorHAnsi" w:cstheme="minorBidi"/>
                <w:color w:val="000000" w:themeColor="text1"/>
              </w:rPr>
            </w:pPr>
          </w:p>
        </w:tc>
        <w:tc>
          <w:tcPr>
            <w:tcW w:w="1270" w:type="pct"/>
          </w:tcPr>
          <w:p w14:paraId="490D3060"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Other stakeholders</w:t>
            </w:r>
          </w:p>
        </w:tc>
        <w:tc>
          <w:tcPr>
            <w:tcW w:w="953" w:type="pct"/>
          </w:tcPr>
          <w:p w14:paraId="1A05BBDB"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1</w:t>
            </w:r>
          </w:p>
        </w:tc>
        <w:tc>
          <w:tcPr>
            <w:tcW w:w="953" w:type="pct"/>
          </w:tcPr>
          <w:p w14:paraId="69047707"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color w:val="000000" w:themeColor="text1"/>
              </w:rPr>
              <w:t>1*</w:t>
            </w:r>
          </w:p>
        </w:tc>
        <w:tc>
          <w:tcPr>
            <w:tcW w:w="874" w:type="pct"/>
          </w:tcPr>
          <w:p w14:paraId="6B5749C4"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1</w:t>
            </w:r>
          </w:p>
        </w:tc>
      </w:tr>
      <w:tr w:rsidR="001D47C5" w:rsidRPr="00F24DA2" w14:paraId="0DB05571" w14:textId="77777777" w:rsidTr="000A2690">
        <w:trPr>
          <w:trHeight w:val="323"/>
        </w:trPr>
        <w:tc>
          <w:tcPr>
            <w:tcW w:w="2220" w:type="pct"/>
            <w:gridSpan w:val="2"/>
          </w:tcPr>
          <w:p w14:paraId="71420FF5" w14:textId="77777777" w:rsidR="001D47C5" w:rsidRPr="00F24DA2" w:rsidRDefault="001D47C5" w:rsidP="000A2690">
            <w:pPr>
              <w:spacing w:after="0" w:line="240" w:lineRule="auto"/>
              <w:rPr>
                <w:rFonts w:eastAsiaTheme="minorHAnsi" w:cstheme="minorBidi"/>
                <w:color w:val="000000" w:themeColor="text1"/>
              </w:rPr>
            </w:pPr>
            <w:r w:rsidRPr="00F24DA2">
              <w:rPr>
                <w:rFonts w:eastAsiaTheme="minorHAnsi" w:cstheme="minorBidi"/>
                <w:color w:val="000000" w:themeColor="text1"/>
              </w:rPr>
              <w:t xml:space="preserve">Total participants at </w:t>
            </w:r>
            <w:r>
              <w:rPr>
                <w:rFonts w:eastAsiaTheme="minorHAnsi" w:cstheme="minorBidi"/>
                <w:color w:val="000000" w:themeColor="text1"/>
              </w:rPr>
              <w:t>R</w:t>
            </w:r>
            <w:r w:rsidRPr="00F24DA2">
              <w:rPr>
                <w:rFonts w:eastAsiaTheme="minorHAnsi" w:cstheme="minorBidi"/>
                <w:color w:val="000000" w:themeColor="text1"/>
              </w:rPr>
              <w:t>ound 3</w:t>
            </w:r>
          </w:p>
        </w:tc>
        <w:tc>
          <w:tcPr>
            <w:tcW w:w="953" w:type="pct"/>
          </w:tcPr>
          <w:p w14:paraId="0E6B2FAE" w14:textId="77777777" w:rsidR="001D47C5" w:rsidRPr="00F24DA2" w:rsidRDefault="001D47C5" w:rsidP="000A2690">
            <w:pPr>
              <w:spacing w:after="0" w:line="240" w:lineRule="auto"/>
              <w:jc w:val="center"/>
              <w:rPr>
                <w:rFonts w:eastAsiaTheme="minorHAnsi" w:cstheme="minorBidi"/>
              </w:rPr>
            </w:pPr>
            <w:r w:rsidRPr="00F24DA2">
              <w:rPr>
                <w:rFonts w:eastAsiaTheme="minorHAnsi" w:cstheme="minorBidi"/>
              </w:rPr>
              <w:t>10</w:t>
            </w:r>
          </w:p>
        </w:tc>
        <w:tc>
          <w:tcPr>
            <w:tcW w:w="953" w:type="pct"/>
          </w:tcPr>
          <w:p w14:paraId="4110DB7C" w14:textId="77777777" w:rsidR="001D47C5" w:rsidRPr="00F24DA2" w:rsidRDefault="001D47C5" w:rsidP="000A2690">
            <w:pPr>
              <w:spacing w:after="0" w:line="240" w:lineRule="auto"/>
              <w:jc w:val="center"/>
              <w:rPr>
                <w:rFonts w:eastAsiaTheme="minorHAnsi" w:cstheme="minorBidi"/>
                <w:color w:val="000000" w:themeColor="text1"/>
              </w:rPr>
            </w:pPr>
            <w:r w:rsidRPr="00F24DA2">
              <w:rPr>
                <w:rFonts w:eastAsiaTheme="minorHAnsi" w:cstheme="minorBidi"/>
                <w:color w:val="000000" w:themeColor="text1"/>
              </w:rPr>
              <w:t>5</w:t>
            </w:r>
          </w:p>
        </w:tc>
        <w:tc>
          <w:tcPr>
            <w:tcW w:w="874" w:type="pct"/>
          </w:tcPr>
          <w:p w14:paraId="3EC10382" w14:textId="77777777" w:rsidR="001D47C5" w:rsidRPr="00F24DA2" w:rsidRDefault="001D47C5" w:rsidP="000A2690">
            <w:pPr>
              <w:spacing w:after="0" w:line="240" w:lineRule="auto"/>
              <w:jc w:val="center"/>
              <w:rPr>
                <w:rFonts w:eastAsiaTheme="minorHAnsi" w:cs="Calibri"/>
                <w:color w:val="000000"/>
                <w:szCs w:val="22"/>
              </w:rPr>
            </w:pPr>
            <w:r w:rsidRPr="00F24DA2">
              <w:rPr>
                <w:rFonts w:eastAsiaTheme="minorHAnsi" w:cs="Calibri"/>
                <w:color w:val="000000"/>
                <w:szCs w:val="22"/>
              </w:rPr>
              <w:t>4</w:t>
            </w:r>
          </w:p>
        </w:tc>
      </w:tr>
      <w:tr w:rsidR="001D47C5" w:rsidRPr="00F24DA2" w14:paraId="74F78EFF" w14:textId="77777777" w:rsidTr="000A2690">
        <w:trPr>
          <w:trHeight w:val="323"/>
        </w:trPr>
        <w:tc>
          <w:tcPr>
            <w:tcW w:w="2220" w:type="pct"/>
            <w:gridSpan w:val="2"/>
          </w:tcPr>
          <w:p w14:paraId="40CA80E8" w14:textId="77777777" w:rsidR="001D47C5" w:rsidRPr="00F24DA2" w:rsidRDefault="001D47C5" w:rsidP="000A2690">
            <w:pPr>
              <w:spacing w:after="0" w:line="240" w:lineRule="auto"/>
              <w:rPr>
                <w:rFonts w:eastAsiaTheme="minorHAnsi" w:cstheme="minorBidi"/>
                <w:b/>
                <w:bCs/>
                <w:color w:val="000000" w:themeColor="text1"/>
              </w:rPr>
            </w:pPr>
            <w:r w:rsidRPr="00F24DA2">
              <w:rPr>
                <w:rFonts w:eastAsiaTheme="minorHAnsi" w:cstheme="minorBidi"/>
                <w:b/>
                <w:bCs/>
                <w:color w:val="000000" w:themeColor="text1"/>
              </w:rPr>
              <w:t>Total participants per hospital</w:t>
            </w:r>
          </w:p>
        </w:tc>
        <w:tc>
          <w:tcPr>
            <w:tcW w:w="953" w:type="pct"/>
          </w:tcPr>
          <w:p w14:paraId="33C0083E" w14:textId="77777777" w:rsidR="001D47C5" w:rsidRPr="00F24DA2" w:rsidRDefault="001D47C5" w:rsidP="000A2690">
            <w:pPr>
              <w:spacing w:after="0" w:line="240" w:lineRule="auto"/>
              <w:jc w:val="center"/>
              <w:rPr>
                <w:rFonts w:eastAsiaTheme="minorHAnsi" w:cstheme="minorBidi"/>
                <w:b/>
                <w:bCs/>
              </w:rPr>
            </w:pPr>
            <w:r w:rsidRPr="00F24DA2">
              <w:rPr>
                <w:rFonts w:eastAsiaTheme="minorHAnsi" w:cstheme="minorBidi"/>
                <w:b/>
                <w:bCs/>
              </w:rPr>
              <w:t>14</w:t>
            </w:r>
          </w:p>
        </w:tc>
        <w:tc>
          <w:tcPr>
            <w:tcW w:w="953" w:type="pct"/>
          </w:tcPr>
          <w:p w14:paraId="690902B2" w14:textId="77777777" w:rsidR="001D47C5" w:rsidRPr="00F24DA2" w:rsidRDefault="001D47C5" w:rsidP="000A2690">
            <w:pPr>
              <w:spacing w:after="0" w:line="240" w:lineRule="auto"/>
              <w:jc w:val="center"/>
              <w:rPr>
                <w:rFonts w:eastAsiaTheme="minorHAnsi" w:cstheme="minorBidi"/>
                <w:b/>
                <w:bCs/>
                <w:color w:val="000000" w:themeColor="text1"/>
              </w:rPr>
            </w:pPr>
            <w:r w:rsidRPr="00F24DA2">
              <w:rPr>
                <w:rFonts w:eastAsiaTheme="minorHAnsi" w:cstheme="minorBidi"/>
                <w:b/>
                <w:bCs/>
                <w:color w:val="000000" w:themeColor="text1"/>
              </w:rPr>
              <w:t>8</w:t>
            </w:r>
          </w:p>
        </w:tc>
        <w:tc>
          <w:tcPr>
            <w:tcW w:w="874" w:type="pct"/>
          </w:tcPr>
          <w:p w14:paraId="19B94E25" w14:textId="77777777" w:rsidR="001D47C5" w:rsidRPr="00F24DA2" w:rsidRDefault="001D47C5" w:rsidP="000A2690">
            <w:pPr>
              <w:spacing w:after="0" w:line="240" w:lineRule="auto"/>
              <w:jc w:val="center"/>
              <w:rPr>
                <w:rFonts w:eastAsiaTheme="minorHAnsi" w:cs="Calibri"/>
                <w:b/>
                <w:bCs/>
                <w:color w:val="000000"/>
                <w:szCs w:val="22"/>
              </w:rPr>
            </w:pPr>
            <w:r w:rsidRPr="00F24DA2">
              <w:rPr>
                <w:rFonts w:eastAsiaTheme="minorHAnsi" w:cs="Calibri"/>
                <w:b/>
                <w:bCs/>
                <w:color w:val="000000"/>
                <w:szCs w:val="22"/>
              </w:rPr>
              <w:t>11</w:t>
            </w:r>
          </w:p>
        </w:tc>
      </w:tr>
    </w:tbl>
    <w:p w14:paraId="0054317B" w14:textId="77777777" w:rsidR="009078C7" w:rsidRDefault="009078C7" w:rsidP="00B82B2D">
      <w:pPr>
        <w:spacing w:line="480" w:lineRule="auto"/>
        <w:rPr>
          <w:b/>
          <w:bCs/>
          <w:color w:val="000000" w:themeColor="text1"/>
          <w:sz w:val="24"/>
        </w:rPr>
      </w:pPr>
    </w:p>
    <w:p w14:paraId="0F7ED502" w14:textId="2927F726" w:rsidR="009078C7" w:rsidRPr="007275F2" w:rsidRDefault="004B61B3" w:rsidP="007275F2">
      <w:pPr>
        <w:spacing w:line="360" w:lineRule="auto"/>
        <w:rPr>
          <w:rFonts w:eastAsiaTheme="minorHAnsi" w:cs="Calibri"/>
          <w:i/>
          <w:iCs/>
          <w:sz w:val="24"/>
        </w:rPr>
      </w:pPr>
      <w:r>
        <w:rPr>
          <w:rFonts w:cs="Calibri"/>
          <w:i/>
          <w:iCs/>
          <w:color w:val="000000" w:themeColor="text1"/>
          <w:sz w:val="24"/>
          <w:szCs w:val="28"/>
        </w:rPr>
        <w:t>‘</w:t>
      </w:r>
      <w:r w:rsidR="007275F2" w:rsidRPr="002671E3">
        <w:rPr>
          <w:rFonts w:eastAsiaTheme="minorHAnsi" w:cs="Calibri"/>
          <w:i/>
          <w:iCs/>
          <w:sz w:val="24"/>
        </w:rPr>
        <w:t>Other stakeholders</w:t>
      </w:r>
      <w:r>
        <w:rPr>
          <w:rFonts w:eastAsiaTheme="minorHAnsi" w:cs="Calibri"/>
          <w:i/>
          <w:iCs/>
          <w:sz w:val="24"/>
        </w:rPr>
        <w:t>’</w:t>
      </w:r>
      <w:r w:rsidR="007275F2" w:rsidRPr="002671E3">
        <w:rPr>
          <w:rFonts w:eastAsiaTheme="minorHAnsi" w:cs="Calibri"/>
          <w:i/>
          <w:iCs/>
          <w:sz w:val="24"/>
        </w:rPr>
        <w:t xml:space="preserve"> included Improvement and Transformation Managers, an Advanced Nurse Practitioner and an IT Business Change Manager. *Dual role, two geriatricians also acting as Improvement and Transformation Managers.</w:t>
      </w:r>
    </w:p>
    <w:p w14:paraId="1744A6D0" w14:textId="77777777" w:rsidR="009078C7" w:rsidRDefault="009078C7" w:rsidP="00B82B2D">
      <w:pPr>
        <w:spacing w:line="480" w:lineRule="auto"/>
        <w:rPr>
          <w:b/>
          <w:bCs/>
          <w:color w:val="000000" w:themeColor="text1"/>
          <w:sz w:val="24"/>
        </w:rPr>
      </w:pPr>
    </w:p>
    <w:p w14:paraId="4CEB2F04" w14:textId="77777777" w:rsidR="009078C7" w:rsidRDefault="009078C7" w:rsidP="00B82B2D">
      <w:pPr>
        <w:spacing w:line="480" w:lineRule="auto"/>
        <w:rPr>
          <w:b/>
          <w:bCs/>
          <w:color w:val="000000" w:themeColor="text1"/>
          <w:sz w:val="24"/>
        </w:rPr>
      </w:pPr>
    </w:p>
    <w:p w14:paraId="07420795" w14:textId="77777777" w:rsidR="009078C7" w:rsidRDefault="009078C7" w:rsidP="00B82B2D">
      <w:pPr>
        <w:spacing w:line="480" w:lineRule="auto"/>
        <w:rPr>
          <w:b/>
          <w:bCs/>
          <w:color w:val="000000" w:themeColor="text1"/>
          <w:sz w:val="24"/>
        </w:rPr>
      </w:pPr>
    </w:p>
    <w:p w14:paraId="56710464" w14:textId="77777777" w:rsidR="009078C7" w:rsidRDefault="009078C7" w:rsidP="00B82B2D">
      <w:pPr>
        <w:spacing w:line="480" w:lineRule="auto"/>
        <w:rPr>
          <w:b/>
          <w:bCs/>
          <w:color w:val="000000" w:themeColor="text1"/>
          <w:sz w:val="24"/>
        </w:rPr>
      </w:pPr>
    </w:p>
    <w:p w14:paraId="0A5CB7ED" w14:textId="4DDCE94C" w:rsidR="00C461A8" w:rsidRPr="001D47C5" w:rsidRDefault="00E210B8" w:rsidP="00B82B2D">
      <w:pPr>
        <w:spacing w:line="480" w:lineRule="auto"/>
        <w:rPr>
          <w:color w:val="000000" w:themeColor="text1"/>
          <w:sz w:val="24"/>
          <w:szCs w:val="28"/>
        </w:rPr>
      </w:pPr>
      <w:r>
        <w:rPr>
          <w:b/>
          <w:bCs/>
          <w:color w:val="000000" w:themeColor="text1"/>
          <w:sz w:val="24"/>
        </w:rPr>
        <w:t xml:space="preserve">Table </w:t>
      </w:r>
      <w:r w:rsidR="00B77B5C">
        <w:rPr>
          <w:b/>
          <w:bCs/>
          <w:color w:val="000000" w:themeColor="text1"/>
          <w:sz w:val="24"/>
        </w:rPr>
        <w:t>3</w:t>
      </w:r>
      <w:r>
        <w:rPr>
          <w:b/>
          <w:bCs/>
          <w:color w:val="000000" w:themeColor="text1"/>
          <w:sz w:val="24"/>
        </w:rPr>
        <w:t xml:space="preserve">. </w:t>
      </w:r>
      <w:r w:rsidRPr="00B76DA0">
        <w:rPr>
          <w:color w:val="000000" w:themeColor="text1"/>
          <w:sz w:val="24"/>
        </w:rPr>
        <w:t>O</w:t>
      </w:r>
      <w:r>
        <w:rPr>
          <w:color w:val="000000" w:themeColor="text1"/>
          <w:sz w:val="24"/>
          <w:szCs w:val="28"/>
        </w:rPr>
        <w:t>perationalisations, ratings and selection of the BCTs at Round 1 and Round 2</w:t>
      </w:r>
    </w:p>
    <w:tbl>
      <w:tblPr>
        <w:tblStyle w:val="TableGrid1"/>
        <w:tblpPr w:leftFromText="180" w:rightFromText="180" w:vertAnchor="page" w:horzAnchor="margin" w:tblpXSpec="center" w:tblpY="696"/>
        <w:tblW w:w="4973" w:type="pct"/>
        <w:tblLayout w:type="fixed"/>
        <w:tblLook w:val="04A0" w:firstRow="1" w:lastRow="0" w:firstColumn="1" w:lastColumn="0" w:noHBand="0" w:noVBand="1"/>
      </w:tblPr>
      <w:tblGrid>
        <w:gridCol w:w="11865"/>
        <w:gridCol w:w="606"/>
        <w:gridCol w:w="569"/>
        <w:gridCol w:w="569"/>
        <w:gridCol w:w="560"/>
        <w:gridCol w:w="591"/>
        <w:gridCol w:w="545"/>
      </w:tblGrid>
      <w:tr w:rsidR="00E210B8" w:rsidRPr="003E0052" w14:paraId="58A3F9AA" w14:textId="77777777" w:rsidTr="00951CBF">
        <w:trPr>
          <w:trHeight w:val="274"/>
        </w:trPr>
        <w:tc>
          <w:tcPr>
            <w:tcW w:w="3876" w:type="pct"/>
            <w:vMerge w:val="restart"/>
            <w:shd w:val="clear" w:color="auto" w:fill="auto"/>
            <w:vAlign w:val="center"/>
          </w:tcPr>
          <w:p w14:paraId="5161886F" w14:textId="77777777" w:rsidR="00E210B8" w:rsidRPr="00CC1F8C" w:rsidRDefault="00E210B8" w:rsidP="005C025C">
            <w:pPr>
              <w:spacing w:after="0" w:line="240" w:lineRule="auto"/>
              <w:rPr>
                <w:rFonts w:asciiTheme="minorHAnsi" w:eastAsiaTheme="minorHAnsi" w:hAnsiTheme="minorHAnsi" w:cstheme="minorBidi"/>
                <w:b/>
                <w:bCs/>
                <w:color w:val="000000" w:themeColor="text1"/>
                <w:szCs w:val="22"/>
              </w:rPr>
            </w:pPr>
            <w:r w:rsidRPr="005C025C">
              <w:rPr>
                <w:rFonts w:asciiTheme="minorHAnsi" w:eastAsiaTheme="minorHAnsi" w:hAnsiTheme="minorHAnsi" w:cstheme="minorBidi"/>
                <w:b/>
                <w:bCs/>
                <w:color w:val="000000" w:themeColor="text1"/>
                <w:szCs w:val="22"/>
              </w:rPr>
              <w:lastRenderedPageBreak/>
              <w:t>Behaviour Change Technique operationalisations</w:t>
            </w:r>
          </w:p>
        </w:tc>
        <w:tc>
          <w:tcPr>
            <w:tcW w:w="570" w:type="pct"/>
            <w:gridSpan w:val="3"/>
            <w:shd w:val="clear" w:color="auto" w:fill="auto"/>
            <w:vAlign w:val="center"/>
          </w:tcPr>
          <w:p w14:paraId="25BBE5AA" w14:textId="5C254E67" w:rsidR="00E210B8" w:rsidRPr="00CC1F8C" w:rsidRDefault="00E210B8" w:rsidP="004B3524">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Round 1</w:t>
            </w:r>
            <w:r w:rsidR="00440A4B">
              <w:rPr>
                <w:rFonts w:asciiTheme="minorHAnsi" w:eastAsiaTheme="minorHAnsi" w:hAnsiTheme="minorHAnsi" w:cstheme="minorBidi"/>
                <w:b/>
                <w:bCs/>
                <w:color w:val="000000" w:themeColor="text1"/>
                <w:szCs w:val="22"/>
              </w:rPr>
              <w:t xml:space="preserve"> selections</w:t>
            </w:r>
          </w:p>
        </w:tc>
        <w:tc>
          <w:tcPr>
            <w:tcW w:w="554" w:type="pct"/>
            <w:gridSpan w:val="3"/>
            <w:shd w:val="clear" w:color="auto" w:fill="auto"/>
          </w:tcPr>
          <w:p w14:paraId="34666E58" w14:textId="5A5F7F9E" w:rsidR="00E210B8" w:rsidRPr="00CC1F8C" w:rsidRDefault="00E210B8" w:rsidP="004B3524">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Round 2</w:t>
            </w:r>
            <w:r w:rsidR="00440A4B">
              <w:rPr>
                <w:rFonts w:asciiTheme="minorHAnsi" w:eastAsiaTheme="minorHAnsi" w:hAnsiTheme="minorHAnsi" w:cstheme="minorBidi"/>
                <w:b/>
                <w:bCs/>
                <w:color w:val="000000" w:themeColor="text1"/>
                <w:szCs w:val="22"/>
              </w:rPr>
              <w:t xml:space="preserve"> selections</w:t>
            </w:r>
          </w:p>
        </w:tc>
      </w:tr>
      <w:tr w:rsidR="00E210B8" w:rsidRPr="003E0052" w14:paraId="23FF7370" w14:textId="77777777" w:rsidTr="005C025C">
        <w:trPr>
          <w:trHeight w:val="393"/>
        </w:trPr>
        <w:tc>
          <w:tcPr>
            <w:tcW w:w="3876" w:type="pct"/>
            <w:vMerge/>
            <w:shd w:val="clear" w:color="auto" w:fill="auto"/>
          </w:tcPr>
          <w:p w14:paraId="25ADC47A" w14:textId="77777777" w:rsidR="00E210B8" w:rsidRPr="00CC1F8C" w:rsidRDefault="00E210B8" w:rsidP="00B82B2D">
            <w:pPr>
              <w:spacing w:after="0" w:line="480" w:lineRule="auto"/>
              <w:rPr>
                <w:rFonts w:asciiTheme="minorHAnsi" w:eastAsiaTheme="minorHAnsi" w:hAnsiTheme="minorHAnsi" w:cstheme="minorBidi"/>
                <w:b/>
                <w:bCs/>
                <w:color w:val="000000" w:themeColor="text1"/>
                <w:szCs w:val="22"/>
              </w:rPr>
            </w:pPr>
          </w:p>
        </w:tc>
        <w:tc>
          <w:tcPr>
            <w:tcW w:w="570" w:type="pct"/>
            <w:gridSpan w:val="3"/>
            <w:shd w:val="clear" w:color="auto" w:fill="auto"/>
            <w:vAlign w:val="center"/>
          </w:tcPr>
          <w:p w14:paraId="16574E5F" w14:textId="671AFA99"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Hospital:</w:t>
            </w:r>
          </w:p>
        </w:tc>
        <w:tc>
          <w:tcPr>
            <w:tcW w:w="554" w:type="pct"/>
            <w:gridSpan w:val="3"/>
            <w:shd w:val="clear" w:color="auto" w:fill="auto"/>
            <w:vAlign w:val="center"/>
          </w:tcPr>
          <w:p w14:paraId="2E664205" w14:textId="77777777"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Hospital:</w:t>
            </w:r>
          </w:p>
        </w:tc>
      </w:tr>
      <w:tr w:rsidR="00E210B8" w:rsidRPr="003E0052" w14:paraId="70565309" w14:textId="77777777" w:rsidTr="005C025C">
        <w:trPr>
          <w:trHeight w:val="274"/>
        </w:trPr>
        <w:tc>
          <w:tcPr>
            <w:tcW w:w="3876" w:type="pct"/>
            <w:shd w:val="clear" w:color="auto" w:fill="auto"/>
          </w:tcPr>
          <w:p w14:paraId="19FC5D51" w14:textId="77777777" w:rsidR="00E210B8" w:rsidRPr="00CC1F8C" w:rsidRDefault="00E210B8" w:rsidP="00B82B2D">
            <w:pPr>
              <w:spacing w:after="0" w:line="480" w:lineRule="auto"/>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Pros and Cons</w:t>
            </w:r>
            <w:r>
              <w:rPr>
                <w:rFonts w:asciiTheme="minorHAnsi" w:eastAsiaTheme="minorHAnsi" w:hAnsiTheme="minorHAnsi" w:cstheme="minorBidi"/>
                <w:b/>
                <w:bCs/>
                <w:color w:val="000000" w:themeColor="text1"/>
                <w:szCs w:val="22"/>
              </w:rPr>
              <w:t xml:space="preserve"> &amp;</w:t>
            </w:r>
            <w:r w:rsidRPr="00CC1F8C">
              <w:rPr>
                <w:rFonts w:asciiTheme="minorHAnsi" w:eastAsiaTheme="minorHAnsi" w:hAnsiTheme="minorHAnsi" w:cstheme="minorBidi"/>
                <w:b/>
                <w:bCs/>
                <w:color w:val="000000" w:themeColor="text1"/>
                <w:szCs w:val="22"/>
              </w:rPr>
              <w:t xml:space="preserve"> Salience of Consequences</w:t>
            </w:r>
          </w:p>
        </w:tc>
        <w:tc>
          <w:tcPr>
            <w:tcW w:w="198" w:type="pct"/>
            <w:shd w:val="clear" w:color="auto" w:fill="auto"/>
            <w:vAlign w:val="center"/>
          </w:tcPr>
          <w:p w14:paraId="0194A6CD" w14:textId="77777777"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A</w:t>
            </w:r>
          </w:p>
        </w:tc>
        <w:tc>
          <w:tcPr>
            <w:tcW w:w="186" w:type="pct"/>
            <w:shd w:val="clear" w:color="auto" w:fill="auto"/>
            <w:vAlign w:val="center"/>
          </w:tcPr>
          <w:p w14:paraId="3ECFA6B1" w14:textId="77777777"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B</w:t>
            </w:r>
          </w:p>
        </w:tc>
        <w:tc>
          <w:tcPr>
            <w:tcW w:w="186" w:type="pct"/>
            <w:shd w:val="clear" w:color="auto" w:fill="auto"/>
            <w:vAlign w:val="center"/>
          </w:tcPr>
          <w:p w14:paraId="3F3AB230" w14:textId="77777777"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C</w:t>
            </w:r>
          </w:p>
        </w:tc>
        <w:tc>
          <w:tcPr>
            <w:tcW w:w="183" w:type="pct"/>
            <w:shd w:val="clear" w:color="auto" w:fill="auto"/>
            <w:vAlign w:val="center"/>
          </w:tcPr>
          <w:p w14:paraId="49D2B13B" w14:textId="77777777"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A</w:t>
            </w:r>
          </w:p>
        </w:tc>
        <w:tc>
          <w:tcPr>
            <w:tcW w:w="193" w:type="pct"/>
            <w:shd w:val="clear" w:color="auto" w:fill="auto"/>
            <w:vAlign w:val="center"/>
          </w:tcPr>
          <w:p w14:paraId="32E5FD73" w14:textId="77777777"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B</w:t>
            </w:r>
          </w:p>
        </w:tc>
        <w:tc>
          <w:tcPr>
            <w:tcW w:w="178" w:type="pct"/>
            <w:shd w:val="clear" w:color="auto" w:fill="auto"/>
            <w:vAlign w:val="center"/>
          </w:tcPr>
          <w:p w14:paraId="3C38F686" w14:textId="77777777" w:rsidR="00E210B8" w:rsidRPr="00CC1F8C" w:rsidRDefault="00E210B8" w:rsidP="005C025C">
            <w:pPr>
              <w:spacing w:after="0" w:line="240" w:lineRule="auto"/>
              <w:jc w:val="center"/>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C</w:t>
            </w:r>
          </w:p>
        </w:tc>
      </w:tr>
      <w:tr w:rsidR="00E210B8" w:rsidRPr="003E0052" w14:paraId="5CC4F4A2" w14:textId="77777777" w:rsidTr="00951CBF">
        <w:trPr>
          <w:trHeight w:val="181"/>
        </w:trPr>
        <w:tc>
          <w:tcPr>
            <w:tcW w:w="3876" w:type="pct"/>
            <w:shd w:val="clear" w:color="auto" w:fill="auto"/>
          </w:tcPr>
          <w:p w14:paraId="3ABC70BD"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Real-life patient cases from own trust of harms arising from missed deprescribing opportunities</w:t>
            </w:r>
          </w:p>
        </w:tc>
        <w:tc>
          <w:tcPr>
            <w:tcW w:w="198" w:type="pct"/>
            <w:shd w:val="clear" w:color="auto" w:fill="auto"/>
            <w:vAlign w:val="center"/>
          </w:tcPr>
          <w:p w14:paraId="6A3DCEDC" w14:textId="77777777" w:rsidR="00E210B8" w:rsidRPr="003E0052" w:rsidRDefault="00E210B8" w:rsidP="00B82B2D">
            <w:pPr>
              <w:spacing w:after="0" w:line="480" w:lineRule="auto"/>
              <w:jc w:val="center"/>
              <w:rPr>
                <w:rFonts w:asciiTheme="minorHAnsi" w:eastAsiaTheme="minorHAnsi" w:hAnsiTheme="minorHAnsi" w:cstheme="minorBidi"/>
              </w:rPr>
            </w:pPr>
            <w:r w:rsidRPr="003E0052">
              <w:rPr>
                <w:rFonts w:ascii="Segoe UI Symbol" w:eastAsiaTheme="minorHAnsi" w:hAnsi="Segoe UI Symbol" w:cs="Segoe UI Symbol"/>
                <w:sz w:val="21"/>
                <w:szCs w:val="21"/>
              </w:rPr>
              <w:t>✓</w:t>
            </w:r>
          </w:p>
        </w:tc>
        <w:tc>
          <w:tcPr>
            <w:tcW w:w="186" w:type="pct"/>
            <w:shd w:val="clear" w:color="auto" w:fill="auto"/>
            <w:vAlign w:val="center"/>
          </w:tcPr>
          <w:p w14:paraId="6035C3B5"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09A1E547"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tcPr>
          <w:p w14:paraId="22E58533"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93" w:type="pct"/>
            <w:shd w:val="clear" w:color="auto" w:fill="auto"/>
            <w:vAlign w:val="center"/>
          </w:tcPr>
          <w:p w14:paraId="5A33B60A"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78" w:type="pct"/>
            <w:shd w:val="clear" w:color="auto" w:fill="auto"/>
            <w:vAlign w:val="center"/>
          </w:tcPr>
          <w:p w14:paraId="0CDB8689" w14:textId="77777777" w:rsidR="00E210B8" w:rsidRPr="003E0052" w:rsidRDefault="00E210B8" w:rsidP="00B82B2D">
            <w:pPr>
              <w:spacing w:after="0" w:line="480" w:lineRule="auto"/>
              <w:jc w:val="center"/>
              <w:rPr>
                <w:rFonts w:asciiTheme="minorHAnsi" w:eastAsiaTheme="minorHAnsi" w:hAnsiTheme="minorHAnsi" w:cstheme="minorBidi"/>
                <w:szCs w:val="22"/>
              </w:rPr>
            </w:pPr>
          </w:p>
        </w:tc>
      </w:tr>
      <w:tr w:rsidR="00E210B8" w:rsidRPr="003E0052" w14:paraId="19BE0E51" w14:textId="77777777" w:rsidTr="00951CBF">
        <w:trPr>
          <w:trHeight w:val="181"/>
        </w:trPr>
        <w:tc>
          <w:tcPr>
            <w:tcW w:w="3876" w:type="pct"/>
            <w:shd w:val="clear" w:color="auto" w:fill="auto"/>
          </w:tcPr>
          <w:p w14:paraId="0AE9D3E8"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Training including evidence about the efficacy and harms of medicines</w:t>
            </w:r>
          </w:p>
        </w:tc>
        <w:tc>
          <w:tcPr>
            <w:tcW w:w="198" w:type="pct"/>
            <w:shd w:val="clear" w:color="auto" w:fill="auto"/>
          </w:tcPr>
          <w:p w14:paraId="477311B8"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247BA0A7"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35CEF438"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5F7BE21B"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2E9E16E0"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01E06CE4"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6A025922" w14:textId="77777777" w:rsidTr="00951CBF">
        <w:trPr>
          <w:trHeight w:val="181"/>
        </w:trPr>
        <w:tc>
          <w:tcPr>
            <w:tcW w:w="3876" w:type="pct"/>
            <w:shd w:val="clear" w:color="auto" w:fill="auto"/>
          </w:tcPr>
          <w:p w14:paraId="2B3808B4" w14:textId="77777777" w:rsidR="00E210B8" w:rsidRPr="003E0052" w:rsidRDefault="00E210B8" w:rsidP="00B82B2D">
            <w:pPr>
              <w:spacing w:after="0" w:line="480" w:lineRule="auto"/>
              <w:rPr>
                <w:rFonts w:asciiTheme="minorHAnsi" w:eastAsiaTheme="minorHAnsi" w:hAnsiTheme="minorHAnsi" w:cstheme="minorBidi"/>
                <w:color w:val="00B050"/>
                <w:szCs w:val="22"/>
              </w:rPr>
            </w:pPr>
            <w:proofErr w:type="spellStart"/>
            <w:proofErr w:type="gramStart"/>
            <w:r w:rsidRPr="003E0052">
              <w:rPr>
                <w:rFonts w:asciiTheme="minorHAnsi" w:eastAsiaTheme="minorHAnsi" w:hAnsiTheme="minorHAnsi" w:cstheme="minorBidi"/>
                <w:color w:val="00B050"/>
                <w:szCs w:val="22"/>
              </w:rPr>
              <w:t>Primary:secondary</w:t>
            </w:r>
            <w:proofErr w:type="spellEnd"/>
            <w:proofErr w:type="gramEnd"/>
            <w:r w:rsidRPr="003E0052">
              <w:rPr>
                <w:rFonts w:asciiTheme="minorHAnsi" w:eastAsiaTheme="minorHAnsi" w:hAnsiTheme="minorHAnsi" w:cstheme="minorBidi"/>
                <w:color w:val="00B050"/>
                <w:szCs w:val="22"/>
              </w:rPr>
              <w:t xml:space="preserve"> care forum to share experiences of the outcomes of deprescribing</w:t>
            </w:r>
          </w:p>
        </w:tc>
        <w:tc>
          <w:tcPr>
            <w:tcW w:w="198" w:type="pct"/>
            <w:shd w:val="clear" w:color="auto" w:fill="auto"/>
            <w:vAlign w:val="center"/>
          </w:tcPr>
          <w:p w14:paraId="1FB2B29D"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257B06FB"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7BC78BC5"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vAlign w:val="center"/>
          </w:tcPr>
          <w:p w14:paraId="3149F470"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93" w:type="pct"/>
            <w:shd w:val="clear" w:color="auto" w:fill="auto"/>
            <w:vAlign w:val="center"/>
          </w:tcPr>
          <w:p w14:paraId="7D332781"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78" w:type="pct"/>
            <w:shd w:val="clear" w:color="auto" w:fill="auto"/>
            <w:vAlign w:val="center"/>
          </w:tcPr>
          <w:p w14:paraId="2E7F7042"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r>
      <w:tr w:rsidR="00E210B8" w:rsidRPr="003E0052" w14:paraId="2DC286F1" w14:textId="77777777" w:rsidTr="00951CBF">
        <w:trPr>
          <w:trHeight w:val="181"/>
        </w:trPr>
        <w:tc>
          <w:tcPr>
            <w:tcW w:w="3876" w:type="pct"/>
            <w:shd w:val="clear" w:color="auto" w:fill="auto"/>
          </w:tcPr>
          <w:p w14:paraId="7722604A"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ED7D31" w:themeColor="accent2"/>
                <w:szCs w:val="22"/>
              </w:rPr>
              <w:t xml:space="preserve">Training including patient case studies </w:t>
            </w:r>
          </w:p>
        </w:tc>
        <w:tc>
          <w:tcPr>
            <w:tcW w:w="198" w:type="pct"/>
            <w:shd w:val="clear" w:color="auto" w:fill="auto"/>
            <w:vAlign w:val="center"/>
          </w:tcPr>
          <w:p w14:paraId="7CD4E925"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0F0130CC"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3BB9BB6E"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5F584313"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tcPr>
          <w:p w14:paraId="5812211E"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tcPr>
          <w:p w14:paraId="4A8D6758"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r>
      <w:tr w:rsidR="00E210B8" w:rsidRPr="003E0052" w14:paraId="7CAFFD8D" w14:textId="77777777" w:rsidTr="00951CBF">
        <w:trPr>
          <w:trHeight w:val="181"/>
        </w:trPr>
        <w:tc>
          <w:tcPr>
            <w:tcW w:w="3876" w:type="pct"/>
            <w:shd w:val="clear" w:color="auto" w:fill="auto"/>
          </w:tcPr>
          <w:p w14:paraId="1ABF9B94"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ED7D31" w:themeColor="accent2"/>
                <w:szCs w:val="22"/>
              </w:rPr>
              <w:t>Incorporate harms and benefits of prescribing into existing guidelines/checklists</w:t>
            </w:r>
          </w:p>
        </w:tc>
        <w:tc>
          <w:tcPr>
            <w:tcW w:w="198" w:type="pct"/>
            <w:shd w:val="clear" w:color="auto" w:fill="auto"/>
          </w:tcPr>
          <w:p w14:paraId="43C02FF1"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3EFC0CB7"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66808BFD"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6C875BFF"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1FE145D7"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20411ADB"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0CEC91A7" w14:textId="77777777" w:rsidTr="00951CBF">
        <w:trPr>
          <w:trHeight w:val="181"/>
        </w:trPr>
        <w:tc>
          <w:tcPr>
            <w:tcW w:w="3876" w:type="pct"/>
            <w:shd w:val="clear" w:color="auto" w:fill="auto"/>
          </w:tcPr>
          <w:p w14:paraId="069EFAB2"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ED7D31" w:themeColor="accent2"/>
                <w:szCs w:val="22"/>
              </w:rPr>
              <w:t>Incorporate automated prompts into electronic systems to flag high risk patients for review</w:t>
            </w:r>
          </w:p>
        </w:tc>
        <w:tc>
          <w:tcPr>
            <w:tcW w:w="198" w:type="pct"/>
            <w:shd w:val="clear" w:color="auto" w:fill="auto"/>
            <w:vAlign w:val="center"/>
          </w:tcPr>
          <w:p w14:paraId="1C042481"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65F93849"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24F1370A"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54D95166"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30149CEF"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21D53F5D"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r>
      <w:tr w:rsidR="00E210B8" w:rsidRPr="003E0052" w14:paraId="3E14019D" w14:textId="77777777" w:rsidTr="00951CBF">
        <w:trPr>
          <w:trHeight w:val="181"/>
        </w:trPr>
        <w:tc>
          <w:tcPr>
            <w:tcW w:w="3876" w:type="pct"/>
            <w:shd w:val="clear" w:color="auto" w:fill="auto"/>
          </w:tcPr>
          <w:p w14:paraId="6A9C765A"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ED7D31" w:themeColor="accent2"/>
                <w:szCs w:val="22"/>
              </w:rPr>
              <w:t>Convene Schwartz Rounds to talk about the emotional aspects of deprescribing</w:t>
            </w:r>
          </w:p>
        </w:tc>
        <w:tc>
          <w:tcPr>
            <w:tcW w:w="198" w:type="pct"/>
            <w:shd w:val="clear" w:color="auto" w:fill="auto"/>
            <w:vAlign w:val="center"/>
          </w:tcPr>
          <w:p w14:paraId="0F754DDD"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2238D1BB"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78D2C07B"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tcPr>
          <w:p w14:paraId="482F2ED0"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93" w:type="pct"/>
            <w:shd w:val="clear" w:color="auto" w:fill="auto"/>
          </w:tcPr>
          <w:p w14:paraId="5523AC6A"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78" w:type="pct"/>
            <w:shd w:val="clear" w:color="auto" w:fill="auto"/>
          </w:tcPr>
          <w:p w14:paraId="549A49F4" w14:textId="77777777" w:rsidR="00E210B8" w:rsidRPr="003E0052" w:rsidRDefault="00E210B8" w:rsidP="00B82B2D">
            <w:pPr>
              <w:spacing w:after="0" w:line="480" w:lineRule="auto"/>
              <w:rPr>
                <w:rFonts w:asciiTheme="minorHAnsi" w:eastAsiaTheme="minorHAnsi" w:hAnsiTheme="minorHAnsi" w:cstheme="minorBidi"/>
                <w:szCs w:val="22"/>
              </w:rPr>
            </w:pPr>
          </w:p>
        </w:tc>
      </w:tr>
      <w:tr w:rsidR="00E210B8" w:rsidRPr="003E0052" w14:paraId="793B43B9" w14:textId="77777777" w:rsidTr="00951CBF">
        <w:trPr>
          <w:trHeight w:val="181"/>
        </w:trPr>
        <w:tc>
          <w:tcPr>
            <w:tcW w:w="3876" w:type="pct"/>
            <w:shd w:val="clear" w:color="auto" w:fill="auto"/>
          </w:tcPr>
          <w:p w14:paraId="208EB410"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 xml:space="preserve">Pop ups highlighting the pros and cons of continuing to prescribe in real time </w:t>
            </w:r>
          </w:p>
        </w:tc>
        <w:tc>
          <w:tcPr>
            <w:tcW w:w="198" w:type="pct"/>
            <w:shd w:val="clear" w:color="auto" w:fill="auto"/>
          </w:tcPr>
          <w:p w14:paraId="1D9E7CFE"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642DD212"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4CE0E66A"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6AF43D3B"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36DE00A3"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7DCB3EF5"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022B4773" w14:textId="77777777" w:rsidTr="00951CBF">
        <w:trPr>
          <w:trHeight w:val="181"/>
        </w:trPr>
        <w:tc>
          <w:tcPr>
            <w:tcW w:w="3876" w:type="pct"/>
            <w:shd w:val="clear" w:color="auto" w:fill="auto"/>
          </w:tcPr>
          <w:p w14:paraId="71A200D2"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Mandatory to record indications and patient perceptions of all medicines</w:t>
            </w:r>
          </w:p>
        </w:tc>
        <w:tc>
          <w:tcPr>
            <w:tcW w:w="198" w:type="pct"/>
            <w:shd w:val="clear" w:color="auto" w:fill="auto"/>
          </w:tcPr>
          <w:p w14:paraId="6F0678CA"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6654CB00"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5DFCB54F"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42C490A2"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09ED7723"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76003CD9"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0A08562B" w14:textId="77777777" w:rsidTr="00951CBF">
        <w:trPr>
          <w:trHeight w:val="181"/>
        </w:trPr>
        <w:tc>
          <w:tcPr>
            <w:tcW w:w="3876" w:type="pct"/>
            <w:shd w:val="clear" w:color="auto" w:fill="auto"/>
          </w:tcPr>
          <w:p w14:paraId="5160A892"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Training including information about carbon footprint of medicines</w:t>
            </w:r>
          </w:p>
        </w:tc>
        <w:tc>
          <w:tcPr>
            <w:tcW w:w="198" w:type="pct"/>
            <w:shd w:val="clear" w:color="auto" w:fill="auto"/>
          </w:tcPr>
          <w:p w14:paraId="042FBFD0"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36DE3FB7"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073F2F51"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1E06F61E"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0C1C9F83"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41202A6C"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78A6BD9B" w14:textId="77777777" w:rsidTr="00951CBF">
        <w:tc>
          <w:tcPr>
            <w:tcW w:w="5000" w:type="pct"/>
            <w:gridSpan w:val="7"/>
            <w:shd w:val="clear" w:color="auto" w:fill="auto"/>
          </w:tcPr>
          <w:p w14:paraId="7CDE566E" w14:textId="77777777" w:rsidR="00E210B8" w:rsidRPr="003E0052" w:rsidRDefault="00E210B8" w:rsidP="00B82B2D">
            <w:pPr>
              <w:spacing w:after="0" w:line="480" w:lineRule="auto"/>
              <w:rPr>
                <w:rFonts w:asciiTheme="minorHAnsi" w:eastAsiaTheme="minorHAnsi" w:hAnsiTheme="minorHAnsi" w:cstheme="minorBidi"/>
                <w:b/>
                <w:bCs/>
                <w:color w:val="FFFFFF" w:themeColor="background1"/>
                <w:szCs w:val="22"/>
              </w:rPr>
            </w:pPr>
            <w:r w:rsidRPr="00CC1F8C">
              <w:rPr>
                <w:rFonts w:asciiTheme="minorHAnsi" w:eastAsiaTheme="minorHAnsi" w:hAnsiTheme="minorHAnsi" w:cstheme="minorBidi"/>
                <w:b/>
                <w:bCs/>
                <w:color w:val="000000" w:themeColor="text1"/>
                <w:szCs w:val="22"/>
              </w:rPr>
              <w:t>Environmental Restructuring</w:t>
            </w:r>
          </w:p>
        </w:tc>
      </w:tr>
      <w:tr w:rsidR="00E210B8" w:rsidRPr="003E0052" w14:paraId="7169009D" w14:textId="77777777" w:rsidTr="00951CBF">
        <w:trPr>
          <w:trHeight w:val="155"/>
        </w:trPr>
        <w:tc>
          <w:tcPr>
            <w:tcW w:w="3876" w:type="pct"/>
            <w:shd w:val="clear" w:color="auto" w:fill="auto"/>
          </w:tcPr>
          <w:p w14:paraId="2FC4E90F"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 xml:space="preserve">Earlier starts and pharmacists attending </w:t>
            </w:r>
            <w:r w:rsidRPr="00E472EB">
              <w:rPr>
                <w:rFonts w:asciiTheme="minorHAnsi" w:eastAsiaTheme="minorHAnsi" w:hAnsiTheme="minorHAnsi" w:cstheme="minorBidi"/>
                <w:b/>
                <w:bCs/>
                <w:color w:val="00B050"/>
                <w:szCs w:val="22"/>
              </w:rPr>
              <w:t xml:space="preserve">ward </w:t>
            </w:r>
            <w:r w:rsidRPr="003E0052">
              <w:rPr>
                <w:rFonts w:asciiTheme="minorHAnsi" w:eastAsiaTheme="minorHAnsi" w:hAnsiTheme="minorHAnsi" w:cstheme="minorBidi"/>
                <w:color w:val="00B050"/>
                <w:szCs w:val="22"/>
              </w:rPr>
              <w:t xml:space="preserve">round once weekly </w:t>
            </w:r>
          </w:p>
        </w:tc>
        <w:tc>
          <w:tcPr>
            <w:tcW w:w="198" w:type="pct"/>
            <w:shd w:val="clear" w:color="auto" w:fill="FFFFFF" w:themeFill="background1"/>
            <w:vAlign w:val="center"/>
          </w:tcPr>
          <w:p w14:paraId="302DA0C5"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FFFFFF" w:themeFill="background1"/>
            <w:vAlign w:val="center"/>
          </w:tcPr>
          <w:p w14:paraId="617D6182"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FFFFFF" w:themeFill="background1"/>
            <w:vAlign w:val="center"/>
          </w:tcPr>
          <w:p w14:paraId="22129E0E"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3F465328"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tcPr>
          <w:p w14:paraId="07F0F7BB"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tcPr>
          <w:p w14:paraId="425C7E60"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r>
      <w:tr w:rsidR="00E210B8" w:rsidRPr="003E0052" w14:paraId="2BCDC201" w14:textId="77777777" w:rsidTr="00951CBF">
        <w:trPr>
          <w:trHeight w:val="155"/>
        </w:trPr>
        <w:tc>
          <w:tcPr>
            <w:tcW w:w="3876" w:type="pct"/>
            <w:shd w:val="clear" w:color="auto" w:fill="auto"/>
          </w:tcPr>
          <w:p w14:paraId="64497BC6"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 xml:space="preserve">Earlier starts and pharmacists attending </w:t>
            </w:r>
            <w:r w:rsidRPr="00E472EB">
              <w:rPr>
                <w:rFonts w:asciiTheme="minorHAnsi" w:eastAsiaTheme="minorHAnsi" w:hAnsiTheme="minorHAnsi" w:cstheme="minorBidi"/>
                <w:b/>
                <w:bCs/>
                <w:color w:val="00B050"/>
                <w:szCs w:val="22"/>
              </w:rPr>
              <w:t>board</w:t>
            </w:r>
            <w:r w:rsidRPr="003E0052">
              <w:rPr>
                <w:rFonts w:asciiTheme="minorHAnsi" w:eastAsiaTheme="minorHAnsi" w:hAnsiTheme="minorHAnsi" w:cstheme="minorBidi"/>
                <w:color w:val="00B050"/>
                <w:szCs w:val="22"/>
              </w:rPr>
              <w:t xml:space="preserve"> round once weekly </w:t>
            </w:r>
          </w:p>
        </w:tc>
        <w:tc>
          <w:tcPr>
            <w:tcW w:w="198" w:type="pct"/>
            <w:shd w:val="clear" w:color="auto" w:fill="FFFFFF" w:themeFill="background1"/>
            <w:vAlign w:val="center"/>
          </w:tcPr>
          <w:p w14:paraId="721E34C4"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86" w:type="pct"/>
            <w:shd w:val="clear" w:color="auto" w:fill="FFFFFF" w:themeFill="background1"/>
            <w:vAlign w:val="center"/>
          </w:tcPr>
          <w:p w14:paraId="0BDB3B3E"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86" w:type="pct"/>
            <w:shd w:val="clear" w:color="auto" w:fill="FFFFFF" w:themeFill="background1"/>
            <w:vAlign w:val="center"/>
          </w:tcPr>
          <w:p w14:paraId="747C6CB2"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83" w:type="pct"/>
            <w:shd w:val="clear" w:color="auto" w:fill="auto"/>
          </w:tcPr>
          <w:p w14:paraId="6462EB30"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41E57A76"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1B97DB88"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1618604A" w14:textId="77777777" w:rsidTr="00951CBF">
        <w:trPr>
          <w:trHeight w:val="155"/>
        </w:trPr>
        <w:tc>
          <w:tcPr>
            <w:tcW w:w="3876" w:type="pct"/>
            <w:shd w:val="clear" w:color="auto" w:fill="auto"/>
          </w:tcPr>
          <w:p w14:paraId="0F9872CA"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Include proactive deprescribing into pharmacist job descriptions</w:t>
            </w:r>
          </w:p>
        </w:tc>
        <w:tc>
          <w:tcPr>
            <w:tcW w:w="198" w:type="pct"/>
            <w:shd w:val="clear" w:color="auto" w:fill="auto"/>
          </w:tcPr>
          <w:p w14:paraId="66785B5D"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3255F087"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25F93A8B"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tcPr>
          <w:p w14:paraId="6547B59E"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93" w:type="pct"/>
            <w:shd w:val="clear" w:color="auto" w:fill="auto"/>
          </w:tcPr>
          <w:p w14:paraId="0B0F6769"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78" w:type="pct"/>
            <w:shd w:val="clear" w:color="auto" w:fill="auto"/>
          </w:tcPr>
          <w:p w14:paraId="68FEE808" w14:textId="77777777" w:rsidR="00E210B8" w:rsidRPr="003E0052" w:rsidRDefault="00E210B8" w:rsidP="00B82B2D">
            <w:pPr>
              <w:spacing w:after="0" w:line="480" w:lineRule="auto"/>
              <w:rPr>
                <w:rFonts w:asciiTheme="minorHAnsi" w:eastAsiaTheme="minorHAnsi" w:hAnsiTheme="minorHAnsi" w:cstheme="minorBidi"/>
                <w:szCs w:val="22"/>
              </w:rPr>
            </w:pPr>
          </w:p>
        </w:tc>
      </w:tr>
      <w:tr w:rsidR="00E210B8" w:rsidRPr="003E0052" w14:paraId="27642427" w14:textId="77777777" w:rsidTr="00951CBF">
        <w:trPr>
          <w:trHeight w:val="155"/>
        </w:trPr>
        <w:tc>
          <w:tcPr>
            <w:tcW w:w="3876" w:type="pct"/>
            <w:shd w:val="clear" w:color="auto" w:fill="auto"/>
          </w:tcPr>
          <w:p w14:paraId="4032A125"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lastRenderedPageBreak/>
              <w:t>Greater/different use of pharmacy technicians to liberate pharmacist time</w:t>
            </w:r>
          </w:p>
        </w:tc>
        <w:tc>
          <w:tcPr>
            <w:tcW w:w="198" w:type="pct"/>
            <w:shd w:val="clear" w:color="auto" w:fill="auto"/>
            <w:vAlign w:val="center"/>
          </w:tcPr>
          <w:p w14:paraId="715CCD00"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10315A8F" w14:textId="77777777" w:rsidR="00E210B8" w:rsidRPr="003E0052" w:rsidRDefault="00E210B8" w:rsidP="00B82B2D">
            <w:pPr>
              <w:spacing w:after="0" w:line="480" w:lineRule="auto"/>
              <w:jc w:val="center"/>
              <w:rPr>
                <w:rFonts w:asciiTheme="minorHAnsi" w:eastAsiaTheme="minorHAnsi" w:hAnsiTheme="minorHAnsi" w:cstheme="minorBidi"/>
                <w:szCs w:val="22"/>
              </w:rPr>
            </w:pPr>
          </w:p>
        </w:tc>
        <w:tc>
          <w:tcPr>
            <w:tcW w:w="186" w:type="pct"/>
            <w:shd w:val="clear" w:color="auto" w:fill="auto"/>
            <w:vAlign w:val="center"/>
          </w:tcPr>
          <w:p w14:paraId="506BE69B"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567AAD29"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tcPr>
          <w:p w14:paraId="3B51EA77"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509CB8A3"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r>
      <w:tr w:rsidR="00E210B8" w:rsidRPr="003E0052" w14:paraId="280D76B0" w14:textId="77777777" w:rsidTr="00951CBF">
        <w:trPr>
          <w:trHeight w:val="155"/>
        </w:trPr>
        <w:tc>
          <w:tcPr>
            <w:tcW w:w="3876" w:type="pct"/>
            <w:shd w:val="clear" w:color="auto" w:fill="auto"/>
          </w:tcPr>
          <w:p w14:paraId="47CBA4F7"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 xml:space="preserve">Include proactive deprescribing into ward/board rounds </w:t>
            </w:r>
          </w:p>
        </w:tc>
        <w:tc>
          <w:tcPr>
            <w:tcW w:w="198" w:type="pct"/>
            <w:shd w:val="clear" w:color="auto" w:fill="auto"/>
          </w:tcPr>
          <w:p w14:paraId="6A84656E"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743414A9"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0D098039"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tcPr>
          <w:p w14:paraId="4088C2AE"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93" w:type="pct"/>
            <w:shd w:val="clear" w:color="auto" w:fill="auto"/>
            <w:vAlign w:val="center"/>
          </w:tcPr>
          <w:p w14:paraId="59A15AFC"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78" w:type="pct"/>
            <w:shd w:val="clear" w:color="auto" w:fill="auto"/>
          </w:tcPr>
          <w:p w14:paraId="1E2C6438" w14:textId="77777777" w:rsidR="00E210B8" w:rsidRPr="003E0052" w:rsidRDefault="00E210B8" w:rsidP="00B82B2D">
            <w:pPr>
              <w:spacing w:after="0" w:line="480" w:lineRule="auto"/>
              <w:rPr>
                <w:rFonts w:asciiTheme="minorHAnsi" w:eastAsiaTheme="minorHAnsi" w:hAnsiTheme="minorHAnsi" w:cstheme="minorBidi"/>
                <w:szCs w:val="22"/>
              </w:rPr>
            </w:pPr>
          </w:p>
        </w:tc>
      </w:tr>
      <w:tr w:rsidR="00E210B8" w:rsidRPr="003E0052" w14:paraId="2814EC2E" w14:textId="77777777" w:rsidTr="00951CBF">
        <w:trPr>
          <w:trHeight w:val="155"/>
        </w:trPr>
        <w:tc>
          <w:tcPr>
            <w:tcW w:w="3876" w:type="pct"/>
            <w:shd w:val="clear" w:color="auto" w:fill="auto"/>
          </w:tcPr>
          <w:p w14:paraId="278EF636"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Agree a process for prioritising patients for review to identify proactive deprescribing opportunities</w:t>
            </w:r>
          </w:p>
        </w:tc>
        <w:tc>
          <w:tcPr>
            <w:tcW w:w="198" w:type="pct"/>
            <w:shd w:val="clear" w:color="auto" w:fill="auto"/>
          </w:tcPr>
          <w:p w14:paraId="328838E7"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2EFBD41B"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0E04CFA7"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699EE3DA"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vAlign w:val="center"/>
          </w:tcPr>
          <w:p w14:paraId="0F980627"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tcPr>
          <w:p w14:paraId="5630C57B"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46A2255B" w14:textId="77777777" w:rsidTr="00951CBF">
        <w:trPr>
          <w:trHeight w:val="155"/>
        </w:trPr>
        <w:tc>
          <w:tcPr>
            <w:tcW w:w="3876" w:type="pct"/>
            <w:shd w:val="clear" w:color="auto" w:fill="auto"/>
          </w:tcPr>
          <w:p w14:paraId="45B57B26"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Regular activity for pharmacists and ward teams to discuss proactive deprescribing opportunities</w:t>
            </w:r>
          </w:p>
        </w:tc>
        <w:tc>
          <w:tcPr>
            <w:tcW w:w="198" w:type="pct"/>
            <w:shd w:val="clear" w:color="auto" w:fill="auto"/>
            <w:vAlign w:val="center"/>
          </w:tcPr>
          <w:p w14:paraId="5E4243DC" w14:textId="77777777" w:rsidR="00E210B8" w:rsidRPr="003E0052" w:rsidRDefault="00E210B8" w:rsidP="00B82B2D">
            <w:pPr>
              <w:spacing w:after="0" w:line="480" w:lineRule="auto"/>
              <w:jc w:val="center"/>
              <w:rPr>
                <w:rFonts w:asciiTheme="minorHAnsi" w:eastAsiaTheme="minorHAnsi" w:hAnsiTheme="minorHAnsi" w:cstheme="minorBidi"/>
                <w:szCs w:val="22"/>
              </w:rPr>
            </w:pPr>
          </w:p>
        </w:tc>
        <w:tc>
          <w:tcPr>
            <w:tcW w:w="186" w:type="pct"/>
            <w:shd w:val="clear" w:color="auto" w:fill="auto"/>
            <w:vAlign w:val="center"/>
          </w:tcPr>
          <w:p w14:paraId="2F322DB5"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331049FA" w14:textId="77777777" w:rsidR="00E210B8" w:rsidRPr="003E0052" w:rsidRDefault="00E210B8" w:rsidP="00B82B2D">
            <w:pPr>
              <w:spacing w:after="0" w:line="480" w:lineRule="auto"/>
              <w:jc w:val="center"/>
              <w:rPr>
                <w:rFonts w:asciiTheme="minorHAnsi" w:eastAsiaTheme="minorHAnsi" w:hAnsiTheme="minorHAnsi" w:cstheme="minorBidi"/>
                <w:szCs w:val="22"/>
              </w:rPr>
            </w:pPr>
          </w:p>
        </w:tc>
        <w:tc>
          <w:tcPr>
            <w:tcW w:w="183" w:type="pct"/>
            <w:shd w:val="clear" w:color="auto" w:fill="auto"/>
          </w:tcPr>
          <w:p w14:paraId="12F2D1C4" w14:textId="77777777" w:rsidR="00E210B8" w:rsidRPr="003E0052" w:rsidRDefault="00E210B8" w:rsidP="00B82B2D">
            <w:pPr>
              <w:spacing w:after="0" w:line="480" w:lineRule="auto"/>
              <w:jc w:val="center"/>
              <w:rPr>
                <w:rFonts w:asciiTheme="minorHAnsi" w:eastAsiaTheme="minorHAnsi" w:hAnsiTheme="minorHAnsi" w:cstheme="minorBidi"/>
                <w:szCs w:val="22"/>
              </w:rPr>
            </w:pPr>
          </w:p>
        </w:tc>
        <w:tc>
          <w:tcPr>
            <w:tcW w:w="193" w:type="pct"/>
            <w:shd w:val="clear" w:color="auto" w:fill="auto"/>
          </w:tcPr>
          <w:p w14:paraId="08660CCC" w14:textId="77777777" w:rsidR="00E210B8" w:rsidRPr="003E0052" w:rsidRDefault="00E210B8" w:rsidP="00B82B2D">
            <w:pPr>
              <w:spacing w:after="0" w:line="480" w:lineRule="auto"/>
              <w:jc w:val="center"/>
              <w:rPr>
                <w:rFonts w:asciiTheme="minorHAnsi" w:eastAsiaTheme="minorHAnsi" w:hAnsiTheme="minorHAnsi" w:cstheme="minorBidi"/>
                <w:szCs w:val="22"/>
              </w:rPr>
            </w:pPr>
          </w:p>
        </w:tc>
        <w:tc>
          <w:tcPr>
            <w:tcW w:w="178" w:type="pct"/>
            <w:shd w:val="clear" w:color="auto" w:fill="auto"/>
          </w:tcPr>
          <w:p w14:paraId="4E059140" w14:textId="77777777" w:rsidR="00E210B8" w:rsidRPr="003E0052" w:rsidRDefault="00E210B8" w:rsidP="00B82B2D">
            <w:pPr>
              <w:spacing w:after="0" w:line="480" w:lineRule="auto"/>
              <w:jc w:val="center"/>
              <w:rPr>
                <w:rFonts w:asciiTheme="minorHAnsi" w:eastAsiaTheme="minorHAnsi" w:hAnsiTheme="minorHAnsi" w:cstheme="minorBidi"/>
                <w:szCs w:val="22"/>
              </w:rPr>
            </w:pPr>
          </w:p>
        </w:tc>
      </w:tr>
      <w:tr w:rsidR="00E210B8" w:rsidRPr="003E0052" w14:paraId="2A2C4754" w14:textId="77777777" w:rsidTr="00951CBF">
        <w:tc>
          <w:tcPr>
            <w:tcW w:w="5000" w:type="pct"/>
            <w:gridSpan w:val="7"/>
            <w:shd w:val="clear" w:color="auto" w:fill="auto"/>
          </w:tcPr>
          <w:p w14:paraId="557FFD7B" w14:textId="77777777" w:rsidR="00E210B8" w:rsidRPr="00CC1F8C" w:rsidRDefault="00E210B8" w:rsidP="00B82B2D">
            <w:pPr>
              <w:spacing w:after="0" w:line="480" w:lineRule="auto"/>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 xml:space="preserve">Social Comparison </w:t>
            </w:r>
          </w:p>
        </w:tc>
      </w:tr>
      <w:tr w:rsidR="00E210B8" w:rsidRPr="003E0052" w14:paraId="676F083C" w14:textId="77777777" w:rsidTr="00951CBF">
        <w:trPr>
          <w:trHeight w:val="183"/>
        </w:trPr>
        <w:tc>
          <w:tcPr>
            <w:tcW w:w="3876" w:type="pct"/>
            <w:shd w:val="clear" w:color="auto" w:fill="auto"/>
          </w:tcPr>
          <w:p w14:paraId="7FB92DB7"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 xml:space="preserve">Select geriatricians who are successfully initiating deprescribing discussions to share their experiences </w:t>
            </w:r>
            <w:r w:rsidRPr="003E0052">
              <w:rPr>
                <w:rFonts w:asciiTheme="minorHAnsi" w:eastAsiaTheme="minorHAnsi" w:hAnsiTheme="minorHAnsi" w:cstheme="minorBidi"/>
                <w:color w:val="FF0000"/>
                <w:szCs w:val="22"/>
              </w:rPr>
              <w:t xml:space="preserve"> </w:t>
            </w:r>
          </w:p>
        </w:tc>
        <w:tc>
          <w:tcPr>
            <w:tcW w:w="198" w:type="pct"/>
            <w:shd w:val="clear" w:color="auto" w:fill="auto"/>
            <w:vAlign w:val="center"/>
          </w:tcPr>
          <w:p w14:paraId="7E1BBB44"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08EC0E3A"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62EA778C"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vAlign w:val="center"/>
          </w:tcPr>
          <w:p w14:paraId="57F923B4"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93" w:type="pct"/>
            <w:shd w:val="clear" w:color="auto" w:fill="auto"/>
          </w:tcPr>
          <w:p w14:paraId="0BDB952C"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78" w:type="pct"/>
            <w:shd w:val="clear" w:color="auto" w:fill="auto"/>
          </w:tcPr>
          <w:p w14:paraId="01F6783A" w14:textId="77777777" w:rsidR="00E210B8" w:rsidRPr="003E0052" w:rsidRDefault="00E210B8" w:rsidP="00B82B2D">
            <w:pPr>
              <w:spacing w:after="0" w:line="480" w:lineRule="auto"/>
              <w:rPr>
                <w:rFonts w:asciiTheme="minorHAnsi" w:eastAsiaTheme="minorHAnsi" w:hAnsiTheme="minorHAnsi" w:cstheme="minorBidi"/>
                <w:szCs w:val="22"/>
              </w:rPr>
            </w:pPr>
          </w:p>
        </w:tc>
      </w:tr>
      <w:tr w:rsidR="00E210B8" w:rsidRPr="003E0052" w14:paraId="415E9A3E" w14:textId="77777777" w:rsidTr="00951CBF">
        <w:trPr>
          <w:trHeight w:val="181"/>
        </w:trPr>
        <w:tc>
          <w:tcPr>
            <w:tcW w:w="3876" w:type="pct"/>
            <w:shd w:val="clear" w:color="auto" w:fill="auto"/>
          </w:tcPr>
          <w:p w14:paraId="299BC45C"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Provide real-life patient case studies of successful deprescribing discussions</w:t>
            </w:r>
          </w:p>
        </w:tc>
        <w:tc>
          <w:tcPr>
            <w:tcW w:w="198" w:type="pct"/>
            <w:shd w:val="clear" w:color="auto" w:fill="auto"/>
            <w:vAlign w:val="center"/>
          </w:tcPr>
          <w:p w14:paraId="57C8D0BE"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4DFCE243"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79810AFD"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668F8644"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tcPr>
          <w:p w14:paraId="2B1ED05F"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tcPr>
          <w:p w14:paraId="582C950B"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r>
      <w:tr w:rsidR="00E210B8" w:rsidRPr="003E0052" w14:paraId="3ECEC613" w14:textId="77777777" w:rsidTr="00951CBF">
        <w:trPr>
          <w:trHeight w:val="181"/>
        </w:trPr>
        <w:tc>
          <w:tcPr>
            <w:tcW w:w="3876" w:type="pct"/>
            <w:shd w:val="clear" w:color="auto" w:fill="auto"/>
          </w:tcPr>
          <w:p w14:paraId="65500ECB"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 xml:space="preserve">Geriatrician buddy system enabling comparison with peers </w:t>
            </w:r>
          </w:p>
        </w:tc>
        <w:tc>
          <w:tcPr>
            <w:tcW w:w="198" w:type="pct"/>
            <w:shd w:val="clear" w:color="auto" w:fill="auto"/>
          </w:tcPr>
          <w:p w14:paraId="4B546C85"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00D3FDF1"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5FC1AEEF"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2461035C"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38CA9B04"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4FA9C3F1"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74A88386" w14:textId="77777777" w:rsidTr="00951CBF">
        <w:tc>
          <w:tcPr>
            <w:tcW w:w="5000" w:type="pct"/>
            <w:gridSpan w:val="7"/>
            <w:shd w:val="clear" w:color="auto" w:fill="auto"/>
          </w:tcPr>
          <w:p w14:paraId="1D91925C" w14:textId="77777777" w:rsidR="00E210B8" w:rsidRPr="00CC1F8C" w:rsidRDefault="00E210B8" w:rsidP="00B82B2D">
            <w:pPr>
              <w:spacing w:after="0" w:line="480" w:lineRule="auto"/>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 xml:space="preserve">Action Planning </w:t>
            </w:r>
          </w:p>
        </w:tc>
      </w:tr>
      <w:tr w:rsidR="00E210B8" w:rsidRPr="003E0052" w14:paraId="38FC08F9" w14:textId="77777777" w:rsidTr="00951CBF">
        <w:trPr>
          <w:trHeight w:val="184"/>
        </w:trPr>
        <w:tc>
          <w:tcPr>
            <w:tcW w:w="3876" w:type="pct"/>
            <w:shd w:val="clear" w:color="auto" w:fill="auto"/>
          </w:tcPr>
          <w:p w14:paraId="7FCA9D0B"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Normalising deprescribing as part of the patient journey, e.g. like checking weight on admission</w:t>
            </w:r>
          </w:p>
        </w:tc>
        <w:tc>
          <w:tcPr>
            <w:tcW w:w="198" w:type="pct"/>
            <w:shd w:val="clear" w:color="auto" w:fill="auto"/>
            <w:vAlign w:val="center"/>
          </w:tcPr>
          <w:p w14:paraId="1AF7A875"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2A0654EA"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4FF468A1"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6E5EB73C"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tcPr>
          <w:p w14:paraId="42A87554"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53A9ED28"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2BC1E561" w14:textId="77777777" w:rsidTr="00951CBF">
        <w:trPr>
          <w:trHeight w:val="181"/>
        </w:trPr>
        <w:tc>
          <w:tcPr>
            <w:tcW w:w="3876" w:type="pct"/>
            <w:shd w:val="clear" w:color="auto" w:fill="auto"/>
          </w:tcPr>
          <w:p w14:paraId="37F11272"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 xml:space="preserve">Raise the profile of deprescribing through posters in the hospital targeting patients </w:t>
            </w:r>
          </w:p>
        </w:tc>
        <w:tc>
          <w:tcPr>
            <w:tcW w:w="198" w:type="pct"/>
            <w:shd w:val="clear" w:color="auto" w:fill="auto"/>
          </w:tcPr>
          <w:p w14:paraId="365D7F06"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3BDEDA54"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6F6A977D"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6742817B"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7D6E3B40"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tcPr>
          <w:p w14:paraId="08E3F1DA"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597604C8" w14:textId="77777777" w:rsidTr="00951CBF">
        <w:trPr>
          <w:trHeight w:val="181"/>
        </w:trPr>
        <w:tc>
          <w:tcPr>
            <w:tcW w:w="3876" w:type="pct"/>
            <w:shd w:val="clear" w:color="auto" w:fill="auto"/>
          </w:tcPr>
          <w:p w14:paraId="48898205"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Formulate an action plan specifying who is responsible for deprescribing and incorporate deprescribing into relevant policies</w:t>
            </w:r>
          </w:p>
        </w:tc>
        <w:tc>
          <w:tcPr>
            <w:tcW w:w="198" w:type="pct"/>
            <w:shd w:val="clear" w:color="auto" w:fill="auto"/>
            <w:vAlign w:val="center"/>
          </w:tcPr>
          <w:p w14:paraId="5E4DD41A"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6ACEE4ED"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1E313F20"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vAlign w:val="center"/>
          </w:tcPr>
          <w:p w14:paraId="624F7F2C"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vAlign w:val="center"/>
          </w:tcPr>
          <w:p w14:paraId="1ECE9EF1"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vAlign w:val="center"/>
          </w:tcPr>
          <w:p w14:paraId="77B442DD"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r>
      <w:tr w:rsidR="00E210B8" w:rsidRPr="003E0052" w14:paraId="29CDF938" w14:textId="77777777" w:rsidTr="00951CBF">
        <w:trPr>
          <w:trHeight w:val="181"/>
        </w:trPr>
        <w:tc>
          <w:tcPr>
            <w:tcW w:w="3876" w:type="pct"/>
            <w:shd w:val="clear" w:color="auto" w:fill="auto"/>
          </w:tcPr>
          <w:p w14:paraId="1FA24719"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Restructure staff daily tasks/job descriptions to specifically include deprescribing</w:t>
            </w:r>
          </w:p>
        </w:tc>
        <w:tc>
          <w:tcPr>
            <w:tcW w:w="198" w:type="pct"/>
            <w:shd w:val="clear" w:color="auto" w:fill="auto"/>
          </w:tcPr>
          <w:p w14:paraId="2F8E46C6"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003DF8B8"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647B55B3"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vAlign w:val="center"/>
          </w:tcPr>
          <w:p w14:paraId="6A93B055"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tcPr>
          <w:p w14:paraId="3EE0A238"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4ABC030D"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7E77CDA1" w14:textId="77777777" w:rsidTr="00951CBF">
        <w:trPr>
          <w:trHeight w:val="181"/>
        </w:trPr>
        <w:tc>
          <w:tcPr>
            <w:tcW w:w="3876" w:type="pct"/>
            <w:shd w:val="clear" w:color="auto" w:fill="auto"/>
          </w:tcPr>
          <w:p w14:paraId="5DDE979C"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Nominate a trust deprescribing lead, e.g. someone on the hospital board</w:t>
            </w:r>
          </w:p>
        </w:tc>
        <w:tc>
          <w:tcPr>
            <w:tcW w:w="198" w:type="pct"/>
            <w:shd w:val="clear" w:color="auto" w:fill="auto"/>
            <w:vAlign w:val="center"/>
          </w:tcPr>
          <w:p w14:paraId="3F6B1357"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09D1B804"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4D8D28E6"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vAlign w:val="center"/>
          </w:tcPr>
          <w:p w14:paraId="3B66E947"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93" w:type="pct"/>
            <w:shd w:val="clear" w:color="auto" w:fill="auto"/>
          </w:tcPr>
          <w:p w14:paraId="76102DF1"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78" w:type="pct"/>
            <w:shd w:val="clear" w:color="auto" w:fill="auto"/>
          </w:tcPr>
          <w:p w14:paraId="65BF7EFE" w14:textId="77777777" w:rsidR="00E210B8" w:rsidRPr="003E0052" w:rsidRDefault="00E210B8" w:rsidP="00B82B2D">
            <w:pPr>
              <w:spacing w:after="0" w:line="480" w:lineRule="auto"/>
              <w:rPr>
                <w:rFonts w:asciiTheme="minorHAnsi" w:eastAsiaTheme="minorHAnsi" w:hAnsiTheme="minorHAnsi" w:cstheme="minorBidi"/>
                <w:szCs w:val="22"/>
              </w:rPr>
            </w:pPr>
          </w:p>
        </w:tc>
      </w:tr>
      <w:tr w:rsidR="00E210B8" w:rsidRPr="003E0052" w14:paraId="2DD53591" w14:textId="77777777" w:rsidTr="00951CBF">
        <w:tc>
          <w:tcPr>
            <w:tcW w:w="5000" w:type="pct"/>
            <w:gridSpan w:val="7"/>
            <w:shd w:val="clear" w:color="auto" w:fill="auto"/>
          </w:tcPr>
          <w:p w14:paraId="5518A740" w14:textId="77777777" w:rsidR="00E210B8" w:rsidRPr="00CC1F8C" w:rsidRDefault="00E210B8" w:rsidP="00B82B2D">
            <w:pPr>
              <w:spacing w:after="0" w:line="480" w:lineRule="auto"/>
              <w:rPr>
                <w:rFonts w:asciiTheme="minorHAnsi" w:eastAsiaTheme="minorHAnsi" w:hAnsiTheme="minorHAnsi" w:cstheme="minorBidi"/>
                <w:b/>
                <w:bCs/>
                <w:color w:val="000000" w:themeColor="text1"/>
                <w:szCs w:val="22"/>
              </w:rPr>
            </w:pPr>
            <w:r w:rsidRPr="00CC1F8C">
              <w:rPr>
                <w:rFonts w:asciiTheme="minorHAnsi" w:eastAsiaTheme="minorHAnsi" w:hAnsiTheme="minorHAnsi" w:cstheme="minorBidi"/>
                <w:b/>
                <w:bCs/>
                <w:color w:val="000000" w:themeColor="text1"/>
                <w:szCs w:val="22"/>
              </w:rPr>
              <w:t xml:space="preserve">Social Comparison </w:t>
            </w:r>
          </w:p>
        </w:tc>
      </w:tr>
      <w:tr w:rsidR="00E210B8" w:rsidRPr="003E0052" w14:paraId="79250A26" w14:textId="77777777" w:rsidTr="00951CBF">
        <w:trPr>
          <w:trHeight w:val="183"/>
        </w:trPr>
        <w:tc>
          <w:tcPr>
            <w:tcW w:w="3876" w:type="pct"/>
            <w:shd w:val="clear" w:color="auto" w:fill="auto"/>
          </w:tcPr>
          <w:p w14:paraId="6774C40E"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lastRenderedPageBreak/>
              <w:t xml:space="preserve">National, regional, local level deprescribing activity data available for benchmarking </w:t>
            </w:r>
          </w:p>
        </w:tc>
        <w:tc>
          <w:tcPr>
            <w:tcW w:w="198" w:type="pct"/>
            <w:shd w:val="clear" w:color="auto" w:fill="auto"/>
            <w:vAlign w:val="center"/>
          </w:tcPr>
          <w:p w14:paraId="059238C3"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559844FD"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vAlign w:val="center"/>
          </w:tcPr>
          <w:p w14:paraId="4D9B87EF"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62BAB67C"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93" w:type="pct"/>
            <w:shd w:val="clear" w:color="auto" w:fill="auto"/>
          </w:tcPr>
          <w:p w14:paraId="2FF7AB02"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tcPr>
          <w:p w14:paraId="4B683E26"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r>
      <w:tr w:rsidR="00E210B8" w:rsidRPr="003E0052" w14:paraId="747AD1B8" w14:textId="77777777" w:rsidTr="00951CBF">
        <w:trPr>
          <w:trHeight w:val="181"/>
        </w:trPr>
        <w:tc>
          <w:tcPr>
            <w:tcW w:w="3876" w:type="pct"/>
            <w:shd w:val="clear" w:color="auto" w:fill="auto"/>
          </w:tcPr>
          <w:p w14:paraId="1D03458C"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00B050"/>
                <w:szCs w:val="22"/>
              </w:rPr>
              <w:t>Presentation of deprescribing success stories at risk and audit meetings</w:t>
            </w:r>
          </w:p>
        </w:tc>
        <w:tc>
          <w:tcPr>
            <w:tcW w:w="198" w:type="pct"/>
            <w:shd w:val="clear" w:color="auto" w:fill="auto"/>
          </w:tcPr>
          <w:p w14:paraId="218FDB83"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26E4E74A"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3689CC4A"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5F6EF485"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3EA770A7"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r w:rsidRPr="003E0052">
              <w:rPr>
                <w:rFonts w:ascii="Segoe UI Symbol" w:eastAsiaTheme="minorHAnsi" w:hAnsi="Segoe UI Symbol" w:cs="Segoe UI Symbol"/>
                <w:sz w:val="21"/>
                <w:szCs w:val="21"/>
              </w:rPr>
              <w:t>✓</w:t>
            </w:r>
          </w:p>
        </w:tc>
        <w:tc>
          <w:tcPr>
            <w:tcW w:w="178" w:type="pct"/>
            <w:shd w:val="clear" w:color="auto" w:fill="auto"/>
          </w:tcPr>
          <w:p w14:paraId="38998472"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r w:rsidR="00E210B8" w:rsidRPr="003E0052" w14:paraId="7E0DCBD0" w14:textId="77777777" w:rsidTr="00951CBF">
        <w:trPr>
          <w:trHeight w:val="181"/>
        </w:trPr>
        <w:tc>
          <w:tcPr>
            <w:tcW w:w="3876" w:type="pct"/>
            <w:shd w:val="clear" w:color="auto" w:fill="auto"/>
          </w:tcPr>
          <w:p w14:paraId="26CC648D"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ED7D31" w:themeColor="accent2"/>
                <w:szCs w:val="22"/>
              </w:rPr>
              <w:t xml:space="preserve">Share excellence in deprescribing practice nationally, regionally and locally </w:t>
            </w:r>
          </w:p>
        </w:tc>
        <w:tc>
          <w:tcPr>
            <w:tcW w:w="198" w:type="pct"/>
            <w:shd w:val="clear" w:color="auto" w:fill="auto"/>
            <w:vAlign w:val="center"/>
          </w:tcPr>
          <w:p w14:paraId="0A3A2D7F"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74F0246B"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tcPr>
          <w:p w14:paraId="3BB2216B"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3" w:type="pct"/>
            <w:shd w:val="clear" w:color="auto" w:fill="auto"/>
          </w:tcPr>
          <w:p w14:paraId="3BB8EC26"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93" w:type="pct"/>
            <w:shd w:val="clear" w:color="auto" w:fill="auto"/>
          </w:tcPr>
          <w:p w14:paraId="40484552"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78" w:type="pct"/>
            <w:shd w:val="clear" w:color="auto" w:fill="auto"/>
          </w:tcPr>
          <w:p w14:paraId="2F983AA0" w14:textId="77777777" w:rsidR="00E210B8" w:rsidRPr="003E0052" w:rsidRDefault="00E210B8" w:rsidP="00B82B2D">
            <w:pPr>
              <w:spacing w:after="0" w:line="480" w:lineRule="auto"/>
              <w:rPr>
                <w:rFonts w:asciiTheme="minorHAnsi" w:eastAsiaTheme="minorHAnsi" w:hAnsiTheme="minorHAnsi" w:cstheme="minorBidi"/>
                <w:szCs w:val="22"/>
              </w:rPr>
            </w:pPr>
          </w:p>
        </w:tc>
      </w:tr>
      <w:tr w:rsidR="00E210B8" w:rsidRPr="003E0052" w14:paraId="57858862" w14:textId="77777777" w:rsidTr="00951CBF">
        <w:trPr>
          <w:trHeight w:val="181"/>
        </w:trPr>
        <w:tc>
          <w:tcPr>
            <w:tcW w:w="3876" w:type="pct"/>
            <w:shd w:val="clear" w:color="auto" w:fill="auto"/>
          </w:tcPr>
          <w:p w14:paraId="7250D389" w14:textId="77777777" w:rsidR="00E210B8" w:rsidRPr="003E0052" w:rsidRDefault="00E210B8" w:rsidP="00B82B2D">
            <w:pPr>
              <w:spacing w:after="0" w:line="480" w:lineRule="auto"/>
              <w:rPr>
                <w:rFonts w:asciiTheme="minorHAnsi" w:eastAsiaTheme="minorHAnsi" w:hAnsiTheme="minorHAnsi" w:cstheme="minorBidi"/>
                <w:color w:val="00B050"/>
                <w:szCs w:val="22"/>
              </w:rPr>
            </w:pPr>
            <w:r w:rsidRPr="003E0052">
              <w:rPr>
                <w:rFonts w:asciiTheme="minorHAnsi" w:eastAsiaTheme="minorHAnsi" w:hAnsiTheme="minorHAnsi" w:cstheme="minorBidi"/>
                <w:color w:val="FF0000"/>
                <w:szCs w:val="22"/>
              </w:rPr>
              <w:t>Patient deprescribing feedback questionnaires X weeks after admission reported back to practitioner</w:t>
            </w:r>
          </w:p>
        </w:tc>
        <w:tc>
          <w:tcPr>
            <w:tcW w:w="198" w:type="pct"/>
            <w:shd w:val="clear" w:color="auto" w:fill="auto"/>
            <w:vAlign w:val="center"/>
          </w:tcPr>
          <w:p w14:paraId="21D01B0B"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6" w:type="pct"/>
            <w:shd w:val="clear" w:color="auto" w:fill="auto"/>
          </w:tcPr>
          <w:p w14:paraId="47AA3A9B" w14:textId="77777777" w:rsidR="00E210B8" w:rsidRPr="003E0052" w:rsidRDefault="00E210B8" w:rsidP="00B82B2D">
            <w:pPr>
              <w:spacing w:after="0" w:line="480" w:lineRule="auto"/>
              <w:rPr>
                <w:rFonts w:asciiTheme="minorHAnsi" w:eastAsiaTheme="minorHAnsi" w:hAnsiTheme="minorHAnsi" w:cstheme="minorBidi"/>
                <w:szCs w:val="22"/>
              </w:rPr>
            </w:pPr>
          </w:p>
        </w:tc>
        <w:tc>
          <w:tcPr>
            <w:tcW w:w="186" w:type="pct"/>
            <w:shd w:val="clear" w:color="auto" w:fill="auto"/>
            <w:vAlign w:val="center"/>
          </w:tcPr>
          <w:p w14:paraId="68971C54" w14:textId="77777777" w:rsidR="00E210B8" w:rsidRPr="003E0052" w:rsidRDefault="00E210B8" w:rsidP="00B82B2D">
            <w:pPr>
              <w:spacing w:after="0" w:line="480" w:lineRule="auto"/>
              <w:jc w:val="center"/>
              <w:rPr>
                <w:rFonts w:asciiTheme="minorHAnsi" w:eastAsiaTheme="minorHAnsi" w:hAnsiTheme="minorHAnsi" w:cstheme="minorBidi"/>
                <w:szCs w:val="22"/>
              </w:rPr>
            </w:pPr>
            <w:r w:rsidRPr="003E0052">
              <w:rPr>
                <w:rFonts w:ascii="Segoe UI Symbol" w:eastAsiaTheme="minorHAnsi" w:hAnsi="Segoe UI Symbol" w:cs="Segoe UI Symbol"/>
                <w:sz w:val="21"/>
                <w:szCs w:val="21"/>
              </w:rPr>
              <w:t>✓</w:t>
            </w:r>
          </w:p>
        </w:tc>
        <w:tc>
          <w:tcPr>
            <w:tcW w:w="183" w:type="pct"/>
            <w:shd w:val="clear" w:color="auto" w:fill="auto"/>
          </w:tcPr>
          <w:p w14:paraId="0826C26C"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93" w:type="pct"/>
            <w:shd w:val="clear" w:color="auto" w:fill="auto"/>
          </w:tcPr>
          <w:p w14:paraId="51FD5F08"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c>
          <w:tcPr>
            <w:tcW w:w="178" w:type="pct"/>
            <w:shd w:val="clear" w:color="auto" w:fill="auto"/>
          </w:tcPr>
          <w:p w14:paraId="00339FC9" w14:textId="77777777" w:rsidR="00E210B8" w:rsidRPr="003E0052" w:rsidRDefault="00E210B8" w:rsidP="00B82B2D">
            <w:pPr>
              <w:spacing w:after="0" w:line="480" w:lineRule="auto"/>
              <w:jc w:val="center"/>
              <w:rPr>
                <w:rFonts w:ascii="Segoe UI Symbol" w:eastAsiaTheme="minorHAnsi" w:hAnsi="Segoe UI Symbol" w:cs="Segoe UI Symbol"/>
                <w:sz w:val="21"/>
                <w:szCs w:val="21"/>
              </w:rPr>
            </w:pPr>
          </w:p>
        </w:tc>
      </w:tr>
    </w:tbl>
    <w:p w14:paraId="2E8602DA" w14:textId="77777777" w:rsidR="00E240D7" w:rsidRDefault="00E240D7" w:rsidP="00B82B2D">
      <w:pPr>
        <w:spacing w:line="480" w:lineRule="auto"/>
        <w:rPr>
          <w:i/>
          <w:iCs/>
          <w:color w:val="000000" w:themeColor="text1"/>
          <w:sz w:val="24"/>
        </w:rPr>
      </w:pPr>
    </w:p>
    <w:p w14:paraId="68E7F939" w14:textId="3FC588BB" w:rsidR="00396D88" w:rsidRDefault="00396D88" w:rsidP="00B82B2D">
      <w:pPr>
        <w:spacing w:line="480" w:lineRule="auto"/>
        <w:rPr>
          <w:i/>
          <w:iCs/>
          <w:color w:val="000000" w:themeColor="text1"/>
          <w:sz w:val="24"/>
        </w:rPr>
      </w:pPr>
      <w:r w:rsidRPr="00177024">
        <w:rPr>
          <w:i/>
          <w:iCs/>
          <w:color w:val="000000" w:themeColor="text1"/>
          <w:sz w:val="24"/>
        </w:rPr>
        <w:t xml:space="preserve">Green = </w:t>
      </w:r>
      <w:r w:rsidRPr="00177024">
        <w:rPr>
          <w:rFonts w:cs="Calibri"/>
          <w:i/>
          <w:iCs/>
          <w:color w:val="000000" w:themeColor="text1"/>
          <w:sz w:val="24"/>
        </w:rPr>
        <w:t>≥</w:t>
      </w:r>
      <w:r w:rsidRPr="00177024">
        <w:rPr>
          <w:i/>
          <w:iCs/>
          <w:color w:val="000000" w:themeColor="text1"/>
          <w:sz w:val="24"/>
        </w:rPr>
        <w:t xml:space="preserve">70% ‘Yes’ vote across acceptability, deliverability and effectiveness, amber = </w:t>
      </w:r>
      <w:r w:rsidRPr="00177024">
        <w:rPr>
          <w:rFonts w:cs="Calibri"/>
          <w:i/>
          <w:iCs/>
          <w:color w:val="000000" w:themeColor="text1"/>
          <w:sz w:val="24"/>
        </w:rPr>
        <w:t>≥</w:t>
      </w:r>
      <w:r w:rsidRPr="00177024">
        <w:rPr>
          <w:i/>
          <w:iCs/>
          <w:color w:val="000000" w:themeColor="text1"/>
          <w:sz w:val="24"/>
        </w:rPr>
        <w:t>60%, and the remainder red</w:t>
      </w:r>
      <w:r w:rsidR="00936AEA" w:rsidRPr="00177024">
        <w:rPr>
          <w:i/>
          <w:iCs/>
          <w:color w:val="000000" w:themeColor="text1"/>
          <w:sz w:val="24"/>
        </w:rPr>
        <w:t xml:space="preserve"> at Round 2 pre-workshop survey</w:t>
      </w:r>
      <w:r w:rsidR="00096663">
        <w:rPr>
          <w:i/>
          <w:iCs/>
          <w:color w:val="000000" w:themeColor="text1"/>
          <w:sz w:val="24"/>
        </w:rPr>
        <w:t xml:space="preserve"> across all three hospitals</w:t>
      </w:r>
      <w:r w:rsidR="00936AEA" w:rsidRPr="00177024">
        <w:rPr>
          <w:i/>
          <w:iCs/>
          <w:color w:val="000000" w:themeColor="text1"/>
          <w:sz w:val="24"/>
        </w:rPr>
        <w:t>.</w:t>
      </w:r>
    </w:p>
    <w:p w14:paraId="4FAD2CC4" w14:textId="201210BC" w:rsidR="00294EEA" w:rsidRPr="00177024" w:rsidRDefault="00294EEA" w:rsidP="00B82B2D">
      <w:pPr>
        <w:spacing w:line="480" w:lineRule="auto"/>
        <w:rPr>
          <w:i/>
          <w:iCs/>
        </w:rPr>
      </w:pPr>
      <w:r w:rsidRPr="00294EEA">
        <w:rPr>
          <w:i/>
          <w:iCs/>
          <w:color w:val="000000" w:themeColor="text1"/>
          <w:sz w:val="24"/>
          <w:szCs w:val="28"/>
        </w:rPr>
        <w:t>Hospital A represented a large hospital with mature IT infrastructure; Hospital B represented a smaller district general hospital; Hospital C represented diversity in patient population.</w:t>
      </w:r>
    </w:p>
    <w:sectPr w:rsidR="00294EEA" w:rsidRPr="00177024" w:rsidSect="007D3DC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2FA2E" w14:textId="77777777" w:rsidR="00A37991" w:rsidRDefault="00A37991" w:rsidP="00221263">
      <w:r>
        <w:separator/>
      </w:r>
    </w:p>
  </w:endnote>
  <w:endnote w:type="continuationSeparator" w:id="0">
    <w:p w14:paraId="4B3A21DD" w14:textId="77777777" w:rsidR="00A37991" w:rsidRDefault="00A37991" w:rsidP="00221263">
      <w:r>
        <w:continuationSeparator/>
      </w:r>
    </w:p>
  </w:endnote>
  <w:endnote w:type="continuationNotice" w:id="1">
    <w:p w14:paraId="65AFD427" w14:textId="77777777" w:rsidR="00A37991" w:rsidRDefault="00A37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155F3" w14:textId="0D19F57E" w:rsidR="00E94432" w:rsidRDefault="00E94432" w:rsidP="004F08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430F5D" w14:textId="77777777" w:rsidR="00E94432" w:rsidRDefault="00E94432" w:rsidP="00AC4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7265899"/>
      <w:docPartObj>
        <w:docPartGallery w:val="Page Numbers (Bottom of Page)"/>
        <w:docPartUnique/>
      </w:docPartObj>
    </w:sdtPr>
    <w:sdtEndPr>
      <w:rPr>
        <w:rStyle w:val="PageNumber"/>
      </w:rPr>
    </w:sdtEndPr>
    <w:sdtContent>
      <w:p w14:paraId="6E5CD9AC" w14:textId="2D685FD2" w:rsidR="00E94432" w:rsidRDefault="00E94432" w:rsidP="004F08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15A93">
          <w:rPr>
            <w:rStyle w:val="PageNumber"/>
            <w:noProof/>
          </w:rPr>
          <w:t>15</w:t>
        </w:r>
        <w:r>
          <w:rPr>
            <w:rStyle w:val="PageNumber"/>
          </w:rPr>
          <w:fldChar w:fldCharType="end"/>
        </w:r>
      </w:p>
    </w:sdtContent>
  </w:sdt>
  <w:p w14:paraId="4BF0C25A" w14:textId="77777777" w:rsidR="00E94432" w:rsidRDefault="00E94432" w:rsidP="00AC4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52ACC" w14:textId="77777777" w:rsidR="00A37991" w:rsidRDefault="00A37991" w:rsidP="00221263">
      <w:r>
        <w:separator/>
      </w:r>
    </w:p>
  </w:footnote>
  <w:footnote w:type="continuationSeparator" w:id="0">
    <w:p w14:paraId="16F118FA" w14:textId="77777777" w:rsidR="00A37991" w:rsidRDefault="00A37991" w:rsidP="00221263">
      <w:r>
        <w:continuationSeparator/>
      </w:r>
    </w:p>
  </w:footnote>
  <w:footnote w:type="continuationNotice" w:id="1">
    <w:p w14:paraId="5B65AEB1" w14:textId="77777777" w:rsidR="00A37991" w:rsidRDefault="00A379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C2D"/>
    <w:multiLevelType w:val="multilevel"/>
    <w:tmpl w:val="210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14624"/>
    <w:multiLevelType w:val="hybridMultilevel"/>
    <w:tmpl w:val="4960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77FD7"/>
    <w:multiLevelType w:val="hybridMultilevel"/>
    <w:tmpl w:val="6A2A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728F"/>
    <w:multiLevelType w:val="hybridMultilevel"/>
    <w:tmpl w:val="4AB211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D0BD2"/>
    <w:multiLevelType w:val="hybridMultilevel"/>
    <w:tmpl w:val="76D2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0524A"/>
    <w:multiLevelType w:val="hybridMultilevel"/>
    <w:tmpl w:val="533C9D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A7F79"/>
    <w:multiLevelType w:val="hybridMultilevel"/>
    <w:tmpl w:val="1876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347EC"/>
    <w:multiLevelType w:val="hybridMultilevel"/>
    <w:tmpl w:val="D3423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C7544"/>
    <w:multiLevelType w:val="hybridMultilevel"/>
    <w:tmpl w:val="533C9D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5106B"/>
    <w:multiLevelType w:val="hybridMultilevel"/>
    <w:tmpl w:val="390C0592"/>
    <w:lvl w:ilvl="0" w:tplc="08090001">
      <w:start w:val="1"/>
      <w:numFmt w:val="bullet"/>
      <w:lvlText w:val=""/>
      <w:lvlJc w:val="left"/>
      <w:pPr>
        <w:ind w:left="720" w:hanging="360"/>
      </w:pPr>
      <w:rPr>
        <w:rFonts w:ascii="Symbol" w:hAnsi="Symbol" w:hint="default"/>
      </w:rPr>
    </w:lvl>
    <w:lvl w:ilvl="1" w:tplc="EEA60FF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3930"/>
    <w:multiLevelType w:val="hybridMultilevel"/>
    <w:tmpl w:val="3DCAF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31A26"/>
    <w:multiLevelType w:val="hybridMultilevel"/>
    <w:tmpl w:val="A0B0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24896"/>
    <w:multiLevelType w:val="hybridMultilevel"/>
    <w:tmpl w:val="A70C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F6E1D"/>
    <w:multiLevelType w:val="hybridMultilevel"/>
    <w:tmpl w:val="604A5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C1D61"/>
    <w:multiLevelType w:val="hybridMultilevel"/>
    <w:tmpl w:val="7A94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33649"/>
    <w:multiLevelType w:val="hybridMultilevel"/>
    <w:tmpl w:val="7FB0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A82383"/>
    <w:multiLevelType w:val="hybridMultilevel"/>
    <w:tmpl w:val="1FE4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C208A"/>
    <w:multiLevelType w:val="hybridMultilevel"/>
    <w:tmpl w:val="1F3C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002AC"/>
    <w:multiLevelType w:val="hybridMultilevel"/>
    <w:tmpl w:val="5B96252E"/>
    <w:lvl w:ilvl="0" w:tplc="975A06B4">
      <w:start w:val="1"/>
      <w:numFmt w:val="decimal"/>
      <w:lvlText w:val="%1."/>
      <w:lvlJc w:val="left"/>
      <w:pPr>
        <w:tabs>
          <w:tab w:val="num" w:pos="720"/>
        </w:tabs>
        <w:ind w:left="720" w:hanging="360"/>
      </w:pPr>
    </w:lvl>
    <w:lvl w:ilvl="1" w:tplc="650038D6" w:tentative="1">
      <w:start w:val="1"/>
      <w:numFmt w:val="decimal"/>
      <w:lvlText w:val="%2."/>
      <w:lvlJc w:val="left"/>
      <w:pPr>
        <w:tabs>
          <w:tab w:val="num" w:pos="1440"/>
        </w:tabs>
        <w:ind w:left="1440" w:hanging="360"/>
      </w:pPr>
    </w:lvl>
    <w:lvl w:ilvl="2" w:tplc="BA200960" w:tentative="1">
      <w:start w:val="1"/>
      <w:numFmt w:val="decimal"/>
      <w:lvlText w:val="%3."/>
      <w:lvlJc w:val="left"/>
      <w:pPr>
        <w:tabs>
          <w:tab w:val="num" w:pos="2160"/>
        </w:tabs>
        <w:ind w:left="2160" w:hanging="360"/>
      </w:pPr>
    </w:lvl>
    <w:lvl w:ilvl="3" w:tplc="15104EF4" w:tentative="1">
      <w:start w:val="1"/>
      <w:numFmt w:val="decimal"/>
      <w:lvlText w:val="%4."/>
      <w:lvlJc w:val="left"/>
      <w:pPr>
        <w:tabs>
          <w:tab w:val="num" w:pos="2880"/>
        </w:tabs>
        <w:ind w:left="2880" w:hanging="360"/>
      </w:pPr>
    </w:lvl>
    <w:lvl w:ilvl="4" w:tplc="66B23D8E" w:tentative="1">
      <w:start w:val="1"/>
      <w:numFmt w:val="decimal"/>
      <w:lvlText w:val="%5."/>
      <w:lvlJc w:val="left"/>
      <w:pPr>
        <w:tabs>
          <w:tab w:val="num" w:pos="3600"/>
        </w:tabs>
        <w:ind w:left="3600" w:hanging="360"/>
      </w:pPr>
    </w:lvl>
    <w:lvl w:ilvl="5" w:tplc="FC20DB0A" w:tentative="1">
      <w:start w:val="1"/>
      <w:numFmt w:val="decimal"/>
      <w:lvlText w:val="%6."/>
      <w:lvlJc w:val="left"/>
      <w:pPr>
        <w:tabs>
          <w:tab w:val="num" w:pos="4320"/>
        </w:tabs>
        <w:ind w:left="4320" w:hanging="360"/>
      </w:pPr>
    </w:lvl>
    <w:lvl w:ilvl="6" w:tplc="C2746F12" w:tentative="1">
      <w:start w:val="1"/>
      <w:numFmt w:val="decimal"/>
      <w:lvlText w:val="%7."/>
      <w:lvlJc w:val="left"/>
      <w:pPr>
        <w:tabs>
          <w:tab w:val="num" w:pos="5040"/>
        </w:tabs>
        <w:ind w:left="5040" w:hanging="360"/>
      </w:pPr>
    </w:lvl>
    <w:lvl w:ilvl="7" w:tplc="79A42D48" w:tentative="1">
      <w:start w:val="1"/>
      <w:numFmt w:val="decimal"/>
      <w:lvlText w:val="%8."/>
      <w:lvlJc w:val="left"/>
      <w:pPr>
        <w:tabs>
          <w:tab w:val="num" w:pos="5760"/>
        </w:tabs>
        <w:ind w:left="5760" w:hanging="360"/>
      </w:pPr>
    </w:lvl>
    <w:lvl w:ilvl="8" w:tplc="92DEB6B4" w:tentative="1">
      <w:start w:val="1"/>
      <w:numFmt w:val="decimal"/>
      <w:lvlText w:val="%9."/>
      <w:lvlJc w:val="left"/>
      <w:pPr>
        <w:tabs>
          <w:tab w:val="num" w:pos="6480"/>
        </w:tabs>
        <w:ind w:left="6480" w:hanging="360"/>
      </w:pPr>
    </w:lvl>
  </w:abstractNum>
  <w:abstractNum w:abstractNumId="19" w15:restartNumberingAfterBreak="0">
    <w:nsid w:val="37A03B8D"/>
    <w:multiLevelType w:val="multilevel"/>
    <w:tmpl w:val="956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24EE5"/>
    <w:multiLevelType w:val="multilevel"/>
    <w:tmpl w:val="6736F39C"/>
    <w:lvl w:ilvl="0">
      <w:start w:val="1"/>
      <w:numFmt w:val="decimal"/>
      <w:lvlText w:val="%1."/>
      <w:lvlJc w:val="left"/>
      <w:pPr>
        <w:ind w:left="720" w:hanging="360"/>
      </w:pPr>
      <w:rPr>
        <w:rFonts w:hint="default"/>
      </w:rPr>
    </w:lvl>
    <w:lvl w:ilvl="1">
      <w:start w:val="6"/>
      <w:numFmt w:val="decimal"/>
      <w:isLgl/>
      <w:lvlText w:val="%1.%2"/>
      <w:lvlJc w:val="left"/>
      <w:pPr>
        <w:ind w:left="860" w:hanging="5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03B67A1"/>
    <w:multiLevelType w:val="hybridMultilevel"/>
    <w:tmpl w:val="A330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C3863"/>
    <w:multiLevelType w:val="hybridMultilevel"/>
    <w:tmpl w:val="FA58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E34C8"/>
    <w:multiLevelType w:val="hybridMultilevel"/>
    <w:tmpl w:val="41C23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B02B6"/>
    <w:multiLevelType w:val="hybridMultilevel"/>
    <w:tmpl w:val="7380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35083"/>
    <w:multiLevelType w:val="multilevel"/>
    <w:tmpl w:val="F4E6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B2F57"/>
    <w:multiLevelType w:val="multilevel"/>
    <w:tmpl w:val="D3DE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43091F"/>
    <w:multiLevelType w:val="multilevel"/>
    <w:tmpl w:val="28B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42286B"/>
    <w:multiLevelType w:val="multilevel"/>
    <w:tmpl w:val="B8C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1485E"/>
    <w:multiLevelType w:val="hybridMultilevel"/>
    <w:tmpl w:val="533C9D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5526D"/>
    <w:multiLevelType w:val="hybridMultilevel"/>
    <w:tmpl w:val="BFAE2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282DB5"/>
    <w:multiLevelType w:val="hybridMultilevel"/>
    <w:tmpl w:val="7280FC26"/>
    <w:lvl w:ilvl="0" w:tplc="EC80AE50">
      <w:start w:val="1"/>
      <w:numFmt w:val="bullet"/>
      <w:lvlText w:val="•"/>
      <w:lvlJc w:val="left"/>
      <w:pPr>
        <w:tabs>
          <w:tab w:val="num" w:pos="720"/>
        </w:tabs>
        <w:ind w:left="720" w:hanging="360"/>
      </w:pPr>
      <w:rPr>
        <w:rFonts w:ascii="Arial" w:hAnsi="Arial" w:hint="default"/>
      </w:rPr>
    </w:lvl>
    <w:lvl w:ilvl="1" w:tplc="BC8A75EE">
      <w:start w:val="1"/>
      <w:numFmt w:val="bullet"/>
      <w:lvlText w:val="•"/>
      <w:lvlJc w:val="left"/>
      <w:pPr>
        <w:tabs>
          <w:tab w:val="num" w:pos="1440"/>
        </w:tabs>
        <w:ind w:left="1440" w:hanging="360"/>
      </w:pPr>
      <w:rPr>
        <w:rFonts w:ascii="Arial" w:hAnsi="Arial" w:hint="default"/>
      </w:rPr>
    </w:lvl>
    <w:lvl w:ilvl="2" w:tplc="9906F53E" w:tentative="1">
      <w:start w:val="1"/>
      <w:numFmt w:val="bullet"/>
      <w:lvlText w:val="•"/>
      <w:lvlJc w:val="left"/>
      <w:pPr>
        <w:tabs>
          <w:tab w:val="num" w:pos="2160"/>
        </w:tabs>
        <w:ind w:left="2160" w:hanging="360"/>
      </w:pPr>
      <w:rPr>
        <w:rFonts w:ascii="Arial" w:hAnsi="Arial" w:hint="default"/>
      </w:rPr>
    </w:lvl>
    <w:lvl w:ilvl="3" w:tplc="F42CE372" w:tentative="1">
      <w:start w:val="1"/>
      <w:numFmt w:val="bullet"/>
      <w:lvlText w:val="•"/>
      <w:lvlJc w:val="left"/>
      <w:pPr>
        <w:tabs>
          <w:tab w:val="num" w:pos="2880"/>
        </w:tabs>
        <w:ind w:left="2880" w:hanging="360"/>
      </w:pPr>
      <w:rPr>
        <w:rFonts w:ascii="Arial" w:hAnsi="Arial" w:hint="default"/>
      </w:rPr>
    </w:lvl>
    <w:lvl w:ilvl="4" w:tplc="371A2D70" w:tentative="1">
      <w:start w:val="1"/>
      <w:numFmt w:val="bullet"/>
      <w:lvlText w:val="•"/>
      <w:lvlJc w:val="left"/>
      <w:pPr>
        <w:tabs>
          <w:tab w:val="num" w:pos="3600"/>
        </w:tabs>
        <w:ind w:left="3600" w:hanging="360"/>
      </w:pPr>
      <w:rPr>
        <w:rFonts w:ascii="Arial" w:hAnsi="Arial" w:hint="default"/>
      </w:rPr>
    </w:lvl>
    <w:lvl w:ilvl="5" w:tplc="A9E080DC" w:tentative="1">
      <w:start w:val="1"/>
      <w:numFmt w:val="bullet"/>
      <w:lvlText w:val="•"/>
      <w:lvlJc w:val="left"/>
      <w:pPr>
        <w:tabs>
          <w:tab w:val="num" w:pos="4320"/>
        </w:tabs>
        <w:ind w:left="4320" w:hanging="360"/>
      </w:pPr>
      <w:rPr>
        <w:rFonts w:ascii="Arial" w:hAnsi="Arial" w:hint="default"/>
      </w:rPr>
    </w:lvl>
    <w:lvl w:ilvl="6" w:tplc="EBEAF272" w:tentative="1">
      <w:start w:val="1"/>
      <w:numFmt w:val="bullet"/>
      <w:lvlText w:val="•"/>
      <w:lvlJc w:val="left"/>
      <w:pPr>
        <w:tabs>
          <w:tab w:val="num" w:pos="5040"/>
        </w:tabs>
        <w:ind w:left="5040" w:hanging="360"/>
      </w:pPr>
      <w:rPr>
        <w:rFonts w:ascii="Arial" w:hAnsi="Arial" w:hint="default"/>
      </w:rPr>
    </w:lvl>
    <w:lvl w:ilvl="7" w:tplc="A3A6BB84" w:tentative="1">
      <w:start w:val="1"/>
      <w:numFmt w:val="bullet"/>
      <w:lvlText w:val="•"/>
      <w:lvlJc w:val="left"/>
      <w:pPr>
        <w:tabs>
          <w:tab w:val="num" w:pos="5760"/>
        </w:tabs>
        <w:ind w:left="5760" w:hanging="360"/>
      </w:pPr>
      <w:rPr>
        <w:rFonts w:ascii="Arial" w:hAnsi="Arial" w:hint="default"/>
      </w:rPr>
    </w:lvl>
    <w:lvl w:ilvl="8" w:tplc="4F422B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181A00"/>
    <w:multiLevelType w:val="hybridMultilevel"/>
    <w:tmpl w:val="3282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D5FCE"/>
    <w:multiLevelType w:val="hybridMultilevel"/>
    <w:tmpl w:val="63F05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C12320"/>
    <w:multiLevelType w:val="hybridMultilevel"/>
    <w:tmpl w:val="5B6A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25274"/>
    <w:multiLevelType w:val="hybridMultilevel"/>
    <w:tmpl w:val="F1E44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1D5F09"/>
    <w:multiLevelType w:val="hybridMultilevel"/>
    <w:tmpl w:val="4FC6C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6E515A"/>
    <w:multiLevelType w:val="hybridMultilevel"/>
    <w:tmpl w:val="59FCA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3A4060"/>
    <w:multiLevelType w:val="hybridMultilevel"/>
    <w:tmpl w:val="C590C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AE078F"/>
    <w:multiLevelType w:val="hybridMultilevel"/>
    <w:tmpl w:val="5838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30759"/>
    <w:multiLevelType w:val="hybridMultilevel"/>
    <w:tmpl w:val="00787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2E23C3"/>
    <w:multiLevelType w:val="hybridMultilevel"/>
    <w:tmpl w:val="6462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F5F6E"/>
    <w:multiLevelType w:val="multilevel"/>
    <w:tmpl w:val="B45E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C2BE4"/>
    <w:multiLevelType w:val="multilevel"/>
    <w:tmpl w:val="6736F39C"/>
    <w:lvl w:ilvl="0">
      <w:start w:val="1"/>
      <w:numFmt w:val="decimal"/>
      <w:lvlText w:val="%1."/>
      <w:lvlJc w:val="left"/>
      <w:pPr>
        <w:ind w:left="720" w:hanging="360"/>
      </w:pPr>
      <w:rPr>
        <w:rFonts w:hint="default"/>
      </w:rPr>
    </w:lvl>
    <w:lvl w:ilvl="1">
      <w:start w:val="6"/>
      <w:numFmt w:val="decimal"/>
      <w:isLgl/>
      <w:lvlText w:val="%1.%2"/>
      <w:lvlJc w:val="left"/>
      <w:pPr>
        <w:ind w:left="860" w:hanging="5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E455E32"/>
    <w:multiLevelType w:val="hybridMultilevel"/>
    <w:tmpl w:val="C4E6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24"/>
  </w:num>
  <w:num w:numId="4">
    <w:abstractNumId w:val="32"/>
  </w:num>
  <w:num w:numId="5">
    <w:abstractNumId w:val="35"/>
  </w:num>
  <w:num w:numId="6">
    <w:abstractNumId w:val="29"/>
  </w:num>
  <w:num w:numId="7">
    <w:abstractNumId w:val="37"/>
  </w:num>
  <w:num w:numId="8">
    <w:abstractNumId w:val="7"/>
  </w:num>
  <w:num w:numId="9">
    <w:abstractNumId w:val="10"/>
  </w:num>
  <w:num w:numId="10">
    <w:abstractNumId w:val="12"/>
  </w:num>
  <w:num w:numId="11">
    <w:abstractNumId w:val="23"/>
  </w:num>
  <w:num w:numId="12">
    <w:abstractNumId w:val="43"/>
  </w:num>
  <w:num w:numId="13">
    <w:abstractNumId w:val="2"/>
  </w:num>
  <w:num w:numId="14">
    <w:abstractNumId w:val="34"/>
  </w:num>
  <w:num w:numId="15">
    <w:abstractNumId w:val="20"/>
  </w:num>
  <w:num w:numId="16">
    <w:abstractNumId w:val="30"/>
  </w:num>
  <w:num w:numId="17">
    <w:abstractNumId w:val="3"/>
  </w:num>
  <w:num w:numId="18">
    <w:abstractNumId w:val="8"/>
  </w:num>
  <w:num w:numId="19">
    <w:abstractNumId w:val="5"/>
  </w:num>
  <w:num w:numId="20">
    <w:abstractNumId w:val="6"/>
  </w:num>
  <w:num w:numId="21">
    <w:abstractNumId w:val="13"/>
  </w:num>
  <w:num w:numId="22">
    <w:abstractNumId w:val="22"/>
  </w:num>
  <w:num w:numId="23">
    <w:abstractNumId w:val="15"/>
  </w:num>
  <w:num w:numId="24">
    <w:abstractNumId w:val="44"/>
  </w:num>
  <w:num w:numId="25">
    <w:abstractNumId w:val="9"/>
  </w:num>
  <w:num w:numId="26">
    <w:abstractNumId w:val="11"/>
  </w:num>
  <w:num w:numId="27">
    <w:abstractNumId w:val="16"/>
  </w:num>
  <w:num w:numId="28">
    <w:abstractNumId w:val="31"/>
  </w:num>
  <w:num w:numId="29">
    <w:abstractNumId w:val="18"/>
  </w:num>
  <w:num w:numId="30">
    <w:abstractNumId w:val="1"/>
  </w:num>
  <w:num w:numId="31">
    <w:abstractNumId w:val="21"/>
  </w:num>
  <w:num w:numId="32">
    <w:abstractNumId w:val="39"/>
  </w:num>
  <w:num w:numId="33">
    <w:abstractNumId w:val="33"/>
  </w:num>
  <w:num w:numId="34">
    <w:abstractNumId w:val="38"/>
  </w:num>
  <w:num w:numId="35">
    <w:abstractNumId w:val="25"/>
  </w:num>
  <w:num w:numId="36">
    <w:abstractNumId w:val="14"/>
  </w:num>
  <w:num w:numId="37">
    <w:abstractNumId w:val="26"/>
  </w:num>
  <w:num w:numId="38">
    <w:abstractNumId w:val="27"/>
  </w:num>
  <w:num w:numId="39">
    <w:abstractNumId w:val="42"/>
  </w:num>
  <w:num w:numId="40">
    <w:abstractNumId w:val="41"/>
  </w:num>
  <w:num w:numId="41">
    <w:abstractNumId w:val="0"/>
  </w:num>
  <w:num w:numId="42">
    <w:abstractNumId w:val="4"/>
  </w:num>
  <w:num w:numId="43">
    <w:abstractNumId w:val="28"/>
  </w:num>
  <w:num w:numId="44">
    <w:abstractNumId w:val="19"/>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5dxsfzjteswre2vfivfd565z9s0sf5fsxd&quot;&gt;Endnote - CHARMER&lt;record-ids&gt;&lt;item&gt;1&lt;/item&gt;&lt;item&gt;2&lt;/item&gt;&lt;item&gt;3&lt;/item&gt;&lt;item&gt;4&lt;/item&gt;&lt;item&gt;5&lt;/item&gt;&lt;item&gt;6&lt;/item&gt;&lt;item&gt;7&lt;/item&gt;&lt;item&gt;8&lt;/item&gt;&lt;item&gt;33&lt;/item&gt;&lt;item&gt;38&lt;/item&gt;&lt;item&gt;43&lt;/item&gt;&lt;item&gt;51&lt;/item&gt;&lt;item&gt;52&lt;/item&gt;&lt;item&gt;53&lt;/item&gt;&lt;item&gt;57&lt;/item&gt;&lt;item&gt;76&lt;/item&gt;&lt;/record-ids&gt;&lt;/item&gt;&lt;/Libraries&gt;"/>
  </w:docVars>
  <w:rsids>
    <w:rsidRoot w:val="005A3B75"/>
    <w:rsid w:val="00000329"/>
    <w:rsid w:val="00001999"/>
    <w:rsid w:val="00001CD7"/>
    <w:rsid w:val="00003239"/>
    <w:rsid w:val="000034ED"/>
    <w:rsid w:val="0000418B"/>
    <w:rsid w:val="0000440A"/>
    <w:rsid w:val="00005134"/>
    <w:rsid w:val="0000520E"/>
    <w:rsid w:val="00005442"/>
    <w:rsid w:val="0000544D"/>
    <w:rsid w:val="0000573E"/>
    <w:rsid w:val="0000580A"/>
    <w:rsid w:val="00005FA1"/>
    <w:rsid w:val="00005FD0"/>
    <w:rsid w:val="0000627E"/>
    <w:rsid w:val="00007253"/>
    <w:rsid w:val="000075A2"/>
    <w:rsid w:val="00010797"/>
    <w:rsid w:val="00010889"/>
    <w:rsid w:val="00010981"/>
    <w:rsid w:val="00012127"/>
    <w:rsid w:val="00012374"/>
    <w:rsid w:val="00012381"/>
    <w:rsid w:val="000123FC"/>
    <w:rsid w:val="0001282B"/>
    <w:rsid w:val="000141F9"/>
    <w:rsid w:val="000149A4"/>
    <w:rsid w:val="00014C65"/>
    <w:rsid w:val="00015533"/>
    <w:rsid w:val="00015CCC"/>
    <w:rsid w:val="000174B0"/>
    <w:rsid w:val="00020401"/>
    <w:rsid w:val="00020A50"/>
    <w:rsid w:val="00020A5C"/>
    <w:rsid w:val="00020F24"/>
    <w:rsid w:val="0002120D"/>
    <w:rsid w:val="00023151"/>
    <w:rsid w:val="0002318F"/>
    <w:rsid w:val="00023768"/>
    <w:rsid w:val="00023AF6"/>
    <w:rsid w:val="00023FEA"/>
    <w:rsid w:val="00024375"/>
    <w:rsid w:val="000249BF"/>
    <w:rsid w:val="00024BFF"/>
    <w:rsid w:val="000256A1"/>
    <w:rsid w:val="000259CA"/>
    <w:rsid w:val="000263BC"/>
    <w:rsid w:val="0002724D"/>
    <w:rsid w:val="000278E1"/>
    <w:rsid w:val="00030D35"/>
    <w:rsid w:val="00031762"/>
    <w:rsid w:val="00031C6E"/>
    <w:rsid w:val="00032441"/>
    <w:rsid w:val="000328FA"/>
    <w:rsid w:val="00032C2B"/>
    <w:rsid w:val="00032CAD"/>
    <w:rsid w:val="00033438"/>
    <w:rsid w:val="00033A25"/>
    <w:rsid w:val="00034811"/>
    <w:rsid w:val="00035857"/>
    <w:rsid w:val="00035C08"/>
    <w:rsid w:val="000367D4"/>
    <w:rsid w:val="00036A91"/>
    <w:rsid w:val="00037806"/>
    <w:rsid w:val="00040407"/>
    <w:rsid w:val="000405C8"/>
    <w:rsid w:val="0004084C"/>
    <w:rsid w:val="00040BB9"/>
    <w:rsid w:val="00040F92"/>
    <w:rsid w:val="00041498"/>
    <w:rsid w:val="000417DC"/>
    <w:rsid w:val="00041B66"/>
    <w:rsid w:val="00041F8D"/>
    <w:rsid w:val="000428C4"/>
    <w:rsid w:val="00042F02"/>
    <w:rsid w:val="000434FC"/>
    <w:rsid w:val="000435E6"/>
    <w:rsid w:val="00043627"/>
    <w:rsid w:val="00043933"/>
    <w:rsid w:val="00043E70"/>
    <w:rsid w:val="000447C3"/>
    <w:rsid w:val="00044BA6"/>
    <w:rsid w:val="000450DF"/>
    <w:rsid w:val="0004582F"/>
    <w:rsid w:val="00045977"/>
    <w:rsid w:val="00047031"/>
    <w:rsid w:val="000472D0"/>
    <w:rsid w:val="000472F5"/>
    <w:rsid w:val="00047D3C"/>
    <w:rsid w:val="00047E96"/>
    <w:rsid w:val="000500EA"/>
    <w:rsid w:val="0005039E"/>
    <w:rsid w:val="00050677"/>
    <w:rsid w:val="00050934"/>
    <w:rsid w:val="00050C27"/>
    <w:rsid w:val="00051032"/>
    <w:rsid w:val="0005128D"/>
    <w:rsid w:val="000523F4"/>
    <w:rsid w:val="00053605"/>
    <w:rsid w:val="000537A1"/>
    <w:rsid w:val="00053AB3"/>
    <w:rsid w:val="0005414D"/>
    <w:rsid w:val="00054189"/>
    <w:rsid w:val="000550C1"/>
    <w:rsid w:val="00055EE7"/>
    <w:rsid w:val="000566CA"/>
    <w:rsid w:val="00056E12"/>
    <w:rsid w:val="00057783"/>
    <w:rsid w:val="00057C12"/>
    <w:rsid w:val="0006094C"/>
    <w:rsid w:val="00060FF3"/>
    <w:rsid w:val="0006136D"/>
    <w:rsid w:val="0006153C"/>
    <w:rsid w:val="00061A37"/>
    <w:rsid w:val="00063774"/>
    <w:rsid w:val="00063DFB"/>
    <w:rsid w:val="000641B5"/>
    <w:rsid w:val="00064739"/>
    <w:rsid w:val="00064A87"/>
    <w:rsid w:val="00065018"/>
    <w:rsid w:val="00065433"/>
    <w:rsid w:val="00066325"/>
    <w:rsid w:val="00066960"/>
    <w:rsid w:val="0006739F"/>
    <w:rsid w:val="000700E9"/>
    <w:rsid w:val="00070963"/>
    <w:rsid w:val="00070994"/>
    <w:rsid w:val="00070A7C"/>
    <w:rsid w:val="00070BFC"/>
    <w:rsid w:val="00070F34"/>
    <w:rsid w:val="0007114F"/>
    <w:rsid w:val="00071AD0"/>
    <w:rsid w:val="000725F3"/>
    <w:rsid w:val="00072857"/>
    <w:rsid w:val="00072F17"/>
    <w:rsid w:val="00072FBA"/>
    <w:rsid w:val="000735C6"/>
    <w:rsid w:val="000738EB"/>
    <w:rsid w:val="00073C37"/>
    <w:rsid w:val="00074619"/>
    <w:rsid w:val="00074989"/>
    <w:rsid w:val="00074EE1"/>
    <w:rsid w:val="00075C71"/>
    <w:rsid w:val="000761F4"/>
    <w:rsid w:val="00076284"/>
    <w:rsid w:val="00076ED2"/>
    <w:rsid w:val="00077025"/>
    <w:rsid w:val="000778F5"/>
    <w:rsid w:val="00077A9A"/>
    <w:rsid w:val="00080168"/>
    <w:rsid w:val="000806BE"/>
    <w:rsid w:val="00080709"/>
    <w:rsid w:val="00080C72"/>
    <w:rsid w:val="000811AC"/>
    <w:rsid w:val="000815B0"/>
    <w:rsid w:val="00081AD7"/>
    <w:rsid w:val="000838B6"/>
    <w:rsid w:val="00084A82"/>
    <w:rsid w:val="00084C9A"/>
    <w:rsid w:val="000850FF"/>
    <w:rsid w:val="0008543C"/>
    <w:rsid w:val="00085719"/>
    <w:rsid w:val="00085D23"/>
    <w:rsid w:val="000867B6"/>
    <w:rsid w:val="00086AE6"/>
    <w:rsid w:val="00086BE8"/>
    <w:rsid w:val="000870D0"/>
    <w:rsid w:val="0008770B"/>
    <w:rsid w:val="00087AA2"/>
    <w:rsid w:val="00087EEF"/>
    <w:rsid w:val="00090490"/>
    <w:rsid w:val="00090A65"/>
    <w:rsid w:val="0009128E"/>
    <w:rsid w:val="000916C5"/>
    <w:rsid w:val="00091A04"/>
    <w:rsid w:val="00092894"/>
    <w:rsid w:val="00092BC2"/>
    <w:rsid w:val="000932CF"/>
    <w:rsid w:val="0009385B"/>
    <w:rsid w:val="00093CF1"/>
    <w:rsid w:val="00093F6F"/>
    <w:rsid w:val="00094648"/>
    <w:rsid w:val="000955EB"/>
    <w:rsid w:val="00095907"/>
    <w:rsid w:val="00095A63"/>
    <w:rsid w:val="00095F63"/>
    <w:rsid w:val="00096548"/>
    <w:rsid w:val="00096663"/>
    <w:rsid w:val="0009710B"/>
    <w:rsid w:val="00097445"/>
    <w:rsid w:val="000977EA"/>
    <w:rsid w:val="00097F04"/>
    <w:rsid w:val="000A1661"/>
    <w:rsid w:val="000A1A25"/>
    <w:rsid w:val="000A2D39"/>
    <w:rsid w:val="000A321A"/>
    <w:rsid w:val="000A3594"/>
    <w:rsid w:val="000A3B72"/>
    <w:rsid w:val="000A446F"/>
    <w:rsid w:val="000A5F6C"/>
    <w:rsid w:val="000A622E"/>
    <w:rsid w:val="000A6B24"/>
    <w:rsid w:val="000A7225"/>
    <w:rsid w:val="000A7689"/>
    <w:rsid w:val="000A77A3"/>
    <w:rsid w:val="000A7919"/>
    <w:rsid w:val="000A7E4E"/>
    <w:rsid w:val="000A7F7A"/>
    <w:rsid w:val="000B02BF"/>
    <w:rsid w:val="000B065F"/>
    <w:rsid w:val="000B172B"/>
    <w:rsid w:val="000B1B25"/>
    <w:rsid w:val="000B1D74"/>
    <w:rsid w:val="000B20D5"/>
    <w:rsid w:val="000B20F2"/>
    <w:rsid w:val="000B3364"/>
    <w:rsid w:val="000B38EB"/>
    <w:rsid w:val="000B3E0D"/>
    <w:rsid w:val="000B3EA4"/>
    <w:rsid w:val="000B4548"/>
    <w:rsid w:val="000B4D1A"/>
    <w:rsid w:val="000B4F82"/>
    <w:rsid w:val="000B5224"/>
    <w:rsid w:val="000B5F59"/>
    <w:rsid w:val="000B60C3"/>
    <w:rsid w:val="000B695E"/>
    <w:rsid w:val="000B6A8B"/>
    <w:rsid w:val="000B75E7"/>
    <w:rsid w:val="000B75FF"/>
    <w:rsid w:val="000B77C2"/>
    <w:rsid w:val="000C10E8"/>
    <w:rsid w:val="000C151B"/>
    <w:rsid w:val="000C1948"/>
    <w:rsid w:val="000C2115"/>
    <w:rsid w:val="000C23AA"/>
    <w:rsid w:val="000C34A2"/>
    <w:rsid w:val="000C4A33"/>
    <w:rsid w:val="000C4AA7"/>
    <w:rsid w:val="000C4D34"/>
    <w:rsid w:val="000C553F"/>
    <w:rsid w:val="000C6664"/>
    <w:rsid w:val="000C751C"/>
    <w:rsid w:val="000D09C8"/>
    <w:rsid w:val="000D0B3C"/>
    <w:rsid w:val="000D1291"/>
    <w:rsid w:val="000D1638"/>
    <w:rsid w:val="000D19C9"/>
    <w:rsid w:val="000D1F1D"/>
    <w:rsid w:val="000D3805"/>
    <w:rsid w:val="000D4670"/>
    <w:rsid w:val="000D4A0E"/>
    <w:rsid w:val="000D58A1"/>
    <w:rsid w:val="000D59B6"/>
    <w:rsid w:val="000D67D8"/>
    <w:rsid w:val="000D695F"/>
    <w:rsid w:val="000D6A4C"/>
    <w:rsid w:val="000D6DC2"/>
    <w:rsid w:val="000D727F"/>
    <w:rsid w:val="000D7A99"/>
    <w:rsid w:val="000D7B09"/>
    <w:rsid w:val="000E1302"/>
    <w:rsid w:val="000E1FAD"/>
    <w:rsid w:val="000E21F1"/>
    <w:rsid w:val="000E2F03"/>
    <w:rsid w:val="000E30DD"/>
    <w:rsid w:val="000E36E3"/>
    <w:rsid w:val="000E3F39"/>
    <w:rsid w:val="000E488B"/>
    <w:rsid w:val="000E4EC9"/>
    <w:rsid w:val="000E5187"/>
    <w:rsid w:val="000E522B"/>
    <w:rsid w:val="000E52EF"/>
    <w:rsid w:val="000E5D98"/>
    <w:rsid w:val="000E63A8"/>
    <w:rsid w:val="000E654D"/>
    <w:rsid w:val="000E6896"/>
    <w:rsid w:val="000E6A9F"/>
    <w:rsid w:val="000E7EB6"/>
    <w:rsid w:val="000E7FFB"/>
    <w:rsid w:val="000F0530"/>
    <w:rsid w:val="000F0A8A"/>
    <w:rsid w:val="000F13C5"/>
    <w:rsid w:val="000F141F"/>
    <w:rsid w:val="000F167D"/>
    <w:rsid w:val="000F1B6E"/>
    <w:rsid w:val="000F1B85"/>
    <w:rsid w:val="000F2272"/>
    <w:rsid w:val="000F232C"/>
    <w:rsid w:val="000F2AAD"/>
    <w:rsid w:val="000F36C4"/>
    <w:rsid w:val="000F3702"/>
    <w:rsid w:val="000F3F13"/>
    <w:rsid w:val="000F3F23"/>
    <w:rsid w:val="000F46AD"/>
    <w:rsid w:val="000F495B"/>
    <w:rsid w:val="000F4C79"/>
    <w:rsid w:val="000F513D"/>
    <w:rsid w:val="000F524D"/>
    <w:rsid w:val="000F5992"/>
    <w:rsid w:val="000F682C"/>
    <w:rsid w:val="001001E0"/>
    <w:rsid w:val="00100485"/>
    <w:rsid w:val="00100FE9"/>
    <w:rsid w:val="00101030"/>
    <w:rsid w:val="00101146"/>
    <w:rsid w:val="001012E4"/>
    <w:rsid w:val="00101305"/>
    <w:rsid w:val="00101A22"/>
    <w:rsid w:val="001021A3"/>
    <w:rsid w:val="00102213"/>
    <w:rsid w:val="001022D3"/>
    <w:rsid w:val="001023BC"/>
    <w:rsid w:val="00102607"/>
    <w:rsid w:val="00103E5C"/>
    <w:rsid w:val="00105203"/>
    <w:rsid w:val="001053E8"/>
    <w:rsid w:val="0010546C"/>
    <w:rsid w:val="001057BA"/>
    <w:rsid w:val="0010636B"/>
    <w:rsid w:val="00106B9A"/>
    <w:rsid w:val="00107400"/>
    <w:rsid w:val="00107506"/>
    <w:rsid w:val="001076E1"/>
    <w:rsid w:val="00107B2F"/>
    <w:rsid w:val="001101FE"/>
    <w:rsid w:val="00110C55"/>
    <w:rsid w:val="00111334"/>
    <w:rsid w:val="00112066"/>
    <w:rsid w:val="001126A8"/>
    <w:rsid w:val="00112C68"/>
    <w:rsid w:val="00112EAB"/>
    <w:rsid w:val="0011338B"/>
    <w:rsid w:val="00113C73"/>
    <w:rsid w:val="00113D95"/>
    <w:rsid w:val="00115260"/>
    <w:rsid w:val="00115942"/>
    <w:rsid w:val="00115B7D"/>
    <w:rsid w:val="00115EFB"/>
    <w:rsid w:val="00116B06"/>
    <w:rsid w:val="001177CD"/>
    <w:rsid w:val="001200F7"/>
    <w:rsid w:val="0012107D"/>
    <w:rsid w:val="001217F2"/>
    <w:rsid w:val="00122234"/>
    <w:rsid w:val="00122AC3"/>
    <w:rsid w:val="001232B9"/>
    <w:rsid w:val="00123563"/>
    <w:rsid w:val="00126475"/>
    <w:rsid w:val="00126E2F"/>
    <w:rsid w:val="0012740F"/>
    <w:rsid w:val="001300D6"/>
    <w:rsid w:val="0013010D"/>
    <w:rsid w:val="0013065D"/>
    <w:rsid w:val="00130A4A"/>
    <w:rsid w:val="00130BCD"/>
    <w:rsid w:val="001316AE"/>
    <w:rsid w:val="0013221C"/>
    <w:rsid w:val="00132279"/>
    <w:rsid w:val="00132E76"/>
    <w:rsid w:val="00133BD8"/>
    <w:rsid w:val="0013413E"/>
    <w:rsid w:val="001346B7"/>
    <w:rsid w:val="00134EAB"/>
    <w:rsid w:val="0013605E"/>
    <w:rsid w:val="001360B5"/>
    <w:rsid w:val="0013672D"/>
    <w:rsid w:val="001367AA"/>
    <w:rsid w:val="00137999"/>
    <w:rsid w:val="001408ED"/>
    <w:rsid w:val="00140FDB"/>
    <w:rsid w:val="0014124D"/>
    <w:rsid w:val="001413D0"/>
    <w:rsid w:val="001416D0"/>
    <w:rsid w:val="0014187B"/>
    <w:rsid w:val="00141A12"/>
    <w:rsid w:val="00141A84"/>
    <w:rsid w:val="00141E3E"/>
    <w:rsid w:val="001422FA"/>
    <w:rsid w:val="001424AD"/>
    <w:rsid w:val="00142621"/>
    <w:rsid w:val="00142809"/>
    <w:rsid w:val="00142D02"/>
    <w:rsid w:val="00142F1B"/>
    <w:rsid w:val="001433DC"/>
    <w:rsid w:val="0014347B"/>
    <w:rsid w:val="00143DFD"/>
    <w:rsid w:val="00144FE9"/>
    <w:rsid w:val="00145C57"/>
    <w:rsid w:val="0014646C"/>
    <w:rsid w:val="001467DF"/>
    <w:rsid w:val="0014753A"/>
    <w:rsid w:val="001475D7"/>
    <w:rsid w:val="0015004F"/>
    <w:rsid w:val="0015021A"/>
    <w:rsid w:val="00150F0B"/>
    <w:rsid w:val="001517CA"/>
    <w:rsid w:val="001521AD"/>
    <w:rsid w:val="0015245E"/>
    <w:rsid w:val="00152793"/>
    <w:rsid w:val="00152EC0"/>
    <w:rsid w:val="001532E9"/>
    <w:rsid w:val="001543CF"/>
    <w:rsid w:val="00154739"/>
    <w:rsid w:val="001556F4"/>
    <w:rsid w:val="00155BE4"/>
    <w:rsid w:val="00155FF6"/>
    <w:rsid w:val="00156EA5"/>
    <w:rsid w:val="00157925"/>
    <w:rsid w:val="00157A73"/>
    <w:rsid w:val="00157E09"/>
    <w:rsid w:val="00157F02"/>
    <w:rsid w:val="00160F06"/>
    <w:rsid w:val="00161731"/>
    <w:rsid w:val="00161FC1"/>
    <w:rsid w:val="00162115"/>
    <w:rsid w:val="00162436"/>
    <w:rsid w:val="001624E3"/>
    <w:rsid w:val="0016260F"/>
    <w:rsid w:val="00162621"/>
    <w:rsid w:val="0016289A"/>
    <w:rsid w:val="00162C5A"/>
    <w:rsid w:val="00162EF6"/>
    <w:rsid w:val="001638BB"/>
    <w:rsid w:val="001642F7"/>
    <w:rsid w:val="001644BC"/>
    <w:rsid w:val="00164B80"/>
    <w:rsid w:val="00165035"/>
    <w:rsid w:val="00165ED5"/>
    <w:rsid w:val="00165FA2"/>
    <w:rsid w:val="0016644D"/>
    <w:rsid w:val="00166D5D"/>
    <w:rsid w:val="00166F96"/>
    <w:rsid w:val="0016775F"/>
    <w:rsid w:val="00167EA6"/>
    <w:rsid w:val="00171DAE"/>
    <w:rsid w:val="00171FED"/>
    <w:rsid w:val="0017270F"/>
    <w:rsid w:val="0017358B"/>
    <w:rsid w:val="001739C4"/>
    <w:rsid w:val="00173AC6"/>
    <w:rsid w:val="0017522F"/>
    <w:rsid w:val="0017598F"/>
    <w:rsid w:val="001762AE"/>
    <w:rsid w:val="001764BA"/>
    <w:rsid w:val="00177024"/>
    <w:rsid w:val="001804CD"/>
    <w:rsid w:val="001808F0"/>
    <w:rsid w:val="00180D38"/>
    <w:rsid w:val="00181DFC"/>
    <w:rsid w:val="0018366E"/>
    <w:rsid w:val="001838E6"/>
    <w:rsid w:val="00183A73"/>
    <w:rsid w:val="0018552D"/>
    <w:rsid w:val="00186095"/>
    <w:rsid w:val="001861C7"/>
    <w:rsid w:val="001863C4"/>
    <w:rsid w:val="001863E8"/>
    <w:rsid w:val="0018723A"/>
    <w:rsid w:val="001874BF"/>
    <w:rsid w:val="00187569"/>
    <w:rsid w:val="001906FB"/>
    <w:rsid w:val="00191830"/>
    <w:rsid w:val="0019187B"/>
    <w:rsid w:val="00191F81"/>
    <w:rsid w:val="00192758"/>
    <w:rsid w:val="001929A8"/>
    <w:rsid w:val="001932AB"/>
    <w:rsid w:val="00193896"/>
    <w:rsid w:val="00194AF1"/>
    <w:rsid w:val="00194EEE"/>
    <w:rsid w:val="00195145"/>
    <w:rsid w:val="001956C4"/>
    <w:rsid w:val="00196067"/>
    <w:rsid w:val="00196126"/>
    <w:rsid w:val="001977B5"/>
    <w:rsid w:val="001A1028"/>
    <w:rsid w:val="001A11C7"/>
    <w:rsid w:val="001A141D"/>
    <w:rsid w:val="001A1AAE"/>
    <w:rsid w:val="001A1AF1"/>
    <w:rsid w:val="001A256C"/>
    <w:rsid w:val="001A3011"/>
    <w:rsid w:val="001A3AA7"/>
    <w:rsid w:val="001A3CF5"/>
    <w:rsid w:val="001A425B"/>
    <w:rsid w:val="001A458C"/>
    <w:rsid w:val="001A4F28"/>
    <w:rsid w:val="001A56E3"/>
    <w:rsid w:val="001A5CD7"/>
    <w:rsid w:val="001A5D4A"/>
    <w:rsid w:val="001A6205"/>
    <w:rsid w:val="001A6744"/>
    <w:rsid w:val="001A6BDA"/>
    <w:rsid w:val="001B0895"/>
    <w:rsid w:val="001B1126"/>
    <w:rsid w:val="001B15DE"/>
    <w:rsid w:val="001B39A8"/>
    <w:rsid w:val="001B48FC"/>
    <w:rsid w:val="001B5AE3"/>
    <w:rsid w:val="001B6467"/>
    <w:rsid w:val="001B6B14"/>
    <w:rsid w:val="001B7087"/>
    <w:rsid w:val="001B722A"/>
    <w:rsid w:val="001B72D2"/>
    <w:rsid w:val="001B73C0"/>
    <w:rsid w:val="001B7F91"/>
    <w:rsid w:val="001C015E"/>
    <w:rsid w:val="001C06AA"/>
    <w:rsid w:val="001C11E1"/>
    <w:rsid w:val="001C1323"/>
    <w:rsid w:val="001C1776"/>
    <w:rsid w:val="001C1FEE"/>
    <w:rsid w:val="001C2550"/>
    <w:rsid w:val="001C2B6E"/>
    <w:rsid w:val="001C2F9C"/>
    <w:rsid w:val="001C3378"/>
    <w:rsid w:val="001C33F9"/>
    <w:rsid w:val="001C35BA"/>
    <w:rsid w:val="001C3834"/>
    <w:rsid w:val="001C3DBD"/>
    <w:rsid w:val="001C4027"/>
    <w:rsid w:val="001C4137"/>
    <w:rsid w:val="001C4303"/>
    <w:rsid w:val="001C4681"/>
    <w:rsid w:val="001C4797"/>
    <w:rsid w:val="001C4F31"/>
    <w:rsid w:val="001C56D5"/>
    <w:rsid w:val="001C59D9"/>
    <w:rsid w:val="001C6755"/>
    <w:rsid w:val="001C7308"/>
    <w:rsid w:val="001C7E2C"/>
    <w:rsid w:val="001D001A"/>
    <w:rsid w:val="001D02A0"/>
    <w:rsid w:val="001D0EB0"/>
    <w:rsid w:val="001D14D5"/>
    <w:rsid w:val="001D1630"/>
    <w:rsid w:val="001D2559"/>
    <w:rsid w:val="001D26F2"/>
    <w:rsid w:val="001D331B"/>
    <w:rsid w:val="001D366A"/>
    <w:rsid w:val="001D3DBD"/>
    <w:rsid w:val="001D3F5E"/>
    <w:rsid w:val="001D44C1"/>
    <w:rsid w:val="001D47C5"/>
    <w:rsid w:val="001D4C72"/>
    <w:rsid w:val="001D4F8A"/>
    <w:rsid w:val="001D5DB5"/>
    <w:rsid w:val="001D5EC5"/>
    <w:rsid w:val="001D6DBB"/>
    <w:rsid w:val="001D707B"/>
    <w:rsid w:val="001D725D"/>
    <w:rsid w:val="001D773A"/>
    <w:rsid w:val="001D7C74"/>
    <w:rsid w:val="001E0072"/>
    <w:rsid w:val="001E0523"/>
    <w:rsid w:val="001E0F0C"/>
    <w:rsid w:val="001E1300"/>
    <w:rsid w:val="001E1E20"/>
    <w:rsid w:val="001E2135"/>
    <w:rsid w:val="001E2487"/>
    <w:rsid w:val="001E28DD"/>
    <w:rsid w:val="001E32FB"/>
    <w:rsid w:val="001E3DFF"/>
    <w:rsid w:val="001E4025"/>
    <w:rsid w:val="001E5729"/>
    <w:rsid w:val="001E5C53"/>
    <w:rsid w:val="001E5D40"/>
    <w:rsid w:val="001E6EE4"/>
    <w:rsid w:val="001E73D4"/>
    <w:rsid w:val="001E79A5"/>
    <w:rsid w:val="001E7F0F"/>
    <w:rsid w:val="001E7F61"/>
    <w:rsid w:val="001F14B2"/>
    <w:rsid w:val="001F230A"/>
    <w:rsid w:val="001F278E"/>
    <w:rsid w:val="001F29F4"/>
    <w:rsid w:val="001F2AA7"/>
    <w:rsid w:val="001F3257"/>
    <w:rsid w:val="001F3616"/>
    <w:rsid w:val="001F3B45"/>
    <w:rsid w:val="001F4422"/>
    <w:rsid w:val="001F4F0F"/>
    <w:rsid w:val="001F4F78"/>
    <w:rsid w:val="001F5CB1"/>
    <w:rsid w:val="001F6082"/>
    <w:rsid w:val="001F7625"/>
    <w:rsid w:val="00200398"/>
    <w:rsid w:val="00200753"/>
    <w:rsid w:val="00200835"/>
    <w:rsid w:val="00200945"/>
    <w:rsid w:val="00200B1C"/>
    <w:rsid w:val="00201424"/>
    <w:rsid w:val="00201575"/>
    <w:rsid w:val="002018DF"/>
    <w:rsid w:val="002018E0"/>
    <w:rsid w:val="00201EE7"/>
    <w:rsid w:val="00202C1E"/>
    <w:rsid w:val="00204152"/>
    <w:rsid w:val="0020447D"/>
    <w:rsid w:val="00205000"/>
    <w:rsid w:val="00205566"/>
    <w:rsid w:val="00205E84"/>
    <w:rsid w:val="0020619B"/>
    <w:rsid w:val="00206374"/>
    <w:rsid w:val="002068A0"/>
    <w:rsid w:val="00206F4F"/>
    <w:rsid w:val="00207551"/>
    <w:rsid w:val="00207B0A"/>
    <w:rsid w:val="0021072E"/>
    <w:rsid w:val="002114BD"/>
    <w:rsid w:val="002114E2"/>
    <w:rsid w:val="002121E2"/>
    <w:rsid w:val="002137A5"/>
    <w:rsid w:val="002137E7"/>
    <w:rsid w:val="00213B23"/>
    <w:rsid w:val="0021404B"/>
    <w:rsid w:val="00214858"/>
    <w:rsid w:val="00214864"/>
    <w:rsid w:val="00214AD4"/>
    <w:rsid w:val="00214DD2"/>
    <w:rsid w:val="00215C72"/>
    <w:rsid w:val="00215FE1"/>
    <w:rsid w:val="00216860"/>
    <w:rsid w:val="002169E2"/>
    <w:rsid w:val="00216D3F"/>
    <w:rsid w:val="002172BF"/>
    <w:rsid w:val="00217984"/>
    <w:rsid w:val="00220A87"/>
    <w:rsid w:val="00220F57"/>
    <w:rsid w:val="00221263"/>
    <w:rsid w:val="00221605"/>
    <w:rsid w:val="00221645"/>
    <w:rsid w:val="00221708"/>
    <w:rsid w:val="00221EFD"/>
    <w:rsid w:val="0022253A"/>
    <w:rsid w:val="002228D0"/>
    <w:rsid w:val="00222A90"/>
    <w:rsid w:val="00222C27"/>
    <w:rsid w:val="00222C88"/>
    <w:rsid w:val="00222E37"/>
    <w:rsid w:val="002240FB"/>
    <w:rsid w:val="00224BA9"/>
    <w:rsid w:val="002253B5"/>
    <w:rsid w:val="00225A71"/>
    <w:rsid w:val="0022625C"/>
    <w:rsid w:val="002272EC"/>
    <w:rsid w:val="00227705"/>
    <w:rsid w:val="00227750"/>
    <w:rsid w:val="00227F52"/>
    <w:rsid w:val="0023058C"/>
    <w:rsid w:val="0023080C"/>
    <w:rsid w:val="0023105A"/>
    <w:rsid w:val="0023158B"/>
    <w:rsid w:val="00231747"/>
    <w:rsid w:val="00231EDB"/>
    <w:rsid w:val="002324A1"/>
    <w:rsid w:val="00232874"/>
    <w:rsid w:val="00232E84"/>
    <w:rsid w:val="00233A5A"/>
    <w:rsid w:val="0023419A"/>
    <w:rsid w:val="002341F0"/>
    <w:rsid w:val="002342C1"/>
    <w:rsid w:val="002342D1"/>
    <w:rsid w:val="002348CE"/>
    <w:rsid w:val="002352AD"/>
    <w:rsid w:val="002356B8"/>
    <w:rsid w:val="0023597E"/>
    <w:rsid w:val="00236337"/>
    <w:rsid w:val="00237059"/>
    <w:rsid w:val="002374AA"/>
    <w:rsid w:val="00237696"/>
    <w:rsid w:val="002379D2"/>
    <w:rsid w:val="00237B8A"/>
    <w:rsid w:val="00240813"/>
    <w:rsid w:val="00241841"/>
    <w:rsid w:val="00241CE6"/>
    <w:rsid w:val="00241E4E"/>
    <w:rsid w:val="002420F9"/>
    <w:rsid w:val="00242917"/>
    <w:rsid w:val="00242F5F"/>
    <w:rsid w:val="002432D6"/>
    <w:rsid w:val="00243641"/>
    <w:rsid w:val="0024397A"/>
    <w:rsid w:val="002439C5"/>
    <w:rsid w:val="00243F9D"/>
    <w:rsid w:val="0024405C"/>
    <w:rsid w:val="0024414B"/>
    <w:rsid w:val="002451E9"/>
    <w:rsid w:val="00245277"/>
    <w:rsid w:val="00245A83"/>
    <w:rsid w:val="0024706A"/>
    <w:rsid w:val="0024780E"/>
    <w:rsid w:val="00247B59"/>
    <w:rsid w:val="002503E0"/>
    <w:rsid w:val="002505A3"/>
    <w:rsid w:val="00250D49"/>
    <w:rsid w:val="00251CA4"/>
    <w:rsid w:val="00251DD3"/>
    <w:rsid w:val="00251F2A"/>
    <w:rsid w:val="00252C54"/>
    <w:rsid w:val="00253749"/>
    <w:rsid w:val="0025407C"/>
    <w:rsid w:val="00254ECA"/>
    <w:rsid w:val="00254EF4"/>
    <w:rsid w:val="00254FA5"/>
    <w:rsid w:val="00255712"/>
    <w:rsid w:val="00256466"/>
    <w:rsid w:val="00256614"/>
    <w:rsid w:val="0025677F"/>
    <w:rsid w:val="0025704E"/>
    <w:rsid w:val="0025733A"/>
    <w:rsid w:val="002575D5"/>
    <w:rsid w:val="00257B58"/>
    <w:rsid w:val="00257CAB"/>
    <w:rsid w:val="00260165"/>
    <w:rsid w:val="002602A1"/>
    <w:rsid w:val="00260BBB"/>
    <w:rsid w:val="002610DB"/>
    <w:rsid w:val="00261F87"/>
    <w:rsid w:val="002650E4"/>
    <w:rsid w:val="00265B75"/>
    <w:rsid w:val="002661C0"/>
    <w:rsid w:val="00266715"/>
    <w:rsid w:val="00266777"/>
    <w:rsid w:val="00266E50"/>
    <w:rsid w:val="002671E3"/>
    <w:rsid w:val="00267225"/>
    <w:rsid w:val="00267228"/>
    <w:rsid w:val="00270985"/>
    <w:rsid w:val="002719EE"/>
    <w:rsid w:val="00271ADB"/>
    <w:rsid w:val="00272EF5"/>
    <w:rsid w:val="00272F2E"/>
    <w:rsid w:val="00272F78"/>
    <w:rsid w:val="0027347C"/>
    <w:rsid w:val="002745CA"/>
    <w:rsid w:val="00274E60"/>
    <w:rsid w:val="002758EB"/>
    <w:rsid w:val="00275FC0"/>
    <w:rsid w:val="002760A3"/>
    <w:rsid w:val="002778E9"/>
    <w:rsid w:val="00277EF9"/>
    <w:rsid w:val="002804EE"/>
    <w:rsid w:val="002805D2"/>
    <w:rsid w:val="002815E4"/>
    <w:rsid w:val="0028209F"/>
    <w:rsid w:val="00282E01"/>
    <w:rsid w:val="0028312D"/>
    <w:rsid w:val="00283709"/>
    <w:rsid w:val="00283994"/>
    <w:rsid w:val="00283A7F"/>
    <w:rsid w:val="00283D4E"/>
    <w:rsid w:val="00284DFF"/>
    <w:rsid w:val="00285796"/>
    <w:rsid w:val="002857F6"/>
    <w:rsid w:val="00285B37"/>
    <w:rsid w:val="0028636C"/>
    <w:rsid w:val="0028673D"/>
    <w:rsid w:val="00286889"/>
    <w:rsid w:val="00286CCA"/>
    <w:rsid w:val="00286DDE"/>
    <w:rsid w:val="0028707D"/>
    <w:rsid w:val="00287452"/>
    <w:rsid w:val="002878C0"/>
    <w:rsid w:val="0029056D"/>
    <w:rsid w:val="00290C51"/>
    <w:rsid w:val="002910CC"/>
    <w:rsid w:val="002919EF"/>
    <w:rsid w:val="00291E9A"/>
    <w:rsid w:val="00292429"/>
    <w:rsid w:val="00292480"/>
    <w:rsid w:val="002929FA"/>
    <w:rsid w:val="00292D6D"/>
    <w:rsid w:val="0029400F"/>
    <w:rsid w:val="0029450F"/>
    <w:rsid w:val="00294721"/>
    <w:rsid w:val="00294EEA"/>
    <w:rsid w:val="00295BD1"/>
    <w:rsid w:val="002966DC"/>
    <w:rsid w:val="00296ED6"/>
    <w:rsid w:val="00297EFC"/>
    <w:rsid w:val="00297F6E"/>
    <w:rsid w:val="002A0DA5"/>
    <w:rsid w:val="002A124D"/>
    <w:rsid w:val="002A1301"/>
    <w:rsid w:val="002A1B9D"/>
    <w:rsid w:val="002A1FD0"/>
    <w:rsid w:val="002A20E3"/>
    <w:rsid w:val="002A2124"/>
    <w:rsid w:val="002A281E"/>
    <w:rsid w:val="002A3268"/>
    <w:rsid w:val="002A3307"/>
    <w:rsid w:val="002A330B"/>
    <w:rsid w:val="002A3B8D"/>
    <w:rsid w:val="002A4067"/>
    <w:rsid w:val="002A472F"/>
    <w:rsid w:val="002A4F0D"/>
    <w:rsid w:val="002A529F"/>
    <w:rsid w:val="002A79BA"/>
    <w:rsid w:val="002B1474"/>
    <w:rsid w:val="002B1580"/>
    <w:rsid w:val="002B1E73"/>
    <w:rsid w:val="002B1F5D"/>
    <w:rsid w:val="002B3026"/>
    <w:rsid w:val="002B32A9"/>
    <w:rsid w:val="002B398F"/>
    <w:rsid w:val="002B44CC"/>
    <w:rsid w:val="002B45DD"/>
    <w:rsid w:val="002B4F0F"/>
    <w:rsid w:val="002B5912"/>
    <w:rsid w:val="002B6012"/>
    <w:rsid w:val="002B6AA2"/>
    <w:rsid w:val="002B7639"/>
    <w:rsid w:val="002C0754"/>
    <w:rsid w:val="002C08BF"/>
    <w:rsid w:val="002C0BD5"/>
    <w:rsid w:val="002C0E21"/>
    <w:rsid w:val="002C136D"/>
    <w:rsid w:val="002C1634"/>
    <w:rsid w:val="002C185D"/>
    <w:rsid w:val="002C1D5B"/>
    <w:rsid w:val="002C2648"/>
    <w:rsid w:val="002C38AC"/>
    <w:rsid w:val="002C38DC"/>
    <w:rsid w:val="002C3D1D"/>
    <w:rsid w:val="002C3FE8"/>
    <w:rsid w:val="002C4105"/>
    <w:rsid w:val="002C4CFF"/>
    <w:rsid w:val="002C4FB7"/>
    <w:rsid w:val="002C51C6"/>
    <w:rsid w:val="002C51F7"/>
    <w:rsid w:val="002C66E7"/>
    <w:rsid w:val="002C728B"/>
    <w:rsid w:val="002D10F9"/>
    <w:rsid w:val="002D14C1"/>
    <w:rsid w:val="002D1CF5"/>
    <w:rsid w:val="002D2B81"/>
    <w:rsid w:val="002D2E5B"/>
    <w:rsid w:val="002D3265"/>
    <w:rsid w:val="002D32AC"/>
    <w:rsid w:val="002D4189"/>
    <w:rsid w:val="002D4803"/>
    <w:rsid w:val="002D5194"/>
    <w:rsid w:val="002D52D6"/>
    <w:rsid w:val="002D558A"/>
    <w:rsid w:val="002D62DA"/>
    <w:rsid w:val="002D6301"/>
    <w:rsid w:val="002D6465"/>
    <w:rsid w:val="002D65D5"/>
    <w:rsid w:val="002D6C47"/>
    <w:rsid w:val="002D6C74"/>
    <w:rsid w:val="002D712F"/>
    <w:rsid w:val="002D748A"/>
    <w:rsid w:val="002D7B1A"/>
    <w:rsid w:val="002E0518"/>
    <w:rsid w:val="002E1DD2"/>
    <w:rsid w:val="002E35EC"/>
    <w:rsid w:val="002E39FE"/>
    <w:rsid w:val="002E4F56"/>
    <w:rsid w:val="002E4FEE"/>
    <w:rsid w:val="002E53A6"/>
    <w:rsid w:val="002E5EAB"/>
    <w:rsid w:val="002E6156"/>
    <w:rsid w:val="002E636B"/>
    <w:rsid w:val="002E672C"/>
    <w:rsid w:val="002E6B9E"/>
    <w:rsid w:val="002E757E"/>
    <w:rsid w:val="002E76D7"/>
    <w:rsid w:val="002E78D0"/>
    <w:rsid w:val="002E7CD2"/>
    <w:rsid w:val="002E7E0C"/>
    <w:rsid w:val="002F056A"/>
    <w:rsid w:val="002F0A02"/>
    <w:rsid w:val="002F0A3C"/>
    <w:rsid w:val="002F16F0"/>
    <w:rsid w:val="002F1927"/>
    <w:rsid w:val="002F1E61"/>
    <w:rsid w:val="002F236A"/>
    <w:rsid w:val="002F23A1"/>
    <w:rsid w:val="002F2C3E"/>
    <w:rsid w:val="002F33B9"/>
    <w:rsid w:val="002F37C7"/>
    <w:rsid w:val="002F3BFC"/>
    <w:rsid w:val="002F3F7E"/>
    <w:rsid w:val="002F6897"/>
    <w:rsid w:val="002F68B6"/>
    <w:rsid w:val="002F6926"/>
    <w:rsid w:val="002F793C"/>
    <w:rsid w:val="002F7978"/>
    <w:rsid w:val="00300543"/>
    <w:rsid w:val="00300622"/>
    <w:rsid w:val="00300CC1"/>
    <w:rsid w:val="00300CF0"/>
    <w:rsid w:val="00300EFF"/>
    <w:rsid w:val="0030115E"/>
    <w:rsid w:val="0030130F"/>
    <w:rsid w:val="00301478"/>
    <w:rsid w:val="00301E79"/>
    <w:rsid w:val="00303508"/>
    <w:rsid w:val="003039D3"/>
    <w:rsid w:val="003048C0"/>
    <w:rsid w:val="00304A91"/>
    <w:rsid w:val="003051F6"/>
    <w:rsid w:val="003068A3"/>
    <w:rsid w:val="00307844"/>
    <w:rsid w:val="00310529"/>
    <w:rsid w:val="00310E2B"/>
    <w:rsid w:val="00311194"/>
    <w:rsid w:val="00311DFE"/>
    <w:rsid w:val="0031295E"/>
    <w:rsid w:val="00312BD1"/>
    <w:rsid w:val="00312D9D"/>
    <w:rsid w:val="00312E02"/>
    <w:rsid w:val="003142AD"/>
    <w:rsid w:val="003145D2"/>
    <w:rsid w:val="0031491A"/>
    <w:rsid w:val="00315188"/>
    <w:rsid w:val="00315CBC"/>
    <w:rsid w:val="003164C0"/>
    <w:rsid w:val="00317144"/>
    <w:rsid w:val="0031757E"/>
    <w:rsid w:val="00317D45"/>
    <w:rsid w:val="00317D5A"/>
    <w:rsid w:val="003207F4"/>
    <w:rsid w:val="00321174"/>
    <w:rsid w:val="003218BB"/>
    <w:rsid w:val="00321EF0"/>
    <w:rsid w:val="00322F16"/>
    <w:rsid w:val="00323316"/>
    <w:rsid w:val="0032344A"/>
    <w:rsid w:val="003234CA"/>
    <w:rsid w:val="00323827"/>
    <w:rsid w:val="00323991"/>
    <w:rsid w:val="003241B6"/>
    <w:rsid w:val="003250E5"/>
    <w:rsid w:val="00325244"/>
    <w:rsid w:val="00325502"/>
    <w:rsid w:val="003258A2"/>
    <w:rsid w:val="00325A08"/>
    <w:rsid w:val="00325F9C"/>
    <w:rsid w:val="00326216"/>
    <w:rsid w:val="00326D38"/>
    <w:rsid w:val="0033016D"/>
    <w:rsid w:val="0033095F"/>
    <w:rsid w:val="00330D66"/>
    <w:rsid w:val="00330DAB"/>
    <w:rsid w:val="003311B1"/>
    <w:rsid w:val="00331306"/>
    <w:rsid w:val="00331380"/>
    <w:rsid w:val="00331481"/>
    <w:rsid w:val="00331A34"/>
    <w:rsid w:val="00332BCB"/>
    <w:rsid w:val="00332E8F"/>
    <w:rsid w:val="0033344F"/>
    <w:rsid w:val="00333B27"/>
    <w:rsid w:val="003343C6"/>
    <w:rsid w:val="0033489D"/>
    <w:rsid w:val="00334F81"/>
    <w:rsid w:val="003355B7"/>
    <w:rsid w:val="003357B3"/>
    <w:rsid w:val="00335915"/>
    <w:rsid w:val="00335D56"/>
    <w:rsid w:val="003364DF"/>
    <w:rsid w:val="00336FEA"/>
    <w:rsid w:val="00337393"/>
    <w:rsid w:val="00337751"/>
    <w:rsid w:val="00337B7E"/>
    <w:rsid w:val="00337D2D"/>
    <w:rsid w:val="0034041A"/>
    <w:rsid w:val="00340A36"/>
    <w:rsid w:val="00341C92"/>
    <w:rsid w:val="00341F2F"/>
    <w:rsid w:val="00342086"/>
    <w:rsid w:val="00342106"/>
    <w:rsid w:val="003424A2"/>
    <w:rsid w:val="00342647"/>
    <w:rsid w:val="00343496"/>
    <w:rsid w:val="0034367C"/>
    <w:rsid w:val="00344230"/>
    <w:rsid w:val="00344A7A"/>
    <w:rsid w:val="00345024"/>
    <w:rsid w:val="0034551A"/>
    <w:rsid w:val="003459BE"/>
    <w:rsid w:val="00345C0C"/>
    <w:rsid w:val="00346455"/>
    <w:rsid w:val="003470CA"/>
    <w:rsid w:val="00347933"/>
    <w:rsid w:val="003503DF"/>
    <w:rsid w:val="00351284"/>
    <w:rsid w:val="003516FD"/>
    <w:rsid w:val="00351E6B"/>
    <w:rsid w:val="0035214E"/>
    <w:rsid w:val="00352222"/>
    <w:rsid w:val="003526DB"/>
    <w:rsid w:val="003531F1"/>
    <w:rsid w:val="00353299"/>
    <w:rsid w:val="00353877"/>
    <w:rsid w:val="00353F67"/>
    <w:rsid w:val="00354363"/>
    <w:rsid w:val="00354941"/>
    <w:rsid w:val="003551E3"/>
    <w:rsid w:val="00355A59"/>
    <w:rsid w:val="00355FF3"/>
    <w:rsid w:val="00356078"/>
    <w:rsid w:val="003563FB"/>
    <w:rsid w:val="00356720"/>
    <w:rsid w:val="00356D58"/>
    <w:rsid w:val="00356E99"/>
    <w:rsid w:val="00356F05"/>
    <w:rsid w:val="00356F3D"/>
    <w:rsid w:val="00357347"/>
    <w:rsid w:val="003575C7"/>
    <w:rsid w:val="003603B7"/>
    <w:rsid w:val="0036117B"/>
    <w:rsid w:val="003611DC"/>
    <w:rsid w:val="00361772"/>
    <w:rsid w:val="0036185E"/>
    <w:rsid w:val="00361B62"/>
    <w:rsid w:val="0036248D"/>
    <w:rsid w:val="00362B6F"/>
    <w:rsid w:val="00362CF0"/>
    <w:rsid w:val="00362D79"/>
    <w:rsid w:val="0036333C"/>
    <w:rsid w:val="00365D5B"/>
    <w:rsid w:val="003664DB"/>
    <w:rsid w:val="00366A4D"/>
    <w:rsid w:val="00367D0F"/>
    <w:rsid w:val="00370145"/>
    <w:rsid w:val="00370E5B"/>
    <w:rsid w:val="003712FF"/>
    <w:rsid w:val="003721B8"/>
    <w:rsid w:val="00372CCF"/>
    <w:rsid w:val="00372E2B"/>
    <w:rsid w:val="00373BF8"/>
    <w:rsid w:val="00374684"/>
    <w:rsid w:val="003747FE"/>
    <w:rsid w:val="0037493E"/>
    <w:rsid w:val="00374A61"/>
    <w:rsid w:val="00374C4E"/>
    <w:rsid w:val="00375053"/>
    <w:rsid w:val="00375DF0"/>
    <w:rsid w:val="0037620D"/>
    <w:rsid w:val="003763AE"/>
    <w:rsid w:val="00376C08"/>
    <w:rsid w:val="003801B3"/>
    <w:rsid w:val="003803FC"/>
    <w:rsid w:val="00381087"/>
    <w:rsid w:val="003817A0"/>
    <w:rsid w:val="003820B7"/>
    <w:rsid w:val="003821C0"/>
    <w:rsid w:val="00382440"/>
    <w:rsid w:val="003828A5"/>
    <w:rsid w:val="00382BCB"/>
    <w:rsid w:val="00383D3E"/>
    <w:rsid w:val="00383E95"/>
    <w:rsid w:val="003856AB"/>
    <w:rsid w:val="0038604D"/>
    <w:rsid w:val="00386328"/>
    <w:rsid w:val="003868E6"/>
    <w:rsid w:val="00390A85"/>
    <w:rsid w:val="003919DB"/>
    <w:rsid w:val="00391BA4"/>
    <w:rsid w:val="00391CC6"/>
    <w:rsid w:val="003922BC"/>
    <w:rsid w:val="00392489"/>
    <w:rsid w:val="003927E2"/>
    <w:rsid w:val="00392A95"/>
    <w:rsid w:val="00392F6F"/>
    <w:rsid w:val="00393F5B"/>
    <w:rsid w:val="00395108"/>
    <w:rsid w:val="003959F9"/>
    <w:rsid w:val="00395D93"/>
    <w:rsid w:val="00396995"/>
    <w:rsid w:val="00396D88"/>
    <w:rsid w:val="00396EA7"/>
    <w:rsid w:val="003971B9"/>
    <w:rsid w:val="003971F3"/>
    <w:rsid w:val="00397690"/>
    <w:rsid w:val="00397B70"/>
    <w:rsid w:val="003A0184"/>
    <w:rsid w:val="003A05D0"/>
    <w:rsid w:val="003A064E"/>
    <w:rsid w:val="003A0667"/>
    <w:rsid w:val="003A06BD"/>
    <w:rsid w:val="003A086D"/>
    <w:rsid w:val="003A1A4D"/>
    <w:rsid w:val="003A1C6B"/>
    <w:rsid w:val="003A2731"/>
    <w:rsid w:val="003A2EEC"/>
    <w:rsid w:val="003A3775"/>
    <w:rsid w:val="003A3FAC"/>
    <w:rsid w:val="003A4261"/>
    <w:rsid w:val="003A4413"/>
    <w:rsid w:val="003A4609"/>
    <w:rsid w:val="003A488F"/>
    <w:rsid w:val="003A4A0A"/>
    <w:rsid w:val="003A4B9B"/>
    <w:rsid w:val="003A4EB3"/>
    <w:rsid w:val="003A6911"/>
    <w:rsid w:val="003A72DD"/>
    <w:rsid w:val="003A79D0"/>
    <w:rsid w:val="003B00C6"/>
    <w:rsid w:val="003B0271"/>
    <w:rsid w:val="003B0788"/>
    <w:rsid w:val="003B1512"/>
    <w:rsid w:val="003B199C"/>
    <w:rsid w:val="003B1D81"/>
    <w:rsid w:val="003B1E9A"/>
    <w:rsid w:val="003B2939"/>
    <w:rsid w:val="003B39E8"/>
    <w:rsid w:val="003B3BCB"/>
    <w:rsid w:val="003B413C"/>
    <w:rsid w:val="003B44C0"/>
    <w:rsid w:val="003B4759"/>
    <w:rsid w:val="003B4C05"/>
    <w:rsid w:val="003B4CF2"/>
    <w:rsid w:val="003B4D4C"/>
    <w:rsid w:val="003B568B"/>
    <w:rsid w:val="003B5EA3"/>
    <w:rsid w:val="003B5F5E"/>
    <w:rsid w:val="003B6F0F"/>
    <w:rsid w:val="003B7ADF"/>
    <w:rsid w:val="003C0083"/>
    <w:rsid w:val="003C0525"/>
    <w:rsid w:val="003C0A6A"/>
    <w:rsid w:val="003C0B66"/>
    <w:rsid w:val="003C0D9E"/>
    <w:rsid w:val="003C0DE3"/>
    <w:rsid w:val="003C193B"/>
    <w:rsid w:val="003C1D42"/>
    <w:rsid w:val="003C2171"/>
    <w:rsid w:val="003C23BC"/>
    <w:rsid w:val="003C25C3"/>
    <w:rsid w:val="003C2AFE"/>
    <w:rsid w:val="003C3624"/>
    <w:rsid w:val="003C3EE9"/>
    <w:rsid w:val="003C3F1C"/>
    <w:rsid w:val="003C3FD2"/>
    <w:rsid w:val="003C4FB5"/>
    <w:rsid w:val="003C520E"/>
    <w:rsid w:val="003C5A8D"/>
    <w:rsid w:val="003C6333"/>
    <w:rsid w:val="003C6E7D"/>
    <w:rsid w:val="003C7108"/>
    <w:rsid w:val="003D085F"/>
    <w:rsid w:val="003D0D3F"/>
    <w:rsid w:val="003D115F"/>
    <w:rsid w:val="003D12C5"/>
    <w:rsid w:val="003D18D1"/>
    <w:rsid w:val="003D1CA6"/>
    <w:rsid w:val="003D28F8"/>
    <w:rsid w:val="003D3335"/>
    <w:rsid w:val="003D35AF"/>
    <w:rsid w:val="003D3772"/>
    <w:rsid w:val="003D39A7"/>
    <w:rsid w:val="003D3F20"/>
    <w:rsid w:val="003D4459"/>
    <w:rsid w:val="003D454B"/>
    <w:rsid w:val="003D472A"/>
    <w:rsid w:val="003D4903"/>
    <w:rsid w:val="003D4C76"/>
    <w:rsid w:val="003D5435"/>
    <w:rsid w:val="003D6139"/>
    <w:rsid w:val="003D6A82"/>
    <w:rsid w:val="003D72F4"/>
    <w:rsid w:val="003D7714"/>
    <w:rsid w:val="003D7A96"/>
    <w:rsid w:val="003D7AC4"/>
    <w:rsid w:val="003E0052"/>
    <w:rsid w:val="003E0509"/>
    <w:rsid w:val="003E08C1"/>
    <w:rsid w:val="003E0C96"/>
    <w:rsid w:val="003E0F79"/>
    <w:rsid w:val="003E16E9"/>
    <w:rsid w:val="003E1C83"/>
    <w:rsid w:val="003E21B4"/>
    <w:rsid w:val="003E21C0"/>
    <w:rsid w:val="003E24BA"/>
    <w:rsid w:val="003E25DE"/>
    <w:rsid w:val="003E29D5"/>
    <w:rsid w:val="003E400C"/>
    <w:rsid w:val="003E4078"/>
    <w:rsid w:val="003E45EC"/>
    <w:rsid w:val="003E5517"/>
    <w:rsid w:val="003E5F28"/>
    <w:rsid w:val="003E610A"/>
    <w:rsid w:val="003E63A4"/>
    <w:rsid w:val="003E65DE"/>
    <w:rsid w:val="003E66E8"/>
    <w:rsid w:val="003E6C87"/>
    <w:rsid w:val="003E6EA6"/>
    <w:rsid w:val="003E754D"/>
    <w:rsid w:val="003E75CA"/>
    <w:rsid w:val="003E787D"/>
    <w:rsid w:val="003E78E7"/>
    <w:rsid w:val="003E7B9D"/>
    <w:rsid w:val="003F0515"/>
    <w:rsid w:val="003F136A"/>
    <w:rsid w:val="003F2DFF"/>
    <w:rsid w:val="003F30BC"/>
    <w:rsid w:val="003F3978"/>
    <w:rsid w:val="003F3D36"/>
    <w:rsid w:val="003F452F"/>
    <w:rsid w:val="003F4677"/>
    <w:rsid w:val="003F4B2B"/>
    <w:rsid w:val="003F4FD8"/>
    <w:rsid w:val="003F5156"/>
    <w:rsid w:val="003F57D5"/>
    <w:rsid w:val="003F5922"/>
    <w:rsid w:val="003F5AE9"/>
    <w:rsid w:val="003F5B80"/>
    <w:rsid w:val="003F5CA9"/>
    <w:rsid w:val="003F6040"/>
    <w:rsid w:val="003F6350"/>
    <w:rsid w:val="003F6503"/>
    <w:rsid w:val="003F6673"/>
    <w:rsid w:val="003F6C59"/>
    <w:rsid w:val="003F6CFF"/>
    <w:rsid w:val="003F6D7C"/>
    <w:rsid w:val="003F75CB"/>
    <w:rsid w:val="003F7BDA"/>
    <w:rsid w:val="0040017F"/>
    <w:rsid w:val="00400B28"/>
    <w:rsid w:val="00400E20"/>
    <w:rsid w:val="00401621"/>
    <w:rsid w:val="00401998"/>
    <w:rsid w:val="00401A61"/>
    <w:rsid w:val="00401BA8"/>
    <w:rsid w:val="00401E3B"/>
    <w:rsid w:val="00402B5F"/>
    <w:rsid w:val="004033DB"/>
    <w:rsid w:val="00403485"/>
    <w:rsid w:val="004038B3"/>
    <w:rsid w:val="00403FE6"/>
    <w:rsid w:val="00404394"/>
    <w:rsid w:val="00404676"/>
    <w:rsid w:val="0040565D"/>
    <w:rsid w:val="00405790"/>
    <w:rsid w:val="00405F8D"/>
    <w:rsid w:val="0040612A"/>
    <w:rsid w:val="00406398"/>
    <w:rsid w:val="0040689A"/>
    <w:rsid w:val="00406EED"/>
    <w:rsid w:val="00410365"/>
    <w:rsid w:val="004117D3"/>
    <w:rsid w:val="0041183B"/>
    <w:rsid w:val="00411FF4"/>
    <w:rsid w:val="004126CF"/>
    <w:rsid w:val="00413013"/>
    <w:rsid w:val="004139BE"/>
    <w:rsid w:val="00413C46"/>
    <w:rsid w:val="00413E41"/>
    <w:rsid w:val="00414881"/>
    <w:rsid w:val="00414C09"/>
    <w:rsid w:val="0041554D"/>
    <w:rsid w:val="0041570C"/>
    <w:rsid w:val="00416CEC"/>
    <w:rsid w:val="00416E4A"/>
    <w:rsid w:val="004173B6"/>
    <w:rsid w:val="0041740E"/>
    <w:rsid w:val="00417633"/>
    <w:rsid w:val="004210FC"/>
    <w:rsid w:val="004216B9"/>
    <w:rsid w:val="00421ACA"/>
    <w:rsid w:val="00421BDE"/>
    <w:rsid w:val="00421CE1"/>
    <w:rsid w:val="00421CEB"/>
    <w:rsid w:val="00421F19"/>
    <w:rsid w:val="004220C4"/>
    <w:rsid w:val="00422243"/>
    <w:rsid w:val="00423A62"/>
    <w:rsid w:val="00423D00"/>
    <w:rsid w:val="00423D28"/>
    <w:rsid w:val="0042662C"/>
    <w:rsid w:val="0042702C"/>
    <w:rsid w:val="00427721"/>
    <w:rsid w:val="004277D9"/>
    <w:rsid w:val="00427FCE"/>
    <w:rsid w:val="00430F5B"/>
    <w:rsid w:val="0043133C"/>
    <w:rsid w:val="004339EB"/>
    <w:rsid w:val="00433F0C"/>
    <w:rsid w:val="004358CC"/>
    <w:rsid w:val="00435B04"/>
    <w:rsid w:val="004362CD"/>
    <w:rsid w:val="004379A9"/>
    <w:rsid w:val="00437AE5"/>
    <w:rsid w:val="00440668"/>
    <w:rsid w:val="00440A4B"/>
    <w:rsid w:val="00440AA8"/>
    <w:rsid w:val="0044125A"/>
    <w:rsid w:val="004414F0"/>
    <w:rsid w:val="00441591"/>
    <w:rsid w:val="00441592"/>
    <w:rsid w:val="00441F3C"/>
    <w:rsid w:val="004422BB"/>
    <w:rsid w:val="00442862"/>
    <w:rsid w:val="00442B90"/>
    <w:rsid w:val="0044313E"/>
    <w:rsid w:val="00443CEF"/>
    <w:rsid w:val="00443D74"/>
    <w:rsid w:val="00444CF9"/>
    <w:rsid w:val="00445E51"/>
    <w:rsid w:val="00446774"/>
    <w:rsid w:val="00446812"/>
    <w:rsid w:val="004469CB"/>
    <w:rsid w:val="00446A9B"/>
    <w:rsid w:val="00446BD9"/>
    <w:rsid w:val="00446F4D"/>
    <w:rsid w:val="004472F0"/>
    <w:rsid w:val="004473A5"/>
    <w:rsid w:val="00447DF3"/>
    <w:rsid w:val="00451159"/>
    <w:rsid w:val="0045134C"/>
    <w:rsid w:val="00451586"/>
    <w:rsid w:val="004517B8"/>
    <w:rsid w:val="004518CE"/>
    <w:rsid w:val="004524B7"/>
    <w:rsid w:val="00452B51"/>
    <w:rsid w:val="00453948"/>
    <w:rsid w:val="0045398E"/>
    <w:rsid w:val="00453E0F"/>
    <w:rsid w:val="004541C6"/>
    <w:rsid w:val="004542C6"/>
    <w:rsid w:val="004546F2"/>
    <w:rsid w:val="00457FAB"/>
    <w:rsid w:val="0046087D"/>
    <w:rsid w:val="004608ED"/>
    <w:rsid w:val="00460E63"/>
    <w:rsid w:val="00460F8F"/>
    <w:rsid w:val="00460F94"/>
    <w:rsid w:val="00461527"/>
    <w:rsid w:val="00461959"/>
    <w:rsid w:val="0046222B"/>
    <w:rsid w:val="0046225A"/>
    <w:rsid w:val="00462A6B"/>
    <w:rsid w:val="00463118"/>
    <w:rsid w:val="00463173"/>
    <w:rsid w:val="00463455"/>
    <w:rsid w:val="00463512"/>
    <w:rsid w:val="00463FD0"/>
    <w:rsid w:val="00464037"/>
    <w:rsid w:val="0046458D"/>
    <w:rsid w:val="004645FD"/>
    <w:rsid w:val="00464677"/>
    <w:rsid w:val="00464D33"/>
    <w:rsid w:val="004668FF"/>
    <w:rsid w:val="00467336"/>
    <w:rsid w:val="004676E0"/>
    <w:rsid w:val="00467A67"/>
    <w:rsid w:val="00470021"/>
    <w:rsid w:val="00470398"/>
    <w:rsid w:val="00470B2A"/>
    <w:rsid w:val="00470F20"/>
    <w:rsid w:val="00471352"/>
    <w:rsid w:val="00471793"/>
    <w:rsid w:val="00472954"/>
    <w:rsid w:val="004737BD"/>
    <w:rsid w:val="00473A2D"/>
    <w:rsid w:val="00474136"/>
    <w:rsid w:val="0047428E"/>
    <w:rsid w:val="004750AF"/>
    <w:rsid w:val="004757AA"/>
    <w:rsid w:val="0047607E"/>
    <w:rsid w:val="004762C2"/>
    <w:rsid w:val="00476479"/>
    <w:rsid w:val="00476493"/>
    <w:rsid w:val="00477090"/>
    <w:rsid w:val="004774DB"/>
    <w:rsid w:val="00477E6C"/>
    <w:rsid w:val="0048098F"/>
    <w:rsid w:val="004816AB"/>
    <w:rsid w:val="00481BEF"/>
    <w:rsid w:val="00482233"/>
    <w:rsid w:val="0048300B"/>
    <w:rsid w:val="00483849"/>
    <w:rsid w:val="004841F6"/>
    <w:rsid w:val="004842CA"/>
    <w:rsid w:val="00484619"/>
    <w:rsid w:val="00484674"/>
    <w:rsid w:val="00484F30"/>
    <w:rsid w:val="00485184"/>
    <w:rsid w:val="00485304"/>
    <w:rsid w:val="00485999"/>
    <w:rsid w:val="004859B5"/>
    <w:rsid w:val="00485CF7"/>
    <w:rsid w:val="00485DFE"/>
    <w:rsid w:val="004863AD"/>
    <w:rsid w:val="00486421"/>
    <w:rsid w:val="004879E7"/>
    <w:rsid w:val="0048ADA8"/>
    <w:rsid w:val="00490F41"/>
    <w:rsid w:val="00490FC7"/>
    <w:rsid w:val="00491097"/>
    <w:rsid w:val="004912E0"/>
    <w:rsid w:val="0049130E"/>
    <w:rsid w:val="004919EB"/>
    <w:rsid w:val="00491D0D"/>
    <w:rsid w:val="004921AE"/>
    <w:rsid w:val="00492576"/>
    <w:rsid w:val="004933ED"/>
    <w:rsid w:val="004936D8"/>
    <w:rsid w:val="00494225"/>
    <w:rsid w:val="00494250"/>
    <w:rsid w:val="00494C6C"/>
    <w:rsid w:val="00495B3E"/>
    <w:rsid w:val="00495E90"/>
    <w:rsid w:val="0049605F"/>
    <w:rsid w:val="004969F6"/>
    <w:rsid w:val="00496BBA"/>
    <w:rsid w:val="00496D2F"/>
    <w:rsid w:val="004A053E"/>
    <w:rsid w:val="004A06AE"/>
    <w:rsid w:val="004A082F"/>
    <w:rsid w:val="004A0919"/>
    <w:rsid w:val="004A0C64"/>
    <w:rsid w:val="004A0CA3"/>
    <w:rsid w:val="004A24E6"/>
    <w:rsid w:val="004A283A"/>
    <w:rsid w:val="004A3055"/>
    <w:rsid w:val="004A3483"/>
    <w:rsid w:val="004A3A2B"/>
    <w:rsid w:val="004A3A5A"/>
    <w:rsid w:val="004A4471"/>
    <w:rsid w:val="004A4DFD"/>
    <w:rsid w:val="004A4E94"/>
    <w:rsid w:val="004A539F"/>
    <w:rsid w:val="004A56BE"/>
    <w:rsid w:val="004A5D3A"/>
    <w:rsid w:val="004A5FCA"/>
    <w:rsid w:val="004A6216"/>
    <w:rsid w:val="004A68BF"/>
    <w:rsid w:val="004A6AA6"/>
    <w:rsid w:val="004A6BF9"/>
    <w:rsid w:val="004A76CA"/>
    <w:rsid w:val="004A7E72"/>
    <w:rsid w:val="004B2916"/>
    <w:rsid w:val="004B2994"/>
    <w:rsid w:val="004B343E"/>
    <w:rsid w:val="004B3462"/>
    <w:rsid w:val="004B3524"/>
    <w:rsid w:val="004B3684"/>
    <w:rsid w:val="004B3BE7"/>
    <w:rsid w:val="004B430B"/>
    <w:rsid w:val="004B4EAC"/>
    <w:rsid w:val="004B4FD2"/>
    <w:rsid w:val="004B529A"/>
    <w:rsid w:val="004B52B1"/>
    <w:rsid w:val="004B61B3"/>
    <w:rsid w:val="004B6385"/>
    <w:rsid w:val="004B765E"/>
    <w:rsid w:val="004B7DCF"/>
    <w:rsid w:val="004C0B77"/>
    <w:rsid w:val="004C11DC"/>
    <w:rsid w:val="004C2029"/>
    <w:rsid w:val="004C2293"/>
    <w:rsid w:val="004C24B0"/>
    <w:rsid w:val="004C26E1"/>
    <w:rsid w:val="004C2942"/>
    <w:rsid w:val="004C2C75"/>
    <w:rsid w:val="004C2FCD"/>
    <w:rsid w:val="004C38A3"/>
    <w:rsid w:val="004C3D18"/>
    <w:rsid w:val="004C3D7D"/>
    <w:rsid w:val="004C4A4D"/>
    <w:rsid w:val="004C5560"/>
    <w:rsid w:val="004C56D0"/>
    <w:rsid w:val="004C58E4"/>
    <w:rsid w:val="004C5980"/>
    <w:rsid w:val="004C59D1"/>
    <w:rsid w:val="004C5B17"/>
    <w:rsid w:val="004C5CB4"/>
    <w:rsid w:val="004C5E88"/>
    <w:rsid w:val="004C62A1"/>
    <w:rsid w:val="004C69EB"/>
    <w:rsid w:val="004C72F9"/>
    <w:rsid w:val="004C756B"/>
    <w:rsid w:val="004C781E"/>
    <w:rsid w:val="004C7973"/>
    <w:rsid w:val="004C7CC9"/>
    <w:rsid w:val="004D0407"/>
    <w:rsid w:val="004D1E26"/>
    <w:rsid w:val="004D322B"/>
    <w:rsid w:val="004D3970"/>
    <w:rsid w:val="004D3F77"/>
    <w:rsid w:val="004D4862"/>
    <w:rsid w:val="004D499C"/>
    <w:rsid w:val="004D4D67"/>
    <w:rsid w:val="004D53A0"/>
    <w:rsid w:val="004D614B"/>
    <w:rsid w:val="004D624C"/>
    <w:rsid w:val="004D6503"/>
    <w:rsid w:val="004D75CE"/>
    <w:rsid w:val="004D7843"/>
    <w:rsid w:val="004D7EF5"/>
    <w:rsid w:val="004D7EF9"/>
    <w:rsid w:val="004E0422"/>
    <w:rsid w:val="004E225E"/>
    <w:rsid w:val="004E23E4"/>
    <w:rsid w:val="004E2639"/>
    <w:rsid w:val="004E3742"/>
    <w:rsid w:val="004E540D"/>
    <w:rsid w:val="004E5563"/>
    <w:rsid w:val="004E55BA"/>
    <w:rsid w:val="004E5A32"/>
    <w:rsid w:val="004E6F5E"/>
    <w:rsid w:val="004E7409"/>
    <w:rsid w:val="004E7AAB"/>
    <w:rsid w:val="004E7AF8"/>
    <w:rsid w:val="004F0067"/>
    <w:rsid w:val="004F08EE"/>
    <w:rsid w:val="004F19F7"/>
    <w:rsid w:val="004F26A2"/>
    <w:rsid w:val="004F2D44"/>
    <w:rsid w:val="004F320E"/>
    <w:rsid w:val="004F3723"/>
    <w:rsid w:val="004F3F83"/>
    <w:rsid w:val="004F4467"/>
    <w:rsid w:val="004F46EA"/>
    <w:rsid w:val="004F515F"/>
    <w:rsid w:val="004F51A1"/>
    <w:rsid w:val="004F559D"/>
    <w:rsid w:val="004F56AC"/>
    <w:rsid w:val="004F5A4A"/>
    <w:rsid w:val="004F6BBA"/>
    <w:rsid w:val="00500725"/>
    <w:rsid w:val="00500A07"/>
    <w:rsid w:val="00500A50"/>
    <w:rsid w:val="00500DDA"/>
    <w:rsid w:val="005016C4"/>
    <w:rsid w:val="00502153"/>
    <w:rsid w:val="00502371"/>
    <w:rsid w:val="00502409"/>
    <w:rsid w:val="005025ED"/>
    <w:rsid w:val="00502D1D"/>
    <w:rsid w:val="00503DC2"/>
    <w:rsid w:val="00503E3B"/>
    <w:rsid w:val="00503F6B"/>
    <w:rsid w:val="0050416C"/>
    <w:rsid w:val="005047BF"/>
    <w:rsid w:val="00504F9B"/>
    <w:rsid w:val="00505618"/>
    <w:rsid w:val="0050577F"/>
    <w:rsid w:val="005058CF"/>
    <w:rsid w:val="00506456"/>
    <w:rsid w:val="00507EE2"/>
    <w:rsid w:val="00511135"/>
    <w:rsid w:val="005121AE"/>
    <w:rsid w:val="0051252D"/>
    <w:rsid w:val="005127F6"/>
    <w:rsid w:val="005129B8"/>
    <w:rsid w:val="00513372"/>
    <w:rsid w:val="00514180"/>
    <w:rsid w:val="0051494F"/>
    <w:rsid w:val="00514D12"/>
    <w:rsid w:val="005152A1"/>
    <w:rsid w:val="0051537A"/>
    <w:rsid w:val="0051551A"/>
    <w:rsid w:val="00516AF3"/>
    <w:rsid w:val="00517207"/>
    <w:rsid w:val="0051796A"/>
    <w:rsid w:val="00517EEA"/>
    <w:rsid w:val="0052037B"/>
    <w:rsid w:val="00520498"/>
    <w:rsid w:val="0052076A"/>
    <w:rsid w:val="005208C2"/>
    <w:rsid w:val="005211D6"/>
    <w:rsid w:val="005219DF"/>
    <w:rsid w:val="005219E3"/>
    <w:rsid w:val="00521D8D"/>
    <w:rsid w:val="00521ED8"/>
    <w:rsid w:val="00522754"/>
    <w:rsid w:val="0052335B"/>
    <w:rsid w:val="00523AE6"/>
    <w:rsid w:val="00524444"/>
    <w:rsid w:val="00524E98"/>
    <w:rsid w:val="00525507"/>
    <w:rsid w:val="00525978"/>
    <w:rsid w:val="0052650E"/>
    <w:rsid w:val="00526D6F"/>
    <w:rsid w:val="00527E88"/>
    <w:rsid w:val="0053075B"/>
    <w:rsid w:val="00530A78"/>
    <w:rsid w:val="00530B54"/>
    <w:rsid w:val="00531759"/>
    <w:rsid w:val="005322EC"/>
    <w:rsid w:val="00533212"/>
    <w:rsid w:val="00533E5F"/>
    <w:rsid w:val="00533F41"/>
    <w:rsid w:val="00534717"/>
    <w:rsid w:val="00534A90"/>
    <w:rsid w:val="00535997"/>
    <w:rsid w:val="00535AC3"/>
    <w:rsid w:val="00535B12"/>
    <w:rsid w:val="005371A4"/>
    <w:rsid w:val="0053720A"/>
    <w:rsid w:val="005375E8"/>
    <w:rsid w:val="00537685"/>
    <w:rsid w:val="00537A45"/>
    <w:rsid w:val="005407F4"/>
    <w:rsid w:val="00540D5A"/>
    <w:rsid w:val="00540F86"/>
    <w:rsid w:val="005419B6"/>
    <w:rsid w:val="00542A3D"/>
    <w:rsid w:val="00543551"/>
    <w:rsid w:val="00547B75"/>
    <w:rsid w:val="005504E3"/>
    <w:rsid w:val="0055175F"/>
    <w:rsid w:val="0055196D"/>
    <w:rsid w:val="005520FD"/>
    <w:rsid w:val="00553A4C"/>
    <w:rsid w:val="00553D96"/>
    <w:rsid w:val="005556D4"/>
    <w:rsid w:val="00555C89"/>
    <w:rsid w:val="00556410"/>
    <w:rsid w:val="00556571"/>
    <w:rsid w:val="0055676D"/>
    <w:rsid w:val="00557358"/>
    <w:rsid w:val="00557D56"/>
    <w:rsid w:val="00557F0D"/>
    <w:rsid w:val="00557FAF"/>
    <w:rsid w:val="005603EB"/>
    <w:rsid w:val="005604D8"/>
    <w:rsid w:val="005617B5"/>
    <w:rsid w:val="00561D16"/>
    <w:rsid w:val="005627CE"/>
    <w:rsid w:val="00562942"/>
    <w:rsid w:val="00562BC8"/>
    <w:rsid w:val="005630F2"/>
    <w:rsid w:val="005640EA"/>
    <w:rsid w:val="0056425C"/>
    <w:rsid w:val="005643BB"/>
    <w:rsid w:val="0056477F"/>
    <w:rsid w:val="00565358"/>
    <w:rsid w:val="005655D0"/>
    <w:rsid w:val="00565601"/>
    <w:rsid w:val="0056584F"/>
    <w:rsid w:val="00565F2D"/>
    <w:rsid w:val="00566C3C"/>
    <w:rsid w:val="00566E16"/>
    <w:rsid w:val="005670E6"/>
    <w:rsid w:val="005702C8"/>
    <w:rsid w:val="005707CB"/>
    <w:rsid w:val="00571898"/>
    <w:rsid w:val="00571E0D"/>
    <w:rsid w:val="00572096"/>
    <w:rsid w:val="00572832"/>
    <w:rsid w:val="005733CE"/>
    <w:rsid w:val="00573842"/>
    <w:rsid w:val="00573F27"/>
    <w:rsid w:val="00573F5C"/>
    <w:rsid w:val="00573F8B"/>
    <w:rsid w:val="00574455"/>
    <w:rsid w:val="00574CAF"/>
    <w:rsid w:val="005751DB"/>
    <w:rsid w:val="00575711"/>
    <w:rsid w:val="00575840"/>
    <w:rsid w:val="005771A9"/>
    <w:rsid w:val="005772D2"/>
    <w:rsid w:val="00577501"/>
    <w:rsid w:val="0057766B"/>
    <w:rsid w:val="0057786A"/>
    <w:rsid w:val="00577994"/>
    <w:rsid w:val="00577BD2"/>
    <w:rsid w:val="00577FF3"/>
    <w:rsid w:val="00580D40"/>
    <w:rsid w:val="00581A9A"/>
    <w:rsid w:val="00581AEE"/>
    <w:rsid w:val="00581F02"/>
    <w:rsid w:val="00582282"/>
    <w:rsid w:val="005825DE"/>
    <w:rsid w:val="00582718"/>
    <w:rsid w:val="0058295E"/>
    <w:rsid w:val="005833B8"/>
    <w:rsid w:val="00583579"/>
    <w:rsid w:val="0058465F"/>
    <w:rsid w:val="00584679"/>
    <w:rsid w:val="00584909"/>
    <w:rsid w:val="0058493D"/>
    <w:rsid w:val="00584E95"/>
    <w:rsid w:val="00585302"/>
    <w:rsid w:val="0058601E"/>
    <w:rsid w:val="005863DC"/>
    <w:rsid w:val="00586AEB"/>
    <w:rsid w:val="00587640"/>
    <w:rsid w:val="00587964"/>
    <w:rsid w:val="005902F4"/>
    <w:rsid w:val="00591112"/>
    <w:rsid w:val="0059190D"/>
    <w:rsid w:val="0059239E"/>
    <w:rsid w:val="0059306A"/>
    <w:rsid w:val="00593C55"/>
    <w:rsid w:val="00593E22"/>
    <w:rsid w:val="005943AF"/>
    <w:rsid w:val="005944E9"/>
    <w:rsid w:val="00595265"/>
    <w:rsid w:val="0059613E"/>
    <w:rsid w:val="00596318"/>
    <w:rsid w:val="00596C10"/>
    <w:rsid w:val="00596D38"/>
    <w:rsid w:val="005973E4"/>
    <w:rsid w:val="0059790F"/>
    <w:rsid w:val="005A005F"/>
    <w:rsid w:val="005A00F8"/>
    <w:rsid w:val="005A1229"/>
    <w:rsid w:val="005A15D7"/>
    <w:rsid w:val="005A16A2"/>
    <w:rsid w:val="005A1A1D"/>
    <w:rsid w:val="005A2023"/>
    <w:rsid w:val="005A2484"/>
    <w:rsid w:val="005A29A1"/>
    <w:rsid w:val="005A33B0"/>
    <w:rsid w:val="005A3B75"/>
    <w:rsid w:val="005A3D18"/>
    <w:rsid w:val="005A4CE2"/>
    <w:rsid w:val="005A4D66"/>
    <w:rsid w:val="005A529E"/>
    <w:rsid w:val="005A5890"/>
    <w:rsid w:val="005A6054"/>
    <w:rsid w:val="005A6121"/>
    <w:rsid w:val="005A6B6D"/>
    <w:rsid w:val="005A7202"/>
    <w:rsid w:val="005A7514"/>
    <w:rsid w:val="005A7E2E"/>
    <w:rsid w:val="005B045D"/>
    <w:rsid w:val="005B0FA9"/>
    <w:rsid w:val="005B1121"/>
    <w:rsid w:val="005B1AC1"/>
    <w:rsid w:val="005B1FE2"/>
    <w:rsid w:val="005B221D"/>
    <w:rsid w:val="005B23FC"/>
    <w:rsid w:val="005B249E"/>
    <w:rsid w:val="005B4222"/>
    <w:rsid w:val="005B4DD4"/>
    <w:rsid w:val="005B5C55"/>
    <w:rsid w:val="005B7388"/>
    <w:rsid w:val="005B7C3D"/>
    <w:rsid w:val="005C025C"/>
    <w:rsid w:val="005C19AD"/>
    <w:rsid w:val="005C203F"/>
    <w:rsid w:val="005C2195"/>
    <w:rsid w:val="005C22EE"/>
    <w:rsid w:val="005C28E6"/>
    <w:rsid w:val="005C41D5"/>
    <w:rsid w:val="005C5640"/>
    <w:rsid w:val="005C6154"/>
    <w:rsid w:val="005C6191"/>
    <w:rsid w:val="005C6951"/>
    <w:rsid w:val="005C74E2"/>
    <w:rsid w:val="005D02DC"/>
    <w:rsid w:val="005D0ADE"/>
    <w:rsid w:val="005D0FA1"/>
    <w:rsid w:val="005D1092"/>
    <w:rsid w:val="005D11BA"/>
    <w:rsid w:val="005D16B0"/>
    <w:rsid w:val="005D1B86"/>
    <w:rsid w:val="005D1EDA"/>
    <w:rsid w:val="005D4A7D"/>
    <w:rsid w:val="005D4E0C"/>
    <w:rsid w:val="005D5073"/>
    <w:rsid w:val="005D50F0"/>
    <w:rsid w:val="005D640F"/>
    <w:rsid w:val="005D6C92"/>
    <w:rsid w:val="005D70F1"/>
    <w:rsid w:val="005D7375"/>
    <w:rsid w:val="005D766B"/>
    <w:rsid w:val="005E092F"/>
    <w:rsid w:val="005E0C58"/>
    <w:rsid w:val="005E199A"/>
    <w:rsid w:val="005E1A6A"/>
    <w:rsid w:val="005E22FD"/>
    <w:rsid w:val="005E318D"/>
    <w:rsid w:val="005E3642"/>
    <w:rsid w:val="005E4260"/>
    <w:rsid w:val="005E5020"/>
    <w:rsid w:val="005E5D0A"/>
    <w:rsid w:val="005E62DB"/>
    <w:rsid w:val="005E66DE"/>
    <w:rsid w:val="005E6868"/>
    <w:rsid w:val="005E718B"/>
    <w:rsid w:val="005E7272"/>
    <w:rsid w:val="005E72AF"/>
    <w:rsid w:val="005E7A33"/>
    <w:rsid w:val="005E7B98"/>
    <w:rsid w:val="005E7FD0"/>
    <w:rsid w:val="005F01BD"/>
    <w:rsid w:val="005F0B44"/>
    <w:rsid w:val="005F0B52"/>
    <w:rsid w:val="005F16E9"/>
    <w:rsid w:val="005F2183"/>
    <w:rsid w:val="005F2460"/>
    <w:rsid w:val="005F29E6"/>
    <w:rsid w:val="005F2D9F"/>
    <w:rsid w:val="005F343C"/>
    <w:rsid w:val="005F365C"/>
    <w:rsid w:val="005F38B8"/>
    <w:rsid w:val="005F3ACF"/>
    <w:rsid w:val="005F40AC"/>
    <w:rsid w:val="005F460D"/>
    <w:rsid w:val="005F4C89"/>
    <w:rsid w:val="005F5767"/>
    <w:rsid w:val="005F5CEA"/>
    <w:rsid w:val="005F601A"/>
    <w:rsid w:val="005F6DD1"/>
    <w:rsid w:val="005F6EFF"/>
    <w:rsid w:val="005F6FC0"/>
    <w:rsid w:val="005F76B9"/>
    <w:rsid w:val="005F7C23"/>
    <w:rsid w:val="00600342"/>
    <w:rsid w:val="00601219"/>
    <w:rsid w:val="00601920"/>
    <w:rsid w:val="00601C72"/>
    <w:rsid w:val="00601D95"/>
    <w:rsid w:val="00602BC1"/>
    <w:rsid w:val="00602FA2"/>
    <w:rsid w:val="00603010"/>
    <w:rsid w:val="0060450E"/>
    <w:rsid w:val="00605F88"/>
    <w:rsid w:val="00606778"/>
    <w:rsid w:val="00606BD6"/>
    <w:rsid w:val="0060718D"/>
    <w:rsid w:val="00607AF4"/>
    <w:rsid w:val="00610F7F"/>
    <w:rsid w:val="0061142E"/>
    <w:rsid w:val="00611F6D"/>
    <w:rsid w:val="006121BA"/>
    <w:rsid w:val="0061267B"/>
    <w:rsid w:val="0061277C"/>
    <w:rsid w:val="006127DC"/>
    <w:rsid w:val="00612C5B"/>
    <w:rsid w:val="0061306E"/>
    <w:rsid w:val="006141B7"/>
    <w:rsid w:val="006154FA"/>
    <w:rsid w:val="0061550F"/>
    <w:rsid w:val="0061595E"/>
    <w:rsid w:val="006164D5"/>
    <w:rsid w:val="006167E1"/>
    <w:rsid w:val="00616B50"/>
    <w:rsid w:val="00616E04"/>
    <w:rsid w:val="0061794D"/>
    <w:rsid w:val="00620406"/>
    <w:rsid w:val="00622551"/>
    <w:rsid w:val="00622B57"/>
    <w:rsid w:val="006233BA"/>
    <w:rsid w:val="00623553"/>
    <w:rsid w:val="00624253"/>
    <w:rsid w:val="00624720"/>
    <w:rsid w:val="00624AA6"/>
    <w:rsid w:val="00625463"/>
    <w:rsid w:val="00625D76"/>
    <w:rsid w:val="0062630F"/>
    <w:rsid w:val="00626629"/>
    <w:rsid w:val="00626888"/>
    <w:rsid w:val="00626A4B"/>
    <w:rsid w:val="00627D19"/>
    <w:rsid w:val="00627F40"/>
    <w:rsid w:val="006308FE"/>
    <w:rsid w:val="00631203"/>
    <w:rsid w:val="006320FE"/>
    <w:rsid w:val="006325EA"/>
    <w:rsid w:val="0063289D"/>
    <w:rsid w:val="006329C2"/>
    <w:rsid w:val="00632C48"/>
    <w:rsid w:val="00632C88"/>
    <w:rsid w:val="0063487B"/>
    <w:rsid w:val="00634A19"/>
    <w:rsid w:val="006353EB"/>
    <w:rsid w:val="006368C9"/>
    <w:rsid w:val="006376D3"/>
    <w:rsid w:val="00637AEF"/>
    <w:rsid w:val="00637F76"/>
    <w:rsid w:val="00640311"/>
    <w:rsid w:val="00640662"/>
    <w:rsid w:val="00640CE2"/>
    <w:rsid w:val="00640D59"/>
    <w:rsid w:val="006411B8"/>
    <w:rsid w:val="00641CFE"/>
    <w:rsid w:val="00641DCB"/>
    <w:rsid w:val="0064236C"/>
    <w:rsid w:val="006424BF"/>
    <w:rsid w:val="006426E1"/>
    <w:rsid w:val="0064288E"/>
    <w:rsid w:val="006428D9"/>
    <w:rsid w:val="0064380F"/>
    <w:rsid w:val="0064414D"/>
    <w:rsid w:val="00644D6E"/>
    <w:rsid w:val="00644FAB"/>
    <w:rsid w:val="006459E2"/>
    <w:rsid w:val="00646457"/>
    <w:rsid w:val="00646497"/>
    <w:rsid w:val="006464C7"/>
    <w:rsid w:val="00646889"/>
    <w:rsid w:val="00646A55"/>
    <w:rsid w:val="0064719C"/>
    <w:rsid w:val="00647904"/>
    <w:rsid w:val="00647926"/>
    <w:rsid w:val="00647C2A"/>
    <w:rsid w:val="00650872"/>
    <w:rsid w:val="00650E3D"/>
    <w:rsid w:val="006529ED"/>
    <w:rsid w:val="00653336"/>
    <w:rsid w:val="00653A03"/>
    <w:rsid w:val="00653AEF"/>
    <w:rsid w:val="00653F0F"/>
    <w:rsid w:val="00654257"/>
    <w:rsid w:val="006547FC"/>
    <w:rsid w:val="00654F69"/>
    <w:rsid w:val="006552FE"/>
    <w:rsid w:val="00655F5D"/>
    <w:rsid w:val="0065605F"/>
    <w:rsid w:val="006567F5"/>
    <w:rsid w:val="00656C71"/>
    <w:rsid w:val="0065756F"/>
    <w:rsid w:val="00660612"/>
    <w:rsid w:val="00661038"/>
    <w:rsid w:val="0066171C"/>
    <w:rsid w:val="006618DA"/>
    <w:rsid w:val="00661DF6"/>
    <w:rsid w:val="00662373"/>
    <w:rsid w:val="00662490"/>
    <w:rsid w:val="006625F9"/>
    <w:rsid w:val="00662614"/>
    <w:rsid w:val="00663999"/>
    <w:rsid w:val="00663E02"/>
    <w:rsid w:val="00664AD3"/>
    <w:rsid w:val="00664C48"/>
    <w:rsid w:val="00664E5F"/>
    <w:rsid w:val="006652A2"/>
    <w:rsid w:val="00665363"/>
    <w:rsid w:val="0066579D"/>
    <w:rsid w:val="00665882"/>
    <w:rsid w:val="00665946"/>
    <w:rsid w:val="00665A98"/>
    <w:rsid w:val="00665B28"/>
    <w:rsid w:val="00665C7A"/>
    <w:rsid w:val="00666337"/>
    <w:rsid w:val="00666724"/>
    <w:rsid w:val="0066782E"/>
    <w:rsid w:val="00667BEF"/>
    <w:rsid w:val="006709FF"/>
    <w:rsid w:val="00670BB5"/>
    <w:rsid w:val="00670ED2"/>
    <w:rsid w:val="00671135"/>
    <w:rsid w:val="00671654"/>
    <w:rsid w:val="00671BDB"/>
    <w:rsid w:val="00672649"/>
    <w:rsid w:val="006730CA"/>
    <w:rsid w:val="006731C8"/>
    <w:rsid w:val="00673308"/>
    <w:rsid w:val="0067414E"/>
    <w:rsid w:val="00674B5F"/>
    <w:rsid w:val="00674C1F"/>
    <w:rsid w:val="00674FC6"/>
    <w:rsid w:val="00675490"/>
    <w:rsid w:val="00675565"/>
    <w:rsid w:val="00675A98"/>
    <w:rsid w:val="006766CE"/>
    <w:rsid w:val="006767CF"/>
    <w:rsid w:val="00677360"/>
    <w:rsid w:val="006778E2"/>
    <w:rsid w:val="00677ACA"/>
    <w:rsid w:val="006800E3"/>
    <w:rsid w:val="00680A05"/>
    <w:rsid w:val="006828B4"/>
    <w:rsid w:val="00682AED"/>
    <w:rsid w:val="00683266"/>
    <w:rsid w:val="006837CC"/>
    <w:rsid w:val="0068400A"/>
    <w:rsid w:val="00685B84"/>
    <w:rsid w:val="00685B8B"/>
    <w:rsid w:val="00686A82"/>
    <w:rsid w:val="00687574"/>
    <w:rsid w:val="0068789F"/>
    <w:rsid w:val="00690083"/>
    <w:rsid w:val="0069047E"/>
    <w:rsid w:val="006906B2"/>
    <w:rsid w:val="006908F4"/>
    <w:rsid w:val="00690DF1"/>
    <w:rsid w:val="00691A86"/>
    <w:rsid w:val="00691A8B"/>
    <w:rsid w:val="00691AA2"/>
    <w:rsid w:val="00691DC2"/>
    <w:rsid w:val="00693BA1"/>
    <w:rsid w:val="00693FE6"/>
    <w:rsid w:val="006945F8"/>
    <w:rsid w:val="00694667"/>
    <w:rsid w:val="006948BC"/>
    <w:rsid w:val="00694BC9"/>
    <w:rsid w:val="00694CEE"/>
    <w:rsid w:val="00695648"/>
    <w:rsid w:val="00696123"/>
    <w:rsid w:val="00696706"/>
    <w:rsid w:val="006967F3"/>
    <w:rsid w:val="00696BFF"/>
    <w:rsid w:val="0069724A"/>
    <w:rsid w:val="006A0C9A"/>
    <w:rsid w:val="006A19DF"/>
    <w:rsid w:val="006A2BA7"/>
    <w:rsid w:val="006A2BA8"/>
    <w:rsid w:val="006A30DC"/>
    <w:rsid w:val="006A37F2"/>
    <w:rsid w:val="006A3860"/>
    <w:rsid w:val="006A416A"/>
    <w:rsid w:val="006A4534"/>
    <w:rsid w:val="006A4867"/>
    <w:rsid w:val="006A4E7E"/>
    <w:rsid w:val="006A565B"/>
    <w:rsid w:val="006A59AD"/>
    <w:rsid w:val="006A5BA2"/>
    <w:rsid w:val="006A5E4F"/>
    <w:rsid w:val="006B05DA"/>
    <w:rsid w:val="006B05F8"/>
    <w:rsid w:val="006B0740"/>
    <w:rsid w:val="006B0ADF"/>
    <w:rsid w:val="006B0D17"/>
    <w:rsid w:val="006B1BEB"/>
    <w:rsid w:val="006B2283"/>
    <w:rsid w:val="006B2AC3"/>
    <w:rsid w:val="006B2C4D"/>
    <w:rsid w:val="006B2F9C"/>
    <w:rsid w:val="006B4D02"/>
    <w:rsid w:val="006B5BC2"/>
    <w:rsid w:val="006B5C03"/>
    <w:rsid w:val="006B5C49"/>
    <w:rsid w:val="006B614D"/>
    <w:rsid w:val="006B63B8"/>
    <w:rsid w:val="006B70E9"/>
    <w:rsid w:val="006B7A9C"/>
    <w:rsid w:val="006B7B75"/>
    <w:rsid w:val="006C021A"/>
    <w:rsid w:val="006C05A9"/>
    <w:rsid w:val="006C1410"/>
    <w:rsid w:val="006C1FFC"/>
    <w:rsid w:val="006C24BC"/>
    <w:rsid w:val="006C32E1"/>
    <w:rsid w:val="006C372D"/>
    <w:rsid w:val="006C3862"/>
    <w:rsid w:val="006C4B44"/>
    <w:rsid w:val="006C4E64"/>
    <w:rsid w:val="006C56C6"/>
    <w:rsid w:val="006C5918"/>
    <w:rsid w:val="006C5F84"/>
    <w:rsid w:val="006C5F97"/>
    <w:rsid w:val="006C67C8"/>
    <w:rsid w:val="006C7208"/>
    <w:rsid w:val="006C73D7"/>
    <w:rsid w:val="006D048E"/>
    <w:rsid w:val="006D0CA8"/>
    <w:rsid w:val="006D1E5B"/>
    <w:rsid w:val="006D21B8"/>
    <w:rsid w:val="006D2D4B"/>
    <w:rsid w:val="006D3068"/>
    <w:rsid w:val="006D323A"/>
    <w:rsid w:val="006D32A6"/>
    <w:rsid w:val="006D3421"/>
    <w:rsid w:val="006D372B"/>
    <w:rsid w:val="006D3C8F"/>
    <w:rsid w:val="006D3D0F"/>
    <w:rsid w:val="006D44F5"/>
    <w:rsid w:val="006D470E"/>
    <w:rsid w:val="006D4ABE"/>
    <w:rsid w:val="006D4BE4"/>
    <w:rsid w:val="006D56C8"/>
    <w:rsid w:val="006D68B4"/>
    <w:rsid w:val="006D7ADA"/>
    <w:rsid w:val="006E05E6"/>
    <w:rsid w:val="006E2BD1"/>
    <w:rsid w:val="006E4DEB"/>
    <w:rsid w:val="006E4F2F"/>
    <w:rsid w:val="006E4FE2"/>
    <w:rsid w:val="006E5673"/>
    <w:rsid w:val="006E62A3"/>
    <w:rsid w:val="006E66A1"/>
    <w:rsid w:val="006E6E37"/>
    <w:rsid w:val="006E6EF8"/>
    <w:rsid w:val="006E70AA"/>
    <w:rsid w:val="006E7499"/>
    <w:rsid w:val="006E7F63"/>
    <w:rsid w:val="006F0C6D"/>
    <w:rsid w:val="006F1038"/>
    <w:rsid w:val="006F1D51"/>
    <w:rsid w:val="006F2273"/>
    <w:rsid w:val="006F2D3B"/>
    <w:rsid w:val="006F2EED"/>
    <w:rsid w:val="006F37C9"/>
    <w:rsid w:val="006F498A"/>
    <w:rsid w:val="006F4B80"/>
    <w:rsid w:val="006F4E8E"/>
    <w:rsid w:val="006F618A"/>
    <w:rsid w:val="006F6717"/>
    <w:rsid w:val="006F6E89"/>
    <w:rsid w:val="006F74A5"/>
    <w:rsid w:val="00700250"/>
    <w:rsid w:val="007003A9"/>
    <w:rsid w:val="00700EF1"/>
    <w:rsid w:val="007016E6"/>
    <w:rsid w:val="007018DD"/>
    <w:rsid w:val="00701F6A"/>
    <w:rsid w:val="00701F95"/>
    <w:rsid w:val="00702B6D"/>
    <w:rsid w:val="00703776"/>
    <w:rsid w:val="00703816"/>
    <w:rsid w:val="00703A90"/>
    <w:rsid w:val="00703B41"/>
    <w:rsid w:val="00703CD0"/>
    <w:rsid w:val="00704C5D"/>
    <w:rsid w:val="00704E30"/>
    <w:rsid w:val="007056EB"/>
    <w:rsid w:val="00705B0F"/>
    <w:rsid w:val="00705FCE"/>
    <w:rsid w:val="00706009"/>
    <w:rsid w:val="00706E33"/>
    <w:rsid w:val="007073F2"/>
    <w:rsid w:val="0070768A"/>
    <w:rsid w:val="007079CB"/>
    <w:rsid w:val="00710994"/>
    <w:rsid w:val="00711344"/>
    <w:rsid w:val="00711523"/>
    <w:rsid w:val="00711C1E"/>
    <w:rsid w:val="007136DE"/>
    <w:rsid w:val="0071381C"/>
    <w:rsid w:val="0071397B"/>
    <w:rsid w:val="0071446A"/>
    <w:rsid w:val="007149B5"/>
    <w:rsid w:val="00715F3B"/>
    <w:rsid w:val="00716556"/>
    <w:rsid w:val="00716F98"/>
    <w:rsid w:val="007176FC"/>
    <w:rsid w:val="007215A5"/>
    <w:rsid w:val="00721A80"/>
    <w:rsid w:val="00722293"/>
    <w:rsid w:val="0072247E"/>
    <w:rsid w:val="00722705"/>
    <w:rsid w:val="00723359"/>
    <w:rsid w:val="00723808"/>
    <w:rsid w:val="00725F71"/>
    <w:rsid w:val="007263DF"/>
    <w:rsid w:val="00726C54"/>
    <w:rsid w:val="007275F2"/>
    <w:rsid w:val="0073095B"/>
    <w:rsid w:val="00730EB2"/>
    <w:rsid w:val="00731831"/>
    <w:rsid w:val="00733941"/>
    <w:rsid w:val="00733DA2"/>
    <w:rsid w:val="00733E12"/>
    <w:rsid w:val="0073437D"/>
    <w:rsid w:val="00735461"/>
    <w:rsid w:val="0073737D"/>
    <w:rsid w:val="007373BB"/>
    <w:rsid w:val="007379AB"/>
    <w:rsid w:val="0074089B"/>
    <w:rsid w:val="00740F6F"/>
    <w:rsid w:val="00741482"/>
    <w:rsid w:val="0074197C"/>
    <w:rsid w:val="00741F4A"/>
    <w:rsid w:val="00741F8F"/>
    <w:rsid w:val="00742087"/>
    <w:rsid w:val="0074268F"/>
    <w:rsid w:val="0074288D"/>
    <w:rsid w:val="00742C39"/>
    <w:rsid w:val="00743491"/>
    <w:rsid w:val="00743F1E"/>
    <w:rsid w:val="00744A47"/>
    <w:rsid w:val="00744B11"/>
    <w:rsid w:val="00744CB8"/>
    <w:rsid w:val="007459B8"/>
    <w:rsid w:val="00745DAB"/>
    <w:rsid w:val="00745DB3"/>
    <w:rsid w:val="00745F95"/>
    <w:rsid w:val="007469DC"/>
    <w:rsid w:val="0074704F"/>
    <w:rsid w:val="007472A9"/>
    <w:rsid w:val="007500DF"/>
    <w:rsid w:val="007501F6"/>
    <w:rsid w:val="007502C8"/>
    <w:rsid w:val="00750BF4"/>
    <w:rsid w:val="0075105C"/>
    <w:rsid w:val="00751D04"/>
    <w:rsid w:val="00751EA0"/>
    <w:rsid w:val="00752010"/>
    <w:rsid w:val="0075299B"/>
    <w:rsid w:val="00752C6B"/>
    <w:rsid w:val="00752FA3"/>
    <w:rsid w:val="007536F1"/>
    <w:rsid w:val="0075381D"/>
    <w:rsid w:val="007538AB"/>
    <w:rsid w:val="00753A12"/>
    <w:rsid w:val="00753D03"/>
    <w:rsid w:val="00753DCA"/>
    <w:rsid w:val="00753EEE"/>
    <w:rsid w:val="00754A77"/>
    <w:rsid w:val="00754B97"/>
    <w:rsid w:val="00754E6A"/>
    <w:rsid w:val="00755FA2"/>
    <w:rsid w:val="00756840"/>
    <w:rsid w:val="00756967"/>
    <w:rsid w:val="00757808"/>
    <w:rsid w:val="00757B9C"/>
    <w:rsid w:val="00757E2D"/>
    <w:rsid w:val="00757E61"/>
    <w:rsid w:val="00760115"/>
    <w:rsid w:val="00760196"/>
    <w:rsid w:val="007601A9"/>
    <w:rsid w:val="00760D09"/>
    <w:rsid w:val="00760D40"/>
    <w:rsid w:val="00762889"/>
    <w:rsid w:val="00762B3F"/>
    <w:rsid w:val="007632B5"/>
    <w:rsid w:val="007637AC"/>
    <w:rsid w:val="00763939"/>
    <w:rsid w:val="007640BE"/>
    <w:rsid w:val="00764749"/>
    <w:rsid w:val="007647AB"/>
    <w:rsid w:val="00764B58"/>
    <w:rsid w:val="00764E5C"/>
    <w:rsid w:val="00765E1D"/>
    <w:rsid w:val="00766080"/>
    <w:rsid w:val="00766A4B"/>
    <w:rsid w:val="00767EBE"/>
    <w:rsid w:val="0077160D"/>
    <w:rsid w:val="0077247D"/>
    <w:rsid w:val="007725E7"/>
    <w:rsid w:val="00773132"/>
    <w:rsid w:val="00773591"/>
    <w:rsid w:val="00773882"/>
    <w:rsid w:val="00773C54"/>
    <w:rsid w:val="00773DB1"/>
    <w:rsid w:val="00774490"/>
    <w:rsid w:val="00774BDC"/>
    <w:rsid w:val="00775019"/>
    <w:rsid w:val="00775D27"/>
    <w:rsid w:val="00776687"/>
    <w:rsid w:val="007779A8"/>
    <w:rsid w:val="00780A55"/>
    <w:rsid w:val="00782F4A"/>
    <w:rsid w:val="0078340A"/>
    <w:rsid w:val="007838E4"/>
    <w:rsid w:val="007839F2"/>
    <w:rsid w:val="007840AB"/>
    <w:rsid w:val="00784F2F"/>
    <w:rsid w:val="00785272"/>
    <w:rsid w:val="00785481"/>
    <w:rsid w:val="00785E8C"/>
    <w:rsid w:val="00786055"/>
    <w:rsid w:val="0078652A"/>
    <w:rsid w:val="007869C7"/>
    <w:rsid w:val="007873B5"/>
    <w:rsid w:val="00787DC1"/>
    <w:rsid w:val="00787DFA"/>
    <w:rsid w:val="00787FFB"/>
    <w:rsid w:val="00790A2E"/>
    <w:rsid w:val="00790AA8"/>
    <w:rsid w:val="00790C2F"/>
    <w:rsid w:val="007911ED"/>
    <w:rsid w:val="00791614"/>
    <w:rsid w:val="00791CB8"/>
    <w:rsid w:val="00791D3B"/>
    <w:rsid w:val="00791FA7"/>
    <w:rsid w:val="00792678"/>
    <w:rsid w:val="007929CA"/>
    <w:rsid w:val="00792EFE"/>
    <w:rsid w:val="007934A3"/>
    <w:rsid w:val="00793C9A"/>
    <w:rsid w:val="00793FDA"/>
    <w:rsid w:val="0079435F"/>
    <w:rsid w:val="00794836"/>
    <w:rsid w:val="0079497D"/>
    <w:rsid w:val="007949B4"/>
    <w:rsid w:val="007953A6"/>
    <w:rsid w:val="00796773"/>
    <w:rsid w:val="0079685D"/>
    <w:rsid w:val="007968A7"/>
    <w:rsid w:val="007969CB"/>
    <w:rsid w:val="00796DB1"/>
    <w:rsid w:val="00796FA5"/>
    <w:rsid w:val="0079760A"/>
    <w:rsid w:val="0079793D"/>
    <w:rsid w:val="00797BCC"/>
    <w:rsid w:val="007A021E"/>
    <w:rsid w:val="007A032C"/>
    <w:rsid w:val="007A0587"/>
    <w:rsid w:val="007A1428"/>
    <w:rsid w:val="007A28BA"/>
    <w:rsid w:val="007A2EFE"/>
    <w:rsid w:val="007A2FB6"/>
    <w:rsid w:val="007A310C"/>
    <w:rsid w:val="007A4268"/>
    <w:rsid w:val="007A5133"/>
    <w:rsid w:val="007A6A72"/>
    <w:rsid w:val="007A73D5"/>
    <w:rsid w:val="007A74C0"/>
    <w:rsid w:val="007A76DE"/>
    <w:rsid w:val="007B041A"/>
    <w:rsid w:val="007B0DA5"/>
    <w:rsid w:val="007B0FFC"/>
    <w:rsid w:val="007B1273"/>
    <w:rsid w:val="007B3444"/>
    <w:rsid w:val="007B3A84"/>
    <w:rsid w:val="007B3B3D"/>
    <w:rsid w:val="007B3FB6"/>
    <w:rsid w:val="007B4601"/>
    <w:rsid w:val="007B4941"/>
    <w:rsid w:val="007B4D67"/>
    <w:rsid w:val="007B5446"/>
    <w:rsid w:val="007B59F3"/>
    <w:rsid w:val="007B6B03"/>
    <w:rsid w:val="007B709A"/>
    <w:rsid w:val="007B715C"/>
    <w:rsid w:val="007B77DC"/>
    <w:rsid w:val="007C0C0B"/>
    <w:rsid w:val="007C1080"/>
    <w:rsid w:val="007C14C1"/>
    <w:rsid w:val="007C1BBC"/>
    <w:rsid w:val="007C1F16"/>
    <w:rsid w:val="007C2AB9"/>
    <w:rsid w:val="007C412E"/>
    <w:rsid w:val="007C41B2"/>
    <w:rsid w:val="007C4264"/>
    <w:rsid w:val="007C471C"/>
    <w:rsid w:val="007C4FC5"/>
    <w:rsid w:val="007C55F5"/>
    <w:rsid w:val="007C6785"/>
    <w:rsid w:val="007C7C76"/>
    <w:rsid w:val="007D018F"/>
    <w:rsid w:val="007D05F4"/>
    <w:rsid w:val="007D08DC"/>
    <w:rsid w:val="007D0ABB"/>
    <w:rsid w:val="007D0DB2"/>
    <w:rsid w:val="007D1246"/>
    <w:rsid w:val="007D1309"/>
    <w:rsid w:val="007D1533"/>
    <w:rsid w:val="007D187A"/>
    <w:rsid w:val="007D1E1D"/>
    <w:rsid w:val="007D1E74"/>
    <w:rsid w:val="007D2989"/>
    <w:rsid w:val="007D32A3"/>
    <w:rsid w:val="007D3909"/>
    <w:rsid w:val="007D3DC0"/>
    <w:rsid w:val="007D4165"/>
    <w:rsid w:val="007D4D44"/>
    <w:rsid w:val="007D53DF"/>
    <w:rsid w:val="007D7CBB"/>
    <w:rsid w:val="007D7FF3"/>
    <w:rsid w:val="007E1106"/>
    <w:rsid w:val="007E180A"/>
    <w:rsid w:val="007E206C"/>
    <w:rsid w:val="007E2429"/>
    <w:rsid w:val="007E2E54"/>
    <w:rsid w:val="007E36C7"/>
    <w:rsid w:val="007E3882"/>
    <w:rsid w:val="007E3CD4"/>
    <w:rsid w:val="007E40D8"/>
    <w:rsid w:val="007E4B15"/>
    <w:rsid w:val="007E5296"/>
    <w:rsid w:val="007E5937"/>
    <w:rsid w:val="007E64D0"/>
    <w:rsid w:val="007E6909"/>
    <w:rsid w:val="007E6C06"/>
    <w:rsid w:val="007E7186"/>
    <w:rsid w:val="007E7F65"/>
    <w:rsid w:val="007F08FD"/>
    <w:rsid w:val="007F0D1A"/>
    <w:rsid w:val="007F0EF1"/>
    <w:rsid w:val="007F115D"/>
    <w:rsid w:val="007F13D9"/>
    <w:rsid w:val="007F1ADC"/>
    <w:rsid w:val="007F1D41"/>
    <w:rsid w:val="007F1D49"/>
    <w:rsid w:val="007F23F6"/>
    <w:rsid w:val="007F331E"/>
    <w:rsid w:val="007F3776"/>
    <w:rsid w:val="007F5264"/>
    <w:rsid w:val="007F5C6A"/>
    <w:rsid w:val="007F5CD1"/>
    <w:rsid w:val="007F659D"/>
    <w:rsid w:val="007F678A"/>
    <w:rsid w:val="007F6A3B"/>
    <w:rsid w:val="007F6A4F"/>
    <w:rsid w:val="007F6E61"/>
    <w:rsid w:val="007F70EE"/>
    <w:rsid w:val="007F72BE"/>
    <w:rsid w:val="007F791C"/>
    <w:rsid w:val="00800B45"/>
    <w:rsid w:val="008013D6"/>
    <w:rsid w:val="008014DF"/>
    <w:rsid w:val="00801546"/>
    <w:rsid w:val="00801D91"/>
    <w:rsid w:val="008028F1"/>
    <w:rsid w:val="00804174"/>
    <w:rsid w:val="00804941"/>
    <w:rsid w:val="008049EE"/>
    <w:rsid w:val="00804E68"/>
    <w:rsid w:val="008055CE"/>
    <w:rsid w:val="00805776"/>
    <w:rsid w:val="00805B1E"/>
    <w:rsid w:val="00805D2E"/>
    <w:rsid w:val="008063D7"/>
    <w:rsid w:val="008070DA"/>
    <w:rsid w:val="00807D81"/>
    <w:rsid w:val="00810245"/>
    <w:rsid w:val="00810286"/>
    <w:rsid w:val="008105F8"/>
    <w:rsid w:val="00810649"/>
    <w:rsid w:val="008106E6"/>
    <w:rsid w:val="00810C12"/>
    <w:rsid w:val="0081167D"/>
    <w:rsid w:val="008119C7"/>
    <w:rsid w:val="008123E8"/>
    <w:rsid w:val="0081242B"/>
    <w:rsid w:val="00812472"/>
    <w:rsid w:val="008125FF"/>
    <w:rsid w:val="00813764"/>
    <w:rsid w:val="00814E96"/>
    <w:rsid w:val="008156DF"/>
    <w:rsid w:val="00815A93"/>
    <w:rsid w:val="0081659B"/>
    <w:rsid w:val="008177E5"/>
    <w:rsid w:val="00817A78"/>
    <w:rsid w:val="0082037C"/>
    <w:rsid w:val="00820DB6"/>
    <w:rsid w:val="008217E1"/>
    <w:rsid w:val="00821958"/>
    <w:rsid w:val="008224FF"/>
    <w:rsid w:val="0082301D"/>
    <w:rsid w:val="0082370E"/>
    <w:rsid w:val="008239C1"/>
    <w:rsid w:val="00824977"/>
    <w:rsid w:val="008254DF"/>
    <w:rsid w:val="00825997"/>
    <w:rsid w:val="00825F2F"/>
    <w:rsid w:val="00830495"/>
    <w:rsid w:val="00831329"/>
    <w:rsid w:val="008338F7"/>
    <w:rsid w:val="00834A74"/>
    <w:rsid w:val="0083544F"/>
    <w:rsid w:val="00835898"/>
    <w:rsid w:val="00835DDD"/>
    <w:rsid w:val="00836752"/>
    <w:rsid w:val="00836ABE"/>
    <w:rsid w:val="0083713A"/>
    <w:rsid w:val="00837682"/>
    <w:rsid w:val="00837BDD"/>
    <w:rsid w:val="0084053A"/>
    <w:rsid w:val="008411CB"/>
    <w:rsid w:val="008417CE"/>
    <w:rsid w:val="008436A9"/>
    <w:rsid w:val="00844918"/>
    <w:rsid w:val="00844D13"/>
    <w:rsid w:val="008456F5"/>
    <w:rsid w:val="00846887"/>
    <w:rsid w:val="00846B6A"/>
    <w:rsid w:val="00846D6B"/>
    <w:rsid w:val="008474CB"/>
    <w:rsid w:val="008506FE"/>
    <w:rsid w:val="00850E25"/>
    <w:rsid w:val="00850F22"/>
    <w:rsid w:val="008517F4"/>
    <w:rsid w:val="00851CC7"/>
    <w:rsid w:val="00851DC3"/>
    <w:rsid w:val="00852599"/>
    <w:rsid w:val="00853092"/>
    <w:rsid w:val="00853212"/>
    <w:rsid w:val="008537F2"/>
    <w:rsid w:val="00853A2B"/>
    <w:rsid w:val="00854FB6"/>
    <w:rsid w:val="00855710"/>
    <w:rsid w:val="00855BF3"/>
    <w:rsid w:val="00855CFE"/>
    <w:rsid w:val="0085712D"/>
    <w:rsid w:val="008604F8"/>
    <w:rsid w:val="00860CA3"/>
    <w:rsid w:val="00860D8E"/>
    <w:rsid w:val="00861850"/>
    <w:rsid w:val="00861C67"/>
    <w:rsid w:val="0086228B"/>
    <w:rsid w:val="0086261D"/>
    <w:rsid w:val="00862AEC"/>
    <w:rsid w:val="00862DC4"/>
    <w:rsid w:val="008635ED"/>
    <w:rsid w:val="00863731"/>
    <w:rsid w:val="008637B4"/>
    <w:rsid w:val="00863F37"/>
    <w:rsid w:val="00864B57"/>
    <w:rsid w:val="00865223"/>
    <w:rsid w:val="00865609"/>
    <w:rsid w:val="00865D55"/>
    <w:rsid w:val="0086614D"/>
    <w:rsid w:val="00866966"/>
    <w:rsid w:val="00866C50"/>
    <w:rsid w:val="00866D5B"/>
    <w:rsid w:val="00866DE0"/>
    <w:rsid w:val="00867BFA"/>
    <w:rsid w:val="008705CA"/>
    <w:rsid w:val="008710C1"/>
    <w:rsid w:val="008711A1"/>
    <w:rsid w:val="008714B8"/>
    <w:rsid w:val="00872AE3"/>
    <w:rsid w:val="00872C74"/>
    <w:rsid w:val="00873E07"/>
    <w:rsid w:val="008740C0"/>
    <w:rsid w:val="00874733"/>
    <w:rsid w:val="008747FA"/>
    <w:rsid w:val="00875663"/>
    <w:rsid w:val="00875BCA"/>
    <w:rsid w:val="00875C53"/>
    <w:rsid w:val="008764A7"/>
    <w:rsid w:val="00881177"/>
    <w:rsid w:val="0088170B"/>
    <w:rsid w:val="00881CF2"/>
    <w:rsid w:val="00882E99"/>
    <w:rsid w:val="008831FB"/>
    <w:rsid w:val="0088346B"/>
    <w:rsid w:val="0088375C"/>
    <w:rsid w:val="00883984"/>
    <w:rsid w:val="0088404A"/>
    <w:rsid w:val="008840A7"/>
    <w:rsid w:val="00884961"/>
    <w:rsid w:val="00884DE3"/>
    <w:rsid w:val="00885083"/>
    <w:rsid w:val="0088590E"/>
    <w:rsid w:val="00885D3D"/>
    <w:rsid w:val="00885F62"/>
    <w:rsid w:val="008879B3"/>
    <w:rsid w:val="00887B0B"/>
    <w:rsid w:val="00887F38"/>
    <w:rsid w:val="0089090B"/>
    <w:rsid w:val="00890EBA"/>
    <w:rsid w:val="0089171C"/>
    <w:rsid w:val="00891D32"/>
    <w:rsid w:val="00891FD0"/>
    <w:rsid w:val="00892F1B"/>
    <w:rsid w:val="00893AB8"/>
    <w:rsid w:val="00893AFF"/>
    <w:rsid w:val="00893C04"/>
    <w:rsid w:val="008941C8"/>
    <w:rsid w:val="008941FF"/>
    <w:rsid w:val="00895D5D"/>
    <w:rsid w:val="00896867"/>
    <w:rsid w:val="00897346"/>
    <w:rsid w:val="008974BE"/>
    <w:rsid w:val="00897D44"/>
    <w:rsid w:val="008A0027"/>
    <w:rsid w:val="008A158C"/>
    <w:rsid w:val="008A1AF0"/>
    <w:rsid w:val="008A1B14"/>
    <w:rsid w:val="008A1E1D"/>
    <w:rsid w:val="008A274C"/>
    <w:rsid w:val="008A3994"/>
    <w:rsid w:val="008A4905"/>
    <w:rsid w:val="008A4DC7"/>
    <w:rsid w:val="008A4E4B"/>
    <w:rsid w:val="008A564B"/>
    <w:rsid w:val="008A57B2"/>
    <w:rsid w:val="008A58FF"/>
    <w:rsid w:val="008A5B15"/>
    <w:rsid w:val="008A6051"/>
    <w:rsid w:val="008A645E"/>
    <w:rsid w:val="008A6492"/>
    <w:rsid w:val="008A66B9"/>
    <w:rsid w:val="008A6D86"/>
    <w:rsid w:val="008A6DC8"/>
    <w:rsid w:val="008A7245"/>
    <w:rsid w:val="008A72CC"/>
    <w:rsid w:val="008A7895"/>
    <w:rsid w:val="008B0FF6"/>
    <w:rsid w:val="008B22CC"/>
    <w:rsid w:val="008B2B65"/>
    <w:rsid w:val="008B2C53"/>
    <w:rsid w:val="008B2EBB"/>
    <w:rsid w:val="008B361A"/>
    <w:rsid w:val="008B4B7F"/>
    <w:rsid w:val="008B510B"/>
    <w:rsid w:val="008B5E33"/>
    <w:rsid w:val="008B5E63"/>
    <w:rsid w:val="008B5F9A"/>
    <w:rsid w:val="008B60BB"/>
    <w:rsid w:val="008B6927"/>
    <w:rsid w:val="008B6A5A"/>
    <w:rsid w:val="008B6E34"/>
    <w:rsid w:val="008B72C1"/>
    <w:rsid w:val="008B7374"/>
    <w:rsid w:val="008B7529"/>
    <w:rsid w:val="008C092E"/>
    <w:rsid w:val="008C0F94"/>
    <w:rsid w:val="008C1309"/>
    <w:rsid w:val="008C1678"/>
    <w:rsid w:val="008C1EE9"/>
    <w:rsid w:val="008C210B"/>
    <w:rsid w:val="008C2381"/>
    <w:rsid w:val="008C2A45"/>
    <w:rsid w:val="008C2E32"/>
    <w:rsid w:val="008C3786"/>
    <w:rsid w:val="008C38D2"/>
    <w:rsid w:val="008C3D6A"/>
    <w:rsid w:val="008C46AD"/>
    <w:rsid w:val="008C4C47"/>
    <w:rsid w:val="008C4F7A"/>
    <w:rsid w:val="008C4FC9"/>
    <w:rsid w:val="008C558D"/>
    <w:rsid w:val="008C5683"/>
    <w:rsid w:val="008C589B"/>
    <w:rsid w:val="008C5989"/>
    <w:rsid w:val="008C5FEC"/>
    <w:rsid w:val="008C6350"/>
    <w:rsid w:val="008C6805"/>
    <w:rsid w:val="008C6E82"/>
    <w:rsid w:val="008C72A7"/>
    <w:rsid w:val="008C7A4A"/>
    <w:rsid w:val="008C7D34"/>
    <w:rsid w:val="008C7F86"/>
    <w:rsid w:val="008D0D53"/>
    <w:rsid w:val="008D1084"/>
    <w:rsid w:val="008D16D0"/>
    <w:rsid w:val="008D2965"/>
    <w:rsid w:val="008D2D8E"/>
    <w:rsid w:val="008D2DD4"/>
    <w:rsid w:val="008D35A3"/>
    <w:rsid w:val="008D44DF"/>
    <w:rsid w:val="008D4667"/>
    <w:rsid w:val="008D4AC2"/>
    <w:rsid w:val="008D565D"/>
    <w:rsid w:val="008D5EC7"/>
    <w:rsid w:val="008D6531"/>
    <w:rsid w:val="008D6FFB"/>
    <w:rsid w:val="008D7372"/>
    <w:rsid w:val="008D7493"/>
    <w:rsid w:val="008D7C3F"/>
    <w:rsid w:val="008E01E3"/>
    <w:rsid w:val="008E0267"/>
    <w:rsid w:val="008E02AD"/>
    <w:rsid w:val="008E0F19"/>
    <w:rsid w:val="008E10A5"/>
    <w:rsid w:val="008E143C"/>
    <w:rsid w:val="008E1714"/>
    <w:rsid w:val="008E1CFF"/>
    <w:rsid w:val="008E1EDC"/>
    <w:rsid w:val="008E2B3F"/>
    <w:rsid w:val="008E2C7C"/>
    <w:rsid w:val="008E2C8D"/>
    <w:rsid w:val="008E2CDA"/>
    <w:rsid w:val="008E2D21"/>
    <w:rsid w:val="008E3EF0"/>
    <w:rsid w:val="008E46AC"/>
    <w:rsid w:val="008E482D"/>
    <w:rsid w:val="008E4FB6"/>
    <w:rsid w:val="008E54F6"/>
    <w:rsid w:val="008E586D"/>
    <w:rsid w:val="008E5BAA"/>
    <w:rsid w:val="008E5E3D"/>
    <w:rsid w:val="008E5E7A"/>
    <w:rsid w:val="008E6410"/>
    <w:rsid w:val="008E6F1A"/>
    <w:rsid w:val="008E7D6B"/>
    <w:rsid w:val="008F032C"/>
    <w:rsid w:val="008F0B0A"/>
    <w:rsid w:val="008F0C69"/>
    <w:rsid w:val="008F0DC0"/>
    <w:rsid w:val="008F0E4D"/>
    <w:rsid w:val="008F0E82"/>
    <w:rsid w:val="008F0F03"/>
    <w:rsid w:val="008F110A"/>
    <w:rsid w:val="008F1762"/>
    <w:rsid w:val="008F28B6"/>
    <w:rsid w:val="008F2C51"/>
    <w:rsid w:val="008F2DB6"/>
    <w:rsid w:val="008F2FBF"/>
    <w:rsid w:val="008F302A"/>
    <w:rsid w:val="008F325B"/>
    <w:rsid w:val="008F361C"/>
    <w:rsid w:val="008F39B2"/>
    <w:rsid w:val="008F4278"/>
    <w:rsid w:val="008F46C4"/>
    <w:rsid w:val="008F4708"/>
    <w:rsid w:val="008F53C8"/>
    <w:rsid w:val="008F5CE1"/>
    <w:rsid w:val="008F6054"/>
    <w:rsid w:val="008F6290"/>
    <w:rsid w:val="008F6685"/>
    <w:rsid w:val="008F6748"/>
    <w:rsid w:val="008F689C"/>
    <w:rsid w:val="008F6AD7"/>
    <w:rsid w:val="008F7C47"/>
    <w:rsid w:val="008F7FAB"/>
    <w:rsid w:val="009001B0"/>
    <w:rsid w:val="00900E3C"/>
    <w:rsid w:val="00902CA1"/>
    <w:rsid w:val="00902D1D"/>
    <w:rsid w:val="00904761"/>
    <w:rsid w:val="009048FB"/>
    <w:rsid w:val="00905394"/>
    <w:rsid w:val="00905406"/>
    <w:rsid w:val="00905C3B"/>
    <w:rsid w:val="00905D33"/>
    <w:rsid w:val="00905E28"/>
    <w:rsid w:val="0090645D"/>
    <w:rsid w:val="009065D3"/>
    <w:rsid w:val="009074E8"/>
    <w:rsid w:val="0090778C"/>
    <w:rsid w:val="0090787E"/>
    <w:rsid w:val="009078C7"/>
    <w:rsid w:val="0090794B"/>
    <w:rsid w:val="00907CAF"/>
    <w:rsid w:val="00907F34"/>
    <w:rsid w:val="00910332"/>
    <w:rsid w:val="00910335"/>
    <w:rsid w:val="009104DA"/>
    <w:rsid w:val="009110BA"/>
    <w:rsid w:val="009115FE"/>
    <w:rsid w:val="0091201A"/>
    <w:rsid w:val="009126D8"/>
    <w:rsid w:val="00912CAC"/>
    <w:rsid w:val="00913692"/>
    <w:rsid w:val="00913C60"/>
    <w:rsid w:val="00914F29"/>
    <w:rsid w:val="0091604D"/>
    <w:rsid w:val="00916BB3"/>
    <w:rsid w:val="00916C0B"/>
    <w:rsid w:val="00916DA7"/>
    <w:rsid w:val="00917F2F"/>
    <w:rsid w:val="009207C6"/>
    <w:rsid w:val="00920800"/>
    <w:rsid w:val="00920948"/>
    <w:rsid w:val="0092117F"/>
    <w:rsid w:val="00921640"/>
    <w:rsid w:val="0092172A"/>
    <w:rsid w:val="00921F02"/>
    <w:rsid w:val="00922460"/>
    <w:rsid w:val="00922651"/>
    <w:rsid w:val="009229C7"/>
    <w:rsid w:val="009237C7"/>
    <w:rsid w:val="00923E22"/>
    <w:rsid w:val="00924407"/>
    <w:rsid w:val="00924649"/>
    <w:rsid w:val="00924C1C"/>
    <w:rsid w:val="00924EF8"/>
    <w:rsid w:val="00925D3A"/>
    <w:rsid w:val="00925EEF"/>
    <w:rsid w:val="009262A1"/>
    <w:rsid w:val="00926F1F"/>
    <w:rsid w:val="00927A83"/>
    <w:rsid w:val="00927CE8"/>
    <w:rsid w:val="0093008B"/>
    <w:rsid w:val="009300F0"/>
    <w:rsid w:val="00930694"/>
    <w:rsid w:val="009307DE"/>
    <w:rsid w:val="00930A16"/>
    <w:rsid w:val="00930BE7"/>
    <w:rsid w:val="00930FCE"/>
    <w:rsid w:val="009310FB"/>
    <w:rsid w:val="0093199F"/>
    <w:rsid w:val="00931C77"/>
    <w:rsid w:val="0093279B"/>
    <w:rsid w:val="009328FB"/>
    <w:rsid w:val="00932B5C"/>
    <w:rsid w:val="00932D0C"/>
    <w:rsid w:val="009333E7"/>
    <w:rsid w:val="0093458C"/>
    <w:rsid w:val="009346BB"/>
    <w:rsid w:val="00934884"/>
    <w:rsid w:val="00934EB5"/>
    <w:rsid w:val="0093501E"/>
    <w:rsid w:val="009357D8"/>
    <w:rsid w:val="00935C36"/>
    <w:rsid w:val="00935E00"/>
    <w:rsid w:val="009362F8"/>
    <w:rsid w:val="009366C8"/>
    <w:rsid w:val="009369F5"/>
    <w:rsid w:val="00936AEA"/>
    <w:rsid w:val="009370C7"/>
    <w:rsid w:val="0093796C"/>
    <w:rsid w:val="00937D19"/>
    <w:rsid w:val="00940643"/>
    <w:rsid w:val="009406F1"/>
    <w:rsid w:val="00940994"/>
    <w:rsid w:val="00941525"/>
    <w:rsid w:val="0094184E"/>
    <w:rsid w:val="00943326"/>
    <w:rsid w:val="00943991"/>
    <w:rsid w:val="00944288"/>
    <w:rsid w:val="009442FA"/>
    <w:rsid w:val="00945777"/>
    <w:rsid w:val="00946023"/>
    <w:rsid w:val="00946E52"/>
    <w:rsid w:val="00947209"/>
    <w:rsid w:val="009475DE"/>
    <w:rsid w:val="009477E0"/>
    <w:rsid w:val="00950490"/>
    <w:rsid w:val="00950869"/>
    <w:rsid w:val="009511BF"/>
    <w:rsid w:val="009513AB"/>
    <w:rsid w:val="0095189C"/>
    <w:rsid w:val="00951CBF"/>
    <w:rsid w:val="0095224F"/>
    <w:rsid w:val="00952C67"/>
    <w:rsid w:val="009544EF"/>
    <w:rsid w:val="00954F51"/>
    <w:rsid w:val="0095557C"/>
    <w:rsid w:val="0095680F"/>
    <w:rsid w:val="00956C1A"/>
    <w:rsid w:val="009576DB"/>
    <w:rsid w:val="00957E2B"/>
    <w:rsid w:val="00960E14"/>
    <w:rsid w:val="009610FB"/>
    <w:rsid w:val="0096197A"/>
    <w:rsid w:val="0096232F"/>
    <w:rsid w:val="00962FB6"/>
    <w:rsid w:val="00963CE7"/>
    <w:rsid w:val="00963ECA"/>
    <w:rsid w:val="0096435A"/>
    <w:rsid w:val="0096490B"/>
    <w:rsid w:val="00965D7F"/>
    <w:rsid w:val="00966001"/>
    <w:rsid w:val="00966FC7"/>
    <w:rsid w:val="009674FF"/>
    <w:rsid w:val="00967551"/>
    <w:rsid w:val="009675C0"/>
    <w:rsid w:val="00967AB5"/>
    <w:rsid w:val="00967DDE"/>
    <w:rsid w:val="00967E8E"/>
    <w:rsid w:val="00971C0E"/>
    <w:rsid w:val="00971E9F"/>
    <w:rsid w:val="00971EC9"/>
    <w:rsid w:val="0097205C"/>
    <w:rsid w:val="009720C5"/>
    <w:rsid w:val="0097284A"/>
    <w:rsid w:val="009735A7"/>
    <w:rsid w:val="00973FD7"/>
    <w:rsid w:val="0097410A"/>
    <w:rsid w:val="00974DFC"/>
    <w:rsid w:val="00975050"/>
    <w:rsid w:val="009752AE"/>
    <w:rsid w:val="00976A13"/>
    <w:rsid w:val="00976AA2"/>
    <w:rsid w:val="00977AA8"/>
    <w:rsid w:val="0098159B"/>
    <w:rsid w:val="00981C25"/>
    <w:rsid w:val="00981F46"/>
    <w:rsid w:val="009826D0"/>
    <w:rsid w:val="0098305C"/>
    <w:rsid w:val="00983888"/>
    <w:rsid w:val="00983FFC"/>
    <w:rsid w:val="009842E6"/>
    <w:rsid w:val="00984660"/>
    <w:rsid w:val="00984692"/>
    <w:rsid w:val="009847F7"/>
    <w:rsid w:val="00984A72"/>
    <w:rsid w:val="00984D5A"/>
    <w:rsid w:val="009855DE"/>
    <w:rsid w:val="009857EC"/>
    <w:rsid w:val="0098595C"/>
    <w:rsid w:val="0098634F"/>
    <w:rsid w:val="00987296"/>
    <w:rsid w:val="00987AC0"/>
    <w:rsid w:val="00990377"/>
    <w:rsid w:val="00990A1D"/>
    <w:rsid w:val="00992D4C"/>
    <w:rsid w:val="00993A7B"/>
    <w:rsid w:val="00993A98"/>
    <w:rsid w:val="00993B7A"/>
    <w:rsid w:val="009945E8"/>
    <w:rsid w:val="00994890"/>
    <w:rsid w:val="009949C6"/>
    <w:rsid w:val="009959D7"/>
    <w:rsid w:val="00995D1B"/>
    <w:rsid w:val="00995FEA"/>
    <w:rsid w:val="0099655E"/>
    <w:rsid w:val="00996C48"/>
    <w:rsid w:val="00996FBC"/>
    <w:rsid w:val="009973AF"/>
    <w:rsid w:val="0099750E"/>
    <w:rsid w:val="009975D1"/>
    <w:rsid w:val="009A0550"/>
    <w:rsid w:val="009A0F7D"/>
    <w:rsid w:val="009A1CB8"/>
    <w:rsid w:val="009A2496"/>
    <w:rsid w:val="009A2CDF"/>
    <w:rsid w:val="009A32F2"/>
    <w:rsid w:val="009A3BE8"/>
    <w:rsid w:val="009A3FE6"/>
    <w:rsid w:val="009A40CA"/>
    <w:rsid w:val="009A478D"/>
    <w:rsid w:val="009A498A"/>
    <w:rsid w:val="009A4A95"/>
    <w:rsid w:val="009A5296"/>
    <w:rsid w:val="009A62B5"/>
    <w:rsid w:val="009A65F3"/>
    <w:rsid w:val="009A6E74"/>
    <w:rsid w:val="009A7024"/>
    <w:rsid w:val="009A7A5B"/>
    <w:rsid w:val="009B20B1"/>
    <w:rsid w:val="009B31A2"/>
    <w:rsid w:val="009B334F"/>
    <w:rsid w:val="009B3835"/>
    <w:rsid w:val="009B403A"/>
    <w:rsid w:val="009B4059"/>
    <w:rsid w:val="009B4102"/>
    <w:rsid w:val="009B42FB"/>
    <w:rsid w:val="009B4CC3"/>
    <w:rsid w:val="009B4EA1"/>
    <w:rsid w:val="009B5105"/>
    <w:rsid w:val="009B5D09"/>
    <w:rsid w:val="009B62EC"/>
    <w:rsid w:val="009B6B3C"/>
    <w:rsid w:val="009B6B76"/>
    <w:rsid w:val="009B6F04"/>
    <w:rsid w:val="009B72DF"/>
    <w:rsid w:val="009B7E46"/>
    <w:rsid w:val="009C0F8D"/>
    <w:rsid w:val="009C1365"/>
    <w:rsid w:val="009C14B7"/>
    <w:rsid w:val="009C1A84"/>
    <w:rsid w:val="009C1A8F"/>
    <w:rsid w:val="009C1E0C"/>
    <w:rsid w:val="009C1FA7"/>
    <w:rsid w:val="009C21A1"/>
    <w:rsid w:val="009C22EC"/>
    <w:rsid w:val="009C2AAB"/>
    <w:rsid w:val="009C2DD7"/>
    <w:rsid w:val="009C33A8"/>
    <w:rsid w:val="009C3766"/>
    <w:rsid w:val="009C4E3A"/>
    <w:rsid w:val="009C5CB6"/>
    <w:rsid w:val="009C5F8D"/>
    <w:rsid w:val="009C6282"/>
    <w:rsid w:val="009C651E"/>
    <w:rsid w:val="009C6B12"/>
    <w:rsid w:val="009C72B8"/>
    <w:rsid w:val="009C7699"/>
    <w:rsid w:val="009C7819"/>
    <w:rsid w:val="009D0145"/>
    <w:rsid w:val="009D111C"/>
    <w:rsid w:val="009D1AA0"/>
    <w:rsid w:val="009D1CBD"/>
    <w:rsid w:val="009D2125"/>
    <w:rsid w:val="009D212E"/>
    <w:rsid w:val="009D2B44"/>
    <w:rsid w:val="009D512E"/>
    <w:rsid w:val="009D55DB"/>
    <w:rsid w:val="009D58F3"/>
    <w:rsid w:val="009D591F"/>
    <w:rsid w:val="009D5D73"/>
    <w:rsid w:val="009D61E4"/>
    <w:rsid w:val="009D7751"/>
    <w:rsid w:val="009E04C0"/>
    <w:rsid w:val="009E09B1"/>
    <w:rsid w:val="009E300E"/>
    <w:rsid w:val="009E3165"/>
    <w:rsid w:val="009E3336"/>
    <w:rsid w:val="009E3E5D"/>
    <w:rsid w:val="009E4323"/>
    <w:rsid w:val="009E4688"/>
    <w:rsid w:val="009E54E7"/>
    <w:rsid w:val="009E585F"/>
    <w:rsid w:val="009E65DE"/>
    <w:rsid w:val="009E6C20"/>
    <w:rsid w:val="009E6EA3"/>
    <w:rsid w:val="009F08BD"/>
    <w:rsid w:val="009F092D"/>
    <w:rsid w:val="009F0A35"/>
    <w:rsid w:val="009F11CF"/>
    <w:rsid w:val="009F1F3E"/>
    <w:rsid w:val="009F1F59"/>
    <w:rsid w:val="009F1F76"/>
    <w:rsid w:val="009F2339"/>
    <w:rsid w:val="009F2CF5"/>
    <w:rsid w:val="009F3032"/>
    <w:rsid w:val="009F3087"/>
    <w:rsid w:val="009F31B3"/>
    <w:rsid w:val="009F42E1"/>
    <w:rsid w:val="009F442A"/>
    <w:rsid w:val="009F45B4"/>
    <w:rsid w:val="009F4691"/>
    <w:rsid w:val="009F5261"/>
    <w:rsid w:val="009F5994"/>
    <w:rsid w:val="009F67F7"/>
    <w:rsid w:val="009F69E9"/>
    <w:rsid w:val="009F69F8"/>
    <w:rsid w:val="009F6D50"/>
    <w:rsid w:val="009F71F8"/>
    <w:rsid w:val="00A00C9C"/>
    <w:rsid w:val="00A015FB"/>
    <w:rsid w:val="00A01607"/>
    <w:rsid w:val="00A01742"/>
    <w:rsid w:val="00A020A4"/>
    <w:rsid w:val="00A025C5"/>
    <w:rsid w:val="00A02DE6"/>
    <w:rsid w:val="00A02F79"/>
    <w:rsid w:val="00A03183"/>
    <w:rsid w:val="00A03BA2"/>
    <w:rsid w:val="00A03BCB"/>
    <w:rsid w:val="00A04344"/>
    <w:rsid w:val="00A04362"/>
    <w:rsid w:val="00A047F8"/>
    <w:rsid w:val="00A0482E"/>
    <w:rsid w:val="00A04CE9"/>
    <w:rsid w:val="00A05859"/>
    <w:rsid w:val="00A05CF7"/>
    <w:rsid w:val="00A068E0"/>
    <w:rsid w:val="00A069C6"/>
    <w:rsid w:val="00A06B12"/>
    <w:rsid w:val="00A07078"/>
    <w:rsid w:val="00A070BF"/>
    <w:rsid w:val="00A07362"/>
    <w:rsid w:val="00A07AE0"/>
    <w:rsid w:val="00A07C20"/>
    <w:rsid w:val="00A115AC"/>
    <w:rsid w:val="00A11831"/>
    <w:rsid w:val="00A11BA3"/>
    <w:rsid w:val="00A11C7F"/>
    <w:rsid w:val="00A12A29"/>
    <w:rsid w:val="00A12BCB"/>
    <w:rsid w:val="00A1325D"/>
    <w:rsid w:val="00A1334C"/>
    <w:rsid w:val="00A136A3"/>
    <w:rsid w:val="00A13CFF"/>
    <w:rsid w:val="00A13E37"/>
    <w:rsid w:val="00A13E48"/>
    <w:rsid w:val="00A14444"/>
    <w:rsid w:val="00A145B8"/>
    <w:rsid w:val="00A14702"/>
    <w:rsid w:val="00A14B9C"/>
    <w:rsid w:val="00A15393"/>
    <w:rsid w:val="00A160E4"/>
    <w:rsid w:val="00A16836"/>
    <w:rsid w:val="00A16A75"/>
    <w:rsid w:val="00A17056"/>
    <w:rsid w:val="00A1737E"/>
    <w:rsid w:val="00A2002B"/>
    <w:rsid w:val="00A2005E"/>
    <w:rsid w:val="00A20308"/>
    <w:rsid w:val="00A20764"/>
    <w:rsid w:val="00A20913"/>
    <w:rsid w:val="00A20A04"/>
    <w:rsid w:val="00A21004"/>
    <w:rsid w:val="00A2230E"/>
    <w:rsid w:val="00A22AEC"/>
    <w:rsid w:val="00A22B4D"/>
    <w:rsid w:val="00A23C93"/>
    <w:rsid w:val="00A240AA"/>
    <w:rsid w:val="00A24F91"/>
    <w:rsid w:val="00A25732"/>
    <w:rsid w:val="00A26534"/>
    <w:rsid w:val="00A265D8"/>
    <w:rsid w:val="00A3018C"/>
    <w:rsid w:val="00A30398"/>
    <w:rsid w:val="00A30509"/>
    <w:rsid w:val="00A30980"/>
    <w:rsid w:val="00A30C34"/>
    <w:rsid w:val="00A30C96"/>
    <w:rsid w:val="00A31AF4"/>
    <w:rsid w:val="00A31B1D"/>
    <w:rsid w:val="00A31B93"/>
    <w:rsid w:val="00A32DDA"/>
    <w:rsid w:val="00A3327B"/>
    <w:rsid w:val="00A33556"/>
    <w:rsid w:val="00A338DA"/>
    <w:rsid w:val="00A34498"/>
    <w:rsid w:val="00A3454F"/>
    <w:rsid w:val="00A358F5"/>
    <w:rsid w:val="00A35B04"/>
    <w:rsid w:val="00A35C4C"/>
    <w:rsid w:val="00A35E63"/>
    <w:rsid w:val="00A360CC"/>
    <w:rsid w:val="00A36371"/>
    <w:rsid w:val="00A374B5"/>
    <w:rsid w:val="00A37991"/>
    <w:rsid w:val="00A37AC1"/>
    <w:rsid w:val="00A403F3"/>
    <w:rsid w:val="00A40FDF"/>
    <w:rsid w:val="00A411C5"/>
    <w:rsid w:val="00A417AA"/>
    <w:rsid w:val="00A42A34"/>
    <w:rsid w:val="00A42E2F"/>
    <w:rsid w:val="00A430BF"/>
    <w:rsid w:val="00A43107"/>
    <w:rsid w:val="00A43283"/>
    <w:rsid w:val="00A435C7"/>
    <w:rsid w:val="00A44199"/>
    <w:rsid w:val="00A44EB3"/>
    <w:rsid w:val="00A45208"/>
    <w:rsid w:val="00A46048"/>
    <w:rsid w:val="00A463F8"/>
    <w:rsid w:val="00A4678B"/>
    <w:rsid w:val="00A47313"/>
    <w:rsid w:val="00A47F25"/>
    <w:rsid w:val="00A50A26"/>
    <w:rsid w:val="00A50F4B"/>
    <w:rsid w:val="00A514D8"/>
    <w:rsid w:val="00A516FE"/>
    <w:rsid w:val="00A51F5A"/>
    <w:rsid w:val="00A5256F"/>
    <w:rsid w:val="00A52ADB"/>
    <w:rsid w:val="00A536C8"/>
    <w:rsid w:val="00A538F6"/>
    <w:rsid w:val="00A54742"/>
    <w:rsid w:val="00A547D3"/>
    <w:rsid w:val="00A54F2F"/>
    <w:rsid w:val="00A567A0"/>
    <w:rsid w:val="00A56997"/>
    <w:rsid w:val="00A569BB"/>
    <w:rsid w:val="00A57087"/>
    <w:rsid w:val="00A57883"/>
    <w:rsid w:val="00A57ABB"/>
    <w:rsid w:val="00A57B09"/>
    <w:rsid w:val="00A60085"/>
    <w:rsid w:val="00A60A49"/>
    <w:rsid w:val="00A60E62"/>
    <w:rsid w:val="00A6201B"/>
    <w:rsid w:val="00A636F6"/>
    <w:rsid w:val="00A63F8A"/>
    <w:rsid w:val="00A6461B"/>
    <w:rsid w:val="00A64942"/>
    <w:rsid w:val="00A65162"/>
    <w:rsid w:val="00A65224"/>
    <w:rsid w:val="00A65A3E"/>
    <w:rsid w:val="00A65F64"/>
    <w:rsid w:val="00A664EB"/>
    <w:rsid w:val="00A66665"/>
    <w:rsid w:val="00A67462"/>
    <w:rsid w:val="00A70EFC"/>
    <w:rsid w:val="00A71E6A"/>
    <w:rsid w:val="00A71FF0"/>
    <w:rsid w:val="00A7233C"/>
    <w:rsid w:val="00A72366"/>
    <w:rsid w:val="00A723F4"/>
    <w:rsid w:val="00A72430"/>
    <w:rsid w:val="00A731BE"/>
    <w:rsid w:val="00A733E9"/>
    <w:rsid w:val="00A74722"/>
    <w:rsid w:val="00A759CC"/>
    <w:rsid w:val="00A75E2C"/>
    <w:rsid w:val="00A769F1"/>
    <w:rsid w:val="00A76CA1"/>
    <w:rsid w:val="00A775C4"/>
    <w:rsid w:val="00A7784D"/>
    <w:rsid w:val="00A7798E"/>
    <w:rsid w:val="00A77E43"/>
    <w:rsid w:val="00A77F85"/>
    <w:rsid w:val="00A8006D"/>
    <w:rsid w:val="00A8030B"/>
    <w:rsid w:val="00A80F5E"/>
    <w:rsid w:val="00A80FAB"/>
    <w:rsid w:val="00A814D7"/>
    <w:rsid w:val="00A81FB0"/>
    <w:rsid w:val="00A82171"/>
    <w:rsid w:val="00A835EE"/>
    <w:rsid w:val="00A835F6"/>
    <w:rsid w:val="00A83FE5"/>
    <w:rsid w:val="00A84539"/>
    <w:rsid w:val="00A84E39"/>
    <w:rsid w:val="00A85679"/>
    <w:rsid w:val="00A85F57"/>
    <w:rsid w:val="00A8616C"/>
    <w:rsid w:val="00A862E0"/>
    <w:rsid w:val="00A8641E"/>
    <w:rsid w:val="00A87666"/>
    <w:rsid w:val="00A879A4"/>
    <w:rsid w:val="00A879D1"/>
    <w:rsid w:val="00A87C38"/>
    <w:rsid w:val="00A90843"/>
    <w:rsid w:val="00A90B91"/>
    <w:rsid w:val="00A914C9"/>
    <w:rsid w:val="00A91EA4"/>
    <w:rsid w:val="00A92B65"/>
    <w:rsid w:val="00A93748"/>
    <w:rsid w:val="00A93877"/>
    <w:rsid w:val="00A93DB4"/>
    <w:rsid w:val="00A93E4F"/>
    <w:rsid w:val="00A93F15"/>
    <w:rsid w:val="00A9438C"/>
    <w:rsid w:val="00A94BB6"/>
    <w:rsid w:val="00A94F38"/>
    <w:rsid w:val="00A9533A"/>
    <w:rsid w:val="00A95562"/>
    <w:rsid w:val="00A958DF"/>
    <w:rsid w:val="00A95AB3"/>
    <w:rsid w:val="00A964E3"/>
    <w:rsid w:val="00A96EAD"/>
    <w:rsid w:val="00A974E1"/>
    <w:rsid w:val="00AA07F0"/>
    <w:rsid w:val="00AA0B5A"/>
    <w:rsid w:val="00AA1C18"/>
    <w:rsid w:val="00AA2303"/>
    <w:rsid w:val="00AA35C5"/>
    <w:rsid w:val="00AA3647"/>
    <w:rsid w:val="00AA3730"/>
    <w:rsid w:val="00AA3782"/>
    <w:rsid w:val="00AA3B99"/>
    <w:rsid w:val="00AA404A"/>
    <w:rsid w:val="00AA4552"/>
    <w:rsid w:val="00AA5B7A"/>
    <w:rsid w:val="00AA5BCB"/>
    <w:rsid w:val="00AA5FBE"/>
    <w:rsid w:val="00AA631C"/>
    <w:rsid w:val="00AA69E4"/>
    <w:rsid w:val="00AA716B"/>
    <w:rsid w:val="00AA7861"/>
    <w:rsid w:val="00AA7E37"/>
    <w:rsid w:val="00AB0362"/>
    <w:rsid w:val="00AB074D"/>
    <w:rsid w:val="00AB1067"/>
    <w:rsid w:val="00AB155F"/>
    <w:rsid w:val="00AB1AB8"/>
    <w:rsid w:val="00AB2419"/>
    <w:rsid w:val="00AB259D"/>
    <w:rsid w:val="00AB25EB"/>
    <w:rsid w:val="00AB3BDB"/>
    <w:rsid w:val="00AB42AB"/>
    <w:rsid w:val="00AB4BA5"/>
    <w:rsid w:val="00AB4D9D"/>
    <w:rsid w:val="00AB5662"/>
    <w:rsid w:val="00AB5ED7"/>
    <w:rsid w:val="00AB5F3B"/>
    <w:rsid w:val="00AB5FDB"/>
    <w:rsid w:val="00AB6316"/>
    <w:rsid w:val="00AB66C4"/>
    <w:rsid w:val="00AB6978"/>
    <w:rsid w:val="00AB6F89"/>
    <w:rsid w:val="00AB74DC"/>
    <w:rsid w:val="00AB758E"/>
    <w:rsid w:val="00AB7885"/>
    <w:rsid w:val="00AB7E93"/>
    <w:rsid w:val="00AC00A2"/>
    <w:rsid w:val="00AC01EE"/>
    <w:rsid w:val="00AC15A9"/>
    <w:rsid w:val="00AC1D9F"/>
    <w:rsid w:val="00AC1F74"/>
    <w:rsid w:val="00AC291D"/>
    <w:rsid w:val="00AC3EF4"/>
    <w:rsid w:val="00AC401B"/>
    <w:rsid w:val="00AC4317"/>
    <w:rsid w:val="00AC459E"/>
    <w:rsid w:val="00AC479F"/>
    <w:rsid w:val="00AC50BE"/>
    <w:rsid w:val="00AC5482"/>
    <w:rsid w:val="00AC69F6"/>
    <w:rsid w:val="00AC6C58"/>
    <w:rsid w:val="00AC73CA"/>
    <w:rsid w:val="00AC768C"/>
    <w:rsid w:val="00AC7CD8"/>
    <w:rsid w:val="00AC7FB3"/>
    <w:rsid w:val="00AD0100"/>
    <w:rsid w:val="00AD058F"/>
    <w:rsid w:val="00AD19CA"/>
    <w:rsid w:val="00AD1FDD"/>
    <w:rsid w:val="00AD26DD"/>
    <w:rsid w:val="00AD2742"/>
    <w:rsid w:val="00AD2ECB"/>
    <w:rsid w:val="00AD369C"/>
    <w:rsid w:val="00AD386C"/>
    <w:rsid w:val="00AD4D46"/>
    <w:rsid w:val="00AD5B42"/>
    <w:rsid w:val="00AD5E9B"/>
    <w:rsid w:val="00AD5EED"/>
    <w:rsid w:val="00AD6E80"/>
    <w:rsid w:val="00AD7253"/>
    <w:rsid w:val="00AD74A4"/>
    <w:rsid w:val="00AD74F0"/>
    <w:rsid w:val="00AD78F6"/>
    <w:rsid w:val="00AD7E82"/>
    <w:rsid w:val="00AE039F"/>
    <w:rsid w:val="00AE040A"/>
    <w:rsid w:val="00AE0DD0"/>
    <w:rsid w:val="00AE0FDC"/>
    <w:rsid w:val="00AE1915"/>
    <w:rsid w:val="00AE21A5"/>
    <w:rsid w:val="00AE260B"/>
    <w:rsid w:val="00AE277E"/>
    <w:rsid w:val="00AE2AFA"/>
    <w:rsid w:val="00AE2B95"/>
    <w:rsid w:val="00AE2D8B"/>
    <w:rsid w:val="00AE2F0F"/>
    <w:rsid w:val="00AE45BF"/>
    <w:rsid w:val="00AE623F"/>
    <w:rsid w:val="00AE6922"/>
    <w:rsid w:val="00AE7578"/>
    <w:rsid w:val="00AE766D"/>
    <w:rsid w:val="00AE7AAD"/>
    <w:rsid w:val="00AE7C3B"/>
    <w:rsid w:val="00AF01E6"/>
    <w:rsid w:val="00AF028C"/>
    <w:rsid w:val="00AF0AA8"/>
    <w:rsid w:val="00AF0CE8"/>
    <w:rsid w:val="00AF0EDA"/>
    <w:rsid w:val="00AF0FA0"/>
    <w:rsid w:val="00AF158E"/>
    <w:rsid w:val="00AF235B"/>
    <w:rsid w:val="00AF2485"/>
    <w:rsid w:val="00AF29F9"/>
    <w:rsid w:val="00AF2DA1"/>
    <w:rsid w:val="00AF32E2"/>
    <w:rsid w:val="00AF3CD6"/>
    <w:rsid w:val="00AF4140"/>
    <w:rsid w:val="00AF49CF"/>
    <w:rsid w:val="00AF526F"/>
    <w:rsid w:val="00AF5312"/>
    <w:rsid w:val="00AF56CD"/>
    <w:rsid w:val="00AF6495"/>
    <w:rsid w:val="00AF6565"/>
    <w:rsid w:val="00AF67F4"/>
    <w:rsid w:val="00AF7095"/>
    <w:rsid w:val="00B00DC0"/>
    <w:rsid w:val="00B00DFB"/>
    <w:rsid w:val="00B01320"/>
    <w:rsid w:val="00B01547"/>
    <w:rsid w:val="00B01796"/>
    <w:rsid w:val="00B0198A"/>
    <w:rsid w:val="00B01DB1"/>
    <w:rsid w:val="00B01DEE"/>
    <w:rsid w:val="00B0203F"/>
    <w:rsid w:val="00B026C8"/>
    <w:rsid w:val="00B02907"/>
    <w:rsid w:val="00B032B2"/>
    <w:rsid w:val="00B039A4"/>
    <w:rsid w:val="00B0401B"/>
    <w:rsid w:val="00B0422A"/>
    <w:rsid w:val="00B04461"/>
    <w:rsid w:val="00B0476B"/>
    <w:rsid w:val="00B04981"/>
    <w:rsid w:val="00B04FE2"/>
    <w:rsid w:val="00B05E16"/>
    <w:rsid w:val="00B06773"/>
    <w:rsid w:val="00B07049"/>
    <w:rsid w:val="00B070DB"/>
    <w:rsid w:val="00B077CF"/>
    <w:rsid w:val="00B0791F"/>
    <w:rsid w:val="00B11192"/>
    <w:rsid w:val="00B117D7"/>
    <w:rsid w:val="00B118F3"/>
    <w:rsid w:val="00B11FDE"/>
    <w:rsid w:val="00B12168"/>
    <w:rsid w:val="00B121B3"/>
    <w:rsid w:val="00B12338"/>
    <w:rsid w:val="00B123BD"/>
    <w:rsid w:val="00B135F8"/>
    <w:rsid w:val="00B13804"/>
    <w:rsid w:val="00B14315"/>
    <w:rsid w:val="00B14950"/>
    <w:rsid w:val="00B14E1B"/>
    <w:rsid w:val="00B15FA0"/>
    <w:rsid w:val="00B161DD"/>
    <w:rsid w:val="00B16229"/>
    <w:rsid w:val="00B16321"/>
    <w:rsid w:val="00B16F60"/>
    <w:rsid w:val="00B173F5"/>
    <w:rsid w:val="00B17561"/>
    <w:rsid w:val="00B178FA"/>
    <w:rsid w:val="00B17B40"/>
    <w:rsid w:val="00B17F0D"/>
    <w:rsid w:val="00B225C7"/>
    <w:rsid w:val="00B22D23"/>
    <w:rsid w:val="00B231B6"/>
    <w:rsid w:val="00B246F6"/>
    <w:rsid w:val="00B24FC4"/>
    <w:rsid w:val="00B2521E"/>
    <w:rsid w:val="00B25744"/>
    <w:rsid w:val="00B25F00"/>
    <w:rsid w:val="00B2622F"/>
    <w:rsid w:val="00B26853"/>
    <w:rsid w:val="00B26C80"/>
    <w:rsid w:val="00B26FEE"/>
    <w:rsid w:val="00B27856"/>
    <w:rsid w:val="00B27F6F"/>
    <w:rsid w:val="00B30632"/>
    <w:rsid w:val="00B3151F"/>
    <w:rsid w:val="00B317B6"/>
    <w:rsid w:val="00B31F0B"/>
    <w:rsid w:val="00B322BF"/>
    <w:rsid w:val="00B32B53"/>
    <w:rsid w:val="00B32C06"/>
    <w:rsid w:val="00B33D98"/>
    <w:rsid w:val="00B3414B"/>
    <w:rsid w:val="00B3425A"/>
    <w:rsid w:val="00B3452F"/>
    <w:rsid w:val="00B347E7"/>
    <w:rsid w:val="00B3497B"/>
    <w:rsid w:val="00B34E29"/>
    <w:rsid w:val="00B358A8"/>
    <w:rsid w:val="00B359CA"/>
    <w:rsid w:val="00B35C0B"/>
    <w:rsid w:val="00B35E4E"/>
    <w:rsid w:val="00B35FA5"/>
    <w:rsid w:val="00B3642B"/>
    <w:rsid w:val="00B36599"/>
    <w:rsid w:val="00B369E7"/>
    <w:rsid w:val="00B3707B"/>
    <w:rsid w:val="00B3795C"/>
    <w:rsid w:val="00B37E72"/>
    <w:rsid w:val="00B40A47"/>
    <w:rsid w:val="00B41305"/>
    <w:rsid w:val="00B417FB"/>
    <w:rsid w:val="00B41AB5"/>
    <w:rsid w:val="00B42382"/>
    <w:rsid w:val="00B42587"/>
    <w:rsid w:val="00B432EE"/>
    <w:rsid w:val="00B45611"/>
    <w:rsid w:val="00B45BFD"/>
    <w:rsid w:val="00B476C6"/>
    <w:rsid w:val="00B47CE7"/>
    <w:rsid w:val="00B47EA9"/>
    <w:rsid w:val="00B50123"/>
    <w:rsid w:val="00B50FCE"/>
    <w:rsid w:val="00B516C3"/>
    <w:rsid w:val="00B51C7C"/>
    <w:rsid w:val="00B52475"/>
    <w:rsid w:val="00B529AF"/>
    <w:rsid w:val="00B52CCF"/>
    <w:rsid w:val="00B53439"/>
    <w:rsid w:val="00B5352F"/>
    <w:rsid w:val="00B540C6"/>
    <w:rsid w:val="00B54497"/>
    <w:rsid w:val="00B545E6"/>
    <w:rsid w:val="00B54E36"/>
    <w:rsid w:val="00B55046"/>
    <w:rsid w:val="00B55A8E"/>
    <w:rsid w:val="00B563A9"/>
    <w:rsid w:val="00B565CF"/>
    <w:rsid w:val="00B57897"/>
    <w:rsid w:val="00B61108"/>
    <w:rsid w:val="00B61874"/>
    <w:rsid w:val="00B61A05"/>
    <w:rsid w:val="00B61CA4"/>
    <w:rsid w:val="00B6266E"/>
    <w:rsid w:val="00B62E60"/>
    <w:rsid w:val="00B6321B"/>
    <w:rsid w:val="00B633A4"/>
    <w:rsid w:val="00B63664"/>
    <w:rsid w:val="00B63873"/>
    <w:rsid w:val="00B639B3"/>
    <w:rsid w:val="00B6410C"/>
    <w:rsid w:val="00B64457"/>
    <w:rsid w:val="00B6455D"/>
    <w:rsid w:val="00B65600"/>
    <w:rsid w:val="00B65957"/>
    <w:rsid w:val="00B65B07"/>
    <w:rsid w:val="00B662D5"/>
    <w:rsid w:val="00B67318"/>
    <w:rsid w:val="00B673FE"/>
    <w:rsid w:val="00B67EF8"/>
    <w:rsid w:val="00B70180"/>
    <w:rsid w:val="00B701A7"/>
    <w:rsid w:val="00B70E28"/>
    <w:rsid w:val="00B70FA1"/>
    <w:rsid w:val="00B71BEE"/>
    <w:rsid w:val="00B7202E"/>
    <w:rsid w:val="00B7267D"/>
    <w:rsid w:val="00B73C80"/>
    <w:rsid w:val="00B73DC8"/>
    <w:rsid w:val="00B74702"/>
    <w:rsid w:val="00B74BF8"/>
    <w:rsid w:val="00B75282"/>
    <w:rsid w:val="00B755AB"/>
    <w:rsid w:val="00B765B6"/>
    <w:rsid w:val="00B766FC"/>
    <w:rsid w:val="00B76B0B"/>
    <w:rsid w:val="00B76DA0"/>
    <w:rsid w:val="00B772CC"/>
    <w:rsid w:val="00B77830"/>
    <w:rsid w:val="00B77AE3"/>
    <w:rsid w:val="00B77B5C"/>
    <w:rsid w:val="00B77BB8"/>
    <w:rsid w:val="00B8002E"/>
    <w:rsid w:val="00B8019A"/>
    <w:rsid w:val="00B804E3"/>
    <w:rsid w:val="00B8086B"/>
    <w:rsid w:val="00B8238D"/>
    <w:rsid w:val="00B82B2D"/>
    <w:rsid w:val="00B82B89"/>
    <w:rsid w:val="00B8341F"/>
    <w:rsid w:val="00B8350E"/>
    <w:rsid w:val="00B85D9F"/>
    <w:rsid w:val="00B87299"/>
    <w:rsid w:val="00B87547"/>
    <w:rsid w:val="00B87BEC"/>
    <w:rsid w:val="00B87F3F"/>
    <w:rsid w:val="00B90957"/>
    <w:rsid w:val="00B90AF1"/>
    <w:rsid w:val="00B90C2A"/>
    <w:rsid w:val="00B90F24"/>
    <w:rsid w:val="00B915EE"/>
    <w:rsid w:val="00B9260F"/>
    <w:rsid w:val="00B92645"/>
    <w:rsid w:val="00B92B7A"/>
    <w:rsid w:val="00B935FD"/>
    <w:rsid w:val="00B94172"/>
    <w:rsid w:val="00B945A2"/>
    <w:rsid w:val="00B946D4"/>
    <w:rsid w:val="00B94FBC"/>
    <w:rsid w:val="00B9552B"/>
    <w:rsid w:val="00B955F1"/>
    <w:rsid w:val="00B95C29"/>
    <w:rsid w:val="00B95D80"/>
    <w:rsid w:val="00B97136"/>
    <w:rsid w:val="00B97289"/>
    <w:rsid w:val="00B97668"/>
    <w:rsid w:val="00B97BBC"/>
    <w:rsid w:val="00BA0477"/>
    <w:rsid w:val="00BA04EB"/>
    <w:rsid w:val="00BA0798"/>
    <w:rsid w:val="00BA0E14"/>
    <w:rsid w:val="00BA0F31"/>
    <w:rsid w:val="00BA3019"/>
    <w:rsid w:val="00BA38B7"/>
    <w:rsid w:val="00BA3E70"/>
    <w:rsid w:val="00BA4689"/>
    <w:rsid w:val="00BA486F"/>
    <w:rsid w:val="00BA4C6B"/>
    <w:rsid w:val="00BA4EB0"/>
    <w:rsid w:val="00BA670E"/>
    <w:rsid w:val="00BA6AF2"/>
    <w:rsid w:val="00BA7FD5"/>
    <w:rsid w:val="00BB19DF"/>
    <w:rsid w:val="00BB245E"/>
    <w:rsid w:val="00BB2641"/>
    <w:rsid w:val="00BB2679"/>
    <w:rsid w:val="00BB27C5"/>
    <w:rsid w:val="00BB293A"/>
    <w:rsid w:val="00BB2D21"/>
    <w:rsid w:val="00BB3140"/>
    <w:rsid w:val="00BB341D"/>
    <w:rsid w:val="00BB3541"/>
    <w:rsid w:val="00BB3B73"/>
    <w:rsid w:val="00BB4403"/>
    <w:rsid w:val="00BB47D3"/>
    <w:rsid w:val="00BB4CEA"/>
    <w:rsid w:val="00BB59F0"/>
    <w:rsid w:val="00BB5A9C"/>
    <w:rsid w:val="00BB5C8F"/>
    <w:rsid w:val="00BB6214"/>
    <w:rsid w:val="00BB6735"/>
    <w:rsid w:val="00BB6875"/>
    <w:rsid w:val="00BB6BAE"/>
    <w:rsid w:val="00BB7FA3"/>
    <w:rsid w:val="00BC0430"/>
    <w:rsid w:val="00BC0C9E"/>
    <w:rsid w:val="00BC1355"/>
    <w:rsid w:val="00BC18A5"/>
    <w:rsid w:val="00BC193E"/>
    <w:rsid w:val="00BC19D9"/>
    <w:rsid w:val="00BC1D6D"/>
    <w:rsid w:val="00BC1F3A"/>
    <w:rsid w:val="00BC1F88"/>
    <w:rsid w:val="00BC2177"/>
    <w:rsid w:val="00BC2810"/>
    <w:rsid w:val="00BC34B5"/>
    <w:rsid w:val="00BC3540"/>
    <w:rsid w:val="00BC3DEA"/>
    <w:rsid w:val="00BC501A"/>
    <w:rsid w:val="00BC522D"/>
    <w:rsid w:val="00BC580B"/>
    <w:rsid w:val="00BC63E3"/>
    <w:rsid w:val="00BC7E12"/>
    <w:rsid w:val="00BD0053"/>
    <w:rsid w:val="00BD07C6"/>
    <w:rsid w:val="00BD134F"/>
    <w:rsid w:val="00BD19D9"/>
    <w:rsid w:val="00BD1DBF"/>
    <w:rsid w:val="00BD2B1B"/>
    <w:rsid w:val="00BD36D4"/>
    <w:rsid w:val="00BD3DCE"/>
    <w:rsid w:val="00BD4048"/>
    <w:rsid w:val="00BD452A"/>
    <w:rsid w:val="00BD464C"/>
    <w:rsid w:val="00BD4821"/>
    <w:rsid w:val="00BD4A9F"/>
    <w:rsid w:val="00BD4CF8"/>
    <w:rsid w:val="00BD744B"/>
    <w:rsid w:val="00BD7518"/>
    <w:rsid w:val="00BE03DD"/>
    <w:rsid w:val="00BE05DE"/>
    <w:rsid w:val="00BE0CC5"/>
    <w:rsid w:val="00BE1F3D"/>
    <w:rsid w:val="00BE3491"/>
    <w:rsid w:val="00BE35A9"/>
    <w:rsid w:val="00BE37B2"/>
    <w:rsid w:val="00BE3B94"/>
    <w:rsid w:val="00BE3E9B"/>
    <w:rsid w:val="00BE4324"/>
    <w:rsid w:val="00BE4B31"/>
    <w:rsid w:val="00BE53DA"/>
    <w:rsid w:val="00BE577C"/>
    <w:rsid w:val="00BE58B3"/>
    <w:rsid w:val="00BE58BC"/>
    <w:rsid w:val="00BE5D26"/>
    <w:rsid w:val="00BE6A74"/>
    <w:rsid w:val="00BE6A95"/>
    <w:rsid w:val="00BE6B89"/>
    <w:rsid w:val="00BE7B47"/>
    <w:rsid w:val="00BF0074"/>
    <w:rsid w:val="00BF05E6"/>
    <w:rsid w:val="00BF09F5"/>
    <w:rsid w:val="00BF1020"/>
    <w:rsid w:val="00BF10BE"/>
    <w:rsid w:val="00BF1774"/>
    <w:rsid w:val="00BF2448"/>
    <w:rsid w:val="00BF2639"/>
    <w:rsid w:val="00BF3067"/>
    <w:rsid w:val="00BF3486"/>
    <w:rsid w:val="00BF46FD"/>
    <w:rsid w:val="00BF5346"/>
    <w:rsid w:val="00BF573D"/>
    <w:rsid w:val="00BF5B11"/>
    <w:rsid w:val="00BF5EA6"/>
    <w:rsid w:val="00BF6105"/>
    <w:rsid w:val="00BF6421"/>
    <w:rsid w:val="00BF6AFA"/>
    <w:rsid w:val="00BF7849"/>
    <w:rsid w:val="00BF78D9"/>
    <w:rsid w:val="00C0133A"/>
    <w:rsid w:val="00C01356"/>
    <w:rsid w:val="00C019A6"/>
    <w:rsid w:val="00C02EC1"/>
    <w:rsid w:val="00C02F98"/>
    <w:rsid w:val="00C035F4"/>
    <w:rsid w:val="00C03E6D"/>
    <w:rsid w:val="00C04106"/>
    <w:rsid w:val="00C05036"/>
    <w:rsid w:val="00C062D6"/>
    <w:rsid w:val="00C06496"/>
    <w:rsid w:val="00C06B32"/>
    <w:rsid w:val="00C06B9C"/>
    <w:rsid w:val="00C06D8A"/>
    <w:rsid w:val="00C06F45"/>
    <w:rsid w:val="00C074A8"/>
    <w:rsid w:val="00C078D3"/>
    <w:rsid w:val="00C07E8C"/>
    <w:rsid w:val="00C111E9"/>
    <w:rsid w:val="00C11A53"/>
    <w:rsid w:val="00C11ADE"/>
    <w:rsid w:val="00C12294"/>
    <w:rsid w:val="00C12657"/>
    <w:rsid w:val="00C12F0E"/>
    <w:rsid w:val="00C1344A"/>
    <w:rsid w:val="00C1379E"/>
    <w:rsid w:val="00C13ADF"/>
    <w:rsid w:val="00C13C6B"/>
    <w:rsid w:val="00C14739"/>
    <w:rsid w:val="00C149AE"/>
    <w:rsid w:val="00C14BEB"/>
    <w:rsid w:val="00C154D9"/>
    <w:rsid w:val="00C156E1"/>
    <w:rsid w:val="00C15B36"/>
    <w:rsid w:val="00C15EA0"/>
    <w:rsid w:val="00C162FC"/>
    <w:rsid w:val="00C16AFE"/>
    <w:rsid w:val="00C17462"/>
    <w:rsid w:val="00C17BD4"/>
    <w:rsid w:val="00C21AC4"/>
    <w:rsid w:val="00C2205E"/>
    <w:rsid w:val="00C22339"/>
    <w:rsid w:val="00C225A4"/>
    <w:rsid w:val="00C22BCA"/>
    <w:rsid w:val="00C24524"/>
    <w:rsid w:val="00C248EE"/>
    <w:rsid w:val="00C24F5E"/>
    <w:rsid w:val="00C2515A"/>
    <w:rsid w:val="00C2569B"/>
    <w:rsid w:val="00C25791"/>
    <w:rsid w:val="00C25826"/>
    <w:rsid w:val="00C25CE4"/>
    <w:rsid w:val="00C25F31"/>
    <w:rsid w:val="00C25FED"/>
    <w:rsid w:val="00C261C9"/>
    <w:rsid w:val="00C272A3"/>
    <w:rsid w:val="00C27741"/>
    <w:rsid w:val="00C278A7"/>
    <w:rsid w:val="00C3016A"/>
    <w:rsid w:val="00C30EEC"/>
    <w:rsid w:val="00C310EB"/>
    <w:rsid w:val="00C312F9"/>
    <w:rsid w:val="00C314E6"/>
    <w:rsid w:val="00C318F5"/>
    <w:rsid w:val="00C3219B"/>
    <w:rsid w:val="00C326AB"/>
    <w:rsid w:val="00C32F1C"/>
    <w:rsid w:val="00C331DC"/>
    <w:rsid w:val="00C331FF"/>
    <w:rsid w:val="00C333D4"/>
    <w:rsid w:val="00C344CC"/>
    <w:rsid w:val="00C344F2"/>
    <w:rsid w:val="00C34ABC"/>
    <w:rsid w:val="00C34F96"/>
    <w:rsid w:val="00C35456"/>
    <w:rsid w:val="00C365CD"/>
    <w:rsid w:val="00C368B8"/>
    <w:rsid w:val="00C374AA"/>
    <w:rsid w:val="00C376FD"/>
    <w:rsid w:val="00C37E23"/>
    <w:rsid w:val="00C37E50"/>
    <w:rsid w:val="00C40065"/>
    <w:rsid w:val="00C420C3"/>
    <w:rsid w:val="00C42601"/>
    <w:rsid w:val="00C42945"/>
    <w:rsid w:val="00C44942"/>
    <w:rsid w:val="00C44A0D"/>
    <w:rsid w:val="00C4525C"/>
    <w:rsid w:val="00C461A8"/>
    <w:rsid w:val="00C46570"/>
    <w:rsid w:val="00C46A6B"/>
    <w:rsid w:val="00C4709E"/>
    <w:rsid w:val="00C4735B"/>
    <w:rsid w:val="00C50B37"/>
    <w:rsid w:val="00C50BA3"/>
    <w:rsid w:val="00C50F0A"/>
    <w:rsid w:val="00C51621"/>
    <w:rsid w:val="00C51CC5"/>
    <w:rsid w:val="00C52726"/>
    <w:rsid w:val="00C52AB1"/>
    <w:rsid w:val="00C53717"/>
    <w:rsid w:val="00C5416D"/>
    <w:rsid w:val="00C5417C"/>
    <w:rsid w:val="00C54CE0"/>
    <w:rsid w:val="00C54EA2"/>
    <w:rsid w:val="00C55311"/>
    <w:rsid w:val="00C55421"/>
    <w:rsid w:val="00C5644F"/>
    <w:rsid w:val="00C56CCF"/>
    <w:rsid w:val="00C57A10"/>
    <w:rsid w:val="00C57B97"/>
    <w:rsid w:val="00C57DE8"/>
    <w:rsid w:val="00C60B25"/>
    <w:rsid w:val="00C60B31"/>
    <w:rsid w:val="00C60B88"/>
    <w:rsid w:val="00C60FDD"/>
    <w:rsid w:val="00C619C6"/>
    <w:rsid w:val="00C63AA3"/>
    <w:rsid w:val="00C64C87"/>
    <w:rsid w:val="00C64DCF"/>
    <w:rsid w:val="00C64F55"/>
    <w:rsid w:val="00C65753"/>
    <w:rsid w:val="00C65BD6"/>
    <w:rsid w:val="00C662AD"/>
    <w:rsid w:val="00C664E2"/>
    <w:rsid w:val="00C66665"/>
    <w:rsid w:val="00C66749"/>
    <w:rsid w:val="00C66C9E"/>
    <w:rsid w:val="00C66CB7"/>
    <w:rsid w:val="00C66E26"/>
    <w:rsid w:val="00C66FAF"/>
    <w:rsid w:val="00C70148"/>
    <w:rsid w:val="00C7029E"/>
    <w:rsid w:val="00C70959"/>
    <w:rsid w:val="00C70A62"/>
    <w:rsid w:val="00C70B4B"/>
    <w:rsid w:val="00C70C4C"/>
    <w:rsid w:val="00C70D36"/>
    <w:rsid w:val="00C71177"/>
    <w:rsid w:val="00C71261"/>
    <w:rsid w:val="00C7224F"/>
    <w:rsid w:val="00C72692"/>
    <w:rsid w:val="00C74358"/>
    <w:rsid w:val="00C748A3"/>
    <w:rsid w:val="00C74A3B"/>
    <w:rsid w:val="00C74A5D"/>
    <w:rsid w:val="00C74C43"/>
    <w:rsid w:val="00C755DB"/>
    <w:rsid w:val="00C75EDF"/>
    <w:rsid w:val="00C76015"/>
    <w:rsid w:val="00C7631F"/>
    <w:rsid w:val="00C76C69"/>
    <w:rsid w:val="00C7747C"/>
    <w:rsid w:val="00C7789D"/>
    <w:rsid w:val="00C779BD"/>
    <w:rsid w:val="00C80758"/>
    <w:rsid w:val="00C808B5"/>
    <w:rsid w:val="00C80972"/>
    <w:rsid w:val="00C80EDA"/>
    <w:rsid w:val="00C81683"/>
    <w:rsid w:val="00C8169A"/>
    <w:rsid w:val="00C82248"/>
    <w:rsid w:val="00C82505"/>
    <w:rsid w:val="00C82664"/>
    <w:rsid w:val="00C82E68"/>
    <w:rsid w:val="00C8326F"/>
    <w:rsid w:val="00C8344F"/>
    <w:rsid w:val="00C841A2"/>
    <w:rsid w:val="00C86981"/>
    <w:rsid w:val="00C86BA5"/>
    <w:rsid w:val="00C8753D"/>
    <w:rsid w:val="00C9093F"/>
    <w:rsid w:val="00C90D1B"/>
    <w:rsid w:val="00C917DD"/>
    <w:rsid w:val="00C9184F"/>
    <w:rsid w:val="00C91C1D"/>
    <w:rsid w:val="00C921A8"/>
    <w:rsid w:val="00C9258E"/>
    <w:rsid w:val="00C92C91"/>
    <w:rsid w:val="00C930DD"/>
    <w:rsid w:val="00C9310F"/>
    <w:rsid w:val="00C9349C"/>
    <w:rsid w:val="00C93825"/>
    <w:rsid w:val="00C9423A"/>
    <w:rsid w:val="00C95B54"/>
    <w:rsid w:val="00C96358"/>
    <w:rsid w:val="00C974FC"/>
    <w:rsid w:val="00C97B85"/>
    <w:rsid w:val="00CA018A"/>
    <w:rsid w:val="00CA0199"/>
    <w:rsid w:val="00CA0B29"/>
    <w:rsid w:val="00CA1492"/>
    <w:rsid w:val="00CA2CF4"/>
    <w:rsid w:val="00CA2DA2"/>
    <w:rsid w:val="00CA314D"/>
    <w:rsid w:val="00CA34BC"/>
    <w:rsid w:val="00CA3916"/>
    <w:rsid w:val="00CA3BC5"/>
    <w:rsid w:val="00CA447A"/>
    <w:rsid w:val="00CA6314"/>
    <w:rsid w:val="00CA78CC"/>
    <w:rsid w:val="00CA7B1B"/>
    <w:rsid w:val="00CA7BB0"/>
    <w:rsid w:val="00CA7C91"/>
    <w:rsid w:val="00CB0353"/>
    <w:rsid w:val="00CB03CC"/>
    <w:rsid w:val="00CB0716"/>
    <w:rsid w:val="00CB16E1"/>
    <w:rsid w:val="00CB285B"/>
    <w:rsid w:val="00CB28C3"/>
    <w:rsid w:val="00CB2B5F"/>
    <w:rsid w:val="00CB3D5F"/>
    <w:rsid w:val="00CB40DC"/>
    <w:rsid w:val="00CB566A"/>
    <w:rsid w:val="00CB58F2"/>
    <w:rsid w:val="00CB5B74"/>
    <w:rsid w:val="00CB642D"/>
    <w:rsid w:val="00CB6CE7"/>
    <w:rsid w:val="00CC0090"/>
    <w:rsid w:val="00CC15BC"/>
    <w:rsid w:val="00CC1653"/>
    <w:rsid w:val="00CC18E6"/>
    <w:rsid w:val="00CC1CA9"/>
    <w:rsid w:val="00CC1F00"/>
    <w:rsid w:val="00CC1F8C"/>
    <w:rsid w:val="00CC2147"/>
    <w:rsid w:val="00CC2463"/>
    <w:rsid w:val="00CC29F7"/>
    <w:rsid w:val="00CC3351"/>
    <w:rsid w:val="00CC3759"/>
    <w:rsid w:val="00CC409D"/>
    <w:rsid w:val="00CC40D4"/>
    <w:rsid w:val="00CC4D1A"/>
    <w:rsid w:val="00CC52B3"/>
    <w:rsid w:val="00CC5450"/>
    <w:rsid w:val="00CC587F"/>
    <w:rsid w:val="00CC6058"/>
    <w:rsid w:val="00CC61B0"/>
    <w:rsid w:val="00CC6AE8"/>
    <w:rsid w:val="00CC7220"/>
    <w:rsid w:val="00CC7C63"/>
    <w:rsid w:val="00CC7D16"/>
    <w:rsid w:val="00CC7DBE"/>
    <w:rsid w:val="00CD0429"/>
    <w:rsid w:val="00CD18E3"/>
    <w:rsid w:val="00CD2291"/>
    <w:rsid w:val="00CD2C0E"/>
    <w:rsid w:val="00CD3284"/>
    <w:rsid w:val="00CD38FA"/>
    <w:rsid w:val="00CD3B58"/>
    <w:rsid w:val="00CD4E67"/>
    <w:rsid w:val="00CD524F"/>
    <w:rsid w:val="00CD53B9"/>
    <w:rsid w:val="00CD5E2F"/>
    <w:rsid w:val="00CD5EEF"/>
    <w:rsid w:val="00CD6006"/>
    <w:rsid w:val="00CD6C64"/>
    <w:rsid w:val="00CD6E50"/>
    <w:rsid w:val="00CD7502"/>
    <w:rsid w:val="00CD78F5"/>
    <w:rsid w:val="00CD7AEF"/>
    <w:rsid w:val="00CD7D0E"/>
    <w:rsid w:val="00CE018B"/>
    <w:rsid w:val="00CE09E7"/>
    <w:rsid w:val="00CE0A44"/>
    <w:rsid w:val="00CE11E9"/>
    <w:rsid w:val="00CE1293"/>
    <w:rsid w:val="00CE14FB"/>
    <w:rsid w:val="00CE1A3B"/>
    <w:rsid w:val="00CE1CA9"/>
    <w:rsid w:val="00CE1D4D"/>
    <w:rsid w:val="00CE22DF"/>
    <w:rsid w:val="00CE2530"/>
    <w:rsid w:val="00CE2574"/>
    <w:rsid w:val="00CE2FF9"/>
    <w:rsid w:val="00CE3244"/>
    <w:rsid w:val="00CE32F0"/>
    <w:rsid w:val="00CE3359"/>
    <w:rsid w:val="00CE35A1"/>
    <w:rsid w:val="00CE37B0"/>
    <w:rsid w:val="00CE4F3F"/>
    <w:rsid w:val="00CE4F87"/>
    <w:rsid w:val="00CE506C"/>
    <w:rsid w:val="00CE5325"/>
    <w:rsid w:val="00CE6460"/>
    <w:rsid w:val="00CE6543"/>
    <w:rsid w:val="00CE671B"/>
    <w:rsid w:val="00CE70C2"/>
    <w:rsid w:val="00CE7792"/>
    <w:rsid w:val="00CE77DB"/>
    <w:rsid w:val="00CF0395"/>
    <w:rsid w:val="00CF0DFE"/>
    <w:rsid w:val="00CF2217"/>
    <w:rsid w:val="00CF2583"/>
    <w:rsid w:val="00CF2643"/>
    <w:rsid w:val="00CF26D6"/>
    <w:rsid w:val="00CF2DC9"/>
    <w:rsid w:val="00CF3016"/>
    <w:rsid w:val="00CF3B7F"/>
    <w:rsid w:val="00CF4745"/>
    <w:rsid w:val="00CF4CE7"/>
    <w:rsid w:val="00CF51D2"/>
    <w:rsid w:val="00CF549D"/>
    <w:rsid w:val="00CF5838"/>
    <w:rsid w:val="00CF5A83"/>
    <w:rsid w:val="00CF5AEA"/>
    <w:rsid w:val="00CF66E7"/>
    <w:rsid w:val="00CF7273"/>
    <w:rsid w:val="00D01D91"/>
    <w:rsid w:val="00D023EC"/>
    <w:rsid w:val="00D0254A"/>
    <w:rsid w:val="00D027CB"/>
    <w:rsid w:val="00D03C0B"/>
    <w:rsid w:val="00D03E90"/>
    <w:rsid w:val="00D04096"/>
    <w:rsid w:val="00D04121"/>
    <w:rsid w:val="00D0421D"/>
    <w:rsid w:val="00D043F0"/>
    <w:rsid w:val="00D05348"/>
    <w:rsid w:val="00D05456"/>
    <w:rsid w:val="00D06CBD"/>
    <w:rsid w:val="00D06DB1"/>
    <w:rsid w:val="00D06FEB"/>
    <w:rsid w:val="00D070FA"/>
    <w:rsid w:val="00D07798"/>
    <w:rsid w:val="00D103E9"/>
    <w:rsid w:val="00D110F5"/>
    <w:rsid w:val="00D11AC2"/>
    <w:rsid w:val="00D11D74"/>
    <w:rsid w:val="00D11E1A"/>
    <w:rsid w:val="00D122FE"/>
    <w:rsid w:val="00D133F1"/>
    <w:rsid w:val="00D1347D"/>
    <w:rsid w:val="00D13685"/>
    <w:rsid w:val="00D13940"/>
    <w:rsid w:val="00D139DC"/>
    <w:rsid w:val="00D14085"/>
    <w:rsid w:val="00D14220"/>
    <w:rsid w:val="00D1433A"/>
    <w:rsid w:val="00D14510"/>
    <w:rsid w:val="00D15AA5"/>
    <w:rsid w:val="00D15BE3"/>
    <w:rsid w:val="00D161EE"/>
    <w:rsid w:val="00D16311"/>
    <w:rsid w:val="00D16ACE"/>
    <w:rsid w:val="00D16F28"/>
    <w:rsid w:val="00D1715F"/>
    <w:rsid w:val="00D171AD"/>
    <w:rsid w:val="00D17440"/>
    <w:rsid w:val="00D1778F"/>
    <w:rsid w:val="00D179DB"/>
    <w:rsid w:val="00D17A60"/>
    <w:rsid w:val="00D20708"/>
    <w:rsid w:val="00D207D9"/>
    <w:rsid w:val="00D21A54"/>
    <w:rsid w:val="00D21D35"/>
    <w:rsid w:val="00D2204C"/>
    <w:rsid w:val="00D229C2"/>
    <w:rsid w:val="00D22C0A"/>
    <w:rsid w:val="00D22C0B"/>
    <w:rsid w:val="00D232C6"/>
    <w:rsid w:val="00D23563"/>
    <w:rsid w:val="00D2360B"/>
    <w:rsid w:val="00D23F00"/>
    <w:rsid w:val="00D248FA"/>
    <w:rsid w:val="00D250D3"/>
    <w:rsid w:val="00D25283"/>
    <w:rsid w:val="00D257E7"/>
    <w:rsid w:val="00D25AC2"/>
    <w:rsid w:val="00D2720E"/>
    <w:rsid w:val="00D2725F"/>
    <w:rsid w:val="00D2768F"/>
    <w:rsid w:val="00D27E57"/>
    <w:rsid w:val="00D3027A"/>
    <w:rsid w:val="00D3049D"/>
    <w:rsid w:val="00D315E6"/>
    <w:rsid w:val="00D31AF5"/>
    <w:rsid w:val="00D31BB2"/>
    <w:rsid w:val="00D31E1B"/>
    <w:rsid w:val="00D328F2"/>
    <w:rsid w:val="00D32A6E"/>
    <w:rsid w:val="00D32C29"/>
    <w:rsid w:val="00D32D1B"/>
    <w:rsid w:val="00D3327A"/>
    <w:rsid w:val="00D332E7"/>
    <w:rsid w:val="00D334C2"/>
    <w:rsid w:val="00D33645"/>
    <w:rsid w:val="00D33744"/>
    <w:rsid w:val="00D33D51"/>
    <w:rsid w:val="00D340FD"/>
    <w:rsid w:val="00D342BF"/>
    <w:rsid w:val="00D34753"/>
    <w:rsid w:val="00D34BFC"/>
    <w:rsid w:val="00D354EF"/>
    <w:rsid w:val="00D361FE"/>
    <w:rsid w:val="00D37F3A"/>
    <w:rsid w:val="00D40DE1"/>
    <w:rsid w:val="00D40E38"/>
    <w:rsid w:val="00D40F34"/>
    <w:rsid w:val="00D4134A"/>
    <w:rsid w:val="00D41828"/>
    <w:rsid w:val="00D41B21"/>
    <w:rsid w:val="00D42079"/>
    <w:rsid w:val="00D42398"/>
    <w:rsid w:val="00D42764"/>
    <w:rsid w:val="00D43137"/>
    <w:rsid w:val="00D44286"/>
    <w:rsid w:val="00D4446B"/>
    <w:rsid w:val="00D44D0B"/>
    <w:rsid w:val="00D44E89"/>
    <w:rsid w:val="00D44F9E"/>
    <w:rsid w:val="00D44FA9"/>
    <w:rsid w:val="00D44FCB"/>
    <w:rsid w:val="00D451AF"/>
    <w:rsid w:val="00D454C1"/>
    <w:rsid w:val="00D45D39"/>
    <w:rsid w:val="00D45EFE"/>
    <w:rsid w:val="00D4656D"/>
    <w:rsid w:val="00D46616"/>
    <w:rsid w:val="00D4701E"/>
    <w:rsid w:val="00D476D5"/>
    <w:rsid w:val="00D478E2"/>
    <w:rsid w:val="00D47E2F"/>
    <w:rsid w:val="00D502A1"/>
    <w:rsid w:val="00D503D3"/>
    <w:rsid w:val="00D512B9"/>
    <w:rsid w:val="00D52086"/>
    <w:rsid w:val="00D52394"/>
    <w:rsid w:val="00D52C92"/>
    <w:rsid w:val="00D52F5A"/>
    <w:rsid w:val="00D53135"/>
    <w:rsid w:val="00D531E9"/>
    <w:rsid w:val="00D53D07"/>
    <w:rsid w:val="00D5460E"/>
    <w:rsid w:val="00D549EF"/>
    <w:rsid w:val="00D54ED1"/>
    <w:rsid w:val="00D55414"/>
    <w:rsid w:val="00D55E3A"/>
    <w:rsid w:val="00D560A3"/>
    <w:rsid w:val="00D565B9"/>
    <w:rsid w:val="00D566C3"/>
    <w:rsid w:val="00D5727E"/>
    <w:rsid w:val="00D5734E"/>
    <w:rsid w:val="00D5736F"/>
    <w:rsid w:val="00D57501"/>
    <w:rsid w:val="00D57591"/>
    <w:rsid w:val="00D60250"/>
    <w:rsid w:val="00D60361"/>
    <w:rsid w:val="00D6048D"/>
    <w:rsid w:val="00D6068A"/>
    <w:rsid w:val="00D606BA"/>
    <w:rsid w:val="00D61D0C"/>
    <w:rsid w:val="00D62637"/>
    <w:rsid w:val="00D62C60"/>
    <w:rsid w:val="00D62FFA"/>
    <w:rsid w:val="00D64661"/>
    <w:rsid w:val="00D648D0"/>
    <w:rsid w:val="00D64A16"/>
    <w:rsid w:val="00D651D1"/>
    <w:rsid w:val="00D6574E"/>
    <w:rsid w:val="00D661D3"/>
    <w:rsid w:val="00D671EC"/>
    <w:rsid w:val="00D679D5"/>
    <w:rsid w:val="00D67C7C"/>
    <w:rsid w:val="00D710D3"/>
    <w:rsid w:val="00D71396"/>
    <w:rsid w:val="00D714CC"/>
    <w:rsid w:val="00D7160E"/>
    <w:rsid w:val="00D7287A"/>
    <w:rsid w:val="00D736FE"/>
    <w:rsid w:val="00D73F0D"/>
    <w:rsid w:val="00D74043"/>
    <w:rsid w:val="00D741A7"/>
    <w:rsid w:val="00D7464D"/>
    <w:rsid w:val="00D75926"/>
    <w:rsid w:val="00D7640B"/>
    <w:rsid w:val="00D764FD"/>
    <w:rsid w:val="00D7664C"/>
    <w:rsid w:val="00D7762C"/>
    <w:rsid w:val="00D7786C"/>
    <w:rsid w:val="00D815A6"/>
    <w:rsid w:val="00D82469"/>
    <w:rsid w:val="00D8250A"/>
    <w:rsid w:val="00D82DF3"/>
    <w:rsid w:val="00D83B04"/>
    <w:rsid w:val="00D83B0C"/>
    <w:rsid w:val="00D8432A"/>
    <w:rsid w:val="00D84814"/>
    <w:rsid w:val="00D84E14"/>
    <w:rsid w:val="00D85745"/>
    <w:rsid w:val="00D86178"/>
    <w:rsid w:val="00D8715C"/>
    <w:rsid w:val="00D87187"/>
    <w:rsid w:val="00D873B3"/>
    <w:rsid w:val="00D90BA6"/>
    <w:rsid w:val="00D925A9"/>
    <w:rsid w:val="00D92752"/>
    <w:rsid w:val="00D93626"/>
    <w:rsid w:val="00D940EA"/>
    <w:rsid w:val="00D941BE"/>
    <w:rsid w:val="00D9487A"/>
    <w:rsid w:val="00D95659"/>
    <w:rsid w:val="00D95DD4"/>
    <w:rsid w:val="00D9653F"/>
    <w:rsid w:val="00D96679"/>
    <w:rsid w:val="00D96741"/>
    <w:rsid w:val="00D96788"/>
    <w:rsid w:val="00DA176A"/>
    <w:rsid w:val="00DA1C25"/>
    <w:rsid w:val="00DA1FDE"/>
    <w:rsid w:val="00DA270A"/>
    <w:rsid w:val="00DA28E1"/>
    <w:rsid w:val="00DA389B"/>
    <w:rsid w:val="00DA3EEE"/>
    <w:rsid w:val="00DA480C"/>
    <w:rsid w:val="00DA4E6F"/>
    <w:rsid w:val="00DA555C"/>
    <w:rsid w:val="00DA55F7"/>
    <w:rsid w:val="00DA6A40"/>
    <w:rsid w:val="00DA6B23"/>
    <w:rsid w:val="00DA78F2"/>
    <w:rsid w:val="00DA7D25"/>
    <w:rsid w:val="00DB0577"/>
    <w:rsid w:val="00DB151F"/>
    <w:rsid w:val="00DB18E2"/>
    <w:rsid w:val="00DB1978"/>
    <w:rsid w:val="00DB2052"/>
    <w:rsid w:val="00DB20C5"/>
    <w:rsid w:val="00DB27B0"/>
    <w:rsid w:val="00DB28C0"/>
    <w:rsid w:val="00DB3372"/>
    <w:rsid w:val="00DB40CA"/>
    <w:rsid w:val="00DB45FC"/>
    <w:rsid w:val="00DB5D26"/>
    <w:rsid w:val="00DB606A"/>
    <w:rsid w:val="00DB7389"/>
    <w:rsid w:val="00DB74D8"/>
    <w:rsid w:val="00DC09A9"/>
    <w:rsid w:val="00DC1005"/>
    <w:rsid w:val="00DC1D8E"/>
    <w:rsid w:val="00DC23A7"/>
    <w:rsid w:val="00DC25C5"/>
    <w:rsid w:val="00DC30B6"/>
    <w:rsid w:val="00DC3EB2"/>
    <w:rsid w:val="00DC4BA8"/>
    <w:rsid w:val="00DC5279"/>
    <w:rsid w:val="00DC5644"/>
    <w:rsid w:val="00DC63F6"/>
    <w:rsid w:val="00DC71A2"/>
    <w:rsid w:val="00DC7B43"/>
    <w:rsid w:val="00DD0EE4"/>
    <w:rsid w:val="00DD0FD8"/>
    <w:rsid w:val="00DD252A"/>
    <w:rsid w:val="00DD26D6"/>
    <w:rsid w:val="00DD344E"/>
    <w:rsid w:val="00DD34A4"/>
    <w:rsid w:val="00DD3972"/>
    <w:rsid w:val="00DD3B04"/>
    <w:rsid w:val="00DD4173"/>
    <w:rsid w:val="00DD44BF"/>
    <w:rsid w:val="00DD45F3"/>
    <w:rsid w:val="00DD47C2"/>
    <w:rsid w:val="00DD4B8D"/>
    <w:rsid w:val="00DD4F25"/>
    <w:rsid w:val="00DD506C"/>
    <w:rsid w:val="00DD51C4"/>
    <w:rsid w:val="00DD55C8"/>
    <w:rsid w:val="00DD567C"/>
    <w:rsid w:val="00DD639E"/>
    <w:rsid w:val="00DD65D2"/>
    <w:rsid w:val="00DD65F5"/>
    <w:rsid w:val="00DD7089"/>
    <w:rsid w:val="00DD7416"/>
    <w:rsid w:val="00DD749E"/>
    <w:rsid w:val="00DE0066"/>
    <w:rsid w:val="00DE03CB"/>
    <w:rsid w:val="00DE0D3E"/>
    <w:rsid w:val="00DE159B"/>
    <w:rsid w:val="00DE2544"/>
    <w:rsid w:val="00DE31D9"/>
    <w:rsid w:val="00DE376F"/>
    <w:rsid w:val="00DE37BF"/>
    <w:rsid w:val="00DE3FBE"/>
    <w:rsid w:val="00DE4037"/>
    <w:rsid w:val="00DE4D5F"/>
    <w:rsid w:val="00DE58C5"/>
    <w:rsid w:val="00DE59E6"/>
    <w:rsid w:val="00DE68CE"/>
    <w:rsid w:val="00DE6E73"/>
    <w:rsid w:val="00DE6ECA"/>
    <w:rsid w:val="00DE729A"/>
    <w:rsid w:val="00DF15FA"/>
    <w:rsid w:val="00DF17A5"/>
    <w:rsid w:val="00DF17AC"/>
    <w:rsid w:val="00DF1B60"/>
    <w:rsid w:val="00DF21FA"/>
    <w:rsid w:val="00DF23CB"/>
    <w:rsid w:val="00DF2CB1"/>
    <w:rsid w:val="00DF3D4A"/>
    <w:rsid w:val="00DF4599"/>
    <w:rsid w:val="00DF46AB"/>
    <w:rsid w:val="00DF5902"/>
    <w:rsid w:val="00DF69F9"/>
    <w:rsid w:val="00DF779E"/>
    <w:rsid w:val="00DF7F06"/>
    <w:rsid w:val="00E00592"/>
    <w:rsid w:val="00E0068A"/>
    <w:rsid w:val="00E00E28"/>
    <w:rsid w:val="00E00EAD"/>
    <w:rsid w:val="00E00F17"/>
    <w:rsid w:val="00E00F76"/>
    <w:rsid w:val="00E0143E"/>
    <w:rsid w:val="00E019B8"/>
    <w:rsid w:val="00E0219A"/>
    <w:rsid w:val="00E02269"/>
    <w:rsid w:val="00E02935"/>
    <w:rsid w:val="00E030CE"/>
    <w:rsid w:val="00E0408C"/>
    <w:rsid w:val="00E04827"/>
    <w:rsid w:val="00E05970"/>
    <w:rsid w:val="00E06055"/>
    <w:rsid w:val="00E0684D"/>
    <w:rsid w:val="00E0690F"/>
    <w:rsid w:val="00E1021F"/>
    <w:rsid w:val="00E10788"/>
    <w:rsid w:val="00E10F70"/>
    <w:rsid w:val="00E111CF"/>
    <w:rsid w:val="00E1181A"/>
    <w:rsid w:val="00E133C1"/>
    <w:rsid w:val="00E14153"/>
    <w:rsid w:val="00E1438F"/>
    <w:rsid w:val="00E144E4"/>
    <w:rsid w:val="00E149AF"/>
    <w:rsid w:val="00E14E49"/>
    <w:rsid w:val="00E1578E"/>
    <w:rsid w:val="00E15AAF"/>
    <w:rsid w:val="00E15B94"/>
    <w:rsid w:val="00E15FCF"/>
    <w:rsid w:val="00E1600F"/>
    <w:rsid w:val="00E17BAD"/>
    <w:rsid w:val="00E20ACF"/>
    <w:rsid w:val="00E21073"/>
    <w:rsid w:val="00E210B8"/>
    <w:rsid w:val="00E211C6"/>
    <w:rsid w:val="00E21223"/>
    <w:rsid w:val="00E21A14"/>
    <w:rsid w:val="00E21B03"/>
    <w:rsid w:val="00E21F0B"/>
    <w:rsid w:val="00E224D7"/>
    <w:rsid w:val="00E22D7B"/>
    <w:rsid w:val="00E232D3"/>
    <w:rsid w:val="00E23908"/>
    <w:rsid w:val="00E240D7"/>
    <w:rsid w:val="00E25C10"/>
    <w:rsid w:val="00E263EF"/>
    <w:rsid w:val="00E2684D"/>
    <w:rsid w:val="00E26CC7"/>
    <w:rsid w:val="00E2790C"/>
    <w:rsid w:val="00E30BBD"/>
    <w:rsid w:val="00E30BF5"/>
    <w:rsid w:val="00E3149E"/>
    <w:rsid w:val="00E3154F"/>
    <w:rsid w:val="00E31B8E"/>
    <w:rsid w:val="00E31CAA"/>
    <w:rsid w:val="00E32EEB"/>
    <w:rsid w:val="00E3371F"/>
    <w:rsid w:val="00E34DE5"/>
    <w:rsid w:val="00E3513E"/>
    <w:rsid w:val="00E354C6"/>
    <w:rsid w:val="00E35A2F"/>
    <w:rsid w:val="00E35F4F"/>
    <w:rsid w:val="00E367BA"/>
    <w:rsid w:val="00E373B1"/>
    <w:rsid w:val="00E37746"/>
    <w:rsid w:val="00E378F0"/>
    <w:rsid w:val="00E37AF4"/>
    <w:rsid w:val="00E40857"/>
    <w:rsid w:val="00E42FD0"/>
    <w:rsid w:val="00E437BA"/>
    <w:rsid w:val="00E446AF"/>
    <w:rsid w:val="00E44CD0"/>
    <w:rsid w:val="00E450CD"/>
    <w:rsid w:val="00E454B2"/>
    <w:rsid w:val="00E45913"/>
    <w:rsid w:val="00E46CE3"/>
    <w:rsid w:val="00E4724E"/>
    <w:rsid w:val="00E472EB"/>
    <w:rsid w:val="00E47345"/>
    <w:rsid w:val="00E50B29"/>
    <w:rsid w:val="00E50E86"/>
    <w:rsid w:val="00E50FAE"/>
    <w:rsid w:val="00E5205A"/>
    <w:rsid w:val="00E528C6"/>
    <w:rsid w:val="00E52A59"/>
    <w:rsid w:val="00E53167"/>
    <w:rsid w:val="00E5359C"/>
    <w:rsid w:val="00E53C19"/>
    <w:rsid w:val="00E53E9C"/>
    <w:rsid w:val="00E54109"/>
    <w:rsid w:val="00E549CC"/>
    <w:rsid w:val="00E55054"/>
    <w:rsid w:val="00E55138"/>
    <w:rsid w:val="00E60710"/>
    <w:rsid w:val="00E60858"/>
    <w:rsid w:val="00E608FA"/>
    <w:rsid w:val="00E60C9F"/>
    <w:rsid w:val="00E612EA"/>
    <w:rsid w:val="00E61436"/>
    <w:rsid w:val="00E622E3"/>
    <w:rsid w:val="00E62395"/>
    <w:rsid w:val="00E62994"/>
    <w:rsid w:val="00E6364D"/>
    <w:rsid w:val="00E636BD"/>
    <w:rsid w:val="00E63BF4"/>
    <w:rsid w:val="00E65EAD"/>
    <w:rsid w:val="00E66CFD"/>
    <w:rsid w:val="00E678EE"/>
    <w:rsid w:val="00E70849"/>
    <w:rsid w:val="00E7155B"/>
    <w:rsid w:val="00E71578"/>
    <w:rsid w:val="00E71F4D"/>
    <w:rsid w:val="00E72242"/>
    <w:rsid w:val="00E7275B"/>
    <w:rsid w:val="00E737B5"/>
    <w:rsid w:val="00E73968"/>
    <w:rsid w:val="00E74172"/>
    <w:rsid w:val="00E746BA"/>
    <w:rsid w:val="00E75030"/>
    <w:rsid w:val="00E750DF"/>
    <w:rsid w:val="00E755F6"/>
    <w:rsid w:val="00E75858"/>
    <w:rsid w:val="00E75D15"/>
    <w:rsid w:val="00E75DFD"/>
    <w:rsid w:val="00E763C2"/>
    <w:rsid w:val="00E7728E"/>
    <w:rsid w:val="00E8021F"/>
    <w:rsid w:val="00E80AC3"/>
    <w:rsid w:val="00E80BF4"/>
    <w:rsid w:val="00E818BA"/>
    <w:rsid w:val="00E81F55"/>
    <w:rsid w:val="00E83924"/>
    <w:rsid w:val="00E83C3C"/>
    <w:rsid w:val="00E8424A"/>
    <w:rsid w:val="00E845CD"/>
    <w:rsid w:val="00E8483E"/>
    <w:rsid w:val="00E85282"/>
    <w:rsid w:val="00E855C4"/>
    <w:rsid w:val="00E8576C"/>
    <w:rsid w:val="00E8591E"/>
    <w:rsid w:val="00E85981"/>
    <w:rsid w:val="00E85D49"/>
    <w:rsid w:val="00E86080"/>
    <w:rsid w:val="00E863C2"/>
    <w:rsid w:val="00E863CE"/>
    <w:rsid w:val="00E87007"/>
    <w:rsid w:val="00E873AF"/>
    <w:rsid w:val="00E87871"/>
    <w:rsid w:val="00E904B1"/>
    <w:rsid w:val="00E90CC4"/>
    <w:rsid w:val="00E913DD"/>
    <w:rsid w:val="00E91479"/>
    <w:rsid w:val="00E91570"/>
    <w:rsid w:val="00E91EEE"/>
    <w:rsid w:val="00E920D1"/>
    <w:rsid w:val="00E925AA"/>
    <w:rsid w:val="00E92931"/>
    <w:rsid w:val="00E929A9"/>
    <w:rsid w:val="00E92FEB"/>
    <w:rsid w:val="00E931E2"/>
    <w:rsid w:val="00E9336E"/>
    <w:rsid w:val="00E933CF"/>
    <w:rsid w:val="00E93843"/>
    <w:rsid w:val="00E9390B"/>
    <w:rsid w:val="00E93F8E"/>
    <w:rsid w:val="00E93FE8"/>
    <w:rsid w:val="00E94432"/>
    <w:rsid w:val="00E9468D"/>
    <w:rsid w:val="00E9497F"/>
    <w:rsid w:val="00E94AB6"/>
    <w:rsid w:val="00E94C5E"/>
    <w:rsid w:val="00E94E22"/>
    <w:rsid w:val="00E95644"/>
    <w:rsid w:val="00E95F63"/>
    <w:rsid w:val="00E96AF3"/>
    <w:rsid w:val="00E96EBF"/>
    <w:rsid w:val="00E9753E"/>
    <w:rsid w:val="00E975DE"/>
    <w:rsid w:val="00E9768D"/>
    <w:rsid w:val="00E97A7B"/>
    <w:rsid w:val="00E97CE7"/>
    <w:rsid w:val="00EA0D97"/>
    <w:rsid w:val="00EA0E4E"/>
    <w:rsid w:val="00EA191D"/>
    <w:rsid w:val="00EA1945"/>
    <w:rsid w:val="00EA2623"/>
    <w:rsid w:val="00EA3228"/>
    <w:rsid w:val="00EA3D38"/>
    <w:rsid w:val="00EA4433"/>
    <w:rsid w:val="00EA4D95"/>
    <w:rsid w:val="00EA51BB"/>
    <w:rsid w:val="00EA5296"/>
    <w:rsid w:val="00EA53B8"/>
    <w:rsid w:val="00EA5DD9"/>
    <w:rsid w:val="00EA6358"/>
    <w:rsid w:val="00EA6609"/>
    <w:rsid w:val="00EA66C5"/>
    <w:rsid w:val="00EA6AD4"/>
    <w:rsid w:val="00EA718B"/>
    <w:rsid w:val="00EA7610"/>
    <w:rsid w:val="00EA7A9C"/>
    <w:rsid w:val="00EB0218"/>
    <w:rsid w:val="00EB03F5"/>
    <w:rsid w:val="00EB0BAE"/>
    <w:rsid w:val="00EB0BEA"/>
    <w:rsid w:val="00EB107E"/>
    <w:rsid w:val="00EB10B9"/>
    <w:rsid w:val="00EB1863"/>
    <w:rsid w:val="00EB1948"/>
    <w:rsid w:val="00EB1D73"/>
    <w:rsid w:val="00EB2966"/>
    <w:rsid w:val="00EB393E"/>
    <w:rsid w:val="00EB3B40"/>
    <w:rsid w:val="00EB3C25"/>
    <w:rsid w:val="00EB4585"/>
    <w:rsid w:val="00EB5221"/>
    <w:rsid w:val="00EB5BF2"/>
    <w:rsid w:val="00EB5E00"/>
    <w:rsid w:val="00EB6546"/>
    <w:rsid w:val="00EB681D"/>
    <w:rsid w:val="00EB6CC9"/>
    <w:rsid w:val="00EB709E"/>
    <w:rsid w:val="00EB7512"/>
    <w:rsid w:val="00EB75AE"/>
    <w:rsid w:val="00EB7837"/>
    <w:rsid w:val="00EB7A49"/>
    <w:rsid w:val="00EB7BE1"/>
    <w:rsid w:val="00EB7CE0"/>
    <w:rsid w:val="00EC0046"/>
    <w:rsid w:val="00EC006E"/>
    <w:rsid w:val="00EC0D91"/>
    <w:rsid w:val="00EC10C8"/>
    <w:rsid w:val="00EC11CC"/>
    <w:rsid w:val="00EC1E93"/>
    <w:rsid w:val="00EC244C"/>
    <w:rsid w:val="00EC314B"/>
    <w:rsid w:val="00EC458C"/>
    <w:rsid w:val="00EC5319"/>
    <w:rsid w:val="00EC5626"/>
    <w:rsid w:val="00EC608F"/>
    <w:rsid w:val="00EC6130"/>
    <w:rsid w:val="00EC78DB"/>
    <w:rsid w:val="00EC7DC3"/>
    <w:rsid w:val="00EC7FE8"/>
    <w:rsid w:val="00ED015C"/>
    <w:rsid w:val="00ED043B"/>
    <w:rsid w:val="00ED0837"/>
    <w:rsid w:val="00ED195F"/>
    <w:rsid w:val="00ED31AA"/>
    <w:rsid w:val="00ED39D5"/>
    <w:rsid w:val="00ED3BAD"/>
    <w:rsid w:val="00ED3F75"/>
    <w:rsid w:val="00ED425A"/>
    <w:rsid w:val="00ED507F"/>
    <w:rsid w:val="00ED520C"/>
    <w:rsid w:val="00ED57AA"/>
    <w:rsid w:val="00ED59F2"/>
    <w:rsid w:val="00ED5D5E"/>
    <w:rsid w:val="00ED5EF1"/>
    <w:rsid w:val="00ED605C"/>
    <w:rsid w:val="00ED66AF"/>
    <w:rsid w:val="00ED68F0"/>
    <w:rsid w:val="00ED6B77"/>
    <w:rsid w:val="00ED6DE8"/>
    <w:rsid w:val="00ED7433"/>
    <w:rsid w:val="00ED7DBE"/>
    <w:rsid w:val="00EE028F"/>
    <w:rsid w:val="00EE04BD"/>
    <w:rsid w:val="00EE05F4"/>
    <w:rsid w:val="00EE0940"/>
    <w:rsid w:val="00EE0A37"/>
    <w:rsid w:val="00EE0D33"/>
    <w:rsid w:val="00EE14E9"/>
    <w:rsid w:val="00EE1BD2"/>
    <w:rsid w:val="00EE1D03"/>
    <w:rsid w:val="00EE36CF"/>
    <w:rsid w:val="00EE3BED"/>
    <w:rsid w:val="00EE3DB0"/>
    <w:rsid w:val="00EE4074"/>
    <w:rsid w:val="00EE55A2"/>
    <w:rsid w:val="00EE695C"/>
    <w:rsid w:val="00EE6EFF"/>
    <w:rsid w:val="00EF09E7"/>
    <w:rsid w:val="00EF0EDD"/>
    <w:rsid w:val="00EF12A1"/>
    <w:rsid w:val="00EF12DC"/>
    <w:rsid w:val="00EF1689"/>
    <w:rsid w:val="00EF23BB"/>
    <w:rsid w:val="00EF30E9"/>
    <w:rsid w:val="00EF34BA"/>
    <w:rsid w:val="00EF350D"/>
    <w:rsid w:val="00EF35E8"/>
    <w:rsid w:val="00EF391B"/>
    <w:rsid w:val="00EF4FF0"/>
    <w:rsid w:val="00EF5035"/>
    <w:rsid w:val="00EF5E10"/>
    <w:rsid w:val="00EF6B30"/>
    <w:rsid w:val="00EF6F96"/>
    <w:rsid w:val="00EF70C9"/>
    <w:rsid w:val="00F005FB"/>
    <w:rsid w:val="00F011D3"/>
    <w:rsid w:val="00F01714"/>
    <w:rsid w:val="00F02F78"/>
    <w:rsid w:val="00F0352F"/>
    <w:rsid w:val="00F03D4A"/>
    <w:rsid w:val="00F04838"/>
    <w:rsid w:val="00F0533D"/>
    <w:rsid w:val="00F06281"/>
    <w:rsid w:val="00F06A95"/>
    <w:rsid w:val="00F0726C"/>
    <w:rsid w:val="00F0784C"/>
    <w:rsid w:val="00F0787F"/>
    <w:rsid w:val="00F07E16"/>
    <w:rsid w:val="00F07F2F"/>
    <w:rsid w:val="00F103B2"/>
    <w:rsid w:val="00F12CD9"/>
    <w:rsid w:val="00F13676"/>
    <w:rsid w:val="00F13E54"/>
    <w:rsid w:val="00F13FC5"/>
    <w:rsid w:val="00F1418E"/>
    <w:rsid w:val="00F1520C"/>
    <w:rsid w:val="00F157D2"/>
    <w:rsid w:val="00F15DC4"/>
    <w:rsid w:val="00F167DD"/>
    <w:rsid w:val="00F16F51"/>
    <w:rsid w:val="00F173AC"/>
    <w:rsid w:val="00F200F3"/>
    <w:rsid w:val="00F205A8"/>
    <w:rsid w:val="00F21D0C"/>
    <w:rsid w:val="00F2218B"/>
    <w:rsid w:val="00F221A0"/>
    <w:rsid w:val="00F22540"/>
    <w:rsid w:val="00F22EF6"/>
    <w:rsid w:val="00F22F5C"/>
    <w:rsid w:val="00F22F8D"/>
    <w:rsid w:val="00F23059"/>
    <w:rsid w:val="00F232E8"/>
    <w:rsid w:val="00F23720"/>
    <w:rsid w:val="00F237FD"/>
    <w:rsid w:val="00F23ACA"/>
    <w:rsid w:val="00F24BBF"/>
    <w:rsid w:val="00F24D4E"/>
    <w:rsid w:val="00F24DA2"/>
    <w:rsid w:val="00F25AD1"/>
    <w:rsid w:val="00F25CBC"/>
    <w:rsid w:val="00F2654F"/>
    <w:rsid w:val="00F26975"/>
    <w:rsid w:val="00F26A31"/>
    <w:rsid w:val="00F272C8"/>
    <w:rsid w:val="00F27C09"/>
    <w:rsid w:val="00F27EE2"/>
    <w:rsid w:val="00F3050A"/>
    <w:rsid w:val="00F31C3D"/>
    <w:rsid w:val="00F31E93"/>
    <w:rsid w:val="00F31FC4"/>
    <w:rsid w:val="00F321BE"/>
    <w:rsid w:val="00F32AF6"/>
    <w:rsid w:val="00F334D8"/>
    <w:rsid w:val="00F33F84"/>
    <w:rsid w:val="00F34142"/>
    <w:rsid w:val="00F34368"/>
    <w:rsid w:val="00F351F3"/>
    <w:rsid w:val="00F35CE1"/>
    <w:rsid w:val="00F36032"/>
    <w:rsid w:val="00F3704F"/>
    <w:rsid w:val="00F37BF6"/>
    <w:rsid w:val="00F41021"/>
    <w:rsid w:val="00F41415"/>
    <w:rsid w:val="00F41E0C"/>
    <w:rsid w:val="00F4253E"/>
    <w:rsid w:val="00F426EE"/>
    <w:rsid w:val="00F430F7"/>
    <w:rsid w:val="00F454E5"/>
    <w:rsid w:val="00F45B39"/>
    <w:rsid w:val="00F45B89"/>
    <w:rsid w:val="00F45FB1"/>
    <w:rsid w:val="00F46285"/>
    <w:rsid w:val="00F464C0"/>
    <w:rsid w:val="00F467C9"/>
    <w:rsid w:val="00F471C7"/>
    <w:rsid w:val="00F476C0"/>
    <w:rsid w:val="00F506A1"/>
    <w:rsid w:val="00F51C3F"/>
    <w:rsid w:val="00F51DAE"/>
    <w:rsid w:val="00F526D2"/>
    <w:rsid w:val="00F52CE6"/>
    <w:rsid w:val="00F52DA7"/>
    <w:rsid w:val="00F53BD0"/>
    <w:rsid w:val="00F53E7B"/>
    <w:rsid w:val="00F54D75"/>
    <w:rsid w:val="00F55098"/>
    <w:rsid w:val="00F553CC"/>
    <w:rsid w:val="00F556CC"/>
    <w:rsid w:val="00F55989"/>
    <w:rsid w:val="00F563E7"/>
    <w:rsid w:val="00F56407"/>
    <w:rsid w:val="00F56952"/>
    <w:rsid w:val="00F57737"/>
    <w:rsid w:val="00F60304"/>
    <w:rsid w:val="00F6105A"/>
    <w:rsid w:val="00F61355"/>
    <w:rsid w:val="00F61410"/>
    <w:rsid w:val="00F61F11"/>
    <w:rsid w:val="00F625F5"/>
    <w:rsid w:val="00F63935"/>
    <w:rsid w:val="00F639B3"/>
    <w:rsid w:val="00F63B28"/>
    <w:rsid w:val="00F63E7B"/>
    <w:rsid w:val="00F63E8F"/>
    <w:rsid w:val="00F64AA9"/>
    <w:rsid w:val="00F6551D"/>
    <w:rsid w:val="00F65F2F"/>
    <w:rsid w:val="00F66170"/>
    <w:rsid w:val="00F66832"/>
    <w:rsid w:val="00F66B6A"/>
    <w:rsid w:val="00F66E53"/>
    <w:rsid w:val="00F66F74"/>
    <w:rsid w:val="00F6758D"/>
    <w:rsid w:val="00F6778B"/>
    <w:rsid w:val="00F67B78"/>
    <w:rsid w:val="00F67EDA"/>
    <w:rsid w:val="00F703C5"/>
    <w:rsid w:val="00F7092B"/>
    <w:rsid w:val="00F71093"/>
    <w:rsid w:val="00F7134B"/>
    <w:rsid w:val="00F7135D"/>
    <w:rsid w:val="00F7162E"/>
    <w:rsid w:val="00F7207F"/>
    <w:rsid w:val="00F72142"/>
    <w:rsid w:val="00F72416"/>
    <w:rsid w:val="00F72AB9"/>
    <w:rsid w:val="00F72B4C"/>
    <w:rsid w:val="00F72B98"/>
    <w:rsid w:val="00F72BD6"/>
    <w:rsid w:val="00F736E2"/>
    <w:rsid w:val="00F73819"/>
    <w:rsid w:val="00F73DE9"/>
    <w:rsid w:val="00F74A79"/>
    <w:rsid w:val="00F75237"/>
    <w:rsid w:val="00F75578"/>
    <w:rsid w:val="00F75E81"/>
    <w:rsid w:val="00F76687"/>
    <w:rsid w:val="00F7682A"/>
    <w:rsid w:val="00F76939"/>
    <w:rsid w:val="00F76BA0"/>
    <w:rsid w:val="00F772CC"/>
    <w:rsid w:val="00F80D34"/>
    <w:rsid w:val="00F81BC7"/>
    <w:rsid w:val="00F81C6A"/>
    <w:rsid w:val="00F82774"/>
    <w:rsid w:val="00F83025"/>
    <w:rsid w:val="00F83AB7"/>
    <w:rsid w:val="00F83B0C"/>
    <w:rsid w:val="00F83B7B"/>
    <w:rsid w:val="00F84390"/>
    <w:rsid w:val="00F84541"/>
    <w:rsid w:val="00F857E1"/>
    <w:rsid w:val="00F85AC7"/>
    <w:rsid w:val="00F86075"/>
    <w:rsid w:val="00F875A5"/>
    <w:rsid w:val="00F9025C"/>
    <w:rsid w:val="00F90954"/>
    <w:rsid w:val="00F90FC0"/>
    <w:rsid w:val="00F910F8"/>
    <w:rsid w:val="00F91A58"/>
    <w:rsid w:val="00F92735"/>
    <w:rsid w:val="00F92C5D"/>
    <w:rsid w:val="00F92EF8"/>
    <w:rsid w:val="00F9343F"/>
    <w:rsid w:val="00F9349E"/>
    <w:rsid w:val="00F93696"/>
    <w:rsid w:val="00F937CE"/>
    <w:rsid w:val="00F938E2"/>
    <w:rsid w:val="00F93CB8"/>
    <w:rsid w:val="00F93DCE"/>
    <w:rsid w:val="00F95AB5"/>
    <w:rsid w:val="00F95FF4"/>
    <w:rsid w:val="00F96CC8"/>
    <w:rsid w:val="00FA03C7"/>
    <w:rsid w:val="00FA0F66"/>
    <w:rsid w:val="00FA1445"/>
    <w:rsid w:val="00FA1A2B"/>
    <w:rsid w:val="00FA2F1B"/>
    <w:rsid w:val="00FA2F4A"/>
    <w:rsid w:val="00FA36FE"/>
    <w:rsid w:val="00FA37F4"/>
    <w:rsid w:val="00FA3A15"/>
    <w:rsid w:val="00FA3A72"/>
    <w:rsid w:val="00FA3CF8"/>
    <w:rsid w:val="00FA5A39"/>
    <w:rsid w:val="00FA70BD"/>
    <w:rsid w:val="00FA725D"/>
    <w:rsid w:val="00FA73A5"/>
    <w:rsid w:val="00FA7815"/>
    <w:rsid w:val="00FA7E5E"/>
    <w:rsid w:val="00FB01F1"/>
    <w:rsid w:val="00FB026D"/>
    <w:rsid w:val="00FB046A"/>
    <w:rsid w:val="00FB04F7"/>
    <w:rsid w:val="00FB06EB"/>
    <w:rsid w:val="00FB09F6"/>
    <w:rsid w:val="00FB0EC7"/>
    <w:rsid w:val="00FB2583"/>
    <w:rsid w:val="00FB2C43"/>
    <w:rsid w:val="00FB3009"/>
    <w:rsid w:val="00FB3985"/>
    <w:rsid w:val="00FB4270"/>
    <w:rsid w:val="00FB443C"/>
    <w:rsid w:val="00FB46B5"/>
    <w:rsid w:val="00FB46F3"/>
    <w:rsid w:val="00FB50FD"/>
    <w:rsid w:val="00FB51F0"/>
    <w:rsid w:val="00FB527B"/>
    <w:rsid w:val="00FB5E54"/>
    <w:rsid w:val="00FB60A6"/>
    <w:rsid w:val="00FB6215"/>
    <w:rsid w:val="00FB62DB"/>
    <w:rsid w:val="00FB63BF"/>
    <w:rsid w:val="00FB6E27"/>
    <w:rsid w:val="00FB7B7C"/>
    <w:rsid w:val="00FB7E04"/>
    <w:rsid w:val="00FB7E7C"/>
    <w:rsid w:val="00FC0508"/>
    <w:rsid w:val="00FC06D2"/>
    <w:rsid w:val="00FC08A2"/>
    <w:rsid w:val="00FC0C80"/>
    <w:rsid w:val="00FC18D6"/>
    <w:rsid w:val="00FC2C06"/>
    <w:rsid w:val="00FC3085"/>
    <w:rsid w:val="00FC3428"/>
    <w:rsid w:val="00FC556B"/>
    <w:rsid w:val="00FC5632"/>
    <w:rsid w:val="00FC5893"/>
    <w:rsid w:val="00FC5D51"/>
    <w:rsid w:val="00FC6CEA"/>
    <w:rsid w:val="00FC6D0D"/>
    <w:rsid w:val="00FC6E81"/>
    <w:rsid w:val="00FC7A29"/>
    <w:rsid w:val="00FD04F2"/>
    <w:rsid w:val="00FD150A"/>
    <w:rsid w:val="00FD1A85"/>
    <w:rsid w:val="00FD24FE"/>
    <w:rsid w:val="00FD2BD3"/>
    <w:rsid w:val="00FD2D01"/>
    <w:rsid w:val="00FD2EFD"/>
    <w:rsid w:val="00FD3525"/>
    <w:rsid w:val="00FD3CF2"/>
    <w:rsid w:val="00FD6CF2"/>
    <w:rsid w:val="00FD7829"/>
    <w:rsid w:val="00FD7C21"/>
    <w:rsid w:val="00FD7CDC"/>
    <w:rsid w:val="00FD7D02"/>
    <w:rsid w:val="00FD7F4C"/>
    <w:rsid w:val="00FE04CB"/>
    <w:rsid w:val="00FE149F"/>
    <w:rsid w:val="00FE1645"/>
    <w:rsid w:val="00FE26D6"/>
    <w:rsid w:val="00FE31BF"/>
    <w:rsid w:val="00FE321B"/>
    <w:rsid w:val="00FE390B"/>
    <w:rsid w:val="00FE4B76"/>
    <w:rsid w:val="00FE5890"/>
    <w:rsid w:val="00FE5CD1"/>
    <w:rsid w:val="00FE5D7C"/>
    <w:rsid w:val="00FE69C8"/>
    <w:rsid w:val="00FE749B"/>
    <w:rsid w:val="00FE764E"/>
    <w:rsid w:val="00FE777F"/>
    <w:rsid w:val="00FE7BBE"/>
    <w:rsid w:val="00FF0645"/>
    <w:rsid w:val="00FF0C15"/>
    <w:rsid w:val="00FF1A2A"/>
    <w:rsid w:val="00FF28DD"/>
    <w:rsid w:val="00FF2BE0"/>
    <w:rsid w:val="00FF3A83"/>
    <w:rsid w:val="00FF3E5C"/>
    <w:rsid w:val="00FF4986"/>
    <w:rsid w:val="00FF4BD1"/>
    <w:rsid w:val="00FF4FC9"/>
    <w:rsid w:val="00FF52D9"/>
    <w:rsid w:val="00FF53D0"/>
    <w:rsid w:val="00FF6586"/>
    <w:rsid w:val="00FF68F5"/>
    <w:rsid w:val="00FF6DDA"/>
    <w:rsid w:val="00FF7055"/>
    <w:rsid w:val="020C191D"/>
    <w:rsid w:val="02A0F06A"/>
    <w:rsid w:val="032D20CD"/>
    <w:rsid w:val="03EFFB9B"/>
    <w:rsid w:val="0401D7A5"/>
    <w:rsid w:val="05BBC1FE"/>
    <w:rsid w:val="05E9B877"/>
    <w:rsid w:val="0607BF7F"/>
    <w:rsid w:val="067D7425"/>
    <w:rsid w:val="073E2ECC"/>
    <w:rsid w:val="07BA1F53"/>
    <w:rsid w:val="086E8292"/>
    <w:rsid w:val="0884E085"/>
    <w:rsid w:val="09124971"/>
    <w:rsid w:val="09B16583"/>
    <w:rsid w:val="0A927FC9"/>
    <w:rsid w:val="0B106703"/>
    <w:rsid w:val="0C11DC13"/>
    <w:rsid w:val="0C149E59"/>
    <w:rsid w:val="0D68CEC2"/>
    <w:rsid w:val="0DE37387"/>
    <w:rsid w:val="0ED12B9D"/>
    <w:rsid w:val="0F0B4274"/>
    <w:rsid w:val="0FF5565B"/>
    <w:rsid w:val="1059FA53"/>
    <w:rsid w:val="1077E836"/>
    <w:rsid w:val="10D5700A"/>
    <w:rsid w:val="116094DB"/>
    <w:rsid w:val="13ACB775"/>
    <w:rsid w:val="141A7771"/>
    <w:rsid w:val="146D1B9B"/>
    <w:rsid w:val="1481367F"/>
    <w:rsid w:val="14E48320"/>
    <w:rsid w:val="1515C5B4"/>
    <w:rsid w:val="16218D82"/>
    <w:rsid w:val="19C3ED55"/>
    <w:rsid w:val="1A0FCC0B"/>
    <w:rsid w:val="1AB0F320"/>
    <w:rsid w:val="1AFEF9CB"/>
    <w:rsid w:val="1BBE7E39"/>
    <w:rsid w:val="1BE3012E"/>
    <w:rsid w:val="1CDAC0C4"/>
    <w:rsid w:val="1D601E74"/>
    <w:rsid w:val="1F539246"/>
    <w:rsid w:val="1F6EF1EC"/>
    <w:rsid w:val="1F8754E1"/>
    <w:rsid w:val="200A1DC8"/>
    <w:rsid w:val="20401004"/>
    <w:rsid w:val="20724CCF"/>
    <w:rsid w:val="21271C16"/>
    <w:rsid w:val="21449513"/>
    <w:rsid w:val="2233C268"/>
    <w:rsid w:val="225CE49E"/>
    <w:rsid w:val="2262F39D"/>
    <w:rsid w:val="22984B7E"/>
    <w:rsid w:val="239BA918"/>
    <w:rsid w:val="23ED905A"/>
    <w:rsid w:val="25CECD3D"/>
    <w:rsid w:val="25D58850"/>
    <w:rsid w:val="26268AF9"/>
    <w:rsid w:val="26A51614"/>
    <w:rsid w:val="29112C95"/>
    <w:rsid w:val="29356C32"/>
    <w:rsid w:val="299064F6"/>
    <w:rsid w:val="29C5227A"/>
    <w:rsid w:val="2A4F9154"/>
    <w:rsid w:val="2B2D1BC6"/>
    <w:rsid w:val="2B4BA3D0"/>
    <w:rsid w:val="2BC4926C"/>
    <w:rsid w:val="2BF5BBEE"/>
    <w:rsid w:val="2C44EE41"/>
    <w:rsid w:val="2D543DAC"/>
    <w:rsid w:val="2D6062CD"/>
    <w:rsid w:val="2D7B4A43"/>
    <w:rsid w:val="2E8AC5B9"/>
    <w:rsid w:val="2EE664D0"/>
    <w:rsid w:val="2FC571E7"/>
    <w:rsid w:val="2FD420DF"/>
    <w:rsid w:val="2FE366C0"/>
    <w:rsid w:val="307418A2"/>
    <w:rsid w:val="308808BB"/>
    <w:rsid w:val="30DDA726"/>
    <w:rsid w:val="31FEEF87"/>
    <w:rsid w:val="3265125B"/>
    <w:rsid w:val="3390760B"/>
    <w:rsid w:val="33B591A0"/>
    <w:rsid w:val="34C804D8"/>
    <w:rsid w:val="3563CBC8"/>
    <w:rsid w:val="356AE69E"/>
    <w:rsid w:val="35A8DC42"/>
    <w:rsid w:val="375C7E5C"/>
    <w:rsid w:val="377B8446"/>
    <w:rsid w:val="3851E9E1"/>
    <w:rsid w:val="387BEB39"/>
    <w:rsid w:val="38C68370"/>
    <w:rsid w:val="39A4BCC2"/>
    <w:rsid w:val="3A2380C9"/>
    <w:rsid w:val="3A464CB3"/>
    <w:rsid w:val="3B01CE3A"/>
    <w:rsid w:val="3B730DB8"/>
    <w:rsid w:val="3BE4A52A"/>
    <w:rsid w:val="3C9EA666"/>
    <w:rsid w:val="3D3A04A7"/>
    <w:rsid w:val="3EB934A9"/>
    <w:rsid w:val="3EF53970"/>
    <w:rsid w:val="3FDFB450"/>
    <w:rsid w:val="408B9BB0"/>
    <w:rsid w:val="40A269C2"/>
    <w:rsid w:val="4238363B"/>
    <w:rsid w:val="42507031"/>
    <w:rsid w:val="432AF717"/>
    <w:rsid w:val="43811AA8"/>
    <w:rsid w:val="43EB9DD9"/>
    <w:rsid w:val="44DBE6BC"/>
    <w:rsid w:val="461890C7"/>
    <w:rsid w:val="468FEFC4"/>
    <w:rsid w:val="46AF1961"/>
    <w:rsid w:val="46DC40B6"/>
    <w:rsid w:val="470BA75E"/>
    <w:rsid w:val="4736152A"/>
    <w:rsid w:val="474C41F7"/>
    <w:rsid w:val="47D17244"/>
    <w:rsid w:val="47F80373"/>
    <w:rsid w:val="485C2E28"/>
    <w:rsid w:val="48984920"/>
    <w:rsid w:val="4A2B1D20"/>
    <w:rsid w:val="4A5BD2F4"/>
    <w:rsid w:val="4A6DB5EC"/>
    <w:rsid w:val="4B7C247C"/>
    <w:rsid w:val="4CEDD4D1"/>
    <w:rsid w:val="4D928B63"/>
    <w:rsid w:val="4DA25AF6"/>
    <w:rsid w:val="4DF1293E"/>
    <w:rsid w:val="4F000FCC"/>
    <w:rsid w:val="4F798B0F"/>
    <w:rsid w:val="4F7A1C78"/>
    <w:rsid w:val="4FEBEE80"/>
    <w:rsid w:val="50410917"/>
    <w:rsid w:val="509BE02D"/>
    <w:rsid w:val="5195CA3E"/>
    <w:rsid w:val="51A42684"/>
    <w:rsid w:val="51EE25C1"/>
    <w:rsid w:val="55169B67"/>
    <w:rsid w:val="5557F056"/>
    <w:rsid w:val="555F5734"/>
    <w:rsid w:val="560E460E"/>
    <w:rsid w:val="563B957B"/>
    <w:rsid w:val="565B4DD3"/>
    <w:rsid w:val="5694012A"/>
    <w:rsid w:val="57226FED"/>
    <w:rsid w:val="5816A3B2"/>
    <w:rsid w:val="58C8A76C"/>
    <w:rsid w:val="59D38F51"/>
    <w:rsid w:val="59E92005"/>
    <w:rsid w:val="5A5FA990"/>
    <w:rsid w:val="5C0B03CA"/>
    <w:rsid w:val="5D2B0DA9"/>
    <w:rsid w:val="5D558A0B"/>
    <w:rsid w:val="5D5A0172"/>
    <w:rsid w:val="5DC367FE"/>
    <w:rsid w:val="5DDB7EEE"/>
    <w:rsid w:val="5EA1D419"/>
    <w:rsid w:val="5F77F329"/>
    <w:rsid w:val="601C180C"/>
    <w:rsid w:val="6224B1DF"/>
    <w:rsid w:val="629A27CA"/>
    <w:rsid w:val="63C8E5EE"/>
    <w:rsid w:val="641161C9"/>
    <w:rsid w:val="64A9989F"/>
    <w:rsid w:val="65484A79"/>
    <w:rsid w:val="66AAF52C"/>
    <w:rsid w:val="67016966"/>
    <w:rsid w:val="690797F9"/>
    <w:rsid w:val="6C2C8031"/>
    <w:rsid w:val="6E89B892"/>
    <w:rsid w:val="6EC5B5BA"/>
    <w:rsid w:val="6EFFABAE"/>
    <w:rsid w:val="70C71FFF"/>
    <w:rsid w:val="71C04B6A"/>
    <w:rsid w:val="720DE0C1"/>
    <w:rsid w:val="72EDB1F1"/>
    <w:rsid w:val="731F7D7D"/>
    <w:rsid w:val="73254513"/>
    <w:rsid w:val="732E989C"/>
    <w:rsid w:val="73592193"/>
    <w:rsid w:val="739AC6D1"/>
    <w:rsid w:val="73CE737B"/>
    <w:rsid w:val="760E977E"/>
    <w:rsid w:val="765825F8"/>
    <w:rsid w:val="7659BE25"/>
    <w:rsid w:val="765CF0EC"/>
    <w:rsid w:val="7694CA77"/>
    <w:rsid w:val="76982B31"/>
    <w:rsid w:val="76BBD375"/>
    <w:rsid w:val="77F3F659"/>
    <w:rsid w:val="78309AD8"/>
    <w:rsid w:val="7AD7C657"/>
    <w:rsid w:val="7B191B46"/>
    <w:rsid w:val="7C3B6F52"/>
    <w:rsid w:val="7EA699C1"/>
    <w:rsid w:val="7F939F4F"/>
    <w:rsid w:val="7FB5E4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F8EAB8"/>
  <w15:docId w15:val="{FF3BB8CE-7FF9-464F-824F-85EA453F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79"/>
    <w:pPr>
      <w:spacing w:after="200" w:line="288"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247B59"/>
    <w:pPr>
      <w:keepNext/>
      <w:keepLines/>
      <w:spacing w:before="400" w:after="10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35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59C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E212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F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F03"/>
    <w:rPr>
      <w:rFonts w:ascii="Segoe UI" w:hAnsi="Segoe UI" w:cs="Segoe UI"/>
      <w:sz w:val="18"/>
      <w:szCs w:val="18"/>
    </w:rPr>
  </w:style>
  <w:style w:type="character" w:styleId="PageNumber">
    <w:name w:val="page number"/>
    <w:basedOn w:val="DefaultParagraphFont"/>
    <w:uiPriority w:val="99"/>
    <w:semiHidden/>
    <w:unhideWhenUsed/>
    <w:rsid w:val="000E2F03"/>
  </w:style>
  <w:style w:type="character" w:customStyle="1" w:styleId="Heading1Char">
    <w:name w:val="Heading 1 Char"/>
    <w:basedOn w:val="DefaultParagraphFont"/>
    <w:link w:val="Heading1"/>
    <w:uiPriority w:val="9"/>
    <w:rsid w:val="00247B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35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259CA"/>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DF3D4A"/>
    <w:rPr>
      <w:rFonts w:ascii="Times New Roman" w:hAnsi="Times New Roman"/>
      <w:sz w:val="20"/>
      <w:szCs w:val="20"/>
    </w:rPr>
  </w:style>
  <w:style w:type="character" w:customStyle="1" w:styleId="CommentTextChar">
    <w:name w:val="Comment Text Char"/>
    <w:basedOn w:val="DefaultParagraphFont"/>
    <w:link w:val="CommentText"/>
    <w:uiPriority w:val="99"/>
    <w:rsid w:val="00DF3D4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F3D4A"/>
    <w:rPr>
      <w:sz w:val="16"/>
      <w:szCs w:val="16"/>
    </w:rPr>
  </w:style>
  <w:style w:type="paragraph" w:styleId="ListParagraph">
    <w:name w:val="List Paragraph"/>
    <w:basedOn w:val="Normal"/>
    <w:uiPriority w:val="34"/>
    <w:qFormat/>
    <w:rsid w:val="004D4D67"/>
    <w:pPr>
      <w:ind w:left="720"/>
      <w:contextualSpacing/>
    </w:pPr>
  </w:style>
  <w:style w:type="paragraph" w:styleId="CommentSubject">
    <w:name w:val="annotation subject"/>
    <w:basedOn w:val="CommentText"/>
    <w:next w:val="CommentText"/>
    <w:link w:val="CommentSubjectChar"/>
    <w:uiPriority w:val="99"/>
    <w:semiHidden/>
    <w:unhideWhenUsed/>
    <w:rsid w:val="000B60C3"/>
    <w:rPr>
      <w:rFonts w:ascii="Calibri" w:hAnsi="Calibri"/>
      <w:b/>
      <w:bCs/>
    </w:rPr>
  </w:style>
  <w:style w:type="character" w:customStyle="1" w:styleId="CommentSubjectChar">
    <w:name w:val="Comment Subject Char"/>
    <w:basedOn w:val="CommentTextChar"/>
    <w:link w:val="CommentSubject"/>
    <w:uiPriority w:val="99"/>
    <w:semiHidden/>
    <w:rsid w:val="000B60C3"/>
    <w:rPr>
      <w:rFonts w:ascii="Calibri" w:eastAsia="Times New Roman" w:hAnsi="Calibri" w:cs="Times New Roman"/>
      <w:b/>
      <w:bCs/>
      <w:sz w:val="20"/>
      <w:szCs w:val="20"/>
    </w:rPr>
  </w:style>
  <w:style w:type="paragraph" w:customStyle="1" w:styleId="xmsonormal">
    <w:name w:val="x_msonormal"/>
    <w:basedOn w:val="Normal"/>
    <w:rsid w:val="00AB5F3B"/>
    <w:pPr>
      <w:spacing w:before="100" w:beforeAutospacing="1" w:after="100" w:afterAutospacing="1"/>
    </w:pPr>
    <w:rPr>
      <w:rFonts w:ascii="Times New Roman" w:hAnsi="Times New Roman"/>
      <w:sz w:val="24"/>
      <w:lang w:eastAsia="en-GB"/>
    </w:rPr>
  </w:style>
  <w:style w:type="table" w:styleId="TableGrid">
    <w:name w:val="Table Grid"/>
    <w:basedOn w:val="TableNormal"/>
    <w:uiPriority w:val="39"/>
    <w:rsid w:val="00AB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F3067"/>
    <w:rPr>
      <w:color w:val="0000FF"/>
      <w:u w:val="single"/>
    </w:rPr>
  </w:style>
  <w:style w:type="paragraph" w:styleId="NormalWeb">
    <w:name w:val="Normal (Web)"/>
    <w:basedOn w:val="Normal"/>
    <w:uiPriority w:val="99"/>
    <w:unhideWhenUsed/>
    <w:rsid w:val="00BF3067"/>
    <w:pPr>
      <w:spacing w:before="100" w:beforeAutospacing="1" w:after="100" w:afterAutospacing="1"/>
    </w:pPr>
    <w:rPr>
      <w:rFonts w:ascii="Times New Roman" w:hAnsi="Times New Roman"/>
      <w:sz w:val="24"/>
      <w:lang w:eastAsia="en-GB"/>
    </w:rPr>
  </w:style>
  <w:style w:type="paragraph" w:styleId="Footer">
    <w:name w:val="footer"/>
    <w:basedOn w:val="Normal"/>
    <w:link w:val="FooterChar"/>
    <w:uiPriority w:val="99"/>
    <w:unhideWhenUsed/>
    <w:rsid w:val="00BF3067"/>
    <w:pPr>
      <w:tabs>
        <w:tab w:val="center" w:pos="4513"/>
        <w:tab w:val="right" w:pos="9026"/>
      </w:tabs>
    </w:pPr>
    <w:rPr>
      <w:rFonts w:eastAsia="Calibri"/>
      <w:szCs w:val="22"/>
    </w:rPr>
  </w:style>
  <w:style w:type="character" w:customStyle="1" w:styleId="FooterChar">
    <w:name w:val="Footer Char"/>
    <w:basedOn w:val="DefaultParagraphFont"/>
    <w:link w:val="Footer"/>
    <w:uiPriority w:val="99"/>
    <w:rsid w:val="00BF3067"/>
    <w:rPr>
      <w:rFonts w:ascii="Calibri" w:eastAsia="Calibri" w:hAnsi="Calibri" w:cs="Times New Roman"/>
    </w:rPr>
  </w:style>
  <w:style w:type="character" w:customStyle="1" w:styleId="UnresolvedMention1">
    <w:name w:val="Unresolved Mention1"/>
    <w:basedOn w:val="DefaultParagraphFont"/>
    <w:uiPriority w:val="99"/>
    <w:semiHidden/>
    <w:unhideWhenUsed/>
    <w:rsid w:val="00EC458C"/>
    <w:rPr>
      <w:color w:val="605E5C"/>
      <w:shd w:val="clear" w:color="auto" w:fill="E1DFDD"/>
    </w:rPr>
  </w:style>
  <w:style w:type="paragraph" w:styleId="Header">
    <w:name w:val="header"/>
    <w:basedOn w:val="Normal"/>
    <w:link w:val="HeaderChar"/>
    <w:uiPriority w:val="99"/>
    <w:unhideWhenUsed/>
    <w:rsid w:val="00221263"/>
    <w:pPr>
      <w:tabs>
        <w:tab w:val="center" w:pos="4513"/>
        <w:tab w:val="right" w:pos="9026"/>
      </w:tabs>
    </w:pPr>
  </w:style>
  <w:style w:type="character" w:customStyle="1" w:styleId="HeaderChar">
    <w:name w:val="Header Char"/>
    <w:basedOn w:val="DefaultParagraphFont"/>
    <w:link w:val="Header"/>
    <w:uiPriority w:val="99"/>
    <w:rsid w:val="00221263"/>
    <w:rPr>
      <w:rFonts w:ascii="Calibri" w:eastAsia="Times New Roman" w:hAnsi="Calibri" w:cs="Times New Roman"/>
      <w:szCs w:val="24"/>
    </w:rPr>
  </w:style>
  <w:style w:type="character" w:customStyle="1" w:styleId="Heading4Char">
    <w:name w:val="Heading 4 Char"/>
    <w:basedOn w:val="DefaultParagraphFont"/>
    <w:link w:val="Heading4"/>
    <w:uiPriority w:val="9"/>
    <w:rsid w:val="00E21223"/>
    <w:rPr>
      <w:rFonts w:asciiTheme="majorHAnsi" w:eastAsiaTheme="majorEastAsia" w:hAnsiTheme="majorHAnsi" w:cstheme="majorBidi"/>
      <w:i/>
      <w:iCs/>
      <w:color w:val="2F5496" w:themeColor="accent1" w:themeShade="BF"/>
      <w:szCs w:val="24"/>
    </w:rPr>
  </w:style>
  <w:style w:type="paragraph" w:styleId="Revision">
    <w:name w:val="Revision"/>
    <w:hidden/>
    <w:uiPriority w:val="99"/>
    <w:semiHidden/>
    <w:rsid w:val="009F1F76"/>
    <w:pPr>
      <w:spacing w:after="0" w:line="240" w:lineRule="auto"/>
    </w:pPr>
    <w:rPr>
      <w:rFonts w:ascii="Calibri" w:eastAsia="Times New Roman" w:hAnsi="Calibri" w:cs="Times New Roman"/>
      <w:szCs w:val="24"/>
    </w:rPr>
  </w:style>
  <w:style w:type="character" w:customStyle="1" w:styleId="UnresolvedMention2">
    <w:name w:val="Unresolved Mention2"/>
    <w:basedOn w:val="DefaultParagraphFont"/>
    <w:uiPriority w:val="99"/>
    <w:semiHidden/>
    <w:unhideWhenUsed/>
    <w:rsid w:val="00511135"/>
    <w:rPr>
      <w:color w:val="605E5C"/>
      <w:shd w:val="clear" w:color="auto" w:fill="E1DFDD"/>
    </w:rPr>
  </w:style>
  <w:style w:type="paragraph" w:customStyle="1" w:styleId="EndNoteBibliographyTitle">
    <w:name w:val="EndNote Bibliography Title"/>
    <w:basedOn w:val="Normal"/>
    <w:link w:val="EndNoteBibliographyTitleChar"/>
    <w:rsid w:val="00CF7273"/>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CF7273"/>
    <w:rPr>
      <w:rFonts w:ascii="Calibri" w:eastAsia="Times New Roman" w:hAnsi="Calibri" w:cs="Calibri"/>
      <w:noProof/>
      <w:szCs w:val="24"/>
      <w:lang w:val="en-US"/>
    </w:rPr>
  </w:style>
  <w:style w:type="paragraph" w:customStyle="1" w:styleId="EndNoteBibliography">
    <w:name w:val="EndNote Bibliography"/>
    <w:basedOn w:val="Normal"/>
    <w:link w:val="EndNoteBibliographyChar"/>
    <w:rsid w:val="00CF7273"/>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CF7273"/>
    <w:rPr>
      <w:rFonts w:ascii="Calibri" w:eastAsia="Times New Roman" w:hAnsi="Calibri" w:cs="Calibri"/>
      <w:noProof/>
      <w:szCs w:val="24"/>
      <w:lang w:val="en-US"/>
    </w:rPr>
  </w:style>
  <w:style w:type="paragraph" w:styleId="TOC1">
    <w:name w:val="toc 1"/>
    <w:basedOn w:val="Normal"/>
    <w:next w:val="Normal"/>
    <w:autoRedefine/>
    <w:uiPriority w:val="39"/>
    <w:unhideWhenUsed/>
    <w:rsid w:val="00256614"/>
    <w:pPr>
      <w:spacing w:before="120" w:after="0"/>
    </w:pPr>
    <w:rPr>
      <w:rFonts w:asciiTheme="majorHAnsi" w:hAnsiTheme="majorHAnsi"/>
      <w:b/>
      <w:color w:val="548DD4"/>
      <w:sz w:val="24"/>
    </w:rPr>
  </w:style>
  <w:style w:type="paragraph" w:styleId="TOC2">
    <w:name w:val="toc 2"/>
    <w:basedOn w:val="Normal"/>
    <w:next w:val="Normal"/>
    <w:autoRedefine/>
    <w:uiPriority w:val="39"/>
    <w:unhideWhenUsed/>
    <w:rsid w:val="00256614"/>
    <w:pPr>
      <w:spacing w:after="0"/>
    </w:pPr>
    <w:rPr>
      <w:rFonts w:asciiTheme="minorHAnsi" w:hAnsiTheme="minorHAnsi"/>
      <w:szCs w:val="22"/>
    </w:rPr>
  </w:style>
  <w:style w:type="paragraph" w:styleId="TOC3">
    <w:name w:val="toc 3"/>
    <w:basedOn w:val="Normal"/>
    <w:next w:val="Normal"/>
    <w:autoRedefine/>
    <w:uiPriority w:val="39"/>
    <w:unhideWhenUsed/>
    <w:rsid w:val="00256614"/>
    <w:pPr>
      <w:spacing w:after="0"/>
      <w:ind w:left="220"/>
    </w:pPr>
    <w:rPr>
      <w:rFonts w:asciiTheme="minorHAnsi" w:hAnsiTheme="minorHAnsi"/>
      <w:i/>
      <w:szCs w:val="22"/>
    </w:rPr>
  </w:style>
  <w:style w:type="paragraph" w:styleId="TOC4">
    <w:name w:val="toc 4"/>
    <w:basedOn w:val="Normal"/>
    <w:next w:val="Normal"/>
    <w:autoRedefine/>
    <w:uiPriority w:val="39"/>
    <w:unhideWhenUsed/>
    <w:rsid w:val="00256614"/>
    <w:pPr>
      <w:pBdr>
        <w:between w:val="double" w:sz="6" w:space="0" w:color="auto"/>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256614"/>
    <w:pPr>
      <w:pBdr>
        <w:between w:val="double" w:sz="6" w:space="0" w:color="auto"/>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256614"/>
    <w:pPr>
      <w:pBdr>
        <w:between w:val="double" w:sz="6" w:space="0" w:color="auto"/>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256614"/>
    <w:pPr>
      <w:pBdr>
        <w:between w:val="double" w:sz="6" w:space="0" w:color="auto"/>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256614"/>
    <w:pPr>
      <w:pBdr>
        <w:between w:val="double" w:sz="6" w:space="0" w:color="auto"/>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256614"/>
    <w:pPr>
      <w:pBdr>
        <w:between w:val="double" w:sz="6" w:space="0" w:color="auto"/>
      </w:pBdr>
      <w:spacing w:after="0"/>
      <w:ind w:left="1540"/>
    </w:pPr>
    <w:rPr>
      <w:rFonts w:asciiTheme="minorHAnsi" w:hAnsiTheme="minorHAnsi"/>
      <w:sz w:val="20"/>
      <w:szCs w:val="20"/>
    </w:rPr>
  </w:style>
  <w:style w:type="character" w:styleId="FollowedHyperlink">
    <w:name w:val="FollowedHyperlink"/>
    <w:basedOn w:val="DefaultParagraphFont"/>
    <w:uiPriority w:val="99"/>
    <w:semiHidden/>
    <w:unhideWhenUsed/>
    <w:rsid w:val="00B5352F"/>
    <w:rPr>
      <w:color w:val="954F72" w:themeColor="followedHyperlink"/>
      <w:u w:val="single"/>
    </w:rPr>
  </w:style>
  <w:style w:type="character" w:customStyle="1" w:styleId="UnresolvedMention3">
    <w:name w:val="Unresolved Mention3"/>
    <w:basedOn w:val="DefaultParagraphFont"/>
    <w:uiPriority w:val="99"/>
    <w:semiHidden/>
    <w:unhideWhenUsed/>
    <w:rsid w:val="00037806"/>
    <w:rPr>
      <w:color w:val="605E5C"/>
      <w:shd w:val="clear" w:color="auto" w:fill="E1DFDD"/>
    </w:rPr>
  </w:style>
  <w:style w:type="paragraph" w:customStyle="1" w:styleId="p">
    <w:name w:val="p"/>
    <w:basedOn w:val="Normal"/>
    <w:rsid w:val="008D2D8E"/>
    <w:pPr>
      <w:spacing w:before="100" w:beforeAutospacing="1" w:after="100" w:afterAutospacing="1" w:line="240" w:lineRule="auto"/>
    </w:pPr>
    <w:rPr>
      <w:rFonts w:ascii="Times New Roman" w:hAnsi="Times New Roman"/>
      <w:sz w:val="24"/>
      <w:lang w:eastAsia="en-GB"/>
    </w:rPr>
  </w:style>
  <w:style w:type="character" w:styleId="Emphasis">
    <w:name w:val="Emphasis"/>
    <w:basedOn w:val="DefaultParagraphFont"/>
    <w:uiPriority w:val="20"/>
    <w:qFormat/>
    <w:rsid w:val="004C26E1"/>
    <w:rPr>
      <w:i/>
      <w:iCs/>
    </w:rPr>
  </w:style>
  <w:style w:type="table" w:customStyle="1" w:styleId="TableGrid1">
    <w:name w:val="Table Grid1"/>
    <w:basedOn w:val="TableNormal"/>
    <w:next w:val="TableGrid"/>
    <w:uiPriority w:val="39"/>
    <w:rsid w:val="003E005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4D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A1C6B"/>
    <w:rPr>
      <w:color w:val="605E5C"/>
      <w:shd w:val="clear" w:color="auto" w:fill="E1DFDD"/>
    </w:rPr>
  </w:style>
  <w:style w:type="paragraph" w:styleId="Bibliography">
    <w:name w:val="Bibliography"/>
    <w:basedOn w:val="Normal"/>
    <w:next w:val="Normal"/>
    <w:uiPriority w:val="37"/>
    <w:unhideWhenUsed/>
    <w:rsid w:val="00762B3F"/>
    <w:pPr>
      <w:tabs>
        <w:tab w:val="left" w:pos="504"/>
      </w:tabs>
      <w:spacing w:after="240" w:line="240" w:lineRule="auto"/>
      <w:ind w:left="504" w:hanging="504"/>
    </w:pPr>
  </w:style>
  <w:style w:type="character" w:styleId="Strong">
    <w:name w:val="Strong"/>
    <w:basedOn w:val="DefaultParagraphFont"/>
    <w:uiPriority w:val="22"/>
    <w:qFormat/>
    <w:rsid w:val="00CB3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8953">
      <w:bodyDiv w:val="1"/>
      <w:marLeft w:val="0"/>
      <w:marRight w:val="0"/>
      <w:marTop w:val="0"/>
      <w:marBottom w:val="0"/>
      <w:divBdr>
        <w:top w:val="none" w:sz="0" w:space="0" w:color="auto"/>
        <w:left w:val="none" w:sz="0" w:space="0" w:color="auto"/>
        <w:bottom w:val="none" w:sz="0" w:space="0" w:color="auto"/>
        <w:right w:val="none" w:sz="0" w:space="0" w:color="auto"/>
      </w:divBdr>
      <w:divsChild>
        <w:div w:id="1043864751">
          <w:marLeft w:val="0"/>
          <w:marRight w:val="0"/>
          <w:marTop w:val="0"/>
          <w:marBottom w:val="0"/>
          <w:divBdr>
            <w:top w:val="none" w:sz="0" w:space="0" w:color="auto"/>
            <w:left w:val="none" w:sz="0" w:space="0" w:color="auto"/>
            <w:bottom w:val="none" w:sz="0" w:space="0" w:color="auto"/>
            <w:right w:val="none" w:sz="0" w:space="0" w:color="auto"/>
          </w:divBdr>
          <w:divsChild>
            <w:div w:id="512383975">
              <w:marLeft w:val="0"/>
              <w:marRight w:val="0"/>
              <w:marTop w:val="0"/>
              <w:marBottom w:val="0"/>
              <w:divBdr>
                <w:top w:val="none" w:sz="0" w:space="0" w:color="auto"/>
                <w:left w:val="none" w:sz="0" w:space="0" w:color="auto"/>
                <w:bottom w:val="none" w:sz="0" w:space="0" w:color="auto"/>
                <w:right w:val="none" w:sz="0" w:space="0" w:color="auto"/>
              </w:divBdr>
              <w:divsChild>
                <w:div w:id="6852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2420">
      <w:bodyDiv w:val="1"/>
      <w:marLeft w:val="0"/>
      <w:marRight w:val="0"/>
      <w:marTop w:val="0"/>
      <w:marBottom w:val="0"/>
      <w:divBdr>
        <w:top w:val="none" w:sz="0" w:space="0" w:color="auto"/>
        <w:left w:val="none" w:sz="0" w:space="0" w:color="auto"/>
        <w:bottom w:val="none" w:sz="0" w:space="0" w:color="auto"/>
        <w:right w:val="none" w:sz="0" w:space="0" w:color="auto"/>
      </w:divBdr>
    </w:div>
    <w:div w:id="144978050">
      <w:bodyDiv w:val="1"/>
      <w:marLeft w:val="0"/>
      <w:marRight w:val="0"/>
      <w:marTop w:val="0"/>
      <w:marBottom w:val="0"/>
      <w:divBdr>
        <w:top w:val="none" w:sz="0" w:space="0" w:color="auto"/>
        <w:left w:val="none" w:sz="0" w:space="0" w:color="auto"/>
        <w:bottom w:val="none" w:sz="0" w:space="0" w:color="auto"/>
        <w:right w:val="none" w:sz="0" w:space="0" w:color="auto"/>
      </w:divBdr>
      <w:divsChild>
        <w:div w:id="1356495327">
          <w:marLeft w:val="0"/>
          <w:marRight w:val="0"/>
          <w:marTop w:val="0"/>
          <w:marBottom w:val="0"/>
          <w:divBdr>
            <w:top w:val="none" w:sz="0" w:space="0" w:color="auto"/>
            <w:left w:val="none" w:sz="0" w:space="0" w:color="auto"/>
            <w:bottom w:val="none" w:sz="0" w:space="0" w:color="auto"/>
            <w:right w:val="none" w:sz="0" w:space="0" w:color="auto"/>
          </w:divBdr>
        </w:div>
      </w:divsChild>
    </w:div>
    <w:div w:id="251856540">
      <w:bodyDiv w:val="1"/>
      <w:marLeft w:val="0"/>
      <w:marRight w:val="0"/>
      <w:marTop w:val="0"/>
      <w:marBottom w:val="0"/>
      <w:divBdr>
        <w:top w:val="none" w:sz="0" w:space="0" w:color="auto"/>
        <w:left w:val="none" w:sz="0" w:space="0" w:color="auto"/>
        <w:bottom w:val="none" w:sz="0" w:space="0" w:color="auto"/>
        <w:right w:val="none" w:sz="0" w:space="0" w:color="auto"/>
      </w:divBdr>
    </w:div>
    <w:div w:id="278536003">
      <w:bodyDiv w:val="1"/>
      <w:marLeft w:val="0"/>
      <w:marRight w:val="0"/>
      <w:marTop w:val="0"/>
      <w:marBottom w:val="0"/>
      <w:divBdr>
        <w:top w:val="none" w:sz="0" w:space="0" w:color="auto"/>
        <w:left w:val="none" w:sz="0" w:space="0" w:color="auto"/>
        <w:bottom w:val="none" w:sz="0" w:space="0" w:color="auto"/>
        <w:right w:val="none" w:sz="0" w:space="0" w:color="auto"/>
      </w:divBdr>
    </w:div>
    <w:div w:id="279142670">
      <w:bodyDiv w:val="1"/>
      <w:marLeft w:val="0"/>
      <w:marRight w:val="0"/>
      <w:marTop w:val="0"/>
      <w:marBottom w:val="0"/>
      <w:divBdr>
        <w:top w:val="none" w:sz="0" w:space="0" w:color="auto"/>
        <w:left w:val="none" w:sz="0" w:space="0" w:color="auto"/>
        <w:bottom w:val="none" w:sz="0" w:space="0" w:color="auto"/>
        <w:right w:val="none" w:sz="0" w:space="0" w:color="auto"/>
      </w:divBdr>
    </w:div>
    <w:div w:id="310402404">
      <w:bodyDiv w:val="1"/>
      <w:marLeft w:val="0"/>
      <w:marRight w:val="0"/>
      <w:marTop w:val="0"/>
      <w:marBottom w:val="0"/>
      <w:divBdr>
        <w:top w:val="none" w:sz="0" w:space="0" w:color="auto"/>
        <w:left w:val="none" w:sz="0" w:space="0" w:color="auto"/>
        <w:bottom w:val="none" w:sz="0" w:space="0" w:color="auto"/>
        <w:right w:val="none" w:sz="0" w:space="0" w:color="auto"/>
      </w:divBdr>
      <w:divsChild>
        <w:div w:id="918904008">
          <w:marLeft w:val="1080"/>
          <w:marRight w:val="0"/>
          <w:marTop w:val="100"/>
          <w:marBottom w:val="0"/>
          <w:divBdr>
            <w:top w:val="none" w:sz="0" w:space="0" w:color="auto"/>
            <w:left w:val="none" w:sz="0" w:space="0" w:color="auto"/>
            <w:bottom w:val="none" w:sz="0" w:space="0" w:color="auto"/>
            <w:right w:val="none" w:sz="0" w:space="0" w:color="auto"/>
          </w:divBdr>
        </w:div>
        <w:div w:id="1116219449">
          <w:marLeft w:val="1080"/>
          <w:marRight w:val="0"/>
          <w:marTop w:val="100"/>
          <w:marBottom w:val="0"/>
          <w:divBdr>
            <w:top w:val="none" w:sz="0" w:space="0" w:color="auto"/>
            <w:left w:val="none" w:sz="0" w:space="0" w:color="auto"/>
            <w:bottom w:val="none" w:sz="0" w:space="0" w:color="auto"/>
            <w:right w:val="none" w:sz="0" w:space="0" w:color="auto"/>
          </w:divBdr>
        </w:div>
        <w:div w:id="1117140026">
          <w:marLeft w:val="1080"/>
          <w:marRight w:val="0"/>
          <w:marTop w:val="100"/>
          <w:marBottom w:val="0"/>
          <w:divBdr>
            <w:top w:val="none" w:sz="0" w:space="0" w:color="auto"/>
            <w:left w:val="none" w:sz="0" w:space="0" w:color="auto"/>
            <w:bottom w:val="none" w:sz="0" w:space="0" w:color="auto"/>
            <w:right w:val="none" w:sz="0" w:space="0" w:color="auto"/>
          </w:divBdr>
        </w:div>
      </w:divsChild>
    </w:div>
    <w:div w:id="444884684">
      <w:bodyDiv w:val="1"/>
      <w:marLeft w:val="0"/>
      <w:marRight w:val="0"/>
      <w:marTop w:val="0"/>
      <w:marBottom w:val="0"/>
      <w:divBdr>
        <w:top w:val="none" w:sz="0" w:space="0" w:color="auto"/>
        <w:left w:val="none" w:sz="0" w:space="0" w:color="auto"/>
        <w:bottom w:val="none" w:sz="0" w:space="0" w:color="auto"/>
        <w:right w:val="none" w:sz="0" w:space="0" w:color="auto"/>
      </w:divBdr>
    </w:div>
    <w:div w:id="482238188">
      <w:bodyDiv w:val="1"/>
      <w:marLeft w:val="0"/>
      <w:marRight w:val="0"/>
      <w:marTop w:val="0"/>
      <w:marBottom w:val="0"/>
      <w:divBdr>
        <w:top w:val="none" w:sz="0" w:space="0" w:color="auto"/>
        <w:left w:val="none" w:sz="0" w:space="0" w:color="auto"/>
        <w:bottom w:val="none" w:sz="0" w:space="0" w:color="auto"/>
        <w:right w:val="none" w:sz="0" w:space="0" w:color="auto"/>
      </w:divBdr>
    </w:div>
    <w:div w:id="482965513">
      <w:bodyDiv w:val="1"/>
      <w:marLeft w:val="0"/>
      <w:marRight w:val="0"/>
      <w:marTop w:val="0"/>
      <w:marBottom w:val="0"/>
      <w:divBdr>
        <w:top w:val="none" w:sz="0" w:space="0" w:color="auto"/>
        <w:left w:val="none" w:sz="0" w:space="0" w:color="auto"/>
        <w:bottom w:val="none" w:sz="0" w:space="0" w:color="auto"/>
        <w:right w:val="none" w:sz="0" w:space="0" w:color="auto"/>
      </w:divBdr>
    </w:div>
    <w:div w:id="507210871">
      <w:bodyDiv w:val="1"/>
      <w:marLeft w:val="0"/>
      <w:marRight w:val="0"/>
      <w:marTop w:val="0"/>
      <w:marBottom w:val="0"/>
      <w:divBdr>
        <w:top w:val="none" w:sz="0" w:space="0" w:color="auto"/>
        <w:left w:val="none" w:sz="0" w:space="0" w:color="auto"/>
        <w:bottom w:val="none" w:sz="0" w:space="0" w:color="auto"/>
        <w:right w:val="none" w:sz="0" w:space="0" w:color="auto"/>
      </w:divBdr>
    </w:div>
    <w:div w:id="529688899">
      <w:bodyDiv w:val="1"/>
      <w:marLeft w:val="0"/>
      <w:marRight w:val="0"/>
      <w:marTop w:val="0"/>
      <w:marBottom w:val="0"/>
      <w:divBdr>
        <w:top w:val="none" w:sz="0" w:space="0" w:color="auto"/>
        <w:left w:val="none" w:sz="0" w:space="0" w:color="auto"/>
        <w:bottom w:val="none" w:sz="0" w:space="0" w:color="auto"/>
        <w:right w:val="none" w:sz="0" w:space="0" w:color="auto"/>
      </w:divBdr>
    </w:div>
    <w:div w:id="532771283">
      <w:bodyDiv w:val="1"/>
      <w:marLeft w:val="0"/>
      <w:marRight w:val="0"/>
      <w:marTop w:val="0"/>
      <w:marBottom w:val="0"/>
      <w:divBdr>
        <w:top w:val="none" w:sz="0" w:space="0" w:color="auto"/>
        <w:left w:val="none" w:sz="0" w:space="0" w:color="auto"/>
        <w:bottom w:val="none" w:sz="0" w:space="0" w:color="auto"/>
        <w:right w:val="none" w:sz="0" w:space="0" w:color="auto"/>
      </w:divBdr>
    </w:div>
    <w:div w:id="559295160">
      <w:bodyDiv w:val="1"/>
      <w:marLeft w:val="0"/>
      <w:marRight w:val="0"/>
      <w:marTop w:val="0"/>
      <w:marBottom w:val="0"/>
      <w:divBdr>
        <w:top w:val="none" w:sz="0" w:space="0" w:color="auto"/>
        <w:left w:val="none" w:sz="0" w:space="0" w:color="auto"/>
        <w:bottom w:val="none" w:sz="0" w:space="0" w:color="auto"/>
        <w:right w:val="none" w:sz="0" w:space="0" w:color="auto"/>
      </w:divBdr>
      <w:divsChild>
        <w:div w:id="487093223">
          <w:marLeft w:val="0"/>
          <w:marRight w:val="0"/>
          <w:marTop w:val="0"/>
          <w:marBottom w:val="0"/>
          <w:divBdr>
            <w:top w:val="none" w:sz="0" w:space="0" w:color="auto"/>
            <w:left w:val="none" w:sz="0" w:space="0" w:color="auto"/>
            <w:bottom w:val="none" w:sz="0" w:space="0" w:color="auto"/>
            <w:right w:val="none" w:sz="0" w:space="0" w:color="auto"/>
          </w:divBdr>
          <w:divsChild>
            <w:div w:id="1711833044">
              <w:marLeft w:val="0"/>
              <w:marRight w:val="0"/>
              <w:marTop w:val="0"/>
              <w:marBottom w:val="0"/>
              <w:divBdr>
                <w:top w:val="none" w:sz="0" w:space="0" w:color="auto"/>
                <w:left w:val="none" w:sz="0" w:space="0" w:color="auto"/>
                <w:bottom w:val="none" w:sz="0" w:space="0" w:color="auto"/>
                <w:right w:val="none" w:sz="0" w:space="0" w:color="auto"/>
              </w:divBdr>
              <w:divsChild>
                <w:div w:id="3128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0732">
      <w:bodyDiv w:val="1"/>
      <w:marLeft w:val="0"/>
      <w:marRight w:val="0"/>
      <w:marTop w:val="0"/>
      <w:marBottom w:val="0"/>
      <w:divBdr>
        <w:top w:val="none" w:sz="0" w:space="0" w:color="auto"/>
        <w:left w:val="none" w:sz="0" w:space="0" w:color="auto"/>
        <w:bottom w:val="none" w:sz="0" w:space="0" w:color="auto"/>
        <w:right w:val="none" w:sz="0" w:space="0" w:color="auto"/>
      </w:divBdr>
    </w:div>
    <w:div w:id="678461396">
      <w:bodyDiv w:val="1"/>
      <w:marLeft w:val="0"/>
      <w:marRight w:val="0"/>
      <w:marTop w:val="0"/>
      <w:marBottom w:val="0"/>
      <w:divBdr>
        <w:top w:val="none" w:sz="0" w:space="0" w:color="auto"/>
        <w:left w:val="none" w:sz="0" w:space="0" w:color="auto"/>
        <w:bottom w:val="none" w:sz="0" w:space="0" w:color="auto"/>
        <w:right w:val="none" w:sz="0" w:space="0" w:color="auto"/>
      </w:divBdr>
    </w:div>
    <w:div w:id="701830498">
      <w:bodyDiv w:val="1"/>
      <w:marLeft w:val="0"/>
      <w:marRight w:val="0"/>
      <w:marTop w:val="0"/>
      <w:marBottom w:val="0"/>
      <w:divBdr>
        <w:top w:val="none" w:sz="0" w:space="0" w:color="auto"/>
        <w:left w:val="none" w:sz="0" w:space="0" w:color="auto"/>
        <w:bottom w:val="none" w:sz="0" w:space="0" w:color="auto"/>
        <w:right w:val="none" w:sz="0" w:space="0" w:color="auto"/>
      </w:divBdr>
    </w:div>
    <w:div w:id="731542638">
      <w:bodyDiv w:val="1"/>
      <w:marLeft w:val="0"/>
      <w:marRight w:val="0"/>
      <w:marTop w:val="0"/>
      <w:marBottom w:val="0"/>
      <w:divBdr>
        <w:top w:val="none" w:sz="0" w:space="0" w:color="auto"/>
        <w:left w:val="none" w:sz="0" w:space="0" w:color="auto"/>
        <w:bottom w:val="none" w:sz="0" w:space="0" w:color="auto"/>
        <w:right w:val="none" w:sz="0" w:space="0" w:color="auto"/>
      </w:divBdr>
    </w:div>
    <w:div w:id="733043398">
      <w:bodyDiv w:val="1"/>
      <w:marLeft w:val="0"/>
      <w:marRight w:val="0"/>
      <w:marTop w:val="0"/>
      <w:marBottom w:val="0"/>
      <w:divBdr>
        <w:top w:val="none" w:sz="0" w:space="0" w:color="auto"/>
        <w:left w:val="none" w:sz="0" w:space="0" w:color="auto"/>
        <w:bottom w:val="none" w:sz="0" w:space="0" w:color="auto"/>
        <w:right w:val="none" w:sz="0" w:space="0" w:color="auto"/>
      </w:divBdr>
      <w:divsChild>
        <w:div w:id="421220839">
          <w:marLeft w:val="360"/>
          <w:marRight w:val="0"/>
          <w:marTop w:val="0"/>
          <w:marBottom w:val="0"/>
          <w:divBdr>
            <w:top w:val="none" w:sz="0" w:space="0" w:color="auto"/>
            <w:left w:val="none" w:sz="0" w:space="0" w:color="auto"/>
            <w:bottom w:val="none" w:sz="0" w:space="0" w:color="auto"/>
            <w:right w:val="none" w:sz="0" w:space="0" w:color="auto"/>
          </w:divBdr>
        </w:div>
      </w:divsChild>
    </w:div>
    <w:div w:id="737555812">
      <w:bodyDiv w:val="1"/>
      <w:marLeft w:val="0"/>
      <w:marRight w:val="0"/>
      <w:marTop w:val="0"/>
      <w:marBottom w:val="0"/>
      <w:divBdr>
        <w:top w:val="none" w:sz="0" w:space="0" w:color="auto"/>
        <w:left w:val="none" w:sz="0" w:space="0" w:color="auto"/>
        <w:bottom w:val="none" w:sz="0" w:space="0" w:color="auto"/>
        <w:right w:val="none" w:sz="0" w:space="0" w:color="auto"/>
      </w:divBdr>
    </w:div>
    <w:div w:id="742262476">
      <w:bodyDiv w:val="1"/>
      <w:marLeft w:val="0"/>
      <w:marRight w:val="0"/>
      <w:marTop w:val="0"/>
      <w:marBottom w:val="0"/>
      <w:divBdr>
        <w:top w:val="none" w:sz="0" w:space="0" w:color="auto"/>
        <w:left w:val="none" w:sz="0" w:space="0" w:color="auto"/>
        <w:bottom w:val="none" w:sz="0" w:space="0" w:color="auto"/>
        <w:right w:val="none" w:sz="0" w:space="0" w:color="auto"/>
      </w:divBdr>
    </w:div>
    <w:div w:id="810555136">
      <w:bodyDiv w:val="1"/>
      <w:marLeft w:val="0"/>
      <w:marRight w:val="0"/>
      <w:marTop w:val="0"/>
      <w:marBottom w:val="0"/>
      <w:divBdr>
        <w:top w:val="none" w:sz="0" w:space="0" w:color="auto"/>
        <w:left w:val="none" w:sz="0" w:space="0" w:color="auto"/>
        <w:bottom w:val="none" w:sz="0" w:space="0" w:color="auto"/>
        <w:right w:val="none" w:sz="0" w:space="0" w:color="auto"/>
      </w:divBdr>
    </w:div>
    <w:div w:id="827479975">
      <w:bodyDiv w:val="1"/>
      <w:marLeft w:val="0"/>
      <w:marRight w:val="0"/>
      <w:marTop w:val="0"/>
      <w:marBottom w:val="0"/>
      <w:divBdr>
        <w:top w:val="none" w:sz="0" w:space="0" w:color="auto"/>
        <w:left w:val="none" w:sz="0" w:space="0" w:color="auto"/>
        <w:bottom w:val="none" w:sz="0" w:space="0" w:color="auto"/>
        <w:right w:val="none" w:sz="0" w:space="0" w:color="auto"/>
      </w:divBdr>
    </w:div>
    <w:div w:id="871040178">
      <w:bodyDiv w:val="1"/>
      <w:marLeft w:val="0"/>
      <w:marRight w:val="0"/>
      <w:marTop w:val="0"/>
      <w:marBottom w:val="0"/>
      <w:divBdr>
        <w:top w:val="none" w:sz="0" w:space="0" w:color="auto"/>
        <w:left w:val="none" w:sz="0" w:space="0" w:color="auto"/>
        <w:bottom w:val="none" w:sz="0" w:space="0" w:color="auto"/>
        <w:right w:val="none" w:sz="0" w:space="0" w:color="auto"/>
      </w:divBdr>
    </w:div>
    <w:div w:id="937716226">
      <w:bodyDiv w:val="1"/>
      <w:marLeft w:val="0"/>
      <w:marRight w:val="0"/>
      <w:marTop w:val="0"/>
      <w:marBottom w:val="0"/>
      <w:divBdr>
        <w:top w:val="none" w:sz="0" w:space="0" w:color="auto"/>
        <w:left w:val="none" w:sz="0" w:space="0" w:color="auto"/>
        <w:bottom w:val="none" w:sz="0" w:space="0" w:color="auto"/>
        <w:right w:val="none" w:sz="0" w:space="0" w:color="auto"/>
      </w:divBdr>
      <w:divsChild>
        <w:div w:id="1873614751">
          <w:marLeft w:val="0"/>
          <w:marRight w:val="0"/>
          <w:marTop w:val="0"/>
          <w:marBottom w:val="0"/>
          <w:divBdr>
            <w:top w:val="none" w:sz="0" w:space="0" w:color="auto"/>
            <w:left w:val="none" w:sz="0" w:space="0" w:color="auto"/>
            <w:bottom w:val="none" w:sz="0" w:space="0" w:color="auto"/>
            <w:right w:val="none" w:sz="0" w:space="0" w:color="auto"/>
          </w:divBdr>
          <w:divsChild>
            <w:div w:id="846138909">
              <w:marLeft w:val="0"/>
              <w:marRight w:val="0"/>
              <w:marTop w:val="0"/>
              <w:marBottom w:val="0"/>
              <w:divBdr>
                <w:top w:val="none" w:sz="0" w:space="0" w:color="auto"/>
                <w:left w:val="none" w:sz="0" w:space="0" w:color="auto"/>
                <w:bottom w:val="none" w:sz="0" w:space="0" w:color="auto"/>
                <w:right w:val="none" w:sz="0" w:space="0" w:color="auto"/>
              </w:divBdr>
              <w:divsChild>
                <w:div w:id="12640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2789">
      <w:bodyDiv w:val="1"/>
      <w:marLeft w:val="0"/>
      <w:marRight w:val="0"/>
      <w:marTop w:val="0"/>
      <w:marBottom w:val="0"/>
      <w:divBdr>
        <w:top w:val="none" w:sz="0" w:space="0" w:color="auto"/>
        <w:left w:val="none" w:sz="0" w:space="0" w:color="auto"/>
        <w:bottom w:val="none" w:sz="0" w:space="0" w:color="auto"/>
        <w:right w:val="none" w:sz="0" w:space="0" w:color="auto"/>
      </w:divBdr>
    </w:div>
    <w:div w:id="973025107">
      <w:bodyDiv w:val="1"/>
      <w:marLeft w:val="0"/>
      <w:marRight w:val="0"/>
      <w:marTop w:val="0"/>
      <w:marBottom w:val="0"/>
      <w:divBdr>
        <w:top w:val="none" w:sz="0" w:space="0" w:color="auto"/>
        <w:left w:val="none" w:sz="0" w:space="0" w:color="auto"/>
        <w:bottom w:val="none" w:sz="0" w:space="0" w:color="auto"/>
        <w:right w:val="none" w:sz="0" w:space="0" w:color="auto"/>
      </w:divBdr>
    </w:div>
    <w:div w:id="981541373">
      <w:bodyDiv w:val="1"/>
      <w:marLeft w:val="0"/>
      <w:marRight w:val="0"/>
      <w:marTop w:val="0"/>
      <w:marBottom w:val="0"/>
      <w:divBdr>
        <w:top w:val="none" w:sz="0" w:space="0" w:color="auto"/>
        <w:left w:val="none" w:sz="0" w:space="0" w:color="auto"/>
        <w:bottom w:val="none" w:sz="0" w:space="0" w:color="auto"/>
        <w:right w:val="none" w:sz="0" w:space="0" w:color="auto"/>
      </w:divBdr>
      <w:divsChild>
        <w:div w:id="10143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5163">
              <w:marLeft w:val="0"/>
              <w:marRight w:val="0"/>
              <w:marTop w:val="0"/>
              <w:marBottom w:val="0"/>
              <w:divBdr>
                <w:top w:val="none" w:sz="0" w:space="0" w:color="auto"/>
                <w:left w:val="none" w:sz="0" w:space="0" w:color="auto"/>
                <w:bottom w:val="none" w:sz="0" w:space="0" w:color="auto"/>
                <w:right w:val="none" w:sz="0" w:space="0" w:color="auto"/>
              </w:divBdr>
              <w:divsChild>
                <w:div w:id="1730613243">
                  <w:marLeft w:val="0"/>
                  <w:marRight w:val="0"/>
                  <w:marTop w:val="0"/>
                  <w:marBottom w:val="0"/>
                  <w:divBdr>
                    <w:top w:val="none" w:sz="0" w:space="0" w:color="auto"/>
                    <w:left w:val="none" w:sz="0" w:space="0" w:color="auto"/>
                    <w:bottom w:val="none" w:sz="0" w:space="0" w:color="auto"/>
                    <w:right w:val="none" w:sz="0" w:space="0" w:color="auto"/>
                  </w:divBdr>
                  <w:divsChild>
                    <w:div w:id="16666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6027">
      <w:bodyDiv w:val="1"/>
      <w:marLeft w:val="0"/>
      <w:marRight w:val="0"/>
      <w:marTop w:val="0"/>
      <w:marBottom w:val="0"/>
      <w:divBdr>
        <w:top w:val="none" w:sz="0" w:space="0" w:color="auto"/>
        <w:left w:val="none" w:sz="0" w:space="0" w:color="auto"/>
        <w:bottom w:val="none" w:sz="0" w:space="0" w:color="auto"/>
        <w:right w:val="none" w:sz="0" w:space="0" w:color="auto"/>
      </w:divBdr>
    </w:div>
    <w:div w:id="1073047729">
      <w:bodyDiv w:val="1"/>
      <w:marLeft w:val="0"/>
      <w:marRight w:val="0"/>
      <w:marTop w:val="0"/>
      <w:marBottom w:val="0"/>
      <w:divBdr>
        <w:top w:val="none" w:sz="0" w:space="0" w:color="auto"/>
        <w:left w:val="none" w:sz="0" w:space="0" w:color="auto"/>
        <w:bottom w:val="none" w:sz="0" w:space="0" w:color="auto"/>
        <w:right w:val="none" w:sz="0" w:space="0" w:color="auto"/>
      </w:divBdr>
    </w:div>
    <w:div w:id="1138492305">
      <w:bodyDiv w:val="1"/>
      <w:marLeft w:val="0"/>
      <w:marRight w:val="0"/>
      <w:marTop w:val="0"/>
      <w:marBottom w:val="0"/>
      <w:divBdr>
        <w:top w:val="none" w:sz="0" w:space="0" w:color="auto"/>
        <w:left w:val="none" w:sz="0" w:space="0" w:color="auto"/>
        <w:bottom w:val="none" w:sz="0" w:space="0" w:color="auto"/>
        <w:right w:val="none" w:sz="0" w:space="0" w:color="auto"/>
      </w:divBdr>
    </w:div>
    <w:div w:id="1173644118">
      <w:bodyDiv w:val="1"/>
      <w:marLeft w:val="0"/>
      <w:marRight w:val="0"/>
      <w:marTop w:val="0"/>
      <w:marBottom w:val="0"/>
      <w:divBdr>
        <w:top w:val="none" w:sz="0" w:space="0" w:color="auto"/>
        <w:left w:val="none" w:sz="0" w:space="0" w:color="auto"/>
        <w:bottom w:val="none" w:sz="0" w:space="0" w:color="auto"/>
        <w:right w:val="none" w:sz="0" w:space="0" w:color="auto"/>
      </w:divBdr>
    </w:div>
    <w:div w:id="1186165376">
      <w:bodyDiv w:val="1"/>
      <w:marLeft w:val="0"/>
      <w:marRight w:val="0"/>
      <w:marTop w:val="0"/>
      <w:marBottom w:val="0"/>
      <w:divBdr>
        <w:top w:val="none" w:sz="0" w:space="0" w:color="auto"/>
        <w:left w:val="none" w:sz="0" w:space="0" w:color="auto"/>
        <w:bottom w:val="none" w:sz="0" w:space="0" w:color="auto"/>
        <w:right w:val="none" w:sz="0" w:space="0" w:color="auto"/>
      </w:divBdr>
    </w:div>
    <w:div w:id="1220362694">
      <w:bodyDiv w:val="1"/>
      <w:marLeft w:val="0"/>
      <w:marRight w:val="0"/>
      <w:marTop w:val="0"/>
      <w:marBottom w:val="0"/>
      <w:divBdr>
        <w:top w:val="none" w:sz="0" w:space="0" w:color="auto"/>
        <w:left w:val="none" w:sz="0" w:space="0" w:color="auto"/>
        <w:bottom w:val="none" w:sz="0" w:space="0" w:color="auto"/>
        <w:right w:val="none" w:sz="0" w:space="0" w:color="auto"/>
      </w:divBdr>
      <w:divsChild>
        <w:div w:id="1019502427">
          <w:marLeft w:val="0"/>
          <w:marRight w:val="0"/>
          <w:marTop w:val="0"/>
          <w:marBottom w:val="0"/>
          <w:divBdr>
            <w:top w:val="none" w:sz="0" w:space="0" w:color="auto"/>
            <w:left w:val="none" w:sz="0" w:space="0" w:color="auto"/>
            <w:bottom w:val="none" w:sz="0" w:space="0" w:color="auto"/>
            <w:right w:val="none" w:sz="0" w:space="0" w:color="auto"/>
          </w:divBdr>
          <w:divsChild>
            <w:div w:id="1940218585">
              <w:marLeft w:val="0"/>
              <w:marRight w:val="0"/>
              <w:marTop w:val="0"/>
              <w:marBottom w:val="0"/>
              <w:divBdr>
                <w:top w:val="none" w:sz="0" w:space="0" w:color="auto"/>
                <w:left w:val="none" w:sz="0" w:space="0" w:color="auto"/>
                <w:bottom w:val="none" w:sz="0" w:space="0" w:color="auto"/>
                <w:right w:val="none" w:sz="0" w:space="0" w:color="auto"/>
              </w:divBdr>
              <w:divsChild>
                <w:div w:id="181289181">
                  <w:marLeft w:val="0"/>
                  <w:marRight w:val="0"/>
                  <w:marTop w:val="0"/>
                  <w:marBottom w:val="0"/>
                  <w:divBdr>
                    <w:top w:val="none" w:sz="0" w:space="0" w:color="auto"/>
                    <w:left w:val="none" w:sz="0" w:space="0" w:color="auto"/>
                    <w:bottom w:val="none" w:sz="0" w:space="0" w:color="auto"/>
                    <w:right w:val="none" w:sz="0" w:space="0" w:color="auto"/>
                  </w:divBdr>
                  <w:divsChild>
                    <w:div w:id="16216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57281">
      <w:bodyDiv w:val="1"/>
      <w:marLeft w:val="0"/>
      <w:marRight w:val="0"/>
      <w:marTop w:val="0"/>
      <w:marBottom w:val="0"/>
      <w:divBdr>
        <w:top w:val="none" w:sz="0" w:space="0" w:color="auto"/>
        <w:left w:val="none" w:sz="0" w:space="0" w:color="auto"/>
        <w:bottom w:val="none" w:sz="0" w:space="0" w:color="auto"/>
        <w:right w:val="none" w:sz="0" w:space="0" w:color="auto"/>
      </w:divBdr>
    </w:div>
    <w:div w:id="1478719109">
      <w:bodyDiv w:val="1"/>
      <w:marLeft w:val="0"/>
      <w:marRight w:val="0"/>
      <w:marTop w:val="0"/>
      <w:marBottom w:val="0"/>
      <w:divBdr>
        <w:top w:val="none" w:sz="0" w:space="0" w:color="auto"/>
        <w:left w:val="none" w:sz="0" w:space="0" w:color="auto"/>
        <w:bottom w:val="none" w:sz="0" w:space="0" w:color="auto"/>
        <w:right w:val="none" w:sz="0" w:space="0" w:color="auto"/>
      </w:divBdr>
    </w:div>
    <w:div w:id="1545210506">
      <w:bodyDiv w:val="1"/>
      <w:marLeft w:val="0"/>
      <w:marRight w:val="0"/>
      <w:marTop w:val="0"/>
      <w:marBottom w:val="0"/>
      <w:divBdr>
        <w:top w:val="none" w:sz="0" w:space="0" w:color="auto"/>
        <w:left w:val="none" w:sz="0" w:space="0" w:color="auto"/>
        <w:bottom w:val="none" w:sz="0" w:space="0" w:color="auto"/>
        <w:right w:val="none" w:sz="0" w:space="0" w:color="auto"/>
      </w:divBdr>
    </w:div>
    <w:div w:id="1562406749">
      <w:bodyDiv w:val="1"/>
      <w:marLeft w:val="0"/>
      <w:marRight w:val="0"/>
      <w:marTop w:val="0"/>
      <w:marBottom w:val="0"/>
      <w:divBdr>
        <w:top w:val="none" w:sz="0" w:space="0" w:color="auto"/>
        <w:left w:val="none" w:sz="0" w:space="0" w:color="auto"/>
        <w:bottom w:val="none" w:sz="0" w:space="0" w:color="auto"/>
        <w:right w:val="none" w:sz="0" w:space="0" w:color="auto"/>
      </w:divBdr>
    </w:div>
    <w:div w:id="1606574374">
      <w:bodyDiv w:val="1"/>
      <w:marLeft w:val="0"/>
      <w:marRight w:val="0"/>
      <w:marTop w:val="0"/>
      <w:marBottom w:val="0"/>
      <w:divBdr>
        <w:top w:val="none" w:sz="0" w:space="0" w:color="auto"/>
        <w:left w:val="none" w:sz="0" w:space="0" w:color="auto"/>
        <w:bottom w:val="none" w:sz="0" w:space="0" w:color="auto"/>
        <w:right w:val="none" w:sz="0" w:space="0" w:color="auto"/>
      </w:divBdr>
    </w:div>
    <w:div w:id="1637831306">
      <w:bodyDiv w:val="1"/>
      <w:marLeft w:val="0"/>
      <w:marRight w:val="0"/>
      <w:marTop w:val="0"/>
      <w:marBottom w:val="0"/>
      <w:divBdr>
        <w:top w:val="none" w:sz="0" w:space="0" w:color="auto"/>
        <w:left w:val="none" w:sz="0" w:space="0" w:color="auto"/>
        <w:bottom w:val="none" w:sz="0" w:space="0" w:color="auto"/>
        <w:right w:val="none" w:sz="0" w:space="0" w:color="auto"/>
      </w:divBdr>
      <w:divsChild>
        <w:div w:id="916599317">
          <w:marLeft w:val="0"/>
          <w:marRight w:val="0"/>
          <w:marTop w:val="0"/>
          <w:marBottom w:val="0"/>
          <w:divBdr>
            <w:top w:val="none" w:sz="0" w:space="0" w:color="auto"/>
            <w:left w:val="none" w:sz="0" w:space="0" w:color="auto"/>
            <w:bottom w:val="none" w:sz="0" w:space="0" w:color="auto"/>
            <w:right w:val="none" w:sz="0" w:space="0" w:color="auto"/>
          </w:divBdr>
        </w:div>
      </w:divsChild>
    </w:div>
    <w:div w:id="1669138825">
      <w:bodyDiv w:val="1"/>
      <w:marLeft w:val="0"/>
      <w:marRight w:val="0"/>
      <w:marTop w:val="0"/>
      <w:marBottom w:val="0"/>
      <w:divBdr>
        <w:top w:val="none" w:sz="0" w:space="0" w:color="auto"/>
        <w:left w:val="none" w:sz="0" w:space="0" w:color="auto"/>
        <w:bottom w:val="none" w:sz="0" w:space="0" w:color="auto"/>
        <w:right w:val="none" w:sz="0" w:space="0" w:color="auto"/>
      </w:divBdr>
    </w:div>
    <w:div w:id="1673414538">
      <w:bodyDiv w:val="1"/>
      <w:marLeft w:val="0"/>
      <w:marRight w:val="0"/>
      <w:marTop w:val="0"/>
      <w:marBottom w:val="0"/>
      <w:divBdr>
        <w:top w:val="none" w:sz="0" w:space="0" w:color="auto"/>
        <w:left w:val="none" w:sz="0" w:space="0" w:color="auto"/>
        <w:bottom w:val="none" w:sz="0" w:space="0" w:color="auto"/>
        <w:right w:val="none" w:sz="0" w:space="0" w:color="auto"/>
      </w:divBdr>
    </w:div>
    <w:div w:id="1713453754">
      <w:bodyDiv w:val="1"/>
      <w:marLeft w:val="0"/>
      <w:marRight w:val="0"/>
      <w:marTop w:val="0"/>
      <w:marBottom w:val="0"/>
      <w:divBdr>
        <w:top w:val="none" w:sz="0" w:space="0" w:color="auto"/>
        <w:left w:val="none" w:sz="0" w:space="0" w:color="auto"/>
        <w:bottom w:val="none" w:sz="0" w:space="0" w:color="auto"/>
        <w:right w:val="none" w:sz="0" w:space="0" w:color="auto"/>
      </w:divBdr>
    </w:div>
    <w:div w:id="1764447795">
      <w:bodyDiv w:val="1"/>
      <w:marLeft w:val="0"/>
      <w:marRight w:val="0"/>
      <w:marTop w:val="0"/>
      <w:marBottom w:val="0"/>
      <w:divBdr>
        <w:top w:val="none" w:sz="0" w:space="0" w:color="auto"/>
        <w:left w:val="none" w:sz="0" w:space="0" w:color="auto"/>
        <w:bottom w:val="none" w:sz="0" w:space="0" w:color="auto"/>
        <w:right w:val="none" w:sz="0" w:space="0" w:color="auto"/>
      </w:divBdr>
    </w:div>
    <w:div w:id="1840080699">
      <w:bodyDiv w:val="1"/>
      <w:marLeft w:val="0"/>
      <w:marRight w:val="0"/>
      <w:marTop w:val="0"/>
      <w:marBottom w:val="0"/>
      <w:divBdr>
        <w:top w:val="none" w:sz="0" w:space="0" w:color="auto"/>
        <w:left w:val="none" w:sz="0" w:space="0" w:color="auto"/>
        <w:bottom w:val="none" w:sz="0" w:space="0" w:color="auto"/>
        <w:right w:val="none" w:sz="0" w:space="0" w:color="auto"/>
      </w:divBdr>
    </w:div>
    <w:div w:id="1874802262">
      <w:bodyDiv w:val="1"/>
      <w:marLeft w:val="0"/>
      <w:marRight w:val="0"/>
      <w:marTop w:val="0"/>
      <w:marBottom w:val="0"/>
      <w:divBdr>
        <w:top w:val="none" w:sz="0" w:space="0" w:color="auto"/>
        <w:left w:val="none" w:sz="0" w:space="0" w:color="auto"/>
        <w:bottom w:val="none" w:sz="0" w:space="0" w:color="auto"/>
        <w:right w:val="none" w:sz="0" w:space="0" w:color="auto"/>
      </w:divBdr>
    </w:div>
    <w:div w:id="1977370201">
      <w:bodyDiv w:val="1"/>
      <w:marLeft w:val="0"/>
      <w:marRight w:val="0"/>
      <w:marTop w:val="0"/>
      <w:marBottom w:val="0"/>
      <w:divBdr>
        <w:top w:val="none" w:sz="0" w:space="0" w:color="auto"/>
        <w:left w:val="none" w:sz="0" w:space="0" w:color="auto"/>
        <w:bottom w:val="none" w:sz="0" w:space="0" w:color="auto"/>
        <w:right w:val="none" w:sz="0" w:space="0" w:color="auto"/>
      </w:divBdr>
    </w:div>
    <w:div w:id="1990594453">
      <w:bodyDiv w:val="1"/>
      <w:marLeft w:val="0"/>
      <w:marRight w:val="0"/>
      <w:marTop w:val="0"/>
      <w:marBottom w:val="0"/>
      <w:divBdr>
        <w:top w:val="none" w:sz="0" w:space="0" w:color="auto"/>
        <w:left w:val="none" w:sz="0" w:space="0" w:color="auto"/>
        <w:bottom w:val="none" w:sz="0" w:space="0" w:color="auto"/>
        <w:right w:val="none" w:sz="0" w:space="0" w:color="auto"/>
      </w:divBdr>
    </w:div>
    <w:div w:id="2012950125">
      <w:bodyDiv w:val="1"/>
      <w:marLeft w:val="0"/>
      <w:marRight w:val="0"/>
      <w:marTop w:val="0"/>
      <w:marBottom w:val="0"/>
      <w:divBdr>
        <w:top w:val="none" w:sz="0" w:space="0" w:color="auto"/>
        <w:left w:val="none" w:sz="0" w:space="0" w:color="auto"/>
        <w:bottom w:val="none" w:sz="0" w:space="0" w:color="auto"/>
        <w:right w:val="none" w:sz="0" w:space="0" w:color="auto"/>
      </w:divBdr>
    </w:div>
    <w:div w:id="2073967511">
      <w:bodyDiv w:val="1"/>
      <w:marLeft w:val="0"/>
      <w:marRight w:val="0"/>
      <w:marTop w:val="0"/>
      <w:marBottom w:val="0"/>
      <w:divBdr>
        <w:top w:val="none" w:sz="0" w:space="0" w:color="auto"/>
        <w:left w:val="none" w:sz="0" w:space="0" w:color="auto"/>
        <w:bottom w:val="none" w:sz="0" w:space="0" w:color="auto"/>
        <w:right w:val="none" w:sz="0" w:space="0" w:color="auto"/>
      </w:divBdr>
    </w:div>
    <w:div w:id="20776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395b77-baaa-4003-8918-804374bd641c">
      <Terms xmlns="http://schemas.microsoft.com/office/infopath/2007/PartnerControls"/>
    </lcf76f155ced4ddcb4097134ff3c332f>
    <TaxCatchAll xmlns="d3b95675-5231-4931-b498-54812d3591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C347DFCB43824D845A76ED2004C7A8" ma:contentTypeVersion="16" ma:contentTypeDescription="Create a new document." ma:contentTypeScope="" ma:versionID="238284a9aa52103a4ddc09872c49d087">
  <xsd:schema xmlns:xsd="http://www.w3.org/2001/XMLSchema" xmlns:xs="http://www.w3.org/2001/XMLSchema" xmlns:p="http://schemas.microsoft.com/office/2006/metadata/properties" xmlns:ns2="f6395b77-baaa-4003-8918-804374bd641c" xmlns:ns3="d3b95675-5231-4931-b498-54812d3591f0" targetNamespace="http://schemas.microsoft.com/office/2006/metadata/properties" ma:root="true" ma:fieldsID="6219ce67b48a9f2b0ca5fbb4f5ab565d" ns2:_="" ns3:_="">
    <xsd:import namespace="f6395b77-baaa-4003-8918-804374bd641c"/>
    <xsd:import namespace="d3b95675-5231-4931-b498-54812d3591f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95b77-baaa-4003-8918-804374bd6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27b111-6301-4708-b04d-ee8721e22ca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95675-5231-4931-b498-54812d3591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ee57c7-7670-41ff-8f38-aa8fb31edf39}" ma:internalName="TaxCatchAll" ma:showField="CatchAllData" ma:web="d3b95675-5231-4931-b498-54812d359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0F9FB-44DA-45CD-B89A-7618ED219FAF}">
  <ds:schemaRefs>
    <ds:schemaRef ds:uri="http://schemas.microsoft.com/sharepoint/v3/contenttype/forms"/>
  </ds:schemaRefs>
</ds:datastoreItem>
</file>

<file path=customXml/itemProps2.xml><?xml version="1.0" encoding="utf-8"?>
<ds:datastoreItem xmlns:ds="http://schemas.openxmlformats.org/officeDocument/2006/customXml" ds:itemID="{368E5F91-E334-4A91-9740-83DD9104175A}">
  <ds:schemaRefs>
    <ds:schemaRef ds:uri="http://schemas.microsoft.com/office/2006/metadata/properties"/>
    <ds:schemaRef ds:uri="http://schemas.microsoft.com/office/infopath/2007/PartnerControls"/>
    <ds:schemaRef ds:uri="f6395b77-baaa-4003-8918-804374bd641c"/>
    <ds:schemaRef ds:uri="d3b95675-5231-4931-b498-54812d3591f0"/>
  </ds:schemaRefs>
</ds:datastoreItem>
</file>

<file path=customXml/itemProps3.xml><?xml version="1.0" encoding="utf-8"?>
<ds:datastoreItem xmlns:ds="http://schemas.openxmlformats.org/officeDocument/2006/customXml" ds:itemID="{C219866F-0B76-C848-B512-F7ABEE535266}">
  <ds:schemaRefs>
    <ds:schemaRef ds:uri="http://schemas.openxmlformats.org/officeDocument/2006/bibliography"/>
  </ds:schemaRefs>
</ds:datastoreItem>
</file>

<file path=customXml/itemProps4.xml><?xml version="1.0" encoding="utf-8"?>
<ds:datastoreItem xmlns:ds="http://schemas.openxmlformats.org/officeDocument/2006/customXml" ds:itemID="{44B02D1A-5898-4FBC-B488-888659E03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95b77-baaa-4003-8918-804374bd641c"/>
    <ds:schemaRef ds:uri="d3b95675-5231-4931-b498-54812d359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37</Pages>
  <Words>21821</Words>
  <Characters>121329</Characters>
  <Application>Microsoft Office Word</Application>
  <DocSecurity>0</DocSecurity>
  <Lines>1810</Lines>
  <Paragraphs>458</Paragraphs>
  <ScaleCrop>false</ScaleCrop>
  <Company/>
  <LinksUpToDate>false</LinksUpToDate>
  <CharactersWithSpaces>142692</CharactersWithSpaces>
  <SharedDoc>false</SharedDoc>
  <HLinks>
    <vt:vector size="6" baseType="variant">
      <vt:variant>
        <vt:i4>1638417</vt:i4>
      </vt:variant>
      <vt:variant>
        <vt:i4>81</vt:i4>
      </vt:variant>
      <vt:variant>
        <vt:i4>0</vt:i4>
      </vt:variant>
      <vt:variant>
        <vt:i4>5</vt:i4>
      </vt:variant>
      <vt:variant>
        <vt:lpwstr>https://charmerstudy.org/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Scott (PHA - Staff)</dc:creator>
  <cp:keywords/>
  <dc:description/>
  <cp:lastModifiedBy>Bethany Atkins (AMA - Postgraduate Researcher)</cp:lastModifiedBy>
  <cp:revision>175</cp:revision>
  <cp:lastPrinted>2020-12-18T06:53:00Z</cp:lastPrinted>
  <dcterms:created xsi:type="dcterms:W3CDTF">2022-12-02T09:18:00Z</dcterms:created>
  <dcterms:modified xsi:type="dcterms:W3CDTF">2023-02-07T16:19:00Z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0x0101002CC347DFCB43824D845A76ED2004C7A8</vt:lpwstr>
  </property>
  <property fmtid="{D5CDD505-2E9C-101B-9397-08002B2CF9AE}" pid="3" name="Mendeley Document_1">
    <vt:lpwstr>True</vt:lpwstr>
  </property>
  <property fmtid="{D5CDD505-2E9C-101B-9397-08002B2CF9AE}" pid="4" name="Mendeley Unique User Id_1">
    <vt:lpwstr>630eea47-b322-3db1-b9f5-4a84c227a624</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http://csl.mendeley.com/styles/483727951/vancouver-2</vt:lpwstr>
  </property>
  <property fmtid="{D5CDD505-2E9C-101B-9397-08002B2CF9AE}" pid="25" name="Mendeley Recent Style Name 9_1">
    <vt:lpwstr>Vancouver - Sion Scott</vt:lpwstr>
  </property>
  <property fmtid="{D5CDD505-2E9C-101B-9397-08002B2CF9AE}" pid="26" name="MediaServiceImageTags">
    <vt:lpwstr/>
  </property>
  <property fmtid="{D5CDD505-2E9C-101B-9397-08002B2CF9AE}" pid="27" name="ZOTERO_PREF_1">
    <vt:lpwstr>&lt;data data-version="3" zotero-version="6.0.20"&gt;&lt;session id="HaMovQnS"/&gt;&lt;style id="http://www.zotero.org/styles/vancouver" locale="en-GB" hasBibliography="1" bibliographyStyleHasBeenSet="1"/&gt;&lt;prefs&gt;&lt;pref name="fieldType" value="Field"/&gt;&lt;/prefs&gt;&lt;/data&gt;</vt:lpwstr>
  </property>
</Properties>
</file>