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E690B" w:rsidRPr="0068136B" w:rsidRDefault="009F3835">
      <w:pPr>
        <w:spacing w:after="0" w:line="480" w:lineRule="auto"/>
        <w:jc w:val="both"/>
        <w:rPr>
          <w:rFonts w:ascii="Arial" w:eastAsia="Arial" w:hAnsi="Arial" w:cs="Arial"/>
          <w:b/>
        </w:rPr>
      </w:pPr>
      <w:r w:rsidRPr="0068136B">
        <w:rPr>
          <w:rFonts w:ascii="Arial" w:eastAsia="Arial" w:hAnsi="Arial" w:cs="Arial"/>
          <w:b/>
        </w:rPr>
        <w:t>Risk governance in the response to global health emergencies: Understanding the governance of chaos in Brazil’s handling of the Covid-19 pandemic</w:t>
      </w:r>
    </w:p>
    <w:p w14:paraId="00000002" w14:textId="77777777" w:rsidR="00EE690B" w:rsidRPr="0068136B" w:rsidRDefault="00EE690B">
      <w:pPr>
        <w:spacing w:after="0" w:line="480" w:lineRule="auto"/>
        <w:jc w:val="both"/>
        <w:rPr>
          <w:rFonts w:ascii="Arial" w:eastAsia="Arial" w:hAnsi="Arial" w:cs="Arial"/>
          <w:b/>
        </w:rPr>
      </w:pPr>
    </w:p>
    <w:p w14:paraId="00000003" w14:textId="77777777" w:rsidR="00EE690B" w:rsidRPr="0068136B" w:rsidRDefault="009F3835">
      <w:pPr>
        <w:spacing w:after="0" w:line="480" w:lineRule="auto"/>
        <w:jc w:val="both"/>
        <w:rPr>
          <w:rFonts w:ascii="Arial" w:eastAsia="Arial" w:hAnsi="Arial" w:cs="Arial"/>
          <w:b/>
        </w:rPr>
      </w:pPr>
      <w:r w:rsidRPr="0068136B">
        <w:rPr>
          <w:rFonts w:ascii="Arial" w:eastAsia="Arial" w:hAnsi="Arial" w:cs="Arial"/>
          <w:b/>
        </w:rPr>
        <w:t>Abstract</w:t>
      </w:r>
    </w:p>
    <w:p w14:paraId="1EBBB710" w14:textId="6AAB60B6" w:rsidR="00486697" w:rsidRPr="0068136B" w:rsidRDefault="009F3835" w:rsidP="00792D6D">
      <w:pPr>
        <w:spacing w:after="0" w:line="480" w:lineRule="auto"/>
        <w:jc w:val="both"/>
        <w:rPr>
          <w:rFonts w:ascii="Arial" w:eastAsia="Arial" w:hAnsi="Arial" w:cs="Arial"/>
        </w:rPr>
      </w:pPr>
      <w:r w:rsidRPr="0068136B">
        <w:rPr>
          <w:rFonts w:ascii="Arial" w:eastAsia="Arial" w:hAnsi="Arial" w:cs="Arial"/>
        </w:rPr>
        <w:t>Covid-19 has shown how inadequate institutional strategies interact with, and exacerbate, social inequalities, thus impacting upon the intensity of the harm produced and amplifying negative consequences. One of the lessons from this pandemic, which happens against the background of other, interconnected systemic crises</w:t>
      </w:r>
      <w:r w:rsidR="00C67BFF" w:rsidRPr="0068136B">
        <w:rPr>
          <w:rFonts w:ascii="Arial" w:eastAsia="Arial" w:hAnsi="Arial" w:cs="Arial"/>
        </w:rPr>
        <w:t>,</w:t>
      </w:r>
      <w:r w:rsidRPr="0068136B">
        <w:rPr>
          <w:rFonts w:ascii="Arial" w:eastAsia="Arial" w:hAnsi="Arial" w:cs="Arial"/>
        </w:rPr>
        <w:t xml:space="preserve"> is the urgency of adopting a “whole-of-society” approach to determining what works and what does not work in the context of a health emergency response. But how can institutional performance in health emergency response be assessed? </w:t>
      </w:r>
      <w:r w:rsidR="00395044" w:rsidRPr="0068136B">
        <w:rPr>
          <w:rFonts w:ascii="Arial" w:eastAsia="Arial" w:hAnsi="Arial" w:cs="Arial"/>
        </w:rPr>
        <w:t>How</w:t>
      </w:r>
      <w:r w:rsidRPr="0068136B">
        <w:rPr>
          <w:rFonts w:ascii="Arial" w:eastAsia="Arial" w:hAnsi="Arial" w:cs="Arial"/>
        </w:rPr>
        <w:t xml:space="preserve"> to </w:t>
      </w:r>
      <w:r w:rsidR="00395044" w:rsidRPr="0068136B">
        <w:rPr>
          <w:rFonts w:ascii="Arial" w:eastAsia="Arial" w:hAnsi="Arial" w:cs="Arial"/>
        </w:rPr>
        <w:t>make sense of</w:t>
      </w:r>
      <w:r w:rsidRPr="0068136B">
        <w:rPr>
          <w:rFonts w:ascii="Arial" w:eastAsia="Arial" w:hAnsi="Arial" w:cs="Arial"/>
        </w:rPr>
        <w:t xml:space="preserve"> success or failure? </w:t>
      </w:r>
      <w:r w:rsidR="00D72338" w:rsidRPr="0068136B">
        <w:rPr>
          <w:rFonts w:ascii="Arial" w:eastAsia="Arial" w:hAnsi="Arial" w:cs="Arial"/>
        </w:rPr>
        <w:t>W</w:t>
      </w:r>
      <w:r w:rsidRPr="0068136B">
        <w:rPr>
          <w:rFonts w:ascii="Arial" w:eastAsia="Arial" w:hAnsi="Arial" w:cs="Arial"/>
        </w:rPr>
        <w:t xml:space="preserve">e argue that the adoption of </w:t>
      </w:r>
      <w:r w:rsidR="007E6444" w:rsidRPr="0068136B">
        <w:rPr>
          <w:rFonts w:ascii="Arial" w:eastAsia="Arial" w:hAnsi="Arial" w:cs="Arial"/>
        </w:rPr>
        <w:t xml:space="preserve">a </w:t>
      </w:r>
      <w:r w:rsidRPr="0068136B">
        <w:rPr>
          <w:rFonts w:ascii="Arial" w:eastAsia="Arial" w:hAnsi="Arial" w:cs="Arial"/>
        </w:rPr>
        <w:t xml:space="preserve">risk governance approach </w:t>
      </w:r>
      <w:r w:rsidR="00395044" w:rsidRPr="0068136B">
        <w:rPr>
          <w:rFonts w:ascii="Arial" w:eastAsia="Arial" w:hAnsi="Arial" w:cs="Arial"/>
        </w:rPr>
        <w:t>sheds light on</w:t>
      </w:r>
      <w:r w:rsidRPr="0068136B">
        <w:rPr>
          <w:rFonts w:ascii="Arial" w:eastAsia="Arial" w:hAnsi="Arial" w:cs="Arial"/>
        </w:rPr>
        <w:t xml:space="preserve"> institutional performance in the response to health emergencies. Risk governance is particularly pertinent in situations where the potential for extreme consequences is considered high, where there are enormous uncertainties regarding the consequences, and where different values are present and in dispute. </w:t>
      </w:r>
      <w:r w:rsidR="00792D6D" w:rsidRPr="0068136B">
        <w:rPr>
          <w:rFonts w:ascii="Arial" w:eastAsia="Arial" w:hAnsi="Arial" w:cs="Arial"/>
        </w:rPr>
        <w:t>Based on a documentary evidence review</w:t>
      </w:r>
      <w:r w:rsidR="00E406DB" w:rsidRPr="0068136B">
        <w:rPr>
          <w:rFonts w:ascii="Arial" w:eastAsia="Arial" w:hAnsi="Arial" w:cs="Arial"/>
        </w:rPr>
        <w:t>,</w:t>
      </w:r>
      <w:r w:rsidR="00792D6D" w:rsidRPr="0068136B">
        <w:rPr>
          <w:rFonts w:ascii="Arial" w:eastAsia="Arial" w:hAnsi="Arial" w:cs="Arial"/>
        </w:rPr>
        <w:t xml:space="preserve"> </w:t>
      </w:r>
      <w:r w:rsidRPr="0068136B">
        <w:rPr>
          <w:rFonts w:ascii="Arial" w:eastAsia="Arial" w:hAnsi="Arial" w:cs="Arial"/>
        </w:rPr>
        <w:t xml:space="preserve">we </w:t>
      </w:r>
      <w:r w:rsidR="004855CF" w:rsidRPr="0068136B">
        <w:rPr>
          <w:rFonts w:ascii="Arial" w:eastAsia="Arial" w:hAnsi="Arial" w:cs="Arial"/>
        </w:rPr>
        <w:t xml:space="preserve">analyse the Brazilian response to Covid-19 </w:t>
      </w:r>
      <w:r w:rsidR="00F75030" w:rsidRPr="0068136B">
        <w:rPr>
          <w:rFonts w:ascii="Arial" w:eastAsia="Arial" w:hAnsi="Arial" w:cs="Arial"/>
        </w:rPr>
        <w:t>by considering</w:t>
      </w:r>
      <w:r w:rsidRPr="0068136B">
        <w:rPr>
          <w:rFonts w:ascii="Arial" w:eastAsia="Arial" w:hAnsi="Arial" w:cs="Arial"/>
        </w:rPr>
        <w:t xml:space="preserve">: 1) how the Brazilian federal government performed on its central role of managing the national response, 2) the reactions from other actors prompted by this performance, and 3) the main observed effects emerging from this scenario. </w:t>
      </w:r>
      <w:bookmarkStart w:id="0" w:name="_Hlk122446952"/>
      <w:r w:rsidR="00486697" w:rsidRPr="0068136B">
        <w:rPr>
          <w:rFonts w:ascii="Arial" w:eastAsia="Arial" w:hAnsi="Arial" w:cs="Arial"/>
        </w:rPr>
        <w:t>We argue</w:t>
      </w:r>
      <w:r w:rsidR="006C5DFD" w:rsidRPr="0068136B">
        <w:rPr>
          <w:rFonts w:ascii="Arial" w:eastAsia="Arial" w:hAnsi="Arial" w:cs="Arial"/>
        </w:rPr>
        <w:t xml:space="preserve"> that the Brazilian federal government</w:t>
      </w:r>
      <w:r w:rsidR="00486697" w:rsidRPr="0068136B">
        <w:rPr>
          <w:rFonts w:ascii="Arial" w:eastAsia="Arial" w:hAnsi="Arial" w:cs="Arial"/>
        </w:rPr>
        <w:t xml:space="preserve"> response</w:t>
      </w:r>
      <w:r w:rsidR="006C5DFD" w:rsidRPr="0068136B">
        <w:rPr>
          <w:rFonts w:ascii="Arial" w:eastAsia="Arial" w:hAnsi="Arial" w:cs="Arial"/>
        </w:rPr>
        <w:t xml:space="preserve"> w</w:t>
      </w:r>
      <w:r w:rsidR="00486697" w:rsidRPr="0068136B">
        <w:rPr>
          <w:rFonts w:ascii="Arial" w:eastAsia="Arial" w:hAnsi="Arial" w:cs="Arial"/>
        </w:rPr>
        <w:t>as</w:t>
      </w:r>
      <w:r w:rsidR="006C5DFD" w:rsidRPr="0068136B">
        <w:rPr>
          <w:rFonts w:ascii="Arial" w:eastAsia="Arial" w:hAnsi="Arial" w:cs="Arial"/>
        </w:rPr>
        <w:t xml:space="preserve"> we</w:t>
      </w:r>
      <w:r w:rsidR="00EB5A9B" w:rsidRPr="0068136B">
        <w:rPr>
          <w:rFonts w:ascii="Arial" w:eastAsia="Arial" w:hAnsi="Arial" w:cs="Arial"/>
        </w:rPr>
        <w:t>a</w:t>
      </w:r>
      <w:r w:rsidR="006C5DFD" w:rsidRPr="0068136B">
        <w:rPr>
          <w:rFonts w:ascii="Arial" w:eastAsia="Arial" w:hAnsi="Arial" w:cs="Arial"/>
        </w:rPr>
        <w:t xml:space="preserve">k </w:t>
      </w:r>
      <w:bookmarkEnd w:id="0"/>
      <w:r w:rsidR="006C5DFD" w:rsidRPr="0068136B">
        <w:rPr>
          <w:rFonts w:ascii="Arial" w:eastAsia="Arial" w:hAnsi="Arial" w:cs="Arial"/>
        </w:rPr>
        <w:t xml:space="preserve">in five </w:t>
      </w:r>
      <w:r w:rsidRPr="0068136B">
        <w:rPr>
          <w:rFonts w:ascii="Arial" w:eastAsia="Arial" w:hAnsi="Arial" w:cs="Arial"/>
        </w:rPr>
        <w:t>risk governance parameters that are essential in a health crisis response</w:t>
      </w:r>
      <w:r w:rsidR="006C5DFD" w:rsidRPr="0068136B">
        <w:rPr>
          <w:rFonts w:ascii="Arial" w:eastAsia="Arial" w:hAnsi="Arial" w:cs="Arial"/>
        </w:rPr>
        <w:t xml:space="preserve">: </w:t>
      </w:r>
      <w:r w:rsidRPr="0068136B">
        <w:rPr>
          <w:rFonts w:ascii="Arial" w:eastAsia="Arial" w:hAnsi="Arial" w:cs="Arial"/>
        </w:rPr>
        <w:t>risk communication</w:t>
      </w:r>
      <w:r w:rsidR="004C04F9" w:rsidRPr="0068136B">
        <w:rPr>
          <w:rFonts w:ascii="Arial" w:eastAsia="Arial" w:hAnsi="Arial" w:cs="Arial"/>
        </w:rPr>
        <w:t>;</w:t>
      </w:r>
      <w:r w:rsidR="009157D1" w:rsidRPr="0068136B">
        <w:rPr>
          <w:rFonts w:ascii="Arial" w:eastAsia="Arial" w:hAnsi="Arial" w:cs="Arial"/>
        </w:rPr>
        <w:t xml:space="preserve"> </w:t>
      </w:r>
      <w:r w:rsidRPr="0068136B">
        <w:rPr>
          <w:rFonts w:ascii="Arial" w:eastAsia="Arial" w:hAnsi="Arial" w:cs="Arial"/>
        </w:rPr>
        <w:t>transparency and accessibility of data</w:t>
      </w:r>
      <w:r w:rsidR="004C04F9" w:rsidRPr="0068136B">
        <w:rPr>
          <w:rFonts w:ascii="Arial" w:eastAsia="Arial" w:hAnsi="Arial" w:cs="Arial"/>
        </w:rPr>
        <w:t>;</w:t>
      </w:r>
      <w:r w:rsidRPr="0068136B">
        <w:rPr>
          <w:rFonts w:ascii="Arial" w:eastAsia="Arial" w:hAnsi="Arial" w:cs="Arial"/>
        </w:rPr>
        <w:t xml:space="preserve"> negotiation between actors</w:t>
      </w:r>
      <w:r w:rsidR="004C04F9" w:rsidRPr="0068136B">
        <w:rPr>
          <w:rFonts w:ascii="Arial" w:eastAsia="Arial" w:hAnsi="Arial" w:cs="Arial"/>
        </w:rPr>
        <w:t>;</w:t>
      </w:r>
      <w:r w:rsidRPr="0068136B">
        <w:rPr>
          <w:rFonts w:ascii="Arial" w:eastAsia="Arial" w:hAnsi="Arial" w:cs="Arial"/>
        </w:rPr>
        <w:t xml:space="preserve"> social cohesion</w:t>
      </w:r>
      <w:r w:rsidR="009157D1" w:rsidRPr="0068136B">
        <w:rPr>
          <w:rFonts w:ascii="Arial" w:eastAsia="Arial" w:hAnsi="Arial" w:cs="Arial"/>
        </w:rPr>
        <w:t xml:space="preserve"> and</w:t>
      </w:r>
      <w:r w:rsidRPr="0068136B">
        <w:rPr>
          <w:rFonts w:ascii="Arial" w:eastAsia="Arial" w:hAnsi="Arial" w:cs="Arial"/>
        </w:rPr>
        <w:t xml:space="preserve"> public participation</w:t>
      </w:r>
      <w:r w:rsidR="004C04F9" w:rsidRPr="0068136B">
        <w:rPr>
          <w:rFonts w:ascii="Arial" w:eastAsia="Arial" w:hAnsi="Arial" w:cs="Arial"/>
        </w:rPr>
        <w:t>;</w:t>
      </w:r>
      <w:r w:rsidRPr="0068136B">
        <w:rPr>
          <w:rFonts w:ascii="Arial" w:eastAsia="Arial" w:hAnsi="Arial" w:cs="Arial"/>
        </w:rPr>
        <w:t xml:space="preserve"> decisions based on technical and scientific evidence, resources and contexts. </w:t>
      </w:r>
      <w:r w:rsidR="00CF6603" w:rsidRPr="0068136B">
        <w:rPr>
          <w:rFonts w:ascii="Arial" w:eastAsia="Arial" w:hAnsi="Arial" w:cs="Arial"/>
        </w:rPr>
        <w:t>T</w:t>
      </w:r>
      <w:r w:rsidRPr="0068136B">
        <w:rPr>
          <w:rFonts w:ascii="Arial" w:eastAsia="Arial" w:hAnsi="Arial" w:cs="Arial"/>
        </w:rPr>
        <w:t xml:space="preserve">he neglect of risk governance parameters, combined with an attempt to spread doubt, confusion, and disinformation – which could be termed a </w:t>
      </w:r>
      <w:r w:rsidR="00B079A8" w:rsidRPr="0068136B">
        <w:rPr>
          <w:rFonts w:ascii="Arial" w:eastAsia="Arial" w:hAnsi="Arial" w:cs="Arial"/>
        </w:rPr>
        <w:t>‘</w:t>
      </w:r>
      <w:r w:rsidRPr="0068136B">
        <w:rPr>
          <w:rFonts w:ascii="Arial" w:eastAsia="Arial" w:hAnsi="Arial" w:cs="Arial"/>
        </w:rPr>
        <w:t>governance by chaos</w:t>
      </w:r>
      <w:r w:rsidR="00B079A8" w:rsidRPr="0068136B">
        <w:rPr>
          <w:rFonts w:ascii="Arial" w:eastAsia="Arial" w:hAnsi="Arial" w:cs="Arial"/>
        </w:rPr>
        <w:t>’</w:t>
      </w:r>
      <w:r w:rsidRPr="0068136B">
        <w:rPr>
          <w:rFonts w:ascii="Arial" w:eastAsia="Arial" w:hAnsi="Arial" w:cs="Arial"/>
        </w:rPr>
        <w:t xml:space="preserve"> – is an important element for </w:t>
      </w:r>
      <w:r w:rsidR="00CF6603" w:rsidRPr="0068136B">
        <w:rPr>
          <w:rFonts w:ascii="Arial" w:eastAsia="Arial" w:hAnsi="Arial" w:cs="Arial"/>
        </w:rPr>
        <w:t xml:space="preserve">making sense of </w:t>
      </w:r>
      <w:r w:rsidRPr="0068136B">
        <w:rPr>
          <w:rFonts w:ascii="Arial" w:eastAsia="Arial" w:hAnsi="Arial" w:cs="Arial"/>
        </w:rPr>
        <w:t xml:space="preserve">the effects and controversies surrounding Covid-19 in Brazil. </w:t>
      </w:r>
    </w:p>
    <w:p w14:paraId="25003481" w14:textId="77777777" w:rsidR="00302E41" w:rsidRPr="0068136B" w:rsidRDefault="00302E41" w:rsidP="00792D6D">
      <w:pPr>
        <w:spacing w:after="0" w:line="480" w:lineRule="auto"/>
        <w:jc w:val="both"/>
        <w:rPr>
          <w:rFonts w:ascii="Arial" w:eastAsia="Arial" w:hAnsi="Arial" w:cs="Arial"/>
        </w:rPr>
      </w:pPr>
    </w:p>
    <w:p w14:paraId="755C0333" w14:textId="77777777" w:rsidR="00302E41" w:rsidRPr="0068136B" w:rsidRDefault="00302E41" w:rsidP="00792D6D">
      <w:pPr>
        <w:spacing w:after="0" w:line="480" w:lineRule="auto"/>
        <w:jc w:val="both"/>
        <w:rPr>
          <w:rFonts w:ascii="Arial" w:eastAsia="Arial" w:hAnsi="Arial" w:cs="Arial"/>
        </w:rPr>
      </w:pPr>
    </w:p>
    <w:p w14:paraId="00000005" w14:textId="7A7C894F" w:rsidR="00EE690B" w:rsidRPr="0068136B" w:rsidRDefault="009F3835">
      <w:pPr>
        <w:spacing w:after="0" w:line="480" w:lineRule="auto"/>
        <w:jc w:val="both"/>
        <w:rPr>
          <w:rFonts w:ascii="Arial" w:eastAsia="Arial" w:hAnsi="Arial" w:cs="Arial"/>
          <w:b/>
        </w:rPr>
      </w:pPr>
      <w:r w:rsidRPr="0068136B">
        <w:rPr>
          <w:rFonts w:ascii="Arial" w:eastAsia="Arial" w:hAnsi="Arial" w:cs="Arial"/>
          <w:b/>
        </w:rPr>
        <w:lastRenderedPageBreak/>
        <w:t xml:space="preserve">Introduction </w:t>
      </w:r>
    </w:p>
    <w:p w14:paraId="00000006" w14:textId="77777777" w:rsidR="00EE690B" w:rsidRPr="0068136B" w:rsidRDefault="00EE690B">
      <w:pPr>
        <w:spacing w:after="0" w:line="480" w:lineRule="auto"/>
        <w:jc w:val="both"/>
        <w:rPr>
          <w:rFonts w:ascii="Arial" w:eastAsia="Arial" w:hAnsi="Arial" w:cs="Arial"/>
          <w:b/>
        </w:rPr>
      </w:pPr>
    </w:p>
    <w:p w14:paraId="00000007" w14:textId="6A18716E" w:rsidR="00EE690B" w:rsidRPr="0068136B" w:rsidRDefault="009F3835">
      <w:pPr>
        <w:spacing w:after="0" w:line="480" w:lineRule="auto"/>
        <w:jc w:val="both"/>
        <w:rPr>
          <w:rFonts w:ascii="Arial" w:eastAsia="Arial" w:hAnsi="Arial" w:cs="Arial"/>
        </w:rPr>
      </w:pPr>
      <w:r w:rsidRPr="0068136B">
        <w:rPr>
          <w:rFonts w:ascii="Arial" w:eastAsia="Arial" w:hAnsi="Arial" w:cs="Arial"/>
        </w:rPr>
        <w:t>Given its long-term impacts and the fact that it happened against the background of other, interconnected systemic crises – e.g. climate emergency, the retreat of democracy worldwide and the crisis scientific knowledge – the Covid-19 pandemic may be understood as a materialization of emerging systemic risks (Aven and Renn 2019; Schweizer 2021), threatening collective futures (Leach et al 2021). The term risk (here used interchangeably with systemic risk) is associated with potential/real threats to human health, nature, beliefs, social institutions, economics, and cultural practices. Systemic risks originate in human-made or biological systems and are therefore embedded in complex relationships with socioecological, sociotechnical and cultural aspects (Schweizer et al 2021). Th</w:t>
      </w:r>
      <w:r w:rsidR="00C15022" w:rsidRPr="0068136B">
        <w:rPr>
          <w:rFonts w:ascii="Arial" w:eastAsia="Arial" w:hAnsi="Arial" w:cs="Arial"/>
        </w:rPr>
        <w:t>rough</w:t>
      </w:r>
      <w:r w:rsidRPr="0068136B">
        <w:rPr>
          <w:rFonts w:ascii="Arial" w:eastAsia="Arial" w:hAnsi="Arial" w:cs="Arial"/>
        </w:rPr>
        <w:t xml:space="preserve"> social processes of definition, </w:t>
      </w:r>
      <w:r w:rsidR="00C15022" w:rsidRPr="0068136B">
        <w:rPr>
          <w:rFonts w:ascii="Arial" w:eastAsia="Arial" w:hAnsi="Arial" w:cs="Arial"/>
        </w:rPr>
        <w:t>they can</w:t>
      </w:r>
      <w:r w:rsidRPr="0068136B">
        <w:rPr>
          <w:rFonts w:ascii="Arial" w:eastAsia="Arial" w:hAnsi="Arial" w:cs="Arial"/>
        </w:rPr>
        <w:t xml:space="preserve"> be diminished, increased, minimized</w:t>
      </w:r>
      <w:r w:rsidR="000C3A46" w:rsidRPr="0068136B">
        <w:rPr>
          <w:rFonts w:ascii="Arial" w:eastAsia="Arial" w:hAnsi="Arial" w:cs="Arial"/>
        </w:rPr>
        <w:t xml:space="preserve"> or dramatized</w:t>
      </w:r>
      <w:r w:rsidRPr="0068136B">
        <w:rPr>
          <w:rFonts w:ascii="Arial" w:eastAsia="Arial" w:hAnsi="Arial" w:cs="Arial"/>
        </w:rPr>
        <w:t xml:space="preserve"> (Giddens 1999; Boyne 2003; Renn 2008; Beck 2010). Risks, and the process of their assessment and management, reshape institutional relations (between state, market, science, civil society) and (re)establish hierarchies, relations of power and inequality (Giddens 1999; Hannigan 2006; Beck 2010). Due to the societal disruptions they produce, and their transboundary and cross-sectoral effects, risks call for integrative</w:t>
      </w:r>
      <w:r w:rsidR="00BA13CF" w:rsidRPr="0068136B">
        <w:rPr>
          <w:rFonts w:ascii="Arial" w:eastAsia="Arial" w:hAnsi="Arial" w:cs="Arial"/>
        </w:rPr>
        <w:t>/</w:t>
      </w:r>
      <w:r w:rsidRPr="0068136B">
        <w:rPr>
          <w:rFonts w:ascii="Arial" w:eastAsia="Arial" w:hAnsi="Arial" w:cs="Arial"/>
        </w:rPr>
        <w:t xml:space="preserve">inclusive governance approaches (Collins et al 2020), </w:t>
      </w:r>
      <w:r w:rsidR="006476F1" w:rsidRPr="0068136B">
        <w:rPr>
          <w:rFonts w:ascii="Arial" w:eastAsia="Arial" w:hAnsi="Arial" w:cs="Arial"/>
        </w:rPr>
        <w:t xml:space="preserve">and for </w:t>
      </w:r>
      <w:r w:rsidRPr="0068136B">
        <w:rPr>
          <w:rFonts w:ascii="Arial" w:eastAsia="Arial" w:hAnsi="Arial" w:cs="Arial"/>
        </w:rPr>
        <w:t xml:space="preserve">interventions comprising “both cooperation and creative, integrated approaches to assessment, communication, funding, and governance" (Kruczkiewicz et al 2021, p. 2). </w:t>
      </w:r>
    </w:p>
    <w:p w14:paraId="00000008" w14:textId="4C9B09A2" w:rsidR="00EE690B" w:rsidRPr="0068136B" w:rsidRDefault="009F3835" w:rsidP="008E56ED">
      <w:pPr>
        <w:spacing w:after="0" w:line="480" w:lineRule="auto"/>
        <w:ind w:firstLine="720"/>
        <w:jc w:val="both"/>
        <w:rPr>
          <w:rFonts w:ascii="Arial" w:eastAsia="Arial" w:hAnsi="Arial" w:cs="Arial"/>
        </w:rPr>
      </w:pPr>
      <w:r w:rsidRPr="0068136B">
        <w:rPr>
          <w:rFonts w:ascii="Arial" w:eastAsia="Arial" w:hAnsi="Arial" w:cs="Arial"/>
        </w:rPr>
        <w:t>Because of its wide social and political ramifications, the pandemic has also shown how inadequate institutional strategies interact with, and exacerbate, social inequalities, thus impacting upon the intensity of the harm produced and amplifying negative consequences (Jasanoff et al. 2021, Ventura et al. 2020). The complexity of the response and its effects underscore the need to</w:t>
      </w:r>
      <w:r w:rsidR="00A702AE" w:rsidRPr="0068136B">
        <w:rPr>
          <w:rFonts w:ascii="Arial" w:eastAsia="Arial" w:hAnsi="Arial" w:cs="Arial"/>
        </w:rPr>
        <w:t xml:space="preserve"> </w:t>
      </w:r>
      <w:r w:rsidR="009451A8" w:rsidRPr="0068136B">
        <w:rPr>
          <w:rFonts w:ascii="Arial" w:eastAsia="Arial" w:hAnsi="Arial" w:cs="Arial"/>
        </w:rPr>
        <w:t xml:space="preserve">develop and test tools that can shed light on different aspects of </w:t>
      </w:r>
      <w:r w:rsidR="00A702AE" w:rsidRPr="0068136B">
        <w:rPr>
          <w:rFonts w:ascii="Arial" w:eastAsia="Arial" w:hAnsi="Arial" w:cs="Arial"/>
        </w:rPr>
        <w:t>institutional</w:t>
      </w:r>
      <w:r w:rsidR="00994FD9" w:rsidRPr="0068136B">
        <w:rPr>
          <w:rFonts w:ascii="Arial" w:eastAsia="Arial" w:hAnsi="Arial" w:cs="Arial"/>
        </w:rPr>
        <w:t xml:space="preserve"> performance.</w:t>
      </w:r>
      <w:r w:rsidR="00E82F40" w:rsidRPr="0068136B">
        <w:rPr>
          <w:rFonts w:ascii="Arial" w:eastAsia="Arial" w:hAnsi="Arial" w:cs="Arial"/>
        </w:rPr>
        <w:t xml:space="preserve"> This is particularly pertinent given that the pandemic highlighted the crucial importance of a “whole-of-society” response</w:t>
      </w:r>
      <w:r w:rsidR="007B7E71" w:rsidRPr="0068136B">
        <w:rPr>
          <w:rFonts w:ascii="Arial" w:eastAsia="Arial" w:hAnsi="Arial" w:cs="Arial"/>
        </w:rPr>
        <w:t xml:space="preserve">, where </w:t>
      </w:r>
      <w:r w:rsidR="007405D7" w:rsidRPr="0068136B">
        <w:rPr>
          <w:rFonts w:ascii="Arial" w:eastAsia="Arial" w:hAnsi="Arial" w:cs="Arial"/>
        </w:rPr>
        <w:t>a variety of</w:t>
      </w:r>
      <w:r w:rsidR="007B7E71" w:rsidRPr="0068136B">
        <w:rPr>
          <w:rFonts w:ascii="Arial" w:eastAsia="Arial" w:hAnsi="Arial" w:cs="Arial"/>
        </w:rPr>
        <w:t xml:space="preserve"> actors may interact with different purposes, and </w:t>
      </w:r>
      <w:r w:rsidR="000C2FDE" w:rsidRPr="0068136B">
        <w:rPr>
          <w:rFonts w:ascii="Arial" w:eastAsia="Arial" w:hAnsi="Arial" w:cs="Arial"/>
        </w:rPr>
        <w:t>disparate</w:t>
      </w:r>
      <w:r w:rsidR="007B7E71" w:rsidRPr="0068136B">
        <w:rPr>
          <w:rFonts w:ascii="Arial" w:eastAsia="Arial" w:hAnsi="Arial" w:cs="Arial"/>
        </w:rPr>
        <w:t xml:space="preserve"> degrees of success.</w:t>
      </w:r>
      <w:r w:rsidR="00BC518F" w:rsidRPr="0068136B">
        <w:rPr>
          <w:rFonts w:ascii="Arial" w:eastAsia="Arial" w:hAnsi="Arial" w:cs="Arial"/>
        </w:rPr>
        <w:t xml:space="preserve"> </w:t>
      </w:r>
      <w:r w:rsidRPr="0068136B">
        <w:rPr>
          <w:rFonts w:ascii="Arial" w:eastAsia="Arial" w:hAnsi="Arial" w:cs="Arial"/>
        </w:rPr>
        <w:t xml:space="preserve">In this paper, we argue that a risk governance approach </w:t>
      </w:r>
      <w:r w:rsidR="00DA4133" w:rsidRPr="0068136B">
        <w:rPr>
          <w:rFonts w:ascii="Arial" w:eastAsia="Arial" w:hAnsi="Arial" w:cs="Arial"/>
        </w:rPr>
        <w:t>has the potential to help make sense</w:t>
      </w:r>
      <w:r w:rsidR="008E56ED" w:rsidRPr="0068136B">
        <w:rPr>
          <w:rFonts w:ascii="Arial" w:eastAsia="Arial" w:hAnsi="Arial" w:cs="Arial"/>
        </w:rPr>
        <w:t xml:space="preserve"> o</w:t>
      </w:r>
      <w:r w:rsidR="00DA4133" w:rsidRPr="0068136B">
        <w:rPr>
          <w:rFonts w:ascii="Arial" w:eastAsia="Arial" w:hAnsi="Arial" w:cs="Arial"/>
        </w:rPr>
        <w:t>f</w:t>
      </w:r>
      <w:r w:rsidR="008E56ED" w:rsidRPr="0068136B">
        <w:rPr>
          <w:rFonts w:ascii="Arial" w:eastAsia="Arial" w:hAnsi="Arial" w:cs="Arial"/>
        </w:rPr>
        <w:t xml:space="preserve"> th</w:t>
      </w:r>
      <w:r w:rsidR="00DA4133" w:rsidRPr="0068136B">
        <w:rPr>
          <w:rFonts w:ascii="Arial" w:eastAsia="Arial" w:hAnsi="Arial" w:cs="Arial"/>
        </w:rPr>
        <w:t>is</w:t>
      </w:r>
      <w:r w:rsidR="008E56ED" w:rsidRPr="0068136B">
        <w:rPr>
          <w:rFonts w:ascii="Arial" w:eastAsia="Arial" w:hAnsi="Arial" w:cs="Arial"/>
        </w:rPr>
        <w:t xml:space="preserve"> complexity</w:t>
      </w:r>
      <w:r w:rsidRPr="0068136B">
        <w:rPr>
          <w:rFonts w:ascii="Arial" w:eastAsia="Arial" w:hAnsi="Arial" w:cs="Arial"/>
        </w:rPr>
        <w:t>. We ask</w:t>
      </w:r>
      <w:r w:rsidR="00CA0FBC" w:rsidRPr="0068136B">
        <w:rPr>
          <w:rFonts w:ascii="Arial" w:eastAsia="Arial" w:hAnsi="Arial" w:cs="Arial"/>
        </w:rPr>
        <w:t>:</w:t>
      </w:r>
      <w:r w:rsidR="008E56ED" w:rsidRPr="0068136B">
        <w:rPr>
          <w:rFonts w:ascii="Arial" w:eastAsia="Arial" w:hAnsi="Arial" w:cs="Arial"/>
        </w:rPr>
        <w:t xml:space="preserve"> </w:t>
      </w:r>
      <w:r w:rsidRPr="0068136B">
        <w:rPr>
          <w:rFonts w:ascii="Arial" w:eastAsia="Arial" w:hAnsi="Arial" w:cs="Arial"/>
        </w:rPr>
        <w:t xml:space="preserve">what </w:t>
      </w:r>
      <w:r w:rsidRPr="0068136B">
        <w:rPr>
          <w:rFonts w:ascii="Arial" w:eastAsia="Arial" w:hAnsi="Arial" w:cs="Arial"/>
        </w:rPr>
        <w:lastRenderedPageBreak/>
        <w:t>parameters</w:t>
      </w:r>
      <w:r w:rsidR="00356A24" w:rsidRPr="0068136B">
        <w:rPr>
          <w:rFonts w:ascii="Arial" w:eastAsia="Arial" w:hAnsi="Arial" w:cs="Arial"/>
        </w:rPr>
        <w:t xml:space="preserve"> of risk governance</w:t>
      </w:r>
      <w:r w:rsidRPr="0068136B">
        <w:rPr>
          <w:rFonts w:ascii="Arial" w:eastAsia="Arial" w:hAnsi="Arial" w:cs="Arial"/>
        </w:rPr>
        <w:t xml:space="preserve"> might be used to </w:t>
      </w:r>
      <w:r w:rsidR="008E56ED" w:rsidRPr="0068136B">
        <w:rPr>
          <w:rFonts w:ascii="Arial" w:eastAsia="Arial" w:hAnsi="Arial" w:cs="Arial"/>
        </w:rPr>
        <w:t xml:space="preserve">assess </w:t>
      </w:r>
      <w:r w:rsidRPr="0068136B">
        <w:rPr>
          <w:rFonts w:ascii="Arial" w:eastAsia="Arial" w:hAnsi="Arial" w:cs="Arial"/>
        </w:rPr>
        <w:t xml:space="preserve">success or failure in the response to health emergencies? </w:t>
      </w:r>
      <w:r w:rsidR="00114B07" w:rsidRPr="0068136B">
        <w:rPr>
          <w:rFonts w:ascii="Arial" w:eastAsia="Arial" w:hAnsi="Arial" w:cs="Arial"/>
        </w:rPr>
        <w:t>H</w:t>
      </w:r>
      <w:r w:rsidRPr="0068136B">
        <w:rPr>
          <w:rFonts w:ascii="Arial" w:eastAsia="Arial" w:hAnsi="Arial" w:cs="Arial"/>
        </w:rPr>
        <w:t xml:space="preserve">ow can these parameters be </w:t>
      </w:r>
      <w:r w:rsidR="00114B07" w:rsidRPr="0068136B">
        <w:rPr>
          <w:rFonts w:ascii="Arial" w:eastAsia="Arial" w:hAnsi="Arial" w:cs="Arial"/>
        </w:rPr>
        <w:t xml:space="preserve">mobilized </w:t>
      </w:r>
      <w:r w:rsidRPr="0068136B">
        <w:rPr>
          <w:rFonts w:ascii="Arial" w:eastAsia="Arial" w:hAnsi="Arial" w:cs="Arial"/>
        </w:rPr>
        <w:t>in the analysis of national responses</w:t>
      </w:r>
      <w:r w:rsidR="00114B07" w:rsidRPr="0068136B">
        <w:rPr>
          <w:rFonts w:ascii="Arial" w:eastAsia="Arial" w:hAnsi="Arial" w:cs="Arial"/>
        </w:rPr>
        <w:t xml:space="preserve"> to health emergencies</w:t>
      </w:r>
      <w:r w:rsidRPr="0068136B">
        <w:rPr>
          <w:rFonts w:ascii="Arial" w:eastAsia="Arial" w:hAnsi="Arial" w:cs="Arial"/>
        </w:rPr>
        <w:t xml:space="preserve">? </w:t>
      </w:r>
      <w:r w:rsidR="00A969EF" w:rsidRPr="0068136B">
        <w:rPr>
          <w:rFonts w:ascii="Arial" w:eastAsia="Arial" w:hAnsi="Arial" w:cs="Arial"/>
        </w:rPr>
        <w:t>What do they tell us about the role of different actors, their interactions and the effects</w:t>
      </w:r>
      <w:r w:rsidR="007405D7" w:rsidRPr="0068136B">
        <w:rPr>
          <w:rFonts w:ascii="Arial" w:eastAsia="Arial" w:hAnsi="Arial" w:cs="Arial"/>
        </w:rPr>
        <w:t xml:space="preserve"> produced by this interaction? </w:t>
      </w:r>
    </w:p>
    <w:p w14:paraId="0000000A" w14:textId="05DD68D9" w:rsidR="00EE690B" w:rsidRPr="0068136B" w:rsidRDefault="009F3835">
      <w:pPr>
        <w:spacing w:after="0" w:line="480" w:lineRule="auto"/>
        <w:ind w:firstLine="709"/>
        <w:jc w:val="both"/>
        <w:rPr>
          <w:rFonts w:ascii="Arial" w:eastAsia="Arial" w:hAnsi="Arial" w:cs="Arial"/>
        </w:rPr>
      </w:pPr>
      <w:bookmarkStart w:id="1" w:name="_heading=h.gjdgxs" w:colFirst="0" w:colLast="0"/>
      <w:bookmarkEnd w:id="1"/>
      <w:r w:rsidRPr="0068136B">
        <w:rPr>
          <w:rFonts w:ascii="Arial" w:eastAsia="Arial" w:hAnsi="Arial" w:cs="Arial"/>
        </w:rPr>
        <w:t>With over 3</w:t>
      </w:r>
      <w:r w:rsidR="00CA0FBC" w:rsidRPr="0068136B">
        <w:rPr>
          <w:rFonts w:ascii="Arial" w:eastAsia="Arial" w:hAnsi="Arial" w:cs="Arial"/>
        </w:rPr>
        <w:t>5</w:t>
      </w:r>
      <w:r w:rsidRPr="0068136B">
        <w:rPr>
          <w:rFonts w:ascii="Arial" w:eastAsia="Arial" w:hAnsi="Arial" w:cs="Arial"/>
        </w:rPr>
        <w:t xml:space="preserve"> million officially reported cases and over 6</w:t>
      </w:r>
      <w:r w:rsidR="00CA0FBC" w:rsidRPr="0068136B">
        <w:rPr>
          <w:rFonts w:ascii="Arial" w:eastAsia="Arial" w:hAnsi="Arial" w:cs="Arial"/>
        </w:rPr>
        <w:t>91</w:t>
      </w:r>
      <w:r w:rsidRPr="0068136B">
        <w:rPr>
          <w:rFonts w:ascii="Arial" w:eastAsia="Arial" w:hAnsi="Arial" w:cs="Arial"/>
        </w:rPr>
        <w:t xml:space="preserve"> thousand deaths</w:t>
      </w:r>
      <w:r w:rsidRPr="0068136B">
        <w:rPr>
          <w:rFonts w:ascii="Arial" w:eastAsia="Arial" w:hAnsi="Arial" w:cs="Arial"/>
          <w:vertAlign w:val="superscript"/>
        </w:rPr>
        <w:footnoteReference w:id="1"/>
      </w:r>
      <w:r w:rsidRPr="0068136B">
        <w:rPr>
          <w:rFonts w:ascii="Arial" w:eastAsia="Arial" w:hAnsi="Arial" w:cs="Arial"/>
        </w:rPr>
        <w:t xml:space="preserve">, in addition to an economy in tatters including rising unemployment, poverty, hunger and inflation, Brazil is widely considered as an example of institutional failure during the pandemic. </w:t>
      </w:r>
      <w:r w:rsidR="007272F8" w:rsidRPr="0068136B">
        <w:rPr>
          <w:rFonts w:ascii="Arial" w:eastAsia="Arial" w:hAnsi="Arial" w:cs="Arial"/>
        </w:rPr>
        <w:t xml:space="preserve">The literature has begun to uncover how institutional actions and omissions on the part of the Brazilian federal government </w:t>
      </w:r>
      <w:r w:rsidR="005A6E4C" w:rsidRPr="0068136B">
        <w:rPr>
          <w:rFonts w:ascii="Arial" w:eastAsia="Arial" w:hAnsi="Arial" w:cs="Arial"/>
        </w:rPr>
        <w:t xml:space="preserve">and the President Jair Bolsonaro </w:t>
      </w:r>
      <w:r w:rsidR="007272F8" w:rsidRPr="0068136B">
        <w:rPr>
          <w:rFonts w:ascii="Arial" w:eastAsia="Arial" w:hAnsi="Arial" w:cs="Arial"/>
        </w:rPr>
        <w:t>had profound repercussions in the design</w:t>
      </w:r>
      <w:r w:rsidR="009406A1" w:rsidRPr="0068136B">
        <w:rPr>
          <w:rFonts w:ascii="Arial" w:eastAsia="Arial" w:hAnsi="Arial" w:cs="Arial"/>
        </w:rPr>
        <w:t>,</w:t>
      </w:r>
      <w:r w:rsidR="007272F8" w:rsidRPr="0068136B">
        <w:rPr>
          <w:rFonts w:ascii="Arial" w:eastAsia="Arial" w:hAnsi="Arial" w:cs="Arial"/>
        </w:rPr>
        <w:t xml:space="preserve"> implementation </w:t>
      </w:r>
      <w:r w:rsidR="009406A1" w:rsidRPr="0068136B">
        <w:rPr>
          <w:rFonts w:ascii="Arial" w:eastAsia="Arial" w:hAnsi="Arial" w:cs="Arial"/>
        </w:rPr>
        <w:t xml:space="preserve">and outcomes </w:t>
      </w:r>
      <w:r w:rsidR="007272F8" w:rsidRPr="0068136B">
        <w:rPr>
          <w:rFonts w:ascii="Arial" w:eastAsia="Arial" w:hAnsi="Arial" w:cs="Arial"/>
        </w:rPr>
        <w:t>of the pandemic response</w:t>
      </w:r>
      <w:r w:rsidRPr="0068136B">
        <w:rPr>
          <w:rFonts w:ascii="Arial" w:eastAsia="Arial" w:hAnsi="Arial" w:cs="Arial"/>
        </w:rPr>
        <w:t xml:space="preserve"> </w:t>
      </w:r>
      <w:r w:rsidR="00113560" w:rsidRPr="0068136B">
        <w:rPr>
          <w:rFonts w:ascii="Arial" w:eastAsia="Arial" w:hAnsi="Arial" w:cs="Arial"/>
        </w:rPr>
        <w:t>(Jasanoff et al 2021</w:t>
      </w:r>
      <w:r w:rsidR="009406A1" w:rsidRPr="0068136B">
        <w:rPr>
          <w:rFonts w:ascii="Arial" w:eastAsia="Arial" w:hAnsi="Arial" w:cs="Arial"/>
        </w:rPr>
        <w:t>;</w:t>
      </w:r>
      <w:r w:rsidR="00113560" w:rsidRPr="0068136B">
        <w:rPr>
          <w:rFonts w:ascii="Arial" w:eastAsia="Arial" w:hAnsi="Arial" w:cs="Arial"/>
        </w:rPr>
        <w:t xml:space="preserve"> Ventura et al 2021</w:t>
      </w:r>
      <w:r w:rsidR="009406A1" w:rsidRPr="0068136B">
        <w:rPr>
          <w:rFonts w:ascii="Arial" w:eastAsia="Arial" w:hAnsi="Arial" w:cs="Arial"/>
        </w:rPr>
        <w:t xml:space="preserve">; Senado Federal 2021; </w:t>
      </w:r>
      <w:r w:rsidRPr="0068136B">
        <w:rPr>
          <w:rFonts w:ascii="Arial" w:eastAsia="Arial" w:hAnsi="Arial" w:cs="Arial"/>
        </w:rPr>
        <w:t>Meningoti</w:t>
      </w:r>
      <w:r w:rsidR="00893856" w:rsidRPr="0068136B">
        <w:rPr>
          <w:rFonts w:ascii="Arial" w:eastAsia="Arial" w:hAnsi="Arial" w:cs="Arial"/>
        </w:rPr>
        <w:t>,</w:t>
      </w:r>
      <w:r w:rsidRPr="0068136B">
        <w:rPr>
          <w:rFonts w:ascii="Arial" w:eastAsia="Arial" w:hAnsi="Arial" w:cs="Arial"/>
        </w:rPr>
        <w:t xml:space="preserve"> Santana 2021; Calil 2021</w:t>
      </w:r>
      <w:r w:rsidR="009406A1" w:rsidRPr="0068136B">
        <w:rPr>
          <w:rFonts w:ascii="Arial" w:eastAsia="Arial" w:hAnsi="Arial" w:cs="Arial"/>
        </w:rPr>
        <w:t xml:space="preserve">; </w:t>
      </w:r>
      <w:r w:rsidRPr="0068136B">
        <w:rPr>
          <w:rFonts w:ascii="Arial" w:eastAsia="Arial" w:hAnsi="Arial" w:cs="Arial"/>
        </w:rPr>
        <w:t xml:space="preserve">Matta et al 2021). </w:t>
      </w:r>
    </w:p>
    <w:p w14:paraId="161E43FE" w14:textId="4FC18AAF" w:rsidR="00B56594" w:rsidRPr="0068136B" w:rsidRDefault="005B514F" w:rsidP="00AB2E33">
      <w:pPr>
        <w:spacing w:after="0" w:line="480" w:lineRule="auto"/>
        <w:ind w:firstLine="709"/>
        <w:jc w:val="both"/>
        <w:rPr>
          <w:rFonts w:ascii="Arial" w:eastAsia="Arial" w:hAnsi="Arial" w:cs="Arial"/>
        </w:rPr>
      </w:pPr>
      <w:bookmarkStart w:id="2" w:name="_heading=h.30j0zll" w:colFirst="0" w:colLast="0"/>
      <w:bookmarkEnd w:id="2"/>
      <w:r w:rsidRPr="0068136B">
        <w:rPr>
          <w:rFonts w:ascii="Arial" w:eastAsia="Arial" w:hAnsi="Arial" w:cs="Arial"/>
        </w:rPr>
        <w:t xml:space="preserve">According to the </w:t>
      </w:r>
      <w:r w:rsidR="009406A1" w:rsidRPr="0068136B">
        <w:rPr>
          <w:rFonts w:ascii="Arial" w:eastAsia="Arial" w:hAnsi="Arial" w:cs="Arial"/>
        </w:rPr>
        <w:t xml:space="preserve">Brazilian </w:t>
      </w:r>
      <w:r w:rsidRPr="0068136B">
        <w:rPr>
          <w:rFonts w:ascii="Arial" w:eastAsia="Arial" w:hAnsi="Arial" w:cs="Arial"/>
        </w:rPr>
        <w:t xml:space="preserve">1988 Constitution, </w:t>
      </w:r>
      <w:r w:rsidR="006142FF" w:rsidRPr="0068136B">
        <w:rPr>
          <w:rFonts w:ascii="Arial" w:eastAsia="Arial" w:hAnsi="Arial" w:cs="Arial"/>
        </w:rPr>
        <w:t>the federal government has the responsibility to coordinate public health efforts, including emergency preparedness and response. It does so by way of its Ministry of Health</w:t>
      </w:r>
      <w:r w:rsidR="00CD47CC" w:rsidRPr="0068136B">
        <w:rPr>
          <w:rFonts w:ascii="Arial" w:eastAsia="Arial" w:hAnsi="Arial" w:cs="Arial"/>
        </w:rPr>
        <w:t>, which is responsible for regulating the organization and attributions of health services, public and private, in addition to promoting their implementation and coordination (Ventura et al 2021b).</w:t>
      </w:r>
      <w:r w:rsidR="00BA79FE" w:rsidRPr="0068136B">
        <w:rPr>
          <w:rFonts w:ascii="Arial" w:eastAsia="Arial" w:hAnsi="Arial" w:cs="Arial"/>
        </w:rPr>
        <w:t xml:space="preserve"> </w:t>
      </w:r>
      <w:r w:rsidR="00B12C53" w:rsidRPr="0068136B">
        <w:rPr>
          <w:rFonts w:ascii="Arial" w:eastAsia="Arial" w:hAnsi="Arial" w:cs="Arial"/>
        </w:rPr>
        <w:t xml:space="preserve">The federal government </w:t>
      </w:r>
      <w:r w:rsidR="00CD47CC" w:rsidRPr="0068136B">
        <w:rPr>
          <w:rFonts w:ascii="Arial" w:eastAsia="Arial" w:hAnsi="Arial" w:cs="Arial"/>
        </w:rPr>
        <w:t xml:space="preserve">also draws on </w:t>
      </w:r>
      <w:r w:rsidR="00BA79FE" w:rsidRPr="0068136B">
        <w:rPr>
          <w:rFonts w:ascii="Arial" w:eastAsia="Arial" w:hAnsi="Arial" w:cs="Arial"/>
        </w:rPr>
        <w:t>other mechanisms, including the public Unified Health System (Sistema Único de Saúde - SUS)</w:t>
      </w:r>
      <w:r w:rsidR="00B91A61" w:rsidRPr="0068136B">
        <w:rPr>
          <w:rFonts w:ascii="Arial" w:eastAsia="Arial" w:hAnsi="Arial" w:cs="Arial"/>
        </w:rPr>
        <w:t xml:space="preserve">, which balances a centralized decision-making structure </w:t>
      </w:r>
      <w:r w:rsidR="00201B63" w:rsidRPr="0068136B">
        <w:rPr>
          <w:rFonts w:ascii="Arial" w:eastAsia="Arial" w:hAnsi="Arial" w:cs="Arial"/>
        </w:rPr>
        <w:t>with</w:t>
      </w:r>
      <w:r w:rsidR="00B91A61" w:rsidRPr="0068136B">
        <w:rPr>
          <w:rFonts w:ascii="Arial" w:eastAsia="Arial" w:hAnsi="Arial" w:cs="Arial"/>
        </w:rPr>
        <w:t xml:space="preserve"> state and municipal</w:t>
      </w:r>
      <w:r w:rsidR="008D4396" w:rsidRPr="0068136B">
        <w:rPr>
          <w:rFonts w:ascii="Arial" w:eastAsia="Arial" w:hAnsi="Arial" w:cs="Arial"/>
        </w:rPr>
        <w:t xml:space="preserve"> </w:t>
      </w:r>
      <w:r w:rsidR="00B91A61" w:rsidRPr="0068136B">
        <w:rPr>
          <w:rFonts w:ascii="Arial" w:eastAsia="Arial" w:hAnsi="Arial" w:cs="Arial"/>
        </w:rPr>
        <w:t>level</w:t>
      </w:r>
      <w:r w:rsidR="008D4396" w:rsidRPr="0068136B">
        <w:rPr>
          <w:rFonts w:ascii="Arial" w:eastAsia="Arial" w:hAnsi="Arial" w:cs="Arial"/>
        </w:rPr>
        <w:t>s</w:t>
      </w:r>
      <w:r w:rsidR="00B91A61" w:rsidRPr="0068136B">
        <w:rPr>
          <w:rFonts w:ascii="Arial" w:eastAsia="Arial" w:hAnsi="Arial" w:cs="Arial"/>
        </w:rPr>
        <w:t xml:space="preserve"> flexibility in the </w:t>
      </w:r>
      <w:r w:rsidR="00C5597C" w:rsidRPr="0068136B">
        <w:rPr>
          <w:rFonts w:ascii="Arial" w:eastAsia="Arial" w:hAnsi="Arial" w:cs="Arial"/>
        </w:rPr>
        <w:t>implementation of policies</w:t>
      </w:r>
      <w:r w:rsidR="00244ECE" w:rsidRPr="0068136B">
        <w:rPr>
          <w:rFonts w:ascii="Arial" w:eastAsia="Arial" w:hAnsi="Arial" w:cs="Arial"/>
        </w:rPr>
        <w:t>,</w:t>
      </w:r>
      <w:r w:rsidR="00C5597C" w:rsidRPr="0068136B">
        <w:rPr>
          <w:rFonts w:ascii="Arial" w:eastAsia="Arial" w:hAnsi="Arial" w:cs="Arial"/>
        </w:rPr>
        <w:t xml:space="preserve"> </w:t>
      </w:r>
      <w:r w:rsidR="00244ECE" w:rsidRPr="0068136B">
        <w:rPr>
          <w:rFonts w:ascii="Arial" w:eastAsia="Arial" w:hAnsi="Arial" w:cs="Arial"/>
        </w:rPr>
        <w:t>to</w:t>
      </w:r>
      <w:r w:rsidR="00C5597C" w:rsidRPr="0068136B">
        <w:rPr>
          <w:rFonts w:ascii="Arial" w:eastAsia="Arial" w:hAnsi="Arial" w:cs="Arial"/>
        </w:rPr>
        <w:t xml:space="preserve"> meet the demands of a very heterogenous population</w:t>
      </w:r>
      <w:r w:rsidR="00BA79FE" w:rsidRPr="0068136B">
        <w:rPr>
          <w:rFonts w:ascii="Arial" w:eastAsia="Arial" w:hAnsi="Arial" w:cs="Arial"/>
        </w:rPr>
        <w:t xml:space="preserve">. </w:t>
      </w:r>
      <w:r w:rsidR="00AB2E33" w:rsidRPr="0068136B">
        <w:rPr>
          <w:rFonts w:ascii="Arial" w:eastAsia="Arial" w:hAnsi="Arial" w:cs="Arial"/>
        </w:rPr>
        <w:t xml:space="preserve">During the pandemic, the federal government relegated the Health Ministry to a secondary role while other actors (not elected and not accountable) moved to influence decisions (Temporão 2021). </w:t>
      </w:r>
      <w:r w:rsidR="00216C4D" w:rsidRPr="0068136B">
        <w:rPr>
          <w:rFonts w:ascii="Arial" w:eastAsia="Arial" w:hAnsi="Arial" w:cs="Arial"/>
        </w:rPr>
        <w:t xml:space="preserve">Vieira and Servo (2020) </w:t>
      </w:r>
      <w:r w:rsidR="009406A1" w:rsidRPr="0068136B">
        <w:rPr>
          <w:rFonts w:ascii="Arial" w:eastAsia="Arial" w:hAnsi="Arial" w:cs="Arial"/>
        </w:rPr>
        <w:t xml:space="preserve">and Lotta et al (2020) </w:t>
      </w:r>
      <w:r w:rsidR="00216C4D" w:rsidRPr="0068136B">
        <w:rPr>
          <w:rFonts w:ascii="Arial" w:eastAsia="Arial" w:hAnsi="Arial" w:cs="Arial"/>
        </w:rPr>
        <w:t xml:space="preserve">argued that Covid-19 accelerated the process of undermining the coordination </w:t>
      </w:r>
      <w:r w:rsidR="00905669" w:rsidRPr="0068136B">
        <w:rPr>
          <w:rFonts w:ascii="Arial" w:eastAsia="Arial" w:hAnsi="Arial" w:cs="Arial"/>
        </w:rPr>
        <w:t xml:space="preserve">tasks </w:t>
      </w:r>
      <w:r w:rsidR="00AB2E33" w:rsidRPr="0068136B">
        <w:rPr>
          <w:rFonts w:ascii="Arial" w:eastAsia="Arial" w:hAnsi="Arial" w:cs="Arial"/>
        </w:rPr>
        <w:t xml:space="preserve">traditionally </w:t>
      </w:r>
      <w:r w:rsidR="00905669" w:rsidRPr="0068136B">
        <w:rPr>
          <w:rFonts w:ascii="Arial" w:eastAsia="Arial" w:hAnsi="Arial" w:cs="Arial"/>
        </w:rPr>
        <w:t>performed by the SUS</w:t>
      </w:r>
      <w:r w:rsidR="007F34BA" w:rsidRPr="0068136B">
        <w:rPr>
          <w:rFonts w:ascii="Arial" w:eastAsia="Arial" w:hAnsi="Arial" w:cs="Arial"/>
        </w:rPr>
        <w:t>.</w:t>
      </w:r>
      <w:r w:rsidR="00216C4D" w:rsidRPr="0068136B">
        <w:rPr>
          <w:rFonts w:ascii="Arial" w:eastAsia="Arial" w:hAnsi="Arial" w:cs="Arial"/>
        </w:rPr>
        <w:t xml:space="preserve"> </w:t>
      </w:r>
    </w:p>
    <w:p w14:paraId="132A835F" w14:textId="76E600F4" w:rsidR="00EA5D1D" w:rsidRPr="0068136B" w:rsidRDefault="00516937" w:rsidP="001F7EA2">
      <w:pPr>
        <w:spacing w:after="0" w:line="480" w:lineRule="auto"/>
        <w:ind w:firstLine="709"/>
        <w:jc w:val="both"/>
        <w:rPr>
          <w:rFonts w:ascii="Arial" w:eastAsia="Arial" w:hAnsi="Arial" w:cs="Arial"/>
        </w:rPr>
      </w:pPr>
      <w:r w:rsidRPr="0068136B">
        <w:rPr>
          <w:rFonts w:ascii="Arial" w:eastAsia="Arial" w:hAnsi="Arial" w:cs="Arial"/>
        </w:rPr>
        <w:t xml:space="preserve">Our </w:t>
      </w:r>
      <w:r w:rsidR="00020D07" w:rsidRPr="0068136B">
        <w:rPr>
          <w:rFonts w:ascii="Arial" w:eastAsia="Arial" w:hAnsi="Arial" w:cs="Arial"/>
        </w:rPr>
        <w:t>paper</w:t>
      </w:r>
      <w:r w:rsidRPr="0068136B">
        <w:rPr>
          <w:rFonts w:ascii="Arial" w:eastAsia="Arial" w:hAnsi="Arial" w:cs="Arial"/>
        </w:rPr>
        <w:t xml:space="preserve"> sets out to </w:t>
      </w:r>
      <w:r w:rsidR="000D79BC" w:rsidRPr="0068136B">
        <w:rPr>
          <w:rFonts w:ascii="Arial" w:eastAsia="Arial" w:hAnsi="Arial" w:cs="Arial"/>
        </w:rPr>
        <w:t>illustrate the potential of a risk governance approach to understanding the</w:t>
      </w:r>
      <w:r w:rsidR="00D46610" w:rsidRPr="0068136B">
        <w:rPr>
          <w:rFonts w:ascii="Arial" w:eastAsia="Arial" w:hAnsi="Arial" w:cs="Arial"/>
        </w:rPr>
        <w:t xml:space="preserve"> Brazilian response</w:t>
      </w:r>
      <w:r w:rsidR="00672A39" w:rsidRPr="0068136B">
        <w:rPr>
          <w:rFonts w:ascii="Arial" w:eastAsia="Arial" w:hAnsi="Arial" w:cs="Arial"/>
        </w:rPr>
        <w:t xml:space="preserve"> to Covid-19</w:t>
      </w:r>
      <w:r w:rsidR="00D46610" w:rsidRPr="0068136B">
        <w:rPr>
          <w:rFonts w:ascii="Arial" w:eastAsia="Arial" w:hAnsi="Arial" w:cs="Arial"/>
        </w:rPr>
        <w:t xml:space="preserve">. </w:t>
      </w:r>
      <w:r w:rsidR="000F0992" w:rsidRPr="0068136B">
        <w:rPr>
          <w:rFonts w:ascii="Arial" w:eastAsia="Arial" w:hAnsi="Arial" w:cs="Arial"/>
        </w:rPr>
        <w:t>Specifically, w</w:t>
      </w:r>
      <w:r w:rsidR="00D46610" w:rsidRPr="0068136B">
        <w:rPr>
          <w:rFonts w:ascii="Arial" w:eastAsia="Arial" w:hAnsi="Arial" w:cs="Arial"/>
        </w:rPr>
        <w:t>e</w:t>
      </w:r>
      <w:r w:rsidR="00020D07" w:rsidRPr="0068136B">
        <w:rPr>
          <w:rFonts w:ascii="Arial" w:eastAsia="Arial" w:hAnsi="Arial" w:cs="Arial"/>
        </w:rPr>
        <w:t xml:space="preserve"> contribute to existing </w:t>
      </w:r>
      <w:r w:rsidR="00020D07" w:rsidRPr="0068136B">
        <w:rPr>
          <w:rFonts w:ascii="Arial" w:eastAsia="Arial" w:hAnsi="Arial" w:cs="Arial"/>
        </w:rPr>
        <w:lastRenderedPageBreak/>
        <w:t>literature</w:t>
      </w:r>
      <w:r w:rsidR="0093720E" w:rsidRPr="0068136B">
        <w:rPr>
          <w:rFonts w:ascii="Arial" w:eastAsia="Arial" w:hAnsi="Arial" w:cs="Arial"/>
        </w:rPr>
        <w:t xml:space="preserve"> on the subject </w:t>
      </w:r>
      <w:r w:rsidR="00C623A8" w:rsidRPr="0068136B">
        <w:rPr>
          <w:rFonts w:ascii="Arial" w:eastAsia="Arial" w:hAnsi="Arial" w:cs="Arial"/>
        </w:rPr>
        <w:t>by assessing</w:t>
      </w:r>
      <w:r w:rsidR="007E6444" w:rsidRPr="0068136B">
        <w:rPr>
          <w:rFonts w:ascii="Arial" w:eastAsia="Arial" w:hAnsi="Arial" w:cs="Arial"/>
        </w:rPr>
        <w:t>, against risk governance parameters,</w:t>
      </w:r>
      <w:r w:rsidR="00C623A8" w:rsidRPr="0068136B">
        <w:rPr>
          <w:rFonts w:ascii="Arial" w:eastAsia="Arial" w:hAnsi="Arial" w:cs="Arial"/>
        </w:rPr>
        <w:t xml:space="preserve"> the </w:t>
      </w:r>
      <w:r w:rsidR="000F0992" w:rsidRPr="0068136B">
        <w:rPr>
          <w:rFonts w:ascii="Arial" w:eastAsia="Arial" w:hAnsi="Arial" w:cs="Arial"/>
        </w:rPr>
        <w:t xml:space="preserve">well-documented failures in </w:t>
      </w:r>
      <w:r w:rsidR="007E6444" w:rsidRPr="0068136B">
        <w:rPr>
          <w:rFonts w:ascii="Arial" w:eastAsia="Arial" w:hAnsi="Arial" w:cs="Arial"/>
        </w:rPr>
        <w:t xml:space="preserve">the </w:t>
      </w:r>
      <w:r w:rsidR="001813DC" w:rsidRPr="0068136B">
        <w:rPr>
          <w:rFonts w:ascii="Arial" w:eastAsia="Arial" w:hAnsi="Arial" w:cs="Arial"/>
        </w:rPr>
        <w:t>performance of the federal government</w:t>
      </w:r>
      <w:r w:rsidR="000F0992" w:rsidRPr="0068136B">
        <w:rPr>
          <w:rFonts w:ascii="Arial" w:eastAsia="Arial" w:hAnsi="Arial" w:cs="Arial"/>
        </w:rPr>
        <w:t>, which a parliamentary commission wen</w:t>
      </w:r>
      <w:r w:rsidR="00E62F75" w:rsidRPr="0068136B">
        <w:rPr>
          <w:rFonts w:ascii="Arial" w:eastAsia="Arial" w:hAnsi="Arial" w:cs="Arial"/>
        </w:rPr>
        <w:t>t</w:t>
      </w:r>
      <w:r w:rsidR="000F0992" w:rsidRPr="0068136B">
        <w:rPr>
          <w:rFonts w:ascii="Arial" w:eastAsia="Arial" w:hAnsi="Arial" w:cs="Arial"/>
        </w:rPr>
        <w:t xml:space="preserve"> so far as </w:t>
      </w:r>
      <w:r w:rsidR="007E6444" w:rsidRPr="0068136B">
        <w:rPr>
          <w:rFonts w:ascii="Arial" w:eastAsia="Arial" w:hAnsi="Arial" w:cs="Arial"/>
        </w:rPr>
        <w:t xml:space="preserve">to term </w:t>
      </w:r>
      <w:r w:rsidR="000F0992" w:rsidRPr="0068136B">
        <w:rPr>
          <w:rFonts w:ascii="Arial" w:eastAsia="Arial" w:hAnsi="Arial" w:cs="Arial"/>
        </w:rPr>
        <w:t>‘crimes against humanity’ (Senado Federal 2021)</w:t>
      </w:r>
      <w:r w:rsidR="001813DC" w:rsidRPr="0068136B">
        <w:rPr>
          <w:rFonts w:ascii="Arial" w:eastAsia="Arial" w:hAnsi="Arial" w:cs="Arial"/>
        </w:rPr>
        <w:t xml:space="preserve">. Moreover, </w:t>
      </w:r>
      <w:r w:rsidR="003071AA" w:rsidRPr="0068136B">
        <w:rPr>
          <w:rFonts w:ascii="Arial" w:eastAsia="Arial" w:hAnsi="Arial" w:cs="Arial"/>
        </w:rPr>
        <w:t>our analysis broadens the discussion about institutional performance in the Brazil</w:t>
      </w:r>
      <w:r w:rsidR="00BC624F" w:rsidRPr="0068136B">
        <w:rPr>
          <w:rFonts w:ascii="Arial" w:eastAsia="Arial" w:hAnsi="Arial" w:cs="Arial"/>
        </w:rPr>
        <w:t>ian</w:t>
      </w:r>
      <w:r w:rsidR="003071AA" w:rsidRPr="0068136B">
        <w:rPr>
          <w:rFonts w:ascii="Arial" w:eastAsia="Arial" w:hAnsi="Arial" w:cs="Arial"/>
        </w:rPr>
        <w:t xml:space="preserve"> case by </w:t>
      </w:r>
      <w:r w:rsidR="00672A39" w:rsidRPr="0068136B">
        <w:rPr>
          <w:rFonts w:ascii="Arial" w:eastAsia="Arial" w:hAnsi="Arial" w:cs="Arial"/>
        </w:rPr>
        <w:t>go</w:t>
      </w:r>
      <w:r w:rsidR="00020D07" w:rsidRPr="0068136B">
        <w:rPr>
          <w:rFonts w:ascii="Arial" w:eastAsia="Arial" w:hAnsi="Arial" w:cs="Arial"/>
        </w:rPr>
        <w:t>ing</w:t>
      </w:r>
      <w:r w:rsidR="00672A39" w:rsidRPr="0068136B">
        <w:rPr>
          <w:rFonts w:ascii="Arial" w:eastAsia="Arial" w:hAnsi="Arial" w:cs="Arial"/>
        </w:rPr>
        <w:t xml:space="preserve"> beyond the federal government’s actions and omissions</w:t>
      </w:r>
      <w:r w:rsidR="00854627" w:rsidRPr="0068136B">
        <w:rPr>
          <w:rFonts w:ascii="Arial" w:eastAsia="Arial" w:hAnsi="Arial" w:cs="Arial"/>
        </w:rPr>
        <w:t xml:space="preserve">. We explore the complex interactions between different levels of government, and between government and other societal actors (like civil society, scientific </w:t>
      </w:r>
      <w:r w:rsidR="004E27EB" w:rsidRPr="0068136B">
        <w:rPr>
          <w:rFonts w:ascii="Arial" w:eastAsia="Arial" w:hAnsi="Arial" w:cs="Arial"/>
        </w:rPr>
        <w:t>institutions,</w:t>
      </w:r>
      <w:r w:rsidR="00854627" w:rsidRPr="0068136B">
        <w:rPr>
          <w:rFonts w:ascii="Arial" w:eastAsia="Arial" w:hAnsi="Arial" w:cs="Arial"/>
        </w:rPr>
        <w:t xml:space="preserve"> and media outlets). We zoom in on the controversies</w:t>
      </w:r>
      <w:r w:rsidR="004E27EB" w:rsidRPr="0068136B">
        <w:rPr>
          <w:rFonts w:ascii="Arial" w:eastAsia="Arial" w:hAnsi="Arial" w:cs="Arial"/>
        </w:rPr>
        <w:t xml:space="preserve"> underpinning these interactions and unpack their multiple effects.</w:t>
      </w:r>
      <w:r w:rsidR="003071AA" w:rsidRPr="0068136B">
        <w:rPr>
          <w:rFonts w:ascii="Arial" w:eastAsia="Arial" w:hAnsi="Arial" w:cs="Arial"/>
        </w:rPr>
        <w:t xml:space="preserve"> </w:t>
      </w:r>
      <w:r w:rsidR="00EB5A9B" w:rsidRPr="0068136B">
        <w:rPr>
          <w:rFonts w:ascii="Arial" w:eastAsia="Arial" w:hAnsi="Arial" w:cs="Arial"/>
        </w:rPr>
        <w:t xml:space="preserve">Our analysis illustrates the potential of a risk governance framework in shedding </w:t>
      </w:r>
      <w:r w:rsidR="003071AA" w:rsidRPr="0068136B">
        <w:rPr>
          <w:rFonts w:ascii="Arial" w:eastAsia="Arial" w:hAnsi="Arial" w:cs="Arial"/>
        </w:rPr>
        <w:t xml:space="preserve">new </w:t>
      </w:r>
      <w:r w:rsidR="00EB5A9B" w:rsidRPr="0068136B">
        <w:rPr>
          <w:rFonts w:ascii="Arial" w:eastAsia="Arial" w:hAnsi="Arial" w:cs="Arial"/>
        </w:rPr>
        <w:t>light on institutional performance during health emergencies.</w:t>
      </w:r>
    </w:p>
    <w:p w14:paraId="0000000D" w14:textId="397724B3" w:rsidR="00EE690B" w:rsidRPr="0068136B" w:rsidRDefault="009F3835">
      <w:pPr>
        <w:spacing w:after="0" w:line="480" w:lineRule="auto"/>
        <w:ind w:firstLine="709"/>
        <w:jc w:val="both"/>
        <w:rPr>
          <w:rFonts w:ascii="Arial" w:eastAsia="Arial" w:hAnsi="Arial" w:cs="Arial"/>
        </w:rPr>
      </w:pPr>
      <w:bookmarkStart w:id="3" w:name="_heading=h.kwo8wr4q07e7" w:colFirst="0" w:colLast="0"/>
      <w:bookmarkEnd w:id="3"/>
      <w:r w:rsidRPr="0068136B">
        <w:rPr>
          <w:rFonts w:ascii="Arial" w:eastAsia="Arial" w:hAnsi="Arial" w:cs="Arial"/>
        </w:rPr>
        <w:t xml:space="preserve">Section 1 provides an overview of the risk governance literature </w:t>
      </w:r>
      <w:r w:rsidR="003D672C" w:rsidRPr="0068136B">
        <w:rPr>
          <w:rFonts w:ascii="Arial" w:eastAsia="Arial" w:hAnsi="Arial" w:cs="Arial"/>
        </w:rPr>
        <w:t>and</w:t>
      </w:r>
      <w:r w:rsidRPr="0068136B">
        <w:rPr>
          <w:rFonts w:ascii="Arial" w:eastAsia="Arial" w:hAnsi="Arial" w:cs="Arial"/>
        </w:rPr>
        <w:t xml:space="preserve"> the parameters described therein. Section 2 presents the methodology. Section 3 details the findings</w:t>
      </w:r>
      <w:r w:rsidR="006E3DCB" w:rsidRPr="0068136B">
        <w:rPr>
          <w:rFonts w:ascii="Arial" w:eastAsia="Arial" w:hAnsi="Arial" w:cs="Arial"/>
        </w:rPr>
        <w:t xml:space="preserve">, using </w:t>
      </w:r>
      <w:r w:rsidRPr="0068136B">
        <w:rPr>
          <w:rFonts w:ascii="Arial" w:eastAsia="Arial" w:hAnsi="Arial" w:cs="Arial"/>
        </w:rPr>
        <w:t xml:space="preserve">risk governance parameters </w:t>
      </w:r>
      <w:r w:rsidR="00035F7C" w:rsidRPr="0068136B">
        <w:rPr>
          <w:rFonts w:ascii="Arial" w:eastAsia="Arial" w:hAnsi="Arial" w:cs="Arial"/>
        </w:rPr>
        <w:t>as a lens</w:t>
      </w:r>
      <w:r w:rsidRPr="0068136B">
        <w:rPr>
          <w:rFonts w:ascii="Arial" w:eastAsia="Arial" w:hAnsi="Arial" w:cs="Arial"/>
        </w:rPr>
        <w:t>. In</w:t>
      </w:r>
      <w:r w:rsidR="005618ED" w:rsidRPr="0068136B">
        <w:rPr>
          <w:rFonts w:ascii="Arial" w:eastAsia="Arial" w:hAnsi="Arial" w:cs="Arial"/>
        </w:rPr>
        <w:t xml:space="preserve"> the discussion of our findings provided in</w:t>
      </w:r>
      <w:r w:rsidRPr="0068136B">
        <w:rPr>
          <w:rFonts w:ascii="Arial" w:eastAsia="Arial" w:hAnsi="Arial" w:cs="Arial"/>
        </w:rPr>
        <w:t xml:space="preserve"> Section 4, we characterize Brazil’s handling of the pandemic as a form of ‘governance by chaos’</w:t>
      </w:r>
      <w:r w:rsidR="002A502A" w:rsidRPr="0068136B">
        <w:rPr>
          <w:rFonts w:ascii="Arial" w:eastAsia="Arial" w:hAnsi="Arial" w:cs="Arial"/>
        </w:rPr>
        <w:t>,</w:t>
      </w:r>
      <w:r w:rsidRPr="0068136B">
        <w:rPr>
          <w:rFonts w:ascii="Arial" w:eastAsia="Arial" w:hAnsi="Arial" w:cs="Arial"/>
        </w:rPr>
        <w:t xml:space="preserve"> </w:t>
      </w:r>
      <w:r w:rsidR="002A502A" w:rsidRPr="0068136B">
        <w:rPr>
          <w:rFonts w:ascii="Arial" w:eastAsia="Arial" w:hAnsi="Arial" w:cs="Arial"/>
        </w:rPr>
        <w:t>and reflect</w:t>
      </w:r>
      <w:r w:rsidRPr="0068136B">
        <w:rPr>
          <w:rFonts w:ascii="Arial" w:eastAsia="Arial" w:hAnsi="Arial" w:cs="Arial"/>
        </w:rPr>
        <w:t xml:space="preserve"> on the potential of </w:t>
      </w:r>
      <w:r w:rsidR="002A502A" w:rsidRPr="0068136B">
        <w:rPr>
          <w:rFonts w:ascii="Arial" w:eastAsia="Arial" w:hAnsi="Arial" w:cs="Arial"/>
        </w:rPr>
        <w:t xml:space="preserve">a </w:t>
      </w:r>
      <w:r w:rsidRPr="0068136B">
        <w:rPr>
          <w:rFonts w:ascii="Arial" w:eastAsia="Arial" w:hAnsi="Arial" w:cs="Arial"/>
        </w:rPr>
        <w:t>risk governance</w:t>
      </w:r>
      <w:r w:rsidR="002A502A" w:rsidRPr="0068136B">
        <w:rPr>
          <w:rFonts w:ascii="Arial" w:eastAsia="Arial" w:hAnsi="Arial" w:cs="Arial"/>
        </w:rPr>
        <w:t xml:space="preserve"> approach</w:t>
      </w:r>
      <w:r w:rsidRPr="0068136B">
        <w:rPr>
          <w:rFonts w:ascii="Arial" w:eastAsia="Arial" w:hAnsi="Arial" w:cs="Arial"/>
        </w:rPr>
        <w:t xml:space="preserve"> </w:t>
      </w:r>
      <w:r w:rsidR="002A502A" w:rsidRPr="0068136B">
        <w:rPr>
          <w:rFonts w:ascii="Arial" w:eastAsia="Arial" w:hAnsi="Arial" w:cs="Arial"/>
        </w:rPr>
        <w:t>to the analysis of</w:t>
      </w:r>
      <w:r w:rsidRPr="0068136B">
        <w:rPr>
          <w:rFonts w:ascii="Arial" w:eastAsia="Arial" w:hAnsi="Arial" w:cs="Arial"/>
        </w:rPr>
        <w:t xml:space="preserve"> the response to health emergencies.</w:t>
      </w:r>
    </w:p>
    <w:p w14:paraId="2AC7BCAC" w14:textId="77777777" w:rsidR="006E3DCB" w:rsidRPr="0068136B" w:rsidRDefault="006E3DCB">
      <w:pPr>
        <w:spacing w:after="0" w:line="480" w:lineRule="auto"/>
        <w:ind w:firstLine="709"/>
        <w:jc w:val="both"/>
        <w:rPr>
          <w:rFonts w:ascii="Arial" w:eastAsia="Arial" w:hAnsi="Arial" w:cs="Arial"/>
        </w:rPr>
      </w:pPr>
    </w:p>
    <w:p w14:paraId="0000000F" w14:textId="77777777" w:rsidR="00EE690B" w:rsidRPr="0068136B" w:rsidRDefault="009F3835">
      <w:pPr>
        <w:numPr>
          <w:ilvl w:val="0"/>
          <w:numId w:val="1"/>
        </w:numPr>
        <w:pBdr>
          <w:top w:val="nil"/>
          <w:left w:val="nil"/>
          <w:bottom w:val="nil"/>
          <w:right w:val="nil"/>
          <w:between w:val="nil"/>
        </w:pBdr>
        <w:spacing w:after="0" w:line="480" w:lineRule="auto"/>
        <w:jc w:val="both"/>
        <w:rPr>
          <w:rFonts w:ascii="Arial" w:eastAsia="Arial" w:hAnsi="Arial" w:cs="Arial"/>
          <w:b/>
        </w:rPr>
      </w:pPr>
      <w:r w:rsidRPr="0068136B">
        <w:rPr>
          <w:rFonts w:ascii="Arial" w:eastAsia="Arial" w:hAnsi="Arial" w:cs="Arial"/>
          <w:b/>
        </w:rPr>
        <w:t>Risk governance parameters</w:t>
      </w:r>
    </w:p>
    <w:p w14:paraId="00000010" w14:textId="77777777" w:rsidR="00EE690B" w:rsidRPr="0068136B" w:rsidRDefault="00EE690B">
      <w:pPr>
        <w:spacing w:after="0" w:line="480" w:lineRule="auto"/>
        <w:jc w:val="both"/>
        <w:rPr>
          <w:rFonts w:ascii="Arial" w:eastAsia="Arial" w:hAnsi="Arial" w:cs="Arial"/>
          <w:b/>
        </w:rPr>
      </w:pPr>
    </w:p>
    <w:p w14:paraId="00000011" w14:textId="54B4CEE5" w:rsidR="00EE690B" w:rsidRPr="0068136B" w:rsidRDefault="009F3835">
      <w:pPr>
        <w:spacing w:after="0" w:line="480" w:lineRule="auto"/>
        <w:jc w:val="both"/>
        <w:rPr>
          <w:rFonts w:ascii="Arial" w:eastAsia="Arial" w:hAnsi="Arial" w:cs="Arial"/>
        </w:rPr>
      </w:pPr>
      <w:bookmarkStart w:id="4" w:name="_heading=h.1fob9te" w:colFirst="0" w:colLast="0"/>
      <w:bookmarkEnd w:id="4"/>
      <w:r w:rsidRPr="0068136B">
        <w:rPr>
          <w:rFonts w:ascii="Arial" w:eastAsia="Arial" w:hAnsi="Arial" w:cs="Arial"/>
        </w:rPr>
        <w:t>The risk governance approach was proposed with the goal of addressing complex situations associated with ecological, health</w:t>
      </w:r>
      <w:r w:rsidR="00A539AA" w:rsidRPr="0068136B">
        <w:rPr>
          <w:rFonts w:ascii="Arial" w:eastAsia="Arial" w:hAnsi="Arial" w:cs="Arial"/>
        </w:rPr>
        <w:t xml:space="preserve"> and</w:t>
      </w:r>
      <w:r w:rsidRPr="0068136B">
        <w:rPr>
          <w:rFonts w:ascii="Arial" w:eastAsia="Arial" w:hAnsi="Arial" w:cs="Arial"/>
        </w:rPr>
        <w:t xml:space="preserve"> technological risks (Renn 2008). </w:t>
      </w:r>
      <w:r w:rsidR="007452C2" w:rsidRPr="0068136B">
        <w:rPr>
          <w:rFonts w:ascii="Arial" w:eastAsia="Arial" w:hAnsi="Arial" w:cs="Arial"/>
        </w:rPr>
        <w:t xml:space="preserve">It </w:t>
      </w:r>
      <w:r w:rsidRPr="0068136B">
        <w:rPr>
          <w:rFonts w:ascii="Arial" w:eastAsia="Arial" w:hAnsi="Arial" w:cs="Arial"/>
        </w:rPr>
        <w:t>refers to "institutional structures and sociopolitical processes that guide and restrain collective activities of a group, society, or international community to influence or direct the course of events or people’s behavior when dealing with risk issues"</w:t>
      </w:r>
      <w:r w:rsidR="00CD7C47" w:rsidRPr="0068136B">
        <w:rPr>
          <w:rFonts w:ascii="Arial" w:eastAsia="Arial" w:hAnsi="Arial" w:cs="Arial"/>
        </w:rPr>
        <w:t xml:space="preserve"> (Klinke and Renn 2021, p. 545)</w:t>
      </w:r>
      <w:r w:rsidRPr="0068136B">
        <w:rPr>
          <w:rFonts w:ascii="Arial" w:eastAsia="Arial" w:hAnsi="Arial" w:cs="Arial"/>
        </w:rPr>
        <w:t xml:space="preserve">. For these authors, the risk governance concept should embrace a fundamental condition of uncertainty, complexity and ambiguity as major characteristics of the risk governing process. Indeed, Aven and Renn (2019) emphasize that risk governance is particularly pertinent in situations where the potential for extreme consequences is considered high, where there are enormous </w:t>
      </w:r>
      <w:r w:rsidRPr="0068136B">
        <w:rPr>
          <w:rFonts w:ascii="Arial" w:eastAsia="Arial" w:hAnsi="Arial" w:cs="Arial"/>
        </w:rPr>
        <w:lastRenderedPageBreak/>
        <w:t xml:space="preserve">uncertainties regarding the consequences, and where different values are present and in dispute. The Covid-19 pandemic meets these conditions. </w:t>
      </w:r>
    </w:p>
    <w:p w14:paraId="00000012" w14:textId="6B44B869" w:rsidR="00EE690B" w:rsidRPr="0068136B" w:rsidRDefault="009F3835">
      <w:pPr>
        <w:spacing w:after="0" w:line="480" w:lineRule="auto"/>
        <w:ind w:firstLine="709"/>
        <w:jc w:val="both"/>
        <w:rPr>
          <w:rFonts w:ascii="Arial" w:eastAsia="Arial" w:hAnsi="Arial" w:cs="Arial"/>
        </w:rPr>
      </w:pPr>
      <w:r w:rsidRPr="0068136B">
        <w:rPr>
          <w:rFonts w:ascii="Arial" w:eastAsia="Arial" w:hAnsi="Arial" w:cs="Arial"/>
        </w:rPr>
        <w:t>The literature describes a set of parameters of risk governance. In this paper, we focus on five (Table 1): (i) transparency and accessibility of data; (ii) risk communication; (iii) negotiation between actors; (iv) social cohesion and public participation; (v) decisions based on technical and scientific evidence, resources and contexts. These parameters were selected because they are closely connected with conditions considered essential for successful health emergency responses</w:t>
      </w:r>
      <w:r w:rsidR="00243189" w:rsidRPr="0068136B">
        <w:rPr>
          <w:rFonts w:ascii="Arial" w:eastAsia="Arial" w:hAnsi="Arial" w:cs="Arial"/>
        </w:rPr>
        <w:t>.</w:t>
      </w:r>
      <w:r w:rsidRPr="0068136B">
        <w:rPr>
          <w:rFonts w:ascii="Arial" w:eastAsia="Arial" w:hAnsi="Arial" w:cs="Arial"/>
        </w:rPr>
        <w:t xml:space="preserve"> </w:t>
      </w:r>
      <w:r w:rsidR="00243189" w:rsidRPr="0068136B">
        <w:rPr>
          <w:rFonts w:ascii="Arial" w:eastAsia="Arial" w:hAnsi="Arial" w:cs="Arial"/>
        </w:rPr>
        <w:t>They also</w:t>
      </w:r>
      <w:r w:rsidRPr="0068136B">
        <w:rPr>
          <w:rFonts w:ascii="Arial" w:eastAsia="Arial" w:hAnsi="Arial" w:cs="Arial"/>
        </w:rPr>
        <w:t xml:space="preserve"> respond to societal expectations of inclusion and participation towards more transparent decision-making (Schweizer 2021), and collectively-binding decisions (van Asselt and Renn 2011). </w:t>
      </w:r>
    </w:p>
    <w:p w14:paraId="00000013" w14:textId="77777777" w:rsidR="00EE690B" w:rsidRPr="0068136B" w:rsidRDefault="00EE690B">
      <w:pPr>
        <w:spacing w:after="0" w:line="480" w:lineRule="auto"/>
        <w:ind w:firstLine="709"/>
        <w:jc w:val="both"/>
        <w:rPr>
          <w:rFonts w:ascii="Arial" w:eastAsia="Arial" w:hAnsi="Arial" w:cs="Arial"/>
        </w:rPr>
      </w:pPr>
    </w:p>
    <w:p w14:paraId="00000014" w14:textId="77777777" w:rsidR="00EE690B" w:rsidRPr="0068136B" w:rsidRDefault="009F3835">
      <w:pPr>
        <w:spacing w:after="0" w:line="480" w:lineRule="auto"/>
        <w:jc w:val="both"/>
        <w:rPr>
          <w:rFonts w:ascii="Arial" w:eastAsia="Arial" w:hAnsi="Arial" w:cs="Arial"/>
          <w:i/>
        </w:rPr>
      </w:pPr>
      <w:r w:rsidRPr="0068136B">
        <w:rPr>
          <w:rFonts w:ascii="Arial" w:eastAsia="Arial" w:hAnsi="Arial" w:cs="Arial"/>
          <w:i/>
        </w:rPr>
        <w:t>Transparency and accessibility of data</w:t>
      </w:r>
    </w:p>
    <w:p w14:paraId="7AD86FFE" w14:textId="77777777" w:rsidR="00DA5B33" w:rsidRPr="0068136B" w:rsidRDefault="00DA5B33" w:rsidP="00DA5B33">
      <w:pPr>
        <w:spacing w:after="0" w:line="480" w:lineRule="auto"/>
        <w:jc w:val="both"/>
        <w:rPr>
          <w:rFonts w:ascii="Arial" w:eastAsia="Arial" w:hAnsi="Arial" w:cs="Arial"/>
          <w:b/>
          <w:i/>
        </w:rPr>
      </w:pPr>
    </w:p>
    <w:p w14:paraId="00000017" w14:textId="6832A63C" w:rsidR="00EE690B" w:rsidRPr="0068136B" w:rsidRDefault="009F3835" w:rsidP="00487A1F">
      <w:pPr>
        <w:spacing w:after="0" w:line="480" w:lineRule="auto"/>
        <w:jc w:val="both"/>
        <w:rPr>
          <w:rFonts w:ascii="Arial" w:eastAsia="Arial" w:hAnsi="Arial" w:cs="Arial"/>
        </w:rPr>
      </w:pPr>
      <w:r w:rsidRPr="0068136B">
        <w:rPr>
          <w:rFonts w:ascii="Arial" w:eastAsia="Arial" w:hAnsi="Arial" w:cs="Arial"/>
        </w:rPr>
        <w:t xml:space="preserve">Transparency </w:t>
      </w:r>
      <w:r w:rsidR="007F0CB7" w:rsidRPr="0068136B">
        <w:rPr>
          <w:rFonts w:ascii="Arial" w:eastAsia="Arial" w:hAnsi="Arial" w:cs="Arial"/>
        </w:rPr>
        <w:t>is</w:t>
      </w:r>
      <w:r w:rsidR="0017088A" w:rsidRPr="0068136B">
        <w:rPr>
          <w:rFonts w:ascii="Arial" w:eastAsia="Arial" w:hAnsi="Arial" w:cs="Arial"/>
        </w:rPr>
        <w:t xml:space="preserve"> </w:t>
      </w:r>
      <w:r w:rsidRPr="0068136B">
        <w:rPr>
          <w:rFonts w:ascii="Arial" w:eastAsia="Arial" w:hAnsi="Arial" w:cs="Arial"/>
        </w:rPr>
        <w:t xml:space="preserve">synonymous with open decision-making by a government (Ball, 2009). </w:t>
      </w:r>
      <w:r w:rsidR="00DA5B33" w:rsidRPr="0068136B">
        <w:rPr>
          <w:rFonts w:ascii="Arial" w:eastAsia="Arial" w:hAnsi="Arial" w:cs="Arial"/>
        </w:rPr>
        <w:t>Data is crucial to inform pandemic preparedness</w:t>
      </w:r>
      <w:r w:rsidR="00C34DB8" w:rsidRPr="0068136B">
        <w:rPr>
          <w:rFonts w:ascii="Arial" w:eastAsia="Arial" w:hAnsi="Arial" w:cs="Arial"/>
        </w:rPr>
        <w:t>/</w:t>
      </w:r>
      <w:r w:rsidR="00DA5B33" w:rsidRPr="0068136B">
        <w:rPr>
          <w:rFonts w:ascii="Arial" w:eastAsia="Arial" w:hAnsi="Arial" w:cs="Arial"/>
        </w:rPr>
        <w:t>prevention</w:t>
      </w:r>
      <w:r w:rsidR="00C34DB8" w:rsidRPr="0068136B">
        <w:rPr>
          <w:rFonts w:ascii="Arial" w:eastAsia="Arial" w:hAnsi="Arial" w:cs="Arial"/>
        </w:rPr>
        <w:t>/</w:t>
      </w:r>
      <w:r w:rsidR="00DA5B33" w:rsidRPr="0068136B">
        <w:rPr>
          <w:rFonts w:ascii="Arial" w:eastAsia="Arial" w:hAnsi="Arial" w:cs="Arial"/>
        </w:rPr>
        <w:t xml:space="preserve">response, as well as in the evaluation of health programs and services (Moreno et al 2009). </w:t>
      </w:r>
      <w:r w:rsidRPr="0068136B">
        <w:rPr>
          <w:rFonts w:ascii="Arial" w:eastAsia="Arial" w:hAnsi="Arial" w:cs="Arial"/>
        </w:rPr>
        <w:t xml:space="preserve">During emergencies, it is expected that the governments comply with high ethical standards in the way that they manage data and communicate information (Calgua 2022). </w:t>
      </w:r>
      <w:r w:rsidR="00834BC5" w:rsidRPr="0068136B">
        <w:rPr>
          <w:rFonts w:ascii="Arial" w:eastAsia="Arial" w:hAnsi="Arial" w:cs="Arial"/>
        </w:rPr>
        <w:t xml:space="preserve">Transparency </w:t>
      </w:r>
      <w:r w:rsidRPr="0068136B">
        <w:rPr>
          <w:rFonts w:ascii="Arial" w:eastAsia="Arial" w:hAnsi="Arial" w:cs="Arial"/>
        </w:rPr>
        <w:t xml:space="preserve">is </w:t>
      </w:r>
      <w:r w:rsidR="00834BC5" w:rsidRPr="0068136B">
        <w:rPr>
          <w:rFonts w:ascii="Arial" w:eastAsia="Arial" w:hAnsi="Arial" w:cs="Arial"/>
        </w:rPr>
        <w:t xml:space="preserve">therefore </w:t>
      </w:r>
      <w:r w:rsidRPr="0068136B">
        <w:rPr>
          <w:rFonts w:ascii="Arial" w:eastAsia="Arial" w:hAnsi="Arial" w:cs="Arial"/>
        </w:rPr>
        <w:t>relevant to the efficiency of governance</w:t>
      </w:r>
      <w:r w:rsidR="00491301" w:rsidRPr="0068136B">
        <w:rPr>
          <w:rFonts w:ascii="Arial" w:eastAsia="Arial" w:hAnsi="Arial" w:cs="Arial"/>
        </w:rPr>
        <w:t xml:space="preserve"> and </w:t>
      </w:r>
      <w:r w:rsidRPr="0068136B">
        <w:rPr>
          <w:rFonts w:ascii="Arial" w:eastAsia="Arial" w:hAnsi="Arial" w:cs="Arial"/>
        </w:rPr>
        <w:t xml:space="preserve">to the accountability of the political settlement between state and society (O’ Malley 2009; </w:t>
      </w:r>
      <w:r w:rsidR="00491301" w:rsidRPr="0068136B">
        <w:rPr>
          <w:rFonts w:ascii="Arial" w:eastAsia="Arial" w:hAnsi="Arial" w:cs="Arial"/>
        </w:rPr>
        <w:t xml:space="preserve">Erkkilä 2020; </w:t>
      </w:r>
      <w:r w:rsidRPr="0068136B">
        <w:rPr>
          <w:rFonts w:ascii="Arial" w:eastAsia="Arial" w:hAnsi="Arial" w:cs="Arial"/>
        </w:rPr>
        <w:t>Hyland-Wood et al 2021).</w:t>
      </w:r>
      <w:r w:rsidR="00834BC5" w:rsidRPr="0068136B">
        <w:rPr>
          <w:rFonts w:ascii="Arial" w:eastAsia="Arial" w:hAnsi="Arial" w:cs="Arial"/>
        </w:rPr>
        <w:t xml:space="preserve"> </w:t>
      </w:r>
    </w:p>
    <w:p w14:paraId="00000018" w14:textId="79A162E0" w:rsidR="00EE690B" w:rsidRPr="0068136B" w:rsidRDefault="009F3835">
      <w:pPr>
        <w:spacing w:after="0" w:line="480" w:lineRule="auto"/>
        <w:ind w:firstLine="720"/>
        <w:jc w:val="both"/>
        <w:rPr>
          <w:rFonts w:ascii="Arial" w:eastAsia="Arial" w:hAnsi="Arial" w:cs="Arial"/>
        </w:rPr>
      </w:pPr>
      <w:r w:rsidRPr="0068136B">
        <w:rPr>
          <w:rFonts w:ascii="Arial" w:eastAsia="Arial" w:hAnsi="Arial" w:cs="Arial"/>
        </w:rPr>
        <w:t xml:space="preserve">Accessibility of data means that information is shared, factually accurate, and publicly presented. </w:t>
      </w:r>
      <w:r w:rsidR="003D6588" w:rsidRPr="0068136B">
        <w:rPr>
          <w:rFonts w:ascii="Arial" w:eastAsia="Arial" w:hAnsi="Arial" w:cs="Arial"/>
        </w:rPr>
        <w:t>During emergencies, t</w:t>
      </w:r>
      <w:r w:rsidRPr="0068136B">
        <w:rPr>
          <w:rFonts w:ascii="Arial" w:eastAsia="Arial" w:hAnsi="Arial" w:cs="Arial"/>
        </w:rPr>
        <w:t>he availability of data is crucial for epidemiological studies, health surveillance, research and development of adequate public policies (Moreno et al 2009). While states legitimately fear that reporting and sharing information may have negative political and economic consequences (Lencucha and Bandara 2021), developing strategies for information sharing increase</w:t>
      </w:r>
      <w:r w:rsidR="009157D1" w:rsidRPr="0068136B">
        <w:rPr>
          <w:rFonts w:ascii="Arial" w:eastAsia="Arial" w:hAnsi="Arial" w:cs="Arial"/>
        </w:rPr>
        <w:t>s</w:t>
      </w:r>
      <w:r w:rsidRPr="0068136B">
        <w:rPr>
          <w:rFonts w:ascii="Arial" w:eastAsia="Arial" w:hAnsi="Arial" w:cs="Arial"/>
        </w:rPr>
        <w:t xml:space="preserve"> community resilience, </w:t>
      </w:r>
      <w:r w:rsidR="00885E1C" w:rsidRPr="0068136B">
        <w:rPr>
          <w:rFonts w:ascii="Arial" w:eastAsia="Arial" w:hAnsi="Arial" w:cs="Arial"/>
        </w:rPr>
        <w:t xml:space="preserve">while </w:t>
      </w:r>
      <w:r w:rsidRPr="0068136B">
        <w:rPr>
          <w:rFonts w:ascii="Arial" w:eastAsia="Arial" w:hAnsi="Arial" w:cs="Arial"/>
        </w:rPr>
        <w:t>integrat</w:t>
      </w:r>
      <w:r w:rsidR="00885E1C" w:rsidRPr="0068136B">
        <w:rPr>
          <w:rFonts w:ascii="Arial" w:eastAsia="Arial" w:hAnsi="Arial" w:cs="Arial"/>
        </w:rPr>
        <w:t>ing</w:t>
      </w:r>
      <w:r w:rsidRPr="0068136B">
        <w:rPr>
          <w:rFonts w:ascii="Arial" w:eastAsia="Arial" w:hAnsi="Arial" w:cs="Arial"/>
        </w:rPr>
        <w:t xml:space="preserve"> the public more firmly in the public health </w:t>
      </w:r>
      <w:r w:rsidR="008A5CDA" w:rsidRPr="0068136B">
        <w:rPr>
          <w:rFonts w:ascii="Arial" w:eastAsia="Arial" w:hAnsi="Arial" w:cs="Arial"/>
        </w:rPr>
        <w:t>system</w:t>
      </w:r>
      <w:r w:rsidR="00901CFE" w:rsidRPr="0068136B">
        <w:rPr>
          <w:rFonts w:ascii="Arial" w:eastAsia="Arial" w:hAnsi="Arial" w:cs="Arial"/>
        </w:rPr>
        <w:t xml:space="preserve"> as a whole</w:t>
      </w:r>
      <w:r w:rsidRPr="0068136B">
        <w:rPr>
          <w:rFonts w:ascii="Arial" w:eastAsia="Arial" w:hAnsi="Arial" w:cs="Arial"/>
        </w:rPr>
        <w:t xml:space="preserve"> (Myers 2021).</w:t>
      </w:r>
      <w:r w:rsidR="00354854" w:rsidRPr="0068136B">
        <w:rPr>
          <w:rFonts w:ascii="Arial" w:eastAsia="Arial" w:hAnsi="Arial" w:cs="Arial"/>
        </w:rPr>
        <w:t xml:space="preserve"> </w:t>
      </w:r>
    </w:p>
    <w:p w14:paraId="6BA02467" w14:textId="77777777" w:rsidR="009157D1" w:rsidRPr="0068136B" w:rsidRDefault="009157D1">
      <w:pPr>
        <w:spacing w:after="0" w:line="480" w:lineRule="auto"/>
        <w:ind w:firstLine="720"/>
        <w:jc w:val="both"/>
        <w:rPr>
          <w:rFonts w:ascii="Arial" w:eastAsia="Arial" w:hAnsi="Arial" w:cs="Arial"/>
        </w:rPr>
      </w:pPr>
    </w:p>
    <w:p w14:paraId="0000001A" w14:textId="77777777" w:rsidR="00EE690B" w:rsidRPr="0068136B" w:rsidRDefault="009F3835">
      <w:pPr>
        <w:spacing w:after="0" w:line="480" w:lineRule="auto"/>
        <w:jc w:val="both"/>
        <w:rPr>
          <w:rFonts w:ascii="Arial" w:eastAsia="Arial" w:hAnsi="Arial" w:cs="Arial"/>
          <w:i/>
        </w:rPr>
      </w:pPr>
      <w:r w:rsidRPr="0068136B">
        <w:rPr>
          <w:rFonts w:ascii="Arial" w:eastAsia="Arial" w:hAnsi="Arial" w:cs="Arial"/>
          <w:i/>
        </w:rPr>
        <w:lastRenderedPageBreak/>
        <w:t>Risk communication</w:t>
      </w:r>
    </w:p>
    <w:p w14:paraId="0000001B" w14:textId="77777777" w:rsidR="00EE690B" w:rsidRPr="0068136B" w:rsidRDefault="00EE690B">
      <w:pPr>
        <w:spacing w:after="0" w:line="480" w:lineRule="auto"/>
        <w:jc w:val="both"/>
        <w:rPr>
          <w:rFonts w:ascii="Arial" w:eastAsia="Arial" w:hAnsi="Arial" w:cs="Arial"/>
          <w:b/>
          <w:i/>
        </w:rPr>
      </w:pPr>
    </w:p>
    <w:p w14:paraId="28267C18" w14:textId="49165CF5" w:rsidR="00A81FE6" w:rsidRPr="0068136B" w:rsidRDefault="009F3835" w:rsidP="008A4439">
      <w:pPr>
        <w:spacing w:after="0" w:line="480" w:lineRule="auto"/>
        <w:jc w:val="both"/>
        <w:rPr>
          <w:rFonts w:ascii="Arial" w:eastAsia="Arial" w:hAnsi="Arial" w:cs="Arial"/>
        </w:rPr>
      </w:pPr>
      <w:r w:rsidRPr="0068136B">
        <w:rPr>
          <w:rFonts w:ascii="Arial" w:eastAsia="Arial" w:hAnsi="Arial" w:cs="Arial"/>
        </w:rPr>
        <w:t>Risk communication is a practice that promotes effective and open dialogue between social actors (Leiss 1996; Lundgren</w:t>
      </w:r>
      <w:r w:rsidR="00E4388D" w:rsidRPr="0068136B">
        <w:rPr>
          <w:rFonts w:ascii="Arial" w:eastAsia="Arial" w:hAnsi="Arial" w:cs="Arial"/>
        </w:rPr>
        <w:t>,</w:t>
      </w:r>
      <w:r w:rsidRPr="0068136B">
        <w:rPr>
          <w:rFonts w:ascii="Arial" w:eastAsia="Arial" w:hAnsi="Arial" w:cs="Arial"/>
        </w:rPr>
        <w:t xml:space="preserve"> McMakin 2000; Covello</w:t>
      </w:r>
      <w:r w:rsidR="00E4388D" w:rsidRPr="0068136B">
        <w:rPr>
          <w:rFonts w:ascii="Arial" w:eastAsia="Arial" w:hAnsi="Arial" w:cs="Arial"/>
        </w:rPr>
        <w:t>,</w:t>
      </w:r>
      <w:r w:rsidRPr="0068136B">
        <w:rPr>
          <w:rFonts w:ascii="Arial" w:eastAsia="Arial" w:hAnsi="Arial" w:cs="Arial"/>
        </w:rPr>
        <w:t xml:space="preserve"> Sandman 2001; </w:t>
      </w:r>
      <w:r w:rsidR="003E3064" w:rsidRPr="0068136B">
        <w:rPr>
          <w:rFonts w:ascii="Arial" w:eastAsia="Arial" w:hAnsi="Arial" w:cs="Arial"/>
          <w:iCs/>
        </w:rPr>
        <w:t>Di Giulio et al</w:t>
      </w:r>
      <w:r w:rsidR="003E3064" w:rsidRPr="0068136B">
        <w:rPr>
          <w:rFonts w:ascii="Arial" w:eastAsia="Arial" w:hAnsi="Arial" w:cs="Arial"/>
          <w:i/>
        </w:rPr>
        <w:t xml:space="preserve"> </w:t>
      </w:r>
      <w:r w:rsidRPr="0068136B">
        <w:rPr>
          <w:rFonts w:ascii="Arial" w:eastAsia="Arial" w:hAnsi="Arial" w:cs="Arial"/>
        </w:rPr>
        <w:t xml:space="preserve">2013). </w:t>
      </w:r>
      <w:r w:rsidR="00A1341F" w:rsidRPr="0068136B">
        <w:rPr>
          <w:rFonts w:ascii="Arial" w:eastAsia="Arial" w:hAnsi="Arial" w:cs="Arial"/>
        </w:rPr>
        <w:t>It</w:t>
      </w:r>
      <w:r w:rsidRPr="0068136B">
        <w:rPr>
          <w:rFonts w:ascii="Arial" w:eastAsia="Arial" w:hAnsi="Arial" w:cs="Arial"/>
        </w:rPr>
        <w:t xml:space="preserve"> requires skills and strategies to communicate clearly about uncertainties, provide people with the insights they need to make decisions or judgments, mitigate the effects of the threat, and enlist public trust and cooperation (Renn 2008; Hyland-Wood et al 2021). </w:t>
      </w:r>
      <w:r w:rsidR="005E696E" w:rsidRPr="0068136B">
        <w:rPr>
          <w:rFonts w:ascii="Arial" w:eastAsia="Arial" w:hAnsi="Arial" w:cs="Arial"/>
        </w:rPr>
        <w:t>It</w:t>
      </w:r>
      <w:r w:rsidRPr="0068136B">
        <w:rPr>
          <w:rFonts w:ascii="Arial" w:eastAsia="Arial" w:hAnsi="Arial" w:cs="Arial"/>
        </w:rPr>
        <w:t xml:space="preserve"> should embrace four goals: (i) to foster understanding of risks among different publics, (ii) to assist people in changing their daily behaviors, (iii) to promote trust and credibility towards institutions that handle risks, and (iv) to provide procedures for effective and democratic risk management (Renn 2008). </w:t>
      </w:r>
    </w:p>
    <w:p w14:paraId="0000001D" w14:textId="1863DC3E" w:rsidR="00EE690B" w:rsidRPr="0068136B" w:rsidRDefault="00A1341F">
      <w:pPr>
        <w:spacing w:after="0" w:line="480" w:lineRule="auto"/>
        <w:ind w:firstLine="709"/>
        <w:jc w:val="both"/>
        <w:rPr>
          <w:rFonts w:ascii="Arial" w:eastAsia="Arial" w:hAnsi="Arial" w:cs="Arial"/>
        </w:rPr>
      </w:pPr>
      <w:r w:rsidRPr="0068136B">
        <w:rPr>
          <w:rFonts w:ascii="Arial" w:eastAsia="Arial" w:hAnsi="Arial" w:cs="Arial"/>
        </w:rPr>
        <w:t xml:space="preserve">The </w:t>
      </w:r>
      <w:r w:rsidR="00F733F4" w:rsidRPr="0068136B">
        <w:rPr>
          <w:rFonts w:ascii="Arial" w:eastAsia="Arial" w:hAnsi="Arial" w:cs="Arial"/>
        </w:rPr>
        <w:t>World Health Organization (</w:t>
      </w:r>
      <w:r w:rsidRPr="0068136B">
        <w:rPr>
          <w:rFonts w:ascii="Arial" w:eastAsia="Arial" w:hAnsi="Arial" w:cs="Arial"/>
        </w:rPr>
        <w:t>WHO</w:t>
      </w:r>
      <w:r w:rsidR="00F733F4" w:rsidRPr="0068136B">
        <w:rPr>
          <w:rFonts w:ascii="Arial" w:eastAsia="Arial" w:hAnsi="Arial" w:cs="Arial"/>
        </w:rPr>
        <w:t>)</w:t>
      </w:r>
      <w:r w:rsidRPr="0068136B">
        <w:rPr>
          <w:rFonts w:ascii="Arial" w:eastAsia="Arial" w:hAnsi="Arial" w:cs="Arial"/>
        </w:rPr>
        <w:t xml:space="preserve"> considers risk communication as an integral part of emergency responses</w:t>
      </w:r>
      <w:r w:rsidR="00C34DB8" w:rsidRPr="0068136B">
        <w:rPr>
          <w:rFonts w:ascii="Arial" w:eastAsia="Arial" w:hAnsi="Arial" w:cs="Arial"/>
        </w:rPr>
        <w:t xml:space="preserve">, involving </w:t>
      </w:r>
      <w:r w:rsidRPr="0068136B">
        <w:rPr>
          <w:rFonts w:ascii="Arial" w:eastAsia="Arial" w:hAnsi="Arial" w:cs="Arial"/>
        </w:rPr>
        <w:t>the exchange of information between experts, community leaders, officials and people at risk</w:t>
      </w:r>
      <w:r w:rsidR="00F733F4" w:rsidRPr="0068136B">
        <w:rPr>
          <w:rFonts w:ascii="Arial" w:eastAsia="Arial" w:hAnsi="Arial" w:cs="Arial"/>
        </w:rPr>
        <w:t xml:space="preserve"> (WHO 2018)</w:t>
      </w:r>
      <w:r w:rsidRPr="0068136B">
        <w:rPr>
          <w:rFonts w:ascii="Arial" w:eastAsia="Arial" w:hAnsi="Arial" w:cs="Arial"/>
        </w:rPr>
        <w:t xml:space="preserve">. </w:t>
      </w:r>
      <w:r w:rsidR="00A81FE6" w:rsidRPr="0068136B">
        <w:rPr>
          <w:rFonts w:ascii="Arial" w:eastAsia="Arial" w:hAnsi="Arial" w:cs="Arial"/>
        </w:rPr>
        <w:t xml:space="preserve">Recent epidemic outbreaks </w:t>
      </w:r>
      <w:r w:rsidR="001E67B6" w:rsidRPr="0068136B">
        <w:rPr>
          <w:rFonts w:ascii="Arial" w:eastAsia="Arial" w:hAnsi="Arial" w:cs="Arial"/>
        </w:rPr>
        <w:t>reveal</w:t>
      </w:r>
      <w:r w:rsidR="00A81FE6" w:rsidRPr="0068136B">
        <w:rPr>
          <w:rFonts w:ascii="Arial" w:eastAsia="Arial" w:hAnsi="Arial" w:cs="Arial"/>
        </w:rPr>
        <w:t xml:space="preserve"> persistent challenges and gaps (Parajuli et al 2020; Krause et al 2020; Hyland-Wood et al 2021). </w:t>
      </w:r>
      <w:r w:rsidR="001E67B6" w:rsidRPr="0068136B">
        <w:rPr>
          <w:rFonts w:ascii="Arial" w:eastAsia="Arial" w:hAnsi="Arial" w:cs="Arial"/>
        </w:rPr>
        <w:t>A recent challenge has to do with</w:t>
      </w:r>
      <w:r w:rsidR="009F3835" w:rsidRPr="0068136B">
        <w:rPr>
          <w:rFonts w:ascii="Arial" w:eastAsia="Arial" w:hAnsi="Arial" w:cs="Arial"/>
        </w:rPr>
        <w:t xml:space="preserve"> ‘infodemic</w:t>
      </w:r>
      <w:r w:rsidR="00FC643E" w:rsidRPr="0068136B">
        <w:rPr>
          <w:rFonts w:ascii="Arial" w:eastAsia="Arial" w:hAnsi="Arial" w:cs="Arial"/>
        </w:rPr>
        <w:t>s</w:t>
      </w:r>
      <w:r w:rsidR="009F3835" w:rsidRPr="0068136B">
        <w:rPr>
          <w:rFonts w:ascii="Arial" w:eastAsia="Arial" w:hAnsi="Arial" w:cs="Arial"/>
        </w:rPr>
        <w:t>’</w:t>
      </w:r>
      <w:r w:rsidR="003E3064" w:rsidRPr="0068136B">
        <w:rPr>
          <w:rFonts w:ascii="Arial" w:eastAsia="Arial" w:hAnsi="Arial" w:cs="Arial"/>
        </w:rPr>
        <w:t xml:space="preserve"> (WHO 2020</w:t>
      </w:r>
      <w:r w:rsidR="00802BA3" w:rsidRPr="0068136B">
        <w:rPr>
          <w:rFonts w:ascii="Arial" w:eastAsia="Arial" w:hAnsi="Arial" w:cs="Arial"/>
        </w:rPr>
        <w:t>; Myers 2021</w:t>
      </w:r>
      <w:r w:rsidR="003E3064" w:rsidRPr="0068136B">
        <w:rPr>
          <w:rFonts w:ascii="Arial" w:eastAsia="Arial" w:hAnsi="Arial" w:cs="Arial"/>
        </w:rPr>
        <w:t>)</w:t>
      </w:r>
      <w:r w:rsidR="009F3835" w:rsidRPr="0068136B">
        <w:rPr>
          <w:rFonts w:ascii="Arial" w:eastAsia="Arial" w:hAnsi="Arial" w:cs="Arial"/>
        </w:rPr>
        <w:t xml:space="preserve">, </w:t>
      </w:r>
      <w:r w:rsidR="00DA7E38" w:rsidRPr="0068136B">
        <w:rPr>
          <w:rFonts w:ascii="Arial" w:eastAsia="Arial" w:hAnsi="Arial" w:cs="Arial"/>
        </w:rPr>
        <w:t>a term which</w:t>
      </w:r>
      <w:r w:rsidR="009F3835" w:rsidRPr="0068136B">
        <w:rPr>
          <w:rFonts w:ascii="Arial" w:eastAsia="Arial" w:hAnsi="Arial" w:cs="Arial"/>
        </w:rPr>
        <w:t xml:space="preserve"> includes the spectrum of misinformation (e.g. false claims, misleading use of data, unverifiable rumors, conspiracy theories) (Jamison et al 2020), and disinformation, when false information is intentionally spread to deceive people (Wardle, 2020). </w:t>
      </w:r>
    </w:p>
    <w:p w14:paraId="0000001E" w14:textId="77777777" w:rsidR="00EE690B" w:rsidRPr="0068136B" w:rsidRDefault="00EE690B">
      <w:pPr>
        <w:spacing w:after="0" w:line="480" w:lineRule="auto"/>
        <w:ind w:firstLine="709"/>
        <w:jc w:val="both"/>
        <w:rPr>
          <w:rFonts w:ascii="Arial" w:eastAsia="Arial" w:hAnsi="Arial" w:cs="Arial"/>
        </w:rPr>
      </w:pPr>
    </w:p>
    <w:p w14:paraId="00000020" w14:textId="77777777" w:rsidR="00EE690B" w:rsidRPr="0068136B" w:rsidRDefault="009F3835">
      <w:pPr>
        <w:spacing w:after="0" w:line="480" w:lineRule="auto"/>
        <w:rPr>
          <w:rFonts w:ascii="Arial" w:eastAsia="Arial" w:hAnsi="Arial" w:cs="Arial"/>
          <w:i/>
        </w:rPr>
      </w:pPr>
      <w:r w:rsidRPr="0068136B">
        <w:rPr>
          <w:rFonts w:ascii="Arial" w:eastAsia="Arial" w:hAnsi="Arial" w:cs="Arial"/>
          <w:i/>
        </w:rPr>
        <w:t>Negotiation between actors</w:t>
      </w:r>
    </w:p>
    <w:p w14:paraId="00000021" w14:textId="77777777" w:rsidR="00EE690B" w:rsidRPr="0068136B" w:rsidRDefault="00EE690B">
      <w:pPr>
        <w:spacing w:after="0" w:line="480" w:lineRule="auto"/>
        <w:rPr>
          <w:rFonts w:ascii="Arial" w:eastAsia="Arial" w:hAnsi="Arial" w:cs="Arial"/>
          <w:b/>
          <w:i/>
        </w:rPr>
      </w:pPr>
    </w:p>
    <w:p w14:paraId="5B724C40" w14:textId="3DCC0371" w:rsidR="00216F3B" w:rsidRPr="0068136B" w:rsidRDefault="009F3835">
      <w:pPr>
        <w:spacing w:after="0" w:line="480" w:lineRule="auto"/>
        <w:jc w:val="both"/>
        <w:rPr>
          <w:rFonts w:ascii="Arial" w:eastAsia="Arial" w:hAnsi="Arial" w:cs="Arial"/>
        </w:rPr>
      </w:pPr>
      <w:r w:rsidRPr="0068136B">
        <w:rPr>
          <w:rFonts w:ascii="Arial" w:eastAsia="Arial" w:hAnsi="Arial" w:cs="Arial"/>
        </w:rPr>
        <w:t xml:space="preserve">Negotiation is a dynamic process in which fair procedures </w:t>
      </w:r>
      <w:r w:rsidR="000F2259" w:rsidRPr="0068136B">
        <w:rPr>
          <w:rFonts w:ascii="Arial" w:eastAsia="Arial" w:hAnsi="Arial" w:cs="Arial"/>
        </w:rPr>
        <w:t>are</w:t>
      </w:r>
      <w:r w:rsidRPr="0068136B">
        <w:rPr>
          <w:rFonts w:ascii="Arial" w:eastAsia="Arial" w:hAnsi="Arial" w:cs="Arial"/>
        </w:rPr>
        <w:t xml:space="preserve"> adopted to avoid reinforcing the power of the strongest actor (van den Hove, 2006). </w:t>
      </w:r>
      <w:r w:rsidR="003B704B" w:rsidRPr="0068136B">
        <w:rPr>
          <w:rFonts w:ascii="Arial" w:eastAsia="Arial" w:hAnsi="Arial" w:cs="Arial"/>
        </w:rPr>
        <w:t xml:space="preserve">While leadership is central to the management of risk situations, complex problems – and their rapidly changing societal and economic context – require a close attention to the involvement of multiple stakeholders, and potential conflicts that might emerge (Renn 2008; Hyland-Wood et al 2021). </w:t>
      </w:r>
      <w:r w:rsidR="00F6652E" w:rsidRPr="0068136B">
        <w:rPr>
          <w:rFonts w:ascii="Arial" w:eastAsia="Arial" w:hAnsi="Arial" w:cs="Arial"/>
        </w:rPr>
        <w:t xml:space="preserve">In the negotiation process, a range of actors (e.g. governments, public authorities, civil society, private sector) </w:t>
      </w:r>
      <w:r w:rsidR="00F6652E" w:rsidRPr="0068136B">
        <w:rPr>
          <w:rFonts w:ascii="Arial" w:eastAsia="Arial" w:hAnsi="Arial" w:cs="Arial"/>
        </w:rPr>
        <w:lastRenderedPageBreak/>
        <w:t>should agree on how to balance risks and benefits, avoiding top-down interventions and fostering inclusive processes of problem-definition and governance (Schweizer 2021)</w:t>
      </w:r>
      <w:r w:rsidR="00C34DB8" w:rsidRPr="0068136B">
        <w:rPr>
          <w:rFonts w:ascii="Arial" w:eastAsia="Arial" w:hAnsi="Arial" w:cs="Arial"/>
        </w:rPr>
        <w:t>.</w:t>
      </w:r>
    </w:p>
    <w:p w14:paraId="00000023" w14:textId="5BEC28D6" w:rsidR="00EE690B" w:rsidRPr="0068136B" w:rsidRDefault="009F3835" w:rsidP="008A4439">
      <w:pPr>
        <w:spacing w:after="0" w:line="480" w:lineRule="auto"/>
        <w:ind w:firstLine="720"/>
        <w:jc w:val="both"/>
        <w:rPr>
          <w:rFonts w:ascii="Arial" w:eastAsia="Arial" w:hAnsi="Arial" w:cs="Arial"/>
        </w:rPr>
      </w:pPr>
      <w:r w:rsidRPr="0068136B">
        <w:rPr>
          <w:rFonts w:ascii="Arial" w:eastAsia="Arial" w:hAnsi="Arial" w:cs="Arial"/>
        </w:rPr>
        <w:t xml:space="preserve">In emergency disease outbreaks, the use of state power and the implementation of measures to minimize negative impacts depend on trust between citizens, authorities and sources of expertise, as well as an ethics of care, respect and empathy (Jasanoff et al 2021; Leach et al 2021). </w:t>
      </w:r>
      <w:r w:rsidR="00F6652E" w:rsidRPr="0068136B">
        <w:rPr>
          <w:rFonts w:ascii="Arial" w:eastAsia="Arial" w:hAnsi="Arial" w:cs="Arial"/>
        </w:rPr>
        <w:t>T</w:t>
      </w:r>
      <w:r w:rsidRPr="0068136B">
        <w:rPr>
          <w:rFonts w:ascii="Arial" w:eastAsia="Arial" w:hAnsi="Arial" w:cs="Arial"/>
        </w:rPr>
        <w:t xml:space="preserve">he decision-making process </w:t>
      </w:r>
      <w:r w:rsidR="00F6652E" w:rsidRPr="0068136B">
        <w:rPr>
          <w:rFonts w:ascii="Arial" w:eastAsia="Arial" w:hAnsi="Arial" w:cs="Arial"/>
        </w:rPr>
        <w:t xml:space="preserve">also </w:t>
      </w:r>
      <w:r w:rsidRPr="0068136B">
        <w:rPr>
          <w:rFonts w:ascii="Arial" w:eastAsia="Arial" w:hAnsi="Arial" w:cs="Arial"/>
        </w:rPr>
        <w:t xml:space="preserve">requires a multi-level and multi-actor perspective, one that integrates the interplay between the </w:t>
      </w:r>
      <w:r w:rsidR="002B143A" w:rsidRPr="0068136B">
        <w:rPr>
          <w:rFonts w:ascii="Arial" w:eastAsia="Arial" w:hAnsi="Arial" w:cs="Arial"/>
        </w:rPr>
        <w:t>different levels</w:t>
      </w:r>
      <w:r w:rsidRPr="0068136B">
        <w:rPr>
          <w:rFonts w:ascii="Arial" w:eastAsia="Arial" w:hAnsi="Arial" w:cs="Arial"/>
        </w:rPr>
        <w:t xml:space="preserve"> of government, but also expert bodies, private sectors and representatives of the civil society (Lidskog et al 2020; Schweizer 2021). </w:t>
      </w:r>
    </w:p>
    <w:p w14:paraId="00000024" w14:textId="77777777" w:rsidR="00EE690B" w:rsidRPr="0068136B" w:rsidRDefault="00EE690B">
      <w:pPr>
        <w:spacing w:after="0" w:line="480" w:lineRule="auto"/>
        <w:jc w:val="both"/>
        <w:rPr>
          <w:rFonts w:ascii="Arial" w:eastAsia="Arial" w:hAnsi="Arial" w:cs="Arial"/>
        </w:rPr>
      </w:pPr>
    </w:p>
    <w:p w14:paraId="00000025" w14:textId="77777777" w:rsidR="00EE690B" w:rsidRPr="0068136B" w:rsidRDefault="009F3835">
      <w:pPr>
        <w:spacing w:after="0" w:line="480" w:lineRule="auto"/>
        <w:jc w:val="both"/>
        <w:rPr>
          <w:rFonts w:ascii="Arial" w:eastAsia="Arial" w:hAnsi="Arial" w:cs="Arial"/>
          <w:i/>
        </w:rPr>
      </w:pPr>
      <w:r w:rsidRPr="0068136B">
        <w:rPr>
          <w:rFonts w:ascii="Arial" w:eastAsia="Arial" w:hAnsi="Arial" w:cs="Arial"/>
          <w:i/>
        </w:rPr>
        <w:t xml:space="preserve">Social cohesion and public participation </w:t>
      </w:r>
    </w:p>
    <w:p w14:paraId="00000026" w14:textId="77777777" w:rsidR="00EE690B" w:rsidRPr="0068136B" w:rsidRDefault="00EE690B">
      <w:pPr>
        <w:spacing w:after="0" w:line="480" w:lineRule="auto"/>
        <w:jc w:val="both"/>
        <w:rPr>
          <w:rFonts w:ascii="Arial" w:eastAsia="Arial" w:hAnsi="Arial" w:cs="Arial"/>
        </w:rPr>
      </w:pPr>
    </w:p>
    <w:p w14:paraId="3D858A1A" w14:textId="1E2EA62A" w:rsidR="006C250A" w:rsidRPr="0068136B" w:rsidRDefault="009F3835" w:rsidP="00A467DC">
      <w:pPr>
        <w:spacing w:after="0" w:line="480" w:lineRule="auto"/>
        <w:jc w:val="both"/>
        <w:rPr>
          <w:rFonts w:ascii="Arial" w:eastAsia="Arial" w:hAnsi="Arial" w:cs="Arial"/>
        </w:rPr>
      </w:pPr>
      <w:r w:rsidRPr="0068136B">
        <w:rPr>
          <w:rFonts w:ascii="Arial" w:eastAsia="Arial" w:hAnsi="Arial" w:cs="Arial"/>
        </w:rPr>
        <w:t xml:space="preserve">Social cohesion comprises the degree of social connectedness, solidarity and trust between different community groups within a society (Jewett et al 2021). </w:t>
      </w:r>
      <w:r w:rsidR="00A371C9" w:rsidRPr="0068136B">
        <w:rPr>
          <w:rFonts w:ascii="Arial" w:eastAsia="Arial" w:hAnsi="Arial" w:cs="Arial"/>
        </w:rPr>
        <w:t>A</w:t>
      </w:r>
      <w:r w:rsidRPr="0068136B">
        <w:rPr>
          <w:rFonts w:ascii="Arial" w:eastAsia="Arial" w:hAnsi="Arial" w:cs="Arial"/>
        </w:rPr>
        <w:t xml:space="preserve"> range of factors can promote social cohesion, including government interventions (e.g. financial stimulus, social protections), and government protocols for communicating risks and required measures. </w:t>
      </w:r>
      <w:r w:rsidR="00A371C9" w:rsidRPr="0068136B">
        <w:rPr>
          <w:rFonts w:ascii="Arial" w:eastAsia="Arial" w:hAnsi="Arial" w:cs="Arial"/>
        </w:rPr>
        <w:t>Other</w:t>
      </w:r>
      <w:r w:rsidRPr="0068136B">
        <w:rPr>
          <w:rFonts w:ascii="Arial" w:eastAsia="Arial" w:hAnsi="Arial" w:cs="Arial"/>
        </w:rPr>
        <w:t xml:space="preserve"> critical factors impede social cohesion, including government centralization of power, inequitable distributed resources, and narrowly defined recovery programs at the national levels</w:t>
      </w:r>
      <w:r w:rsidR="00A371C9" w:rsidRPr="0068136B">
        <w:rPr>
          <w:rFonts w:ascii="Arial" w:eastAsia="Arial" w:hAnsi="Arial" w:cs="Arial"/>
        </w:rPr>
        <w:t xml:space="preserve"> (Jewett et al 2021).</w:t>
      </w:r>
      <w:r w:rsidRPr="0068136B">
        <w:rPr>
          <w:rFonts w:ascii="Arial" w:eastAsia="Arial" w:hAnsi="Arial" w:cs="Arial"/>
        </w:rPr>
        <w:t xml:space="preserve"> </w:t>
      </w:r>
    </w:p>
    <w:p w14:paraId="00000028" w14:textId="7EA9647B" w:rsidR="00EE690B" w:rsidRPr="0068136B" w:rsidRDefault="009F3835" w:rsidP="003836CB">
      <w:pPr>
        <w:spacing w:after="0" w:line="480" w:lineRule="auto"/>
        <w:ind w:firstLine="720"/>
        <w:jc w:val="both"/>
        <w:rPr>
          <w:rFonts w:ascii="Arial" w:eastAsia="Arial" w:hAnsi="Arial" w:cs="Arial"/>
        </w:rPr>
      </w:pPr>
      <w:r w:rsidRPr="0068136B">
        <w:rPr>
          <w:rFonts w:ascii="Arial" w:eastAsia="Arial" w:hAnsi="Arial" w:cs="Arial"/>
        </w:rPr>
        <w:t>Social cohesion also pertains to people’s participation</w:t>
      </w:r>
      <w:r w:rsidR="007A5C16" w:rsidRPr="0068136B">
        <w:rPr>
          <w:rFonts w:ascii="Arial" w:eastAsia="Arial" w:hAnsi="Arial" w:cs="Arial"/>
        </w:rPr>
        <w:t xml:space="preserve"> (Galego et al 2021)</w:t>
      </w:r>
      <w:r w:rsidR="003836CB" w:rsidRPr="0068136B">
        <w:rPr>
          <w:rFonts w:ascii="Arial" w:eastAsia="Arial" w:hAnsi="Arial" w:cs="Arial"/>
        </w:rPr>
        <w:t>.</w:t>
      </w:r>
      <w:r w:rsidR="003836CB" w:rsidRPr="0068136B" w:rsidDel="003836CB">
        <w:rPr>
          <w:rFonts w:ascii="Arial" w:eastAsia="Arial" w:hAnsi="Arial" w:cs="Arial"/>
        </w:rPr>
        <w:t xml:space="preserve"> </w:t>
      </w:r>
      <w:r w:rsidRPr="0068136B">
        <w:rPr>
          <w:rFonts w:ascii="Arial" w:eastAsia="Arial" w:hAnsi="Arial" w:cs="Arial"/>
        </w:rPr>
        <w:t>Participation implies sharing decision-making powers (Dagnino</w:t>
      </w:r>
      <w:r w:rsidR="00320589" w:rsidRPr="0068136B">
        <w:rPr>
          <w:rFonts w:ascii="Arial" w:eastAsia="Arial" w:hAnsi="Arial" w:cs="Arial"/>
        </w:rPr>
        <w:t xml:space="preserve"> et al</w:t>
      </w:r>
      <w:r w:rsidRPr="0068136B">
        <w:rPr>
          <w:rFonts w:ascii="Arial" w:eastAsia="Arial" w:hAnsi="Arial" w:cs="Arial"/>
        </w:rPr>
        <w:t xml:space="preserve"> 2006) and ensuring that government institutions act responsibly towards citizens, creating possibilities for individuals to participate in decisions that affect their lives (Ashford</w:t>
      </w:r>
      <w:r w:rsidR="00BA4B95" w:rsidRPr="0068136B">
        <w:rPr>
          <w:rFonts w:ascii="Arial" w:eastAsia="Arial" w:hAnsi="Arial" w:cs="Arial"/>
        </w:rPr>
        <w:t>,</w:t>
      </w:r>
      <w:r w:rsidRPr="0068136B">
        <w:rPr>
          <w:rFonts w:ascii="Arial" w:eastAsia="Arial" w:hAnsi="Arial" w:cs="Arial"/>
        </w:rPr>
        <w:t xml:space="preserve"> Rest 1999). There is an extensive literature focused on the role of public participation in risk situations (e.g. Renn 2008; van Asselt</w:t>
      </w:r>
      <w:r w:rsidR="00BA4B95" w:rsidRPr="0068136B">
        <w:rPr>
          <w:rFonts w:ascii="Arial" w:eastAsia="Arial" w:hAnsi="Arial" w:cs="Arial"/>
        </w:rPr>
        <w:t>,</w:t>
      </w:r>
      <w:r w:rsidRPr="0068136B">
        <w:rPr>
          <w:rFonts w:ascii="Arial" w:eastAsia="Arial" w:hAnsi="Arial" w:cs="Arial"/>
        </w:rPr>
        <w:t xml:space="preserve"> Renn 2011; Aven</w:t>
      </w:r>
      <w:r w:rsidR="00BA4B95" w:rsidRPr="0068136B">
        <w:rPr>
          <w:rFonts w:ascii="Arial" w:eastAsia="Arial" w:hAnsi="Arial" w:cs="Arial"/>
        </w:rPr>
        <w:t>,</w:t>
      </w:r>
      <w:r w:rsidRPr="0068136B">
        <w:rPr>
          <w:rFonts w:ascii="Arial" w:eastAsia="Arial" w:hAnsi="Arial" w:cs="Arial"/>
        </w:rPr>
        <w:t xml:space="preserve"> Renn 2019; Webler</w:t>
      </w:r>
      <w:r w:rsidR="00BA4B95" w:rsidRPr="0068136B">
        <w:rPr>
          <w:rFonts w:ascii="Arial" w:eastAsia="Arial" w:hAnsi="Arial" w:cs="Arial"/>
        </w:rPr>
        <w:t>,</w:t>
      </w:r>
      <w:r w:rsidRPr="0068136B">
        <w:rPr>
          <w:rFonts w:ascii="Arial" w:eastAsia="Arial" w:hAnsi="Arial" w:cs="Arial"/>
        </w:rPr>
        <w:t xml:space="preserve"> Tuller (2021), which highlights that: (a) public participation must be guided by principles of fairness, competency and transparency; and (b) the organization and the practice of public participation should be connected to context (Marston et al 2020).</w:t>
      </w:r>
      <w:r w:rsidR="00F04A7D" w:rsidRPr="0068136B">
        <w:rPr>
          <w:rFonts w:ascii="Arial" w:eastAsia="Arial" w:hAnsi="Arial" w:cs="Arial"/>
        </w:rPr>
        <w:t xml:space="preserve"> </w:t>
      </w:r>
    </w:p>
    <w:p w14:paraId="6A97DB6A" w14:textId="77777777" w:rsidR="00A43239" w:rsidRPr="0068136B" w:rsidRDefault="00A43239">
      <w:pPr>
        <w:spacing w:after="0" w:line="480" w:lineRule="auto"/>
        <w:ind w:firstLine="720"/>
        <w:jc w:val="both"/>
        <w:rPr>
          <w:rFonts w:ascii="Arial" w:eastAsia="Arial" w:hAnsi="Arial" w:cs="Arial"/>
        </w:rPr>
      </w:pPr>
    </w:p>
    <w:p w14:paraId="0000002A" w14:textId="77777777" w:rsidR="00EE690B" w:rsidRPr="0068136B" w:rsidRDefault="009F3835">
      <w:pPr>
        <w:spacing w:after="0" w:line="480" w:lineRule="auto"/>
        <w:jc w:val="both"/>
        <w:rPr>
          <w:rFonts w:ascii="Arial" w:eastAsia="Arial" w:hAnsi="Arial" w:cs="Arial"/>
          <w:i/>
        </w:rPr>
      </w:pPr>
      <w:r w:rsidRPr="0068136B">
        <w:rPr>
          <w:rFonts w:ascii="Arial" w:eastAsia="Arial" w:hAnsi="Arial" w:cs="Arial"/>
          <w:i/>
        </w:rPr>
        <w:lastRenderedPageBreak/>
        <w:t>Decisions based on technical and scientific evidence, resources and contexts</w:t>
      </w:r>
    </w:p>
    <w:p w14:paraId="0000002B" w14:textId="77777777" w:rsidR="00EE690B" w:rsidRPr="0068136B" w:rsidRDefault="00EE690B">
      <w:pPr>
        <w:spacing w:after="0" w:line="480" w:lineRule="auto"/>
        <w:jc w:val="both"/>
        <w:rPr>
          <w:rFonts w:ascii="Arial" w:eastAsia="Arial" w:hAnsi="Arial" w:cs="Arial"/>
        </w:rPr>
      </w:pPr>
    </w:p>
    <w:p w14:paraId="7B72D53C" w14:textId="75AF3131" w:rsidR="00B6185F" w:rsidRPr="0068136B" w:rsidRDefault="009F3835" w:rsidP="00B6185F">
      <w:pPr>
        <w:spacing w:after="0" w:line="480" w:lineRule="auto"/>
        <w:jc w:val="both"/>
        <w:rPr>
          <w:rFonts w:ascii="Arial" w:eastAsia="Arial" w:hAnsi="Arial" w:cs="Arial"/>
        </w:rPr>
      </w:pPr>
      <w:r w:rsidRPr="0068136B">
        <w:rPr>
          <w:rFonts w:ascii="Arial" w:eastAsia="Arial" w:hAnsi="Arial" w:cs="Arial"/>
        </w:rPr>
        <w:t xml:space="preserve">Evidence is defined as information used to support or justify a decision; context comprises </w:t>
      </w:r>
      <w:r w:rsidR="00F31E51" w:rsidRPr="0068136B">
        <w:rPr>
          <w:rFonts w:ascii="Arial" w:eastAsia="Arial" w:hAnsi="Arial" w:cs="Arial"/>
        </w:rPr>
        <w:t xml:space="preserve">the </w:t>
      </w:r>
      <w:r w:rsidRPr="0068136B">
        <w:rPr>
          <w:rFonts w:ascii="Arial" w:eastAsia="Arial" w:hAnsi="Arial" w:cs="Arial"/>
        </w:rPr>
        <w:t xml:space="preserve">range of internal and external factors based on where a decision is made and applied; and resources </w:t>
      </w:r>
      <w:r w:rsidR="00234543" w:rsidRPr="0068136B">
        <w:rPr>
          <w:rFonts w:ascii="Arial" w:eastAsia="Arial" w:hAnsi="Arial" w:cs="Arial"/>
        </w:rPr>
        <w:t xml:space="preserve">includes </w:t>
      </w:r>
      <w:r w:rsidRPr="0068136B">
        <w:rPr>
          <w:rFonts w:ascii="Arial" w:eastAsia="Arial" w:hAnsi="Arial" w:cs="Arial"/>
        </w:rPr>
        <w:t>staff, information, technology and funding (Dobrow et al 2006).</w:t>
      </w:r>
      <w:r w:rsidR="0027476A" w:rsidRPr="0068136B">
        <w:rPr>
          <w:rFonts w:ascii="Arial" w:eastAsia="Arial" w:hAnsi="Arial" w:cs="Arial"/>
        </w:rPr>
        <w:t xml:space="preserve"> </w:t>
      </w:r>
      <w:r w:rsidR="007D3E3B" w:rsidRPr="0068136B">
        <w:rPr>
          <w:rFonts w:ascii="Arial" w:eastAsia="Arial" w:hAnsi="Arial" w:cs="Arial"/>
        </w:rPr>
        <w:t xml:space="preserve">In </w:t>
      </w:r>
      <w:r w:rsidRPr="0068136B">
        <w:rPr>
          <w:rFonts w:ascii="Arial" w:eastAsia="Arial" w:hAnsi="Arial" w:cs="Arial"/>
        </w:rPr>
        <w:t xml:space="preserve">public health, there is a </w:t>
      </w:r>
      <w:r w:rsidR="007D3E3B" w:rsidRPr="0068136B">
        <w:rPr>
          <w:rFonts w:ascii="Arial" w:eastAsia="Arial" w:hAnsi="Arial" w:cs="Arial"/>
        </w:rPr>
        <w:t xml:space="preserve">widespread </w:t>
      </w:r>
      <w:r w:rsidRPr="0068136B">
        <w:rPr>
          <w:rFonts w:ascii="Arial" w:eastAsia="Arial" w:hAnsi="Arial" w:cs="Arial"/>
        </w:rPr>
        <w:t>understanding that scientific</w:t>
      </w:r>
      <w:r w:rsidR="001C6AD6" w:rsidRPr="0068136B">
        <w:rPr>
          <w:rFonts w:ascii="Arial" w:eastAsia="Arial" w:hAnsi="Arial" w:cs="Arial"/>
        </w:rPr>
        <w:t>/</w:t>
      </w:r>
      <w:r w:rsidRPr="0068136B">
        <w:rPr>
          <w:rFonts w:ascii="Arial" w:eastAsia="Arial" w:hAnsi="Arial" w:cs="Arial"/>
        </w:rPr>
        <w:t xml:space="preserve">technical knowledge should play a central role in decision-making (Brownson et al 2013). </w:t>
      </w:r>
      <w:r w:rsidR="0057604E" w:rsidRPr="0068136B">
        <w:rPr>
          <w:rFonts w:ascii="Arial" w:eastAsia="Arial" w:hAnsi="Arial" w:cs="Arial"/>
        </w:rPr>
        <w:t>P</w:t>
      </w:r>
      <w:r w:rsidRPr="0068136B">
        <w:rPr>
          <w:rFonts w:ascii="Arial" w:eastAsia="Arial" w:hAnsi="Arial" w:cs="Arial"/>
        </w:rPr>
        <w:t xml:space="preserve">ublic policies and decision-making </w:t>
      </w:r>
      <w:r w:rsidR="0057604E" w:rsidRPr="0068136B">
        <w:rPr>
          <w:rFonts w:ascii="Arial" w:eastAsia="Arial" w:hAnsi="Arial" w:cs="Arial"/>
        </w:rPr>
        <w:t>should be</w:t>
      </w:r>
      <w:r w:rsidRPr="0068136B">
        <w:rPr>
          <w:rFonts w:ascii="Arial" w:eastAsia="Arial" w:hAnsi="Arial" w:cs="Arial"/>
        </w:rPr>
        <w:t xml:space="preserve"> developed </w:t>
      </w:r>
      <w:r w:rsidR="0057604E" w:rsidRPr="0068136B">
        <w:rPr>
          <w:rFonts w:ascii="Arial" w:eastAsia="Arial" w:hAnsi="Arial" w:cs="Arial"/>
        </w:rPr>
        <w:t>on the basis of</w:t>
      </w:r>
      <w:r w:rsidRPr="0068136B">
        <w:rPr>
          <w:rFonts w:ascii="Arial" w:eastAsia="Arial" w:hAnsi="Arial" w:cs="Arial"/>
        </w:rPr>
        <w:t xml:space="preserve"> rigorous factual and scientific evidence, data and analytical skills, as well as </w:t>
      </w:r>
      <w:r w:rsidR="009A0D83" w:rsidRPr="0068136B">
        <w:rPr>
          <w:rFonts w:ascii="Arial" w:eastAsia="Arial" w:hAnsi="Arial" w:cs="Arial"/>
        </w:rPr>
        <w:t xml:space="preserve">of </w:t>
      </w:r>
      <w:r w:rsidR="0057604E" w:rsidRPr="0068136B">
        <w:rPr>
          <w:rFonts w:ascii="Arial" w:eastAsia="Arial" w:hAnsi="Arial" w:cs="Arial"/>
        </w:rPr>
        <w:t>r</w:t>
      </w:r>
      <w:r w:rsidR="00B12EE6" w:rsidRPr="0068136B">
        <w:rPr>
          <w:rFonts w:ascii="Arial" w:eastAsia="Arial" w:hAnsi="Arial" w:cs="Arial"/>
        </w:rPr>
        <w:t xml:space="preserve">elevant </w:t>
      </w:r>
      <w:r w:rsidRPr="0068136B">
        <w:rPr>
          <w:rFonts w:ascii="Arial" w:eastAsia="Arial" w:hAnsi="Arial" w:cs="Arial"/>
        </w:rPr>
        <w:t xml:space="preserve">resources and contexts (Florin 2014). </w:t>
      </w:r>
    </w:p>
    <w:p w14:paraId="0000002D" w14:textId="1B667E4F" w:rsidR="00EE690B" w:rsidRPr="0068136B" w:rsidRDefault="009F3835" w:rsidP="00B6185F">
      <w:pPr>
        <w:spacing w:after="0" w:line="480" w:lineRule="auto"/>
        <w:ind w:firstLine="720"/>
        <w:jc w:val="both"/>
        <w:rPr>
          <w:rFonts w:ascii="Arial" w:eastAsia="Arial" w:hAnsi="Arial" w:cs="Arial"/>
        </w:rPr>
      </w:pPr>
      <w:r w:rsidRPr="0068136B">
        <w:rPr>
          <w:rFonts w:ascii="Arial" w:eastAsia="Arial" w:hAnsi="Arial" w:cs="Arial"/>
        </w:rPr>
        <w:t xml:space="preserve">However, in the case of emergencies it is often difficult to collect sufficient and timely expertise to inform and support decisions. Moreover, as Jasanoff et al (2021) argue, conflicting expert advice is the norm and not the exception in crisis situations. Finally, political interests </w:t>
      </w:r>
      <w:r w:rsidR="00B12EE6" w:rsidRPr="0068136B">
        <w:rPr>
          <w:rFonts w:ascii="Arial" w:eastAsia="Arial" w:hAnsi="Arial" w:cs="Arial"/>
        </w:rPr>
        <w:t>may facilitate or</w:t>
      </w:r>
      <w:r w:rsidRPr="0068136B">
        <w:rPr>
          <w:rFonts w:ascii="Arial" w:eastAsia="Arial" w:hAnsi="Arial" w:cs="Arial"/>
        </w:rPr>
        <w:t xml:space="preserve"> constrain</w:t>
      </w:r>
      <w:r w:rsidR="00B12EE6" w:rsidRPr="0068136B">
        <w:rPr>
          <w:rFonts w:ascii="Arial" w:eastAsia="Arial" w:hAnsi="Arial" w:cs="Arial"/>
        </w:rPr>
        <w:t xml:space="preserve"> the use of</w:t>
      </w:r>
      <w:r w:rsidRPr="0068136B">
        <w:rPr>
          <w:rFonts w:ascii="Arial" w:eastAsia="Arial" w:hAnsi="Arial" w:cs="Arial"/>
        </w:rPr>
        <w:t xml:space="preserve"> evidence (</w:t>
      </w:r>
      <w:r w:rsidR="00B6185F" w:rsidRPr="0068136B">
        <w:rPr>
          <w:rFonts w:ascii="Arial" w:eastAsia="Arial" w:hAnsi="Arial" w:cs="Arial"/>
        </w:rPr>
        <w:t>Nelkin 1979; Jasanoff 1987, 2003, 2004, 2009; Saweritz 2007; Dobrow et al 2006; Lemos et al 2012).</w:t>
      </w:r>
      <w:r w:rsidRPr="0068136B">
        <w:rPr>
          <w:rFonts w:ascii="Arial" w:eastAsia="Arial" w:hAnsi="Arial" w:cs="Arial"/>
        </w:rPr>
        <w:t xml:space="preserve"> Governments often invoke certain technical information to prioritize courses of action, to legitimize their own responses, and to justify their decisions – a process that in some cases aggravates negative impacts (Weible et al 2020).  </w:t>
      </w:r>
    </w:p>
    <w:p w14:paraId="00000030" w14:textId="2F252817" w:rsidR="00EE690B" w:rsidRPr="0068136B" w:rsidRDefault="009F3835">
      <w:pPr>
        <w:spacing w:after="0" w:line="480" w:lineRule="auto"/>
        <w:jc w:val="both"/>
        <w:rPr>
          <w:rFonts w:ascii="Arial" w:eastAsia="Arial" w:hAnsi="Arial" w:cs="Arial"/>
        </w:rPr>
      </w:pPr>
      <w:r w:rsidRPr="0068136B">
        <w:rPr>
          <w:rFonts w:ascii="Arial" w:eastAsia="Arial" w:hAnsi="Arial" w:cs="Arial"/>
        </w:rPr>
        <w:t xml:space="preserve">Table 1 summarizes the risk governance parameters we consider integral to public health emergency responses. </w:t>
      </w:r>
    </w:p>
    <w:p w14:paraId="28049ABD" w14:textId="77777777" w:rsidR="009A0D83" w:rsidRPr="0068136B" w:rsidRDefault="009A0D83">
      <w:pPr>
        <w:spacing w:after="0" w:line="480" w:lineRule="auto"/>
        <w:jc w:val="both"/>
        <w:rPr>
          <w:rFonts w:ascii="Arial" w:eastAsia="Arial" w:hAnsi="Arial" w:cs="Arial"/>
        </w:rPr>
      </w:pPr>
    </w:p>
    <w:p w14:paraId="00000032" w14:textId="77777777" w:rsidR="00EE690B" w:rsidRPr="0068136B" w:rsidRDefault="009F3835">
      <w:pPr>
        <w:numPr>
          <w:ilvl w:val="0"/>
          <w:numId w:val="1"/>
        </w:numPr>
        <w:pBdr>
          <w:top w:val="nil"/>
          <w:left w:val="nil"/>
          <w:bottom w:val="nil"/>
          <w:right w:val="nil"/>
          <w:between w:val="nil"/>
        </w:pBdr>
        <w:spacing w:after="0" w:line="480" w:lineRule="auto"/>
        <w:jc w:val="both"/>
        <w:rPr>
          <w:rFonts w:ascii="Arial" w:eastAsia="Arial" w:hAnsi="Arial" w:cs="Arial"/>
          <w:b/>
        </w:rPr>
      </w:pPr>
      <w:r w:rsidRPr="0068136B">
        <w:rPr>
          <w:rFonts w:ascii="Arial" w:eastAsia="Arial" w:hAnsi="Arial" w:cs="Arial"/>
          <w:b/>
        </w:rPr>
        <w:t>Methodology</w:t>
      </w:r>
    </w:p>
    <w:p w14:paraId="7154D534" w14:textId="77777777" w:rsidR="00003FA9" w:rsidRPr="0068136B" w:rsidRDefault="00003FA9" w:rsidP="00003FA9">
      <w:pPr>
        <w:spacing w:after="0" w:line="480" w:lineRule="auto"/>
        <w:jc w:val="both"/>
        <w:rPr>
          <w:rFonts w:ascii="Arial" w:eastAsia="Arial" w:hAnsi="Arial" w:cs="Arial"/>
        </w:rPr>
      </w:pPr>
    </w:p>
    <w:p w14:paraId="3EE2381A" w14:textId="44C5D472" w:rsidR="0059101D" w:rsidRPr="0068136B" w:rsidRDefault="003130D5" w:rsidP="008A4439">
      <w:pPr>
        <w:spacing w:after="0" w:line="480" w:lineRule="auto"/>
        <w:jc w:val="both"/>
        <w:rPr>
          <w:rFonts w:ascii="Arial" w:eastAsia="Arial" w:hAnsi="Arial" w:cs="Arial"/>
        </w:rPr>
      </w:pPr>
      <w:r w:rsidRPr="0068136B">
        <w:rPr>
          <w:rFonts w:ascii="Arial" w:eastAsia="Arial" w:hAnsi="Arial" w:cs="Arial"/>
        </w:rPr>
        <w:t>Our study is based on document research</w:t>
      </w:r>
      <w:r w:rsidR="00EB0B75" w:rsidRPr="0068136B">
        <w:rPr>
          <w:rFonts w:ascii="Arial" w:eastAsia="Arial" w:hAnsi="Arial" w:cs="Arial"/>
        </w:rPr>
        <w:t xml:space="preserve"> and analysis</w:t>
      </w:r>
      <w:r w:rsidR="00783054" w:rsidRPr="0068136B">
        <w:rPr>
          <w:rFonts w:ascii="Arial" w:eastAsia="Arial" w:hAnsi="Arial" w:cs="Arial"/>
        </w:rPr>
        <w:t>, which is widely used in studies of public health for its role to inform histories of health policy</w:t>
      </w:r>
      <w:r w:rsidR="004360F0" w:rsidRPr="0068136B">
        <w:rPr>
          <w:rFonts w:ascii="Arial" w:eastAsia="Arial" w:hAnsi="Arial" w:cs="Arial"/>
        </w:rPr>
        <w:t>/decision</w:t>
      </w:r>
      <w:r w:rsidR="00783054" w:rsidRPr="0068136B">
        <w:rPr>
          <w:rFonts w:ascii="Arial" w:eastAsia="Arial" w:hAnsi="Arial" w:cs="Arial"/>
        </w:rPr>
        <w:t>-making</w:t>
      </w:r>
      <w:r w:rsidR="00AB3AFB" w:rsidRPr="0068136B">
        <w:rPr>
          <w:rFonts w:ascii="Arial" w:eastAsia="Arial" w:hAnsi="Arial" w:cs="Arial"/>
        </w:rPr>
        <w:t>, and unpack knowledge to provide insights into social phenomen</w:t>
      </w:r>
      <w:r w:rsidR="00C74629" w:rsidRPr="0068136B">
        <w:rPr>
          <w:rFonts w:ascii="Arial" w:eastAsia="Arial" w:hAnsi="Arial" w:cs="Arial"/>
        </w:rPr>
        <w:t>a</w:t>
      </w:r>
      <w:r w:rsidR="00AB3AFB" w:rsidRPr="0068136B">
        <w:rPr>
          <w:rFonts w:ascii="Arial" w:eastAsia="Arial" w:hAnsi="Arial" w:cs="Arial"/>
        </w:rPr>
        <w:t xml:space="preserve"> (Abott et al 2004; Lawson 2018; Gorsky, Mold 2019).</w:t>
      </w:r>
      <w:r w:rsidR="00783054" w:rsidRPr="0068136B">
        <w:rPr>
          <w:rFonts w:ascii="Arial" w:eastAsia="Arial" w:hAnsi="Arial" w:cs="Arial"/>
        </w:rPr>
        <w:t xml:space="preserve"> This paper is based on</w:t>
      </w:r>
      <w:r w:rsidRPr="0068136B">
        <w:rPr>
          <w:rFonts w:ascii="Arial" w:eastAsia="Arial" w:hAnsi="Arial" w:cs="Arial"/>
        </w:rPr>
        <w:t xml:space="preserve"> content analysis (Bardin 1977; Bauer 2002; Mendes, Miskulin 2017) of the following set of documents</w:t>
      </w:r>
      <w:r w:rsidR="009F3835" w:rsidRPr="0068136B">
        <w:rPr>
          <w:rFonts w:ascii="Arial" w:eastAsia="Arial" w:hAnsi="Arial" w:cs="Arial"/>
        </w:rPr>
        <w:t xml:space="preserve">: </w:t>
      </w:r>
    </w:p>
    <w:p w14:paraId="4D71E7E3" w14:textId="3C7555EB" w:rsidR="00783054" w:rsidRPr="0068136B" w:rsidRDefault="008A4439" w:rsidP="008A4439">
      <w:pPr>
        <w:spacing w:after="0" w:line="480" w:lineRule="auto"/>
        <w:jc w:val="both"/>
        <w:rPr>
          <w:rFonts w:ascii="Arial" w:eastAsia="Arial" w:hAnsi="Arial" w:cs="Arial"/>
        </w:rPr>
      </w:pPr>
      <w:r w:rsidRPr="0068136B">
        <w:rPr>
          <w:rFonts w:ascii="Arial" w:eastAsia="Arial" w:hAnsi="Arial" w:cs="Arial"/>
        </w:rPr>
        <w:lastRenderedPageBreak/>
        <w:t xml:space="preserve">(i) </w:t>
      </w:r>
      <w:r w:rsidR="00AD2335" w:rsidRPr="0068136B">
        <w:rPr>
          <w:rFonts w:ascii="Arial" w:eastAsia="Arial" w:hAnsi="Arial" w:cs="Arial"/>
        </w:rPr>
        <w:t xml:space="preserve">3,962 </w:t>
      </w:r>
      <w:r w:rsidR="000F0992" w:rsidRPr="0068136B">
        <w:rPr>
          <w:rFonts w:ascii="Arial" w:eastAsia="Arial" w:hAnsi="Arial" w:cs="Arial"/>
        </w:rPr>
        <w:t>news items and reports</w:t>
      </w:r>
      <w:r w:rsidR="009F3835" w:rsidRPr="0068136B">
        <w:rPr>
          <w:rFonts w:ascii="Arial" w:eastAsia="Arial" w:hAnsi="Arial" w:cs="Arial"/>
        </w:rPr>
        <w:t xml:space="preserve"> collected </w:t>
      </w:r>
      <w:r w:rsidR="00AD2335" w:rsidRPr="0068136B">
        <w:rPr>
          <w:rFonts w:ascii="Arial" w:eastAsia="Arial" w:hAnsi="Arial" w:cs="Arial"/>
        </w:rPr>
        <w:t>from January, 2020</w:t>
      </w:r>
      <w:r w:rsidR="003130D5" w:rsidRPr="0068136B">
        <w:rPr>
          <w:rFonts w:ascii="Arial" w:eastAsia="Arial" w:hAnsi="Arial" w:cs="Arial"/>
        </w:rPr>
        <w:t xml:space="preserve"> (when the first cases of the new coronavirus were registered) to October 2021 (when a Parliamentary Commission of Inquiry</w:t>
      </w:r>
      <w:r w:rsidRPr="0068136B">
        <w:rPr>
          <w:rFonts w:ascii="Arial" w:eastAsia="Arial" w:hAnsi="Arial" w:cs="Arial"/>
        </w:rPr>
        <w:t xml:space="preserve"> - </w:t>
      </w:r>
      <w:r w:rsidR="003130D5" w:rsidRPr="0068136B">
        <w:rPr>
          <w:rFonts w:ascii="Arial" w:eastAsia="Arial" w:hAnsi="Arial" w:cs="Arial"/>
        </w:rPr>
        <w:t>PCI concluded the investigation into the country's handling of the pandemic)</w:t>
      </w:r>
      <w:r w:rsidR="00AD2335" w:rsidRPr="0068136B">
        <w:rPr>
          <w:rFonts w:ascii="Arial" w:eastAsia="Arial" w:hAnsi="Arial" w:cs="Arial"/>
        </w:rPr>
        <w:t xml:space="preserve"> </w:t>
      </w:r>
      <w:r w:rsidR="001866EB" w:rsidRPr="0068136B">
        <w:rPr>
          <w:rFonts w:ascii="Arial" w:eastAsia="Arial" w:hAnsi="Arial" w:cs="Arial"/>
        </w:rPr>
        <w:t>in 3 major digital news portals in Brazil</w:t>
      </w:r>
      <w:r w:rsidR="00FE640A" w:rsidRPr="0068136B">
        <w:rPr>
          <w:rFonts w:ascii="Arial" w:eastAsia="Arial" w:hAnsi="Arial" w:cs="Arial"/>
        </w:rPr>
        <w:t xml:space="preserve"> regarding Covid-19 topics</w:t>
      </w:r>
      <w:r w:rsidR="001E424D" w:rsidRPr="0068136B">
        <w:rPr>
          <w:rFonts w:ascii="Arial" w:eastAsia="Arial" w:hAnsi="Arial" w:cs="Arial"/>
        </w:rPr>
        <w:t xml:space="preserve">: </w:t>
      </w:r>
      <w:r w:rsidR="00FE640A" w:rsidRPr="0068136B">
        <w:rPr>
          <w:rFonts w:ascii="Arial" w:eastAsia="Arial" w:hAnsi="Arial" w:cs="Arial"/>
        </w:rPr>
        <w:t>public health, counting</w:t>
      </w:r>
      <w:r w:rsidR="001E424D" w:rsidRPr="0068136B">
        <w:rPr>
          <w:rFonts w:ascii="Arial" w:eastAsia="Arial" w:hAnsi="Arial" w:cs="Arial"/>
        </w:rPr>
        <w:t xml:space="preserve"> of cases and deaths</w:t>
      </w:r>
      <w:r w:rsidR="00FE640A" w:rsidRPr="0068136B">
        <w:rPr>
          <w:rFonts w:ascii="Arial" w:eastAsia="Arial" w:hAnsi="Arial" w:cs="Arial"/>
        </w:rPr>
        <w:t>, treatments (including vaccines), politics, economics, epidemiology, testing and lockdown</w:t>
      </w:r>
      <w:r w:rsidR="001866EB" w:rsidRPr="0068136B">
        <w:rPr>
          <w:rFonts w:ascii="Arial" w:eastAsia="Arial" w:hAnsi="Arial" w:cs="Arial"/>
        </w:rPr>
        <w:t xml:space="preserve">. </w:t>
      </w:r>
      <w:r w:rsidR="003130D5" w:rsidRPr="0068136B">
        <w:rPr>
          <w:rFonts w:ascii="Arial" w:eastAsia="Arial" w:hAnsi="Arial" w:cs="Arial"/>
        </w:rPr>
        <w:t>The criteria for inclusion of the news articles in our data collection considered the following themes: 1-Public health policies adopted; 2-Monitoring of the number of deaths</w:t>
      </w:r>
      <w:r w:rsidR="00243898" w:rsidRPr="0068136B">
        <w:rPr>
          <w:rFonts w:ascii="Arial" w:eastAsia="Arial" w:hAnsi="Arial" w:cs="Arial"/>
        </w:rPr>
        <w:t>/</w:t>
      </w:r>
      <w:r w:rsidR="003130D5" w:rsidRPr="0068136B">
        <w:rPr>
          <w:rFonts w:ascii="Arial" w:eastAsia="Arial" w:hAnsi="Arial" w:cs="Arial"/>
        </w:rPr>
        <w:t xml:space="preserve">cases and criteria for disclosing data adopted by the federal government; 3-Treatments and procedures (including vaccines); 4-Political conflicts with different spheres of government  and other social actors; 5-Economic performance indices and emergency aid; 6-Indications and controversies from health professionals and scientists, conflicts with federal government decisions and approaches, population testing policies, and lockdown discussions. News articles that did not cover these central topics were not considered in the selection. </w:t>
      </w:r>
      <w:r w:rsidR="00783054" w:rsidRPr="0068136B">
        <w:rPr>
          <w:rFonts w:ascii="Arial" w:eastAsia="Arial" w:hAnsi="Arial" w:cs="Arial"/>
        </w:rPr>
        <w:t>It is worthy to note that t</w:t>
      </w:r>
      <w:r w:rsidR="001866EB" w:rsidRPr="0068136B">
        <w:rPr>
          <w:rFonts w:ascii="Arial" w:eastAsia="Arial" w:hAnsi="Arial" w:cs="Arial"/>
        </w:rPr>
        <w:t>his was not a</w:t>
      </w:r>
      <w:r w:rsidR="000F0992" w:rsidRPr="0068136B">
        <w:rPr>
          <w:rFonts w:ascii="Arial" w:eastAsia="Arial" w:hAnsi="Arial" w:cs="Arial"/>
        </w:rPr>
        <w:t>n</w:t>
      </w:r>
      <w:r w:rsidR="001866EB" w:rsidRPr="0068136B">
        <w:rPr>
          <w:rFonts w:ascii="Arial" w:eastAsia="Arial" w:hAnsi="Arial" w:cs="Arial"/>
        </w:rPr>
        <w:t xml:space="preserve"> </w:t>
      </w:r>
      <w:r w:rsidR="000F0992" w:rsidRPr="0068136B">
        <w:rPr>
          <w:rFonts w:ascii="Arial" w:eastAsia="Arial" w:hAnsi="Arial" w:cs="Arial"/>
        </w:rPr>
        <w:t>exhaustive</w:t>
      </w:r>
      <w:r w:rsidR="001866EB" w:rsidRPr="0068136B">
        <w:rPr>
          <w:rFonts w:ascii="Arial" w:eastAsia="Arial" w:hAnsi="Arial" w:cs="Arial"/>
        </w:rPr>
        <w:t xml:space="preserve"> collection of news items</w:t>
      </w:r>
      <w:r w:rsidR="00DD203C" w:rsidRPr="0068136B">
        <w:rPr>
          <w:rFonts w:ascii="Arial" w:eastAsia="Arial" w:hAnsi="Arial" w:cs="Arial"/>
        </w:rPr>
        <w:t xml:space="preserve">. </w:t>
      </w:r>
      <w:r w:rsidR="000F0992" w:rsidRPr="0068136B">
        <w:rPr>
          <w:rFonts w:ascii="Arial" w:eastAsia="Arial" w:hAnsi="Arial" w:cs="Arial"/>
        </w:rPr>
        <w:t xml:space="preserve">Using a common </w:t>
      </w:r>
      <w:r w:rsidR="00302E41" w:rsidRPr="0068136B">
        <w:rPr>
          <w:rFonts w:ascii="Arial" w:eastAsia="Arial" w:hAnsi="Arial" w:cs="Arial"/>
        </w:rPr>
        <w:t>Excel file stored on Google drive</w:t>
      </w:r>
      <w:r w:rsidR="000F0992" w:rsidRPr="0068136B">
        <w:rPr>
          <w:rFonts w:ascii="Arial" w:eastAsia="Arial" w:hAnsi="Arial" w:cs="Arial"/>
        </w:rPr>
        <w:t>, members of the research team fed items into the database</w:t>
      </w:r>
      <w:r w:rsidR="00DD203C" w:rsidRPr="0068136B">
        <w:rPr>
          <w:rFonts w:ascii="Arial" w:eastAsia="Arial" w:hAnsi="Arial" w:cs="Arial"/>
        </w:rPr>
        <w:t xml:space="preserve"> (</w:t>
      </w:r>
      <w:r w:rsidR="007E6444" w:rsidRPr="0068136B">
        <w:rPr>
          <w:rFonts w:ascii="Arial" w:eastAsia="Arial" w:hAnsi="Arial" w:cs="Arial"/>
        </w:rPr>
        <w:t xml:space="preserve">which is </w:t>
      </w:r>
      <w:r w:rsidR="00DD203C" w:rsidRPr="0068136B">
        <w:rPr>
          <w:rFonts w:ascii="Arial" w:eastAsia="Arial" w:hAnsi="Arial" w:cs="Arial"/>
        </w:rPr>
        <w:t xml:space="preserve">available </w:t>
      </w:r>
      <w:r w:rsidR="007E6444" w:rsidRPr="0068136B">
        <w:rPr>
          <w:rFonts w:ascii="Arial" w:eastAsia="Arial" w:hAnsi="Arial" w:cs="Arial"/>
        </w:rPr>
        <w:t>up</w:t>
      </w:r>
      <w:r w:rsidR="00DD203C" w:rsidRPr="0068136B">
        <w:rPr>
          <w:rFonts w:ascii="Arial" w:eastAsia="Arial" w:hAnsi="Arial" w:cs="Arial"/>
        </w:rPr>
        <w:t>on request)</w:t>
      </w:r>
      <w:r w:rsidR="000F0992" w:rsidRPr="0068136B">
        <w:rPr>
          <w:rFonts w:ascii="Arial" w:eastAsia="Arial" w:hAnsi="Arial" w:cs="Arial"/>
        </w:rPr>
        <w:t xml:space="preserve"> as they came across them. Over the two years, the research team met roughly </w:t>
      </w:r>
      <w:r w:rsidR="00247250" w:rsidRPr="0068136B">
        <w:rPr>
          <w:rFonts w:ascii="Arial" w:eastAsia="Arial" w:hAnsi="Arial" w:cs="Arial"/>
        </w:rPr>
        <w:t>twice a month</w:t>
      </w:r>
      <w:r w:rsidR="000F0992" w:rsidRPr="0068136B">
        <w:rPr>
          <w:rFonts w:ascii="Arial" w:eastAsia="Arial" w:hAnsi="Arial" w:cs="Arial"/>
        </w:rPr>
        <w:t>, collectively reviewing the news archive, and arriving at a consensus on the key events, actors and points of controversy/debate over the period</w:t>
      </w:r>
      <w:r w:rsidR="00783054" w:rsidRPr="0068136B">
        <w:rPr>
          <w:rFonts w:ascii="Arial" w:eastAsia="Arial" w:hAnsi="Arial" w:cs="Arial"/>
        </w:rPr>
        <w:t>. I</w:t>
      </w:r>
      <w:r w:rsidR="003130D5" w:rsidRPr="0068136B">
        <w:rPr>
          <w:rFonts w:ascii="Arial" w:eastAsia="Arial" w:hAnsi="Arial" w:cs="Arial"/>
        </w:rPr>
        <w:t xml:space="preserve">n order to </w:t>
      </w:r>
      <w:r w:rsidR="000F0992" w:rsidRPr="0068136B">
        <w:rPr>
          <w:rFonts w:ascii="Arial" w:eastAsia="Arial" w:hAnsi="Arial" w:cs="Arial"/>
        </w:rPr>
        <w:t xml:space="preserve">check that our analysis </w:t>
      </w:r>
      <w:r w:rsidR="003130D5" w:rsidRPr="0068136B">
        <w:rPr>
          <w:rFonts w:ascii="Arial" w:eastAsia="Arial" w:hAnsi="Arial" w:cs="Arial"/>
        </w:rPr>
        <w:t>was robust, we presented our results in two interdisciplinary research groups who investigate</w:t>
      </w:r>
      <w:r w:rsidR="0059101D" w:rsidRPr="0068136B">
        <w:rPr>
          <w:rFonts w:ascii="Arial" w:eastAsia="Arial" w:hAnsi="Arial" w:cs="Arial"/>
        </w:rPr>
        <w:t>s</w:t>
      </w:r>
      <w:r w:rsidR="003130D5" w:rsidRPr="0068136B">
        <w:rPr>
          <w:rFonts w:ascii="Arial" w:eastAsia="Arial" w:hAnsi="Arial" w:cs="Arial"/>
        </w:rPr>
        <w:t xml:space="preserve"> the response to Covid-19</w:t>
      </w:r>
      <w:r w:rsidR="00783054" w:rsidRPr="0068136B">
        <w:rPr>
          <w:rFonts w:ascii="Arial" w:eastAsia="Arial" w:hAnsi="Arial" w:cs="Arial"/>
        </w:rPr>
        <w:t xml:space="preserve">: CompCore project, a comparative study of national responses to Covid-19 from Science and Technology Studies perspective (Jasanoff et al 2021); and, CIRIS research group, focusing on governance and communication of risks and crises (Monteiro et al in press). </w:t>
      </w:r>
    </w:p>
    <w:p w14:paraId="1A2601F8" w14:textId="5C53D598" w:rsidR="001866EB" w:rsidRPr="0068136B" w:rsidRDefault="008A4439" w:rsidP="008A4439">
      <w:pPr>
        <w:spacing w:after="0" w:line="480" w:lineRule="auto"/>
        <w:jc w:val="both"/>
        <w:rPr>
          <w:rFonts w:ascii="Arial" w:eastAsia="Arial" w:hAnsi="Arial" w:cs="Arial"/>
        </w:rPr>
      </w:pPr>
      <w:r w:rsidRPr="0068136B">
        <w:rPr>
          <w:rFonts w:ascii="Arial" w:eastAsia="Arial" w:hAnsi="Arial" w:cs="Arial"/>
        </w:rPr>
        <w:t xml:space="preserve">(ii) </w:t>
      </w:r>
      <w:r w:rsidR="009F3835" w:rsidRPr="0068136B">
        <w:rPr>
          <w:rFonts w:ascii="Arial" w:eastAsia="Arial" w:hAnsi="Arial" w:cs="Arial"/>
        </w:rPr>
        <w:t>scientific publications</w:t>
      </w:r>
      <w:r w:rsidR="00B374BA" w:rsidRPr="0068136B">
        <w:rPr>
          <w:rFonts w:ascii="Arial" w:eastAsia="Arial" w:hAnsi="Arial" w:cs="Arial"/>
        </w:rPr>
        <w:t xml:space="preserve"> </w:t>
      </w:r>
      <w:r w:rsidR="009F3835" w:rsidRPr="0068136B">
        <w:rPr>
          <w:rFonts w:ascii="Arial" w:eastAsia="Arial" w:hAnsi="Arial" w:cs="Arial"/>
        </w:rPr>
        <w:t>and public documents</w:t>
      </w:r>
      <w:r w:rsidR="00094872" w:rsidRPr="0068136B">
        <w:rPr>
          <w:rFonts w:ascii="Arial" w:eastAsia="Arial" w:hAnsi="Arial" w:cs="Arial"/>
        </w:rPr>
        <w:t>,</w:t>
      </w:r>
      <w:r w:rsidRPr="0068136B">
        <w:rPr>
          <w:rFonts w:ascii="Arial" w:eastAsia="Arial" w:hAnsi="Arial" w:cs="Arial"/>
        </w:rPr>
        <w:t xml:space="preserve"> </w:t>
      </w:r>
      <w:r w:rsidR="00094872" w:rsidRPr="0068136B">
        <w:rPr>
          <w:rFonts w:ascii="Arial" w:eastAsia="Arial" w:hAnsi="Arial" w:cs="Arial"/>
        </w:rPr>
        <w:t xml:space="preserve">which provided </w:t>
      </w:r>
      <w:r w:rsidR="00247250" w:rsidRPr="0068136B">
        <w:rPr>
          <w:rFonts w:ascii="Arial" w:eastAsia="Arial" w:hAnsi="Arial" w:cs="Arial"/>
        </w:rPr>
        <w:t xml:space="preserve">the </w:t>
      </w:r>
      <w:r w:rsidR="00094872" w:rsidRPr="0068136B">
        <w:rPr>
          <w:rFonts w:ascii="Arial" w:eastAsia="Arial" w:hAnsi="Arial" w:cs="Arial"/>
        </w:rPr>
        <w:t>means to investigate government' structures, institutional processes, actions</w:t>
      </w:r>
      <w:r w:rsidR="004360F0" w:rsidRPr="0068136B">
        <w:rPr>
          <w:rFonts w:ascii="Arial" w:eastAsia="Arial" w:hAnsi="Arial" w:cs="Arial"/>
        </w:rPr>
        <w:t>/omissions,</w:t>
      </w:r>
      <w:r w:rsidR="00094872" w:rsidRPr="0068136B">
        <w:rPr>
          <w:rFonts w:ascii="Arial" w:eastAsia="Arial" w:hAnsi="Arial" w:cs="Arial"/>
        </w:rPr>
        <w:t xml:space="preserve"> outputs</w:t>
      </w:r>
      <w:r w:rsidR="004360F0" w:rsidRPr="0068136B">
        <w:rPr>
          <w:rFonts w:ascii="Arial" w:eastAsia="Arial" w:hAnsi="Arial" w:cs="Arial"/>
        </w:rPr>
        <w:t xml:space="preserve">, as well as the complex interactions between different levels of government, and between government and other societal actors. </w:t>
      </w:r>
      <w:r w:rsidR="00893856" w:rsidRPr="0068136B">
        <w:rPr>
          <w:rFonts w:ascii="Arial" w:eastAsia="Arial" w:hAnsi="Arial" w:cs="Arial"/>
        </w:rPr>
        <w:t>B</w:t>
      </w:r>
      <w:r w:rsidR="00094872" w:rsidRPr="0068136B">
        <w:rPr>
          <w:rFonts w:ascii="Arial" w:eastAsia="Arial" w:hAnsi="Arial" w:cs="Arial"/>
        </w:rPr>
        <w:t xml:space="preserve">esides </w:t>
      </w:r>
      <w:r w:rsidRPr="0068136B">
        <w:rPr>
          <w:rFonts w:ascii="Arial" w:eastAsia="Arial" w:hAnsi="Arial" w:cs="Arial"/>
        </w:rPr>
        <w:t>the review</w:t>
      </w:r>
      <w:r w:rsidR="00094872" w:rsidRPr="0068136B">
        <w:rPr>
          <w:rFonts w:ascii="Arial" w:eastAsia="Arial" w:hAnsi="Arial" w:cs="Arial"/>
        </w:rPr>
        <w:t xml:space="preserve"> of scientific publications regarding the pandemic in Brazil, we followed all the sessions of the Covid-19 </w:t>
      </w:r>
      <w:r w:rsidR="0059101D" w:rsidRPr="0068136B">
        <w:rPr>
          <w:rFonts w:ascii="Arial" w:eastAsia="Arial" w:hAnsi="Arial" w:cs="Arial"/>
        </w:rPr>
        <w:t>PCI</w:t>
      </w:r>
      <w:r w:rsidR="00094872" w:rsidRPr="0068136B">
        <w:rPr>
          <w:rFonts w:ascii="Arial" w:eastAsia="Arial" w:hAnsi="Arial" w:cs="Arial"/>
        </w:rPr>
        <w:t xml:space="preserve"> session (by TV Senado), identifying </w:t>
      </w:r>
      <w:r w:rsidR="00094872" w:rsidRPr="0068136B">
        <w:rPr>
          <w:rFonts w:ascii="Arial" w:eastAsia="Arial" w:hAnsi="Arial" w:cs="Arial"/>
        </w:rPr>
        <w:lastRenderedPageBreak/>
        <w:t xml:space="preserve">the topics covered, controversies, and the reactions of parliamentarians to the testimonies and documents that were presented. We also had a careful reading of the final report of the Covid-19 </w:t>
      </w:r>
      <w:r w:rsidRPr="0068136B">
        <w:rPr>
          <w:rFonts w:ascii="Arial" w:eastAsia="Arial" w:hAnsi="Arial" w:cs="Arial"/>
        </w:rPr>
        <w:t>PCI</w:t>
      </w:r>
      <w:r w:rsidR="00094872" w:rsidRPr="0068136B">
        <w:rPr>
          <w:rFonts w:ascii="Arial" w:eastAsia="Arial" w:hAnsi="Arial" w:cs="Arial"/>
        </w:rPr>
        <w:t xml:space="preserve"> (Federal Senate, 2021</w:t>
      </w:r>
      <w:r w:rsidR="00243898" w:rsidRPr="0068136B">
        <w:rPr>
          <w:rFonts w:ascii="Arial" w:eastAsia="Arial" w:hAnsi="Arial" w:cs="Arial"/>
        </w:rPr>
        <w:t>)</w:t>
      </w:r>
      <w:r w:rsidR="00577335" w:rsidRPr="0068136B">
        <w:rPr>
          <w:rFonts w:ascii="Arial" w:eastAsia="Arial" w:hAnsi="Arial" w:cs="Arial"/>
        </w:rPr>
        <w:t xml:space="preserve">, and </w:t>
      </w:r>
      <w:r w:rsidR="005A6E4C" w:rsidRPr="0068136B">
        <w:rPr>
          <w:rFonts w:ascii="Arial" w:eastAsia="Arial" w:hAnsi="Arial" w:cs="Arial"/>
        </w:rPr>
        <w:t>the document</w:t>
      </w:r>
      <w:r w:rsidR="00767529" w:rsidRPr="0068136B">
        <w:rPr>
          <w:rFonts w:ascii="Arial" w:eastAsia="Arial" w:hAnsi="Arial" w:cs="Arial"/>
        </w:rPr>
        <w:t xml:space="preserve"> </w:t>
      </w:r>
      <w:r w:rsidR="00094872" w:rsidRPr="0068136B">
        <w:rPr>
          <w:rFonts w:ascii="Arial" w:eastAsia="Arial" w:hAnsi="Arial" w:cs="Arial"/>
        </w:rPr>
        <w:t xml:space="preserve">“The timeline of the federal strategy for the spread of Covid-19” (Ventura et al 2021). </w:t>
      </w:r>
      <w:r w:rsidR="00577335" w:rsidRPr="0068136B">
        <w:rPr>
          <w:rFonts w:ascii="Arial" w:eastAsia="Arial" w:hAnsi="Arial" w:cs="Arial"/>
        </w:rPr>
        <w:t>The latter</w:t>
      </w:r>
      <w:r w:rsidR="00094872" w:rsidRPr="0068136B">
        <w:rPr>
          <w:rFonts w:ascii="Arial" w:eastAsia="Arial" w:hAnsi="Arial" w:cs="Arial"/>
        </w:rPr>
        <w:t xml:space="preserve"> is the final result of a study that collected Brazilian federal and state regulations on Covid-19 in order to investigate and assess their impact on human rights. </w:t>
      </w:r>
      <w:r w:rsidR="007B7353" w:rsidRPr="0068136B">
        <w:rPr>
          <w:rFonts w:ascii="Arial" w:eastAsia="Arial" w:hAnsi="Arial" w:cs="Arial"/>
        </w:rPr>
        <w:t>It is worthy to note</w:t>
      </w:r>
    </w:p>
    <w:p w14:paraId="0D82FDCA" w14:textId="65F3BD14" w:rsidR="004A1423" w:rsidRPr="0068136B" w:rsidRDefault="00F460D5" w:rsidP="001866EB">
      <w:pPr>
        <w:spacing w:after="0" w:line="480" w:lineRule="auto"/>
        <w:ind w:firstLine="360"/>
        <w:jc w:val="both"/>
        <w:rPr>
          <w:rFonts w:ascii="Arial" w:eastAsia="Arial" w:hAnsi="Arial" w:cs="Arial"/>
        </w:rPr>
      </w:pPr>
      <w:r w:rsidRPr="0068136B">
        <w:rPr>
          <w:rFonts w:ascii="Arial" w:eastAsia="Arial" w:hAnsi="Arial" w:cs="Arial"/>
        </w:rPr>
        <w:t>C</w:t>
      </w:r>
      <w:r w:rsidR="001866EB" w:rsidRPr="0068136B">
        <w:rPr>
          <w:rFonts w:ascii="Arial" w:eastAsia="Arial" w:hAnsi="Arial" w:cs="Arial"/>
        </w:rPr>
        <w:t>ontent analysis</w:t>
      </w:r>
      <w:r w:rsidR="000A5927" w:rsidRPr="0068136B">
        <w:rPr>
          <w:rFonts w:ascii="Arial" w:eastAsia="Arial" w:hAnsi="Arial" w:cs="Arial"/>
        </w:rPr>
        <w:t xml:space="preserve"> of the </w:t>
      </w:r>
      <w:r w:rsidR="009654F1" w:rsidRPr="0068136B">
        <w:rPr>
          <w:rFonts w:ascii="Arial" w:eastAsia="Arial" w:hAnsi="Arial" w:cs="Arial"/>
        </w:rPr>
        <w:t xml:space="preserve">set of </w:t>
      </w:r>
      <w:r w:rsidR="00247250" w:rsidRPr="0068136B">
        <w:rPr>
          <w:rFonts w:ascii="Arial" w:eastAsia="Arial" w:hAnsi="Arial" w:cs="Arial"/>
        </w:rPr>
        <w:t>document</w:t>
      </w:r>
      <w:r w:rsidR="009654F1" w:rsidRPr="0068136B">
        <w:rPr>
          <w:rFonts w:ascii="Arial" w:eastAsia="Arial" w:hAnsi="Arial" w:cs="Arial"/>
        </w:rPr>
        <w:t>s</w:t>
      </w:r>
      <w:r w:rsidR="00247250" w:rsidRPr="0068136B">
        <w:rPr>
          <w:rFonts w:ascii="Arial" w:eastAsia="Arial" w:hAnsi="Arial" w:cs="Arial"/>
        </w:rPr>
        <w:t xml:space="preserve"> sources</w:t>
      </w:r>
      <w:r w:rsidR="001866EB" w:rsidRPr="0068136B">
        <w:rPr>
          <w:rFonts w:ascii="Arial" w:eastAsia="Arial" w:hAnsi="Arial" w:cs="Arial"/>
        </w:rPr>
        <w:t xml:space="preserve"> included: (i) floating reading; (ii) </w:t>
      </w:r>
      <w:r w:rsidR="006B7389" w:rsidRPr="0068136B">
        <w:rPr>
          <w:rFonts w:ascii="Arial" w:eastAsia="Arial" w:hAnsi="Arial" w:cs="Arial"/>
        </w:rPr>
        <w:t>identifying</w:t>
      </w:r>
      <w:r w:rsidR="001866EB" w:rsidRPr="0068136B">
        <w:rPr>
          <w:rFonts w:ascii="Arial" w:eastAsia="Arial" w:hAnsi="Arial" w:cs="Arial"/>
        </w:rPr>
        <w:t xml:space="preserve"> themes related to the five parameters of risk governance; (iii) </w:t>
      </w:r>
      <w:r w:rsidR="006B7389" w:rsidRPr="0068136B">
        <w:rPr>
          <w:rFonts w:ascii="Arial" w:eastAsia="Arial" w:hAnsi="Arial" w:cs="Arial"/>
        </w:rPr>
        <w:t>rev</w:t>
      </w:r>
      <w:r w:rsidR="000F0A73" w:rsidRPr="0068136B">
        <w:rPr>
          <w:rFonts w:ascii="Arial" w:eastAsia="Arial" w:hAnsi="Arial" w:cs="Arial"/>
        </w:rPr>
        <w:t>iewing themes</w:t>
      </w:r>
      <w:r w:rsidR="001866EB" w:rsidRPr="0068136B">
        <w:rPr>
          <w:rFonts w:ascii="Arial" w:eastAsia="Arial" w:hAnsi="Arial" w:cs="Arial"/>
        </w:rPr>
        <w:t xml:space="preserve"> </w:t>
      </w:r>
      <w:r w:rsidR="000F0A73" w:rsidRPr="0068136B">
        <w:rPr>
          <w:rFonts w:ascii="Arial" w:eastAsia="Arial" w:hAnsi="Arial" w:cs="Arial"/>
        </w:rPr>
        <w:t xml:space="preserve">so as to </w:t>
      </w:r>
      <w:r w:rsidR="001866EB" w:rsidRPr="0068136B">
        <w:rPr>
          <w:rFonts w:ascii="Arial" w:eastAsia="Arial" w:hAnsi="Arial" w:cs="Arial"/>
        </w:rPr>
        <w:t>ensure consistency of findings</w:t>
      </w:r>
      <w:r w:rsidR="000A5927" w:rsidRPr="0068136B">
        <w:rPr>
          <w:rFonts w:ascii="Arial" w:eastAsia="Arial" w:hAnsi="Arial" w:cs="Arial"/>
        </w:rPr>
        <w:t>.</w:t>
      </w:r>
      <w:r w:rsidR="00D67A06" w:rsidRPr="0068136B">
        <w:rPr>
          <w:rFonts w:ascii="Arial" w:eastAsia="Arial" w:hAnsi="Arial" w:cs="Arial"/>
        </w:rPr>
        <w:t xml:space="preserve"> </w:t>
      </w:r>
      <w:r w:rsidR="008A4439" w:rsidRPr="0068136B">
        <w:rPr>
          <w:rFonts w:ascii="Arial" w:eastAsia="Arial" w:hAnsi="Arial" w:cs="Arial"/>
        </w:rPr>
        <w:t>T</w:t>
      </w:r>
      <w:r w:rsidR="00D67A06" w:rsidRPr="0068136B">
        <w:rPr>
          <w:rFonts w:ascii="Arial" w:eastAsia="Arial" w:hAnsi="Arial" w:cs="Arial"/>
        </w:rPr>
        <w:t xml:space="preserve">he collection and the content analysis </w:t>
      </w:r>
      <w:r w:rsidR="00247250" w:rsidRPr="0068136B">
        <w:rPr>
          <w:rFonts w:ascii="Arial" w:eastAsia="Arial" w:hAnsi="Arial" w:cs="Arial"/>
        </w:rPr>
        <w:t>was u</w:t>
      </w:r>
      <w:r w:rsidR="00D67A06" w:rsidRPr="0068136B">
        <w:rPr>
          <w:rFonts w:ascii="Arial" w:eastAsia="Arial" w:hAnsi="Arial" w:cs="Arial"/>
        </w:rPr>
        <w:t>ndert</w:t>
      </w:r>
      <w:r w:rsidR="00247250" w:rsidRPr="0068136B">
        <w:rPr>
          <w:rFonts w:ascii="Arial" w:eastAsia="Arial" w:hAnsi="Arial" w:cs="Arial"/>
        </w:rPr>
        <w:t>aken</w:t>
      </w:r>
      <w:r w:rsidR="00D67A06" w:rsidRPr="0068136B">
        <w:rPr>
          <w:rFonts w:ascii="Arial" w:eastAsia="Arial" w:hAnsi="Arial" w:cs="Arial"/>
        </w:rPr>
        <w:t xml:space="preserve"> over a period of 2 years. On-going discussion amongst our research team, and an iterative process of reflective analysis of textual reading were important aspects of our study.</w:t>
      </w:r>
      <w:r w:rsidR="000A5927" w:rsidRPr="0068136B">
        <w:rPr>
          <w:rFonts w:ascii="Arial" w:eastAsia="Arial" w:hAnsi="Arial" w:cs="Arial"/>
        </w:rPr>
        <w:t xml:space="preserve"> </w:t>
      </w:r>
      <w:r w:rsidR="003C729C" w:rsidRPr="0068136B">
        <w:rPr>
          <w:rFonts w:ascii="Arial" w:eastAsia="Arial" w:hAnsi="Arial" w:cs="Arial"/>
        </w:rPr>
        <w:t>By triangulating</w:t>
      </w:r>
      <w:r w:rsidR="009F3835" w:rsidRPr="0068136B">
        <w:rPr>
          <w:rFonts w:ascii="Arial" w:eastAsia="Arial" w:hAnsi="Arial" w:cs="Arial"/>
        </w:rPr>
        <w:t xml:space="preserve"> sources</w:t>
      </w:r>
      <w:r w:rsidR="003C729C" w:rsidRPr="0068136B">
        <w:rPr>
          <w:rFonts w:ascii="Arial" w:eastAsia="Arial" w:hAnsi="Arial" w:cs="Arial"/>
        </w:rPr>
        <w:t>,</w:t>
      </w:r>
      <w:r w:rsidR="009F3835" w:rsidRPr="0068136B">
        <w:rPr>
          <w:rFonts w:ascii="Arial" w:eastAsia="Arial" w:hAnsi="Arial" w:cs="Arial"/>
        </w:rPr>
        <w:t xml:space="preserve"> we identified the most contentious aspects of Covid-19 </w:t>
      </w:r>
      <w:r w:rsidR="00A559F6" w:rsidRPr="0068136B">
        <w:rPr>
          <w:rFonts w:ascii="Arial" w:eastAsia="Arial" w:hAnsi="Arial" w:cs="Arial"/>
        </w:rPr>
        <w:t>debates and policies in Brazil</w:t>
      </w:r>
      <w:r w:rsidR="009F3835" w:rsidRPr="0068136B">
        <w:rPr>
          <w:rFonts w:ascii="Arial" w:eastAsia="Arial" w:hAnsi="Arial" w:cs="Arial"/>
        </w:rPr>
        <w:t xml:space="preserve">. </w:t>
      </w:r>
    </w:p>
    <w:p w14:paraId="3BDC3DA1" w14:textId="77777777" w:rsidR="00981D37" w:rsidRPr="0068136B" w:rsidRDefault="00981D37" w:rsidP="00981D37">
      <w:pPr>
        <w:spacing w:after="0" w:line="480" w:lineRule="auto"/>
        <w:ind w:firstLine="720"/>
        <w:jc w:val="both"/>
        <w:rPr>
          <w:rFonts w:ascii="Arial" w:eastAsia="Arial" w:hAnsi="Arial" w:cs="Arial"/>
          <w:shd w:val="clear" w:color="auto" w:fill="F8F9FA"/>
        </w:rPr>
      </w:pPr>
    </w:p>
    <w:p w14:paraId="00000036" w14:textId="77777777" w:rsidR="00EE690B" w:rsidRPr="0068136B" w:rsidRDefault="009F3835">
      <w:pPr>
        <w:numPr>
          <w:ilvl w:val="0"/>
          <w:numId w:val="1"/>
        </w:numPr>
        <w:pBdr>
          <w:top w:val="nil"/>
          <w:left w:val="nil"/>
          <w:bottom w:val="nil"/>
          <w:right w:val="nil"/>
          <w:between w:val="nil"/>
        </w:pBdr>
        <w:spacing w:after="0" w:line="480" w:lineRule="auto"/>
        <w:jc w:val="both"/>
        <w:rPr>
          <w:rFonts w:ascii="Arial" w:eastAsia="Arial" w:hAnsi="Arial" w:cs="Arial"/>
          <w:b/>
        </w:rPr>
      </w:pPr>
      <w:r w:rsidRPr="0068136B">
        <w:rPr>
          <w:rFonts w:ascii="Arial" w:eastAsia="Arial" w:hAnsi="Arial" w:cs="Arial"/>
          <w:b/>
        </w:rPr>
        <w:t>Findings</w:t>
      </w:r>
    </w:p>
    <w:p w14:paraId="5AEFC26A" w14:textId="1671EB39" w:rsidR="00697AD7" w:rsidRPr="0068136B" w:rsidRDefault="00247250" w:rsidP="00697AD7">
      <w:pPr>
        <w:spacing w:after="0" w:line="480" w:lineRule="auto"/>
        <w:jc w:val="both"/>
        <w:rPr>
          <w:rFonts w:ascii="Arial" w:eastAsia="Arial" w:hAnsi="Arial" w:cs="Arial"/>
        </w:rPr>
      </w:pPr>
      <w:r w:rsidRPr="0068136B">
        <w:rPr>
          <w:rFonts w:ascii="Arial" w:eastAsia="Arial" w:hAnsi="Arial" w:cs="Arial"/>
        </w:rPr>
        <w:t>In this section, we</w:t>
      </w:r>
      <w:r w:rsidR="00526819" w:rsidRPr="0068136B">
        <w:rPr>
          <w:rFonts w:ascii="Arial" w:eastAsia="Arial" w:hAnsi="Arial" w:cs="Arial"/>
        </w:rPr>
        <w:t xml:space="preserve"> consider: (i) the strategies adopted by the federal government concerning the five risk governance parameters; (ii) the main actions from a range of actors for each risk parameter; (iii) the observed effects regarding the institutional performance during the pandemic.</w:t>
      </w:r>
      <w:r w:rsidR="00697AD7" w:rsidRPr="0068136B">
        <w:rPr>
          <w:rFonts w:ascii="Arial" w:eastAsia="Arial" w:hAnsi="Arial" w:cs="Arial"/>
        </w:rPr>
        <w:t xml:space="preserve"> A systematization of our findings is provided in supplementary material </w:t>
      </w:r>
      <w:r w:rsidRPr="0068136B">
        <w:rPr>
          <w:rFonts w:ascii="Arial" w:eastAsia="Arial" w:hAnsi="Arial" w:cs="Arial"/>
        </w:rPr>
        <w:t>1</w:t>
      </w:r>
      <w:r w:rsidR="00697AD7" w:rsidRPr="0068136B">
        <w:rPr>
          <w:rFonts w:ascii="Arial" w:eastAsia="Arial" w:hAnsi="Arial" w:cs="Arial"/>
        </w:rPr>
        <w:t xml:space="preserve">.  </w:t>
      </w:r>
    </w:p>
    <w:p w14:paraId="4BAAC834" w14:textId="77777777" w:rsidR="000A5927" w:rsidRPr="0068136B" w:rsidRDefault="000A5927">
      <w:pPr>
        <w:spacing w:after="0" w:line="480" w:lineRule="auto"/>
        <w:jc w:val="both"/>
        <w:rPr>
          <w:rFonts w:ascii="Arial" w:eastAsia="Arial" w:hAnsi="Arial" w:cs="Arial"/>
        </w:rPr>
      </w:pPr>
    </w:p>
    <w:p w14:paraId="00000039" w14:textId="77777777" w:rsidR="00EE690B" w:rsidRPr="0068136B" w:rsidRDefault="009F3835">
      <w:pPr>
        <w:spacing w:after="0" w:line="480" w:lineRule="auto"/>
        <w:jc w:val="both"/>
        <w:rPr>
          <w:rFonts w:ascii="Arial" w:eastAsia="Arial" w:hAnsi="Arial" w:cs="Arial"/>
          <w:i/>
        </w:rPr>
      </w:pPr>
      <w:r w:rsidRPr="0068136B">
        <w:rPr>
          <w:rFonts w:ascii="Arial" w:eastAsia="Arial" w:hAnsi="Arial" w:cs="Arial"/>
          <w:i/>
        </w:rPr>
        <w:t>Performance of the federal government</w:t>
      </w:r>
    </w:p>
    <w:p w14:paraId="5725FA85" w14:textId="77777777" w:rsidR="00A510FF" w:rsidRPr="0068136B" w:rsidRDefault="00A510FF">
      <w:pPr>
        <w:spacing w:after="0" w:line="480" w:lineRule="auto"/>
        <w:jc w:val="both"/>
        <w:rPr>
          <w:rFonts w:ascii="Arial" w:eastAsia="Arial" w:hAnsi="Arial" w:cs="Arial"/>
        </w:rPr>
      </w:pPr>
    </w:p>
    <w:p w14:paraId="0000003A" w14:textId="3BB62E96" w:rsidR="00EE690B" w:rsidRPr="0068136B" w:rsidRDefault="009F3835">
      <w:pPr>
        <w:spacing w:after="0" w:line="480" w:lineRule="auto"/>
        <w:jc w:val="both"/>
        <w:rPr>
          <w:rFonts w:ascii="Arial" w:eastAsia="Arial" w:hAnsi="Arial" w:cs="Arial"/>
        </w:rPr>
      </w:pPr>
      <w:r w:rsidRPr="0068136B">
        <w:rPr>
          <w:rFonts w:ascii="Arial" w:eastAsia="Arial" w:hAnsi="Arial" w:cs="Arial"/>
        </w:rPr>
        <w:t>Transparency and data accessibility</w:t>
      </w:r>
    </w:p>
    <w:p w14:paraId="28B593C4" w14:textId="77777777" w:rsidR="008E77CF" w:rsidRPr="0068136B" w:rsidRDefault="008E77CF">
      <w:pPr>
        <w:spacing w:after="0" w:line="480" w:lineRule="auto"/>
        <w:jc w:val="both"/>
        <w:rPr>
          <w:rFonts w:ascii="Arial" w:eastAsia="Arial" w:hAnsi="Arial" w:cs="Arial"/>
        </w:rPr>
      </w:pPr>
    </w:p>
    <w:p w14:paraId="5196FF3C" w14:textId="1DE5AEFE" w:rsidR="004A1423" w:rsidRPr="0068136B" w:rsidRDefault="004F68BA">
      <w:pPr>
        <w:spacing w:after="0" w:line="480" w:lineRule="auto"/>
        <w:jc w:val="both"/>
        <w:rPr>
          <w:rFonts w:ascii="Arial" w:eastAsia="Arial" w:hAnsi="Arial" w:cs="Arial"/>
        </w:rPr>
      </w:pPr>
      <w:r w:rsidRPr="0068136B">
        <w:rPr>
          <w:rFonts w:ascii="Arial" w:eastAsia="Arial" w:hAnsi="Arial" w:cs="Arial"/>
        </w:rPr>
        <w:t xml:space="preserve">The documentary evidence </w:t>
      </w:r>
      <w:r w:rsidR="00211810" w:rsidRPr="0068136B">
        <w:rPr>
          <w:rFonts w:ascii="Arial" w:eastAsia="Arial" w:hAnsi="Arial" w:cs="Arial"/>
        </w:rPr>
        <w:t>reveals</w:t>
      </w:r>
      <w:r w:rsidR="004A63FC" w:rsidRPr="0068136B">
        <w:rPr>
          <w:rFonts w:ascii="Arial" w:eastAsia="Arial" w:hAnsi="Arial" w:cs="Arial"/>
        </w:rPr>
        <w:t xml:space="preserve"> </w:t>
      </w:r>
      <w:r w:rsidR="009F3835" w:rsidRPr="0068136B">
        <w:rPr>
          <w:rFonts w:ascii="Arial" w:eastAsia="Arial" w:hAnsi="Arial" w:cs="Arial"/>
        </w:rPr>
        <w:t>that one of main strategies adopted by the federal government was to prioritiz</w:t>
      </w:r>
      <w:r w:rsidR="00316D6F" w:rsidRPr="0068136B">
        <w:rPr>
          <w:rFonts w:ascii="Arial" w:eastAsia="Arial" w:hAnsi="Arial" w:cs="Arial"/>
        </w:rPr>
        <w:t>e</w:t>
      </w:r>
      <w:r w:rsidR="009F3835" w:rsidRPr="0068136B">
        <w:rPr>
          <w:rFonts w:ascii="Arial" w:eastAsia="Arial" w:hAnsi="Arial" w:cs="Arial"/>
        </w:rPr>
        <w:t xml:space="preserve"> information about recovered cases rather than reported cases and deaths (Senado Federal 2021, p.184-195; Ventura et al 2021, p.63-64). Moreover, financial and structural constraints undermined the updating of data on the evolution of the </w:t>
      </w:r>
      <w:r w:rsidR="009F3835" w:rsidRPr="0068136B">
        <w:rPr>
          <w:rFonts w:ascii="Arial" w:eastAsia="Arial" w:hAnsi="Arial" w:cs="Arial"/>
        </w:rPr>
        <w:lastRenderedPageBreak/>
        <w:t>pandemic. Frequent shutdowns of Ministry of Health webpages were attributed by officials to faulty system updates, hacker attacks and layout modifications (UOL 20/05/2021; 11/08/2021; G1 01/10/2021)</w:t>
      </w:r>
      <w:r w:rsidR="004A1423" w:rsidRPr="0068136B">
        <w:rPr>
          <w:rFonts w:ascii="Arial" w:eastAsia="Arial" w:hAnsi="Arial" w:cs="Arial"/>
        </w:rPr>
        <w:t>.</w:t>
      </w:r>
    </w:p>
    <w:p w14:paraId="0000003B" w14:textId="798FE0E8" w:rsidR="00EE690B" w:rsidRPr="0068136B" w:rsidRDefault="009F3835" w:rsidP="00487A1F">
      <w:pPr>
        <w:spacing w:after="0" w:line="480" w:lineRule="auto"/>
        <w:ind w:firstLine="720"/>
        <w:jc w:val="both"/>
        <w:rPr>
          <w:rFonts w:ascii="Arial" w:eastAsia="Arial" w:hAnsi="Arial" w:cs="Arial"/>
        </w:rPr>
      </w:pPr>
      <w:r w:rsidRPr="0068136B">
        <w:rPr>
          <w:rFonts w:ascii="Arial" w:eastAsia="Arial" w:hAnsi="Arial" w:cs="Arial"/>
        </w:rPr>
        <w:t xml:space="preserve">Aiming to suggest that the pandemic was </w:t>
      </w:r>
      <w:r w:rsidR="00C83D74" w:rsidRPr="0068136B">
        <w:rPr>
          <w:rFonts w:ascii="Arial" w:eastAsia="Arial" w:hAnsi="Arial" w:cs="Arial"/>
        </w:rPr>
        <w:t xml:space="preserve">being </w:t>
      </w:r>
      <w:r w:rsidRPr="0068136B">
        <w:rPr>
          <w:rFonts w:ascii="Arial" w:eastAsia="Arial" w:hAnsi="Arial" w:cs="Arial"/>
        </w:rPr>
        <w:t xml:space="preserve">overestimated and </w:t>
      </w:r>
      <w:r w:rsidR="00C167C8" w:rsidRPr="0068136B">
        <w:rPr>
          <w:rFonts w:ascii="Arial" w:eastAsia="Arial" w:hAnsi="Arial" w:cs="Arial"/>
        </w:rPr>
        <w:t xml:space="preserve">that </w:t>
      </w:r>
      <w:r w:rsidRPr="0068136B">
        <w:rPr>
          <w:rFonts w:ascii="Arial" w:eastAsia="Arial" w:hAnsi="Arial" w:cs="Arial"/>
        </w:rPr>
        <w:t xml:space="preserve">there was </w:t>
      </w:r>
      <w:r w:rsidR="00316D6F" w:rsidRPr="0068136B">
        <w:rPr>
          <w:rFonts w:ascii="Arial" w:eastAsia="Arial" w:hAnsi="Arial" w:cs="Arial"/>
        </w:rPr>
        <w:t>a “</w:t>
      </w:r>
      <w:r w:rsidRPr="0068136B">
        <w:rPr>
          <w:rFonts w:ascii="Arial" w:eastAsia="Arial" w:hAnsi="Arial" w:cs="Arial"/>
        </w:rPr>
        <w:t xml:space="preserve">hysteria" around the coronavirus, created by the press (Folha de S. Paulo 17/03/2020), the government </w:t>
      </w:r>
      <w:r w:rsidR="00C83D74" w:rsidRPr="0068136B">
        <w:rPr>
          <w:rFonts w:ascii="Arial" w:eastAsia="Arial" w:hAnsi="Arial" w:cs="Arial"/>
        </w:rPr>
        <w:t>undermined</w:t>
      </w:r>
      <w:r w:rsidRPr="0068136B">
        <w:rPr>
          <w:rFonts w:ascii="Arial" w:eastAsia="Arial" w:hAnsi="Arial" w:cs="Arial"/>
        </w:rPr>
        <w:t xml:space="preserve"> the information provided by other sources. The credibility of data on cases, hospitalizations and deaths released by </w:t>
      </w:r>
      <w:r w:rsidR="00C83D74" w:rsidRPr="0068136B">
        <w:rPr>
          <w:rFonts w:ascii="Arial" w:eastAsia="Arial" w:hAnsi="Arial" w:cs="Arial"/>
        </w:rPr>
        <w:t>s</w:t>
      </w:r>
      <w:r w:rsidRPr="0068136B">
        <w:rPr>
          <w:rFonts w:ascii="Arial" w:eastAsia="Arial" w:hAnsi="Arial" w:cs="Arial"/>
        </w:rPr>
        <w:t xml:space="preserve">tate governors, mayors and the media was routinely questioned (Senado Federal 2021, p.184-194; 619-832; Ventura et al 2021, p.4, 19). One example of this </w:t>
      </w:r>
      <w:r w:rsidR="00E81ABD" w:rsidRPr="0068136B">
        <w:rPr>
          <w:rFonts w:ascii="Arial" w:eastAsia="Arial" w:hAnsi="Arial" w:cs="Arial"/>
        </w:rPr>
        <w:t>is</w:t>
      </w:r>
      <w:r w:rsidRPr="0068136B">
        <w:rPr>
          <w:rFonts w:ascii="Arial" w:eastAsia="Arial" w:hAnsi="Arial" w:cs="Arial"/>
        </w:rPr>
        <w:t xml:space="preserve"> Bolsonaro </w:t>
      </w:r>
      <w:r w:rsidR="00E81ABD" w:rsidRPr="0068136B">
        <w:rPr>
          <w:rFonts w:ascii="Arial" w:eastAsia="Arial" w:hAnsi="Arial" w:cs="Arial"/>
        </w:rPr>
        <w:t xml:space="preserve">incentivizing </w:t>
      </w:r>
      <w:r w:rsidRPr="0068136B">
        <w:rPr>
          <w:rFonts w:ascii="Arial" w:eastAsia="Arial" w:hAnsi="Arial" w:cs="Arial"/>
        </w:rPr>
        <w:t xml:space="preserve">his </w:t>
      </w:r>
      <w:r w:rsidR="00E81ABD" w:rsidRPr="0068136B">
        <w:rPr>
          <w:rFonts w:ascii="Arial" w:eastAsia="Arial" w:hAnsi="Arial" w:cs="Arial"/>
        </w:rPr>
        <w:t xml:space="preserve">social media </w:t>
      </w:r>
      <w:r w:rsidRPr="0068136B">
        <w:rPr>
          <w:rFonts w:ascii="Arial" w:eastAsia="Arial" w:hAnsi="Arial" w:cs="Arial"/>
        </w:rPr>
        <w:t>follow</w:t>
      </w:r>
      <w:r w:rsidR="00E81ABD" w:rsidRPr="0068136B">
        <w:rPr>
          <w:rFonts w:ascii="Arial" w:eastAsia="Arial" w:hAnsi="Arial" w:cs="Arial"/>
        </w:rPr>
        <w:t>ing</w:t>
      </w:r>
      <w:r w:rsidRPr="0068136B">
        <w:rPr>
          <w:rFonts w:ascii="Arial" w:eastAsia="Arial" w:hAnsi="Arial" w:cs="Arial"/>
        </w:rPr>
        <w:t xml:space="preserve"> to invade hospitals </w:t>
      </w:r>
      <w:r w:rsidR="00E81ABD" w:rsidRPr="0068136B">
        <w:rPr>
          <w:rFonts w:ascii="Arial" w:eastAsia="Arial" w:hAnsi="Arial" w:cs="Arial"/>
        </w:rPr>
        <w:t>and</w:t>
      </w:r>
      <w:r w:rsidRPr="0068136B">
        <w:rPr>
          <w:rFonts w:ascii="Arial" w:eastAsia="Arial" w:hAnsi="Arial" w:cs="Arial"/>
        </w:rPr>
        <w:t xml:space="preserve"> ascertain how many emergency beds were actually used by Covid-19 patients (Folha de S. Paulo 11/06/2020; Senado Federal 2021, p. 176, 1009). </w:t>
      </w:r>
    </w:p>
    <w:p w14:paraId="0000003C" w14:textId="77777777" w:rsidR="00EE690B" w:rsidRPr="0068136B" w:rsidRDefault="00EE690B">
      <w:pPr>
        <w:spacing w:after="0" w:line="480" w:lineRule="auto"/>
        <w:jc w:val="both"/>
        <w:rPr>
          <w:rFonts w:ascii="Arial" w:eastAsia="Arial" w:hAnsi="Arial" w:cs="Arial"/>
        </w:rPr>
      </w:pPr>
    </w:p>
    <w:p w14:paraId="0000003D" w14:textId="77777777" w:rsidR="00EE690B" w:rsidRPr="0068136B" w:rsidRDefault="009F3835">
      <w:pPr>
        <w:spacing w:after="0" w:line="480" w:lineRule="auto"/>
        <w:jc w:val="both"/>
        <w:rPr>
          <w:rFonts w:ascii="Arial" w:eastAsia="Arial" w:hAnsi="Arial" w:cs="Arial"/>
        </w:rPr>
      </w:pPr>
      <w:r w:rsidRPr="0068136B">
        <w:rPr>
          <w:rFonts w:ascii="Arial" w:eastAsia="Arial" w:hAnsi="Arial" w:cs="Arial"/>
        </w:rPr>
        <w:t>Risk communication</w:t>
      </w:r>
    </w:p>
    <w:p w14:paraId="21374394" w14:textId="77777777" w:rsidR="00A909B3" w:rsidRPr="0068136B" w:rsidRDefault="00A909B3">
      <w:pPr>
        <w:spacing w:after="0" w:line="480" w:lineRule="auto"/>
        <w:jc w:val="both"/>
        <w:rPr>
          <w:rFonts w:ascii="Arial" w:eastAsia="Arial" w:hAnsi="Arial" w:cs="Arial"/>
        </w:rPr>
      </w:pPr>
    </w:p>
    <w:p w14:paraId="0000003E" w14:textId="0AC089E1" w:rsidR="00EE690B" w:rsidRPr="0068136B" w:rsidRDefault="009F3835">
      <w:pPr>
        <w:spacing w:after="0" w:line="480" w:lineRule="auto"/>
        <w:jc w:val="both"/>
        <w:rPr>
          <w:rFonts w:ascii="Arial" w:eastAsia="Arial" w:hAnsi="Arial" w:cs="Arial"/>
        </w:rPr>
      </w:pPr>
      <w:r w:rsidRPr="0068136B">
        <w:rPr>
          <w:rFonts w:ascii="Arial" w:eastAsia="Arial" w:hAnsi="Arial" w:cs="Arial"/>
        </w:rPr>
        <w:t xml:space="preserve">We observed the absence of a unified risk communication campaign on the part of the federal government, and specifically of the Ministry of Health. </w:t>
      </w:r>
      <w:r w:rsidR="00386DD1" w:rsidRPr="0068136B">
        <w:rPr>
          <w:rFonts w:ascii="Arial" w:eastAsia="Arial" w:hAnsi="Arial" w:cs="Arial"/>
        </w:rPr>
        <w:t>A</w:t>
      </w:r>
      <w:r w:rsidRPr="0068136B">
        <w:rPr>
          <w:rFonts w:ascii="Arial" w:eastAsia="Arial" w:hAnsi="Arial" w:cs="Arial"/>
        </w:rPr>
        <w:t xml:space="preserve"> sustained effort </w:t>
      </w:r>
      <w:r w:rsidR="00386DD1" w:rsidRPr="0068136B">
        <w:rPr>
          <w:rFonts w:ascii="Arial" w:eastAsia="Arial" w:hAnsi="Arial" w:cs="Arial"/>
        </w:rPr>
        <w:t xml:space="preserve">was carried out </w:t>
      </w:r>
      <w:r w:rsidRPr="0068136B">
        <w:rPr>
          <w:rFonts w:ascii="Arial" w:eastAsia="Arial" w:hAnsi="Arial" w:cs="Arial"/>
        </w:rPr>
        <w:t>to disseminate disinformation with a clear purpose of minimizing the severity of the disease, while creating and spreading confusion and controversies (Calil 2021; Massarani et al 2021; Menengoti &amp; Santano 2021; Monarati 2021; Senado Federal 2021, p.619-832; Campos 2020). For example, Bolsonaro publicly defended the use of hydroxychloroquine against Covid-19, arguing that it would be easier and cheaper to invest in a cure than in a vaccine (O Globo 26/10/2020). He also questioned the efficacy of the vaccines: ‘If you become an alligator [after taking the vaccine], it’s your problem’ (El País 20/12/2020).</w:t>
      </w:r>
    </w:p>
    <w:p w14:paraId="40F73C0A" w14:textId="77777777" w:rsidR="00F733F4" w:rsidRPr="0068136B" w:rsidRDefault="00F733F4">
      <w:pPr>
        <w:spacing w:after="0" w:line="480" w:lineRule="auto"/>
        <w:jc w:val="both"/>
        <w:rPr>
          <w:rFonts w:ascii="Arial" w:eastAsia="Arial" w:hAnsi="Arial" w:cs="Arial"/>
        </w:rPr>
      </w:pPr>
    </w:p>
    <w:p w14:paraId="0000003F" w14:textId="77777777" w:rsidR="00EE690B" w:rsidRPr="0068136B" w:rsidRDefault="009F3835">
      <w:pPr>
        <w:spacing w:after="0" w:line="480" w:lineRule="auto"/>
        <w:jc w:val="both"/>
        <w:rPr>
          <w:rFonts w:ascii="Arial" w:eastAsia="Arial" w:hAnsi="Arial" w:cs="Arial"/>
        </w:rPr>
      </w:pPr>
      <w:r w:rsidRPr="0068136B">
        <w:rPr>
          <w:rFonts w:ascii="Arial" w:eastAsia="Arial" w:hAnsi="Arial" w:cs="Arial"/>
        </w:rPr>
        <w:t>Negotiation between actors</w:t>
      </w:r>
    </w:p>
    <w:p w14:paraId="2085972E" w14:textId="77777777" w:rsidR="00C1048C" w:rsidRPr="0068136B" w:rsidRDefault="00C1048C">
      <w:pPr>
        <w:spacing w:after="0" w:line="480" w:lineRule="auto"/>
        <w:jc w:val="both"/>
        <w:rPr>
          <w:rFonts w:ascii="Arial" w:eastAsia="Arial" w:hAnsi="Arial" w:cs="Arial"/>
        </w:rPr>
      </w:pPr>
    </w:p>
    <w:p w14:paraId="00000040" w14:textId="0AB390D9" w:rsidR="00EE690B" w:rsidRPr="0068136B" w:rsidRDefault="00BE01EA">
      <w:pPr>
        <w:spacing w:after="0" w:line="480" w:lineRule="auto"/>
        <w:jc w:val="both"/>
        <w:rPr>
          <w:rFonts w:ascii="Arial" w:eastAsia="Arial" w:hAnsi="Arial" w:cs="Arial"/>
        </w:rPr>
      </w:pPr>
      <w:r w:rsidRPr="0068136B">
        <w:rPr>
          <w:rFonts w:ascii="Arial" w:eastAsia="Arial" w:hAnsi="Arial" w:cs="Arial"/>
        </w:rPr>
        <w:t>As</w:t>
      </w:r>
      <w:r w:rsidR="009F3835" w:rsidRPr="0068136B">
        <w:rPr>
          <w:rFonts w:ascii="Arial" w:eastAsia="Arial" w:hAnsi="Arial" w:cs="Arial"/>
        </w:rPr>
        <w:t xml:space="preserve"> Bolsonaro claimed that his strategies were under attack from the opposition and the media, the federal government excluded state governors, mayors, professional societies, scientists </w:t>
      </w:r>
      <w:r w:rsidR="009F3835" w:rsidRPr="0068136B">
        <w:rPr>
          <w:rFonts w:ascii="Arial" w:eastAsia="Arial" w:hAnsi="Arial" w:cs="Arial"/>
        </w:rPr>
        <w:lastRenderedPageBreak/>
        <w:t xml:space="preserve">and the civil society from strategic discussions, negotiations and decisions concerning the pandemic (Senado 2021, p. 20, 34-45, 133,159, 164, 662, 763; Ventura et al 2021, p.18, 43, 77, 140, 146-147, 155, 173). The federal government's decisions were supported by a </w:t>
      </w:r>
      <w:r w:rsidR="00EA6D0A" w:rsidRPr="0068136B">
        <w:rPr>
          <w:rFonts w:ascii="Arial" w:eastAsia="Arial" w:hAnsi="Arial" w:cs="Arial"/>
        </w:rPr>
        <w:t>“</w:t>
      </w:r>
      <w:r w:rsidR="009F3835" w:rsidRPr="0068136B">
        <w:rPr>
          <w:rFonts w:ascii="Arial" w:eastAsia="Arial" w:hAnsi="Arial" w:cs="Arial"/>
        </w:rPr>
        <w:t>parallel cabinet</w:t>
      </w:r>
      <w:r w:rsidR="00EA6D0A" w:rsidRPr="0068136B">
        <w:rPr>
          <w:rFonts w:ascii="Arial" w:eastAsia="Arial" w:hAnsi="Arial" w:cs="Arial"/>
        </w:rPr>
        <w:t>”</w:t>
      </w:r>
      <w:r w:rsidR="009F3835" w:rsidRPr="0068136B">
        <w:rPr>
          <w:rFonts w:ascii="Arial" w:eastAsia="Arial" w:hAnsi="Arial" w:cs="Arial"/>
        </w:rPr>
        <w:t xml:space="preserve">, formed by a select group of parliamentarians, Ministry of Health officials, private actors, entrepreneurs, doctors, military personnel and online influencers. </w:t>
      </w:r>
      <w:r w:rsidR="007D5781" w:rsidRPr="0068136B">
        <w:rPr>
          <w:rFonts w:ascii="Arial" w:eastAsia="Arial" w:hAnsi="Arial" w:cs="Arial"/>
        </w:rPr>
        <w:t>The adoption of this strategy</w:t>
      </w:r>
      <w:r w:rsidR="00307D4A" w:rsidRPr="0068136B">
        <w:rPr>
          <w:rFonts w:ascii="Arial" w:eastAsia="Arial" w:hAnsi="Arial" w:cs="Arial"/>
        </w:rPr>
        <w:t xml:space="preserve"> empowered non-elected people, many without qualifications to deal with the pandemic</w:t>
      </w:r>
      <w:r w:rsidR="007D5781" w:rsidRPr="0068136B">
        <w:rPr>
          <w:rFonts w:ascii="Arial" w:eastAsia="Arial" w:hAnsi="Arial" w:cs="Arial"/>
        </w:rPr>
        <w:t xml:space="preserve"> (UOL 31/05/2021). </w:t>
      </w:r>
      <w:r w:rsidR="00093FBB" w:rsidRPr="0068136B">
        <w:rPr>
          <w:rFonts w:ascii="Arial" w:eastAsia="Arial" w:hAnsi="Arial" w:cs="Arial"/>
        </w:rPr>
        <w:t>T</w:t>
      </w:r>
      <w:r w:rsidR="007D5781" w:rsidRPr="0068136B">
        <w:rPr>
          <w:rFonts w:ascii="Arial" w:eastAsia="Arial" w:hAnsi="Arial" w:cs="Arial"/>
        </w:rPr>
        <w:t xml:space="preserve">he use of a </w:t>
      </w:r>
      <w:r w:rsidR="00677873" w:rsidRPr="0068136B">
        <w:rPr>
          <w:rFonts w:ascii="Arial" w:eastAsia="Arial" w:hAnsi="Arial" w:cs="Arial"/>
        </w:rPr>
        <w:t>“</w:t>
      </w:r>
      <w:r w:rsidR="007D5781" w:rsidRPr="0068136B">
        <w:rPr>
          <w:rFonts w:ascii="Arial" w:eastAsia="Arial" w:hAnsi="Arial" w:cs="Arial"/>
        </w:rPr>
        <w:t>parallel cabinet</w:t>
      </w:r>
      <w:r w:rsidR="00677873" w:rsidRPr="0068136B">
        <w:rPr>
          <w:rFonts w:ascii="Arial" w:eastAsia="Arial" w:hAnsi="Arial" w:cs="Arial"/>
        </w:rPr>
        <w:t>”</w:t>
      </w:r>
      <w:r w:rsidR="007D5781" w:rsidRPr="0068136B">
        <w:rPr>
          <w:rFonts w:ascii="Arial" w:eastAsia="Arial" w:hAnsi="Arial" w:cs="Arial"/>
        </w:rPr>
        <w:t xml:space="preserve"> obstructed t</w:t>
      </w:r>
      <w:r w:rsidR="00307D4A" w:rsidRPr="0068136B">
        <w:rPr>
          <w:rFonts w:ascii="Arial" w:eastAsia="Arial" w:hAnsi="Arial" w:cs="Arial"/>
        </w:rPr>
        <w:t xml:space="preserve">ransparency </w:t>
      </w:r>
      <w:r w:rsidR="00B67581" w:rsidRPr="0068136B">
        <w:rPr>
          <w:rFonts w:ascii="Arial" w:eastAsia="Arial" w:hAnsi="Arial" w:cs="Arial"/>
        </w:rPr>
        <w:t xml:space="preserve">in </w:t>
      </w:r>
      <w:r w:rsidR="00307D4A" w:rsidRPr="0068136B">
        <w:rPr>
          <w:rFonts w:ascii="Arial" w:eastAsia="Arial" w:hAnsi="Arial" w:cs="Arial"/>
        </w:rPr>
        <w:t>decision-making</w:t>
      </w:r>
      <w:r w:rsidR="00093FBB" w:rsidRPr="0068136B">
        <w:rPr>
          <w:rFonts w:ascii="Arial" w:eastAsia="Arial" w:hAnsi="Arial" w:cs="Arial"/>
        </w:rPr>
        <w:t xml:space="preserve"> and</w:t>
      </w:r>
      <w:r w:rsidR="00307D4A" w:rsidRPr="0068136B">
        <w:rPr>
          <w:rFonts w:ascii="Arial" w:eastAsia="Arial" w:hAnsi="Arial" w:cs="Arial"/>
        </w:rPr>
        <w:t xml:space="preserve"> </w:t>
      </w:r>
      <w:r w:rsidR="00B67581" w:rsidRPr="0068136B">
        <w:rPr>
          <w:rFonts w:ascii="Arial" w:eastAsia="Arial" w:hAnsi="Arial" w:cs="Arial"/>
        </w:rPr>
        <w:t xml:space="preserve">undermined </w:t>
      </w:r>
      <w:r w:rsidR="00093FBB" w:rsidRPr="0068136B">
        <w:rPr>
          <w:rFonts w:ascii="Arial" w:eastAsia="Arial" w:hAnsi="Arial" w:cs="Arial"/>
        </w:rPr>
        <w:t xml:space="preserve">the </w:t>
      </w:r>
      <w:r w:rsidR="00B67581" w:rsidRPr="0068136B">
        <w:rPr>
          <w:rFonts w:ascii="Arial" w:eastAsia="Arial" w:hAnsi="Arial" w:cs="Arial"/>
        </w:rPr>
        <w:t>participatory process (Senado Federal 2021, p. 34-46)</w:t>
      </w:r>
      <w:r w:rsidR="00307D4A" w:rsidRPr="0068136B">
        <w:rPr>
          <w:rFonts w:ascii="Arial" w:eastAsia="Arial" w:hAnsi="Arial" w:cs="Arial"/>
        </w:rPr>
        <w:t>.</w:t>
      </w:r>
    </w:p>
    <w:p w14:paraId="00000041" w14:textId="77777777" w:rsidR="00EE690B" w:rsidRPr="0068136B" w:rsidRDefault="00EE690B">
      <w:pPr>
        <w:spacing w:after="0" w:line="480" w:lineRule="auto"/>
        <w:ind w:firstLine="709"/>
        <w:jc w:val="both"/>
        <w:rPr>
          <w:rFonts w:ascii="Arial" w:eastAsia="Arial" w:hAnsi="Arial" w:cs="Arial"/>
        </w:rPr>
      </w:pPr>
    </w:p>
    <w:p w14:paraId="00000042" w14:textId="77777777" w:rsidR="00EE690B" w:rsidRPr="0068136B" w:rsidRDefault="009F3835">
      <w:pPr>
        <w:spacing w:after="0" w:line="480" w:lineRule="auto"/>
        <w:jc w:val="both"/>
        <w:rPr>
          <w:rFonts w:ascii="Arial" w:eastAsia="Arial" w:hAnsi="Arial" w:cs="Arial"/>
        </w:rPr>
      </w:pPr>
      <w:r w:rsidRPr="0068136B">
        <w:rPr>
          <w:rFonts w:ascii="Arial" w:eastAsia="Arial" w:hAnsi="Arial" w:cs="Arial"/>
        </w:rPr>
        <w:t>Social cohesion and public participation</w:t>
      </w:r>
    </w:p>
    <w:p w14:paraId="2C840212" w14:textId="77777777" w:rsidR="00D658E1" w:rsidRPr="0068136B" w:rsidRDefault="00D658E1">
      <w:pPr>
        <w:spacing w:after="0" w:line="480" w:lineRule="auto"/>
        <w:jc w:val="both"/>
        <w:rPr>
          <w:rFonts w:ascii="Arial" w:eastAsia="Arial" w:hAnsi="Arial" w:cs="Arial"/>
        </w:rPr>
      </w:pPr>
    </w:p>
    <w:p w14:paraId="00000043" w14:textId="22C2BBAA" w:rsidR="00EE690B" w:rsidRPr="0068136B" w:rsidRDefault="009F3835" w:rsidP="00271BCB">
      <w:pPr>
        <w:spacing w:after="0" w:line="480" w:lineRule="auto"/>
        <w:jc w:val="both"/>
        <w:rPr>
          <w:rFonts w:ascii="Arial" w:eastAsia="Arial" w:hAnsi="Arial" w:cs="Arial"/>
        </w:rPr>
      </w:pPr>
      <w:r w:rsidRPr="0068136B">
        <w:rPr>
          <w:rFonts w:ascii="Arial" w:eastAsia="Arial" w:hAnsi="Arial" w:cs="Arial"/>
        </w:rPr>
        <w:t xml:space="preserve">Social cohesion and public participation were also undermined by the federal government. </w:t>
      </w:r>
      <w:r w:rsidR="00E345E1" w:rsidRPr="0068136B">
        <w:rPr>
          <w:rFonts w:ascii="Arial" w:eastAsia="Arial" w:hAnsi="Arial" w:cs="Arial"/>
        </w:rPr>
        <w:t xml:space="preserve">As </w:t>
      </w:r>
      <w:r w:rsidRPr="0068136B">
        <w:rPr>
          <w:rFonts w:ascii="Arial" w:eastAsia="Arial" w:hAnsi="Arial" w:cs="Arial"/>
        </w:rPr>
        <w:t xml:space="preserve">the insufficient and erratic emergency aid policies for vulnerable populations jeopardized the public adherence to sanitary restrictive measures (Senado Federal 2021, p. 146-184), attempts to promote </w:t>
      </w:r>
      <w:r w:rsidR="00E345E1" w:rsidRPr="0068136B">
        <w:rPr>
          <w:rFonts w:ascii="Arial" w:eastAsia="Arial" w:hAnsi="Arial" w:cs="Arial"/>
        </w:rPr>
        <w:t>“</w:t>
      </w:r>
      <w:r w:rsidRPr="0068136B">
        <w:rPr>
          <w:rFonts w:ascii="Arial" w:eastAsia="Arial" w:hAnsi="Arial" w:cs="Arial"/>
        </w:rPr>
        <w:t>herd immunity</w:t>
      </w:r>
      <w:r w:rsidR="00E345E1" w:rsidRPr="0068136B">
        <w:rPr>
          <w:rFonts w:ascii="Arial" w:eastAsia="Arial" w:hAnsi="Arial" w:cs="Arial"/>
        </w:rPr>
        <w:t>”</w:t>
      </w:r>
      <w:r w:rsidRPr="0068136B">
        <w:rPr>
          <w:rFonts w:ascii="Arial" w:eastAsia="Arial" w:hAnsi="Arial" w:cs="Arial"/>
        </w:rPr>
        <w:t xml:space="preserve"> through contagion (Senado Federal 2021, p. 46-51; Ventura et al 2021, p.3), and delay</w:t>
      </w:r>
      <w:r w:rsidR="00E345E1" w:rsidRPr="0068136B">
        <w:rPr>
          <w:rFonts w:ascii="Arial" w:eastAsia="Arial" w:hAnsi="Arial" w:cs="Arial"/>
        </w:rPr>
        <w:t>s</w:t>
      </w:r>
      <w:r w:rsidRPr="0068136B">
        <w:rPr>
          <w:rFonts w:ascii="Arial" w:eastAsia="Arial" w:hAnsi="Arial" w:cs="Arial"/>
        </w:rPr>
        <w:t xml:space="preserve"> </w:t>
      </w:r>
      <w:r w:rsidR="00E345E1" w:rsidRPr="0068136B">
        <w:rPr>
          <w:rFonts w:ascii="Arial" w:eastAsia="Arial" w:hAnsi="Arial" w:cs="Arial"/>
        </w:rPr>
        <w:t xml:space="preserve">in </w:t>
      </w:r>
      <w:r w:rsidRPr="0068136B">
        <w:rPr>
          <w:rFonts w:ascii="Arial" w:eastAsia="Arial" w:hAnsi="Arial" w:cs="Arial"/>
        </w:rPr>
        <w:t xml:space="preserve">the purchase of vaccines (Senado Federal 2021, p. 87, 146, 195-247) </w:t>
      </w:r>
      <w:r w:rsidR="00E345E1" w:rsidRPr="0068136B">
        <w:rPr>
          <w:rFonts w:ascii="Arial" w:eastAsia="Arial" w:hAnsi="Arial" w:cs="Arial"/>
        </w:rPr>
        <w:t>undermined</w:t>
      </w:r>
      <w:r w:rsidRPr="0068136B">
        <w:rPr>
          <w:rFonts w:ascii="Arial" w:eastAsia="Arial" w:hAnsi="Arial" w:cs="Arial"/>
        </w:rPr>
        <w:t xml:space="preserve"> solidarity and trust between different groups. </w:t>
      </w:r>
      <w:r w:rsidR="005B362F" w:rsidRPr="0068136B">
        <w:rPr>
          <w:rFonts w:ascii="Arial" w:eastAsia="Arial" w:hAnsi="Arial" w:cs="Arial"/>
        </w:rPr>
        <w:t>Breaches of</w:t>
      </w:r>
      <w:r w:rsidRPr="0068136B">
        <w:rPr>
          <w:rFonts w:ascii="Arial" w:eastAsia="Arial" w:hAnsi="Arial" w:cs="Arial"/>
        </w:rPr>
        <w:t xml:space="preserve"> the established order of priorities in vaccination were investigated by prosecutors in different states (Folha de S. Paulo 21/01/2021; R7 28/01/2021). </w:t>
      </w:r>
      <w:r w:rsidR="00D073C3" w:rsidRPr="0068136B">
        <w:rPr>
          <w:rFonts w:ascii="Arial" w:eastAsia="Arial" w:hAnsi="Arial" w:cs="Arial"/>
        </w:rPr>
        <w:t>While</w:t>
      </w:r>
      <w:r w:rsidR="00493D49" w:rsidRPr="0068136B">
        <w:rPr>
          <w:rFonts w:ascii="Arial" w:eastAsia="Arial" w:hAnsi="Arial" w:cs="Arial"/>
        </w:rPr>
        <w:t xml:space="preserve"> </w:t>
      </w:r>
      <w:r w:rsidRPr="0068136B">
        <w:rPr>
          <w:rFonts w:ascii="Arial" w:eastAsia="Arial" w:hAnsi="Arial" w:cs="Arial"/>
        </w:rPr>
        <w:t xml:space="preserve">the number of registered cases and deaths </w:t>
      </w:r>
      <w:r w:rsidR="00493D49" w:rsidRPr="0068136B">
        <w:rPr>
          <w:rFonts w:ascii="Arial" w:eastAsia="Arial" w:hAnsi="Arial" w:cs="Arial"/>
        </w:rPr>
        <w:t>increased</w:t>
      </w:r>
      <w:r w:rsidRPr="0068136B">
        <w:rPr>
          <w:rFonts w:ascii="Arial" w:eastAsia="Arial" w:hAnsi="Arial" w:cs="Arial"/>
        </w:rPr>
        <w:t xml:space="preserve">, protests by supporters of the president claimed for the end of social isolation, and for </w:t>
      </w:r>
      <w:r w:rsidR="00625656" w:rsidRPr="0068136B">
        <w:rPr>
          <w:rFonts w:ascii="Arial" w:eastAsia="Arial" w:hAnsi="Arial" w:cs="Arial"/>
        </w:rPr>
        <w:t xml:space="preserve">the </w:t>
      </w:r>
      <w:r w:rsidRPr="0068136B">
        <w:rPr>
          <w:rFonts w:ascii="Arial" w:eastAsia="Arial" w:hAnsi="Arial" w:cs="Arial"/>
        </w:rPr>
        <w:t>reopening</w:t>
      </w:r>
      <w:r w:rsidR="00625656" w:rsidRPr="0068136B">
        <w:rPr>
          <w:rFonts w:ascii="Arial" w:eastAsia="Arial" w:hAnsi="Arial" w:cs="Arial"/>
        </w:rPr>
        <w:t xml:space="preserve"> of businesses</w:t>
      </w:r>
      <w:r w:rsidRPr="0068136B">
        <w:rPr>
          <w:rFonts w:ascii="Arial" w:eastAsia="Arial" w:hAnsi="Arial" w:cs="Arial"/>
        </w:rPr>
        <w:t xml:space="preserve"> (Folha de S. Paulo 27/03/2020). </w:t>
      </w:r>
      <w:r w:rsidR="00A5770D" w:rsidRPr="0068136B">
        <w:rPr>
          <w:rFonts w:ascii="Arial" w:eastAsia="Arial" w:hAnsi="Arial" w:cs="Arial"/>
        </w:rPr>
        <w:t>Studies</w:t>
      </w:r>
      <w:r w:rsidR="00296BF8" w:rsidRPr="0068136B">
        <w:rPr>
          <w:rFonts w:ascii="Arial" w:eastAsia="Arial" w:hAnsi="Arial" w:cs="Arial"/>
        </w:rPr>
        <w:t xml:space="preserve"> demonstrated</w:t>
      </w:r>
      <w:r w:rsidRPr="0068136B">
        <w:rPr>
          <w:rFonts w:ascii="Arial" w:eastAsia="Arial" w:hAnsi="Arial" w:cs="Arial"/>
        </w:rPr>
        <w:t xml:space="preserve"> a 'Bolsonaro effect' on</w:t>
      </w:r>
      <w:r w:rsidR="00625656" w:rsidRPr="0068136B">
        <w:rPr>
          <w:rFonts w:ascii="Arial" w:eastAsia="Arial" w:hAnsi="Arial" w:cs="Arial"/>
        </w:rPr>
        <w:t xml:space="preserve"> the</w:t>
      </w:r>
      <w:r w:rsidRPr="0068136B">
        <w:rPr>
          <w:rFonts w:ascii="Arial" w:eastAsia="Arial" w:hAnsi="Arial" w:cs="Arial"/>
        </w:rPr>
        <w:t xml:space="preserve"> rise in coronavirus</w:t>
      </w:r>
      <w:r w:rsidR="00625656" w:rsidRPr="0068136B">
        <w:rPr>
          <w:rFonts w:ascii="Arial" w:eastAsia="Arial" w:hAnsi="Arial" w:cs="Arial"/>
        </w:rPr>
        <w:t xml:space="preserve"> cases</w:t>
      </w:r>
      <w:r w:rsidR="00A5770D" w:rsidRPr="0068136B">
        <w:rPr>
          <w:rFonts w:ascii="Arial" w:eastAsia="Arial" w:hAnsi="Arial" w:cs="Arial"/>
        </w:rPr>
        <w:t xml:space="preserve">, indicating that Covid-19 </w:t>
      </w:r>
      <w:r w:rsidRPr="0068136B">
        <w:rPr>
          <w:rFonts w:ascii="Arial" w:eastAsia="Arial" w:hAnsi="Arial" w:cs="Arial"/>
        </w:rPr>
        <w:t>caused more damage in municipalities more favorable to the president</w:t>
      </w:r>
      <w:r w:rsidR="00271BCB" w:rsidRPr="0068136B">
        <w:rPr>
          <w:rFonts w:ascii="Arial" w:eastAsia="Arial" w:hAnsi="Arial" w:cs="Arial"/>
        </w:rPr>
        <w:t xml:space="preserve"> due to the lower rate of effective social isolation</w:t>
      </w:r>
      <w:r w:rsidRPr="0068136B">
        <w:rPr>
          <w:rFonts w:ascii="Arial" w:eastAsia="Arial" w:hAnsi="Arial" w:cs="Arial"/>
        </w:rPr>
        <w:t xml:space="preserve"> (</w:t>
      </w:r>
      <w:r w:rsidR="00271BCB" w:rsidRPr="0068136B">
        <w:rPr>
          <w:rFonts w:ascii="Arial" w:eastAsia="Arial" w:hAnsi="Arial" w:cs="Arial"/>
        </w:rPr>
        <w:t xml:space="preserve">Fernandes et al 2020; </w:t>
      </w:r>
      <w:r w:rsidRPr="0068136B">
        <w:rPr>
          <w:rFonts w:ascii="Arial" w:eastAsia="Arial" w:hAnsi="Arial" w:cs="Arial"/>
        </w:rPr>
        <w:t>Folha de S. Paulo 13/10/2020).</w:t>
      </w:r>
    </w:p>
    <w:p w14:paraId="67C72D90" w14:textId="77777777" w:rsidR="00F733F4" w:rsidRPr="0068136B" w:rsidRDefault="00F733F4" w:rsidP="00271BCB">
      <w:pPr>
        <w:spacing w:after="0" w:line="480" w:lineRule="auto"/>
        <w:jc w:val="both"/>
        <w:rPr>
          <w:rFonts w:ascii="Arial" w:eastAsia="Arial" w:hAnsi="Arial" w:cs="Arial"/>
        </w:rPr>
      </w:pPr>
    </w:p>
    <w:p w14:paraId="00000045" w14:textId="77777777" w:rsidR="00EE690B" w:rsidRPr="0068136B" w:rsidRDefault="009F3835">
      <w:pPr>
        <w:spacing w:after="0" w:line="480" w:lineRule="auto"/>
        <w:jc w:val="both"/>
        <w:rPr>
          <w:rFonts w:ascii="Arial" w:eastAsia="Arial" w:hAnsi="Arial" w:cs="Arial"/>
        </w:rPr>
      </w:pPr>
      <w:r w:rsidRPr="0068136B">
        <w:rPr>
          <w:rFonts w:ascii="Arial" w:eastAsia="Arial" w:hAnsi="Arial" w:cs="Arial"/>
        </w:rPr>
        <w:t>Decisions based on scientific evidence, context and resources</w:t>
      </w:r>
    </w:p>
    <w:p w14:paraId="6D8B279F" w14:textId="77777777" w:rsidR="003E3AA2" w:rsidRPr="0068136B" w:rsidRDefault="003E3AA2">
      <w:pPr>
        <w:spacing w:after="0" w:line="480" w:lineRule="auto"/>
        <w:jc w:val="both"/>
        <w:rPr>
          <w:rFonts w:ascii="Arial" w:eastAsia="Arial" w:hAnsi="Arial" w:cs="Arial"/>
        </w:rPr>
      </w:pPr>
    </w:p>
    <w:p w14:paraId="7FF27F5D" w14:textId="44A0222F" w:rsidR="00EB0B75" w:rsidRPr="0068136B" w:rsidRDefault="009F3835" w:rsidP="00EB0B75">
      <w:pPr>
        <w:spacing w:after="0" w:line="480" w:lineRule="auto"/>
        <w:jc w:val="both"/>
        <w:rPr>
          <w:rFonts w:ascii="Arial" w:eastAsia="Arial" w:hAnsi="Arial" w:cs="Arial"/>
        </w:rPr>
      </w:pPr>
      <w:r w:rsidRPr="0068136B">
        <w:rPr>
          <w:rFonts w:ascii="Arial" w:eastAsia="Arial" w:hAnsi="Arial" w:cs="Arial"/>
        </w:rPr>
        <w:lastRenderedPageBreak/>
        <w:t xml:space="preserve">Our </w:t>
      </w:r>
      <w:r w:rsidR="005231A3" w:rsidRPr="0068136B">
        <w:rPr>
          <w:rFonts w:ascii="Arial" w:eastAsia="Arial" w:hAnsi="Arial" w:cs="Arial"/>
        </w:rPr>
        <w:t xml:space="preserve">document review </w:t>
      </w:r>
      <w:r w:rsidRPr="0068136B">
        <w:rPr>
          <w:rFonts w:ascii="Arial" w:eastAsia="Arial" w:hAnsi="Arial" w:cs="Arial"/>
        </w:rPr>
        <w:t xml:space="preserve">indicates that the federal government, in addition to adopting strategies and making decisions that eschewed scientific evidence, did not make adequate use of resources. For example, the government </w:t>
      </w:r>
      <w:r w:rsidR="007B7353" w:rsidRPr="0068136B">
        <w:rPr>
          <w:rFonts w:ascii="Arial" w:eastAsia="Arial" w:hAnsi="Arial" w:cs="Arial"/>
        </w:rPr>
        <w:t>promoted</w:t>
      </w:r>
      <w:r w:rsidRPr="0068136B">
        <w:rPr>
          <w:rFonts w:ascii="Arial" w:eastAsia="Arial" w:hAnsi="Arial" w:cs="Arial"/>
        </w:rPr>
        <w:t xml:space="preserve"> people's exposure to the virus, </w:t>
      </w:r>
      <w:r w:rsidR="007B7353" w:rsidRPr="0068136B">
        <w:rPr>
          <w:rFonts w:ascii="Arial" w:eastAsia="Arial" w:hAnsi="Arial" w:cs="Arial"/>
        </w:rPr>
        <w:t xml:space="preserve">by </w:t>
      </w:r>
      <w:r w:rsidRPr="0068136B">
        <w:rPr>
          <w:rFonts w:ascii="Arial" w:eastAsia="Arial" w:hAnsi="Arial" w:cs="Arial"/>
        </w:rPr>
        <w:t xml:space="preserve">refusing to issue a federal mandate to restrict the circulation of people or large gatherings, and failing to incentivize the use of masks (Senado Federal 2021, p. 146-183; Ventura et al 2021, p.3, 18, 68). </w:t>
      </w:r>
      <w:r w:rsidR="006F21DE" w:rsidRPr="0068136B">
        <w:rPr>
          <w:rFonts w:ascii="Arial" w:eastAsia="Arial" w:hAnsi="Arial" w:cs="Arial"/>
        </w:rPr>
        <w:t>T</w:t>
      </w:r>
      <w:r w:rsidR="006A4110" w:rsidRPr="0068136B">
        <w:rPr>
          <w:rFonts w:ascii="Arial" w:eastAsia="Arial" w:hAnsi="Arial" w:cs="Arial"/>
        </w:rPr>
        <w:t xml:space="preserve">he </w:t>
      </w:r>
      <w:r w:rsidR="00EA6D0A" w:rsidRPr="0068136B">
        <w:rPr>
          <w:rFonts w:ascii="Arial" w:eastAsia="Arial" w:hAnsi="Arial" w:cs="Arial"/>
        </w:rPr>
        <w:t>“</w:t>
      </w:r>
      <w:r w:rsidR="006A4110" w:rsidRPr="0068136B">
        <w:rPr>
          <w:rFonts w:ascii="Arial" w:eastAsia="Arial" w:hAnsi="Arial" w:cs="Arial"/>
        </w:rPr>
        <w:t>parallel cabinet</w:t>
      </w:r>
      <w:r w:rsidR="00EA6D0A" w:rsidRPr="0068136B">
        <w:rPr>
          <w:rFonts w:ascii="Arial" w:eastAsia="Arial" w:hAnsi="Arial" w:cs="Arial"/>
        </w:rPr>
        <w:t>”</w:t>
      </w:r>
      <w:r w:rsidR="006A4110" w:rsidRPr="0068136B">
        <w:rPr>
          <w:rFonts w:ascii="Arial" w:eastAsia="Arial" w:hAnsi="Arial" w:cs="Arial"/>
        </w:rPr>
        <w:t xml:space="preserve"> provided advice that went against the scientific consensus and spread disinformation, supporting, for example, the unproven hydroxychloroquine treatment (Senado Federal 2021, p. 52-144, 243, 523, 524, 976, 977; Ventura et al 2021, p.45). </w:t>
      </w:r>
      <w:r w:rsidRPr="0068136B">
        <w:rPr>
          <w:rFonts w:ascii="Arial" w:eastAsia="Arial" w:hAnsi="Arial" w:cs="Arial"/>
        </w:rPr>
        <w:t>The federal government sought to institute a protocol encouraging the use of hydroxychloroquine in the public health system (Ventura et al 2021, p.</w:t>
      </w:r>
      <w:r w:rsidR="00EB0B75" w:rsidRPr="0068136B">
        <w:rPr>
          <w:rFonts w:ascii="Arial" w:eastAsia="Arial" w:hAnsi="Arial" w:cs="Arial"/>
        </w:rPr>
        <w:t xml:space="preserve"> </w:t>
      </w:r>
      <w:r w:rsidRPr="0068136B">
        <w:rPr>
          <w:rFonts w:ascii="Arial" w:eastAsia="Arial" w:hAnsi="Arial" w:cs="Arial"/>
        </w:rPr>
        <w:t xml:space="preserve">57, 85, 87, 117; R7 21/01/2021). Public resources were used to produce and disseminate this drug, which had no proven effectiveness (Folha de S. Paulo, 06/02/2021). </w:t>
      </w:r>
      <w:r w:rsidR="003A1E9A" w:rsidRPr="0068136B">
        <w:rPr>
          <w:rFonts w:ascii="Arial" w:eastAsia="Arial" w:hAnsi="Arial" w:cs="Arial"/>
        </w:rPr>
        <w:t xml:space="preserve">The PCI also revealed governmental foot-dragging and attempts to undermine vaccine negotiations with pharmaceutical companies, as well as a delay in joining the WHO COVAX facility (Senado Federal 2021, p. 87, 146, 241-247). </w:t>
      </w:r>
      <w:r w:rsidR="00DE09B0" w:rsidRPr="0068136B">
        <w:rPr>
          <w:rFonts w:ascii="Arial" w:eastAsia="Arial" w:hAnsi="Arial" w:cs="Arial"/>
        </w:rPr>
        <w:t xml:space="preserve">The government also </w:t>
      </w:r>
      <w:r w:rsidRPr="0068136B">
        <w:rPr>
          <w:rFonts w:ascii="Arial" w:eastAsia="Arial" w:hAnsi="Arial" w:cs="Arial"/>
        </w:rPr>
        <w:t>neglect</w:t>
      </w:r>
      <w:r w:rsidR="00DE09B0" w:rsidRPr="0068136B">
        <w:rPr>
          <w:rFonts w:ascii="Arial" w:eastAsia="Arial" w:hAnsi="Arial" w:cs="Arial"/>
        </w:rPr>
        <w:t>ed</w:t>
      </w:r>
      <w:r w:rsidRPr="0068136B">
        <w:rPr>
          <w:rFonts w:ascii="Arial" w:eastAsia="Arial" w:hAnsi="Arial" w:cs="Arial"/>
        </w:rPr>
        <w:t xml:space="preserve"> mass testing (Senado Federal 2021, p. 177, 178)</w:t>
      </w:r>
      <w:r w:rsidR="00C71221" w:rsidRPr="0068136B">
        <w:rPr>
          <w:rFonts w:ascii="Arial" w:eastAsia="Arial" w:hAnsi="Arial" w:cs="Arial"/>
        </w:rPr>
        <w:t>,</w:t>
      </w:r>
      <w:r w:rsidRPr="0068136B">
        <w:rPr>
          <w:rFonts w:ascii="Arial" w:eastAsia="Arial" w:hAnsi="Arial" w:cs="Arial"/>
        </w:rPr>
        <w:t xml:space="preserve"> </w:t>
      </w:r>
      <w:r w:rsidR="00EF512C" w:rsidRPr="0068136B">
        <w:rPr>
          <w:rFonts w:ascii="Arial" w:eastAsia="Arial" w:hAnsi="Arial" w:cs="Arial"/>
        </w:rPr>
        <w:t xml:space="preserve">while the president was making </w:t>
      </w:r>
      <w:r w:rsidRPr="0068136B">
        <w:rPr>
          <w:rFonts w:ascii="Arial" w:eastAsia="Arial" w:hAnsi="Arial" w:cs="Arial"/>
        </w:rPr>
        <w:t xml:space="preserve">anti-vaccination pronouncements (Senado Federal 2021, p. 87, 146, 195-247). Finally, frequent changes in the command of the </w:t>
      </w:r>
      <w:r w:rsidR="006B3A97" w:rsidRPr="0068136B">
        <w:rPr>
          <w:rFonts w:ascii="Arial" w:eastAsia="Arial" w:hAnsi="Arial" w:cs="Arial"/>
        </w:rPr>
        <w:t xml:space="preserve">Ministry </w:t>
      </w:r>
      <w:r w:rsidRPr="0068136B">
        <w:rPr>
          <w:rFonts w:ascii="Arial" w:eastAsia="Arial" w:hAnsi="Arial" w:cs="Arial"/>
        </w:rPr>
        <w:t>of Health, with the appointment of unqualified personnel for critical positions</w:t>
      </w:r>
      <w:r w:rsidR="00AA3DB6" w:rsidRPr="0068136B">
        <w:rPr>
          <w:rFonts w:ascii="Arial" w:eastAsia="Arial" w:hAnsi="Arial" w:cs="Arial"/>
        </w:rPr>
        <w:t>,</w:t>
      </w:r>
      <w:r w:rsidRPr="0068136B">
        <w:rPr>
          <w:rFonts w:ascii="Arial" w:eastAsia="Arial" w:hAnsi="Arial" w:cs="Arial"/>
        </w:rPr>
        <w:t xml:space="preserve"> also show the extent to which the government failed to heed to scientific and technical considerations. </w:t>
      </w:r>
      <w:r w:rsidR="00D159CD" w:rsidRPr="0068136B">
        <w:rPr>
          <w:rFonts w:ascii="Arial" w:eastAsia="Arial" w:hAnsi="Arial" w:cs="Arial"/>
        </w:rPr>
        <w:t>For example</w:t>
      </w:r>
      <w:r w:rsidRPr="0068136B">
        <w:rPr>
          <w:rFonts w:ascii="Arial" w:eastAsia="Arial" w:hAnsi="Arial" w:cs="Arial"/>
        </w:rPr>
        <w:t xml:space="preserve">, Eduardo Pazzuelo, a military officer without training or experience in the health area, took over the position of </w:t>
      </w:r>
      <w:r w:rsidR="006B3A97" w:rsidRPr="0068136B">
        <w:rPr>
          <w:rFonts w:ascii="Arial" w:eastAsia="Arial" w:hAnsi="Arial" w:cs="Arial"/>
        </w:rPr>
        <w:t xml:space="preserve">Minister </w:t>
      </w:r>
      <w:r w:rsidRPr="0068136B">
        <w:rPr>
          <w:rFonts w:ascii="Arial" w:eastAsia="Arial" w:hAnsi="Arial" w:cs="Arial"/>
        </w:rPr>
        <w:t xml:space="preserve">of </w:t>
      </w:r>
      <w:r w:rsidR="00AA3DB6" w:rsidRPr="0068136B">
        <w:rPr>
          <w:rFonts w:ascii="Arial" w:eastAsia="Arial" w:hAnsi="Arial" w:cs="Arial"/>
        </w:rPr>
        <w:t>H</w:t>
      </w:r>
      <w:r w:rsidRPr="0068136B">
        <w:rPr>
          <w:rFonts w:ascii="Arial" w:eastAsia="Arial" w:hAnsi="Arial" w:cs="Arial"/>
        </w:rPr>
        <w:t xml:space="preserve">ealth. He had already declared that, before taking on the role, </w:t>
      </w:r>
      <w:r w:rsidR="00E8242B" w:rsidRPr="0068136B">
        <w:rPr>
          <w:rFonts w:ascii="Arial" w:eastAsia="Arial" w:hAnsi="Arial" w:cs="Arial"/>
        </w:rPr>
        <w:t xml:space="preserve">he </w:t>
      </w:r>
      <w:r w:rsidRPr="0068136B">
        <w:rPr>
          <w:rFonts w:ascii="Arial" w:eastAsia="Arial" w:hAnsi="Arial" w:cs="Arial"/>
        </w:rPr>
        <w:t>“didn’t even know what the SUS was” (Ventura et al 2021, p.54).</w:t>
      </w:r>
    </w:p>
    <w:p w14:paraId="1213374F" w14:textId="01558058" w:rsidR="003451F6" w:rsidRPr="0068136B" w:rsidRDefault="00FC20F5" w:rsidP="003451F6">
      <w:pPr>
        <w:spacing w:after="0" w:line="480" w:lineRule="auto"/>
        <w:ind w:firstLine="720"/>
        <w:jc w:val="both"/>
        <w:rPr>
          <w:rFonts w:ascii="Arial" w:eastAsia="Arial" w:hAnsi="Arial" w:cs="Arial"/>
        </w:rPr>
      </w:pPr>
      <w:r w:rsidRPr="0068136B">
        <w:rPr>
          <w:rFonts w:ascii="Arial" w:eastAsia="Arial" w:hAnsi="Arial" w:cs="Arial"/>
        </w:rPr>
        <w:t>Throughout</w:t>
      </w:r>
      <w:r w:rsidR="009F3835" w:rsidRPr="0068136B">
        <w:rPr>
          <w:rFonts w:ascii="Arial" w:eastAsia="Arial" w:hAnsi="Arial" w:cs="Arial"/>
        </w:rPr>
        <w:t xml:space="preserve"> the pandemic the WHO made a series of recommendations based on </w:t>
      </w:r>
      <w:r w:rsidRPr="0068136B">
        <w:rPr>
          <w:rFonts w:ascii="Arial" w:eastAsia="Arial" w:hAnsi="Arial" w:cs="Arial"/>
        </w:rPr>
        <w:t xml:space="preserve">the most up to date </w:t>
      </w:r>
      <w:r w:rsidR="009F3835" w:rsidRPr="0068136B">
        <w:rPr>
          <w:rFonts w:ascii="Arial" w:eastAsia="Arial" w:hAnsi="Arial" w:cs="Arial"/>
        </w:rPr>
        <w:t>scientific evidence</w:t>
      </w:r>
      <w:r w:rsidRPr="0068136B">
        <w:rPr>
          <w:rFonts w:ascii="Arial" w:eastAsia="Arial" w:hAnsi="Arial" w:cs="Arial"/>
        </w:rPr>
        <w:t xml:space="preserve"> available</w:t>
      </w:r>
      <w:r w:rsidR="009F3835" w:rsidRPr="0068136B">
        <w:rPr>
          <w:rFonts w:ascii="Arial" w:eastAsia="Arial" w:hAnsi="Arial" w:cs="Arial"/>
        </w:rPr>
        <w:t xml:space="preserve">. </w:t>
      </w:r>
      <w:bookmarkStart w:id="5" w:name="_heading=h.tuuyulra1qaw" w:colFirst="0" w:colLast="0"/>
      <w:bookmarkStart w:id="6" w:name="_heading=h.z2nt352nnfh9" w:colFirst="0" w:colLast="0"/>
      <w:bookmarkEnd w:id="5"/>
      <w:bookmarkEnd w:id="6"/>
      <w:r w:rsidR="007B7353" w:rsidRPr="0068136B">
        <w:rPr>
          <w:rFonts w:ascii="Arial" w:eastAsia="Arial" w:hAnsi="Arial" w:cs="Arial"/>
        </w:rPr>
        <w:t xml:space="preserve">The disjuncture between WHO recommendations and Brazilian government actions is shown in Table </w:t>
      </w:r>
      <w:r w:rsidR="007F1F93" w:rsidRPr="0068136B">
        <w:rPr>
          <w:rFonts w:ascii="Arial" w:eastAsia="Arial" w:hAnsi="Arial" w:cs="Arial"/>
        </w:rPr>
        <w:t xml:space="preserve">2 </w:t>
      </w:r>
      <w:r w:rsidR="007B7353" w:rsidRPr="0068136B">
        <w:rPr>
          <w:rFonts w:ascii="Arial" w:eastAsia="Arial" w:hAnsi="Arial" w:cs="Arial"/>
        </w:rPr>
        <w:t xml:space="preserve">and underscores the extent to which the latter performed weakly in this risk governance parameter. </w:t>
      </w:r>
    </w:p>
    <w:p w14:paraId="05127709" w14:textId="77777777" w:rsidR="003451F6" w:rsidRPr="0068136B" w:rsidRDefault="003451F6" w:rsidP="003451F6">
      <w:pPr>
        <w:spacing w:after="0" w:line="480" w:lineRule="auto"/>
        <w:jc w:val="both"/>
        <w:rPr>
          <w:rFonts w:ascii="Arial" w:eastAsia="Arial" w:hAnsi="Arial" w:cs="Arial"/>
        </w:rPr>
      </w:pPr>
    </w:p>
    <w:p w14:paraId="00000049" w14:textId="2BAF746E" w:rsidR="00EE690B" w:rsidRPr="0068136B" w:rsidRDefault="009F3835" w:rsidP="003451F6">
      <w:pPr>
        <w:spacing w:after="0" w:line="480" w:lineRule="auto"/>
        <w:jc w:val="both"/>
        <w:rPr>
          <w:rFonts w:ascii="Arial" w:eastAsia="Arial" w:hAnsi="Arial" w:cs="Arial"/>
          <w:i/>
        </w:rPr>
      </w:pPr>
      <w:r w:rsidRPr="0068136B">
        <w:rPr>
          <w:rFonts w:ascii="Arial" w:eastAsia="Arial" w:hAnsi="Arial" w:cs="Arial"/>
          <w:i/>
        </w:rPr>
        <w:t>Reactions of other actors</w:t>
      </w:r>
    </w:p>
    <w:p w14:paraId="0000004B" w14:textId="77777777" w:rsidR="00EE690B" w:rsidRPr="0068136B" w:rsidRDefault="009F3835">
      <w:pPr>
        <w:spacing w:after="0" w:line="480" w:lineRule="auto"/>
        <w:jc w:val="both"/>
        <w:rPr>
          <w:rFonts w:ascii="Arial" w:eastAsia="Arial" w:hAnsi="Arial" w:cs="Arial"/>
        </w:rPr>
      </w:pPr>
      <w:r w:rsidRPr="0068136B">
        <w:rPr>
          <w:rFonts w:ascii="Arial" w:eastAsia="Arial" w:hAnsi="Arial" w:cs="Arial"/>
        </w:rPr>
        <w:lastRenderedPageBreak/>
        <w:t>Transparency and data accessibility</w:t>
      </w:r>
    </w:p>
    <w:p w14:paraId="1EAAB0DB" w14:textId="77777777" w:rsidR="00BC4DE7" w:rsidRPr="0068136B" w:rsidRDefault="00BC4DE7">
      <w:pPr>
        <w:spacing w:after="0" w:line="480" w:lineRule="auto"/>
        <w:jc w:val="both"/>
        <w:rPr>
          <w:rFonts w:ascii="Arial" w:eastAsia="Arial" w:hAnsi="Arial" w:cs="Arial"/>
        </w:rPr>
      </w:pPr>
    </w:p>
    <w:p w14:paraId="0000004C" w14:textId="15A5F132" w:rsidR="00EE690B" w:rsidRPr="0068136B" w:rsidRDefault="009F3835">
      <w:pPr>
        <w:spacing w:after="0" w:line="480" w:lineRule="auto"/>
        <w:jc w:val="both"/>
        <w:rPr>
          <w:rFonts w:ascii="Arial" w:eastAsia="Arial" w:hAnsi="Arial" w:cs="Arial"/>
        </w:rPr>
      </w:pPr>
      <w:r w:rsidRPr="0068136B">
        <w:rPr>
          <w:rFonts w:ascii="Arial" w:eastAsia="Arial" w:hAnsi="Arial" w:cs="Arial"/>
        </w:rPr>
        <w:t>Understanding that transparency and accessibility of the data were critical to deal with the pandemic,</w:t>
      </w:r>
      <w:r w:rsidR="007B69DE" w:rsidRPr="0068136B">
        <w:rPr>
          <w:rFonts w:ascii="Arial" w:eastAsia="Arial" w:hAnsi="Arial" w:cs="Arial"/>
        </w:rPr>
        <w:t xml:space="preserve"> </w:t>
      </w:r>
      <w:r w:rsidR="00913A5C" w:rsidRPr="0068136B">
        <w:rPr>
          <w:rFonts w:ascii="Arial" w:eastAsia="Arial" w:hAnsi="Arial" w:cs="Arial"/>
        </w:rPr>
        <w:t xml:space="preserve">and faced with </w:t>
      </w:r>
      <w:r w:rsidR="00505E68" w:rsidRPr="0068136B">
        <w:rPr>
          <w:rFonts w:ascii="Arial" w:eastAsia="Arial" w:hAnsi="Arial" w:cs="Arial"/>
        </w:rPr>
        <w:t xml:space="preserve">data blackouts on the part of the </w:t>
      </w:r>
      <w:r w:rsidR="00840839" w:rsidRPr="0068136B">
        <w:rPr>
          <w:rFonts w:ascii="Arial" w:eastAsia="Arial" w:hAnsi="Arial" w:cs="Arial"/>
        </w:rPr>
        <w:t>f</w:t>
      </w:r>
      <w:r w:rsidR="00505E68" w:rsidRPr="0068136B">
        <w:rPr>
          <w:rFonts w:ascii="Arial" w:eastAsia="Arial" w:hAnsi="Arial" w:cs="Arial"/>
        </w:rPr>
        <w:t xml:space="preserve">ederal government, </w:t>
      </w:r>
      <w:r w:rsidRPr="0068136B">
        <w:rPr>
          <w:rFonts w:ascii="Arial" w:eastAsia="Arial" w:hAnsi="Arial" w:cs="Arial"/>
        </w:rPr>
        <w:t xml:space="preserve">six Brazilian communication companies (O Estado de S. Paulo, G1, O Globo, Extra, Folha de S. Paulo, and UOL) created a media consortium on June 8, 2020. The main goal was to compensate for the lack of official data on the evolution of the pandemic, with up-to-date daily information collected directly from the states. </w:t>
      </w:r>
    </w:p>
    <w:p w14:paraId="0000004D" w14:textId="08B46AA5" w:rsidR="00EE690B" w:rsidRPr="0068136B" w:rsidRDefault="009F3835">
      <w:pPr>
        <w:spacing w:after="0" w:line="480" w:lineRule="auto"/>
        <w:ind w:firstLine="709"/>
        <w:jc w:val="both"/>
        <w:rPr>
          <w:rFonts w:ascii="Arial" w:eastAsia="Arial" w:hAnsi="Arial" w:cs="Arial"/>
        </w:rPr>
      </w:pPr>
      <w:r w:rsidRPr="0068136B">
        <w:rPr>
          <w:rFonts w:ascii="Arial" w:eastAsia="Arial" w:hAnsi="Arial" w:cs="Arial"/>
        </w:rPr>
        <w:t xml:space="preserve">As the Brazilian mass media </w:t>
      </w:r>
      <w:r w:rsidR="007B7353" w:rsidRPr="0068136B">
        <w:rPr>
          <w:rFonts w:ascii="Arial" w:eastAsia="Arial" w:hAnsi="Arial" w:cs="Arial"/>
        </w:rPr>
        <w:t xml:space="preserve">sought to </w:t>
      </w:r>
      <w:r w:rsidRPr="0068136B">
        <w:rPr>
          <w:rFonts w:ascii="Arial" w:eastAsia="Arial" w:hAnsi="Arial" w:cs="Arial"/>
        </w:rPr>
        <w:t xml:space="preserve">expand </w:t>
      </w:r>
      <w:r w:rsidR="007B7353" w:rsidRPr="0068136B">
        <w:rPr>
          <w:rFonts w:ascii="Arial" w:eastAsia="Arial" w:hAnsi="Arial" w:cs="Arial"/>
        </w:rPr>
        <w:t>the time-on-</w:t>
      </w:r>
      <w:r w:rsidRPr="0068136B">
        <w:rPr>
          <w:rFonts w:ascii="Arial" w:eastAsia="Arial" w:hAnsi="Arial" w:cs="Arial"/>
        </w:rPr>
        <w:t>air</w:t>
      </w:r>
      <w:r w:rsidR="007B7353" w:rsidRPr="0068136B">
        <w:rPr>
          <w:rFonts w:ascii="Arial" w:eastAsia="Arial" w:hAnsi="Arial" w:cs="Arial"/>
        </w:rPr>
        <w:t xml:space="preserve"> of</w:t>
      </w:r>
      <w:r w:rsidRPr="0068136B">
        <w:rPr>
          <w:rFonts w:ascii="Arial" w:eastAsia="Arial" w:hAnsi="Arial" w:cs="Arial"/>
        </w:rPr>
        <w:t xml:space="preserve"> scientists, health authorities, and practitioners (Massarani et al 2020; Caleffi and Pereira 2021), </w:t>
      </w:r>
      <w:r w:rsidR="007B7353" w:rsidRPr="0068136B">
        <w:rPr>
          <w:rFonts w:ascii="Arial" w:eastAsia="Arial" w:hAnsi="Arial" w:cs="Arial"/>
        </w:rPr>
        <w:t xml:space="preserve">we observed numerous instances of public </w:t>
      </w:r>
      <w:r w:rsidRPr="0068136B">
        <w:rPr>
          <w:rFonts w:ascii="Arial" w:eastAsia="Arial" w:hAnsi="Arial" w:cs="Arial"/>
        </w:rPr>
        <w:t>communication</w:t>
      </w:r>
      <w:r w:rsidR="007B7353" w:rsidRPr="0068136B">
        <w:rPr>
          <w:rFonts w:ascii="Arial" w:eastAsia="Arial" w:hAnsi="Arial" w:cs="Arial"/>
        </w:rPr>
        <w:t xml:space="preserve"> by individual </w:t>
      </w:r>
      <w:r w:rsidRPr="0068136B">
        <w:rPr>
          <w:rFonts w:ascii="Arial" w:eastAsia="Arial" w:hAnsi="Arial" w:cs="Arial"/>
        </w:rPr>
        <w:t>professionals, which increased their participation and visibility in social networks</w:t>
      </w:r>
      <w:r w:rsidR="00666396" w:rsidRPr="0068136B">
        <w:rPr>
          <w:rFonts w:ascii="Arial" w:eastAsia="Arial" w:hAnsi="Arial" w:cs="Arial"/>
        </w:rPr>
        <w:t>.</w:t>
      </w:r>
      <w:r w:rsidRPr="0068136B">
        <w:rPr>
          <w:rFonts w:ascii="Arial" w:eastAsia="Arial" w:hAnsi="Arial" w:cs="Arial"/>
        </w:rPr>
        <w:t xml:space="preserve"> </w:t>
      </w:r>
      <w:r w:rsidR="00666396" w:rsidRPr="0068136B">
        <w:rPr>
          <w:rFonts w:ascii="Arial" w:eastAsia="Arial" w:hAnsi="Arial" w:cs="Arial"/>
        </w:rPr>
        <w:t xml:space="preserve">This helped </w:t>
      </w:r>
      <w:r w:rsidRPr="0068136B">
        <w:rPr>
          <w:rFonts w:ascii="Arial" w:eastAsia="Arial" w:hAnsi="Arial" w:cs="Arial"/>
        </w:rPr>
        <w:t xml:space="preserve">to bridge the gap between science and society. For example, around 97% of Brazilian science influencers on Twitter talked about vaccination and helped to spread </w:t>
      </w:r>
      <w:r w:rsidR="00666396" w:rsidRPr="0068136B">
        <w:rPr>
          <w:rFonts w:ascii="Arial" w:eastAsia="Arial" w:hAnsi="Arial" w:cs="Arial"/>
        </w:rPr>
        <w:t xml:space="preserve">information about </w:t>
      </w:r>
      <w:r w:rsidRPr="0068136B">
        <w:rPr>
          <w:rFonts w:ascii="Arial" w:eastAsia="Arial" w:hAnsi="Arial" w:cs="Arial"/>
        </w:rPr>
        <w:t xml:space="preserve">the importance of immunizations, in a collaborative effort of knowledge dissemination and sharing (Meirelles 2020). </w:t>
      </w:r>
    </w:p>
    <w:p w14:paraId="0000004E" w14:textId="77777777" w:rsidR="00EE690B" w:rsidRPr="0068136B" w:rsidRDefault="00EE690B">
      <w:pPr>
        <w:spacing w:after="0" w:line="480" w:lineRule="auto"/>
        <w:ind w:firstLine="709"/>
        <w:jc w:val="both"/>
        <w:rPr>
          <w:rFonts w:ascii="Arial" w:eastAsia="Arial" w:hAnsi="Arial" w:cs="Arial"/>
        </w:rPr>
      </w:pPr>
    </w:p>
    <w:p w14:paraId="0000004F" w14:textId="77777777" w:rsidR="00EE690B" w:rsidRPr="0068136B" w:rsidRDefault="009F3835">
      <w:pPr>
        <w:spacing w:after="0" w:line="480" w:lineRule="auto"/>
        <w:jc w:val="both"/>
        <w:rPr>
          <w:rFonts w:ascii="Arial" w:eastAsia="Arial" w:hAnsi="Arial" w:cs="Arial"/>
        </w:rPr>
      </w:pPr>
      <w:r w:rsidRPr="0068136B">
        <w:rPr>
          <w:rFonts w:ascii="Arial" w:eastAsia="Arial" w:hAnsi="Arial" w:cs="Arial"/>
        </w:rPr>
        <w:t>Risk communication</w:t>
      </w:r>
    </w:p>
    <w:p w14:paraId="7B351158" w14:textId="77777777" w:rsidR="00666396" w:rsidRPr="0068136B" w:rsidRDefault="00666396">
      <w:pPr>
        <w:spacing w:after="0" w:line="480" w:lineRule="auto"/>
        <w:jc w:val="both"/>
        <w:rPr>
          <w:rFonts w:ascii="Arial" w:eastAsia="Arial" w:hAnsi="Arial" w:cs="Arial"/>
        </w:rPr>
      </w:pPr>
    </w:p>
    <w:p w14:paraId="00000050" w14:textId="0BDE9743" w:rsidR="00EE690B" w:rsidRPr="0068136B" w:rsidRDefault="009F3835">
      <w:pPr>
        <w:spacing w:after="0" w:line="480" w:lineRule="auto"/>
        <w:jc w:val="both"/>
        <w:rPr>
          <w:rFonts w:ascii="Arial" w:eastAsia="Arial" w:hAnsi="Arial" w:cs="Arial"/>
        </w:rPr>
      </w:pPr>
      <w:r w:rsidRPr="0068136B">
        <w:rPr>
          <w:rFonts w:ascii="Arial" w:eastAsia="Arial" w:hAnsi="Arial" w:cs="Arial"/>
        </w:rPr>
        <w:t xml:space="preserve">While the government opted for communication strategies that minimized the severity of the pandemic, the press and part of state and municipal governments developed risk communication campaigns to inform the population (Araújo 2021; Felten n/d). Some national </w:t>
      </w:r>
      <w:r w:rsidR="00C64D06" w:rsidRPr="0068136B">
        <w:rPr>
          <w:rFonts w:ascii="Arial" w:eastAsia="Arial" w:hAnsi="Arial" w:cs="Arial"/>
        </w:rPr>
        <w:t>regulatory</w:t>
      </w:r>
      <w:r w:rsidR="00E41CD1" w:rsidRPr="0068136B">
        <w:rPr>
          <w:rFonts w:ascii="Arial" w:eastAsia="Arial" w:hAnsi="Arial" w:cs="Arial"/>
        </w:rPr>
        <w:t xml:space="preserve"> </w:t>
      </w:r>
      <w:r w:rsidRPr="0068136B">
        <w:rPr>
          <w:rFonts w:ascii="Arial" w:eastAsia="Arial" w:hAnsi="Arial" w:cs="Arial"/>
        </w:rPr>
        <w:t xml:space="preserve">agencies (e.g. Federal Supreme Court - STF, Federal Audit Court - TCU, Brazilian Bar Association - OAB, National Health Surveillance Agency - ANVISA) sought to combat government disinformation. Some social media companies also took actions in this direction, excluding or marking posts about specific issues or even deleting profiles. For example, in March 2020, the justice system banned a federal government campaign – “Brazil cannot stop” – which openly contradicted science. Prosecutors </w:t>
      </w:r>
      <w:r w:rsidR="007B7353" w:rsidRPr="0068136B">
        <w:rPr>
          <w:rFonts w:ascii="Arial" w:eastAsia="Arial" w:hAnsi="Arial" w:cs="Arial"/>
        </w:rPr>
        <w:t>claimed</w:t>
      </w:r>
      <w:r w:rsidRPr="0068136B">
        <w:rPr>
          <w:rFonts w:ascii="Arial" w:eastAsia="Arial" w:hAnsi="Arial" w:cs="Arial"/>
        </w:rPr>
        <w:t xml:space="preserve"> a communication plan on the </w:t>
      </w:r>
      <w:r w:rsidRPr="0068136B">
        <w:rPr>
          <w:rFonts w:ascii="Arial" w:eastAsia="Arial" w:hAnsi="Arial" w:cs="Arial"/>
        </w:rPr>
        <w:lastRenderedPageBreak/>
        <w:t>pandemic, stating that the information provided by the government to the population was scarce and unconstitutional (CONJUR 2021).</w:t>
      </w:r>
    </w:p>
    <w:p w14:paraId="7C6DEB63" w14:textId="77777777" w:rsidR="00302E41" w:rsidRPr="0068136B" w:rsidRDefault="00302E41">
      <w:pPr>
        <w:spacing w:after="0" w:line="480" w:lineRule="auto"/>
        <w:jc w:val="both"/>
        <w:rPr>
          <w:rFonts w:ascii="Arial" w:eastAsia="Arial" w:hAnsi="Arial" w:cs="Arial"/>
        </w:rPr>
      </w:pPr>
    </w:p>
    <w:p w14:paraId="00000052" w14:textId="77777777" w:rsidR="00EE690B" w:rsidRPr="0068136B" w:rsidRDefault="009F3835">
      <w:pPr>
        <w:spacing w:after="0" w:line="480" w:lineRule="auto"/>
        <w:jc w:val="both"/>
        <w:rPr>
          <w:rFonts w:ascii="Arial" w:eastAsia="Arial" w:hAnsi="Arial" w:cs="Arial"/>
        </w:rPr>
      </w:pPr>
      <w:r w:rsidRPr="0068136B">
        <w:rPr>
          <w:rFonts w:ascii="Arial" w:eastAsia="Arial" w:hAnsi="Arial" w:cs="Arial"/>
        </w:rPr>
        <w:t>Negotiation between actors</w:t>
      </w:r>
    </w:p>
    <w:p w14:paraId="5DFE53EE" w14:textId="77777777" w:rsidR="005B4741" w:rsidRPr="0068136B" w:rsidRDefault="005B4741">
      <w:pPr>
        <w:spacing w:after="0" w:line="480" w:lineRule="auto"/>
        <w:jc w:val="both"/>
        <w:rPr>
          <w:rFonts w:ascii="Arial" w:eastAsia="Arial" w:hAnsi="Arial" w:cs="Arial"/>
        </w:rPr>
      </w:pPr>
    </w:p>
    <w:p w14:paraId="00000054" w14:textId="205B03A0" w:rsidR="00EE690B" w:rsidRPr="0068136B" w:rsidRDefault="009F3835" w:rsidP="00487A1F">
      <w:pPr>
        <w:spacing w:after="0" w:line="480" w:lineRule="auto"/>
        <w:jc w:val="both"/>
        <w:rPr>
          <w:rFonts w:ascii="Arial" w:eastAsia="Arial" w:hAnsi="Arial" w:cs="Arial"/>
        </w:rPr>
      </w:pPr>
      <w:r w:rsidRPr="0068136B">
        <w:rPr>
          <w:rFonts w:ascii="Arial" w:eastAsia="Arial" w:hAnsi="Arial" w:cs="Arial"/>
        </w:rPr>
        <w:t>The government’s failings led other actors to step in to fill the risk governance vacuum</w:t>
      </w:r>
      <w:r w:rsidR="00853CC8" w:rsidRPr="0068136B">
        <w:rPr>
          <w:rFonts w:ascii="Arial" w:eastAsia="Arial" w:hAnsi="Arial" w:cs="Arial"/>
        </w:rPr>
        <w:t xml:space="preserve"> and </w:t>
      </w:r>
      <w:r w:rsidR="0054461A" w:rsidRPr="0068136B">
        <w:rPr>
          <w:rFonts w:ascii="Arial" w:eastAsia="Arial" w:hAnsi="Arial" w:cs="Arial"/>
        </w:rPr>
        <w:t>to compensate for the</w:t>
      </w:r>
      <w:r w:rsidR="00853CC8" w:rsidRPr="0068136B">
        <w:rPr>
          <w:rFonts w:ascii="Arial" w:eastAsia="Arial" w:hAnsi="Arial" w:cs="Arial"/>
        </w:rPr>
        <w:t xml:space="preserve"> lack of transparency and accountability in the decision-making process – made visible by the existence of the presidential advisory group </w:t>
      </w:r>
      <w:r w:rsidR="000D11BD" w:rsidRPr="0068136B">
        <w:rPr>
          <w:rFonts w:ascii="Arial" w:eastAsia="Arial" w:hAnsi="Arial" w:cs="Arial"/>
        </w:rPr>
        <w:t xml:space="preserve">(the </w:t>
      </w:r>
      <w:r w:rsidR="00EA6D0A" w:rsidRPr="0068136B">
        <w:rPr>
          <w:rFonts w:ascii="Arial" w:eastAsia="Arial" w:hAnsi="Arial" w:cs="Arial"/>
        </w:rPr>
        <w:t>“</w:t>
      </w:r>
      <w:r w:rsidR="000D11BD" w:rsidRPr="0068136B">
        <w:rPr>
          <w:rFonts w:ascii="Arial" w:eastAsia="Arial" w:hAnsi="Arial" w:cs="Arial"/>
        </w:rPr>
        <w:t>parallel cabinet</w:t>
      </w:r>
      <w:r w:rsidR="00EA6D0A" w:rsidRPr="0068136B">
        <w:rPr>
          <w:rFonts w:ascii="Arial" w:eastAsia="Arial" w:hAnsi="Arial" w:cs="Arial"/>
        </w:rPr>
        <w:t>”</w:t>
      </w:r>
      <w:r w:rsidR="000D11BD" w:rsidRPr="0068136B">
        <w:rPr>
          <w:rFonts w:ascii="Arial" w:eastAsia="Arial" w:hAnsi="Arial" w:cs="Arial"/>
        </w:rPr>
        <w:t xml:space="preserve">). </w:t>
      </w:r>
      <w:r w:rsidRPr="0068136B">
        <w:rPr>
          <w:rFonts w:ascii="Arial" w:eastAsia="Arial" w:hAnsi="Arial" w:cs="Arial"/>
        </w:rPr>
        <w:t>One important reaction came from the STF, which, faced with ongoing conflicts between the federal, state and municipal governments regarding restrictive measures and actions to deal with the pandemic, decided that states and municipalities had the autonomy to adopt measures at the local level (G1 15/04/2020). Two other critical examples of negotiations came from the governors and mayors. While governors of the Northeast states created the “</w:t>
      </w:r>
      <w:r w:rsidR="00B626EE" w:rsidRPr="0068136B">
        <w:rPr>
          <w:rFonts w:ascii="Arial" w:eastAsia="Arial" w:hAnsi="Arial" w:cs="Arial"/>
        </w:rPr>
        <w:t>N</w:t>
      </w:r>
      <w:r w:rsidRPr="0068136B">
        <w:rPr>
          <w:rFonts w:ascii="Arial" w:eastAsia="Arial" w:hAnsi="Arial" w:cs="Arial"/>
        </w:rPr>
        <w:t xml:space="preserve">ortheast </w:t>
      </w:r>
      <w:r w:rsidR="00B626EE" w:rsidRPr="0068136B">
        <w:rPr>
          <w:rFonts w:ascii="Arial" w:eastAsia="Arial" w:hAnsi="Arial" w:cs="Arial"/>
        </w:rPr>
        <w:t>C</w:t>
      </w:r>
      <w:r w:rsidRPr="0068136B">
        <w:rPr>
          <w:rFonts w:ascii="Arial" w:eastAsia="Arial" w:hAnsi="Arial" w:cs="Arial"/>
        </w:rPr>
        <w:t xml:space="preserve">onsortium” to </w:t>
      </w:r>
      <w:r w:rsidR="00B626EE" w:rsidRPr="0068136B">
        <w:rPr>
          <w:rFonts w:ascii="Arial" w:eastAsia="Arial" w:hAnsi="Arial" w:cs="Arial"/>
        </w:rPr>
        <w:t xml:space="preserve">purchase </w:t>
      </w:r>
      <w:r w:rsidRPr="0068136B">
        <w:rPr>
          <w:rFonts w:ascii="Arial" w:eastAsia="Arial" w:hAnsi="Arial" w:cs="Arial"/>
        </w:rPr>
        <w:t>Sputnik vaccine (G1 12/03/2021), mayors from different Brazilian cities sought to negotiate the purchase of the Coronavac vaccine directly from the Butantan Institute (UOL 10/12/2020).</w:t>
      </w:r>
    </w:p>
    <w:p w14:paraId="00000055" w14:textId="77777777" w:rsidR="00EE690B" w:rsidRPr="0068136B" w:rsidRDefault="00EE690B">
      <w:pPr>
        <w:spacing w:after="0" w:line="480" w:lineRule="auto"/>
        <w:jc w:val="both"/>
        <w:rPr>
          <w:rFonts w:ascii="Arial" w:eastAsia="Arial" w:hAnsi="Arial" w:cs="Arial"/>
        </w:rPr>
      </w:pPr>
    </w:p>
    <w:p w14:paraId="00000056" w14:textId="77777777" w:rsidR="00EE690B" w:rsidRPr="0068136B" w:rsidRDefault="009F3835">
      <w:pPr>
        <w:spacing w:after="0" w:line="480" w:lineRule="auto"/>
        <w:jc w:val="both"/>
        <w:rPr>
          <w:rFonts w:ascii="Arial" w:eastAsia="Arial" w:hAnsi="Arial" w:cs="Arial"/>
        </w:rPr>
      </w:pPr>
      <w:r w:rsidRPr="0068136B">
        <w:rPr>
          <w:rFonts w:ascii="Arial" w:eastAsia="Arial" w:hAnsi="Arial" w:cs="Arial"/>
        </w:rPr>
        <w:t>Social cohesion and public participation</w:t>
      </w:r>
    </w:p>
    <w:p w14:paraId="65F215B8" w14:textId="77777777" w:rsidR="000D11BD" w:rsidRPr="0068136B" w:rsidRDefault="000D11BD">
      <w:pPr>
        <w:spacing w:after="0" w:line="480" w:lineRule="auto"/>
        <w:jc w:val="both"/>
        <w:rPr>
          <w:rFonts w:ascii="Arial" w:eastAsia="Arial" w:hAnsi="Arial" w:cs="Arial"/>
        </w:rPr>
      </w:pPr>
    </w:p>
    <w:p w14:paraId="00000057" w14:textId="227A5DED" w:rsidR="00EE690B" w:rsidRPr="0068136B" w:rsidRDefault="00B626EE">
      <w:pPr>
        <w:spacing w:after="0" w:line="480" w:lineRule="auto"/>
        <w:jc w:val="both"/>
        <w:rPr>
          <w:rFonts w:ascii="Arial" w:eastAsia="Arial" w:hAnsi="Arial" w:cs="Arial"/>
        </w:rPr>
      </w:pPr>
      <w:r w:rsidRPr="0068136B">
        <w:rPr>
          <w:rFonts w:ascii="Arial" w:eastAsia="Arial" w:hAnsi="Arial" w:cs="Arial"/>
        </w:rPr>
        <w:t>The government’s pandemic response</w:t>
      </w:r>
      <w:r w:rsidR="000D11BD" w:rsidRPr="0068136B">
        <w:rPr>
          <w:rFonts w:ascii="Arial" w:eastAsia="Arial" w:hAnsi="Arial" w:cs="Arial"/>
        </w:rPr>
        <w:t xml:space="preserve"> </w:t>
      </w:r>
      <w:r w:rsidR="0075072B" w:rsidRPr="0068136B">
        <w:rPr>
          <w:rFonts w:ascii="Arial" w:eastAsia="Arial" w:hAnsi="Arial" w:cs="Arial"/>
        </w:rPr>
        <w:t xml:space="preserve">created </w:t>
      </w:r>
      <w:r w:rsidR="000D11BD" w:rsidRPr="0068136B">
        <w:rPr>
          <w:rFonts w:ascii="Arial" w:eastAsia="Arial" w:hAnsi="Arial" w:cs="Arial"/>
        </w:rPr>
        <w:t>deep cleavages among Brazilian authorities, politicians and civil society (Campos 2020).</w:t>
      </w:r>
      <w:r w:rsidR="0075072B" w:rsidRPr="0068136B">
        <w:rPr>
          <w:rFonts w:ascii="Arial" w:eastAsia="Arial" w:hAnsi="Arial" w:cs="Arial"/>
        </w:rPr>
        <w:t xml:space="preserve"> In response, the STF</w:t>
      </w:r>
      <w:r w:rsidR="00A93156" w:rsidRPr="0068136B">
        <w:rPr>
          <w:rFonts w:ascii="Arial" w:eastAsia="Arial" w:hAnsi="Arial" w:cs="Arial"/>
        </w:rPr>
        <w:t xml:space="preserve"> </w:t>
      </w:r>
      <w:r w:rsidR="0075072B" w:rsidRPr="0068136B">
        <w:rPr>
          <w:rFonts w:ascii="Arial" w:eastAsia="Arial" w:hAnsi="Arial" w:cs="Arial"/>
        </w:rPr>
        <w:t>moved to</w:t>
      </w:r>
      <w:r w:rsidR="009F3835" w:rsidRPr="0068136B">
        <w:rPr>
          <w:rFonts w:ascii="Arial" w:eastAsia="Arial" w:hAnsi="Arial" w:cs="Arial"/>
        </w:rPr>
        <w:t xml:space="preserve"> allow states, municipalities, local authorities, the scientific community, medical authorities, and civil </w:t>
      </w:r>
      <w:r w:rsidR="00C94D7E" w:rsidRPr="0068136B">
        <w:rPr>
          <w:rFonts w:ascii="Arial" w:eastAsia="Arial" w:hAnsi="Arial" w:cs="Arial"/>
        </w:rPr>
        <w:t xml:space="preserve">society </w:t>
      </w:r>
      <w:r w:rsidR="009F3835" w:rsidRPr="0068136B">
        <w:rPr>
          <w:rFonts w:ascii="Arial" w:eastAsia="Arial" w:hAnsi="Arial" w:cs="Arial"/>
        </w:rPr>
        <w:t>organizations to engage the population in the decision-making processes</w:t>
      </w:r>
      <w:r w:rsidR="00C94D7E" w:rsidRPr="0068136B">
        <w:rPr>
          <w:rFonts w:ascii="Arial" w:eastAsia="Arial" w:hAnsi="Arial" w:cs="Arial"/>
        </w:rPr>
        <w:t xml:space="preserve"> –</w:t>
      </w:r>
      <w:r w:rsidR="009F3835" w:rsidRPr="0068136B">
        <w:rPr>
          <w:rFonts w:ascii="Arial" w:eastAsia="Arial" w:hAnsi="Arial" w:cs="Arial"/>
        </w:rPr>
        <w:t xml:space="preserve"> </w:t>
      </w:r>
      <w:r w:rsidR="00C94D7E" w:rsidRPr="0068136B">
        <w:rPr>
          <w:rFonts w:ascii="Arial" w:eastAsia="Arial" w:hAnsi="Arial" w:cs="Arial"/>
        </w:rPr>
        <w:t xml:space="preserve">the goal being to </w:t>
      </w:r>
      <w:r w:rsidR="009F3835" w:rsidRPr="0068136B">
        <w:rPr>
          <w:rFonts w:ascii="Arial" w:eastAsia="Arial" w:hAnsi="Arial" w:cs="Arial"/>
        </w:rPr>
        <w:t xml:space="preserve">foster social cohesion and public participation (Vieira 2020). NGOs, social movements and institutions engaged in local solutions to deal with the pandemic and minimize its negative effects. </w:t>
      </w:r>
      <w:r w:rsidR="009F3835" w:rsidRPr="0068136B">
        <w:rPr>
          <w:rFonts w:ascii="Arial" w:eastAsia="Arial" w:hAnsi="Arial" w:cs="Arial"/>
          <w:lang w:val="pt-PT"/>
        </w:rPr>
        <w:t xml:space="preserve">For example, the project "Conexão Saúde: de olho na covid!" </w:t>
      </w:r>
      <w:r w:rsidR="00F223C5" w:rsidRPr="0068136B">
        <w:rPr>
          <w:rFonts w:ascii="Arial" w:eastAsia="Arial" w:hAnsi="Arial" w:cs="Arial"/>
        </w:rPr>
        <w:t xml:space="preserve">[Health Connection: Keeping an Eye on Covid] </w:t>
      </w:r>
      <w:r w:rsidR="009F3835" w:rsidRPr="0068136B">
        <w:rPr>
          <w:rFonts w:ascii="Arial" w:eastAsia="Arial" w:hAnsi="Arial" w:cs="Arial"/>
        </w:rPr>
        <w:t>engaged professionals from Fiocruz and other institutions to offer tests, disseminate information and</w:t>
      </w:r>
      <w:r w:rsidR="00F223C5" w:rsidRPr="0068136B">
        <w:rPr>
          <w:rFonts w:ascii="Arial" w:eastAsia="Arial" w:hAnsi="Arial" w:cs="Arial"/>
        </w:rPr>
        <w:t xml:space="preserve"> provide</w:t>
      </w:r>
      <w:r w:rsidR="009F3835" w:rsidRPr="0068136B">
        <w:rPr>
          <w:rFonts w:ascii="Arial" w:eastAsia="Arial" w:hAnsi="Arial" w:cs="Arial"/>
        </w:rPr>
        <w:t xml:space="preserve"> medical support to the residents of Complexo da </w:t>
      </w:r>
      <w:r w:rsidR="009F3835" w:rsidRPr="0068136B">
        <w:rPr>
          <w:rFonts w:ascii="Arial" w:eastAsia="Arial" w:hAnsi="Arial" w:cs="Arial"/>
        </w:rPr>
        <w:lastRenderedPageBreak/>
        <w:t xml:space="preserve">Maré, in Rio de Janeiro (UOL 13/12/2020). In São Paulo, the </w:t>
      </w:r>
      <w:r w:rsidR="00C93B06" w:rsidRPr="0068136B">
        <w:rPr>
          <w:rFonts w:ascii="Arial" w:eastAsia="Arial" w:hAnsi="Arial" w:cs="Arial"/>
        </w:rPr>
        <w:t xml:space="preserve">social project </w:t>
      </w:r>
      <w:r w:rsidR="009F3835" w:rsidRPr="0068136B">
        <w:rPr>
          <w:rFonts w:ascii="Arial" w:eastAsia="Arial" w:hAnsi="Arial" w:cs="Arial"/>
        </w:rPr>
        <w:t>Fazendinhando Institute</w:t>
      </w:r>
      <w:r w:rsidR="00C93B06" w:rsidRPr="0068136B">
        <w:rPr>
          <w:rFonts w:ascii="Arial" w:eastAsia="Arial" w:hAnsi="Arial" w:cs="Arial"/>
        </w:rPr>
        <w:t xml:space="preserve"> </w:t>
      </w:r>
      <w:r w:rsidR="009F3835" w:rsidRPr="0068136B">
        <w:rPr>
          <w:rFonts w:ascii="Arial" w:eastAsia="Arial" w:hAnsi="Arial" w:cs="Arial"/>
        </w:rPr>
        <w:t xml:space="preserve">organized crowdfunding campaigns and donations of food for residents of Jardim Colombo (Nunes, 2021).  </w:t>
      </w:r>
    </w:p>
    <w:p w14:paraId="675F0BCA" w14:textId="77777777" w:rsidR="00302E41" w:rsidRPr="0068136B" w:rsidRDefault="00302E41">
      <w:pPr>
        <w:spacing w:after="0" w:line="480" w:lineRule="auto"/>
        <w:jc w:val="both"/>
        <w:rPr>
          <w:rFonts w:ascii="Arial" w:eastAsia="Arial" w:hAnsi="Arial" w:cs="Arial"/>
        </w:rPr>
      </w:pPr>
    </w:p>
    <w:p w14:paraId="00000059" w14:textId="77777777" w:rsidR="00EE690B" w:rsidRPr="0068136B" w:rsidRDefault="009F3835">
      <w:pPr>
        <w:spacing w:after="0" w:line="480" w:lineRule="auto"/>
        <w:jc w:val="both"/>
        <w:rPr>
          <w:rFonts w:ascii="Arial" w:eastAsia="Arial" w:hAnsi="Arial" w:cs="Arial"/>
        </w:rPr>
      </w:pPr>
      <w:r w:rsidRPr="0068136B">
        <w:rPr>
          <w:rFonts w:ascii="Arial" w:eastAsia="Arial" w:hAnsi="Arial" w:cs="Arial"/>
        </w:rPr>
        <w:t>Decisions based on scientific evidence, context and resources</w:t>
      </w:r>
    </w:p>
    <w:p w14:paraId="6B9006B0" w14:textId="77777777" w:rsidR="00C93B06" w:rsidRPr="0068136B" w:rsidRDefault="00C93B06">
      <w:pPr>
        <w:spacing w:after="0" w:line="480" w:lineRule="auto"/>
        <w:jc w:val="both"/>
        <w:rPr>
          <w:rFonts w:ascii="Arial" w:eastAsia="Arial" w:hAnsi="Arial" w:cs="Arial"/>
        </w:rPr>
      </w:pPr>
    </w:p>
    <w:p w14:paraId="0000005A" w14:textId="2C8D0D9E" w:rsidR="00EE690B" w:rsidRPr="0068136B" w:rsidRDefault="009F3835">
      <w:pPr>
        <w:spacing w:after="0" w:line="480" w:lineRule="auto"/>
        <w:jc w:val="both"/>
        <w:rPr>
          <w:rFonts w:ascii="Arial" w:eastAsia="Arial" w:hAnsi="Arial" w:cs="Arial"/>
        </w:rPr>
      </w:pPr>
      <w:r w:rsidRPr="0068136B">
        <w:rPr>
          <w:rFonts w:ascii="Arial" w:eastAsia="Arial" w:hAnsi="Arial" w:cs="Arial"/>
        </w:rPr>
        <w:t xml:space="preserve">Mayors and state governors opposed the federal government's herd immunity strategy, </w:t>
      </w:r>
      <w:r w:rsidR="00421048" w:rsidRPr="0068136B">
        <w:rPr>
          <w:rFonts w:ascii="Arial" w:eastAsia="Arial" w:hAnsi="Arial" w:cs="Arial"/>
        </w:rPr>
        <w:t>proven to be ineffective</w:t>
      </w:r>
      <w:r w:rsidRPr="0068136B">
        <w:rPr>
          <w:rFonts w:ascii="Arial" w:eastAsia="Arial" w:hAnsi="Arial" w:cs="Arial"/>
        </w:rPr>
        <w:t xml:space="preserve"> (OPAS 2021a), </w:t>
      </w:r>
      <w:r w:rsidR="008D3934" w:rsidRPr="0068136B">
        <w:rPr>
          <w:rFonts w:ascii="Arial" w:eastAsia="Arial" w:hAnsi="Arial" w:cs="Arial"/>
        </w:rPr>
        <w:t>and sought to promote</w:t>
      </w:r>
      <w:r w:rsidRPr="0068136B">
        <w:rPr>
          <w:rFonts w:ascii="Arial" w:eastAsia="Arial" w:hAnsi="Arial" w:cs="Arial"/>
        </w:rPr>
        <w:t xml:space="preserve"> non-pharmacological measures and vaccines</w:t>
      </w:r>
      <w:r w:rsidR="008D3934" w:rsidRPr="0068136B">
        <w:rPr>
          <w:rFonts w:ascii="Arial" w:eastAsia="Arial" w:hAnsi="Arial" w:cs="Arial"/>
        </w:rPr>
        <w:t xml:space="preserve">, which had been </w:t>
      </w:r>
      <w:r w:rsidR="00BD35CB" w:rsidRPr="0068136B">
        <w:rPr>
          <w:rFonts w:ascii="Arial" w:eastAsia="Arial" w:hAnsi="Arial" w:cs="Arial"/>
        </w:rPr>
        <w:t>shown to be</w:t>
      </w:r>
      <w:r w:rsidRPr="0068136B">
        <w:rPr>
          <w:rFonts w:ascii="Arial" w:eastAsia="Arial" w:hAnsi="Arial" w:cs="Arial"/>
        </w:rPr>
        <w:t xml:space="preserve"> the best strategy (OPAS 2021b). For example, in S</w:t>
      </w:r>
      <w:r w:rsidR="00110D21" w:rsidRPr="0068136B">
        <w:rPr>
          <w:rFonts w:ascii="Arial" w:eastAsia="Arial" w:hAnsi="Arial" w:cs="Arial"/>
        </w:rPr>
        <w:t>ã</w:t>
      </w:r>
      <w:r w:rsidRPr="0068136B">
        <w:rPr>
          <w:rFonts w:ascii="Arial" w:eastAsia="Arial" w:hAnsi="Arial" w:cs="Arial"/>
        </w:rPr>
        <w:t>o Paulo, Brazil's most populated and industrialized state and most affected by Covid-19, governor João Doria instituted fines for failing to wear a face mask in public from July 1, 2020. By March 2022, this measure was mandatory for outdoor and closed spaces. In Araraquara, a small city in the state of São Paulo, the mayor implemented two strict lockdowns in 2021</w:t>
      </w:r>
      <w:r w:rsidR="005814A2" w:rsidRPr="0068136B">
        <w:rPr>
          <w:rFonts w:ascii="Arial" w:eastAsia="Arial" w:hAnsi="Arial" w:cs="Arial"/>
        </w:rPr>
        <w:t xml:space="preserve">: </w:t>
      </w:r>
      <w:r w:rsidRPr="0068136B">
        <w:rPr>
          <w:rFonts w:ascii="Arial" w:eastAsia="Arial" w:hAnsi="Arial" w:cs="Arial"/>
        </w:rPr>
        <w:t>from February 23 to March 2</w:t>
      </w:r>
      <w:r w:rsidR="005814A2" w:rsidRPr="0068136B">
        <w:rPr>
          <w:rFonts w:ascii="Arial" w:eastAsia="Arial" w:hAnsi="Arial" w:cs="Arial"/>
        </w:rPr>
        <w:t>, and</w:t>
      </w:r>
      <w:r w:rsidRPr="0068136B">
        <w:rPr>
          <w:rFonts w:ascii="Arial" w:eastAsia="Arial" w:hAnsi="Arial" w:cs="Arial"/>
        </w:rPr>
        <w:t xml:space="preserve"> June 20 to 27. Later results confirmed that the social distancing interventions were effective tools for flattening epidemic curves (Figueiredo Filho and Silva 2021).</w:t>
      </w:r>
    </w:p>
    <w:p w14:paraId="0000005B" w14:textId="77777777" w:rsidR="00EE690B" w:rsidRPr="0068136B" w:rsidRDefault="00EE690B">
      <w:pPr>
        <w:spacing w:after="0" w:line="480" w:lineRule="auto"/>
        <w:jc w:val="both"/>
        <w:rPr>
          <w:rFonts w:ascii="Arial" w:eastAsia="Arial" w:hAnsi="Arial" w:cs="Arial"/>
        </w:rPr>
      </w:pPr>
    </w:p>
    <w:p w14:paraId="0000005C" w14:textId="77777777" w:rsidR="00EE690B" w:rsidRPr="0068136B" w:rsidRDefault="009F3835">
      <w:pPr>
        <w:spacing w:after="0" w:line="480" w:lineRule="auto"/>
        <w:jc w:val="both"/>
        <w:rPr>
          <w:rFonts w:ascii="Arial" w:eastAsia="Arial" w:hAnsi="Arial" w:cs="Arial"/>
          <w:i/>
        </w:rPr>
      </w:pPr>
      <w:r w:rsidRPr="0068136B">
        <w:rPr>
          <w:rFonts w:ascii="Arial" w:eastAsia="Arial" w:hAnsi="Arial" w:cs="Arial"/>
          <w:i/>
        </w:rPr>
        <w:t>Observed effects</w:t>
      </w:r>
    </w:p>
    <w:p w14:paraId="0000005D" w14:textId="77777777" w:rsidR="00EE690B" w:rsidRPr="0068136B" w:rsidRDefault="00EE690B">
      <w:pPr>
        <w:spacing w:after="0" w:line="480" w:lineRule="auto"/>
        <w:jc w:val="both"/>
        <w:rPr>
          <w:rFonts w:ascii="Arial" w:eastAsia="Arial" w:hAnsi="Arial" w:cs="Arial"/>
          <w:i/>
        </w:rPr>
      </w:pPr>
    </w:p>
    <w:p w14:paraId="7D94F744" w14:textId="05F6FEEA" w:rsidR="00BE55B5" w:rsidRPr="0068136B" w:rsidRDefault="009F3835">
      <w:pPr>
        <w:spacing w:after="0" w:line="480" w:lineRule="auto"/>
        <w:jc w:val="both"/>
        <w:rPr>
          <w:rFonts w:ascii="Arial" w:eastAsia="Arial" w:hAnsi="Arial" w:cs="Arial"/>
        </w:rPr>
      </w:pPr>
      <w:r w:rsidRPr="0068136B">
        <w:rPr>
          <w:rFonts w:ascii="Arial" w:eastAsia="Arial" w:hAnsi="Arial" w:cs="Arial"/>
        </w:rPr>
        <w:t xml:space="preserve">The </w:t>
      </w:r>
      <w:r w:rsidR="00F52F89" w:rsidRPr="0068136B">
        <w:rPr>
          <w:rFonts w:ascii="Arial" w:eastAsia="Arial" w:hAnsi="Arial" w:cs="Arial"/>
        </w:rPr>
        <w:t>weak</w:t>
      </w:r>
      <w:r w:rsidR="005F6637" w:rsidRPr="0068136B">
        <w:rPr>
          <w:rFonts w:ascii="Arial" w:eastAsia="Arial" w:hAnsi="Arial" w:cs="Arial"/>
        </w:rPr>
        <w:t xml:space="preserve"> performance of</w:t>
      </w:r>
      <w:r w:rsidR="00F52F89" w:rsidRPr="0068136B">
        <w:rPr>
          <w:rFonts w:ascii="Arial" w:eastAsia="Arial" w:hAnsi="Arial" w:cs="Arial"/>
        </w:rPr>
        <w:t xml:space="preserve"> </w:t>
      </w:r>
      <w:r w:rsidRPr="0068136B">
        <w:rPr>
          <w:rFonts w:ascii="Arial" w:eastAsia="Arial" w:hAnsi="Arial" w:cs="Arial"/>
        </w:rPr>
        <w:t xml:space="preserve">the </w:t>
      </w:r>
      <w:r w:rsidR="00DD6BC3" w:rsidRPr="0068136B">
        <w:rPr>
          <w:rFonts w:ascii="Arial" w:eastAsia="Arial" w:hAnsi="Arial" w:cs="Arial"/>
        </w:rPr>
        <w:t xml:space="preserve">Brazilian </w:t>
      </w:r>
      <w:r w:rsidRPr="0068136B">
        <w:rPr>
          <w:rFonts w:ascii="Arial" w:eastAsia="Arial" w:hAnsi="Arial" w:cs="Arial"/>
        </w:rPr>
        <w:t>federal government</w:t>
      </w:r>
      <w:r w:rsidR="00DD6BC3" w:rsidRPr="0068136B">
        <w:rPr>
          <w:rFonts w:ascii="Arial" w:eastAsia="Arial" w:hAnsi="Arial" w:cs="Arial"/>
        </w:rPr>
        <w:t xml:space="preserve"> in relation to</w:t>
      </w:r>
      <w:r w:rsidR="00F52F89" w:rsidRPr="0068136B">
        <w:rPr>
          <w:rFonts w:ascii="Arial" w:eastAsia="Arial" w:hAnsi="Arial" w:cs="Arial"/>
        </w:rPr>
        <w:t xml:space="preserve"> the five risk governance parameters </w:t>
      </w:r>
      <w:r w:rsidR="007B7353" w:rsidRPr="0068136B">
        <w:rPr>
          <w:rFonts w:ascii="Arial" w:eastAsia="Arial" w:hAnsi="Arial" w:cs="Arial"/>
        </w:rPr>
        <w:t>plausibly</w:t>
      </w:r>
      <w:r w:rsidRPr="0068136B">
        <w:rPr>
          <w:rFonts w:ascii="Arial" w:eastAsia="Arial" w:hAnsi="Arial" w:cs="Arial"/>
        </w:rPr>
        <w:t xml:space="preserve"> intensified and amplified the effects of the pandemic. Conflicting and disorganized information jeopardized prevention strategies and, by fostering confusion and misunderstandings, it hindered public adherence to sanitary measures and fostered denialist stances among the population (Lencucha</w:t>
      </w:r>
      <w:r w:rsidR="00EA6D0A" w:rsidRPr="0068136B">
        <w:rPr>
          <w:rFonts w:ascii="Arial" w:eastAsia="Arial" w:hAnsi="Arial" w:cs="Arial"/>
        </w:rPr>
        <w:t>,</w:t>
      </w:r>
      <w:r w:rsidRPr="0068136B">
        <w:rPr>
          <w:rFonts w:ascii="Arial" w:eastAsia="Arial" w:hAnsi="Arial" w:cs="Arial"/>
        </w:rPr>
        <w:t xml:space="preserve"> Bandara 2021). This </w:t>
      </w:r>
      <w:r w:rsidR="00037A2B" w:rsidRPr="0068136B">
        <w:rPr>
          <w:rFonts w:ascii="Arial" w:eastAsia="Arial" w:hAnsi="Arial" w:cs="Arial"/>
        </w:rPr>
        <w:t>impacted unequally</w:t>
      </w:r>
      <w:r w:rsidRPr="0068136B">
        <w:rPr>
          <w:rFonts w:ascii="Arial" w:eastAsia="Arial" w:hAnsi="Arial" w:cs="Arial"/>
        </w:rPr>
        <w:t xml:space="preserve"> </w:t>
      </w:r>
      <w:r w:rsidR="006B3A97" w:rsidRPr="0068136B">
        <w:rPr>
          <w:rFonts w:ascii="Arial" w:eastAsia="Arial" w:hAnsi="Arial" w:cs="Arial"/>
        </w:rPr>
        <w:t xml:space="preserve">upon </w:t>
      </w:r>
      <w:r w:rsidRPr="0068136B">
        <w:rPr>
          <w:rFonts w:ascii="Arial" w:eastAsia="Arial" w:hAnsi="Arial" w:cs="Arial"/>
        </w:rPr>
        <w:t>vulnerable populations, with studies confirming higher rates of mortality among the black population and indigenous communities (Bambra et al 2020; Baqui et al 2020; Santos</w:t>
      </w:r>
      <w:r w:rsidR="00EA6D0A" w:rsidRPr="0068136B">
        <w:rPr>
          <w:rFonts w:ascii="Arial" w:eastAsia="Arial" w:hAnsi="Arial" w:cs="Arial"/>
        </w:rPr>
        <w:t xml:space="preserve">, </w:t>
      </w:r>
      <w:r w:rsidRPr="0068136B">
        <w:rPr>
          <w:rFonts w:ascii="Arial" w:eastAsia="Arial" w:hAnsi="Arial" w:cs="Arial"/>
        </w:rPr>
        <w:t>Vargas 2021; Santos</w:t>
      </w:r>
      <w:r w:rsidR="00EA6D0A" w:rsidRPr="0068136B">
        <w:rPr>
          <w:rFonts w:ascii="Arial" w:eastAsia="Arial" w:hAnsi="Arial" w:cs="Arial"/>
        </w:rPr>
        <w:t>,</w:t>
      </w:r>
      <w:r w:rsidRPr="0068136B">
        <w:rPr>
          <w:rFonts w:ascii="Arial" w:eastAsia="Arial" w:hAnsi="Arial" w:cs="Arial"/>
        </w:rPr>
        <w:t xml:space="preserve"> Pereira 2021; De Sá 2021). While the federal government used vast public resources to purchase medicines without proven effectiveness, people refused to </w:t>
      </w:r>
      <w:r w:rsidRPr="0068136B">
        <w:rPr>
          <w:rFonts w:ascii="Arial" w:eastAsia="Arial" w:hAnsi="Arial" w:cs="Arial"/>
        </w:rPr>
        <w:lastRenderedPageBreak/>
        <w:t>wear masks and the use of non-effective medicines escalated. For example, in January 2021 the Brazilian media reported that the sale of ivermectin, ineffective against Covid, had grown</w:t>
      </w:r>
      <w:r w:rsidR="00037A2B" w:rsidRPr="0068136B">
        <w:rPr>
          <w:rFonts w:ascii="Arial" w:eastAsia="Arial" w:hAnsi="Arial" w:cs="Arial"/>
        </w:rPr>
        <w:t xml:space="preserve"> by</w:t>
      </w:r>
      <w:r w:rsidRPr="0068136B">
        <w:rPr>
          <w:rFonts w:ascii="Arial" w:eastAsia="Arial" w:hAnsi="Arial" w:cs="Arial"/>
        </w:rPr>
        <w:t xml:space="preserve"> 466% in 2020 (Folha de S. Paulo 08/01/2021). </w:t>
      </w:r>
    </w:p>
    <w:p w14:paraId="0000005E" w14:textId="5B4EEADD" w:rsidR="00EE690B" w:rsidRPr="0068136B" w:rsidRDefault="009F3835" w:rsidP="00BE55B5">
      <w:pPr>
        <w:spacing w:after="0" w:line="480" w:lineRule="auto"/>
        <w:ind w:firstLine="709"/>
        <w:jc w:val="both"/>
        <w:rPr>
          <w:rFonts w:ascii="Arial" w:eastAsia="Arial" w:hAnsi="Arial" w:cs="Arial"/>
        </w:rPr>
      </w:pPr>
      <w:r w:rsidRPr="0068136B">
        <w:rPr>
          <w:rFonts w:ascii="Arial" w:eastAsia="Arial" w:hAnsi="Arial" w:cs="Arial"/>
        </w:rPr>
        <w:t>Different, and at times conflicting, pandemic response strategies in different spheres of government, in addition to hindering social cohesion, led to mismatched public policies and to the waste of human and financial resources. For example, to produce and distribute hydroxychloroquine, Bolsonaro mobilized five ministries, states, the Army and the Air Force. In June, 2021, the Public Prosecutor demanded that the federal government return R$ 23 million spent on hydroxychloroquine treatment kits (Senado Federal, 2021, p.142-144; UOL, 2021).</w:t>
      </w:r>
    </w:p>
    <w:p w14:paraId="0000005F" w14:textId="2ACDEE08" w:rsidR="00EE690B" w:rsidRPr="0068136B" w:rsidRDefault="009F3835">
      <w:pPr>
        <w:spacing w:after="0" w:line="480" w:lineRule="auto"/>
        <w:ind w:firstLine="709"/>
        <w:jc w:val="both"/>
        <w:rPr>
          <w:rFonts w:ascii="Arial" w:eastAsia="Arial" w:hAnsi="Arial" w:cs="Arial"/>
        </w:rPr>
      </w:pPr>
      <w:r w:rsidRPr="0068136B">
        <w:rPr>
          <w:rFonts w:ascii="Arial" w:eastAsia="Arial" w:hAnsi="Arial" w:cs="Arial"/>
        </w:rPr>
        <w:t>Another effect was the collapse of the health system (public and private) (Taylor 2021). This was starkly illustrated by the case of Manaus, the capital of the Amazonas State in the north region, which registered 2,195 deaths from Covid-19 in January, 2021 (Lavor 2021). The combination of weak isolation policies, ineffective medicines, the emergence of the Delta variant and the lack of vaccines resulted in widespread contagion and rising hospitalizations</w:t>
      </w:r>
      <w:r w:rsidR="005019DB" w:rsidRPr="0068136B">
        <w:rPr>
          <w:rFonts w:ascii="Arial" w:eastAsia="Arial" w:hAnsi="Arial" w:cs="Arial"/>
        </w:rPr>
        <w:t>. The federal government's sluggishness in aiding the municipality contributed to the collapse</w:t>
      </w:r>
      <w:r w:rsidRPr="0068136B">
        <w:rPr>
          <w:rFonts w:ascii="Arial" w:eastAsia="Arial" w:hAnsi="Arial" w:cs="Arial"/>
        </w:rPr>
        <w:t xml:space="preserve"> (Barreto et al 2021). While the tragedy revealed the lack of coordination and the resistance of the federal government to make decisions based on scientific evidence, it also prompted representatives of </w:t>
      </w:r>
      <w:r w:rsidR="00C64D06" w:rsidRPr="0068136B">
        <w:rPr>
          <w:rFonts w:ascii="Arial" w:eastAsia="Arial" w:hAnsi="Arial" w:cs="Arial"/>
        </w:rPr>
        <w:t>regulatory</w:t>
      </w:r>
      <w:r w:rsidR="00B44EB5" w:rsidRPr="0068136B">
        <w:rPr>
          <w:rFonts w:ascii="Arial" w:eastAsia="Arial" w:hAnsi="Arial" w:cs="Arial"/>
        </w:rPr>
        <w:t xml:space="preserve"> </w:t>
      </w:r>
      <w:r w:rsidRPr="0068136B">
        <w:rPr>
          <w:rFonts w:ascii="Arial" w:eastAsia="Arial" w:hAnsi="Arial" w:cs="Arial"/>
        </w:rPr>
        <w:t>agencies, journalists, communication companies and civil society organizations to push for the creation of the PCI (Senado Federal, 2021; Ventura et al 2021, p.167</w:t>
      </w:r>
      <w:r w:rsidR="00D073C3" w:rsidRPr="0068136B">
        <w:rPr>
          <w:rFonts w:ascii="Arial" w:eastAsia="Arial" w:hAnsi="Arial" w:cs="Arial"/>
        </w:rPr>
        <w:t>)</w:t>
      </w:r>
      <w:r w:rsidRPr="0068136B">
        <w:rPr>
          <w:rFonts w:ascii="Arial" w:eastAsia="Arial" w:hAnsi="Arial" w:cs="Arial"/>
        </w:rPr>
        <w:t>. After six months of inquiries and investigations, the PCI identified a set of crimes committed by the President, including crimes against humanity (</w:t>
      </w:r>
      <w:r w:rsidR="00F057A5" w:rsidRPr="0068136B">
        <w:rPr>
          <w:rFonts w:ascii="Arial" w:eastAsia="Arial" w:hAnsi="Arial" w:cs="Arial"/>
        </w:rPr>
        <w:t>Senado Federal</w:t>
      </w:r>
      <w:r w:rsidRPr="0068136B">
        <w:rPr>
          <w:rFonts w:ascii="Arial" w:eastAsia="Arial" w:hAnsi="Arial" w:cs="Arial"/>
        </w:rPr>
        <w:t xml:space="preserve"> 2021). </w:t>
      </w:r>
    </w:p>
    <w:p w14:paraId="00000060" w14:textId="71CD5F64" w:rsidR="00EE690B" w:rsidRPr="0068136B" w:rsidRDefault="009F3835">
      <w:pPr>
        <w:spacing w:after="0" w:line="480" w:lineRule="auto"/>
        <w:ind w:firstLine="709"/>
        <w:jc w:val="both"/>
        <w:rPr>
          <w:rFonts w:ascii="Arial" w:eastAsia="Arial" w:hAnsi="Arial" w:cs="Arial"/>
        </w:rPr>
      </w:pPr>
      <w:r w:rsidRPr="0068136B">
        <w:rPr>
          <w:rFonts w:ascii="Arial" w:eastAsia="Arial" w:hAnsi="Arial" w:cs="Arial"/>
        </w:rPr>
        <w:tab/>
        <w:t xml:space="preserve">Yet another effect of the </w:t>
      </w:r>
      <w:r w:rsidR="00086630" w:rsidRPr="0068136B">
        <w:rPr>
          <w:rFonts w:ascii="Arial" w:eastAsia="Arial" w:hAnsi="Arial" w:cs="Arial"/>
        </w:rPr>
        <w:t>weak performance in relation to</w:t>
      </w:r>
      <w:r w:rsidRPr="0068136B">
        <w:rPr>
          <w:rFonts w:ascii="Arial" w:eastAsia="Arial" w:hAnsi="Arial" w:cs="Arial"/>
        </w:rPr>
        <w:t xml:space="preserve"> risk governance was the delay in mass vaccination (</w:t>
      </w:r>
      <w:r w:rsidR="00E15A5C" w:rsidRPr="0068136B">
        <w:rPr>
          <w:rFonts w:ascii="Arial" w:eastAsia="Arial" w:hAnsi="Arial" w:cs="Arial"/>
        </w:rPr>
        <w:t>T</w:t>
      </w:r>
      <w:r w:rsidRPr="0068136B">
        <w:rPr>
          <w:rFonts w:ascii="Arial" w:eastAsia="Arial" w:hAnsi="Arial" w:cs="Arial"/>
        </w:rPr>
        <w:t xml:space="preserve">able </w:t>
      </w:r>
      <w:r w:rsidR="00A1334C" w:rsidRPr="0068136B">
        <w:rPr>
          <w:rFonts w:ascii="Arial" w:eastAsia="Arial" w:hAnsi="Arial" w:cs="Arial"/>
        </w:rPr>
        <w:t>3</w:t>
      </w:r>
      <w:r w:rsidRPr="0068136B">
        <w:rPr>
          <w:rFonts w:ascii="Arial" w:eastAsia="Arial" w:hAnsi="Arial" w:cs="Arial"/>
        </w:rPr>
        <w:t xml:space="preserve">). In May 2021 – four months into the vaccination campaign – only 15 percent of the Brazilian population </w:t>
      </w:r>
      <w:r w:rsidR="00E15A5C" w:rsidRPr="0068136B">
        <w:rPr>
          <w:rFonts w:ascii="Arial" w:eastAsia="Arial" w:hAnsi="Arial" w:cs="Arial"/>
        </w:rPr>
        <w:t xml:space="preserve">had </w:t>
      </w:r>
      <w:r w:rsidRPr="0068136B">
        <w:rPr>
          <w:rFonts w:ascii="Arial" w:eastAsia="Arial" w:hAnsi="Arial" w:cs="Arial"/>
        </w:rPr>
        <w:t>received at least one vaccine dosage in Brazil, a small proportion considering the substantial impact on the virus' spread</w:t>
      </w:r>
      <w:r w:rsidR="009E2054" w:rsidRPr="0068136B">
        <w:rPr>
          <w:rFonts w:ascii="Arial" w:eastAsia="Arial" w:hAnsi="Arial" w:cs="Arial"/>
        </w:rPr>
        <w:t xml:space="preserve"> at</w:t>
      </w:r>
      <w:r w:rsidRPr="0068136B">
        <w:rPr>
          <w:rFonts w:ascii="Arial" w:eastAsia="Arial" w:hAnsi="Arial" w:cs="Arial"/>
        </w:rPr>
        <w:t xml:space="preserve"> </w:t>
      </w:r>
      <w:r w:rsidR="009E2054" w:rsidRPr="0068136B">
        <w:rPr>
          <w:rFonts w:ascii="Arial" w:eastAsia="Arial" w:hAnsi="Arial" w:cs="Arial"/>
        </w:rPr>
        <w:t xml:space="preserve">the </w:t>
      </w:r>
      <w:r w:rsidRPr="0068136B">
        <w:rPr>
          <w:rFonts w:ascii="Arial" w:eastAsia="Arial" w:hAnsi="Arial" w:cs="Arial"/>
        </w:rPr>
        <w:t xml:space="preserve">time. However, </w:t>
      </w:r>
      <w:r w:rsidR="000E6F80" w:rsidRPr="0068136B">
        <w:rPr>
          <w:rFonts w:ascii="Arial" w:eastAsia="Arial" w:hAnsi="Arial" w:cs="Arial"/>
        </w:rPr>
        <w:t xml:space="preserve">in October 2022 </w:t>
      </w:r>
      <w:r w:rsidRPr="0068136B">
        <w:rPr>
          <w:rFonts w:ascii="Arial" w:eastAsia="Arial" w:hAnsi="Arial" w:cs="Arial"/>
        </w:rPr>
        <w:t>90.84% of the population aged 3 years and over (i.e. the vaccinable population) are partially immunized ​​and 85.42% are fully immunized (G1, 14/10/2022).</w:t>
      </w:r>
      <w:r w:rsidR="00EC05A5" w:rsidRPr="0068136B">
        <w:rPr>
          <w:rFonts w:ascii="Arial" w:eastAsia="Arial" w:hAnsi="Arial" w:cs="Arial"/>
        </w:rPr>
        <w:t xml:space="preserve"> The </w:t>
      </w:r>
      <w:r w:rsidR="00EC05A5" w:rsidRPr="0068136B">
        <w:rPr>
          <w:rFonts w:ascii="Arial" w:eastAsia="Arial" w:hAnsi="Arial" w:cs="Arial"/>
        </w:rPr>
        <w:lastRenderedPageBreak/>
        <w:t xml:space="preserve">case of vaccination shows </w:t>
      </w:r>
      <w:r w:rsidR="008315EB" w:rsidRPr="0068136B">
        <w:rPr>
          <w:rFonts w:ascii="Arial" w:eastAsia="Arial" w:hAnsi="Arial" w:cs="Arial"/>
        </w:rPr>
        <w:t>how th</w:t>
      </w:r>
      <w:r w:rsidR="00FF4478" w:rsidRPr="0068136B">
        <w:rPr>
          <w:rFonts w:ascii="Arial" w:eastAsia="Arial" w:hAnsi="Arial" w:cs="Arial"/>
        </w:rPr>
        <w:t xml:space="preserve">e use of risk governance parameters </w:t>
      </w:r>
      <w:r w:rsidR="00116211" w:rsidRPr="0068136B">
        <w:rPr>
          <w:rFonts w:ascii="Arial" w:eastAsia="Arial" w:hAnsi="Arial" w:cs="Arial"/>
        </w:rPr>
        <w:t>holds potential for</w:t>
      </w:r>
      <w:r w:rsidR="00A91335" w:rsidRPr="0068136B">
        <w:rPr>
          <w:rFonts w:ascii="Arial" w:eastAsia="Arial" w:hAnsi="Arial" w:cs="Arial"/>
        </w:rPr>
        <w:t xml:space="preserve"> making sense of </w:t>
      </w:r>
      <w:r w:rsidR="006272F3" w:rsidRPr="0068136B">
        <w:rPr>
          <w:rFonts w:ascii="Arial" w:eastAsia="Arial" w:hAnsi="Arial" w:cs="Arial"/>
        </w:rPr>
        <w:t xml:space="preserve">how different actors interacted during the Brazilian Covid-19 response and the </w:t>
      </w:r>
      <w:r w:rsidR="00921ECB" w:rsidRPr="0068136B">
        <w:rPr>
          <w:rFonts w:ascii="Arial" w:eastAsia="Arial" w:hAnsi="Arial" w:cs="Arial"/>
        </w:rPr>
        <w:t xml:space="preserve">effects produced. In this case, the </w:t>
      </w:r>
      <w:r w:rsidR="004641AF" w:rsidRPr="0068136B">
        <w:rPr>
          <w:rFonts w:ascii="Arial" w:eastAsia="Arial" w:hAnsi="Arial" w:cs="Arial"/>
        </w:rPr>
        <w:t xml:space="preserve">trajectory of the vaccination campaign happened despite </w:t>
      </w:r>
      <w:r w:rsidR="0049197D" w:rsidRPr="0068136B">
        <w:rPr>
          <w:rFonts w:ascii="Arial" w:eastAsia="Arial" w:hAnsi="Arial" w:cs="Arial"/>
        </w:rPr>
        <w:t xml:space="preserve">repeated </w:t>
      </w:r>
      <w:r w:rsidR="004641AF" w:rsidRPr="0068136B">
        <w:rPr>
          <w:rFonts w:ascii="Arial" w:eastAsia="Arial" w:hAnsi="Arial" w:cs="Arial"/>
        </w:rPr>
        <w:t xml:space="preserve">attempts </w:t>
      </w:r>
      <w:r w:rsidR="0049197D" w:rsidRPr="0068136B">
        <w:rPr>
          <w:rFonts w:ascii="Arial" w:eastAsia="Arial" w:hAnsi="Arial" w:cs="Arial"/>
        </w:rPr>
        <w:t xml:space="preserve">by </w:t>
      </w:r>
      <w:r w:rsidR="004641AF" w:rsidRPr="0068136B">
        <w:rPr>
          <w:rFonts w:ascii="Arial" w:eastAsia="Arial" w:hAnsi="Arial" w:cs="Arial"/>
        </w:rPr>
        <w:t>the federal government to undermine the process.</w:t>
      </w:r>
    </w:p>
    <w:p w14:paraId="5A3186D5" w14:textId="77777777" w:rsidR="00A510FF" w:rsidRPr="0068136B" w:rsidRDefault="00A510FF">
      <w:pPr>
        <w:spacing w:after="0" w:line="480" w:lineRule="auto"/>
        <w:jc w:val="both"/>
        <w:rPr>
          <w:rFonts w:ascii="Arial" w:eastAsia="Arial" w:hAnsi="Arial" w:cs="Arial"/>
          <w:i/>
        </w:rPr>
      </w:pPr>
    </w:p>
    <w:p w14:paraId="00000064" w14:textId="77777777" w:rsidR="00EE690B" w:rsidRPr="0068136B" w:rsidRDefault="009F3835">
      <w:pPr>
        <w:numPr>
          <w:ilvl w:val="0"/>
          <w:numId w:val="1"/>
        </w:numPr>
        <w:pBdr>
          <w:top w:val="nil"/>
          <w:left w:val="nil"/>
          <w:bottom w:val="nil"/>
          <w:right w:val="nil"/>
          <w:between w:val="nil"/>
        </w:pBdr>
        <w:spacing w:after="0" w:line="480" w:lineRule="auto"/>
        <w:jc w:val="both"/>
        <w:rPr>
          <w:rFonts w:ascii="Arial" w:eastAsia="Arial" w:hAnsi="Arial" w:cs="Arial"/>
          <w:b/>
        </w:rPr>
      </w:pPr>
      <w:r w:rsidRPr="0068136B">
        <w:rPr>
          <w:rFonts w:ascii="Arial" w:eastAsia="Arial" w:hAnsi="Arial" w:cs="Arial"/>
          <w:b/>
        </w:rPr>
        <w:t>Discussion</w:t>
      </w:r>
    </w:p>
    <w:p w14:paraId="00000065" w14:textId="77777777" w:rsidR="00EE690B" w:rsidRPr="0068136B" w:rsidRDefault="00EE690B">
      <w:pPr>
        <w:spacing w:after="0" w:line="480" w:lineRule="auto"/>
        <w:jc w:val="both"/>
        <w:rPr>
          <w:rFonts w:ascii="Arial" w:eastAsia="Arial" w:hAnsi="Arial" w:cs="Arial"/>
        </w:rPr>
      </w:pPr>
    </w:p>
    <w:p w14:paraId="00000066" w14:textId="7C593428" w:rsidR="00EE690B" w:rsidRPr="0068136B" w:rsidRDefault="009F3835">
      <w:pPr>
        <w:spacing w:after="0" w:line="480" w:lineRule="auto"/>
        <w:jc w:val="both"/>
        <w:rPr>
          <w:rFonts w:ascii="Arial" w:eastAsia="Arial" w:hAnsi="Arial" w:cs="Arial"/>
        </w:rPr>
      </w:pPr>
      <w:r w:rsidRPr="0068136B">
        <w:rPr>
          <w:rFonts w:ascii="Arial" w:eastAsia="Arial" w:hAnsi="Arial" w:cs="Arial"/>
        </w:rPr>
        <w:t>Risk governance is a participatory decision-making process based on the assumption that a range of stakeholders can make important contributions to govern risks. In emergencies</w:t>
      </w:r>
      <w:r w:rsidR="00EA6D0A" w:rsidRPr="0068136B">
        <w:rPr>
          <w:rFonts w:ascii="Arial" w:eastAsia="Arial" w:hAnsi="Arial" w:cs="Arial"/>
        </w:rPr>
        <w:t xml:space="preserve"> </w:t>
      </w:r>
      <w:r w:rsidRPr="0068136B">
        <w:rPr>
          <w:rFonts w:ascii="Arial" w:eastAsia="Arial" w:hAnsi="Arial" w:cs="Arial"/>
        </w:rPr>
        <w:t xml:space="preserve">a strategic commitment </w:t>
      </w:r>
      <w:r w:rsidR="00BD54A5" w:rsidRPr="0068136B">
        <w:rPr>
          <w:rFonts w:ascii="Arial" w:eastAsia="Arial" w:hAnsi="Arial" w:cs="Arial"/>
        </w:rPr>
        <w:t>on the part of</w:t>
      </w:r>
      <w:r w:rsidRPr="0068136B">
        <w:rPr>
          <w:rFonts w:ascii="Arial" w:eastAsia="Arial" w:hAnsi="Arial" w:cs="Arial"/>
        </w:rPr>
        <w:t xml:space="preserve"> policymakers to better manage national responses is crucial. Leadership and a management of expectations based on trust and transparency are </w:t>
      </w:r>
      <w:r w:rsidR="00742118" w:rsidRPr="0068136B">
        <w:rPr>
          <w:rFonts w:ascii="Arial" w:eastAsia="Arial" w:hAnsi="Arial" w:cs="Arial"/>
        </w:rPr>
        <w:t>critical</w:t>
      </w:r>
      <w:r w:rsidR="00197C3B" w:rsidRPr="0068136B">
        <w:rPr>
          <w:rFonts w:ascii="Arial" w:eastAsia="Arial" w:hAnsi="Arial" w:cs="Arial"/>
        </w:rPr>
        <w:t xml:space="preserve"> </w:t>
      </w:r>
      <w:r w:rsidRPr="0068136B">
        <w:rPr>
          <w:rFonts w:ascii="Arial" w:eastAsia="Arial" w:hAnsi="Arial" w:cs="Arial"/>
        </w:rPr>
        <w:t xml:space="preserve">to help societies and individuals make decisions (Florin 2014). As O’Riordan et al (2020, p. 7) point out, “where Covid-19 has been fought successfully, this has been the result of strong government leadership, with people following and reinforcing”. Although national policymakers are not the only actors who can take the lead, effective risk governance </w:t>
      </w:r>
      <w:r w:rsidR="00F56433" w:rsidRPr="0068136B">
        <w:rPr>
          <w:rFonts w:ascii="Arial" w:eastAsia="Arial" w:hAnsi="Arial" w:cs="Arial"/>
        </w:rPr>
        <w:t>during emergencies</w:t>
      </w:r>
      <w:r w:rsidRPr="0068136B">
        <w:rPr>
          <w:rFonts w:ascii="Arial" w:eastAsia="Arial" w:hAnsi="Arial" w:cs="Arial"/>
        </w:rPr>
        <w:t xml:space="preserve"> </w:t>
      </w:r>
      <w:r w:rsidR="00F56433" w:rsidRPr="0068136B">
        <w:rPr>
          <w:rFonts w:ascii="Arial" w:eastAsia="Arial" w:hAnsi="Arial" w:cs="Arial"/>
        </w:rPr>
        <w:t>depends</w:t>
      </w:r>
      <w:r w:rsidRPr="0068136B">
        <w:rPr>
          <w:rFonts w:ascii="Arial" w:eastAsia="Arial" w:hAnsi="Arial" w:cs="Arial"/>
        </w:rPr>
        <w:t xml:space="preserve"> on </w:t>
      </w:r>
      <w:r w:rsidR="001367E3" w:rsidRPr="0068136B">
        <w:rPr>
          <w:rFonts w:ascii="Arial" w:eastAsia="Arial" w:hAnsi="Arial" w:cs="Arial"/>
        </w:rPr>
        <w:t xml:space="preserve">central coordination of </w:t>
      </w:r>
      <w:r w:rsidRPr="0068136B">
        <w:rPr>
          <w:rFonts w:ascii="Arial" w:eastAsia="Arial" w:hAnsi="Arial" w:cs="Arial"/>
        </w:rPr>
        <w:t xml:space="preserve">efforts. This </w:t>
      </w:r>
      <w:r w:rsidR="002244B1" w:rsidRPr="0068136B">
        <w:rPr>
          <w:rFonts w:ascii="Arial" w:eastAsia="Arial" w:hAnsi="Arial" w:cs="Arial"/>
        </w:rPr>
        <w:t>is particularly true for</w:t>
      </w:r>
      <w:r w:rsidRPr="0068136B">
        <w:rPr>
          <w:rFonts w:ascii="Arial" w:eastAsia="Arial" w:hAnsi="Arial" w:cs="Arial"/>
        </w:rPr>
        <w:t xml:space="preserve"> countries, like Brazil, structured by a federa</w:t>
      </w:r>
      <w:r w:rsidR="00037A2B" w:rsidRPr="0068136B">
        <w:rPr>
          <w:rFonts w:ascii="Arial" w:eastAsia="Arial" w:hAnsi="Arial" w:cs="Arial"/>
        </w:rPr>
        <w:t>l</w:t>
      </w:r>
      <w:r w:rsidRPr="0068136B">
        <w:rPr>
          <w:rFonts w:ascii="Arial" w:eastAsia="Arial" w:hAnsi="Arial" w:cs="Arial"/>
        </w:rPr>
        <w:t xml:space="preserve"> political system, and where the federal government is constitutionally mandated to coordinate epidemic responses. </w:t>
      </w:r>
    </w:p>
    <w:p w14:paraId="00000067" w14:textId="4E4C5099" w:rsidR="00EE690B" w:rsidRPr="0068136B" w:rsidRDefault="007825A2">
      <w:pPr>
        <w:spacing w:after="0" w:line="480" w:lineRule="auto"/>
        <w:ind w:firstLine="709"/>
        <w:jc w:val="both"/>
        <w:rPr>
          <w:rFonts w:ascii="Arial" w:eastAsia="Arial" w:hAnsi="Arial" w:cs="Arial"/>
          <w:strike/>
        </w:rPr>
      </w:pPr>
      <w:r w:rsidRPr="0068136B">
        <w:rPr>
          <w:rFonts w:ascii="Arial" w:eastAsia="Arial" w:hAnsi="Arial" w:cs="Arial"/>
        </w:rPr>
        <w:t>T</w:t>
      </w:r>
      <w:r w:rsidR="009F3835" w:rsidRPr="0068136B">
        <w:rPr>
          <w:rFonts w:ascii="Arial" w:eastAsia="Arial" w:hAnsi="Arial" w:cs="Arial"/>
        </w:rPr>
        <w:t xml:space="preserve">he </w:t>
      </w:r>
      <w:r w:rsidR="00986C8D" w:rsidRPr="0068136B">
        <w:rPr>
          <w:rFonts w:ascii="Arial" w:eastAsia="Arial" w:hAnsi="Arial" w:cs="Arial"/>
        </w:rPr>
        <w:t xml:space="preserve">documentary evidence reviewed </w:t>
      </w:r>
      <w:r w:rsidR="00AE2F9B" w:rsidRPr="0068136B">
        <w:rPr>
          <w:rFonts w:ascii="Arial" w:eastAsia="Arial" w:hAnsi="Arial" w:cs="Arial"/>
        </w:rPr>
        <w:t xml:space="preserve">in this article </w:t>
      </w:r>
      <w:r w:rsidR="00997145" w:rsidRPr="0068136B">
        <w:rPr>
          <w:rFonts w:ascii="Arial" w:eastAsia="Arial" w:hAnsi="Arial" w:cs="Arial"/>
        </w:rPr>
        <w:t>suggests</w:t>
      </w:r>
      <w:r w:rsidR="00037A2B" w:rsidRPr="0068136B">
        <w:rPr>
          <w:rFonts w:ascii="Arial" w:eastAsia="Arial" w:hAnsi="Arial" w:cs="Arial"/>
        </w:rPr>
        <w:t xml:space="preserve"> weakness</w:t>
      </w:r>
      <w:r w:rsidR="006B3A97" w:rsidRPr="0068136B">
        <w:rPr>
          <w:rFonts w:ascii="Arial" w:eastAsia="Arial" w:hAnsi="Arial" w:cs="Arial"/>
        </w:rPr>
        <w:t>es</w:t>
      </w:r>
      <w:r w:rsidR="00037A2B" w:rsidRPr="0068136B">
        <w:rPr>
          <w:rFonts w:ascii="Arial" w:eastAsia="Arial" w:hAnsi="Arial" w:cs="Arial"/>
        </w:rPr>
        <w:t xml:space="preserve"> in</w:t>
      </w:r>
      <w:r w:rsidR="00986C8D" w:rsidRPr="0068136B">
        <w:rPr>
          <w:rFonts w:ascii="Arial" w:eastAsia="Arial" w:hAnsi="Arial" w:cs="Arial"/>
        </w:rPr>
        <w:t xml:space="preserve"> </w:t>
      </w:r>
      <w:r w:rsidR="006B3A97" w:rsidRPr="0068136B">
        <w:rPr>
          <w:rFonts w:ascii="Arial" w:eastAsia="Arial" w:hAnsi="Arial" w:cs="Arial"/>
        </w:rPr>
        <w:t xml:space="preserve">the </w:t>
      </w:r>
      <w:r w:rsidR="009F3835" w:rsidRPr="0068136B">
        <w:rPr>
          <w:rFonts w:ascii="Arial" w:eastAsia="Arial" w:hAnsi="Arial" w:cs="Arial"/>
        </w:rPr>
        <w:t>Brazilian Federal government</w:t>
      </w:r>
      <w:r w:rsidR="00986C8D" w:rsidRPr="0068136B">
        <w:rPr>
          <w:rFonts w:ascii="Arial" w:eastAsia="Arial" w:hAnsi="Arial" w:cs="Arial"/>
        </w:rPr>
        <w:t xml:space="preserve"> </w:t>
      </w:r>
      <w:r w:rsidR="00037A2B" w:rsidRPr="0068136B">
        <w:rPr>
          <w:rFonts w:ascii="Arial" w:eastAsia="Arial" w:hAnsi="Arial" w:cs="Arial"/>
        </w:rPr>
        <w:t>performance</w:t>
      </w:r>
      <w:r w:rsidR="00986C8D" w:rsidRPr="0068136B">
        <w:rPr>
          <w:rFonts w:ascii="Arial" w:eastAsia="Arial" w:hAnsi="Arial" w:cs="Arial"/>
        </w:rPr>
        <w:t xml:space="preserve"> </w:t>
      </w:r>
      <w:r w:rsidR="006B3A97" w:rsidRPr="0068136B">
        <w:rPr>
          <w:rFonts w:ascii="Arial" w:eastAsia="Arial" w:hAnsi="Arial" w:cs="Arial"/>
        </w:rPr>
        <w:t xml:space="preserve">along </w:t>
      </w:r>
      <w:r w:rsidR="009F3835" w:rsidRPr="0068136B">
        <w:rPr>
          <w:rFonts w:ascii="Arial" w:eastAsia="Arial" w:hAnsi="Arial" w:cs="Arial"/>
        </w:rPr>
        <w:t xml:space="preserve">five key risk governance parameters: transparency and accessibility of data; risk communication; negotiation between actors; social cohesion and public participation; decisions based on technical and scientific evidence, resources and contexts. Looking at the pandemic performance of the federal government through the prism of risk governance sheds light on a series of </w:t>
      </w:r>
      <w:r w:rsidR="00F52F89" w:rsidRPr="0068136B">
        <w:rPr>
          <w:rFonts w:ascii="Arial" w:eastAsia="Arial" w:hAnsi="Arial" w:cs="Arial"/>
        </w:rPr>
        <w:t xml:space="preserve">actions </w:t>
      </w:r>
      <w:r w:rsidR="009F3835" w:rsidRPr="0068136B">
        <w:rPr>
          <w:rFonts w:ascii="Arial" w:eastAsia="Arial" w:hAnsi="Arial" w:cs="Arial"/>
        </w:rPr>
        <w:t xml:space="preserve">which sidestepped essential components of </w:t>
      </w:r>
      <w:r w:rsidR="00D00D4C" w:rsidRPr="0068136B">
        <w:rPr>
          <w:rFonts w:ascii="Arial" w:eastAsia="Arial" w:hAnsi="Arial" w:cs="Arial"/>
        </w:rPr>
        <w:t>what a</w:t>
      </w:r>
      <w:r w:rsidR="009F3835" w:rsidRPr="0068136B">
        <w:rPr>
          <w:rFonts w:ascii="Arial" w:eastAsia="Arial" w:hAnsi="Arial" w:cs="Arial"/>
        </w:rPr>
        <w:t xml:space="preserve"> pandemic response</w:t>
      </w:r>
      <w:r w:rsidR="00D00D4C" w:rsidRPr="0068136B">
        <w:rPr>
          <w:rFonts w:ascii="Arial" w:eastAsia="Arial" w:hAnsi="Arial" w:cs="Arial"/>
        </w:rPr>
        <w:t xml:space="preserve"> should be</w:t>
      </w:r>
      <w:r w:rsidR="009F3835" w:rsidRPr="0068136B">
        <w:rPr>
          <w:rFonts w:ascii="Arial" w:eastAsia="Arial" w:hAnsi="Arial" w:cs="Arial"/>
        </w:rPr>
        <w:t>.</w:t>
      </w:r>
      <w:r w:rsidR="00531B96" w:rsidRPr="0068136B">
        <w:rPr>
          <w:rFonts w:ascii="Arial" w:eastAsia="Arial" w:hAnsi="Arial" w:cs="Arial"/>
        </w:rPr>
        <w:t xml:space="preserve"> It also reveals how different actors interacted </w:t>
      </w:r>
      <w:r w:rsidR="006862F7" w:rsidRPr="0068136B">
        <w:rPr>
          <w:rFonts w:ascii="Arial" w:eastAsia="Arial" w:hAnsi="Arial" w:cs="Arial"/>
        </w:rPr>
        <w:t>in a complex process, thus helping to make sense of how effects were produced during the response.</w:t>
      </w:r>
      <w:r w:rsidR="009F3835" w:rsidRPr="0068136B">
        <w:rPr>
          <w:rFonts w:ascii="Arial" w:eastAsia="Arial" w:hAnsi="Arial" w:cs="Arial"/>
        </w:rPr>
        <w:t xml:space="preserve"> </w:t>
      </w:r>
    </w:p>
    <w:p w14:paraId="00000068" w14:textId="4A65C543" w:rsidR="00EE690B" w:rsidRPr="0068136B" w:rsidRDefault="00D64C7F">
      <w:pPr>
        <w:spacing w:after="0" w:line="480" w:lineRule="auto"/>
        <w:ind w:firstLine="709"/>
        <w:jc w:val="both"/>
        <w:rPr>
          <w:rFonts w:ascii="Arial" w:eastAsia="Arial" w:hAnsi="Arial" w:cs="Arial"/>
          <w:strike/>
        </w:rPr>
      </w:pPr>
      <w:r w:rsidRPr="0068136B">
        <w:rPr>
          <w:rFonts w:ascii="Arial" w:eastAsia="Arial" w:hAnsi="Arial" w:cs="Arial"/>
        </w:rPr>
        <w:lastRenderedPageBreak/>
        <w:t>T</w:t>
      </w:r>
      <w:r w:rsidR="000B2BF8" w:rsidRPr="0068136B">
        <w:rPr>
          <w:rFonts w:ascii="Arial" w:eastAsia="Arial" w:hAnsi="Arial" w:cs="Arial"/>
        </w:rPr>
        <w:t xml:space="preserve">he analysis of the </w:t>
      </w:r>
      <w:r w:rsidR="00037A2B" w:rsidRPr="0068136B">
        <w:rPr>
          <w:rFonts w:ascii="Arial" w:eastAsia="Arial" w:hAnsi="Arial" w:cs="Arial"/>
        </w:rPr>
        <w:t>body of evidence</w:t>
      </w:r>
      <w:r w:rsidR="000B2BF8" w:rsidRPr="0068136B">
        <w:rPr>
          <w:rFonts w:ascii="Arial" w:eastAsia="Arial" w:hAnsi="Arial" w:cs="Arial"/>
        </w:rPr>
        <w:t xml:space="preserve"> indicates that </w:t>
      </w:r>
      <w:r w:rsidR="000E1E87" w:rsidRPr="0068136B">
        <w:rPr>
          <w:rFonts w:ascii="Arial" w:eastAsia="Arial" w:hAnsi="Arial" w:cs="Arial"/>
        </w:rPr>
        <w:t xml:space="preserve">a </w:t>
      </w:r>
      <w:r w:rsidR="009F3835" w:rsidRPr="0068136B">
        <w:rPr>
          <w:rFonts w:ascii="Arial" w:eastAsia="Arial" w:hAnsi="Arial" w:cs="Arial"/>
        </w:rPr>
        <w:t xml:space="preserve">governmental strategy was visible in the postponement of decisions, the creation of diversions and distractions and the amplification of confusion. The federal performance was </w:t>
      </w:r>
      <w:r w:rsidR="000B2BF8" w:rsidRPr="0068136B">
        <w:rPr>
          <w:rFonts w:ascii="Arial" w:eastAsia="Arial" w:hAnsi="Arial" w:cs="Arial"/>
        </w:rPr>
        <w:t xml:space="preserve">also </w:t>
      </w:r>
      <w:r w:rsidR="009F3835" w:rsidRPr="0068136B">
        <w:rPr>
          <w:rFonts w:ascii="Arial" w:eastAsia="Arial" w:hAnsi="Arial" w:cs="Arial"/>
        </w:rPr>
        <w:t xml:space="preserve">characterized by efforts to obstruct those who wanted to act. </w:t>
      </w:r>
      <w:r w:rsidR="00997145" w:rsidRPr="0068136B">
        <w:rPr>
          <w:rFonts w:ascii="Arial" w:eastAsia="Arial" w:hAnsi="Arial" w:cs="Arial"/>
          <w:iCs/>
        </w:rPr>
        <w:t>Nunes</w:t>
      </w:r>
      <w:r w:rsidR="00997145" w:rsidRPr="0068136B">
        <w:rPr>
          <w:rFonts w:ascii="Arial" w:eastAsia="Arial" w:hAnsi="Arial" w:cs="Arial"/>
          <w:i/>
        </w:rPr>
        <w:t xml:space="preserve"> </w:t>
      </w:r>
      <w:r w:rsidR="009F3835" w:rsidRPr="0068136B">
        <w:rPr>
          <w:rFonts w:ascii="Arial" w:eastAsia="Arial" w:hAnsi="Arial" w:cs="Arial"/>
        </w:rPr>
        <w:t>(2022) points out examples of this obstruction</w:t>
      </w:r>
      <w:r w:rsidR="000B2BF8" w:rsidRPr="0068136B">
        <w:rPr>
          <w:rFonts w:ascii="Arial" w:eastAsia="Arial" w:hAnsi="Arial" w:cs="Arial"/>
        </w:rPr>
        <w:t xml:space="preserve">, which are also observed in </w:t>
      </w:r>
      <w:r w:rsidR="00406A60" w:rsidRPr="0068136B">
        <w:rPr>
          <w:rFonts w:ascii="Arial" w:eastAsia="Arial" w:hAnsi="Arial" w:cs="Arial"/>
        </w:rPr>
        <w:t xml:space="preserve">our </w:t>
      </w:r>
      <w:r w:rsidR="000B2BF8" w:rsidRPr="0068136B">
        <w:rPr>
          <w:rFonts w:ascii="Arial" w:eastAsia="Arial" w:hAnsi="Arial" w:cs="Arial"/>
        </w:rPr>
        <w:t xml:space="preserve">analysis of </w:t>
      </w:r>
      <w:r w:rsidR="004D4070" w:rsidRPr="0068136B">
        <w:rPr>
          <w:rFonts w:ascii="Arial" w:eastAsia="Arial" w:hAnsi="Arial" w:cs="Arial"/>
        </w:rPr>
        <w:t xml:space="preserve">the </w:t>
      </w:r>
      <w:r w:rsidR="000B2BF8" w:rsidRPr="0068136B">
        <w:rPr>
          <w:rFonts w:ascii="Arial" w:eastAsia="Arial" w:hAnsi="Arial" w:cs="Arial"/>
        </w:rPr>
        <w:t>documentary evidence</w:t>
      </w:r>
      <w:r w:rsidR="009F3835" w:rsidRPr="0068136B">
        <w:rPr>
          <w:rFonts w:ascii="Arial" w:eastAsia="Arial" w:hAnsi="Arial" w:cs="Arial"/>
        </w:rPr>
        <w:t xml:space="preserve">, including Bolsonaro’s accusations that state governors and mayors who instituted more restrictive measures were infringing on citizens’ freedoms, and laying blame on these officials for the economic consequences of the pandemic. </w:t>
      </w:r>
    </w:p>
    <w:p w14:paraId="00000069" w14:textId="3931757C" w:rsidR="00EE690B" w:rsidRPr="0068136B" w:rsidRDefault="009F3835">
      <w:pPr>
        <w:spacing w:after="0" w:line="480" w:lineRule="auto"/>
        <w:ind w:firstLine="709"/>
        <w:jc w:val="both"/>
        <w:rPr>
          <w:rFonts w:ascii="Arial" w:eastAsia="Arial" w:hAnsi="Arial" w:cs="Arial"/>
        </w:rPr>
      </w:pPr>
      <w:r w:rsidRPr="0068136B">
        <w:rPr>
          <w:rFonts w:ascii="Arial" w:eastAsia="Arial" w:hAnsi="Arial" w:cs="Arial"/>
        </w:rPr>
        <w:t xml:space="preserve">As Boholm et al (2012) argue, risk governance takes places in contexts that are historically, spatially and institutionally situated. In Brazil, the failures of risk governance happened against a background of political polarization, a crisis of confidence in political institutions and increased populist tendencies in the public discourse. The pandemic emergency also interacted with, and fed into, anti-science and anti-expertise sentiment, the demise of traditional media and authoritative sources of information, and the growth of disinformation. Adopting a risk governance lens allows one to assess the government response to this crisis without losing sight of </w:t>
      </w:r>
      <w:r w:rsidR="000321B8" w:rsidRPr="0068136B">
        <w:rPr>
          <w:rFonts w:ascii="Arial" w:eastAsia="Arial" w:hAnsi="Arial" w:cs="Arial"/>
        </w:rPr>
        <w:t xml:space="preserve">these </w:t>
      </w:r>
      <w:r w:rsidRPr="0068136B">
        <w:rPr>
          <w:rFonts w:ascii="Arial" w:eastAsia="Arial" w:hAnsi="Arial" w:cs="Arial"/>
        </w:rPr>
        <w:t xml:space="preserve">other, interlocking crises. </w:t>
      </w:r>
    </w:p>
    <w:p w14:paraId="0000006A" w14:textId="6E375FDB" w:rsidR="00EE690B" w:rsidRPr="0068136B" w:rsidRDefault="002C6B1F">
      <w:pPr>
        <w:spacing w:after="0" w:line="480" w:lineRule="auto"/>
        <w:ind w:firstLine="709"/>
        <w:jc w:val="both"/>
        <w:rPr>
          <w:rFonts w:ascii="Arial" w:eastAsia="Arial" w:hAnsi="Arial" w:cs="Arial"/>
        </w:rPr>
      </w:pPr>
      <w:r w:rsidRPr="0068136B">
        <w:rPr>
          <w:rFonts w:ascii="Arial" w:eastAsia="Arial" w:hAnsi="Arial" w:cs="Arial"/>
        </w:rPr>
        <w:t>This article identified several</w:t>
      </w:r>
      <w:r w:rsidR="00EC7EFA" w:rsidRPr="0068136B">
        <w:rPr>
          <w:rFonts w:ascii="Arial" w:eastAsia="Arial" w:hAnsi="Arial" w:cs="Arial"/>
        </w:rPr>
        <w:t xml:space="preserve"> controversies</w:t>
      </w:r>
      <w:r w:rsidR="00814F53" w:rsidRPr="0068136B">
        <w:rPr>
          <w:rFonts w:ascii="Arial" w:eastAsia="Arial" w:hAnsi="Arial" w:cs="Arial"/>
        </w:rPr>
        <w:t xml:space="preserve"> </w:t>
      </w:r>
      <w:r w:rsidR="003C714E" w:rsidRPr="0068136B">
        <w:rPr>
          <w:rFonts w:ascii="Arial" w:eastAsia="Arial" w:hAnsi="Arial" w:cs="Arial"/>
        </w:rPr>
        <w:t>created or fostered by the federal government</w:t>
      </w:r>
      <w:r w:rsidRPr="0068136B">
        <w:rPr>
          <w:rFonts w:ascii="Arial" w:eastAsia="Arial" w:hAnsi="Arial" w:cs="Arial"/>
        </w:rPr>
        <w:t>.</w:t>
      </w:r>
      <w:r w:rsidR="003C714E" w:rsidRPr="0068136B">
        <w:rPr>
          <w:rFonts w:ascii="Arial" w:eastAsia="Arial" w:hAnsi="Arial" w:cs="Arial"/>
        </w:rPr>
        <w:t xml:space="preserve"> </w:t>
      </w:r>
      <w:r w:rsidRPr="0068136B">
        <w:rPr>
          <w:rFonts w:ascii="Arial" w:eastAsia="Arial" w:hAnsi="Arial" w:cs="Arial"/>
        </w:rPr>
        <w:t xml:space="preserve">It provides </w:t>
      </w:r>
      <w:r w:rsidR="00131314" w:rsidRPr="0068136B">
        <w:rPr>
          <w:rFonts w:ascii="Arial" w:eastAsia="Arial" w:hAnsi="Arial" w:cs="Arial"/>
        </w:rPr>
        <w:t xml:space="preserve">further </w:t>
      </w:r>
      <w:r w:rsidRPr="0068136B">
        <w:rPr>
          <w:rFonts w:ascii="Arial" w:eastAsia="Arial" w:hAnsi="Arial" w:cs="Arial"/>
        </w:rPr>
        <w:t>evidence</w:t>
      </w:r>
      <w:r w:rsidR="001F163E" w:rsidRPr="0068136B">
        <w:rPr>
          <w:rFonts w:ascii="Arial" w:eastAsia="Arial" w:hAnsi="Arial" w:cs="Arial"/>
        </w:rPr>
        <w:t xml:space="preserve"> </w:t>
      </w:r>
      <w:r w:rsidR="00AA09B0" w:rsidRPr="0068136B">
        <w:rPr>
          <w:rFonts w:ascii="Arial" w:eastAsia="Arial" w:hAnsi="Arial" w:cs="Arial"/>
        </w:rPr>
        <w:t>of</w:t>
      </w:r>
      <w:r w:rsidR="001F163E" w:rsidRPr="0068136B">
        <w:rPr>
          <w:rFonts w:ascii="Arial" w:eastAsia="Arial" w:hAnsi="Arial" w:cs="Arial"/>
        </w:rPr>
        <w:t xml:space="preserve"> strategy aimed at creating chaos to divert societal attention from the government’s failings. </w:t>
      </w:r>
      <w:r w:rsidR="009F3835" w:rsidRPr="0068136B">
        <w:rPr>
          <w:rFonts w:ascii="Arial" w:eastAsia="Arial" w:hAnsi="Arial" w:cs="Arial"/>
        </w:rPr>
        <w:t xml:space="preserve">According to Nobre (2020), Bolsonaro has time and again resorted to the “method of chaos”, that is, the spread of disinformation and confusion, as one of his main strategies. </w:t>
      </w:r>
      <w:r w:rsidR="00997145" w:rsidRPr="0068136B">
        <w:rPr>
          <w:rFonts w:ascii="Arial" w:eastAsia="Arial" w:hAnsi="Arial" w:cs="Arial"/>
        </w:rPr>
        <w:t>Lima and Costa (2021)</w:t>
      </w:r>
      <w:r w:rsidR="00037A2B" w:rsidRPr="0068136B">
        <w:rPr>
          <w:rFonts w:ascii="Arial" w:eastAsia="Arial" w:hAnsi="Arial" w:cs="Arial"/>
        </w:rPr>
        <w:t xml:space="preserve"> suggest that</w:t>
      </w:r>
      <w:r w:rsidR="009F3835" w:rsidRPr="0068136B">
        <w:rPr>
          <w:rFonts w:ascii="Arial" w:eastAsia="Arial" w:hAnsi="Arial" w:cs="Arial"/>
        </w:rPr>
        <w:t xml:space="preserve"> </w:t>
      </w:r>
      <w:r w:rsidR="004348FE" w:rsidRPr="0068136B">
        <w:rPr>
          <w:rFonts w:ascii="Arial" w:eastAsia="Arial" w:hAnsi="Arial" w:cs="Arial"/>
        </w:rPr>
        <w:t xml:space="preserve">this method </w:t>
      </w:r>
      <w:r w:rsidR="009F3835" w:rsidRPr="0068136B">
        <w:rPr>
          <w:rFonts w:ascii="Arial" w:eastAsia="Arial" w:hAnsi="Arial" w:cs="Arial"/>
        </w:rPr>
        <w:t>has been used in environmental governance as well</w:t>
      </w:r>
      <w:r w:rsidR="000C0E42" w:rsidRPr="0068136B">
        <w:rPr>
          <w:rFonts w:ascii="Arial" w:eastAsia="Arial" w:hAnsi="Arial" w:cs="Arial"/>
        </w:rPr>
        <w:t>.</w:t>
      </w:r>
      <w:r w:rsidR="009F3835" w:rsidRPr="0068136B">
        <w:rPr>
          <w:rFonts w:ascii="Arial" w:eastAsia="Arial" w:hAnsi="Arial" w:cs="Arial"/>
        </w:rPr>
        <w:t xml:space="preserve"> </w:t>
      </w:r>
      <w:r w:rsidR="00997145" w:rsidRPr="0068136B">
        <w:rPr>
          <w:rFonts w:ascii="Arial" w:eastAsia="Arial" w:hAnsi="Arial" w:cs="Arial"/>
        </w:rPr>
        <w:t>The authors</w:t>
      </w:r>
      <w:r w:rsidR="009F3835" w:rsidRPr="0068136B">
        <w:rPr>
          <w:rFonts w:ascii="Arial" w:eastAsia="Arial" w:hAnsi="Arial" w:cs="Arial"/>
        </w:rPr>
        <w:t xml:space="preserve"> identified a combination of nonfeasance (failure to act in situations where action</w:t>
      </w:r>
      <w:r w:rsidR="00EA6D0A" w:rsidRPr="0068136B">
        <w:rPr>
          <w:rFonts w:ascii="Arial" w:eastAsia="Arial" w:hAnsi="Arial" w:cs="Arial"/>
        </w:rPr>
        <w:t>s</w:t>
      </w:r>
      <w:r w:rsidR="009F3835" w:rsidRPr="0068136B">
        <w:rPr>
          <w:rFonts w:ascii="Arial" w:eastAsia="Arial" w:hAnsi="Arial" w:cs="Arial"/>
        </w:rPr>
        <w:t xml:space="preserve"> are expected or required), misfeasance (related to inappropriate action that cause harm) and malfeasance (improper deliberative action)</w:t>
      </w:r>
      <w:r w:rsidR="00DB5D60" w:rsidRPr="0068136B">
        <w:rPr>
          <w:rFonts w:ascii="Arial" w:eastAsia="Arial" w:hAnsi="Arial" w:cs="Arial"/>
        </w:rPr>
        <w:t xml:space="preserve"> on the part of the Brazilian federal government</w:t>
      </w:r>
      <w:r w:rsidR="009F3835" w:rsidRPr="0068136B">
        <w:rPr>
          <w:rFonts w:ascii="Arial" w:eastAsia="Arial" w:hAnsi="Arial" w:cs="Arial"/>
        </w:rPr>
        <w:t xml:space="preserve">, which resulted in what they call “environmental misgovernance and malgovernance” (Lima and Costa 2021, p. 12). For the authors, “[w]hile misgovernance may indicate poor management […] malgovernance denotes intentionality, </w:t>
      </w:r>
      <w:r w:rsidR="009F3835" w:rsidRPr="0068136B">
        <w:rPr>
          <w:rFonts w:ascii="Arial" w:eastAsia="Arial" w:hAnsi="Arial" w:cs="Arial"/>
        </w:rPr>
        <w:lastRenderedPageBreak/>
        <w:t>and thus a political problem that cannot be subsumed to a set of technical deficiencies” (Lima and Costa 2021, p.4).</w:t>
      </w:r>
    </w:p>
    <w:p w14:paraId="0000006B" w14:textId="31DBB5EB" w:rsidR="00EE690B" w:rsidRPr="0068136B" w:rsidRDefault="005345AF">
      <w:pPr>
        <w:spacing w:after="0" w:line="480" w:lineRule="auto"/>
        <w:ind w:firstLine="709"/>
        <w:jc w:val="both"/>
        <w:rPr>
          <w:rFonts w:ascii="Arial" w:eastAsia="Arial" w:hAnsi="Arial" w:cs="Arial"/>
        </w:rPr>
      </w:pPr>
      <w:r w:rsidRPr="0068136B">
        <w:rPr>
          <w:rFonts w:ascii="Arial" w:eastAsia="Arial" w:hAnsi="Arial" w:cs="Arial"/>
        </w:rPr>
        <w:t xml:space="preserve">Our documentary </w:t>
      </w:r>
      <w:r w:rsidR="008E12CE" w:rsidRPr="0068136B">
        <w:rPr>
          <w:rFonts w:ascii="Arial" w:eastAsia="Arial" w:hAnsi="Arial" w:cs="Arial"/>
        </w:rPr>
        <w:t>analysis</w:t>
      </w:r>
      <w:r w:rsidRPr="0068136B">
        <w:rPr>
          <w:rFonts w:ascii="Arial" w:eastAsia="Arial" w:hAnsi="Arial" w:cs="Arial"/>
        </w:rPr>
        <w:t xml:space="preserve"> suggest</w:t>
      </w:r>
      <w:r w:rsidR="00F52F89" w:rsidRPr="0068136B">
        <w:rPr>
          <w:rFonts w:ascii="Arial" w:eastAsia="Arial" w:hAnsi="Arial" w:cs="Arial"/>
        </w:rPr>
        <w:t>s</w:t>
      </w:r>
      <w:r w:rsidRPr="0068136B">
        <w:rPr>
          <w:rFonts w:ascii="Arial" w:eastAsia="Arial" w:hAnsi="Arial" w:cs="Arial"/>
        </w:rPr>
        <w:t xml:space="preserve"> a</w:t>
      </w:r>
      <w:r w:rsidR="009F3835" w:rsidRPr="0068136B">
        <w:rPr>
          <w:rFonts w:ascii="Arial" w:eastAsia="Arial" w:hAnsi="Arial" w:cs="Arial"/>
        </w:rPr>
        <w:t xml:space="preserve"> similar </w:t>
      </w:r>
      <w:r w:rsidR="00DB5D60" w:rsidRPr="0068136B">
        <w:rPr>
          <w:rFonts w:ascii="Arial" w:eastAsia="Arial" w:hAnsi="Arial" w:cs="Arial"/>
        </w:rPr>
        <w:t xml:space="preserve">situation </w:t>
      </w:r>
      <w:r w:rsidR="009F3835" w:rsidRPr="0068136B">
        <w:rPr>
          <w:rFonts w:ascii="Arial" w:eastAsia="Arial" w:hAnsi="Arial" w:cs="Arial"/>
        </w:rPr>
        <w:t xml:space="preserve">in the case of the Covid-19 response. Despite all the </w:t>
      </w:r>
      <w:r w:rsidR="00E54099" w:rsidRPr="0068136B">
        <w:rPr>
          <w:rFonts w:ascii="Arial" w:eastAsia="Arial" w:hAnsi="Arial" w:cs="Arial"/>
        </w:rPr>
        <w:t>instances</w:t>
      </w:r>
      <w:r w:rsidR="009F3835" w:rsidRPr="0068136B">
        <w:rPr>
          <w:rFonts w:ascii="Arial" w:eastAsia="Arial" w:hAnsi="Arial" w:cs="Arial"/>
        </w:rPr>
        <w:t xml:space="preserve"> of resistance </w:t>
      </w:r>
      <w:r w:rsidR="00A205AF" w:rsidRPr="0068136B">
        <w:rPr>
          <w:rFonts w:ascii="Arial" w:eastAsia="Arial" w:hAnsi="Arial" w:cs="Arial"/>
        </w:rPr>
        <w:t xml:space="preserve">we </w:t>
      </w:r>
      <w:r w:rsidRPr="0068136B">
        <w:rPr>
          <w:rFonts w:ascii="Arial" w:eastAsia="Arial" w:hAnsi="Arial" w:cs="Arial"/>
        </w:rPr>
        <w:t>identified</w:t>
      </w:r>
      <w:r w:rsidR="009F3835" w:rsidRPr="0068136B">
        <w:rPr>
          <w:rFonts w:ascii="Arial" w:eastAsia="Arial" w:hAnsi="Arial" w:cs="Arial"/>
        </w:rPr>
        <w:t xml:space="preserve"> (e.g. media and communication efforts to avoid the spread of disinformation, court decisions guaranteeing municipal and state autonomy, actions from social movements, efforts from the Brazilian scientific community), the </w:t>
      </w:r>
      <w:r w:rsidR="00A205AF" w:rsidRPr="0068136B">
        <w:rPr>
          <w:rFonts w:ascii="Arial" w:eastAsia="Arial" w:hAnsi="Arial" w:cs="Arial"/>
        </w:rPr>
        <w:t>weak</w:t>
      </w:r>
      <w:r w:rsidR="009F3835" w:rsidRPr="0068136B">
        <w:rPr>
          <w:rFonts w:ascii="Arial" w:eastAsia="Arial" w:hAnsi="Arial" w:cs="Arial"/>
        </w:rPr>
        <w:t xml:space="preserve"> risk governance </w:t>
      </w:r>
      <w:r w:rsidR="00A205AF" w:rsidRPr="0068136B">
        <w:rPr>
          <w:rFonts w:ascii="Arial" w:eastAsia="Arial" w:hAnsi="Arial" w:cs="Arial"/>
        </w:rPr>
        <w:t xml:space="preserve">performance </w:t>
      </w:r>
      <w:r w:rsidR="00E16F36" w:rsidRPr="0068136B">
        <w:rPr>
          <w:rFonts w:ascii="Arial" w:eastAsia="Arial" w:hAnsi="Arial" w:cs="Arial"/>
        </w:rPr>
        <w:t>by the federal government</w:t>
      </w:r>
      <w:r w:rsidR="00A205AF" w:rsidRPr="0068136B">
        <w:rPr>
          <w:rFonts w:ascii="Arial" w:eastAsia="Arial" w:hAnsi="Arial" w:cs="Arial"/>
        </w:rPr>
        <w:t xml:space="preserve"> contributed to </w:t>
      </w:r>
      <w:r w:rsidR="009F3835" w:rsidRPr="0068136B">
        <w:rPr>
          <w:rFonts w:ascii="Arial" w:eastAsia="Arial" w:hAnsi="Arial" w:cs="Arial"/>
        </w:rPr>
        <w:t xml:space="preserve">effects that went well beyond the physical injuries associated with the pandemic. The creation and amplification of confusion and disinformation </w:t>
      </w:r>
      <w:r w:rsidR="001B52F6" w:rsidRPr="0068136B">
        <w:rPr>
          <w:rFonts w:ascii="Arial" w:eastAsia="Arial" w:hAnsi="Arial" w:cs="Arial"/>
        </w:rPr>
        <w:t>contributed to undermining</w:t>
      </w:r>
      <w:r w:rsidR="009F3835" w:rsidRPr="0068136B">
        <w:rPr>
          <w:rFonts w:ascii="Arial" w:eastAsia="Arial" w:hAnsi="Arial" w:cs="Arial"/>
        </w:rPr>
        <w:t xml:space="preserve"> the public commitment to </w:t>
      </w:r>
      <w:r w:rsidR="0062670B" w:rsidRPr="0068136B">
        <w:rPr>
          <w:rFonts w:ascii="Arial" w:eastAsia="Arial" w:hAnsi="Arial" w:cs="Arial"/>
        </w:rPr>
        <w:t>necessary health</w:t>
      </w:r>
      <w:r w:rsidR="009F3835" w:rsidRPr="0068136B">
        <w:rPr>
          <w:rFonts w:ascii="Arial" w:eastAsia="Arial" w:hAnsi="Arial" w:cs="Arial"/>
        </w:rPr>
        <w:t xml:space="preserve"> measures. </w:t>
      </w:r>
      <w:r w:rsidR="001F777D" w:rsidRPr="0068136B">
        <w:rPr>
          <w:rFonts w:ascii="Arial" w:eastAsia="Arial" w:hAnsi="Arial" w:cs="Arial"/>
        </w:rPr>
        <w:t xml:space="preserve">Specifically, </w:t>
      </w:r>
      <w:r w:rsidR="00944BA1" w:rsidRPr="0068136B">
        <w:rPr>
          <w:rFonts w:ascii="Arial" w:eastAsia="Arial" w:hAnsi="Arial" w:cs="Arial"/>
        </w:rPr>
        <w:t>and speaking to other works in the literature (e.g. (Campos 2020</w:t>
      </w:r>
      <w:r w:rsidR="00893856" w:rsidRPr="0068136B">
        <w:rPr>
          <w:rFonts w:ascii="Arial" w:eastAsia="Arial" w:hAnsi="Arial" w:cs="Arial"/>
        </w:rPr>
        <w:t>;</w:t>
      </w:r>
      <w:r w:rsidR="00944BA1" w:rsidRPr="0068136B">
        <w:rPr>
          <w:rFonts w:ascii="Arial" w:eastAsia="Arial" w:hAnsi="Arial" w:cs="Arial"/>
        </w:rPr>
        <w:t xml:space="preserve"> Fernandes 2021</w:t>
      </w:r>
      <w:r w:rsidR="00893856" w:rsidRPr="0068136B">
        <w:rPr>
          <w:rFonts w:ascii="Arial" w:eastAsia="Arial" w:hAnsi="Arial" w:cs="Arial"/>
        </w:rPr>
        <w:t>;</w:t>
      </w:r>
      <w:r w:rsidR="00944BA1" w:rsidRPr="0068136B">
        <w:rPr>
          <w:rFonts w:ascii="Arial" w:eastAsia="Arial" w:hAnsi="Arial" w:cs="Arial"/>
        </w:rPr>
        <w:t xml:space="preserve"> Calil 2021), </w:t>
      </w:r>
      <w:r w:rsidR="001F777D" w:rsidRPr="0068136B">
        <w:rPr>
          <w:rFonts w:ascii="Arial" w:eastAsia="Arial" w:hAnsi="Arial" w:cs="Arial"/>
        </w:rPr>
        <w:t>o</w:t>
      </w:r>
      <w:r w:rsidR="0062670B" w:rsidRPr="0068136B">
        <w:rPr>
          <w:rFonts w:ascii="Arial" w:eastAsia="Arial" w:hAnsi="Arial" w:cs="Arial"/>
        </w:rPr>
        <w:t>ur analysis</w:t>
      </w:r>
      <w:r w:rsidR="00941240" w:rsidRPr="0068136B">
        <w:rPr>
          <w:rFonts w:ascii="Arial" w:eastAsia="Arial" w:hAnsi="Arial" w:cs="Arial"/>
        </w:rPr>
        <w:t xml:space="preserve"> provides further evidence </w:t>
      </w:r>
      <w:r w:rsidR="00944BA1" w:rsidRPr="0068136B">
        <w:rPr>
          <w:rFonts w:ascii="Arial" w:eastAsia="Arial" w:hAnsi="Arial" w:cs="Arial"/>
        </w:rPr>
        <w:t xml:space="preserve">of the mechanisms by which </w:t>
      </w:r>
      <w:r w:rsidR="00941240" w:rsidRPr="0068136B">
        <w:rPr>
          <w:rFonts w:ascii="Arial" w:eastAsia="Arial" w:hAnsi="Arial" w:cs="Arial"/>
        </w:rPr>
        <w:t xml:space="preserve">the government’s response </w:t>
      </w:r>
      <w:r w:rsidR="00944BA1" w:rsidRPr="0068136B">
        <w:rPr>
          <w:rFonts w:ascii="Arial" w:eastAsia="Arial" w:hAnsi="Arial" w:cs="Arial"/>
        </w:rPr>
        <w:t>led</w:t>
      </w:r>
      <w:r w:rsidR="00941240" w:rsidRPr="0068136B">
        <w:rPr>
          <w:rFonts w:ascii="Arial" w:eastAsia="Arial" w:hAnsi="Arial" w:cs="Arial"/>
        </w:rPr>
        <w:t xml:space="preserve"> to an increase of anti-science beliefs and denialism</w:t>
      </w:r>
      <w:r w:rsidR="008E638B" w:rsidRPr="0068136B">
        <w:rPr>
          <w:rFonts w:ascii="Arial" w:eastAsia="Arial" w:hAnsi="Arial" w:cs="Arial"/>
        </w:rPr>
        <w:t xml:space="preserve">. </w:t>
      </w:r>
      <w:r w:rsidR="00944BA1" w:rsidRPr="0068136B">
        <w:rPr>
          <w:rFonts w:ascii="Arial" w:eastAsia="Arial" w:hAnsi="Arial" w:cs="Arial"/>
        </w:rPr>
        <w:t xml:space="preserve">We also </w:t>
      </w:r>
      <w:r w:rsidR="004D6E8D" w:rsidRPr="0068136B">
        <w:rPr>
          <w:rFonts w:ascii="Arial" w:eastAsia="Arial" w:hAnsi="Arial" w:cs="Arial"/>
        </w:rPr>
        <w:t>provided further detail of the process by which</w:t>
      </w:r>
      <w:r w:rsidR="008E638B" w:rsidRPr="0068136B">
        <w:rPr>
          <w:rFonts w:ascii="Arial" w:eastAsia="Arial" w:hAnsi="Arial" w:cs="Arial"/>
        </w:rPr>
        <w:t xml:space="preserve"> t</w:t>
      </w:r>
      <w:r w:rsidR="009F3835" w:rsidRPr="0068136B">
        <w:rPr>
          <w:rFonts w:ascii="Arial" w:eastAsia="Arial" w:hAnsi="Arial" w:cs="Arial"/>
        </w:rPr>
        <w:t xml:space="preserve">he federal government </w:t>
      </w:r>
      <w:r w:rsidR="004D6E8D" w:rsidRPr="0068136B">
        <w:rPr>
          <w:rFonts w:ascii="Arial" w:eastAsia="Arial" w:hAnsi="Arial" w:cs="Arial"/>
        </w:rPr>
        <w:t xml:space="preserve">contributed </w:t>
      </w:r>
      <w:r w:rsidR="000005F9" w:rsidRPr="0068136B">
        <w:rPr>
          <w:rFonts w:ascii="Arial" w:eastAsia="Arial" w:hAnsi="Arial" w:cs="Arial"/>
        </w:rPr>
        <w:t>to hinder</w:t>
      </w:r>
      <w:r w:rsidR="004D6E8D" w:rsidRPr="0068136B">
        <w:rPr>
          <w:rFonts w:ascii="Arial" w:eastAsia="Arial" w:hAnsi="Arial" w:cs="Arial"/>
        </w:rPr>
        <w:t xml:space="preserve">ing </w:t>
      </w:r>
      <w:r w:rsidR="009F3835" w:rsidRPr="0068136B">
        <w:rPr>
          <w:rFonts w:ascii="Arial" w:eastAsia="Arial" w:hAnsi="Arial" w:cs="Arial"/>
        </w:rPr>
        <w:t>social cohesion</w:t>
      </w:r>
      <w:r w:rsidR="00C3799E" w:rsidRPr="0068136B">
        <w:rPr>
          <w:rFonts w:ascii="Arial" w:eastAsia="Arial" w:hAnsi="Arial" w:cs="Arial"/>
        </w:rPr>
        <w:t xml:space="preserve"> (namely, by obstructing</w:t>
      </w:r>
      <w:r w:rsidR="00F049C6" w:rsidRPr="0068136B">
        <w:rPr>
          <w:rFonts w:ascii="Arial" w:eastAsia="Arial" w:hAnsi="Arial" w:cs="Arial"/>
        </w:rPr>
        <w:t xml:space="preserve"> actors</w:t>
      </w:r>
      <w:r w:rsidR="005B3FB4" w:rsidRPr="0068136B">
        <w:rPr>
          <w:rFonts w:ascii="Arial" w:eastAsia="Arial" w:hAnsi="Arial" w:cs="Arial"/>
        </w:rPr>
        <w:t xml:space="preserve"> in other levels of government and in civil society</w:t>
      </w:r>
      <w:r w:rsidR="00F049C6" w:rsidRPr="0068136B">
        <w:rPr>
          <w:rFonts w:ascii="Arial" w:eastAsia="Arial" w:hAnsi="Arial" w:cs="Arial"/>
        </w:rPr>
        <w:t xml:space="preserve">, </w:t>
      </w:r>
      <w:r w:rsidR="005B3FB4" w:rsidRPr="0068136B">
        <w:rPr>
          <w:rFonts w:ascii="Arial" w:eastAsia="Arial" w:hAnsi="Arial" w:cs="Arial"/>
        </w:rPr>
        <w:t xml:space="preserve">by </w:t>
      </w:r>
      <w:r w:rsidR="00F049C6" w:rsidRPr="0068136B">
        <w:rPr>
          <w:rFonts w:ascii="Arial" w:eastAsia="Arial" w:hAnsi="Arial" w:cs="Arial"/>
        </w:rPr>
        <w:t xml:space="preserve">empowering unelected members of a </w:t>
      </w:r>
      <w:r w:rsidR="005B3FB4" w:rsidRPr="0068136B">
        <w:rPr>
          <w:rFonts w:ascii="Arial" w:eastAsia="Arial" w:hAnsi="Arial" w:cs="Arial"/>
        </w:rPr>
        <w:t>“</w:t>
      </w:r>
      <w:r w:rsidR="00F049C6" w:rsidRPr="0068136B">
        <w:rPr>
          <w:rFonts w:ascii="Arial" w:eastAsia="Arial" w:hAnsi="Arial" w:cs="Arial"/>
        </w:rPr>
        <w:t>parallel cabinet</w:t>
      </w:r>
      <w:r w:rsidR="005B3FB4" w:rsidRPr="0068136B">
        <w:rPr>
          <w:rFonts w:ascii="Arial" w:eastAsia="Arial" w:hAnsi="Arial" w:cs="Arial"/>
        </w:rPr>
        <w:t>”</w:t>
      </w:r>
      <w:r w:rsidR="00F049C6" w:rsidRPr="0068136B">
        <w:rPr>
          <w:rFonts w:ascii="Arial" w:eastAsia="Arial" w:hAnsi="Arial" w:cs="Arial"/>
        </w:rPr>
        <w:t xml:space="preserve">, and </w:t>
      </w:r>
      <w:r w:rsidR="005B3FB4" w:rsidRPr="0068136B">
        <w:rPr>
          <w:rFonts w:ascii="Arial" w:eastAsia="Arial" w:hAnsi="Arial" w:cs="Arial"/>
        </w:rPr>
        <w:t>by casting doubt on health authority advice)</w:t>
      </w:r>
      <w:r w:rsidR="009F3835" w:rsidRPr="0068136B">
        <w:rPr>
          <w:rFonts w:ascii="Arial" w:eastAsia="Arial" w:hAnsi="Arial" w:cs="Arial"/>
        </w:rPr>
        <w:t xml:space="preserve">. </w:t>
      </w:r>
      <w:r w:rsidR="00913596" w:rsidRPr="0068136B">
        <w:rPr>
          <w:rFonts w:ascii="Arial" w:eastAsia="Arial" w:hAnsi="Arial" w:cs="Arial"/>
        </w:rPr>
        <w:t xml:space="preserve">The documentary evidence </w:t>
      </w:r>
      <w:r w:rsidR="00311DFE" w:rsidRPr="0068136B">
        <w:rPr>
          <w:rFonts w:ascii="Arial" w:eastAsia="Arial" w:hAnsi="Arial" w:cs="Arial"/>
        </w:rPr>
        <w:t>we reviewed</w:t>
      </w:r>
      <w:r w:rsidR="005B3FB4" w:rsidRPr="0068136B">
        <w:rPr>
          <w:rFonts w:ascii="Arial" w:eastAsia="Arial" w:hAnsi="Arial" w:cs="Arial"/>
        </w:rPr>
        <w:t xml:space="preserve"> also</w:t>
      </w:r>
      <w:r w:rsidR="00311DFE" w:rsidRPr="0068136B">
        <w:rPr>
          <w:rFonts w:ascii="Arial" w:eastAsia="Arial" w:hAnsi="Arial" w:cs="Arial"/>
        </w:rPr>
        <w:t xml:space="preserve"> </w:t>
      </w:r>
      <w:r w:rsidR="00913596" w:rsidRPr="0068136B">
        <w:rPr>
          <w:rFonts w:ascii="Arial" w:eastAsia="Arial" w:hAnsi="Arial" w:cs="Arial"/>
        </w:rPr>
        <w:t xml:space="preserve">indicates that federal government actions </w:t>
      </w:r>
      <w:r w:rsidR="009F3835" w:rsidRPr="0068136B">
        <w:rPr>
          <w:rFonts w:ascii="Arial" w:eastAsia="Arial" w:hAnsi="Arial" w:cs="Arial"/>
        </w:rPr>
        <w:t>contributed to delay</w:t>
      </w:r>
      <w:r w:rsidR="00311DFE" w:rsidRPr="0068136B">
        <w:rPr>
          <w:rFonts w:ascii="Arial" w:eastAsia="Arial" w:hAnsi="Arial" w:cs="Arial"/>
        </w:rPr>
        <w:t>s</w:t>
      </w:r>
      <w:r w:rsidR="009F3835" w:rsidRPr="0068136B">
        <w:rPr>
          <w:rFonts w:ascii="Arial" w:eastAsia="Arial" w:hAnsi="Arial" w:cs="Arial"/>
        </w:rPr>
        <w:t xml:space="preserve"> </w:t>
      </w:r>
      <w:r w:rsidR="00311DFE" w:rsidRPr="0068136B">
        <w:rPr>
          <w:rFonts w:ascii="Arial" w:eastAsia="Arial" w:hAnsi="Arial" w:cs="Arial"/>
        </w:rPr>
        <w:t xml:space="preserve">in the </w:t>
      </w:r>
      <w:r w:rsidR="009F3835" w:rsidRPr="0068136B">
        <w:rPr>
          <w:rFonts w:ascii="Arial" w:eastAsia="Arial" w:hAnsi="Arial" w:cs="Arial"/>
        </w:rPr>
        <w:t>vaccination</w:t>
      </w:r>
      <w:r w:rsidR="00311DFE" w:rsidRPr="0068136B">
        <w:rPr>
          <w:rFonts w:ascii="Arial" w:eastAsia="Arial" w:hAnsi="Arial" w:cs="Arial"/>
        </w:rPr>
        <w:t xml:space="preserve"> process</w:t>
      </w:r>
      <w:r w:rsidR="009F3835" w:rsidRPr="0068136B">
        <w:rPr>
          <w:rFonts w:ascii="Arial" w:eastAsia="Arial" w:hAnsi="Arial" w:cs="Arial"/>
        </w:rPr>
        <w:t xml:space="preserve">, </w:t>
      </w:r>
      <w:r w:rsidR="00311DFE" w:rsidRPr="0068136B">
        <w:rPr>
          <w:rFonts w:ascii="Arial" w:eastAsia="Arial" w:hAnsi="Arial" w:cs="Arial"/>
        </w:rPr>
        <w:t xml:space="preserve">while </w:t>
      </w:r>
      <w:r w:rsidR="009F3835" w:rsidRPr="0068136B">
        <w:rPr>
          <w:rFonts w:ascii="Arial" w:eastAsia="Arial" w:hAnsi="Arial" w:cs="Arial"/>
        </w:rPr>
        <w:t>foster</w:t>
      </w:r>
      <w:r w:rsidR="00311DFE" w:rsidRPr="0068136B">
        <w:rPr>
          <w:rFonts w:ascii="Arial" w:eastAsia="Arial" w:hAnsi="Arial" w:cs="Arial"/>
        </w:rPr>
        <w:t>ing</w:t>
      </w:r>
      <w:r w:rsidR="009F3835" w:rsidRPr="0068136B">
        <w:rPr>
          <w:rFonts w:ascii="Arial" w:eastAsia="Arial" w:hAnsi="Arial" w:cs="Arial"/>
        </w:rPr>
        <w:t xml:space="preserve"> widespread public use of medicines without proven effectiveness.</w:t>
      </w:r>
    </w:p>
    <w:p w14:paraId="0000006D" w14:textId="6110FF51" w:rsidR="00EE690B" w:rsidRPr="0068136B" w:rsidRDefault="009F3835" w:rsidP="004E3F17">
      <w:pPr>
        <w:spacing w:after="0" w:line="480" w:lineRule="auto"/>
        <w:ind w:firstLine="709"/>
        <w:jc w:val="both"/>
        <w:rPr>
          <w:rFonts w:ascii="Arial" w:eastAsia="Arial" w:hAnsi="Arial" w:cs="Arial"/>
        </w:rPr>
      </w:pPr>
      <w:r w:rsidRPr="0068136B">
        <w:rPr>
          <w:rFonts w:ascii="Arial" w:eastAsia="Arial" w:hAnsi="Arial" w:cs="Arial"/>
        </w:rPr>
        <w:tab/>
      </w:r>
      <w:r w:rsidR="005F2ACB" w:rsidRPr="0068136B">
        <w:rPr>
          <w:rFonts w:ascii="Arial" w:eastAsia="Arial" w:hAnsi="Arial" w:cs="Arial"/>
        </w:rPr>
        <w:t xml:space="preserve">The Brazilian federal government adopted what could be termed </w:t>
      </w:r>
      <w:r w:rsidR="00D75C69" w:rsidRPr="0068136B">
        <w:rPr>
          <w:rFonts w:ascii="Arial" w:eastAsia="Arial" w:hAnsi="Arial" w:cs="Arial"/>
        </w:rPr>
        <w:t>a ‘governance by chaos’</w:t>
      </w:r>
      <w:r w:rsidR="005F2ACB" w:rsidRPr="0068136B">
        <w:rPr>
          <w:rFonts w:ascii="Arial" w:eastAsia="Arial" w:hAnsi="Arial" w:cs="Arial"/>
        </w:rPr>
        <w:t xml:space="preserve">, consisting of </w:t>
      </w:r>
      <w:r w:rsidR="00913596" w:rsidRPr="0068136B">
        <w:rPr>
          <w:rFonts w:ascii="Arial" w:eastAsia="Arial" w:hAnsi="Arial" w:cs="Arial"/>
        </w:rPr>
        <w:t>inadequa</w:t>
      </w:r>
      <w:r w:rsidR="00BF5B18" w:rsidRPr="0068136B">
        <w:rPr>
          <w:rFonts w:ascii="Arial" w:eastAsia="Arial" w:hAnsi="Arial" w:cs="Arial"/>
        </w:rPr>
        <w:t>te efforts</w:t>
      </w:r>
      <w:r w:rsidRPr="0068136B">
        <w:rPr>
          <w:rFonts w:ascii="Arial" w:eastAsia="Arial" w:hAnsi="Arial" w:cs="Arial"/>
        </w:rPr>
        <w:t xml:space="preserve"> to meet risk governance parameters coupled with an attempt to sow doubt and confusion</w:t>
      </w:r>
      <w:r w:rsidR="007051BE" w:rsidRPr="0068136B">
        <w:rPr>
          <w:rFonts w:ascii="Arial" w:eastAsia="Arial" w:hAnsi="Arial" w:cs="Arial"/>
        </w:rPr>
        <w:t>.</w:t>
      </w:r>
      <w:r w:rsidRPr="0068136B">
        <w:rPr>
          <w:rFonts w:ascii="Arial" w:eastAsia="Arial" w:hAnsi="Arial" w:cs="Arial"/>
        </w:rPr>
        <w:t xml:space="preserve"> The concept of </w:t>
      </w:r>
      <w:r w:rsidR="00B079A8" w:rsidRPr="0068136B">
        <w:rPr>
          <w:rFonts w:ascii="Arial" w:eastAsia="Arial" w:hAnsi="Arial" w:cs="Arial"/>
        </w:rPr>
        <w:t>‘</w:t>
      </w:r>
      <w:r w:rsidRPr="0068136B">
        <w:rPr>
          <w:rFonts w:ascii="Arial" w:eastAsia="Arial" w:hAnsi="Arial" w:cs="Arial"/>
        </w:rPr>
        <w:t>governance by chaos</w:t>
      </w:r>
      <w:r w:rsidR="00B079A8" w:rsidRPr="0068136B">
        <w:rPr>
          <w:rFonts w:ascii="Arial" w:eastAsia="Arial" w:hAnsi="Arial" w:cs="Arial"/>
        </w:rPr>
        <w:t>’</w:t>
      </w:r>
      <w:r w:rsidRPr="0068136B">
        <w:rPr>
          <w:rFonts w:ascii="Arial" w:eastAsia="Arial" w:hAnsi="Arial" w:cs="Arial"/>
        </w:rPr>
        <w:t xml:space="preserve"> is aligned with what has been termed “Bolsonaro’s federalism” (Abrucio et al 2020). Reduced participation of the federal government in the reduction of territorial disparities and inequalities, combined with increased conflict with subnational governments</w:t>
      </w:r>
      <w:r w:rsidR="005A27BE" w:rsidRPr="0068136B">
        <w:rPr>
          <w:rFonts w:ascii="Arial" w:eastAsia="Arial" w:hAnsi="Arial" w:cs="Arial"/>
        </w:rPr>
        <w:t xml:space="preserve"> and other levels of the administration</w:t>
      </w:r>
      <w:r w:rsidRPr="0068136B">
        <w:rPr>
          <w:rFonts w:ascii="Arial" w:eastAsia="Arial" w:hAnsi="Arial" w:cs="Arial"/>
        </w:rPr>
        <w:t xml:space="preserve"> – the main </w:t>
      </w:r>
      <w:r w:rsidR="00784F2B" w:rsidRPr="0068136B">
        <w:rPr>
          <w:rFonts w:ascii="Arial" w:eastAsia="Arial" w:hAnsi="Arial" w:cs="Arial"/>
        </w:rPr>
        <w:t xml:space="preserve">strategies of </w:t>
      </w:r>
      <w:r w:rsidRPr="0068136B">
        <w:rPr>
          <w:rFonts w:ascii="Arial" w:eastAsia="Arial" w:hAnsi="Arial" w:cs="Arial"/>
        </w:rPr>
        <w:t>Bolsonaro’s federalism</w:t>
      </w:r>
      <w:r w:rsidR="005A27BE" w:rsidRPr="0068136B">
        <w:rPr>
          <w:rFonts w:ascii="Arial" w:eastAsia="Arial" w:hAnsi="Arial" w:cs="Arial"/>
        </w:rPr>
        <w:t xml:space="preserve"> </w:t>
      </w:r>
      <w:r w:rsidRPr="0068136B">
        <w:rPr>
          <w:rFonts w:ascii="Arial" w:eastAsia="Arial" w:hAnsi="Arial" w:cs="Arial"/>
        </w:rPr>
        <w:t xml:space="preserve">– jeopardized the coordination of policy responses to the pandemic. Moreover, as Monteiro et al (in press) argue, the choices and actions made by the federal government </w:t>
      </w:r>
      <w:r w:rsidR="00964714" w:rsidRPr="0068136B">
        <w:rPr>
          <w:rFonts w:ascii="Arial" w:eastAsia="Arial" w:hAnsi="Arial" w:cs="Arial"/>
        </w:rPr>
        <w:t>amplified</w:t>
      </w:r>
      <w:r w:rsidRPr="0068136B">
        <w:rPr>
          <w:rFonts w:ascii="Arial" w:eastAsia="Arial" w:hAnsi="Arial" w:cs="Arial"/>
        </w:rPr>
        <w:t xml:space="preserve"> controversies and associated conflicts that have exposed and fueled a broader institutional crisis.</w:t>
      </w:r>
    </w:p>
    <w:p w14:paraId="0000006E" w14:textId="56BAEAE4" w:rsidR="00EE690B" w:rsidRPr="0068136B" w:rsidRDefault="009F3835" w:rsidP="00872D27">
      <w:pPr>
        <w:spacing w:after="0" w:line="480" w:lineRule="auto"/>
        <w:ind w:firstLine="709"/>
        <w:jc w:val="both"/>
        <w:rPr>
          <w:rFonts w:ascii="Arial" w:eastAsia="Arial" w:hAnsi="Arial" w:cs="Arial"/>
        </w:rPr>
      </w:pPr>
      <w:r w:rsidRPr="0068136B">
        <w:rPr>
          <w:rFonts w:ascii="Arial" w:eastAsia="Arial" w:hAnsi="Arial" w:cs="Arial"/>
        </w:rPr>
        <w:lastRenderedPageBreak/>
        <w:t xml:space="preserve">This article supplemented these arguments, offering a layered </w:t>
      </w:r>
      <w:r w:rsidR="00A86099" w:rsidRPr="0068136B">
        <w:rPr>
          <w:rFonts w:ascii="Arial" w:eastAsia="Arial" w:hAnsi="Arial" w:cs="Arial"/>
        </w:rPr>
        <w:t>account</w:t>
      </w:r>
      <w:r w:rsidRPr="0068136B">
        <w:rPr>
          <w:rFonts w:ascii="Arial" w:eastAsia="Arial" w:hAnsi="Arial" w:cs="Arial"/>
        </w:rPr>
        <w:t xml:space="preserve"> of institutional failure in Brazil’s response to the pandemic</w:t>
      </w:r>
      <w:r w:rsidR="00072045" w:rsidRPr="0068136B">
        <w:rPr>
          <w:rFonts w:ascii="Arial" w:eastAsia="Arial" w:hAnsi="Arial" w:cs="Arial"/>
        </w:rPr>
        <w:t xml:space="preserve">. </w:t>
      </w:r>
      <w:r w:rsidR="00235077" w:rsidRPr="0068136B">
        <w:rPr>
          <w:rFonts w:ascii="Arial" w:eastAsia="Arial" w:hAnsi="Arial" w:cs="Arial"/>
        </w:rPr>
        <w:t xml:space="preserve">It is worthy to note </w:t>
      </w:r>
      <w:r w:rsidR="00302E41" w:rsidRPr="0068136B">
        <w:rPr>
          <w:rFonts w:ascii="Arial" w:eastAsia="Arial" w:hAnsi="Arial" w:cs="Arial"/>
        </w:rPr>
        <w:t>that</w:t>
      </w:r>
      <w:r w:rsidR="002D265B" w:rsidRPr="0068136B">
        <w:rPr>
          <w:rFonts w:ascii="Arial" w:eastAsia="Arial" w:hAnsi="Arial" w:cs="Arial"/>
        </w:rPr>
        <w:t xml:space="preserve"> the use of documentary sources is an effective means of gathering data, particularly in situations, like health emergencies, which involve decision-makers/government actors; where there are enormous uncertainties; where different values are present and in dispute (Abott et al 2004); and where there are difficulties of collecting data through interviews (Morgan 2022). The use of documentary sources is not without its limitations, namely: documents can vary in quality, and biased selectivity might be a concern (Abott et al 2004; Gorsky, Mold, 2019). We sought to cope with such limitations by carefully structuring our data collection and analysis, as described in the methodological section. We did not set out to conduct an exhaustive account of performance or conduct in-depth analyses of discourses. Instead, our study illustrates the application of the risk governance framework through a case study of institutional failure. In this sense, the Brazil case shows the analytical added-value of using a risk governance framework in the analysis of the institutional response to health emergencies</w:t>
      </w:r>
      <w:r w:rsidR="00302E41" w:rsidRPr="0068136B">
        <w:rPr>
          <w:rFonts w:ascii="Arial" w:hAnsi="Arial" w:cs="Arial"/>
          <w:bCs/>
        </w:rPr>
        <w:t>.</w:t>
      </w:r>
      <w:r w:rsidRPr="0068136B">
        <w:rPr>
          <w:rFonts w:ascii="Arial" w:eastAsia="Arial" w:hAnsi="Arial" w:cs="Arial"/>
        </w:rPr>
        <w:t xml:space="preserve"> </w:t>
      </w:r>
      <w:r w:rsidR="00872D27" w:rsidRPr="0068136B">
        <w:rPr>
          <w:rFonts w:ascii="Arial" w:eastAsia="Arial" w:hAnsi="Arial" w:cs="Arial"/>
        </w:rPr>
        <w:t>With this framework</w:t>
      </w:r>
      <w:r w:rsidR="00E73993" w:rsidRPr="0068136B">
        <w:rPr>
          <w:rFonts w:ascii="Arial" w:eastAsia="Arial" w:hAnsi="Arial" w:cs="Arial"/>
        </w:rPr>
        <w:t>, effects can be traced back to performance deficiencies in relation to risk governance parameters.</w:t>
      </w:r>
      <w:r w:rsidR="00872D27" w:rsidRPr="0068136B">
        <w:rPr>
          <w:rFonts w:ascii="Arial" w:eastAsia="Arial" w:hAnsi="Arial" w:cs="Arial"/>
        </w:rPr>
        <w:t xml:space="preserve"> </w:t>
      </w:r>
      <w:r w:rsidR="00406EEC" w:rsidRPr="0068136B">
        <w:rPr>
          <w:rFonts w:ascii="Arial" w:eastAsia="Arial" w:hAnsi="Arial" w:cs="Arial"/>
        </w:rPr>
        <w:t>Risk governance</w:t>
      </w:r>
      <w:r w:rsidR="00E5450A" w:rsidRPr="0068136B">
        <w:rPr>
          <w:rFonts w:ascii="Arial" w:eastAsia="Arial" w:hAnsi="Arial" w:cs="Arial"/>
        </w:rPr>
        <w:t xml:space="preserve"> is a useful resource to understanding </w:t>
      </w:r>
      <w:r w:rsidR="008F5E81" w:rsidRPr="0068136B">
        <w:rPr>
          <w:rFonts w:ascii="Arial" w:eastAsia="Arial" w:hAnsi="Arial" w:cs="Arial"/>
        </w:rPr>
        <w:t>complex</w:t>
      </w:r>
      <w:r w:rsidR="00872D27" w:rsidRPr="0068136B">
        <w:rPr>
          <w:rFonts w:ascii="Arial" w:eastAsia="Arial" w:hAnsi="Arial" w:cs="Arial"/>
        </w:rPr>
        <w:t xml:space="preserve"> situations where</w:t>
      </w:r>
      <w:r w:rsidR="008F5E81" w:rsidRPr="0068136B">
        <w:rPr>
          <w:rFonts w:ascii="Arial" w:eastAsia="Arial" w:hAnsi="Arial" w:cs="Arial"/>
        </w:rPr>
        <w:t xml:space="preserve"> multiple actors </w:t>
      </w:r>
      <w:r w:rsidR="00B02DA0" w:rsidRPr="0068136B">
        <w:rPr>
          <w:rFonts w:ascii="Arial" w:eastAsia="Arial" w:hAnsi="Arial" w:cs="Arial"/>
        </w:rPr>
        <w:t>interact</w:t>
      </w:r>
      <w:r w:rsidR="00814969" w:rsidRPr="0068136B">
        <w:rPr>
          <w:rFonts w:ascii="Arial" w:eastAsia="Arial" w:hAnsi="Arial" w:cs="Arial"/>
        </w:rPr>
        <w:t xml:space="preserve"> in a</w:t>
      </w:r>
      <w:r w:rsidR="00C155CA" w:rsidRPr="0068136B">
        <w:rPr>
          <w:rFonts w:ascii="Arial" w:eastAsia="Arial" w:hAnsi="Arial" w:cs="Arial"/>
        </w:rPr>
        <w:t xml:space="preserve"> fast-shifting</w:t>
      </w:r>
      <w:r w:rsidR="00814969" w:rsidRPr="0068136B">
        <w:rPr>
          <w:rFonts w:ascii="Arial" w:eastAsia="Arial" w:hAnsi="Arial" w:cs="Arial"/>
        </w:rPr>
        <w:t xml:space="preserve"> scenario of competition</w:t>
      </w:r>
      <w:r w:rsidR="00C155CA" w:rsidRPr="0068136B">
        <w:rPr>
          <w:rFonts w:ascii="Arial" w:eastAsia="Arial" w:hAnsi="Arial" w:cs="Arial"/>
        </w:rPr>
        <w:t xml:space="preserve"> and</w:t>
      </w:r>
      <w:r w:rsidR="008D4BEE" w:rsidRPr="0068136B">
        <w:rPr>
          <w:rFonts w:ascii="Arial" w:eastAsia="Arial" w:hAnsi="Arial" w:cs="Arial"/>
        </w:rPr>
        <w:t xml:space="preserve"> uncertainty.</w:t>
      </w:r>
      <w:r w:rsidR="00814969" w:rsidRPr="0068136B">
        <w:rPr>
          <w:rFonts w:ascii="Arial" w:eastAsia="Arial" w:hAnsi="Arial" w:cs="Arial"/>
        </w:rPr>
        <w:t xml:space="preserve"> </w:t>
      </w:r>
      <w:r w:rsidR="008D4BEE" w:rsidRPr="0068136B">
        <w:rPr>
          <w:rFonts w:ascii="Arial" w:eastAsia="Arial" w:hAnsi="Arial" w:cs="Arial"/>
        </w:rPr>
        <w:t xml:space="preserve">Ultimately, </w:t>
      </w:r>
      <w:r w:rsidR="00C92FFB" w:rsidRPr="0068136B">
        <w:rPr>
          <w:rFonts w:ascii="Arial" w:eastAsia="Arial" w:hAnsi="Arial" w:cs="Arial"/>
        </w:rPr>
        <w:t xml:space="preserve">by allowing us to identify </w:t>
      </w:r>
      <w:r w:rsidR="00E6480B" w:rsidRPr="0068136B">
        <w:rPr>
          <w:rFonts w:ascii="Arial" w:eastAsia="Arial" w:hAnsi="Arial" w:cs="Arial"/>
        </w:rPr>
        <w:t xml:space="preserve">the </w:t>
      </w:r>
      <w:r w:rsidR="00C92FFB" w:rsidRPr="0068136B">
        <w:rPr>
          <w:rFonts w:ascii="Arial" w:eastAsia="Arial" w:hAnsi="Arial" w:cs="Arial"/>
        </w:rPr>
        <w:t xml:space="preserve">effects and </w:t>
      </w:r>
      <w:r w:rsidRPr="0068136B">
        <w:rPr>
          <w:rFonts w:ascii="Arial" w:eastAsia="Arial" w:hAnsi="Arial" w:cs="Arial"/>
        </w:rPr>
        <w:t>ramifications of polic</w:t>
      </w:r>
      <w:r w:rsidR="00B9790F" w:rsidRPr="0068136B">
        <w:rPr>
          <w:rFonts w:ascii="Arial" w:eastAsia="Arial" w:hAnsi="Arial" w:cs="Arial"/>
        </w:rPr>
        <w:t>ies</w:t>
      </w:r>
      <w:r w:rsidR="00C92FFB" w:rsidRPr="0068136B">
        <w:rPr>
          <w:rFonts w:ascii="Arial" w:eastAsia="Arial" w:hAnsi="Arial" w:cs="Arial"/>
        </w:rPr>
        <w:t xml:space="preserve"> (</w:t>
      </w:r>
      <w:r w:rsidRPr="0068136B">
        <w:rPr>
          <w:rFonts w:ascii="Arial" w:eastAsia="Arial" w:hAnsi="Arial" w:cs="Arial"/>
        </w:rPr>
        <w:t>or the absence thereof</w:t>
      </w:r>
      <w:r w:rsidR="00C92FFB" w:rsidRPr="0068136B">
        <w:rPr>
          <w:rFonts w:ascii="Arial" w:eastAsia="Arial" w:hAnsi="Arial" w:cs="Arial"/>
        </w:rPr>
        <w:t>)</w:t>
      </w:r>
      <w:r w:rsidR="00E6480B" w:rsidRPr="0068136B">
        <w:rPr>
          <w:rFonts w:ascii="Arial" w:eastAsia="Arial" w:hAnsi="Arial" w:cs="Arial"/>
        </w:rPr>
        <w:t>, as well as societal reactions</w:t>
      </w:r>
      <w:r w:rsidR="00C92FFB" w:rsidRPr="0068136B">
        <w:rPr>
          <w:rFonts w:ascii="Arial" w:eastAsia="Arial" w:hAnsi="Arial" w:cs="Arial"/>
        </w:rPr>
        <w:t>, risk governance</w:t>
      </w:r>
      <w:r w:rsidRPr="0068136B">
        <w:rPr>
          <w:rFonts w:ascii="Arial" w:eastAsia="Arial" w:hAnsi="Arial" w:cs="Arial"/>
        </w:rPr>
        <w:t xml:space="preserve"> </w:t>
      </w:r>
      <w:r w:rsidR="001E7B28" w:rsidRPr="0068136B">
        <w:rPr>
          <w:rFonts w:ascii="Arial" w:eastAsia="Arial" w:hAnsi="Arial" w:cs="Arial"/>
        </w:rPr>
        <w:t xml:space="preserve">parameters </w:t>
      </w:r>
      <w:r w:rsidRPr="0068136B">
        <w:rPr>
          <w:rFonts w:ascii="Arial" w:eastAsia="Arial" w:hAnsi="Arial" w:cs="Arial"/>
        </w:rPr>
        <w:t xml:space="preserve">also </w:t>
      </w:r>
      <w:r w:rsidR="00BA6251" w:rsidRPr="0068136B">
        <w:rPr>
          <w:rFonts w:ascii="Arial" w:eastAsia="Arial" w:hAnsi="Arial" w:cs="Arial"/>
        </w:rPr>
        <w:t xml:space="preserve">shed </w:t>
      </w:r>
      <w:r w:rsidRPr="0068136B">
        <w:rPr>
          <w:rFonts w:ascii="Arial" w:eastAsia="Arial" w:hAnsi="Arial" w:cs="Arial"/>
        </w:rPr>
        <w:t xml:space="preserve">light on what an integrative and inclusive governance approach, capable of dealing with </w:t>
      </w:r>
      <w:r w:rsidR="00CF3AEF" w:rsidRPr="0068136B">
        <w:rPr>
          <w:rFonts w:ascii="Arial" w:eastAsia="Arial" w:hAnsi="Arial" w:cs="Arial"/>
        </w:rPr>
        <w:t>the</w:t>
      </w:r>
      <w:r w:rsidR="00EB4DA8" w:rsidRPr="0068136B">
        <w:rPr>
          <w:rFonts w:ascii="Arial" w:eastAsia="Arial" w:hAnsi="Arial" w:cs="Arial"/>
        </w:rPr>
        <w:t xml:space="preserve"> impacts </w:t>
      </w:r>
      <w:r w:rsidRPr="0068136B">
        <w:rPr>
          <w:rFonts w:ascii="Arial" w:eastAsia="Arial" w:hAnsi="Arial" w:cs="Arial"/>
        </w:rPr>
        <w:t>of health emergencies, can look like.</w:t>
      </w:r>
    </w:p>
    <w:p w14:paraId="09787157" w14:textId="77777777" w:rsidR="00F733F4" w:rsidRPr="0068136B" w:rsidRDefault="00F733F4" w:rsidP="00872D27">
      <w:pPr>
        <w:spacing w:after="0" w:line="480" w:lineRule="auto"/>
        <w:ind w:firstLine="709"/>
        <w:jc w:val="both"/>
        <w:rPr>
          <w:rFonts w:ascii="Arial" w:eastAsia="Arial" w:hAnsi="Arial" w:cs="Arial"/>
        </w:rPr>
      </w:pPr>
    </w:p>
    <w:p w14:paraId="6922F027" w14:textId="77777777" w:rsidR="00F733F4" w:rsidRPr="0068136B" w:rsidRDefault="00F733F4" w:rsidP="00F733F4">
      <w:pPr>
        <w:spacing w:after="0" w:line="480" w:lineRule="auto"/>
        <w:ind w:firstLine="709"/>
        <w:jc w:val="both"/>
        <w:rPr>
          <w:rFonts w:ascii="Arial" w:eastAsia="Arial" w:hAnsi="Arial" w:cs="Arial"/>
          <w:b/>
        </w:rPr>
      </w:pPr>
      <w:r w:rsidRPr="0068136B">
        <w:rPr>
          <w:rFonts w:ascii="Arial" w:eastAsia="Arial" w:hAnsi="Arial" w:cs="Arial"/>
          <w:b/>
        </w:rPr>
        <w:t>Abbreviations</w:t>
      </w:r>
    </w:p>
    <w:p w14:paraId="58CE7715" w14:textId="77777777" w:rsidR="00F733F4" w:rsidRPr="0068136B" w:rsidRDefault="00F733F4" w:rsidP="00F733F4">
      <w:pPr>
        <w:spacing w:after="0" w:line="480" w:lineRule="auto"/>
        <w:ind w:firstLine="709"/>
        <w:jc w:val="both"/>
        <w:rPr>
          <w:rFonts w:ascii="Arial" w:eastAsia="Arial" w:hAnsi="Arial" w:cs="Arial"/>
        </w:rPr>
      </w:pPr>
      <w:r w:rsidRPr="0068136B">
        <w:rPr>
          <w:rFonts w:ascii="Arial" w:eastAsia="Arial" w:hAnsi="Arial" w:cs="Arial"/>
        </w:rPr>
        <w:t>ANVISA - National Health Surveillance Agency</w:t>
      </w:r>
    </w:p>
    <w:p w14:paraId="03BB414A" w14:textId="77777777" w:rsidR="00F733F4" w:rsidRPr="0068136B" w:rsidRDefault="00F733F4" w:rsidP="00F733F4">
      <w:pPr>
        <w:spacing w:after="0" w:line="480" w:lineRule="auto"/>
        <w:ind w:firstLine="709"/>
        <w:jc w:val="both"/>
        <w:rPr>
          <w:rFonts w:ascii="Arial" w:eastAsia="Arial" w:hAnsi="Arial" w:cs="Arial"/>
        </w:rPr>
      </w:pPr>
      <w:r w:rsidRPr="0068136B">
        <w:rPr>
          <w:rFonts w:ascii="Arial" w:eastAsia="Arial" w:hAnsi="Arial" w:cs="Arial"/>
        </w:rPr>
        <w:t xml:space="preserve">OAB - Brazilian Bar Association </w:t>
      </w:r>
    </w:p>
    <w:p w14:paraId="41C4737F" w14:textId="77777777" w:rsidR="00F733F4" w:rsidRPr="0068136B" w:rsidRDefault="00F733F4" w:rsidP="00F733F4">
      <w:pPr>
        <w:spacing w:after="0" w:line="480" w:lineRule="auto"/>
        <w:ind w:firstLine="709"/>
        <w:jc w:val="both"/>
        <w:rPr>
          <w:rFonts w:ascii="Arial" w:eastAsia="Arial" w:hAnsi="Arial" w:cs="Arial"/>
        </w:rPr>
      </w:pPr>
      <w:r w:rsidRPr="0068136B">
        <w:rPr>
          <w:rFonts w:ascii="Arial" w:eastAsia="Arial" w:hAnsi="Arial" w:cs="Arial"/>
        </w:rPr>
        <w:t xml:space="preserve">PCI - Parliamentary Commission of Inquiry </w:t>
      </w:r>
    </w:p>
    <w:p w14:paraId="288FB125" w14:textId="77777777" w:rsidR="00F733F4" w:rsidRPr="0068136B" w:rsidRDefault="00F733F4" w:rsidP="00F733F4">
      <w:pPr>
        <w:spacing w:after="0" w:line="480" w:lineRule="auto"/>
        <w:ind w:firstLine="709"/>
        <w:jc w:val="both"/>
        <w:rPr>
          <w:rFonts w:ascii="Arial" w:eastAsia="Arial" w:hAnsi="Arial" w:cs="Arial"/>
        </w:rPr>
      </w:pPr>
      <w:r w:rsidRPr="0068136B">
        <w:rPr>
          <w:rFonts w:ascii="Arial" w:eastAsia="Arial" w:hAnsi="Arial" w:cs="Arial"/>
        </w:rPr>
        <w:t xml:space="preserve">STF - Federal Supreme Court </w:t>
      </w:r>
    </w:p>
    <w:p w14:paraId="2B8BA266" w14:textId="77777777" w:rsidR="00F733F4" w:rsidRPr="0068136B" w:rsidRDefault="00F733F4" w:rsidP="00F733F4">
      <w:pPr>
        <w:spacing w:after="0" w:line="480" w:lineRule="auto"/>
        <w:ind w:firstLine="709"/>
        <w:jc w:val="both"/>
        <w:rPr>
          <w:rFonts w:ascii="Arial" w:eastAsia="Arial" w:hAnsi="Arial" w:cs="Arial"/>
        </w:rPr>
      </w:pPr>
      <w:r w:rsidRPr="0068136B">
        <w:rPr>
          <w:rFonts w:ascii="Arial" w:eastAsia="Arial" w:hAnsi="Arial" w:cs="Arial"/>
        </w:rPr>
        <w:t>SUS - Sistema Único de Saúde (Unified Health System)</w:t>
      </w:r>
    </w:p>
    <w:p w14:paraId="26E1E13F" w14:textId="77777777" w:rsidR="00F733F4" w:rsidRPr="0068136B" w:rsidRDefault="00F733F4" w:rsidP="00F733F4">
      <w:pPr>
        <w:spacing w:after="0" w:line="480" w:lineRule="auto"/>
        <w:ind w:firstLine="709"/>
        <w:jc w:val="both"/>
        <w:rPr>
          <w:rFonts w:ascii="Arial" w:eastAsia="Arial" w:hAnsi="Arial" w:cs="Arial"/>
        </w:rPr>
      </w:pPr>
      <w:r w:rsidRPr="0068136B">
        <w:rPr>
          <w:rFonts w:ascii="Arial" w:eastAsia="Arial" w:hAnsi="Arial" w:cs="Arial"/>
        </w:rPr>
        <w:lastRenderedPageBreak/>
        <w:t xml:space="preserve">TCU - Federal Audit Court </w:t>
      </w:r>
    </w:p>
    <w:p w14:paraId="428AFE96" w14:textId="77777777" w:rsidR="00F733F4" w:rsidRPr="0068136B" w:rsidRDefault="00F733F4" w:rsidP="00F733F4">
      <w:pPr>
        <w:spacing w:after="0" w:line="480" w:lineRule="auto"/>
        <w:ind w:firstLine="709"/>
        <w:jc w:val="both"/>
        <w:rPr>
          <w:rFonts w:ascii="Arial" w:eastAsia="Arial" w:hAnsi="Arial" w:cs="Arial"/>
        </w:rPr>
      </w:pPr>
      <w:r w:rsidRPr="0068136B">
        <w:rPr>
          <w:rFonts w:ascii="Arial" w:eastAsia="Arial" w:hAnsi="Arial" w:cs="Arial"/>
        </w:rPr>
        <w:t xml:space="preserve">WHO - World Health Organization </w:t>
      </w:r>
    </w:p>
    <w:p w14:paraId="0006FEA4" w14:textId="77777777" w:rsidR="00BA13CF" w:rsidRPr="0068136B" w:rsidRDefault="00BA13CF" w:rsidP="00C92FFB">
      <w:pPr>
        <w:spacing w:after="0" w:line="480" w:lineRule="auto"/>
        <w:ind w:firstLine="709"/>
        <w:jc w:val="both"/>
        <w:rPr>
          <w:rFonts w:ascii="Arial" w:eastAsia="Arial" w:hAnsi="Arial" w:cs="Arial"/>
        </w:rPr>
      </w:pPr>
    </w:p>
    <w:p w14:paraId="00000070" w14:textId="4136D115" w:rsidR="00EE690B" w:rsidRPr="0068136B" w:rsidRDefault="009F3835">
      <w:pPr>
        <w:spacing w:after="0" w:line="480" w:lineRule="auto"/>
        <w:ind w:firstLine="360"/>
        <w:jc w:val="both"/>
        <w:rPr>
          <w:rFonts w:ascii="Arial" w:eastAsia="Arial" w:hAnsi="Arial" w:cs="Arial"/>
          <w:b/>
        </w:rPr>
      </w:pPr>
      <w:r w:rsidRPr="0068136B">
        <w:rPr>
          <w:rFonts w:ascii="Arial" w:eastAsia="Arial" w:hAnsi="Arial" w:cs="Arial"/>
          <w:b/>
        </w:rPr>
        <w:t>References</w:t>
      </w:r>
    </w:p>
    <w:p w14:paraId="6EFFE6D9" w14:textId="194DAC2C" w:rsidR="00C15C2B" w:rsidRPr="0068136B" w:rsidRDefault="00C15C2B" w:rsidP="00C15C2B">
      <w:pPr>
        <w:spacing w:after="0" w:line="480" w:lineRule="auto"/>
        <w:ind w:left="360"/>
        <w:jc w:val="both"/>
        <w:rPr>
          <w:rFonts w:ascii="Arial" w:eastAsia="Arial" w:hAnsi="Arial" w:cs="Arial"/>
          <w:bCs/>
          <w:lang w:val="pt-BR"/>
        </w:rPr>
      </w:pPr>
      <w:r w:rsidRPr="0068136B">
        <w:rPr>
          <w:rFonts w:ascii="Arial" w:eastAsia="Arial" w:hAnsi="Arial" w:cs="Arial"/>
          <w:bCs/>
        </w:rPr>
        <w:t xml:space="preserve">Abott, S. et al (2004). Comparative analysis of health policy implementation - The use of documentary analysis. </w:t>
      </w:r>
      <w:r w:rsidRPr="0068136B">
        <w:rPr>
          <w:rFonts w:ascii="Arial" w:eastAsia="Arial" w:hAnsi="Arial" w:cs="Arial"/>
          <w:bCs/>
          <w:i/>
          <w:iCs/>
          <w:lang w:val="pt-BR"/>
        </w:rPr>
        <w:t>Policy Studies</w:t>
      </w:r>
      <w:r w:rsidRPr="0068136B">
        <w:rPr>
          <w:rFonts w:ascii="Arial" w:eastAsia="Arial" w:hAnsi="Arial" w:cs="Arial"/>
          <w:bCs/>
          <w:lang w:val="pt-BR"/>
        </w:rPr>
        <w:t>, Vol. 25, Nº 4.</w:t>
      </w:r>
    </w:p>
    <w:p w14:paraId="00000071" w14:textId="4FE53A83"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lang w:val="pt-BR"/>
        </w:rPr>
        <w:t xml:space="preserve">Araújo, L. (2021). </w:t>
      </w:r>
      <w:r w:rsidRPr="0068136B">
        <w:rPr>
          <w:rFonts w:ascii="Arial" w:eastAsia="Arial" w:hAnsi="Arial" w:cs="Arial"/>
          <w:i/>
          <w:iCs/>
          <w:lang w:val="pt-BR"/>
        </w:rPr>
        <w:t>10 campanhas para lembrar: ainda estamos na pandemia.</w:t>
      </w:r>
      <w:r w:rsidRPr="0068136B">
        <w:rPr>
          <w:rFonts w:ascii="Arial" w:eastAsia="Arial" w:hAnsi="Arial" w:cs="Arial"/>
          <w:lang w:val="pt-BR"/>
        </w:rPr>
        <w:t xml:space="preserve"> </w:t>
      </w:r>
      <w:r w:rsidRPr="0068136B">
        <w:rPr>
          <w:rFonts w:ascii="Arial" w:eastAsia="Arial" w:hAnsi="Arial" w:cs="Arial"/>
        </w:rPr>
        <w:t xml:space="preserve">Propmark. </w:t>
      </w:r>
      <w:hyperlink r:id="rId9">
        <w:r w:rsidRPr="0068136B">
          <w:rPr>
            <w:rFonts w:ascii="Arial" w:eastAsia="Arial" w:hAnsi="Arial" w:cs="Arial"/>
          </w:rPr>
          <w:t>https://propmark.com.br/10-campanhas-para-lembrar-ainda-estamos-na-pandemia/</w:t>
        </w:r>
      </w:hyperlink>
    </w:p>
    <w:p w14:paraId="00000072"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Ashford, N.A.; Rest, K.M. (1999). Public participation in contaminated communities. </w:t>
      </w:r>
      <w:r w:rsidRPr="0068136B">
        <w:rPr>
          <w:rFonts w:ascii="Arial" w:eastAsia="Arial" w:hAnsi="Arial" w:cs="Arial"/>
          <w:i/>
        </w:rPr>
        <w:t>Center for Technology, Policy and Industrial Development, Massachusetts Institute of Technology</w:t>
      </w:r>
      <w:r w:rsidRPr="0068136B">
        <w:rPr>
          <w:rFonts w:ascii="Arial" w:eastAsia="Arial" w:hAnsi="Arial" w:cs="Arial"/>
        </w:rPr>
        <w:t>. Cambridge, Massachusetts.</w:t>
      </w:r>
    </w:p>
    <w:p w14:paraId="00000073"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Aven, T., &amp; Renn, O. (2019). Some foundational issues related to risk governance and different types of risks. </w:t>
      </w:r>
      <w:r w:rsidRPr="0068136B">
        <w:rPr>
          <w:rFonts w:ascii="Arial" w:eastAsia="Arial" w:hAnsi="Arial" w:cs="Arial"/>
          <w:i/>
        </w:rPr>
        <w:t>Journal of Risk Research</w:t>
      </w:r>
      <w:r w:rsidRPr="0068136B">
        <w:rPr>
          <w:rFonts w:ascii="Arial" w:eastAsia="Arial" w:hAnsi="Arial" w:cs="Arial"/>
        </w:rPr>
        <w:t xml:space="preserve">, </w:t>
      </w:r>
      <w:r w:rsidRPr="0068136B">
        <w:rPr>
          <w:rFonts w:ascii="Arial" w:eastAsia="Arial" w:hAnsi="Arial" w:cs="Arial"/>
          <w:i/>
        </w:rPr>
        <w:t>23</w:t>
      </w:r>
      <w:r w:rsidRPr="0068136B">
        <w:rPr>
          <w:rFonts w:ascii="Arial" w:eastAsia="Arial" w:hAnsi="Arial" w:cs="Arial"/>
        </w:rPr>
        <w:t>(9), 1121–1134. https://doi.org/10.1080/13669877.2019. 1569099.</w:t>
      </w:r>
    </w:p>
    <w:p w14:paraId="00000075" w14:textId="77777777" w:rsidR="00EE690B" w:rsidRPr="0068136B" w:rsidRDefault="009F3835">
      <w:pPr>
        <w:pBdr>
          <w:top w:val="nil"/>
          <w:left w:val="nil"/>
          <w:bottom w:val="nil"/>
          <w:right w:val="nil"/>
          <w:between w:val="nil"/>
        </w:pBdr>
        <w:shd w:val="clear" w:color="auto" w:fill="FFFFFF"/>
        <w:spacing w:after="0" w:line="480" w:lineRule="auto"/>
        <w:ind w:left="360"/>
        <w:jc w:val="both"/>
        <w:rPr>
          <w:rFonts w:ascii="Arial" w:eastAsia="Arial" w:hAnsi="Arial" w:cs="Arial"/>
          <w:lang w:val="pt-BR"/>
        </w:rPr>
      </w:pPr>
      <w:bookmarkStart w:id="7" w:name="_heading=h.3znysh7" w:colFirst="0" w:colLast="0"/>
      <w:bookmarkEnd w:id="7"/>
      <w:r w:rsidRPr="0068136B">
        <w:rPr>
          <w:rFonts w:ascii="Arial" w:eastAsia="Arial" w:hAnsi="Arial" w:cs="Arial"/>
        </w:rPr>
        <w:t>Bambra, C., Riordan, R., Ford, J., &amp; Matthews, F. (2020). The COVID-19 pandemic and health inequalities. </w:t>
      </w:r>
      <w:r w:rsidRPr="0068136B">
        <w:rPr>
          <w:rFonts w:ascii="Arial" w:eastAsia="Arial" w:hAnsi="Arial" w:cs="Arial"/>
          <w:i/>
          <w:lang w:val="pt-BR"/>
        </w:rPr>
        <w:t>J Epidemiol Community Health</w:t>
      </w:r>
      <w:r w:rsidRPr="0068136B">
        <w:rPr>
          <w:rFonts w:ascii="Arial" w:eastAsia="Arial" w:hAnsi="Arial" w:cs="Arial"/>
          <w:lang w:val="pt-BR"/>
        </w:rPr>
        <w:t>, </w:t>
      </w:r>
      <w:r w:rsidRPr="0068136B">
        <w:rPr>
          <w:rFonts w:ascii="Arial" w:eastAsia="Arial" w:hAnsi="Arial" w:cs="Arial"/>
          <w:i/>
          <w:lang w:val="pt-BR"/>
        </w:rPr>
        <w:t>74</w:t>
      </w:r>
      <w:r w:rsidRPr="0068136B">
        <w:rPr>
          <w:rFonts w:ascii="Arial" w:eastAsia="Arial" w:hAnsi="Arial" w:cs="Arial"/>
          <w:lang w:val="pt-BR"/>
        </w:rPr>
        <w:t>(11), 964-968.</w:t>
      </w:r>
    </w:p>
    <w:p w14:paraId="00000076" w14:textId="77777777" w:rsidR="00EE690B" w:rsidRPr="0068136B" w:rsidRDefault="009F3835">
      <w:pPr>
        <w:pBdr>
          <w:top w:val="nil"/>
          <w:left w:val="nil"/>
          <w:bottom w:val="nil"/>
          <w:right w:val="nil"/>
          <w:between w:val="nil"/>
        </w:pBdr>
        <w:shd w:val="clear" w:color="auto" w:fill="FFFFFF"/>
        <w:spacing w:after="0" w:line="480" w:lineRule="auto"/>
        <w:ind w:left="360"/>
        <w:jc w:val="both"/>
        <w:rPr>
          <w:rFonts w:ascii="Arial" w:eastAsia="Arial" w:hAnsi="Arial" w:cs="Arial"/>
          <w:lang w:val="pt-BR"/>
        </w:rPr>
      </w:pPr>
      <w:r w:rsidRPr="0068136B">
        <w:rPr>
          <w:rFonts w:ascii="Arial" w:eastAsia="Arial" w:hAnsi="Arial" w:cs="Arial"/>
          <w:lang w:val="pt-BR"/>
        </w:rPr>
        <w:t xml:space="preserve">Bardin, L. </w:t>
      </w:r>
      <w:r w:rsidRPr="0068136B">
        <w:rPr>
          <w:rFonts w:ascii="Arial" w:eastAsia="Arial" w:hAnsi="Arial" w:cs="Arial"/>
          <w:i/>
          <w:iCs/>
          <w:lang w:val="pt-BR"/>
        </w:rPr>
        <w:t>Análise de conteúdo</w:t>
      </w:r>
      <w:r w:rsidRPr="0068136B">
        <w:rPr>
          <w:rFonts w:ascii="Arial" w:eastAsia="Arial" w:hAnsi="Arial" w:cs="Arial"/>
          <w:lang w:val="pt-BR"/>
        </w:rPr>
        <w:t>. Lisboa: Edições 70, 1977.</w:t>
      </w:r>
    </w:p>
    <w:p w14:paraId="00000077"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Barreto, I. C. D. H. C., Costa Filho, R. V., Ramos, R. F., Oliveira, L. G. D., Martins, N. R. A. V., Cavalcante, F. V., ... &amp; Santos, L. M. P. (2021). Colapso na Saúde em Manaus: o fardo de não aderir às medidas não farmacológicas de redução da transmissão da COVID-19. </w:t>
      </w:r>
      <w:r w:rsidRPr="0068136B">
        <w:rPr>
          <w:rFonts w:ascii="Arial" w:eastAsia="Arial" w:hAnsi="Arial" w:cs="Arial"/>
          <w:i/>
          <w:lang w:val="pt-BR"/>
        </w:rPr>
        <w:t>Saúde em Debate</w:t>
      </w:r>
      <w:r w:rsidRPr="0068136B">
        <w:rPr>
          <w:rFonts w:ascii="Arial" w:eastAsia="Arial" w:hAnsi="Arial" w:cs="Arial"/>
          <w:lang w:val="pt-BR"/>
        </w:rPr>
        <w:t>, </w:t>
      </w:r>
      <w:r w:rsidRPr="0068136B">
        <w:rPr>
          <w:rFonts w:ascii="Arial" w:eastAsia="Arial" w:hAnsi="Arial" w:cs="Arial"/>
          <w:i/>
          <w:lang w:val="pt-BR"/>
        </w:rPr>
        <w:t>45</w:t>
      </w:r>
      <w:r w:rsidRPr="0068136B">
        <w:rPr>
          <w:rFonts w:ascii="Arial" w:eastAsia="Arial" w:hAnsi="Arial" w:cs="Arial"/>
          <w:lang w:val="pt-BR"/>
        </w:rPr>
        <w:t>, 1126-1139.</w:t>
      </w:r>
    </w:p>
    <w:p w14:paraId="00000078"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 xml:space="preserve">Bastos Lima, M. G., &amp; Da Costa, K. (2021). </w:t>
      </w:r>
      <w:r w:rsidRPr="0068136B">
        <w:rPr>
          <w:rFonts w:ascii="Arial" w:eastAsia="Arial" w:hAnsi="Arial" w:cs="Arial"/>
        </w:rPr>
        <w:t>Quo vadis, Brazil? Environmental Malgovernance under Bolsonaro and the Ambiguous Role of the Sustainable Development Goals. </w:t>
      </w:r>
      <w:r w:rsidRPr="0068136B">
        <w:rPr>
          <w:rFonts w:ascii="Arial" w:eastAsia="Arial" w:hAnsi="Arial" w:cs="Arial"/>
          <w:i/>
          <w:lang w:val="pt-BR"/>
        </w:rPr>
        <w:t>Bulletin of Latin American Research</w:t>
      </w:r>
      <w:r w:rsidRPr="0068136B">
        <w:rPr>
          <w:rFonts w:ascii="Arial" w:eastAsia="Arial" w:hAnsi="Arial" w:cs="Arial"/>
          <w:lang w:val="pt-BR"/>
        </w:rPr>
        <w:t>.</w:t>
      </w:r>
    </w:p>
    <w:p w14:paraId="00000079" w14:textId="77777777" w:rsidR="00EE690B" w:rsidRPr="0068136B" w:rsidRDefault="009F3835">
      <w:pPr>
        <w:shd w:val="clear" w:color="auto" w:fill="FFFFFF"/>
        <w:spacing w:after="0" w:line="480" w:lineRule="auto"/>
        <w:ind w:left="360"/>
        <w:jc w:val="both"/>
        <w:rPr>
          <w:rFonts w:ascii="Arial" w:eastAsia="Arial" w:hAnsi="Arial" w:cs="Arial"/>
          <w:lang w:val="pt-BR"/>
        </w:rPr>
      </w:pPr>
      <w:r w:rsidRPr="0068136B">
        <w:rPr>
          <w:rFonts w:ascii="Arial" w:eastAsia="Arial" w:hAnsi="Arial" w:cs="Arial"/>
          <w:lang w:val="pt-BR"/>
        </w:rPr>
        <w:t xml:space="preserve">Bauer, M.W. </w:t>
      </w:r>
      <w:r w:rsidRPr="0068136B">
        <w:rPr>
          <w:rFonts w:ascii="Arial" w:eastAsia="Arial" w:hAnsi="Arial" w:cs="Arial"/>
          <w:i/>
          <w:iCs/>
          <w:lang w:val="pt-BR"/>
        </w:rPr>
        <w:t>Análise de conteúdo clássica: uma revisão</w:t>
      </w:r>
      <w:r w:rsidRPr="0068136B">
        <w:rPr>
          <w:rFonts w:ascii="Arial" w:eastAsia="Arial" w:hAnsi="Arial" w:cs="Arial"/>
          <w:lang w:val="pt-BR"/>
        </w:rPr>
        <w:t xml:space="preserve">. In: Gaskell, George; Bauer, Martin W. </w:t>
      </w:r>
      <w:r w:rsidRPr="0068136B">
        <w:rPr>
          <w:rFonts w:ascii="Arial" w:eastAsia="Arial" w:hAnsi="Arial" w:cs="Arial"/>
          <w:i/>
          <w:iCs/>
          <w:lang w:val="pt-BR"/>
        </w:rPr>
        <w:t>Pesquisa qualitativa com texto, imagem e som: um manual prático</w:t>
      </w:r>
      <w:r w:rsidRPr="0068136B">
        <w:rPr>
          <w:rFonts w:ascii="Arial" w:eastAsia="Arial" w:hAnsi="Arial" w:cs="Arial"/>
          <w:lang w:val="pt-BR"/>
        </w:rPr>
        <w:t>. Petrópolis: Vozes, 2002. pp. 189-217.</w:t>
      </w:r>
    </w:p>
    <w:p w14:paraId="0000007A" w14:textId="14BD7422"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 xml:space="preserve">Beck, U. (2010). </w:t>
      </w:r>
      <w:r w:rsidRPr="0068136B">
        <w:rPr>
          <w:rFonts w:ascii="Arial" w:eastAsia="Arial" w:hAnsi="Arial" w:cs="Arial"/>
          <w:i/>
          <w:lang w:val="pt-BR"/>
        </w:rPr>
        <w:t>Sociedade de risco</w:t>
      </w:r>
      <w:r w:rsidRPr="0068136B">
        <w:rPr>
          <w:rFonts w:ascii="Arial" w:eastAsia="Arial" w:hAnsi="Arial" w:cs="Arial"/>
          <w:lang w:val="pt-BR"/>
        </w:rPr>
        <w:t>. </w:t>
      </w:r>
      <w:r w:rsidRPr="0068136B">
        <w:rPr>
          <w:rFonts w:ascii="Arial" w:eastAsia="Arial" w:hAnsi="Arial" w:cs="Arial"/>
          <w:i/>
          <w:lang w:val="pt-BR"/>
        </w:rPr>
        <w:t>São Paulo: Editora</w:t>
      </w:r>
      <w:r w:rsidRPr="0068136B">
        <w:rPr>
          <w:rFonts w:ascii="Arial" w:eastAsia="Arial" w:hAnsi="Arial" w:cs="Arial"/>
          <w:lang w:val="pt-BR"/>
        </w:rPr>
        <w:t>, </w:t>
      </w:r>
      <w:r w:rsidRPr="0068136B">
        <w:rPr>
          <w:rFonts w:ascii="Arial" w:eastAsia="Arial" w:hAnsi="Arial" w:cs="Arial"/>
          <w:i/>
          <w:lang w:val="pt-BR"/>
        </w:rPr>
        <w:t>34</w:t>
      </w:r>
      <w:r w:rsidRPr="0068136B">
        <w:rPr>
          <w:rFonts w:ascii="Arial" w:eastAsia="Arial" w:hAnsi="Arial" w:cs="Arial"/>
          <w:lang w:val="pt-BR"/>
        </w:rPr>
        <w:t>, 49-53.</w:t>
      </w:r>
    </w:p>
    <w:p w14:paraId="0000007B"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lastRenderedPageBreak/>
        <w:t>Boholm, Å., Corvellec, H., &amp; Karlsson, M. (2012). The practice of risk governance: lessons from the field. </w:t>
      </w:r>
      <w:r w:rsidRPr="0068136B">
        <w:rPr>
          <w:rFonts w:ascii="Arial" w:eastAsia="Arial" w:hAnsi="Arial" w:cs="Arial"/>
          <w:i/>
        </w:rPr>
        <w:t>Journal of risk research</w:t>
      </w:r>
      <w:r w:rsidRPr="0068136B">
        <w:rPr>
          <w:rFonts w:ascii="Arial" w:eastAsia="Arial" w:hAnsi="Arial" w:cs="Arial"/>
        </w:rPr>
        <w:t>, </w:t>
      </w:r>
      <w:r w:rsidRPr="0068136B">
        <w:rPr>
          <w:rFonts w:ascii="Arial" w:eastAsia="Arial" w:hAnsi="Arial" w:cs="Arial"/>
          <w:i/>
        </w:rPr>
        <w:t>15</w:t>
      </w:r>
      <w:r w:rsidRPr="0068136B">
        <w:rPr>
          <w:rFonts w:ascii="Arial" w:eastAsia="Arial" w:hAnsi="Arial" w:cs="Arial"/>
        </w:rPr>
        <w:t>(1), 1-20.</w:t>
      </w:r>
    </w:p>
    <w:p w14:paraId="0000007C" w14:textId="33A5F205" w:rsidR="00EE690B" w:rsidRPr="0068136B" w:rsidRDefault="009F3835">
      <w:pPr>
        <w:spacing w:after="0" w:line="480" w:lineRule="auto"/>
        <w:ind w:left="360"/>
        <w:jc w:val="both"/>
        <w:rPr>
          <w:rFonts w:ascii="Arial" w:eastAsia="Arial" w:hAnsi="Arial" w:cs="Arial"/>
          <w:i/>
        </w:rPr>
      </w:pPr>
      <w:r w:rsidRPr="0068136B">
        <w:rPr>
          <w:rFonts w:ascii="Arial" w:eastAsia="Arial" w:hAnsi="Arial" w:cs="Arial"/>
        </w:rPr>
        <w:t>Boyne, R. (2003). </w:t>
      </w:r>
      <w:r w:rsidRPr="0068136B">
        <w:rPr>
          <w:rFonts w:ascii="Arial" w:eastAsia="Arial" w:hAnsi="Arial" w:cs="Arial"/>
          <w:i/>
        </w:rPr>
        <w:t>Risk</w:t>
      </w:r>
      <w:r w:rsidRPr="0068136B">
        <w:rPr>
          <w:rFonts w:ascii="Arial" w:eastAsia="Arial" w:hAnsi="Arial" w:cs="Arial"/>
        </w:rPr>
        <w:t>. Open University Press</w:t>
      </w:r>
      <w:r w:rsidRPr="0068136B">
        <w:rPr>
          <w:rFonts w:ascii="Arial" w:eastAsia="Arial" w:hAnsi="Arial" w:cs="Arial"/>
          <w:i/>
        </w:rPr>
        <w:t>.</w:t>
      </w:r>
    </w:p>
    <w:p w14:paraId="00427952" w14:textId="1E5D7BB1" w:rsidR="00DD26CA" w:rsidRPr="0068136B" w:rsidRDefault="00DD26CA">
      <w:pPr>
        <w:spacing w:after="0" w:line="480" w:lineRule="auto"/>
        <w:ind w:left="360"/>
        <w:jc w:val="both"/>
        <w:rPr>
          <w:rFonts w:ascii="Arial" w:eastAsia="Arial" w:hAnsi="Arial" w:cs="Arial"/>
          <w:iCs/>
          <w:lang w:val="pt-BR"/>
        </w:rPr>
      </w:pPr>
      <w:r w:rsidRPr="0068136B">
        <w:rPr>
          <w:rFonts w:ascii="Arial" w:eastAsia="Arial" w:hAnsi="Arial" w:cs="Arial"/>
          <w:iCs/>
        </w:rPr>
        <w:t xml:space="preserve">Bowen, G.A. (2009) Document Analysis as a Qualitative Research Method. </w:t>
      </w:r>
      <w:r w:rsidRPr="0068136B">
        <w:rPr>
          <w:rFonts w:ascii="Arial" w:eastAsia="Arial" w:hAnsi="Arial" w:cs="Arial"/>
          <w:i/>
          <w:lang w:val="pt-BR"/>
        </w:rPr>
        <w:t>Qualitative Research Journal</w:t>
      </w:r>
      <w:r w:rsidRPr="0068136B">
        <w:rPr>
          <w:rFonts w:ascii="Arial" w:eastAsia="Arial" w:hAnsi="Arial" w:cs="Arial"/>
          <w:iCs/>
          <w:lang w:val="pt-BR"/>
        </w:rPr>
        <w:t>, vol. 9, no. 2, pp. 27-40</w:t>
      </w:r>
    </w:p>
    <w:p w14:paraId="0000007D" w14:textId="77777777" w:rsidR="00EE690B" w:rsidRPr="0068136B" w:rsidRDefault="009F3835">
      <w:pPr>
        <w:spacing w:after="0" w:line="480" w:lineRule="auto"/>
        <w:ind w:left="360"/>
        <w:jc w:val="both"/>
        <w:rPr>
          <w:rFonts w:ascii="Arial" w:eastAsia="Arial" w:hAnsi="Arial" w:cs="Arial"/>
          <w:i/>
          <w:lang w:val="pt-BR"/>
        </w:rPr>
      </w:pPr>
      <w:r w:rsidRPr="0068136B">
        <w:rPr>
          <w:rFonts w:ascii="Arial" w:eastAsia="Arial" w:hAnsi="Arial" w:cs="Arial"/>
          <w:lang w:val="pt-BR"/>
        </w:rPr>
        <w:t xml:space="preserve">Braga, J.C.S.; Oliveira, G.C. (2022) Dinâmica do capitalismo financeirizado e o sistema de saúde no Brasil: reflexões sob as sombras da pandemia de COVID-19. </w:t>
      </w:r>
      <w:r w:rsidRPr="0068136B">
        <w:rPr>
          <w:rFonts w:ascii="Arial" w:eastAsia="Arial" w:hAnsi="Arial" w:cs="Arial"/>
          <w:i/>
          <w:lang w:val="pt-BR"/>
        </w:rPr>
        <w:t xml:space="preserve">Cad. Saúde Pública </w:t>
      </w:r>
      <w:r w:rsidRPr="0068136B">
        <w:rPr>
          <w:rFonts w:ascii="Arial" w:eastAsia="Arial" w:hAnsi="Arial" w:cs="Arial"/>
          <w:lang w:val="pt-BR"/>
        </w:rPr>
        <w:t>38 (Suppl 2). https://doi.org/10.1590/0102-311X00325020</w:t>
      </w:r>
    </w:p>
    <w:p w14:paraId="0000007E"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lang w:val="pt-BR"/>
        </w:rPr>
        <w:t xml:space="preserve">Brownson, R. C., Jacobs, J. A., Tabak, R. G., Hoehner, C. M., &amp; Stamatakis, K. A. (2013). </w:t>
      </w:r>
      <w:r w:rsidRPr="0068136B">
        <w:rPr>
          <w:rFonts w:ascii="Arial" w:eastAsia="Arial" w:hAnsi="Arial" w:cs="Arial"/>
        </w:rPr>
        <w:t>Designing for dissemination among public health researchers: findings from a national survey in the United States. </w:t>
      </w:r>
      <w:r w:rsidRPr="0068136B">
        <w:rPr>
          <w:rFonts w:ascii="Arial" w:eastAsia="Arial" w:hAnsi="Arial" w:cs="Arial"/>
          <w:i/>
        </w:rPr>
        <w:t>American journal of public health</w:t>
      </w:r>
      <w:r w:rsidRPr="0068136B">
        <w:rPr>
          <w:rFonts w:ascii="Arial" w:eastAsia="Arial" w:hAnsi="Arial" w:cs="Arial"/>
        </w:rPr>
        <w:t>, 103(9), 1693-1699.</w:t>
      </w:r>
    </w:p>
    <w:p w14:paraId="0000007F" w14:textId="77777777" w:rsidR="00EE690B" w:rsidRPr="0068136B" w:rsidRDefault="009F3835">
      <w:pPr>
        <w:pBdr>
          <w:top w:val="nil"/>
          <w:left w:val="nil"/>
          <w:bottom w:val="nil"/>
          <w:right w:val="nil"/>
          <w:between w:val="nil"/>
        </w:pBdr>
        <w:spacing w:after="0" w:line="480" w:lineRule="auto"/>
        <w:ind w:left="360"/>
        <w:jc w:val="both"/>
        <w:rPr>
          <w:rFonts w:ascii="Arial" w:eastAsia="Arial" w:hAnsi="Arial" w:cs="Arial"/>
          <w:lang w:val="pt-BR"/>
        </w:rPr>
      </w:pPr>
      <w:r w:rsidRPr="0068136B">
        <w:rPr>
          <w:rFonts w:ascii="Arial" w:eastAsia="Arial" w:hAnsi="Arial" w:cs="Arial"/>
        </w:rPr>
        <w:t xml:space="preserve">Caleffi, R., &amp; Pereira, A. C. (2021). </w:t>
      </w:r>
      <w:r w:rsidRPr="0068136B">
        <w:rPr>
          <w:rFonts w:ascii="Arial" w:eastAsia="Arial" w:hAnsi="Arial" w:cs="Arial"/>
          <w:lang w:val="pt-BR"/>
        </w:rPr>
        <w:t>Quantos números têm aqui? A utilização de dados pelo Fantástico na cobertura da Covid-19 no Brasil. </w:t>
      </w:r>
      <w:r w:rsidRPr="0068136B">
        <w:rPr>
          <w:rFonts w:ascii="Arial" w:eastAsia="Arial" w:hAnsi="Arial" w:cs="Arial"/>
          <w:i/>
          <w:lang w:val="pt-BR"/>
        </w:rPr>
        <w:t>Lumina</w:t>
      </w:r>
      <w:r w:rsidRPr="0068136B">
        <w:rPr>
          <w:rFonts w:ascii="Arial" w:eastAsia="Arial" w:hAnsi="Arial" w:cs="Arial"/>
          <w:lang w:val="pt-BR"/>
        </w:rPr>
        <w:t>, </w:t>
      </w:r>
      <w:r w:rsidRPr="0068136B">
        <w:rPr>
          <w:rFonts w:ascii="Arial" w:eastAsia="Arial" w:hAnsi="Arial" w:cs="Arial"/>
          <w:i/>
          <w:lang w:val="pt-BR"/>
        </w:rPr>
        <w:t>15</w:t>
      </w:r>
      <w:r w:rsidRPr="0068136B">
        <w:rPr>
          <w:rFonts w:ascii="Arial" w:eastAsia="Arial" w:hAnsi="Arial" w:cs="Arial"/>
          <w:lang w:val="pt-BR"/>
        </w:rPr>
        <w:t>(3), 23-39.</w:t>
      </w:r>
    </w:p>
    <w:p w14:paraId="00000080"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 xml:space="preserve">Calil, G. G. (2021). A negação da pandemia: reflexões sobre a estratégia bolsonarista. </w:t>
      </w:r>
      <w:r w:rsidRPr="0068136B">
        <w:rPr>
          <w:rFonts w:ascii="Arial" w:eastAsia="Arial" w:hAnsi="Arial" w:cs="Arial"/>
          <w:i/>
          <w:lang w:val="pt-BR"/>
        </w:rPr>
        <w:t>Serviço Social &amp; Sociedade</w:t>
      </w:r>
      <w:r w:rsidRPr="0068136B">
        <w:rPr>
          <w:rFonts w:ascii="Arial" w:eastAsia="Arial" w:hAnsi="Arial" w:cs="Arial"/>
          <w:lang w:val="pt-BR"/>
        </w:rPr>
        <w:t>, 30-47.</w:t>
      </w:r>
    </w:p>
    <w:p w14:paraId="00000081"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Campos, G. W. D. S. (2020). O pesadelo macabro da Covid-19 no Brasil: entre negacionismos e desvarios. </w:t>
      </w:r>
      <w:r w:rsidRPr="0068136B">
        <w:rPr>
          <w:rFonts w:ascii="Arial" w:eastAsia="Arial" w:hAnsi="Arial" w:cs="Arial"/>
          <w:i/>
          <w:lang w:val="pt-BR"/>
        </w:rPr>
        <w:t>Trabalho, Educação e Saúde</w:t>
      </w:r>
      <w:r w:rsidRPr="0068136B">
        <w:rPr>
          <w:rFonts w:ascii="Arial" w:eastAsia="Arial" w:hAnsi="Arial" w:cs="Arial"/>
          <w:lang w:val="pt-BR"/>
        </w:rPr>
        <w:t>, </w:t>
      </w:r>
      <w:r w:rsidRPr="0068136B">
        <w:rPr>
          <w:rFonts w:ascii="Arial" w:eastAsia="Arial" w:hAnsi="Arial" w:cs="Arial"/>
          <w:i/>
          <w:lang w:val="pt-BR"/>
        </w:rPr>
        <w:t>18</w:t>
      </w:r>
      <w:r w:rsidRPr="0068136B">
        <w:rPr>
          <w:rFonts w:ascii="Arial" w:eastAsia="Arial" w:hAnsi="Arial" w:cs="Arial"/>
          <w:lang w:val="pt-BR"/>
        </w:rPr>
        <w:t>.</w:t>
      </w:r>
    </w:p>
    <w:p w14:paraId="00000082"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 xml:space="preserve">Collins, A.; Florin, M., Renn, O. (2020). </w:t>
      </w:r>
      <w:r w:rsidRPr="0068136B">
        <w:rPr>
          <w:rFonts w:ascii="Arial" w:eastAsia="Arial" w:hAnsi="Arial" w:cs="Arial"/>
        </w:rPr>
        <w:t>COVID-19 risk governance: drivers, responses and lessons to be learned</w:t>
      </w:r>
      <w:r w:rsidRPr="0068136B">
        <w:rPr>
          <w:rFonts w:ascii="Arial" w:eastAsia="Arial" w:hAnsi="Arial" w:cs="Arial"/>
          <w:i/>
        </w:rPr>
        <w:t xml:space="preserve">. </w:t>
      </w:r>
      <w:r w:rsidRPr="0068136B">
        <w:rPr>
          <w:rFonts w:ascii="Arial" w:eastAsia="Arial" w:hAnsi="Arial" w:cs="Arial"/>
          <w:i/>
          <w:lang w:val="pt-BR"/>
        </w:rPr>
        <w:t>Journal of Risk Research</w:t>
      </w:r>
      <w:r w:rsidRPr="0068136B">
        <w:rPr>
          <w:rFonts w:ascii="Arial" w:eastAsia="Arial" w:hAnsi="Arial" w:cs="Arial"/>
          <w:lang w:val="pt-BR"/>
        </w:rPr>
        <w:t>, 23:7-8, 1073-1082.</w:t>
      </w:r>
    </w:p>
    <w:p w14:paraId="00000083"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 xml:space="preserve">CONJUR. 2021. </w:t>
      </w:r>
      <w:r w:rsidRPr="0068136B">
        <w:rPr>
          <w:rFonts w:ascii="Arial" w:eastAsia="Arial" w:hAnsi="Arial" w:cs="Arial"/>
          <w:i/>
          <w:iCs/>
          <w:lang w:val="pt-BR"/>
        </w:rPr>
        <w:t>Medida Cautelar na Arguição de Descumprimento de Preceito Fundamental 669 Distrito Federal</w:t>
      </w:r>
      <w:r w:rsidRPr="0068136B">
        <w:rPr>
          <w:rFonts w:ascii="Arial" w:eastAsia="Arial" w:hAnsi="Arial" w:cs="Arial"/>
          <w:lang w:val="pt-BR"/>
        </w:rPr>
        <w:t xml:space="preserve">. Disponível em: </w:t>
      </w:r>
      <w:hyperlink r:id="rId10">
        <w:r w:rsidRPr="0068136B">
          <w:rPr>
            <w:rFonts w:ascii="Arial" w:eastAsia="Arial" w:hAnsi="Arial" w:cs="Arial"/>
            <w:lang w:val="pt-BR"/>
          </w:rPr>
          <w:t>https://www.conjur.com.br/dl/liminar-barroso-proibe-campanha-brasil.pdf</w:t>
        </w:r>
      </w:hyperlink>
      <w:r w:rsidRPr="0068136B">
        <w:rPr>
          <w:rFonts w:ascii="Arial" w:eastAsia="Arial" w:hAnsi="Arial" w:cs="Arial"/>
          <w:lang w:val="pt-BR"/>
        </w:rPr>
        <w:t xml:space="preserve">. </w:t>
      </w:r>
    </w:p>
    <w:p w14:paraId="00000084"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Covello, V., &amp; Sandman, P. M. (2001). Risk communication: evolution and revolution. </w:t>
      </w:r>
      <w:r w:rsidRPr="0068136B">
        <w:rPr>
          <w:rFonts w:ascii="Arial" w:eastAsia="Arial" w:hAnsi="Arial" w:cs="Arial"/>
          <w:i/>
        </w:rPr>
        <w:t>Solutions to an Environment in Peril</w:t>
      </w:r>
      <w:r w:rsidRPr="0068136B">
        <w:rPr>
          <w:rFonts w:ascii="Arial" w:eastAsia="Arial" w:hAnsi="Arial" w:cs="Arial"/>
        </w:rPr>
        <w:t>, 164, 178.</w:t>
      </w:r>
    </w:p>
    <w:p w14:paraId="00000085" w14:textId="77777777" w:rsidR="00EE690B" w:rsidRPr="0068136B" w:rsidRDefault="009F3835">
      <w:pPr>
        <w:spacing w:after="0" w:line="480" w:lineRule="auto"/>
        <w:ind w:left="360"/>
        <w:jc w:val="both"/>
        <w:rPr>
          <w:rFonts w:ascii="Arial" w:eastAsia="Arial" w:hAnsi="Arial" w:cs="Arial"/>
          <w:iCs/>
          <w:lang w:val="pt-BR"/>
        </w:rPr>
      </w:pPr>
      <w:r w:rsidRPr="0068136B">
        <w:rPr>
          <w:rFonts w:ascii="Arial" w:eastAsia="Arial" w:hAnsi="Arial" w:cs="Arial"/>
        </w:rPr>
        <w:t xml:space="preserve">Dagnino, E., Rivera, A. O., &amp; Panfichi, A. (Eds.). </w:t>
      </w:r>
      <w:r w:rsidRPr="0068136B">
        <w:rPr>
          <w:rFonts w:ascii="Arial" w:eastAsia="Arial" w:hAnsi="Arial" w:cs="Arial"/>
          <w:lang w:val="pt-BR"/>
        </w:rPr>
        <w:t>(2006). </w:t>
      </w:r>
      <w:r w:rsidRPr="0068136B">
        <w:rPr>
          <w:rFonts w:ascii="Arial" w:eastAsia="Arial" w:hAnsi="Arial" w:cs="Arial"/>
          <w:i/>
          <w:iCs/>
          <w:lang w:val="pt-BR"/>
        </w:rPr>
        <w:t>A disputa pela construção democrática na América Latina.</w:t>
      </w:r>
      <w:r w:rsidRPr="0068136B">
        <w:rPr>
          <w:rFonts w:ascii="Arial" w:eastAsia="Arial" w:hAnsi="Arial" w:cs="Arial"/>
          <w:lang w:val="pt-BR"/>
        </w:rPr>
        <w:t xml:space="preserve"> </w:t>
      </w:r>
      <w:r w:rsidRPr="0068136B">
        <w:rPr>
          <w:rFonts w:ascii="Arial" w:eastAsia="Arial" w:hAnsi="Arial" w:cs="Arial"/>
          <w:iCs/>
          <w:lang w:val="pt-BR"/>
        </w:rPr>
        <w:t>Unicamp.</w:t>
      </w:r>
    </w:p>
    <w:p w14:paraId="00000086"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Di Giulio, G. M., &amp; da Costa Ferreira, L. (2013). Governança do risco: uma proposta para lidar com riscos ambientais no nível local. </w:t>
      </w:r>
      <w:r w:rsidRPr="0068136B">
        <w:rPr>
          <w:rFonts w:ascii="Arial" w:eastAsia="Arial" w:hAnsi="Arial" w:cs="Arial"/>
          <w:i/>
          <w:lang w:val="pt-BR"/>
        </w:rPr>
        <w:t>Desenvolvimento e Meio ambiente</w:t>
      </w:r>
      <w:r w:rsidRPr="0068136B">
        <w:rPr>
          <w:rFonts w:ascii="Arial" w:eastAsia="Arial" w:hAnsi="Arial" w:cs="Arial"/>
          <w:lang w:val="pt-BR"/>
        </w:rPr>
        <w:t>, 28.</w:t>
      </w:r>
    </w:p>
    <w:p w14:paraId="00000089"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lang w:val="pt-BR"/>
        </w:rPr>
        <w:lastRenderedPageBreak/>
        <w:t xml:space="preserve">Erkkilä, T. (2020). Transparency in public administration. </w:t>
      </w:r>
      <w:r w:rsidRPr="0068136B">
        <w:rPr>
          <w:rFonts w:ascii="Arial" w:eastAsia="Arial" w:hAnsi="Arial" w:cs="Arial"/>
        </w:rPr>
        <w:t>In </w:t>
      </w:r>
      <w:r w:rsidRPr="0068136B">
        <w:rPr>
          <w:rFonts w:ascii="Arial" w:eastAsia="Arial" w:hAnsi="Arial" w:cs="Arial"/>
          <w:i/>
        </w:rPr>
        <w:t>Oxford Research Encyclopedia of Politics</w:t>
      </w:r>
      <w:r w:rsidRPr="0068136B">
        <w:rPr>
          <w:rFonts w:ascii="Arial" w:eastAsia="Arial" w:hAnsi="Arial" w:cs="Arial"/>
        </w:rPr>
        <w:t>.</w:t>
      </w:r>
    </w:p>
    <w:p w14:paraId="7C5CB9E9" w14:textId="77777777" w:rsidR="00487A1F" w:rsidRPr="0068136B" w:rsidRDefault="009F3835">
      <w:pPr>
        <w:spacing w:after="0" w:line="480" w:lineRule="auto"/>
        <w:ind w:left="360"/>
        <w:jc w:val="both"/>
        <w:rPr>
          <w:rFonts w:ascii="Arial" w:eastAsia="Arial" w:hAnsi="Arial" w:cs="Arial"/>
          <w:u w:val="single"/>
          <w:lang w:val="pt-BR"/>
        </w:rPr>
      </w:pPr>
      <w:r w:rsidRPr="0068136B">
        <w:rPr>
          <w:rFonts w:ascii="Arial" w:eastAsia="Arial" w:hAnsi="Arial" w:cs="Arial"/>
          <w:lang w:val="pt-BR"/>
        </w:rPr>
        <w:t xml:space="preserve">Felten, M (n/d). </w:t>
      </w:r>
      <w:r w:rsidRPr="0068136B">
        <w:rPr>
          <w:rFonts w:ascii="Arial" w:eastAsia="Arial" w:hAnsi="Arial" w:cs="Arial"/>
          <w:i/>
          <w:iCs/>
          <w:lang w:val="pt-BR"/>
        </w:rPr>
        <w:t>O que nos dizem as campanhas publicitárias durante a pandemia. Observatório da comunicação pública (OBCOMP).</w:t>
      </w:r>
      <w:r w:rsidRPr="0068136B">
        <w:rPr>
          <w:rFonts w:ascii="Arial" w:eastAsia="Arial" w:hAnsi="Arial" w:cs="Arial"/>
          <w:lang w:val="pt-BR"/>
        </w:rPr>
        <w:t xml:space="preserve"> </w:t>
      </w:r>
      <w:hyperlink r:id="rId11">
        <w:r w:rsidRPr="0068136B">
          <w:rPr>
            <w:rFonts w:ascii="Arial" w:eastAsia="Arial" w:hAnsi="Arial" w:cs="Arial"/>
            <w:u w:val="single"/>
            <w:lang w:val="pt-BR"/>
          </w:rPr>
          <w:t>http://www.ufrgs.br/obcomp/textos-opinioes/3/1816/muriel-felten--o-que-nos-dizem-as-campanhas-publicitarias-duran</w:t>
        </w:r>
      </w:hyperlink>
    </w:p>
    <w:p w14:paraId="2ABAD604" w14:textId="170D16C4" w:rsidR="00487A1F" w:rsidRPr="0068136B" w:rsidRDefault="00487A1F">
      <w:pPr>
        <w:spacing w:after="0" w:line="480" w:lineRule="auto"/>
        <w:ind w:left="360"/>
        <w:jc w:val="both"/>
        <w:rPr>
          <w:rFonts w:ascii="Arial" w:eastAsia="Arial" w:hAnsi="Arial" w:cs="Arial"/>
        </w:rPr>
      </w:pPr>
      <w:r w:rsidRPr="0068136B">
        <w:rPr>
          <w:rFonts w:ascii="Arial" w:eastAsia="Arial" w:hAnsi="Arial" w:cs="Arial"/>
          <w:lang w:val="pt-BR"/>
        </w:rPr>
        <w:t xml:space="preserve">Fernandes, I.; Almeida, G.; Fernandes, G.; Salvador, P.I. (2020) Ideology, Isolation, and Death. </w:t>
      </w:r>
      <w:r w:rsidRPr="0068136B">
        <w:rPr>
          <w:rFonts w:ascii="Arial" w:eastAsia="Arial" w:hAnsi="Arial" w:cs="Arial"/>
        </w:rPr>
        <w:t xml:space="preserve">An Analysis of the Effects of Bolsonarism in the COVID-19 Pandemic. </w:t>
      </w:r>
      <w:r w:rsidRPr="0068136B">
        <w:rPr>
          <w:rFonts w:ascii="Arial" w:eastAsia="Arial" w:hAnsi="Arial" w:cs="Arial"/>
          <w:i/>
          <w:iCs/>
        </w:rPr>
        <w:t>SSRN:</w:t>
      </w:r>
      <w:r w:rsidRPr="0068136B">
        <w:rPr>
          <w:rFonts w:ascii="Arial" w:eastAsia="Arial" w:hAnsi="Arial" w:cs="Arial"/>
        </w:rPr>
        <w:t xml:space="preserve"> https://ssrn.com/abstract=3654538 or http://dx.doi.org/10.2139/ssrn.3654538</w:t>
      </w:r>
    </w:p>
    <w:p w14:paraId="0000008B"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Figueiredo Filho, D. B., &amp; Silva, L. E. D. O. (2021). Social distancing and severe acute respiratory syndrome coronavirus 2 transmission: A case study from Araraquara, São Paulo, Brazil. </w:t>
      </w:r>
      <w:r w:rsidRPr="0068136B">
        <w:rPr>
          <w:rFonts w:ascii="Arial" w:eastAsia="Arial" w:hAnsi="Arial" w:cs="Arial"/>
          <w:i/>
          <w:lang w:val="pt-BR"/>
        </w:rPr>
        <w:t>Revista da Sociedade Brasileira de Medicina Tropical</w:t>
      </w:r>
      <w:r w:rsidRPr="0068136B">
        <w:rPr>
          <w:rFonts w:ascii="Arial" w:eastAsia="Arial" w:hAnsi="Arial" w:cs="Arial"/>
          <w:lang w:val="pt-BR"/>
        </w:rPr>
        <w:t>, 54.</w:t>
      </w:r>
    </w:p>
    <w:p w14:paraId="0000008E" w14:textId="6E8A4421"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Florin. M. V. (2014). Dealing with the challenge of evidence-based decision-making in situations of  uncertainty and emergency. </w:t>
      </w:r>
      <w:r w:rsidRPr="0068136B">
        <w:rPr>
          <w:rFonts w:ascii="Arial" w:eastAsia="Arial" w:hAnsi="Arial" w:cs="Arial"/>
          <w:i/>
        </w:rPr>
        <w:t>Symposium on the European Commission’s Chief Scientific Advisor</w:t>
      </w:r>
      <w:r w:rsidRPr="0068136B">
        <w:rPr>
          <w:rFonts w:ascii="Arial" w:eastAsia="Arial" w:hAnsi="Arial" w:cs="Arial"/>
        </w:rPr>
        <w:t xml:space="preserve">. EJRR 3.  </w:t>
      </w:r>
    </w:p>
    <w:p w14:paraId="00000090"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rPr>
        <w:t xml:space="preserve">G1. (2022). </w:t>
      </w:r>
      <w:r w:rsidRPr="0068136B">
        <w:rPr>
          <w:rFonts w:ascii="Arial" w:eastAsia="Arial" w:hAnsi="Arial" w:cs="Arial"/>
          <w:i/>
          <w:iCs/>
          <w:lang w:val="pt-BR"/>
        </w:rPr>
        <w:t>Vacinação contra a Covid: 104,8 milhões de pessoas tomaram a dose de reforço.</w:t>
      </w:r>
      <w:r w:rsidRPr="0068136B">
        <w:rPr>
          <w:rFonts w:ascii="Arial" w:eastAsia="Arial" w:hAnsi="Arial" w:cs="Arial"/>
          <w:lang w:val="pt-BR"/>
        </w:rPr>
        <w:t xml:space="preserve"> https://g1.globo.com/saude/coronavirus/vacinas/noticia/2022/10/14/vacinacao-contra-a-covid-1048-milhoes-de-pessoas-tomaram-a-dose-de-reforco.ghtml</w:t>
      </w:r>
    </w:p>
    <w:p w14:paraId="00000091"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lang w:val="pt-BR"/>
        </w:rPr>
        <w:t xml:space="preserve">Galego, D., Moulaert, F., Brans, M., &amp; Santinha, G. (2021). </w:t>
      </w:r>
      <w:r w:rsidRPr="0068136B">
        <w:rPr>
          <w:rFonts w:ascii="Arial" w:eastAsia="Arial" w:hAnsi="Arial" w:cs="Arial"/>
        </w:rPr>
        <w:t>Social innovation &amp; governance: a scoping review. </w:t>
      </w:r>
      <w:r w:rsidRPr="0068136B">
        <w:rPr>
          <w:rFonts w:ascii="Arial" w:eastAsia="Arial" w:hAnsi="Arial" w:cs="Arial"/>
          <w:i/>
        </w:rPr>
        <w:t>Innovation: The European Journal of Social Science Research</w:t>
      </w:r>
      <w:r w:rsidRPr="0068136B">
        <w:rPr>
          <w:rFonts w:ascii="Arial" w:eastAsia="Arial" w:hAnsi="Arial" w:cs="Arial"/>
        </w:rPr>
        <w:t>, 1-26.</w:t>
      </w:r>
    </w:p>
    <w:p w14:paraId="00000092"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Gallup. (2019). </w:t>
      </w:r>
      <w:r w:rsidRPr="0068136B">
        <w:rPr>
          <w:rFonts w:ascii="Arial" w:eastAsia="Arial" w:hAnsi="Arial" w:cs="Arial"/>
          <w:i/>
          <w:iCs/>
        </w:rPr>
        <w:t>Wellcome global monitor: first wave findings</w:t>
      </w:r>
      <w:r w:rsidRPr="0068136B">
        <w:rPr>
          <w:rFonts w:ascii="Arial" w:eastAsia="Arial" w:hAnsi="Arial" w:cs="Arial"/>
        </w:rPr>
        <w:t xml:space="preserve">. 2019. https://wellcome.ac.uk/reports/wellcome-global-monitor/2018. </w:t>
      </w:r>
    </w:p>
    <w:p w14:paraId="00000093" w14:textId="7A8BEB7F" w:rsidR="00EE690B" w:rsidRPr="0068136B" w:rsidRDefault="009F3835">
      <w:pPr>
        <w:spacing w:after="0" w:line="480" w:lineRule="auto"/>
        <w:ind w:left="360"/>
        <w:jc w:val="both"/>
        <w:rPr>
          <w:rFonts w:ascii="Arial" w:eastAsia="Arial" w:hAnsi="Arial" w:cs="Arial"/>
          <w:i/>
        </w:rPr>
      </w:pPr>
      <w:r w:rsidRPr="0068136B">
        <w:rPr>
          <w:rFonts w:ascii="Arial" w:eastAsia="Arial" w:hAnsi="Arial" w:cs="Arial"/>
        </w:rPr>
        <w:t xml:space="preserve">Giddens, A. (1999). </w:t>
      </w:r>
      <w:r w:rsidRPr="0068136B">
        <w:rPr>
          <w:rFonts w:ascii="Arial" w:eastAsia="Arial" w:hAnsi="Arial" w:cs="Arial"/>
          <w:i/>
        </w:rPr>
        <w:t>Risk and responsibility</w:t>
      </w:r>
      <w:r w:rsidRPr="0068136B">
        <w:rPr>
          <w:rFonts w:ascii="Arial" w:eastAsia="Arial" w:hAnsi="Arial" w:cs="Arial"/>
        </w:rPr>
        <w:t>. Mod. L. Rev., 62, 1</w:t>
      </w:r>
      <w:r w:rsidRPr="0068136B">
        <w:rPr>
          <w:rFonts w:ascii="Arial" w:eastAsia="Arial" w:hAnsi="Arial" w:cs="Arial"/>
          <w:i/>
        </w:rPr>
        <w:t>.</w:t>
      </w:r>
    </w:p>
    <w:p w14:paraId="64D65A73" w14:textId="72A8B748" w:rsidR="00C15C2B" w:rsidRPr="0068136B" w:rsidRDefault="00C15C2B">
      <w:pPr>
        <w:spacing w:after="0" w:line="480" w:lineRule="auto"/>
        <w:ind w:left="360"/>
        <w:jc w:val="both"/>
        <w:rPr>
          <w:rFonts w:ascii="Arial" w:eastAsia="Arial" w:hAnsi="Arial" w:cs="Arial"/>
          <w:iCs/>
        </w:rPr>
      </w:pPr>
      <w:r w:rsidRPr="0068136B">
        <w:rPr>
          <w:rFonts w:ascii="Arial" w:eastAsia="Arial" w:hAnsi="Arial" w:cs="Arial"/>
          <w:iCs/>
        </w:rPr>
        <w:t xml:space="preserve">Gorsky, M.; Mold, A (2019). Documentary Analysis. In: Pope, C.; Mays, N. </w:t>
      </w:r>
      <w:r w:rsidRPr="0068136B">
        <w:rPr>
          <w:rFonts w:ascii="Arial" w:eastAsia="Arial" w:hAnsi="Arial" w:cs="Arial"/>
          <w:i/>
        </w:rPr>
        <w:t>Qualitative Research in Health Care</w:t>
      </w:r>
      <w:r w:rsidRPr="0068136B">
        <w:rPr>
          <w:rFonts w:ascii="Arial" w:eastAsia="Arial" w:hAnsi="Arial" w:cs="Arial"/>
          <w:iCs/>
        </w:rPr>
        <w:t>. 2019.</w:t>
      </w:r>
    </w:p>
    <w:p w14:paraId="00000094"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Hannigan, J. (2006). </w:t>
      </w:r>
      <w:r w:rsidRPr="0068136B">
        <w:rPr>
          <w:rFonts w:ascii="Arial" w:eastAsia="Arial" w:hAnsi="Arial" w:cs="Arial"/>
          <w:i/>
        </w:rPr>
        <w:t>Environmental sociology</w:t>
      </w:r>
      <w:r w:rsidRPr="0068136B">
        <w:rPr>
          <w:rFonts w:ascii="Arial" w:eastAsia="Arial" w:hAnsi="Arial" w:cs="Arial"/>
        </w:rPr>
        <w:t>. Taylor &amp; Francis e-Library, London, 2006.</w:t>
      </w:r>
    </w:p>
    <w:p w14:paraId="00000095"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lastRenderedPageBreak/>
        <w:t>Hyland-Wood, B., Gardner, J., Leask, J., &amp; Ecker, U. K. (2021). Toward effective government communication strategies in the era of COVID-19. </w:t>
      </w:r>
      <w:r w:rsidRPr="0068136B">
        <w:rPr>
          <w:rFonts w:ascii="Arial" w:eastAsia="Arial" w:hAnsi="Arial" w:cs="Arial"/>
          <w:i/>
        </w:rPr>
        <w:t>Humanities and Social Sciences Communications</w:t>
      </w:r>
      <w:r w:rsidRPr="0068136B">
        <w:rPr>
          <w:rFonts w:ascii="Arial" w:eastAsia="Arial" w:hAnsi="Arial" w:cs="Arial"/>
        </w:rPr>
        <w:t>, 8(1), 1-11.</w:t>
      </w:r>
    </w:p>
    <w:p w14:paraId="00000096"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IPSOS. (2021). Global attitudes on a covid-19 vaccine. </w:t>
      </w:r>
      <w:r w:rsidRPr="0068136B">
        <w:rPr>
          <w:rFonts w:ascii="Arial" w:eastAsia="Arial" w:hAnsi="Arial" w:cs="Arial"/>
          <w:i/>
        </w:rPr>
        <w:t>Ipsos survey for The World Economic Forum</w:t>
      </w:r>
      <w:r w:rsidRPr="0068136B">
        <w:rPr>
          <w:rFonts w:ascii="Arial" w:eastAsia="Arial" w:hAnsi="Arial" w:cs="Arial"/>
        </w:rPr>
        <w:t xml:space="preserve"> - Conducted February 25 – 28. 2021. </w:t>
      </w:r>
      <w:hyperlink r:id="rId12">
        <w:r w:rsidRPr="0068136B">
          <w:rPr>
            <w:rFonts w:ascii="Arial" w:eastAsia="Arial" w:hAnsi="Arial" w:cs="Arial"/>
          </w:rPr>
          <w:t>https://www.ipsos.com/en/covid-19-vaccination-intent-has-soared-across-world</w:t>
        </w:r>
      </w:hyperlink>
      <w:r w:rsidRPr="0068136B">
        <w:rPr>
          <w:rFonts w:ascii="Arial" w:eastAsia="Arial" w:hAnsi="Arial" w:cs="Arial"/>
        </w:rPr>
        <w:t xml:space="preserve">. </w:t>
      </w:r>
    </w:p>
    <w:p w14:paraId="00000097"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Jamison A M, Broniatowski D A, Dredze M, Sangraula A, Smith M C, Sandra C. Quinn S C. (2020). Not just conspiracy theories: Vaccine opponents and proponents add to the COVID-19 ‘infodemic’ on Twitter.</w:t>
      </w:r>
      <w:r w:rsidRPr="0068136B">
        <w:rPr>
          <w:rFonts w:ascii="Arial" w:eastAsia="Arial" w:hAnsi="Arial" w:cs="Arial"/>
          <w:b/>
        </w:rPr>
        <w:t xml:space="preserve"> </w:t>
      </w:r>
      <w:r w:rsidRPr="0068136B">
        <w:rPr>
          <w:rFonts w:ascii="Arial" w:eastAsia="Arial" w:hAnsi="Arial" w:cs="Arial"/>
          <w:i/>
        </w:rPr>
        <w:t xml:space="preserve">Harvard Kennedy School Misinformation. </w:t>
      </w:r>
      <w:r w:rsidRPr="0068136B">
        <w:rPr>
          <w:rFonts w:ascii="Arial" w:eastAsia="Arial" w:hAnsi="Arial" w:cs="Arial"/>
        </w:rPr>
        <w:t xml:space="preserve">Review1. </w:t>
      </w:r>
    </w:p>
    <w:p w14:paraId="00000098"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Jasanoff, S. (2003). In a constitutional moment: science and social order at the millennium. In </w:t>
      </w:r>
      <w:r w:rsidRPr="0068136B">
        <w:rPr>
          <w:rFonts w:ascii="Arial" w:eastAsia="Arial" w:hAnsi="Arial" w:cs="Arial"/>
          <w:i/>
        </w:rPr>
        <w:t>Social studies of science and technology: Looking back, ahead</w:t>
      </w:r>
      <w:r w:rsidRPr="0068136B">
        <w:rPr>
          <w:rFonts w:ascii="Arial" w:eastAsia="Arial" w:hAnsi="Arial" w:cs="Arial"/>
        </w:rPr>
        <w:t> (pp. 155-180). Springer, Dordrecht.</w:t>
      </w:r>
    </w:p>
    <w:p w14:paraId="00000099"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Jasanoff, S. (2004). Science and citizenship: a new synergy. </w:t>
      </w:r>
      <w:r w:rsidRPr="0068136B">
        <w:rPr>
          <w:rFonts w:ascii="Arial" w:eastAsia="Arial" w:hAnsi="Arial" w:cs="Arial"/>
          <w:i/>
        </w:rPr>
        <w:t>Science and public policy</w:t>
      </w:r>
      <w:r w:rsidRPr="0068136B">
        <w:rPr>
          <w:rFonts w:ascii="Arial" w:eastAsia="Arial" w:hAnsi="Arial" w:cs="Arial"/>
        </w:rPr>
        <w:t>, 31(2), 90-94.</w:t>
      </w:r>
    </w:p>
    <w:p w14:paraId="0000009A"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Jasanoff, S. (2009). Essential parallel between science and democracy. </w:t>
      </w:r>
      <w:r w:rsidRPr="0068136B">
        <w:rPr>
          <w:rFonts w:ascii="Arial" w:eastAsia="Arial" w:hAnsi="Arial" w:cs="Arial"/>
          <w:i/>
        </w:rPr>
        <w:t>Seed Magazine</w:t>
      </w:r>
      <w:r w:rsidRPr="0068136B">
        <w:rPr>
          <w:rFonts w:ascii="Arial" w:eastAsia="Arial" w:hAnsi="Arial" w:cs="Arial"/>
        </w:rPr>
        <w:t>.</w:t>
      </w:r>
    </w:p>
    <w:p w14:paraId="0000009B"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Jasanoff, S. S. (1987). Contested boundaries in policy-relevant science. </w:t>
      </w:r>
      <w:r w:rsidRPr="0068136B">
        <w:rPr>
          <w:rFonts w:ascii="Arial" w:eastAsia="Arial" w:hAnsi="Arial" w:cs="Arial"/>
          <w:i/>
        </w:rPr>
        <w:t>Social studies of science</w:t>
      </w:r>
      <w:r w:rsidRPr="0068136B">
        <w:rPr>
          <w:rFonts w:ascii="Arial" w:eastAsia="Arial" w:hAnsi="Arial" w:cs="Arial"/>
        </w:rPr>
        <w:t>, 17(2), 195-230.</w:t>
      </w:r>
    </w:p>
    <w:p w14:paraId="0000009D"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Jasanoff, S., Hilgartner, S., Hurlbut, J. B., Ozgode, O., &amp; Rayzberg, M. (2021). </w:t>
      </w:r>
      <w:r w:rsidRPr="0068136B">
        <w:rPr>
          <w:rFonts w:ascii="Arial" w:eastAsia="Arial" w:hAnsi="Arial" w:cs="Arial"/>
          <w:i/>
        </w:rPr>
        <w:t>Comparative Covid response: crisis, knowledge, politics. Ithaca: CompCoRe Network</w:t>
      </w:r>
      <w:r w:rsidRPr="0068136B">
        <w:rPr>
          <w:rFonts w:ascii="Arial" w:eastAsia="Arial" w:hAnsi="Arial" w:cs="Arial"/>
        </w:rPr>
        <w:t>, Cornell University.</w:t>
      </w:r>
    </w:p>
    <w:p w14:paraId="0000009E"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Jewett, R. L., Mah, S. M., Howell, N., &amp; Larsen, M. M. (2021). Social cohesion and community resilience during COVID-19 and pandemics: A rapid scoping review to inform the United Nations research roadmap for COVID-19 recovery. </w:t>
      </w:r>
      <w:r w:rsidRPr="0068136B">
        <w:rPr>
          <w:rFonts w:ascii="Arial" w:eastAsia="Arial" w:hAnsi="Arial" w:cs="Arial"/>
          <w:i/>
        </w:rPr>
        <w:t>International Journal of Health Services</w:t>
      </w:r>
      <w:r w:rsidRPr="0068136B">
        <w:rPr>
          <w:rFonts w:ascii="Arial" w:eastAsia="Arial" w:hAnsi="Arial" w:cs="Arial"/>
        </w:rPr>
        <w:t>, </w:t>
      </w:r>
      <w:r w:rsidRPr="0068136B">
        <w:rPr>
          <w:rFonts w:ascii="Arial" w:eastAsia="Arial" w:hAnsi="Arial" w:cs="Arial"/>
          <w:i/>
        </w:rPr>
        <w:t>51</w:t>
      </w:r>
      <w:r w:rsidRPr="0068136B">
        <w:rPr>
          <w:rFonts w:ascii="Arial" w:eastAsia="Arial" w:hAnsi="Arial" w:cs="Arial"/>
        </w:rPr>
        <w:t>(3), 325-336.</w:t>
      </w:r>
    </w:p>
    <w:p w14:paraId="0000009F"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Klinke, A., &amp; Renn, O. (2021). The coming of age of risk governance. </w:t>
      </w:r>
      <w:r w:rsidRPr="0068136B">
        <w:rPr>
          <w:rFonts w:ascii="Arial" w:eastAsia="Arial" w:hAnsi="Arial" w:cs="Arial"/>
          <w:i/>
        </w:rPr>
        <w:t>Risk analysis</w:t>
      </w:r>
      <w:r w:rsidRPr="0068136B">
        <w:rPr>
          <w:rFonts w:ascii="Arial" w:eastAsia="Arial" w:hAnsi="Arial" w:cs="Arial"/>
        </w:rPr>
        <w:t>, </w:t>
      </w:r>
      <w:r w:rsidRPr="0068136B">
        <w:rPr>
          <w:rFonts w:ascii="Arial" w:eastAsia="Arial" w:hAnsi="Arial" w:cs="Arial"/>
          <w:i/>
        </w:rPr>
        <w:t>41</w:t>
      </w:r>
      <w:r w:rsidRPr="0068136B">
        <w:rPr>
          <w:rFonts w:ascii="Arial" w:eastAsia="Arial" w:hAnsi="Arial" w:cs="Arial"/>
        </w:rPr>
        <w:t>(3), 544-557.</w:t>
      </w:r>
    </w:p>
    <w:p w14:paraId="000000A0"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lastRenderedPageBreak/>
        <w:t>Krause, N. M., Freiling, I., Beets, B., &amp; Brossard, D. (2020). Fact-checking as risk communication: the multi-layered risk of misinformation in times of COVID-19. </w:t>
      </w:r>
      <w:r w:rsidRPr="0068136B">
        <w:rPr>
          <w:rFonts w:ascii="Arial" w:eastAsia="Arial" w:hAnsi="Arial" w:cs="Arial"/>
          <w:i/>
        </w:rPr>
        <w:t>Journal of Risk Research</w:t>
      </w:r>
      <w:r w:rsidRPr="0068136B">
        <w:rPr>
          <w:rFonts w:ascii="Arial" w:eastAsia="Arial" w:hAnsi="Arial" w:cs="Arial"/>
        </w:rPr>
        <w:t>, 23(7-8), 1052-1059.</w:t>
      </w:r>
    </w:p>
    <w:p w14:paraId="000000A1"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Kruczkiewicz, A., Klopp, J., Fisher, J., Mason, S., McClain, S., Sheekh, N. M., ... &amp; Braneon, C. (2021). Opinion: Compound risks and complex emergencies require new approaches to preparedness. </w:t>
      </w:r>
      <w:r w:rsidRPr="0068136B">
        <w:rPr>
          <w:rFonts w:ascii="Arial" w:eastAsia="Arial" w:hAnsi="Arial" w:cs="Arial"/>
          <w:i/>
        </w:rPr>
        <w:t>Proceedings of the National Academy of Sciences</w:t>
      </w:r>
      <w:r w:rsidRPr="0068136B">
        <w:rPr>
          <w:rFonts w:ascii="Arial" w:eastAsia="Arial" w:hAnsi="Arial" w:cs="Arial"/>
        </w:rPr>
        <w:t>, 118(19).</w:t>
      </w:r>
    </w:p>
    <w:p w14:paraId="000000A2" w14:textId="64BCF574"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Lavor, A. D. (2021). </w:t>
      </w:r>
      <w:r w:rsidRPr="0068136B">
        <w:rPr>
          <w:rFonts w:ascii="Arial" w:eastAsia="Arial" w:hAnsi="Arial" w:cs="Arial"/>
          <w:i/>
          <w:iCs/>
          <w:lang w:val="pt-BR"/>
        </w:rPr>
        <w:t>Amazônia sem respirar: falta de oxigênio causa mortes e revela colapso em Manaus.</w:t>
      </w:r>
      <w:r w:rsidR="00D670D8" w:rsidRPr="0068136B">
        <w:rPr>
          <w:rFonts w:ascii="Arial" w:eastAsia="Arial" w:hAnsi="Arial" w:cs="Arial"/>
          <w:i/>
          <w:iCs/>
          <w:lang w:val="pt-BR"/>
        </w:rPr>
        <w:t xml:space="preserve"> </w:t>
      </w:r>
      <w:hyperlink r:id="rId13" w:history="1">
        <w:r w:rsidR="00DD26CA" w:rsidRPr="0068136B">
          <w:rPr>
            <w:rStyle w:val="Hyperlink"/>
            <w:rFonts w:ascii="Arial" w:eastAsia="Arial" w:hAnsi="Arial" w:cs="Arial"/>
            <w:color w:val="auto"/>
            <w:position w:val="0"/>
            <w:u w:val="none"/>
          </w:rPr>
          <w:t>https://radis.ensp.fiocruz.br/index.php/home/reportagem/amazonia-sem-respirar</w:t>
        </w:r>
      </w:hyperlink>
    </w:p>
    <w:p w14:paraId="34B8BE04" w14:textId="59CCA984" w:rsidR="00DD26CA" w:rsidRPr="0068136B" w:rsidRDefault="00DD26CA">
      <w:pPr>
        <w:spacing w:after="0" w:line="480" w:lineRule="auto"/>
        <w:ind w:left="360"/>
        <w:jc w:val="both"/>
        <w:rPr>
          <w:rFonts w:ascii="Arial" w:eastAsia="Arial" w:hAnsi="Arial" w:cs="Arial"/>
        </w:rPr>
      </w:pPr>
      <w:r w:rsidRPr="0068136B">
        <w:rPr>
          <w:rFonts w:ascii="Arial" w:eastAsia="Arial" w:hAnsi="Arial" w:cs="Arial"/>
        </w:rPr>
        <w:t xml:space="preserve">Lawson, L.V. (2018) Documentary analysis as an assessment tool. </w:t>
      </w:r>
      <w:r w:rsidRPr="0068136B">
        <w:rPr>
          <w:rFonts w:ascii="Arial" w:eastAsia="Arial" w:hAnsi="Arial" w:cs="Arial"/>
          <w:i/>
          <w:iCs/>
        </w:rPr>
        <w:t>Public Health Nurs</w:t>
      </w:r>
      <w:r w:rsidRPr="0068136B">
        <w:rPr>
          <w:rFonts w:ascii="Arial" w:eastAsia="Arial" w:hAnsi="Arial" w:cs="Arial"/>
        </w:rPr>
        <w:t>.</w:t>
      </w:r>
    </w:p>
    <w:p w14:paraId="000000A3"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Leach, M., MacGregor, H., Scoones, I., &amp; Wilkinson, A. (2021). Post-pandemic transformations: How and why COVID-19 requires us to rethink development. </w:t>
      </w:r>
      <w:r w:rsidRPr="0068136B">
        <w:rPr>
          <w:rFonts w:ascii="Arial" w:eastAsia="Arial" w:hAnsi="Arial" w:cs="Arial"/>
          <w:i/>
        </w:rPr>
        <w:t>World Development</w:t>
      </w:r>
      <w:r w:rsidRPr="0068136B">
        <w:rPr>
          <w:rFonts w:ascii="Arial" w:eastAsia="Arial" w:hAnsi="Arial" w:cs="Arial"/>
        </w:rPr>
        <w:t>, 138, 105233.</w:t>
      </w:r>
    </w:p>
    <w:p w14:paraId="000000A4"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Leiss, W. (1996). Three phases in the evolution of risk communication practice. </w:t>
      </w:r>
      <w:r w:rsidRPr="0068136B">
        <w:rPr>
          <w:rFonts w:ascii="Arial" w:eastAsia="Arial" w:hAnsi="Arial" w:cs="Arial"/>
          <w:i/>
        </w:rPr>
        <w:t>The Annals of the American Academy of Political and Social Science</w:t>
      </w:r>
      <w:r w:rsidRPr="0068136B">
        <w:rPr>
          <w:rFonts w:ascii="Arial" w:eastAsia="Arial" w:hAnsi="Arial" w:cs="Arial"/>
        </w:rPr>
        <w:t>, 545(1), 85-94.</w:t>
      </w:r>
    </w:p>
    <w:p w14:paraId="000000A5" w14:textId="77777777" w:rsidR="00EE690B" w:rsidRPr="0068136B" w:rsidRDefault="009F3835">
      <w:pPr>
        <w:spacing w:after="0" w:line="480" w:lineRule="auto"/>
        <w:ind w:left="360"/>
        <w:jc w:val="both"/>
        <w:rPr>
          <w:rFonts w:ascii="Arial" w:eastAsia="Arial" w:hAnsi="Arial" w:cs="Arial"/>
          <w:b/>
        </w:rPr>
      </w:pPr>
      <w:r w:rsidRPr="0068136B">
        <w:rPr>
          <w:rFonts w:ascii="Arial" w:eastAsia="Arial" w:hAnsi="Arial" w:cs="Arial"/>
        </w:rPr>
        <w:t>Lemos M, Kirchhoff C, Ramprasad V. (2012). Narrowing the climate information usability gap. </w:t>
      </w:r>
      <w:r w:rsidRPr="0068136B">
        <w:rPr>
          <w:rFonts w:ascii="Arial" w:eastAsia="Arial" w:hAnsi="Arial" w:cs="Arial"/>
          <w:i/>
        </w:rPr>
        <w:t>Nature Clim Change</w:t>
      </w:r>
      <w:r w:rsidRPr="0068136B">
        <w:rPr>
          <w:rFonts w:ascii="Arial" w:eastAsia="Arial" w:hAnsi="Arial" w:cs="Arial"/>
        </w:rPr>
        <w:t> 2,</w:t>
      </w:r>
      <w:r w:rsidRPr="0068136B">
        <w:rPr>
          <w:rFonts w:ascii="Arial" w:eastAsia="Arial" w:hAnsi="Arial" w:cs="Arial"/>
          <w:b/>
        </w:rPr>
        <w:t> </w:t>
      </w:r>
      <w:r w:rsidRPr="0068136B">
        <w:rPr>
          <w:rFonts w:ascii="Arial" w:eastAsia="Arial" w:hAnsi="Arial" w:cs="Arial"/>
        </w:rPr>
        <w:t>789–794.</w:t>
      </w:r>
    </w:p>
    <w:p w14:paraId="000000A6"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Lencucha, R., &amp; Bandara, S. (2021). Trust, risk, and the challenge of information sharing during a health emergency. </w:t>
      </w:r>
      <w:r w:rsidRPr="0068136B">
        <w:rPr>
          <w:rFonts w:ascii="Arial" w:eastAsia="Arial" w:hAnsi="Arial" w:cs="Arial"/>
          <w:i/>
        </w:rPr>
        <w:t>Globalization and Health</w:t>
      </w:r>
      <w:r w:rsidRPr="0068136B">
        <w:rPr>
          <w:rFonts w:ascii="Arial" w:eastAsia="Arial" w:hAnsi="Arial" w:cs="Arial"/>
        </w:rPr>
        <w:t>, 17(1), 1-7.</w:t>
      </w:r>
    </w:p>
    <w:p w14:paraId="000000A7"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rPr>
        <w:t xml:space="preserve">Lidskog R, Elander I, Adam Standring A. (2020). COVID-19, the Climate, and Transformative Change: Comparing the Social Anatomies of Crises and Their Regulatory Responses. </w:t>
      </w:r>
      <w:r w:rsidRPr="0068136B">
        <w:rPr>
          <w:rFonts w:ascii="Arial" w:eastAsia="Arial" w:hAnsi="Arial" w:cs="Arial"/>
          <w:i/>
          <w:lang w:val="pt-BR"/>
        </w:rPr>
        <w:t>Sustainability</w:t>
      </w:r>
      <w:r w:rsidRPr="0068136B">
        <w:rPr>
          <w:rFonts w:ascii="Arial" w:eastAsia="Arial" w:hAnsi="Arial" w:cs="Arial"/>
          <w:lang w:val="pt-BR"/>
        </w:rPr>
        <w:t>. 12, 6337; doi:10.3390/su12166337 www.mdpi.com/journal/sustainability</w:t>
      </w:r>
    </w:p>
    <w:p w14:paraId="000000A8"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lang w:val="pt-BR"/>
        </w:rPr>
        <w:t xml:space="preserve">Lotta, G., Wenham, C., Nunes, J., &amp; Pimenta, D. N. (2020). </w:t>
      </w:r>
      <w:r w:rsidRPr="0068136B">
        <w:rPr>
          <w:rFonts w:ascii="Arial" w:eastAsia="Arial" w:hAnsi="Arial" w:cs="Arial"/>
        </w:rPr>
        <w:t>Community health workers reveal COVID-19 disaster in Brazil. </w:t>
      </w:r>
      <w:r w:rsidRPr="0068136B">
        <w:rPr>
          <w:rFonts w:ascii="Arial" w:eastAsia="Arial" w:hAnsi="Arial" w:cs="Arial"/>
          <w:i/>
        </w:rPr>
        <w:t>The Lancet</w:t>
      </w:r>
      <w:r w:rsidRPr="0068136B">
        <w:rPr>
          <w:rFonts w:ascii="Arial" w:eastAsia="Arial" w:hAnsi="Arial" w:cs="Arial"/>
        </w:rPr>
        <w:t>, 396(10248), 365-366.</w:t>
      </w:r>
    </w:p>
    <w:p w14:paraId="000000A9"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Lundgren R, McMakin A. (2000). </w:t>
      </w:r>
      <w:r w:rsidRPr="0068136B">
        <w:rPr>
          <w:rFonts w:ascii="Arial" w:eastAsia="Arial" w:hAnsi="Arial" w:cs="Arial"/>
          <w:i/>
        </w:rPr>
        <w:t>Risk Communication: A handbook for communicating environmental, safety and health risks</w:t>
      </w:r>
      <w:r w:rsidRPr="0068136B">
        <w:rPr>
          <w:rFonts w:ascii="Arial" w:eastAsia="Arial" w:hAnsi="Arial" w:cs="Arial"/>
        </w:rPr>
        <w:t>. Battelle Press, Ohio.</w:t>
      </w:r>
    </w:p>
    <w:p w14:paraId="000000AA"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lastRenderedPageBreak/>
        <w:t xml:space="preserve">Machado, C.V.; Silva, G.A. (2019). Political struggles for a universal health system in Brazil: successes and limits in the reduction of inequalities. </w:t>
      </w:r>
      <w:r w:rsidRPr="0068136B">
        <w:rPr>
          <w:rFonts w:ascii="Arial" w:eastAsia="Arial" w:hAnsi="Arial" w:cs="Arial"/>
          <w:i/>
        </w:rPr>
        <w:t>Globalization and Health</w:t>
      </w:r>
      <w:r w:rsidRPr="0068136B">
        <w:rPr>
          <w:rFonts w:ascii="Arial" w:eastAsia="Arial" w:hAnsi="Arial" w:cs="Arial"/>
        </w:rPr>
        <w:t>, 15(Suppl 1):77 https://doi.org/10.1186/s12992-019-0523-5</w:t>
      </w:r>
    </w:p>
    <w:p w14:paraId="000000AB"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rPr>
        <w:t>Marston, C., Renedo, A., &amp; Miles, S. (2020). Community participation is crucial in a pandemic. </w:t>
      </w:r>
      <w:r w:rsidRPr="0068136B">
        <w:rPr>
          <w:rFonts w:ascii="Arial" w:eastAsia="Arial" w:hAnsi="Arial" w:cs="Arial"/>
          <w:i/>
          <w:lang w:val="pt-BR"/>
        </w:rPr>
        <w:t>The Lancet</w:t>
      </w:r>
      <w:r w:rsidRPr="0068136B">
        <w:rPr>
          <w:rFonts w:ascii="Arial" w:eastAsia="Arial" w:hAnsi="Arial" w:cs="Arial"/>
          <w:lang w:val="pt-BR"/>
        </w:rPr>
        <w:t>, 395(10238), 1676-1678.</w:t>
      </w:r>
    </w:p>
    <w:p w14:paraId="000000AC"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Massarani, L., Brotas, A., Costa, M. C. R., &amp; Neves, L. F. F. (2021). Vacinas contra a COVID-19 e o combate à desinformação na cobertura da Folha de S. Paulo. </w:t>
      </w:r>
      <w:r w:rsidRPr="0068136B">
        <w:rPr>
          <w:rFonts w:ascii="Arial" w:eastAsia="Arial" w:hAnsi="Arial" w:cs="Arial"/>
          <w:i/>
          <w:lang w:val="pt-BR"/>
        </w:rPr>
        <w:t>Fronteiras-estudos midiáticos</w:t>
      </w:r>
      <w:r w:rsidRPr="0068136B">
        <w:rPr>
          <w:rFonts w:ascii="Arial" w:eastAsia="Arial" w:hAnsi="Arial" w:cs="Arial"/>
          <w:lang w:val="pt-BR"/>
        </w:rPr>
        <w:t>, </w:t>
      </w:r>
      <w:r w:rsidRPr="0068136B">
        <w:rPr>
          <w:rFonts w:ascii="Arial" w:eastAsia="Arial" w:hAnsi="Arial" w:cs="Arial"/>
          <w:i/>
          <w:lang w:val="pt-BR"/>
        </w:rPr>
        <w:t>23</w:t>
      </w:r>
      <w:r w:rsidRPr="0068136B">
        <w:rPr>
          <w:rFonts w:ascii="Arial" w:eastAsia="Arial" w:hAnsi="Arial" w:cs="Arial"/>
          <w:lang w:val="pt-BR"/>
        </w:rPr>
        <w:t>(2), 29-43.</w:t>
      </w:r>
    </w:p>
    <w:p w14:paraId="000000AD"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 xml:space="preserve">Matta, G.C., Rego, S., Souto, E.P., and Segata, J. (eds). (2021). Ciências sociais, humanidades e a pandemia de Covid-19. In: </w:t>
      </w:r>
      <w:r w:rsidRPr="0068136B">
        <w:rPr>
          <w:rFonts w:ascii="Arial" w:eastAsia="Arial" w:hAnsi="Arial" w:cs="Arial"/>
          <w:i/>
          <w:lang w:val="pt-BR"/>
        </w:rPr>
        <w:t>Os impactos sociais da Covid-19 no Brasil: populações vulnerabilizadas e respostas à pandemia</w:t>
      </w:r>
      <w:r w:rsidRPr="0068136B">
        <w:rPr>
          <w:rFonts w:ascii="Arial" w:eastAsia="Arial" w:hAnsi="Arial" w:cs="Arial"/>
          <w:lang w:val="pt-BR"/>
        </w:rPr>
        <w:t xml:space="preserve"> [online]. Rio de Janeiro: Observatório Covid 19; Editora FIOCRUZ, 2021, pp. 25-83. Informação para ação na Covid-19 series. ISBN: 978-65-5708-032-0.</w:t>
      </w:r>
    </w:p>
    <w:p w14:paraId="000000AE" w14:textId="348DA68B"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Mendes, R.M.M</w:t>
      </w:r>
      <w:r w:rsidR="00D670D8" w:rsidRPr="0068136B">
        <w:rPr>
          <w:rFonts w:ascii="Arial" w:eastAsia="Arial" w:hAnsi="Arial" w:cs="Arial"/>
          <w:lang w:val="pt-BR"/>
        </w:rPr>
        <w:t>. &amp;</w:t>
      </w:r>
      <w:r w:rsidRPr="0068136B">
        <w:rPr>
          <w:rFonts w:ascii="Arial" w:eastAsia="Arial" w:hAnsi="Arial" w:cs="Arial"/>
          <w:lang w:val="pt-BR"/>
        </w:rPr>
        <w:t xml:space="preserve"> Miskulin, R.G.S. </w:t>
      </w:r>
      <w:r w:rsidR="00063B14" w:rsidRPr="0068136B">
        <w:rPr>
          <w:rFonts w:ascii="Arial" w:eastAsia="Arial" w:hAnsi="Arial" w:cs="Arial"/>
          <w:lang w:val="pt-BR"/>
        </w:rPr>
        <w:t xml:space="preserve">(2017) A análise de conteúdo como uma metodologia. </w:t>
      </w:r>
      <w:r w:rsidRPr="0068136B">
        <w:rPr>
          <w:rFonts w:ascii="Arial" w:eastAsia="Arial" w:hAnsi="Arial" w:cs="Arial"/>
          <w:i/>
          <w:iCs/>
          <w:lang w:val="pt-BR"/>
        </w:rPr>
        <w:t>Cad. Pesqui</w:t>
      </w:r>
      <w:r w:rsidRPr="0068136B">
        <w:rPr>
          <w:rFonts w:ascii="Arial" w:eastAsia="Arial" w:hAnsi="Arial" w:cs="Arial"/>
          <w:lang w:val="pt-BR"/>
        </w:rPr>
        <w:t>. 47 (165)</w:t>
      </w:r>
      <w:r w:rsidR="00D670D8" w:rsidRPr="0068136B">
        <w:rPr>
          <w:rFonts w:ascii="Arial" w:eastAsia="Arial" w:hAnsi="Arial" w:cs="Arial"/>
          <w:lang w:val="pt-BR"/>
        </w:rPr>
        <w:t>.</w:t>
      </w:r>
      <w:r w:rsidRPr="0068136B">
        <w:rPr>
          <w:rFonts w:ascii="Arial" w:eastAsia="Arial" w:hAnsi="Arial" w:cs="Arial"/>
          <w:lang w:val="pt-BR"/>
        </w:rPr>
        <w:t xml:space="preserve"> https://doi.org/10.1590/198053143988. </w:t>
      </w:r>
    </w:p>
    <w:p w14:paraId="000000AF"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Menengoti, A., &amp; Santano, A. C. (2021). Acesso à informação como direito humano indispensável ao combate à pandemia da covid-19 no brasil. </w:t>
      </w:r>
      <w:r w:rsidRPr="0068136B">
        <w:rPr>
          <w:rFonts w:ascii="Arial" w:eastAsia="Arial" w:hAnsi="Arial" w:cs="Arial"/>
          <w:i/>
          <w:lang w:val="pt-BR"/>
        </w:rPr>
        <w:t>Humanidades &amp; Inovação</w:t>
      </w:r>
      <w:r w:rsidRPr="0068136B">
        <w:rPr>
          <w:rFonts w:ascii="Arial" w:eastAsia="Arial" w:hAnsi="Arial" w:cs="Arial"/>
          <w:lang w:val="pt-BR"/>
        </w:rPr>
        <w:t>, </w:t>
      </w:r>
      <w:r w:rsidRPr="0068136B">
        <w:rPr>
          <w:rFonts w:ascii="Arial" w:eastAsia="Arial" w:hAnsi="Arial" w:cs="Arial"/>
          <w:i/>
          <w:lang w:val="pt-BR"/>
        </w:rPr>
        <w:t>8</w:t>
      </w:r>
      <w:r w:rsidRPr="0068136B">
        <w:rPr>
          <w:rFonts w:ascii="Arial" w:eastAsia="Arial" w:hAnsi="Arial" w:cs="Arial"/>
          <w:lang w:val="pt-BR"/>
        </w:rPr>
        <w:t>(49), 63-76.</w:t>
      </w:r>
    </w:p>
    <w:p w14:paraId="000000B0"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 xml:space="preserve">Meirelles, P. (2020). Principais vozes da ciência no Twitter: mapeando a conversa de cientistas e especialistas sobre a COVID-19. Relatório. </w:t>
      </w:r>
      <w:r w:rsidRPr="0068136B">
        <w:rPr>
          <w:rFonts w:ascii="Arial" w:eastAsia="Arial" w:hAnsi="Arial" w:cs="Arial"/>
          <w:i/>
          <w:lang w:val="pt-BR"/>
        </w:rPr>
        <w:t>Instituto Brasileiro de Pesquisa e Análise de Dados</w:t>
      </w:r>
      <w:r w:rsidRPr="0068136B">
        <w:rPr>
          <w:rFonts w:ascii="Arial" w:eastAsia="Arial" w:hAnsi="Arial" w:cs="Arial"/>
          <w:lang w:val="pt-BR"/>
        </w:rPr>
        <w:t xml:space="preserve"> (IBPAD): Brasília.</w:t>
      </w:r>
    </w:p>
    <w:p w14:paraId="000000B1"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Monari, A. C. P., de Araújo, K. M., de Souza, M. R., &amp; Sacramento, I. (2021). Legitimando um populismo anticiência: análise dos argumentos de Bolsonaro sobre vacinação contra Covid-19 no Twitter. </w:t>
      </w:r>
      <w:r w:rsidRPr="0068136B">
        <w:rPr>
          <w:rFonts w:ascii="Arial" w:eastAsia="Arial" w:hAnsi="Arial" w:cs="Arial"/>
          <w:i/>
          <w:lang w:val="pt-BR"/>
        </w:rPr>
        <w:t>Liinc em revista</w:t>
      </w:r>
      <w:r w:rsidRPr="0068136B">
        <w:rPr>
          <w:rFonts w:ascii="Arial" w:eastAsia="Arial" w:hAnsi="Arial" w:cs="Arial"/>
          <w:lang w:val="pt-BR"/>
        </w:rPr>
        <w:t>, </w:t>
      </w:r>
      <w:r w:rsidRPr="0068136B">
        <w:rPr>
          <w:rFonts w:ascii="Arial" w:eastAsia="Arial" w:hAnsi="Arial" w:cs="Arial"/>
          <w:i/>
          <w:lang w:val="pt-BR"/>
        </w:rPr>
        <w:t>17</w:t>
      </w:r>
      <w:r w:rsidRPr="0068136B">
        <w:rPr>
          <w:rFonts w:ascii="Arial" w:eastAsia="Arial" w:hAnsi="Arial" w:cs="Arial"/>
          <w:lang w:val="pt-BR"/>
        </w:rPr>
        <w:t>(1), e5707.</w:t>
      </w:r>
    </w:p>
    <w:p w14:paraId="000000B2" w14:textId="393AE076" w:rsidR="00EE690B" w:rsidRPr="0068136B" w:rsidRDefault="009F3835">
      <w:pPr>
        <w:shd w:val="clear" w:color="auto" w:fill="FFFFFF"/>
        <w:spacing w:after="0" w:line="480" w:lineRule="auto"/>
        <w:ind w:left="360"/>
        <w:jc w:val="both"/>
        <w:rPr>
          <w:rFonts w:ascii="Arial" w:eastAsia="Arial" w:hAnsi="Arial" w:cs="Arial"/>
          <w:lang w:val="pt-BR"/>
        </w:rPr>
      </w:pPr>
      <w:r w:rsidRPr="0068136B">
        <w:rPr>
          <w:rFonts w:ascii="Arial" w:eastAsia="Arial" w:hAnsi="Arial" w:cs="Arial"/>
          <w:lang w:val="pt-BR"/>
        </w:rPr>
        <w:t xml:space="preserve">Moreno A.B.; Coeli, C.M.; Munk S. (2019). Informação em saúde. </w:t>
      </w:r>
      <w:r w:rsidRPr="0068136B">
        <w:rPr>
          <w:rFonts w:ascii="Arial" w:eastAsia="Arial" w:hAnsi="Arial" w:cs="Arial"/>
          <w:i/>
          <w:lang w:val="pt-BR"/>
        </w:rPr>
        <w:t>Dicionário da educação profissional em saúde</w:t>
      </w:r>
      <w:r w:rsidRPr="0068136B">
        <w:rPr>
          <w:rFonts w:ascii="Arial" w:eastAsia="Arial" w:hAnsi="Arial" w:cs="Arial"/>
          <w:lang w:val="pt-BR"/>
        </w:rPr>
        <w:t xml:space="preserve">. http://www.sites.epsjv.fiocruz.br/dicionario/verbetes/infsau.html. </w:t>
      </w:r>
    </w:p>
    <w:p w14:paraId="014245FA" w14:textId="70D35ACD" w:rsidR="00FC6FBC" w:rsidRPr="0068136B" w:rsidRDefault="00FC6FBC" w:rsidP="00FC6FBC">
      <w:pPr>
        <w:spacing w:after="0" w:line="480" w:lineRule="auto"/>
        <w:ind w:left="360"/>
        <w:jc w:val="both"/>
        <w:rPr>
          <w:rFonts w:ascii="Arial" w:eastAsia="Arial" w:hAnsi="Arial" w:cs="Arial"/>
        </w:rPr>
      </w:pPr>
      <w:r w:rsidRPr="0068136B">
        <w:rPr>
          <w:rFonts w:ascii="Arial" w:eastAsia="Arial" w:hAnsi="Arial" w:cs="Arial"/>
        </w:rPr>
        <w:t>Morg</w:t>
      </w:r>
      <w:bookmarkStart w:id="8" w:name="_GoBack"/>
      <w:bookmarkEnd w:id="8"/>
      <w:r w:rsidRPr="0068136B">
        <w:rPr>
          <w:rFonts w:ascii="Arial" w:eastAsia="Arial" w:hAnsi="Arial" w:cs="Arial"/>
        </w:rPr>
        <w:t xml:space="preserve">an, H. (2022). Conducting a Qualitative Document Analysis. </w:t>
      </w:r>
      <w:r w:rsidRPr="0068136B">
        <w:rPr>
          <w:rFonts w:ascii="Arial" w:eastAsia="Arial" w:hAnsi="Arial" w:cs="Arial"/>
          <w:i/>
        </w:rPr>
        <w:t>The Qualitative Report</w:t>
      </w:r>
      <w:r w:rsidRPr="0068136B">
        <w:rPr>
          <w:rFonts w:ascii="Arial" w:eastAsia="Arial" w:hAnsi="Arial" w:cs="Arial"/>
        </w:rPr>
        <w:t>, 27(1), 64-77.</w:t>
      </w:r>
    </w:p>
    <w:p w14:paraId="000000B3"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lastRenderedPageBreak/>
        <w:t>Myers N. (2021).</w:t>
      </w:r>
      <w:r w:rsidRPr="0068136B">
        <w:rPr>
          <w:rFonts w:ascii="Arial" w:eastAsia="Arial" w:hAnsi="Arial" w:cs="Arial"/>
          <w:i/>
        </w:rPr>
        <w:t xml:space="preserve"> </w:t>
      </w:r>
      <w:r w:rsidRPr="0068136B">
        <w:rPr>
          <w:rFonts w:ascii="Arial" w:eastAsia="Arial" w:hAnsi="Arial" w:cs="Arial"/>
        </w:rPr>
        <w:t xml:space="preserve">Information sharing and community resilience: toward a whole community approach to surveillance and combatting the “infodemic”. </w:t>
      </w:r>
      <w:r w:rsidRPr="0068136B">
        <w:rPr>
          <w:rFonts w:ascii="Arial" w:eastAsia="Arial" w:hAnsi="Arial" w:cs="Arial"/>
          <w:i/>
        </w:rPr>
        <w:t>World Medical &amp; Health Policy</w:t>
      </w:r>
      <w:r w:rsidRPr="0068136B">
        <w:rPr>
          <w:rFonts w:ascii="Arial" w:eastAsia="Arial" w:hAnsi="Arial" w:cs="Arial"/>
        </w:rPr>
        <w:t>, Vol. 13, No. 3</w:t>
      </w:r>
    </w:p>
    <w:p w14:paraId="000000B4"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rPr>
        <w:t xml:space="preserve">Nassaralla, A. P. A., Doumit, A. M., Melo, C. F., Léon, L. C., Vidal, R. A. R., &amp; Moura, L. R. (2019). </w:t>
      </w:r>
      <w:r w:rsidRPr="0068136B">
        <w:rPr>
          <w:rFonts w:ascii="Arial" w:eastAsia="Arial" w:hAnsi="Arial" w:cs="Arial"/>
          <w:lang w:val="pt-BR"/>
        </w:rPr>
        <w:t>Dimensões e consequências do movimento antivacina na realidade brasileira. </w:t>
      </w:r>
      <w:r w:rsidRPr="0068136B">
        <w:rPr>
          <w:rFonts w:ascii="Arial" w:eastAsia="Arial" w:hAnsi="Arial" w:cs="Arial"/>
          <w:i/>
          <w:lang w:val="pt-BR"/>
        </w:rPr>
        <w:t>Revista educação em Saúde</w:t>
      </w:r>
      <w:r w:rsidRPr="0068136B">
        <w:rPr>
          <w:rFonts w:ascii="Arial" w:eastAsia="Arial" w:hAnsi="Arial" w:cs="Arial"/>
          <w:lang w:val="pt-BR"/>
        </w:rPr>
        <w:t xml:space="preserve">.V7. suplemento 1. </w:t>
      </w:r>
    </w:p>
    <w:p w14:paraId="000000B5"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Nelkin, D. (1999). The mystique of science in the press. </w:t>
      </w:r>
      <w:r w:rsidRPr="0068136B">
        <w:rPr>
          <w:rFonts w:ascii="Arial" w:eastAsia="Arial" w:hAnsi="Arial" w:cs="Arial"/>
          <w:i/>
        </w:rPr>
        <w:t>Communicating Science: Contexts and Channels</w:t>
      </w:r>
      <w:r w:rsidRPr="0068136B">
        <w:rPr>
          <w:rFonts w:ascii="Arial" w:eastAsia="Arial" w:hAnsi="Arial" w:cs="Arial"/>
        </w:rPr>
        <w:t>, ed. Eileen Scanlon, Elizabeth Whitelegg, and Simeon Yates, 227-239.</w:t>
      </w:r>
    </w:p>
    <w:p w14:paraId="000000B6" w14:textId="77777777" w:rsidR="00EE690B" w:rsidRPr="0068136B" w:rsidRDefault="009F3835">
      <w:pPr>
        <w:spacing w:after="0" w:line="480" w:lineRule="auto"/>
        <w:ind w:left="360"/>
        <w:jc w:val="both"/>
        <w:rPr>
          <w:rFonts w:ascii="Arial" w:eastAsia="Arial" w:hAnsi="Arial" w:cs="Arial"/>
          <w:i/>
        </w:rPr>
      </w:pPr>
      <w:r w:rsidRPr="0068136B">
        <w:rPr>
          <w:rFonts w:ascii="Arial" w:eastAsia="Arial" w:hAnsi="Arial" w:cs="Arial"/>
        </w:rPr>
        <w:t>Nobre, M. (2020). </w:t>
      </w:r>
      <w:r w:rsidRPr="0068136B">
        <w:rPr>
          <w:rFonts w:ascii="Arial" w:eastAsia="Arial" w:hAnsi="Arial" w:cs="Arial"/>
          <w:i/>
        </w:rPr>
        <w:t>Ponto-final: A guerra de Bolsonaro contra a democracia</w:t>
      </w:r>
      <w:r w:rsidRPr="0068136B">
        <w:rPr>
          <w:rFonts w:ascii="Arial" w:eastAsia="Arial" w:hAnsi="Arial" w:cs="Arial"/>
        </w:rPr>
        <w:t>. Todavia</w:t>
      </w:r>
      <w:r w:rsidRPr="0068136B">
        <w:rPr>
          <w:rFonts w:ascii="Arial" w:eastAsia="Arial" w:hAnsi="Arial" w:cs="Arial"/>
          <w:i/>
        </w:rPr>
        <w:t>.</w:t>
      </w:r>
    </w:p>
    <w:p w14:paraId="000000B7"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rPr>
        <w:t>Nunes, J. (2022). Neglect and Resistance in Brazil’s Pandemic. </w:t>
      </w:r>
      <w:r w:rsidRPr="0068136B">
        <w:rPr>
          <w:rFonts w:ascii="Arial" w:eastAsia="Arial" w:hAnsi="Arial" w:cs="Arial"/>
          <w:i/>
          <w:lang w:val="pt-BR"/>
        </w:rPr>
        <w:t>Current History</w:t>
      </w:r>
      <w:r w:rsidRPr="0068136B">
        <w:rPr>
          <w:rFonts w:ascii="Arial" w:eastAsia="Arial" w:hAnsi="Arial" w:cs="Arial"/>
          <w:lang w:val="pt-BR"/>
        </w:rPr>
        <w:t>, </w:t>
      </w:r>
      <w:r w:rsidRPr="0068136B">
        <w:rPr>
          <w:rFonts w:ascii="Arial" w:eastAsia="Arial" w:hAnsi="Arial" w:cs="Arial"/>
          <w:i/>
          <w:lang w:val="pt-BR"/>
        </w:rPr>
        <w:t>121</w:t>
      </w:r>
      <w:r w:rsidRPr="0068136B">
        <w:rPr>
          <w:rFonts w:ascii="Arial" w:eastAsia="Arial" w:hAnsi="Arial" w:cs="Arial"/>
          <w:lang w:val="pt-BR"/>
        </w:rPr>
        <w:t>(832), 50-56.</w:t>
      </w:r>
    </w:p>
    <w:p w14:paraId="000000B8"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lang w:val="pt-BR"/>
        </w:rPr>
        <w:t xml:space="preserve">OPAS. (2021a). Imunidade natural contra a COVID-19.  Informe científico 10 de maio de 2021. </w:t>
      </w:r>
      <w:hyperlink r:id="rId14">
        <w:r w:rsidRPr="0068136B">
          <w:rPr>
            <w:rFonts w:ascii="Arial" w:eastAsia="Arial" w:hAnsi="Arial" w:cs="Arial"/>
          </w:rPr>
          <w:t>https://iris.paho.org/bitstream/handle/10665.2/54855/OPASWBRAPHECOVID-19210074_por.pdf?sequence=1&amp;isAllowed=y</w:t>
        </w:r>
      </w:hyperlink>
      <w:r w:rsidRPr="0068136B">
        <w:rPr>
          <w:rFonts w:ascii="Arial" w:eastAsia="Arial" w:hAnsi="Arial" w:cs="Arial"/>
        </w:rPr>
        <w:t xml:space="preserve">. </w:t>
      </w:r>
    </w:p>
    <w:sdt>
      <w:sdtPr>
        <w:tag w:val="goog_rdk_0"/>
        <w:id w:val="-289750697"/>
      </w:sdtPr>
      <w:sdtEndPr/>
      <w:sdtContent>
        <w:p w14:paraId="000000B9" w14:textId="77777777" w:rsidR="00EE690B" w:rsidRPr="0068136B" w:rsidRDefault="009F3835">
          <w:pPr>
            <w:pStyle w:val="Ttulo1"/>
            <w:shd w:val="clear" w:color="auto" w:fill="FFFFFF"/>
            <w:spacing w:before="0" w:after="0" w:line="480" w:lineRule="auto"/>
            <w:ind w:left="360"/>
            <w:jc w:val="both"/>
            <w:rPr>
              <w:rFonts w:ascii="Arial" w:eastAsia="Arial" w:hAnsi="Arial" w:cs="Arial"/>
              <w:b w:val="0"/>
              <w:sz w:val="22"/>
              <w:szCs w:val="22"/>
            </w:rPr>
          </w:pPr>
          <w:r w:rsidRPr="0068136B">
            <w:rPr>
              <w:rFonts w:ascii="Arial" w:eastAsia="Arial" w:hAnsi="Arial" w:cs="Arial"/>
              <w:b w:val="0"/>
              <w:sz w:val="22"/>
              <w:szCs w:val="22"/>
              <w:lang w:val="pt-BR"/>
            </w:rPr>
            <w:t xml:space="preserve">OPAS. (2021b). Folha informativa sobre COVID-19. </w:t>
          </w:r>
          <w:hyperlink r:id="rId15">
            <w:r w:rsidRPr="0068136B">
              <w:rPr>
                <w:rFonts w:ascii="Arial" w:eastAsia="Arial" w:hAnsi="Arial" w:cs="Arial"/>
                <w:b w:val="0"/>
                <w:sz w:val="22"/>
                <w:szCs w:val="22"/>
              </w:rPr>
              <w:t>https://www.paho.org/pt/covid19</w:t>
            </w:r>
          </w:hyperlink>
          <w:r w:rsidRPr="0068136B">
            <w:rPr>
              <w:rFonts w:ascii="Arial" w:eastAsia="Arial" w:hAnsi="Arial" w:cs="Arial"/>
              <w:b w:val="0"/>
              <w:sz w:val="22"/>
              <w:szCs w:val="22"/>
            </w:rPr>
            <w:t xml:space="preserve">. </w:t>
          </w:r>
        </w:p>
      </w:sdtContent>
    </w:sdt>
    <w:p w14:paraId="000000BA" w14:textId="77777777" w:rsidR="00EE690B" w:rsidRPr="0068136B" w:rsidRDefault="009F3835">
      <w:pPr>
        <w:spacing w:after="0" w:line="480" w:lineRule="auto"/>
        <w:ind w:left="360"/>
        <w:rPr>
          <w:rFonts w:ascii="Arial" w:eastAsia="Arial" w:hAnsi="Arial" w:cs="Arial"/>
        </w:rPr>
      </w:pPr>
      <w:r w:rsidRPr="0068136B">
        <w:rPr>
          <w:rFonts w:ascii="Arial" w:eastAsia="Arial" w:hAnsi="Arial" w:cs="Arial"/>
        </w:rPr>
        <w:t xml:space="preserve">O’Riordan, T.; McGowan, A.H.; Cutter, S.; Hamann, R.; Lahsen, M. (2020). Reframing Sustainability in the Emergent Age. </w:t>
      </w:r>
      <w:r w:rsidRPr="0068136B">
        <w:rPr>
          <w:rFonts w:ascii="Arial" w:eastAsia="Arial" w:hAnsi="Arial" w:cs="Arial"/>
          <w:i/>
        </w:rPr>
        <w:t>Environment: Science and Policy for Sustainable Development</w:t>
      </w:r>
      <w:r w:rsidRPr="0068136B">
        <w:rPr>
          <w:rFonts w:ascii="Arial" w:eastAsia="Arial" w:hAnsi="Arial" w:cs="Arial"/>
        </w:rPr>
        <w:t>, 62:6, 2-7.</w:t>
      </w:r>
    </w:p>
    <w:p w14:paraId="000000BC"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lang w:val="es-419"/>
        </w:rPr>
        <w:t xml:space="preserve">Parajuli, R.R., Mishra, B., Banstola, A. et al. </w:t>
      </w:r>
      <w:r w:rsidRPr="0068136B">
        <w:rPr>
          <w:rFonts w:ascii="Arial" w:eastAsia="Arial" w:hAnsi="Arial" w:cs="Arial"/>
        </w:rPr>
        <w:t xml:space="preserve">(2020). Multidisciplinary approach to COVID-19 risk communication: a framework and tool for individual and regional risk assessment. </w:t>
      </w:r>
      <w:r w:rsidRPr="0068136B">
        <w:rPr>
          <w:rFonts w:ascii="Arial" w:eastAsia="Arial" w:hAnsi="Arial" w:cs="Arial"/>
          <w:i/>
        </w:rPr>
        <w:t>Sci Rep</w:t>
      </w:r>
      <w:r w:rsidRPr="0068136B">
        <w:rPr>
          <w:rFonts w:ascii="Arial" w:eastAsia="Arial" w:hAnsi="Arial" w:cs="Arial"/>
        </w:rPr>
        <w:t xml:space="preserve"> 10, 21650.</w:t>
      </w:r>
    </w:p>
    <w:p w14:paraId="000000BD"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rPr>
        <w:t>Renn, O. (2008). Concepts of risk: An interdisciplinary review part 1: Disciplinary risk concepts</w:t>
      </w:r>
      <w:r w:rsidRPr="0068136B">
        <w:rPr>
          <w:rFonts w:ascii="Arial" w:eastAsia="Arial" w:hAnsi="Arial" w:cs="Arial"/>
          <w:i/>
        </w:rPr>
        <w:t>. </w:t>
      </w:r>
      <w:r w:rsidRPr="0068136B">
        <w:rPr>
          <w:rFonts w:ascii="Arial" w:eastAsia="Arial" w:hAnsi="Arial" w:cs="Arial"/>
          <w:i/>
          <w:lang w:val="pt-BR"/>
        </w:rPr>
        <w:t>GAIA-Ecological Perspectives for Science and Society</w:t>
      </w:r>
      <w:r w:rsidRPr="0068136B">
        <w:rPr>
          <w:rFonts w:ascii="Arial" w:eastAsia="Arial" w:hAnsi="Arial" w:cs="Arial"/>
          <w:lang w:val="pt-BR"/>
        </w:rPr>
        <w:t>, 17(1), 50-66.</w:t>
      </w:r>
    </w:p>
    <w:p w14:paraId="000000BE" w14:textId="77777777" w:rsidR="00EE690B" w:rsidRPr="0068136B" w:rsidRDefault="009F3835">
      <w:pPr>
        <w:spacing w:after="0" w:line="480" w:lineRule="auto"/>
        <w:ind w:left="360"/>
        <w:jc w:val="both"/>
        <w:rPr>
          <w:rFonts w:ascii="Arial" w:eastAsia="Arial" w:hAnsi="Arial" w:cs="Arial"/>
          <w:i/>
          <w:lang w:val="pt-BR"/>
        </w:rPr>
      </w:pPr>
      <w:r w:rsidRPr="0068136B">
        <w:rPr>
          <w:rFonts w:ascii="Arial" w:eastAsia="Arial" w:hAnsi="Arial" w:cs="Arial"/>
          <w:lang w:val="pt-BR"/>
        </w:rPr>
        <w:t>Rodrigues De Sá, C. (2021). Saúde Indígena em Época de Pandemia. </w:t>
      </w:r>
      <w:r w:rsidRPr="0068136B">
        <w:rPr>
          <w:rFonts w:ascii="Arial" w:eastAsia="Arial" w:hAnsi="Arial" w:cs="Arial"/>
          <w:i/>
          <w:lang w:val="pt-BR"/>
        </w:rPr>
        <w:t>Revista Percurso</w:t>
      </w:r>
      <w:r w:rsidRPr="0068136B">
        <w:rPr>
          <w:rFonts w:ascii="Arial" w:eastAsia="Arial" w:hAnsi="Arial" w:cs="Arial"/>
          <w:lang w:val="pt-BR"/>
        </w:rPr>
        <w:t>, </w:t>
      </w:r>
      <w:r w:rsidRPr="0068136B">
        <w:rPr>
          <w:rFonts w:ascii="Arial" w:eastAsia="Arial" w:hAnsi="Arial" w:cs="Arial"/>
          <w:i/>
          <w:lang w:val="pt-BR"/>
        </w:rPr>
        <w:t>1</w:t>
      </w:r>
      <w:r w:rsidRPr="0068136B">
        <w:rPr>
          <w:rFonts w:ascii="Arial" w:eastAsia="Arial" w:hAnsi="Arial" w:cs="Arial"/>
          <w:lang w:val="pt-BR"/>
        </w:rPr>
        <w:t>(39).</w:t>
      </w:r>
    </w:p>
    <w:p w14:paraId="000000BF"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Santos, J. R., &amp; Vargas, J. C. (2020). Pandemia e genocídio da população negra: cenários da necropolítica Estatal. </w:t>
      </w:r>
      <w:r w:rsidRPr="0068136B">
        <w:rPr>
          <w:rFonts w:ascii="Arial" w:eastAsia="Arial" w:hAnsi="Arial" w:cs="Arial"/>
          <w:i/>
          <w:lang w:val="pt-BR"/>
        </w:rPr>
        <w:t>METAXY: Revista Brasileira de Cultura e Políticas em Direitos Humanos</w:t>
      </w:r>
      <w:r w:rsidRPr="0068136B">
        <w:rPr>
          <w:rFonts w:ascii="Arial" w:eastAsia="Arial" w:hAnsi="Arial" w:cs="Arial"/>
          <w:lang w:val="pt-BR"/>
        </w:rPr>
        <w:t>, </w:t>
      </w:r>
      <w:r w:rsidRPr="0068136B">
        <w:rPr>
          <w:rFonts w:ascii="Arial" w:eastAsia="Arial" w:hAnsi="Arial" w:cs="Arial"/>
          <w:i/>
          <w:lang w:val="pt-BR"/>
        </w:rPr>
        <w:t>3</w:t>
      </w:r>
      <w:r w:rsidRPr="0068136B">
        <w:rPr>
          <w:rFonts w:ascii="Arial" w:eastAsia="Arial" w:hAnsi="Arial" w:cs="Arial"/>
          <w:lang w:val="pt-BR"/>
        </w:rPr>
        <w:t xml:space="preserve">(1), 239-254. </w:t>
      </w:r>
    </w:p>
    <w:p w14:paraId="000000C0" w14:textId="77777777" w:rsidR="00EE690B" w:rsidRPr="0068136B" w:rsidRDefault="009F3835">
      <w:pPr>
        <w:pBdr>
          <w:top w:val="nil"/>
          <w:left w:val="nil"/>
          <w:bottom w:val="nil"/>
          <w:right w:val="nil"/>
          <w:between w:val="nil"/>
        </w:pBdr>
        <w:spacing w:after="0" w:line="480" w:lineRule="auto"/>
        <w:ind w:left="360"/>
        <w:jc w:val="both"/>
        <w:rPr>
          <w:rFonts w:ascii="Arial" w:eastAsia="Arial" w:hAnsi="Arial" w:cs="Arial"/>
          <w:lang w:val="pt-BR"/>
        </w:rPr>
      </w:pPr>
      <w:r w:rsidRPr="0068136B">
        <w:rPr>
          <w:rFonts w:ascii="Arial" w:eastAsia="Arial" w:hAnsi="Arial" w:cs="Arial"/>
          <w:lang w:val="pt-BR"/>
        </w:rPr>
        <w:lastRenderedPageBreak/>
        <w:t>Santos, S. G.; Pereira, F. M. (2021). O Genocídio Dos Povos Yanomami Pela Gestão Do Bolsonaro: O Desgoverno, O Garimpo Ilegal E A Pandemia. Anais do Pró-Ensino: Mostra Anual de Atividades de Ensino da UEL, (3), 136-136.</w:t>
      </w:r>
    </w:p>
    <w:p w14:paraId="000000C1" w14:textId="77777777" w:rsidR="00EE690B" w:rsidRPr="0068136B" w:rsidRDefault="009F3835">
      <w:pPr>
        <w:pBdr>
          <w:top w:val="nil"/>
          <w:left w:val="nil"/>
          <w:bottom w:val="nil"/>
          <w:right w:val="nil"/>
          <w:between w:val="nil"/>
        </w:pBdr>
        <w:spacing w:after="0" w:line="480" w:lineRule="auto"/>
        <w:ind w:left="360"/>
        <w:jc w:val="both"/>
        <w:rPr>
          <w:rFonts w:ascii="Arial" w:eastAsia="Arial" w:hAnsi="Arial" w:cs="Arial"/>
        </w:rPr>
      </w:pPr>
      <w:r w:rsidRPr="0068136B">
        <w:rPr>
          <w:rFonts w:ascii="Arial" w:eastAsia="Arial" w:hAnsi="Arial" w:cs="Arial"/>
        </w:rPr>
        <w:t xml:space="preserve">Sarewitz, D. (2007). Does science solicy matter? Issues in science and technology. </w:t>
      </w:r>
      <w:r w:rsidRPr="0068136B">
        <w:rPr>
          <w:rFonts w:ascii="Arial" w:eastAsia="Arial" w:hAnsi="Arial" w:cs="Arial"/>
          <w:i/>
        </w:rPr>
        <w:t>Summer 2007</w:t>
      </w:r>
      <w:r w:rsidRPr="0068136B">
        <w:rPr>
          <w:rFonts w:ascii="Arial" w:eastAsia="Arial" w:hAnsi="Arial" w:cs="Arial"/>
        </w:rPr>
        <w:t>, Vol. 23, No. 4, 31-38.</w:t>
      </w:r>
    </w:p>
    <w:p w14:paraId="000000C2"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Schweizer, P. J. (2021). Systemic risks–concepts and challenges for risk governance. </w:t>
      </w:r>
      <w:r w:rsidRPr="0068136B">
        <w:rPr>
          <w:rFonts w:ascii="Arial" w:eastAsia="Arial" w:hAnsi="Arial" w:cs="Arial"/>
          <w:i/>
        </w:rPr>
        <w:t>Journal of Risk Research</w:t>
      </w:r>
      <w:r w:rsidRPr="0068136B">
        <w:rPr>
          <w:rFonts w:ascii="Arial" w:eastAsia="Arial" w:hAnsi="Arial" w:cs="Arial"/>
        </w:rPr>
        <w:t>, 24(1), 78-93.</w:t>
      </w:r>
    </w:p>
    <w:p w14:paraId="000000C3"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Senado Federal. (2021). CPI da Pandemia. Relatório final. </w:t>
      </w:r>
      <w:hyperlink r:id="rId16">
        <w:r w:rsidRPr="0068136B">
          <w:rPr>
            <w:rFonts w:ascii="Arial" w:eastAsia="Arial" w:hAnsi="Arial" w:cs="Arial"/>
          </w:rPr>
          <w:t>https://www.brasildefato.com.br/2021/10/20/leia-a-integra-do-relatorio-final-da-cpi-da-pandemia-apresentado-por-renan-calheiros-no-senado</w:t>
        </w:r>
      </w:hyperlink>
      <w:r w:rsidRPr="0068136B">
        <w:rPr>
          <w:rFonts w:ascii="Arial" w:eastAsia="Arial" w:hAnsi="Arial" w:cs="Arial"/>
        </w:rPr>
        <w:t xml:space="preserve">. </w:t>
      </w:r>
    </w:p>
    <w:p w14:paraId="000000C4"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Taylor, L. (2021). Covid-19: Brazil’s hospitals close to collapse as cases reach record high.BMJ. (372:800). </w:t>
      </w:r>
    </w:p>
    <w:p w14:paraId="000000C5"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Temporão, J.G. (2003). O Programa Nacional de Imunizações (PNI): origens e desenvolvimento. </w:t>
      </w:r>
      <w:r w:rsidRPr="0068136B">
        <w:rPr>
          <w:rFonts w:ascii="Arial" w:eastAsia="Arial" w:hAnsi="Arial" w:cs="Arial"/>
          <w:i/>
          <w:lang w:val="pt-BR"/>
        </w:rPr>
        <w:t>História, ciências, saúde-manguinhos</w:t>
      </w:r>
      <w:r w:rsidRPr="0068136B">
        <w:rPr>
          <w:rFonts w:ascii="Arial" w:eastAsia="Arial" w:hAnsi="Arial" w:cs="Arial"/>
          <w:lang w:val="pt-BR"/>
        </w:rPr>
        <w:t>, </w:t>
      </w:r>
      <w:r w:rsidRPr="0068136B">
        <w:rPr>
          <w:rFonts w:ascii="Arial" w:eastAsia="Arial" w:hAnsi="Arial" w:cs="Arial"/>
          <w:i/>
          <w:lang w:val="pt-BR"/>
        </w:rPr>
        <w:t>10</w:t>
      </w:r>
      <w:r w:rsidRPr="0068136B">
        <w:rPr>
          <w:rFonts w:ascii="Arial" w:eastAsia="Arial" w:hAnsi="Arial" w:cs="Arial"/>
          <w:lang w:val="pt-BR"/>
        </w:rPr>
        <w:t>, 601-617.</w:t>
      </w:r>
    </w:p>
    <w:p w14:paraId="000000C6"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Temporão, J.G. (2021) As pandemias de H1N1 (2009) e de Covid-19 (2020) no Brasil:</w:t>
      </w:r>
    </w:p>
    <w:p w14:paraId="000000C7"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 xml:space="preserve">uma visão comparativa. </w:t>
      </w:r>
      <w:r w:rsidRPr="0068136B">
        <w:rPr>
          <w:rFonts w:ascii="Arial" w:eastAsia="Arial" w:hAnsi="Arial" w:cs="Arial"/>
          <w:i/>
          <w:lang w:val="pt-BR"/>
        </w:rPr>
        <w:t>Cadernos de História da Ciência</w:t>
      </w:r>
      <w:r w:rsidRPr="0068136B">
        <w:rPr>
          <w:rFonts w:ascii="Arial" w:eastAsia="Arial" w:hAnsi="Arial" w:cs="Arial"/>
          <w:lang w:val="pt-BR"/>
        </w:rPr>
        <w:t>. doi: https://doi.org/10.47692/cadhistcienc.2021.v15.36746</w:t>
      </w:r>
    </w:p>
    <w:p w14:paraId="000000C8"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UOL (2021). MP pede no TCU que governo devolva R$ 23 mi gastos com kit covid. https://noticias.uol.com.br/politica/ultimas-noticias/2021/06/14/mp-pede-no-tcu-que-governo-devolva-r-23-mi-gastos-com-kit-covid.htm</w:t>
      </w:r>
    </w:p>
    <w:p w14:paraId="000000C9"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Van Asselt, M.B.A.; Renn, O. (2011). Risk governance. </w:t>
      </w:r>
      <w:r w:rsidRPr="0068136B">
        <w:rPr>
          <w:rFonts w:ascii="Arial" w:eastAsia="Arial" w:hAnsi="Arial" w:cs="Arial"/>
          <w:i/>
        </w:rPr>
        <w:t>Journal of Risk Research</w:t>
      </w:r>
      <w:r w:rsidRPr="0068136B">
        <w:rPr>
          <w:rFonts w:ascii="Arial" w:eastAsia="Arial" w:hAnsi="Arial" w:cs="Arial"/>
        </w:rPr>
        <w:t>, 14:4, 431-449.</w:t>
      </w:r>
    </w:p>
    <w:p w14:paraId="000000CA" w14:textId="77777777" w:rsidR="00EE690B" w:rsidRPr="0068136B" w:rsidRDefault="009F3835">
      <w:pPr>
        <w:pBdr>
          <w:top w:val="nil"/>
          <w:left w:val="nil"/>
          <w:bottom w:val="nil"/>
          <w:right w:val="nil"/>
          <w:between w:val="nil"/>
        </w:pBdr>
        <w:spacing w:after="0" w:line="480" w:lineRule="auto"/>
        <w:ind w:left="360"/>
        <w:jc w:val="both"/>
        <w:rPr>
          <w:rFonts w:ascii="Arial" w:eastAsia="Arial" w:hAnsi="Arial" w:cs="Arial"/>
          <w:lang w:val="pt-BR"/>
        </w:rPr>
      </w:pPr>
      <w:r w:rsidRPr="0068136B">
        <w:rPr>
          <w:rFonts w:ascii="Arial" w:eastAsia="Arial" w:hAnsi="Arial" w:cs="Arial"/>
        </w:rPr>
        <w:t xml:space="preserve">Ventura, D. D. F. L., Ribeiro, H., Giulio, G. M. D., Jaime, P. C., Nunes, J., Bógus, C. M., ... </w:t>
      </w:r>
      <w:r w:rsidRPr="0068136B">
        <w:rPr>
          <w:rFonts w:ascii="Arial" w:eastAsia="Arial" w:hAnsi="Arial" w:cs="Arial"/>
          <w:lang w:val="pt-BR"/>
        </w:rPr>
        <w:t>&amp; Waldman, E. A. (2020). Desafios da pandemia de COVID-19: por uma agenda brasileira de pesquisa em saúde global e sustentabilidade. </w:t>
      </w:r>
      <w:r w:rsidRPr="0068136B">
        <w:rPr>
          <w:rFonts w:ascii="Arial" w:eastAsia="Arial" w:hAnsi="Arial" w:cs="Arial"/>
          <w:i/>
          <w:lang w:val="pt-BR"/>
        </w:rPr>
        <w:t>Cadernos de Saúde Pública</w:t>
      </w:r>
      <w:r w:rsidRPr="0068136B">
        <w:rPr>
          <w:rFonts w:ascii="Arial" w:eastAsia="Arial" w:hAnsi="Arial" w:cs="Arial"/>
          <w:lang w:val="pt-BR"/>
        </w:rPr>
        <w:t>, </w:t>
      </w:r>
      <w:r w:rsidRPr="0068136B">
        <w:rPr>
          <w:rFonts w:ascii="Arial" w:eastAsia="Arial" w:hAnsi="Arial" w:cs="Arial"/>
          <w:i/>
          <w:lang w:val="pt-BR"/>
        </w:rPr>
        <w:t>36</w:t>
      </w:r>
      <w:r w:rsidRPr="0068136B">
        <w:rPr>
          <w:rFonts w:ascii="Arial" w:eastAsia="Arial" w:hAnsi="Arial" w:cs="Arial"/>
          <w:lang w:val="pt-BR"/>
        </w:rPr>
        <w:t>, e00040620.</w:t>
      </w:r>
    </w:p>
    <w:p w14:paraId="000000CB" w14:textId="77777777" w:rsidR="00EE690B" w:rsidRPr="0068136B" w:rsidRDefault="009F3835">
      <w:pPr>
        <w:pBdr>
          <w:top w:val="nil"/>
          <w:left w:val="nil"/>
          <w:bottom w:val="nil"/>
          <w:right w:val="nil"/>
          <w:between w:val="nil"/>
        </w:pBdr>
        <w:spacing w:after="0" w:line="480" w:lineRule="auto"/>
        <w:ind w:left="360"/>
        <w:jc w:val="both"/>
        <w:rPr>
          <w:rFonts w:ascii="Arial" w:eastAsia="Arial" w:hAnsi="Arial" w:cs="Arial"/>
          <w:lang w:val="pt-BR"/>
        </w:rPr>
      </w:pPr>
      <w:r w:rsidRPr="0068136B">
        <w:rPr>
          <w:rFonts w:ascii="Arial" w:eastAsia="Arial" w:hAnsi="Arial" w:cs="Arial"/>
          <w:lang w:val="pt-BR"/>
        </w:rPr>
        <w:lastRenderedPageBreak/>
        <w:t>Ventura, D., Aith, F., &amp; Reis, R. (2021). A linha do tempo da estratégia federal de disseminação da Covid-19. Direitos na pandemia: mapeamento e análise das normas jurídicas de resposta à Covid-19 no Brasil, 10, 6-31.</w:t>
      </w:r>
    </w:p>
    <w:p w14:paraId="000000CC" w14:textId="77777777" w:rsidR="00EE690B" w:rsidRPr="0068136B" w:rsidRDefault="009F3835">
      <w:pPr>
        <w:pBdr>
          <w:top w:val="nil"/>
          <w:left w:val="nil"/>
          <w:bottom w:val="nil"/>
          <w:right w:val="nil"/>
          <w:between w:val="nil"/>
        </w:pBdr>
        <w:spacing w:after="0" w:line="480" w:lineRule="auto"/>
        <w:ind w:left="360"/>
        <w:jc w:val="both"/>
        <w:rPr>
          <w:rFonts w:ascii="Arial" w:eastAsia="Arial" w:hAnsi="Arial" w:cs="Arial"/>
        </w:rPr>
      </w:pPr>
      <w:r w:rsidRPr="0068136B">
        <w:rPr>
          <w:rFonts w:ascii="Arial" w:eastAsia="Arial" w:hAnsi="Arial" w:cs="Arial"/>
        </w:rPr>
        <w:t xml:space="preserve">Ventura, D.F.L.; Aith, F.M.S.; Rached, D.H. (2021b). The Emergency of the new Coronavirus and the “Quarantine Law” in </w:t>
      </w:r>
      <w:r w:rsidRPr="0068136B">
        <w:rPr>
          <w:rFonts w:ascii="Arial" w:eastAsia="Arial" w:hAnsi="Arial" w:cs="Arial"/>
          <w:i/>
        </w:rPr>
        <w:t>Brazil Rev. Direito e Práx</w:t>
      </w:r>
      <w:r w:rsidRPr="0068136B">
        <w:rPr>
          <w:rFonts w:ascii="Arial" w:eastAsia="Arial" w:hAnsi="Arial" w:cs="Arial"/>
        </w:rPr>
        <w:t xml:space="preserve">. 12 (01). https://doi.org/10.1590/2179-8966/2020/49180   </w:t>
      </w:r>
    </w:p>
    <w:p w14:paraId="000000CD"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Vieira, A., &amp; Notícias, S. (2020). Decisão do STF sobre isolamento de estados e municípios repercute no Senado. </w:t>
      </w:r>
      <w:r w:rsidRPr="0068136B">
        <w:rPr>
          <w:rFonts w:ascii="Arial" w:eastAsia="Arial" w:hAnsi="Arial" w:cs="Arial"/>
          <w:i/>
          <w:lang w:val="pt-BR"/>
        </w:rPr>
        <w:t>Senado Notícias. Brasília</w:t>
      </w:r>
      <w:r w:rsidRPr="0068136B">
        <w:rPr>
          <w:rFonts w:ascii="Arial" w:eastAsia="Arial" w:hAnsi="Arial" w:cs="Arial"/>
          <w:lang w:val="pt-BR"/>
        </w:rPr>
        <w:t>, </w:t>
      </w:r>
      <w:r w:rsidRPr="0068136B">
        <w:rPr>
          <w:rFonts w:ascii="Arial" w:eastAsia="Arial" w:hAnsi="Arial" w:cs="Arial"/>
          <w:i/>
          <w:lang w:val="pt-BR"/>
        </w:rPr>
        <w:t>16</w:t>
      </w:r>
      <w:r w:rsidRPr="0068136B">
        <w:rPr>
          <w:rFonts w:ascii="Arial" w:eastAsia="Arial" w:hAnsi="Arial" w:cs="Arial"/>
          <w:lang w:val="pt-BR"/>
        </w:rPr>
        <w:t>.</w:t>
      </w:r>
    </w:p>
    <w:p w14:paraId="000000CE" w14:textId="6F9CA694"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lang w:val="pt-BR"/>
        </w:rPr>
        <w:t xml:space="preserve">Vieira, F.S.; Servo, L.M.S. (2020) Covid-19 e coordenação federativa no Brasil: consequências da dissonância federal para a resposta à pandemia. </w:t>
      </w:r>
      <w:r w:rsidRPr="0068136B">
        <w:rPr>
          <w:rFonts w:ascii="Arial" w:eastAsia="Arial" w:hAnsi="Arial" w:cs="Arial"/>
          <w:i/>
        </w:rPr>
        <w:t>Saúde debate</w:t>
      </w:r>
      <w:r w:rsidRPr="0068136B">
        <w:rPr>
          <w:rFonts w:ascii="Arial" w:eastAsia="Arial" w:hAnsi="Arial" w:cs="Arial"/>
        </w:rPr>
        <w:t xml:space="preserve"> 44, https://doi.org/10.1590/0103-11042020E406  </w:t>
      </w:r>
    </w:p>
    <w:p w14:paraId="67AF6124" w14:textId="22C1F106" w:rsidR="00B76A90" w:rsidRPr="0068136B" w:rsidRDefault="00B76A90">
      <w:pPr>
        <w:spacing w:after="0" w:line="480" w:lineRule="auto"/>
        <w:ind w:left="360"/>
        <w:jc w:val="both"/>
        <w:rPr>
          <w:rFonts w:ascii="Arial" w:eastAsia="Arial" w:hAnsi="Arial" w:cs="Arial"/>
        </w:rPr>
      </w:pPr>
      <w:r w:rsidRPr="0068136B">
        <w:rPr>
          <w:rFonts w:ascii="Arial" w:eastAsia="Arial" w:hAnsi="Arial" w:cs="Arial"/>
        </w:rPr>
        <w:t xml:space="preserve">Wardle, C. (2020). Journalism and the New Information Ecosystem: Responsibilities and Challenges. In: Zimdars, M.; McLeod, K. </w:t>
      </w:r>
      <w:r w:rsidRPr="0068136B">
        <w:rPr>
          <w:rFonts w:ascii="Arial" w:eastAsia="Arial" w:hAnsi="Arial" w:cs="Arial"/>
          <w:i/>
          <w:iCs/>
        </w:rPr>
        <w:t>Fake news: understanding media and misinformation in the digital age</w:t>
      </w:r>
      <w:r w:rsidRPr="0068136B">
        <w:rPr>
          <w:rFonts w:ascii="Arial" w:eastAsia="Arial" w:hAnsi="Arial" w:cs="Arial"/>
        </w:rPr>
        <w:t>.  Cambridge, Massachusetts: The MIT Press.</w:t>
      </w:r>
    </w:p>
    <w:p w14:paraId="000000CF"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Webler, T., &amp; Tuler, S. (2021). Four decades of public participation in risk decision making. </w:t>
      </w:r>
      <w:r w:rsidRPr="0068136B">
        <w:rPr>
          <w:rFonts w:ascii="Arial" w:eastAsia="Arial" w:hAnsi="Arial" w:cs="Arial"/>
          <w:i/>
        </w:rPr>
        <w:t>Risk analysis</w:t>
      </w:r>
      <w:r w:rsidRPr="0068136B">
        <w:rPr>
          <w:rFonts w:ascii="Arial" w:eastAsia="Arial" w:hAnsi="Arial" w:cs="Arial"/>
        </w:rPr>
        <w:t>, </w:t>
      </w:r>
      <w:r w:rsidRPr="0068136B">
        <w:rPr>
          <w:rFonts w:ascii="Arial" w:eastAsia="Arial" w:hAnsi="Arial" w:cs="Arial"/>
          <w:i/>
        </w:rPr>
        <w:t>41</w:t>
      </w:r>
      <w:r w:rsidRPr="0068136B">
        <w:rPr>
          <w:rFonts w:ascii="Arial" w:eastAsia="Arial" w:hAnsi="Arial" w:cs="Arial"/>
        </w:rPr>
        <w:t>(3), 503-518.</w:t>
      </w:r>
    </w:p>
    <w:p w14:paraId="000000D0"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Weible, C. M., Nohrstedt, D., Cairney, P., Carter, D. P., Crow, D. A., Durnová, A. P., ... &amp; Stone, D. (2020). COVID-19 and the policy sciences: initial reactions and perspectives. </w:t>
      </w:r>
      <w:r w:rsidRPr="0068136B">
        <w:rPr>
          <w:rFonts w:ascii="Arial" w:eastAsia="Arial" w:hAnsi="Arial" w:cs="Arial"/>
          <w:i/>
        </w:rPr>
        <w:t>Policy sciences</w:t>
      </w:r>
      <w:r w:rsidRPr="0068136B">
        <w:rPr>
          <w:rFonts w:ascii="Arial" w:eastAsia="Arial" w:hAnsi="Arial" w:cs="Arial"/>
        </w:rPr>
        <w:t>, 53(2), 225-241.</w:t>
      </w:r>
    </w:p>
    <w:p w14:paraId="000000D1" w14:textId="77777777" w:rsidR="00EE690B" w:rsidRPr="0068136B" w:rsidRDefault="009F3835">
      <w:pPr>
        <w:spacing w:after="0" w:line="480" w:lineRule="auto"/>
        <w:ind w:left="360"/>
        <w:jc w:val="both"/>
        <w:rPr>
          <w:rFonts w:ascii="Arial" w:eastAsia="Arial" w:hAnsi="Arial" w:cs="Arial"/>
        </w:rPr>
      </w:pPr>
      <w:r w:rsidRPr="0068136B">
        <w:rPr>
          <w:rFonts w:ascii="Arial" w:eastAsia="Arial" w:hAnsi="Arial" w:cs="Arial"/>
        </w:rPr>
        <w:t xml:space="preserve">World in Data. (2022). Coronavirus (COVID-19) Vaccinations. </w:t>
      </w:r>
      <w:hyperlink r:id="rId17">
        <w:r w:rsidRPr="0068136B">
          <w:rPr>
            <w:rFonts w:ascii="Arial" w:eastAsia="Arial" w:hAnsi="Arial" w:cs="Arial"/>
          </w:rPr>
          <w:t>https://ourworldindata.org/covid-vaccinations?country=OWID_WRL</w:t>
        </w:r>
      </w:hyperlink>
      <w:r w:rsidRPr="0068136B">
        <w:rPr>
          <w:rFonts w:ascii="Arial" w:eastAsia="Arial" w:hAnsi="Arial" w:cs="Arial"/>
        </w:rPr>
        <w:t xml:space="preserve">. </w:t>
      </w:r>
    </w:p>
    <w:p w14:paraId="000000D2" w14:textId="77777777" w:rsidR="00EE690B" w:rsidRPr="0068136B" w:rsidRDefault="009F3835">
      <w:pPr>
        <w:spacing w:after="0" w:line="480" w:lineRule="auto"/>
        <w:ind w:left="360"/>
        <w:jc w:val="both"/>
        <w:rPr>
          <w:rFonts w:ascii="Arial" w:eastAsia="Arial" w:hAnsi="Arial" w:cs="Arial"/>
          <w:lang w:val="pt-BR"/>
        </w:rPr>
      </w:pPr>
      <w:r w:rsidRPr="0068136B">
        <w:rPr>
          <w:rFonts w:ascii="Arial" w:eastAsia="Arial" w:hAnsi="Arial" w:cs="Arial"/>
          <w:lang w:val="pt-BR"/>
        </w:rPr>
        <w:t>WHO. (2018). Comunicação de riscos em emergências de saúde pública: um guia da OMS para políticas e práticas em comunicação de risco de emergência, Genebra, p. 58 Available:   https://apps.who.int/iris/bitstream/handle/10665/259807/9789248550201-por.pdf?sequence=10&amp;isAllowed=y</w:t>
      </w:r>
    </w:p>
    <w:p w14:paraId="000000D3" w14:textId="77777777" w:rsidR="00EE690B" w:rsidRPr="007452C2" w:rsidRDefault="009F3835">
      <w:pPr>
        <w:spacing w:after="0" w:line="480" w:lineRule="auto"/>
        <w:ind w:left="360"/>
        <w:jc w:val="both"/>
        <w:rPr>
          <w:rFonts w:ascii="Arial" w:eastAsia="Arial" w:hAnsi="Arial" w:cs="Arial"/>
        </w:rPr>
      </w:pPr>
      <w:r w:rsidRPr="0068136B">
        <w:rPr>
          <w:rFonts w:ascii="Arial" w:eastAsia="Arial" w:hAnsi="Arial" w:cs="Arial"/>
        </w:rPr>
        <w:t xml:space="preserve">WHO. (2020). </w:t>
      </w:r>
      <w:r w:rsidRPr="0068136B">
        <w:rPr>
          <w:rFonts w:ascii="Arial" w:eastAsia="Arial" w:hAnsi="Arial" w:cs="Arial"/>
          <w:i/>
          <w:iCs/>
        </w:rPr>
        <w:t>Managing the COVID-19 infodemic: Promoting healthy behaviours and mitigating the harm from misinformation and disinformation.</w:t>
      </w:r>
      <w:r w:rsidRPr="0068136B">
        <w:rPr>
          <w:rFonts w:ascii="Arial" w:eastAsia="Arial" w:hAnsi="Arial" w:cs="Arial"/>
        </w:rPr>
        <w:t xml:space="preserve"> Available: </w:t>
      </w:r>
      <w:r w:rsidRPr="0068136B">
        <w:rPr>
          <w:rFonts w:ascii="Arial" w:eastAsia="Arial" w:hAnsi="Arial" w:cs="Arial"/>
        </w:rPr>
        <w:lastRenderedPageBreak/>
        <w:t>https://www.who.int/news/item/23-09-2020-managing-the-covid-19-infodemic-promoting-healthy-behaviours-and-mitigating-the-harm-from-misinformation-and-disinformation</w:t>
      </w:r>
    </w:p>
    <w:sectPr w:rsidR="00EE690B" w:rsidRPr="007452C2">
      <w:footerReference w:type="default" r:id="rId18"/>
      <w:pgSz w:w="11906" w:h="16838"/>
      <w:pgMar w:top="1418" w:right="1418" w:bottom="1418" w:left="1418"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365FD" w16cex:dateUtc="2023-02-24T16:36:00Z"/>
  <w16cex:commentExtensible w16cex:durableId="27A36652" w16cex:dateUtc="2023-02-24T16:37:00Z"/>
  <w16cex:commentExtensible w16cex:durableId="27A367C5" w16cex:dateUtc="2023-02-24T16:43:00Z"/>
  <w16cex:commentExtensible w16cex:durableId="27A3687C" w16cex:dateUtc="2023-02-24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D461E9" w16cid:durableId="27A365FD"/>
  <w16cid:commentId w16cid:paraId="295BAD96" w16cid:durableId="27A36652"/>
  <w16cid:commentId w16cid:paraId="7DCA7EB0" w16cid:durableId="27A367C5"/>
  <w16cid:commentId w16cid:paraId="6C9C66D0" w16cid:durableId="27A368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84252" w14:textId="77777777" w:rsidR="00381E48" w:rsidRDefault="00381E48">
      <w:pPr>
        <w:spacing w:after="0" w:line="240" w:lineRule="auto"/>
      </w:pPr>
      <w:r>
        <w:separator/>
      </w:r>
    </w:p>
  </w:endnote>
  <w:endnote w:type="continuationSeparator" w:id="0">
    <w:p w14:paraId="5FC97E43" w14:textId="77777777" w:rsidR="00381E48" w:rsidRDefault="0038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D5" w14:textId="22663C49" w:rsidR="00487A1F" w:rsidRDefault="00487A1F">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8136B">
      <w:rPr>
        <w:noProof/>
        <w:color w:val="000000"/>
      </w:rPr>
      <w:t>28</w:t>
    </w:r>
    <w:r>
      <w:rPr>
        <w:color w:val="000000"/>
      </w:rPr>
      <w:fldChar w:fldCharType="end"/>
    </w:r>
  </w:p>
  <w:p w14:paraId="000000D6" w14:textId="77777777" w:rsidR="00487A1F" w:rsidRDefault="00487A1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B08DF" w14:textId="77777777" w:rsidR="00381E48" w:rsidRDefault="00381E48">
      <w:pPr>
        <w:spacing w:after="0" w:line="240" w:lineRule="auto"/>
      </w:pPr>
      <w:r>
        <w:separator/>
      </w:r>
    </w:p>
  </w:footnote>
  <w:footnote w:type="continuationSeparator" w:id="0">
    <w:p w14:paraId="1237B0ED" w14:textId="77777777" w:rsidR="00381E48" w:rsidRDefault="00381E48">
      <w:pPr>
        <w:spacing w:after="0" w:line="240" w:lineRule="auto"/>
      </w:pPr>
      <w:r>
        <w:continuationSeparator/>
      </w:r>
    </w:p>
  </w:footnote>
  <w:footnote w:id="1">
    <w:p w14:paraId="000000D4" w14:textId="2816001D" w:rsidR="00487A1F" w:rsidRDefault="00487A1F">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Numbers </w:t>
      </w:r>
      <w:r w:rsidRPr="0068136B">
        <w:rPr>
          <w:rFonts w:ascii="Arial" w:eastAsia="Arial" w:hAnsi="Arial" w:cs="Arial"/>
          <w:color w:val="000000"/>
          <w:sz w:val="20"/>
          <w:szCs w:val="20"/>
        </w:rPr>
        <w:t xml:space="preserve">from </w:t>
      </w:r>
      <w:r w:rsidR="007C7EE1" w:rsidRPr="0068136B">
        <w:rPr>
          <w:rFonts w:ascii="Arial" w:eastAsia="Arial" w:hAnsi="Arial" w:cs="Arial"/>
          <w:color w:val="000000"/>
          <w:sz w:val="20"/>
          <w:szCs w:val="20"/>
        </w:rPr>
        <w:t>December</w:t>
      </w:r>
      <w:r w:rsidR="00CA0FBC" w:rsidRPr="0068136B">
        <w:rPr>
          <w:rFonts w:ascii="Arial" w:eastAsia="Arial" w:hAnsi="Arial" w:cs="Arial"/>
          <w:color w:val="000000"/>
          <w:sz w:val="20"/>
          <w:szCs w:val="20"/>
        </w:rPr>
        <w:t xml:space="preserve"> 12</w:t>
      </w:r>
      <w:r w:rsidRPr="0068136B">
        <w:rPr>
          <w:rFonts w:ascii="Arial" w:eastAsia="Arial" w:hAnsi="Arial" w:cs="Arial"/>
          <w:color w:val="000000"/>
          <w:sz w:val="20"/>
          <w:szCs w:val="20"/>
        </w:rPr>
        <w:t>, 2022</w:t>
      </w:r>
      <w:r>
        <w:rPr>
          <w:rFonts w:ascii="Arial" w:eastAsia="Arial" w:hAnsi="Arial" w:cs="Arial"/>
          <w:color w:val="000000"/>
          <w:sz w:val="20"/>
          <w:szCs w:val="20"/>
        </w:rPr>
        <w:t xml:space="preserve">, according to the Brazilian media consortium integrated by O Estado de S. Paulo, G1, O Globo, Extra, Folha de S. Paulo, and UOL.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416DB"/>
    <w:multiLevelType w:val="hybridMultilevel"/>
    <w:tmpl w:val="60DC6CC2"/>
    <w:lvl w:ilvl="0" w:tplc="5D56493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FD250E9"/>
    <w:multiLevelType w:val="multilevel"/>
    <w:tmpl w:val="8034D7C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B12BBE"/>
    <w:multiLevelType w:val="hybridMultilevel"/>
    <w:tmpl w:val="369A02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F5A6B05"/>
    <w:multiLevelType w:val="hybridMultilevel"/>
    <w:tmpl w:val="6964B8C8"/>
    <w:lvl w:ilvl="0" w:tplc="6860968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0B"/>
    <w:rsid w:val="000005F9"/>
    <w:rsid w:val="000008A7"/>
    <w:rsid w:val="00003FA9"/>
    <w:rsid w:val="000055E6"/>
    <w:rsid w:val="00020D07"/>
    <w:rsid w:val="00025A38"/>
    <w:rsid w:val="000321B8"/>
    <w:rsid w:val="00035F7C"/>
    <w:rsid w:val="00037A2B"/>
    <w:rsid w:val="00045777"/>
    <w:rsid w:val="000477EA"/>
    <w:rsid w:val="00063B14"/>
    <w:rsid w:val="00072045"/>
    <w:rsid w:val="00072720"/>
    <w:rsid w:val="00072E25"/>
    <w:rsid w:val="000778C0"/>
    <w:rsid w:val="00085FF5"/>
    <w:rsid w:val="00086630"/>
    <w:rsid w:val="00093FBB"/>
    <w:rsid w:val="00094872"/>
    <w:rsid w:val="00096306"/>
    <w:rsid w:val="000A22ED"/>
    <w:rsid w:val="000A5927"/>
    <w:rsid w:val="000A5E21"/>
    <w:rsid w:val="000B2BF8"/>
    <w:rsid w:val="000C0E42"/>
    <w:rsid w:val="000C2FDE"/>
    <w:rsid w:val="000C3A46"/>
    <w:rsid w:val="000D11BD"/>
    <w:rsid w:val="000D79BC"/>
    <w:rsid w:val="000E1E87"/>
    <w:rsid w:val="000E5E4B"/>
    <w:rsid w:val="000E6F80"/>
    <w:rsid w:val="000E7826"/>
    <w:rsid w:val="000F0992"/>
    <w:rsid w:val="000F0A70"/>
    <w:rsid w:val="000F0A73"/>
    <w:rsid w:val="000F2259"/>
    <w:rsid w:val="000F53CD"/>
    <w:rsid w:val="000F7B3B"/>
    <w:rsid w:val="0010729C"/>
    <w:rsid w:val="00110A3F"/>
    <w:rsid w:val="00110D21"/>
    <w:rsid w:val="00112F13"/>
    <w:rsid w:val="00113560"/>
    <w:rsid w:val="00114B07"/>
    <w:rsid w:val="00116211"/>
    <w:rsid w:val="00131314"/>
    <w:rsid w:val="00134E1F"/>
    <w:rsid w:val="001367E3"/>
    <w:rsid w:val="001458C4"/>
    <w:rsid w:val="00156286"/>
    <w:rsid w:val="0017088A"/>
    <w:rsid w:val="00176BF0"/>
    <w:rsid w:val="001813DC"/>
    <w:rsid w:val="001866EB"/>
    <w:rsid w:val="001919CC"/>
    <w:rsid w:val="0019410E"/>
    <w:rsid w:val="00196F29"/>
    <w:rsid w:val="00197C3B"/>
    <w:rsid w:val="00197E9A"/>
    <w:rsid w:val="001A359C"/>
    <w:rsid w:val="001A7779"/>
    <w:rsid w:val="001B43F3"/>
    <w:rsid w:val="001B52F6"/>
    <w:rsid w:val="001B5AB3"/>
    <w:rsid w:val="001C6AD6"/>
    <w:rsid w:val="001E16D6"/>
    <w:rsid w:val="001E40AF"/>
    <w:rsid w:val="001E424D"/>
    <w:rsid w:val="001E4626"/>
    <w:rsid w:val="001E67B6"/>
    <w:rsid w:val="001E7B28"/>
    <w:rsid w:val="001F163E"/>
    <w:rsid w:val="001F777D"/>
    <w:rsid w:val="001F7EA2"/>
    <w:rsid w:val="00201B63"/>
    <w:rsid w:val="00211810"/>
    <w:rsid w:val="00211DDD"/>
    <w:rsid w:val="00211E37"/>
    <w:rsid w:val="00216C4D"/>
    <w:rsid w:val="00216F3B"/>
    <w:rsid w:val="00222F4F"/>
    <w:rsid w:val="002244B1"/>
    <w:rsid w:val="00224B5C"/>
    <w:rsid w:val="00234543"/>
    <w:rsid w:val="00235077"/>
    <w:rsid w:val="00243189"/>
    <w:rsid w:val="00243898"/>
    <w:rsid w:val="00244ECE"/>
    <w:rsid w:val="00247250"/>
    <w:rsid w:val="00260121"/>
    <w:rsid w:val="00263293"/>
    <w:rsid w:val="0027015F"/>
    <w:rsid w:val="00271BCB"/>
    <w:rsid w:val="0027476A"/>
    <w:rsid w:val="00277101"/>
    <w:rsid w:val="002964AF"/>
    <w:rsid w:val="00296BF8"/>
    <w:rsid w:val="002A311E"/>
    <w:rsid w:val="002A4F6F"/>
    <w:rsid w:val="002A502A"/>
    <w:rsid w:val="002B143A"/>
    <w:rsid w:val="002C6B1F"/>
    <w:rsid w:val="002D265B"/>
    <w:rsid w:val="002D6634"/>
    <w:rsid w:val="002F0F29"/>
    <w:rsid w:val="002F3F7C"/>
    <w:rsid w:val="002F6940"/>
    <w:rsid w:val="00300A0D"/>
    <w:rsid w:val="003012CB"/>
    <w:rsid w:val="00302E41"/>
    <w:rsid w:val="003071AA"/>
    <w:rsid w:val="00307D4A"/>
    <w:rsid w:val="003119C1"/>
    <w:rsid w:val="00311DFE"/>
    <w:rsid w:val="003130D5"/>
    <w:rsid w:val="00316D6F"/>
    <w:rsid w:val="00320589"/>
    <w:rsid w:val="00326662"/>
    <w:rsid w:val="003271B7"/>
    <w:rsid w:val="0034285D"/>
    <w:rsid w:val="003451F6"/>
    <w:rsid w:val="00354854"/>
    <w:rsid w:val="00356A24"/>
    <w:rsid w:val="00381707"/>
    <w:rsid w:val="00381E48"/>
    <w:rsid w:val="003836CB"/>
    <w:rsid w:val="00385CEB"/>
    <w:rsid w:val="00386DD1"/>
    <w:rsid w:val="00395044"/>
    <w:rsid w:val="003972FD"/>
    <w:rsid w:val="003975CE"/>
    <w:rsid w:val="003A1E9A"/>
    <w:rsid w:val="003A37BB"/>
    <w:rsid w:val="003A6385"/>
    <w:rsid w:val="003B026A"/>
    <w:rsid w:val="003B5BD7"/>
    <w:rsid w:val="003B704B"/>
    <w:rsid w:val="003C714E"/>
    <w:rsid w:val="003C729C"/>
    <w:rsid w:val="003D6588"/>
    <w:rsid w:val="003D672C"/>
    <w:rsid w:val="003E048D"/>
    <w:rsid w:val="003E3064"/>
    <w:rsid w:val="003E3AA2"/>
    <w:rsid w:val="003E55E8"/>
    <w:rsid w:val="003E78AB"/>
    <w:rsid w:val="003F1C6F"/>
    <w:rsid w:val="00406A60"/>
    <w:rsid w:val="00406EEC"/>
    <w:rsid w:val="00414A6F"/>
    <w:rsid w:val="00421048"/>
    <w:rsid w:val="004348FE"/>
    <w:rsid w:val="004360F0"/>
    <w:rsid w:val="00450612"/>
    <w:rsid w:val="00453358"/>
    <w:rsid w:val="0045665C"/>
    <w:rsid w:val="00463974"/>
    <w:rsid w:val="004641AF"/>
    <w:rsid w:val="004754C0"/>
    <w:rsid w:val="004761E4"/>
    <w:rsid w:val="0047643F"/>
    <w:rsid w:val="00482224"/>
    <w:rsid w:val="00482B58"/>
    <w:rsid w:val="004855CF"/>
    <w:rsid w:val="00486697"/>
    <w:rsid w:val="00487A1F"/>
    <w:rsid w:val="00491301"/>
    <w:rsid w:val="0049197D"/>
    <w:rsid w:val="00493D49"/>
    <w:rsid w:val="004A1423"/>
    <w:rsid w:val="004A3236"/>
    <w:rsid w:val="004A6298"/>
    <w:rsid w:val="004A63FC"/>
    <w:rsid w:val="004B5627"/>
    <w:rsid w:val="004C04F9"/>
    <w:rsid w:val="004C2E33"/>
    <w:rsid w:val="004C5DB0"/>
    <w:rsid w:val="004D4070"/>
    <w:rsid w:val="004D6E8D"/>
    <w:rsid w:val="004E27EB"/>
    <w:rsid w:val="004E3CA9"/>
    <w:rsid w:val="004E3F17"/>
    <w:rsid w:val="004E68B2"/>
    <w:rsid w:val="004F68BA"/>
    <w:rsid w:val="005002E2"/>
    <w:rsid w:val="005019DB"/>
    <w:rsid w:val="00503705"/>
    <w:rsid w:val="00505E68"/>
    <w:rsid w:val="005112F7"/>
    <w:rsid w:val="00516937"/>
    <w:rsid w:val="0051731B"/>
    <w:rsid w:val="005231A3"/>
    <w:rsid w:val="00526819"/>
    <w:rsid w:val="00531B96"/>
    <w:rsid w:val="005345AF"/>
    <w:rsid w:val="0054461A"/>
    <w:rsid w:val="005618ED"/>
    <w:rsid w:val="0057604E"/>
    <w:rsid w:val="00577335"/>
    <w:rsid w:val="005773FB"/>
    <w:rsid w:val="005814A2"/>
    <w:rsid w:val="0059101D"/>
    <w:rsid w:val="005A27BE"/>
    <w:rsid w:val="005A6E4C"/>
    <w:rsid w:val="005B1430"/>
    <w:rsid w:val="005B362F"/>
    <w:rsid w:val="005B3FB4"/>
    <w:rsid w:val="005B4741"/>
    <w:rsid w:val="005B514F"/>
    <w:rsid w:val="005C1D74"/>
    <w:rsid w:val="005E2740"/>
    <w:rsid w:val="005E696E"/>
    <w:rsid w:val="005E770A"/>
    <w:rsid w:val="005F2ACB"/>
    <w:rsid w:val="005F3ED2"/>
    <w:rsid w:val="005F6637"/>
    <w:rsid w:val="0061021A"/>
    <w:rsid w:val="006139B3"/>
    <w:rsid w:val="006142FF"/>
    <w:rsid w:val="00625656"/>
    <w:rsid w:val="0062670B"/>
    <w:rsid w:val="006272F3"/>
    <w:rsid w:val="00634B0D"/>
    <w:rsid w:val="00636299"/>
    <w:rsid w:val="006476F1"/>
    <w:rsid w:val="00651AB8"/>
    <w:rsid w:val="006659B8"/>
    <w:rsid w:val="00665CC3"/>
    <w:rsid w:val="00666396"/>
    <w:rsid w:val="00670088"/>
    <w:rsid w:val="00672A39"/>
    <w:rsid w:val="00677873"/>
    <w:rsid w:val="0068136B"/>
    <w:rsid w:val="006862F7"/>
    <w:rsid w:val="00697AD7"/>
    <w:rsid w:val="006A3C02"/>
    <w:rsid w:val="006A4110"/>
    <w:rsid w:val="006B1841"/>
    <w:rsid w:val="006B3A97"/>
    <w:rsid w:val="006B7389"/>
    <w:rsid w:val="006C028F"/>
    <w:rsid w:val="006C250A"/>
    <w:rsid w:val="006C5DFD"/>
    <w:rsid w:val="006D541C"/>
    <w:rsid w:val="006D7257"/>
    <w:rsid w:val="006D7D33"/>
    <w:rsid w:val="006E0B62"/>
    <w:rsid w:val="006E3DCB"/>
    <w:rsid w:val="006F21DE"/>
    <w:rsid w:val="007051BE"/>
    <w:rsid w:val="007260CE"/>
    <w:rsid w:val="007272F8"/>
    <w:rsid w:val="00730B24"/>
    <w:rsid w:val="00731C23"/>
    <w:rsid w:val="007343A8"/>
    <w:rsid w:val="007405D7"/>
    <w:rsid w:val="00742118"/>
    <w:rsid w:val="00742D2E"/>
    <w:rsid w:val="00745169"/>
    <w:rsid w:val="007452C2"/>
    <w:rsid w:val="0075072B"/>
    <w:rsid w:val="00753586"/>
    <w:rsid w:val="00767529"/>
    <w:rsid w:val="007810EF"/>
    <w:rsid w:val="007825A2"/>
    <w:rsid w:val="00783054"/>
    <w:rsid w:val="00784F2B"/>
    <w:rsid w:val="00792D6D"/>
    <w:rsid w:val="00794541"/>
    <w:rsid w:val="007977F5"/>
    <w:rsid w:val="007A5C16"/>
    <w:rsid w:val="007B69DE"/>
    <w:rsid w:val="007B7353"/>
    <w:rsid w:val="007B7E71"/>
    <w:rsid w:val="007C163F"/>
    <w:rsid w:val="007C7EE1"/>
    <w:rsid w:val="007D3E3B"/>
    <w:rsid w:val="007D5781"/>
    <w:rsid w:val="007E6444"/>
    <w:rsid w:val="007F0CB7"/>
    <w:rsid w:val="007F1114"/>
    <w:rsid w:val="007F1F93"/>
    <w:rsid w:val="007F34BA"/>
    <w:rsid w:val="00800FC5"/>
    <w:rsid w:val="00802BA3"/>
    <w:rsid w:val="00814969"/>
    <w:rsid w:val="00814F53"/>
    <w:rsid w:val="0081684F"/>
    <w:rsid w:val="008315EB"/>
    <w:rsid w:val="00833DD6"/>
    <w:rsid w:val="00834BC5"/>
    <w:rsid w:val="008402E7"/>
    <w:rsid w:val="00840839"/>
    <w:rsid w:val="00841B04"/>
    <w:rsid w:val="008527E7"/>
    <w:rsid w:val="00853CC8"/>
    <w:rsid w:val="00854627"/>
    <w:rsid w:val="00855ED8"/>
    <w:rsid w:val="00860D36"/>
    <w:rsid w:val="00864DEF"/>
    <w:rsid w:val="00872D27"/>
    <w:rsid w:val="0088091A"/>
    <w:rsid w:val="00885E1C"/>
    <w:rsid w:val="0089020F"/>
    <w:rsid w:val="00893856"/>
    <w:rsid w:val="008A4439"/>
    <w:rsid w:val="008A5CDA"/>
    <w:rsid w:val="008A5DDD"/>
    <w:rsid w:val="008A6284"/>
    <w:rsid w:val="008B776A"/>
    <w:rsid w:val="008D04C4"/>
    <w:rsid w:val="008D3934"/>
    <w:rsid w:val="008D3B5E"/>
    <w:rsid w:val="008D4396"/>
    <w:rsid w:val="008D4BEE"/>
    <w:rsid w:val="008E05D8"/>
    <w:rsid w:val="008E12CE"/>
    <w:rsid w:val="008E56ED"/>
    <w:rsid w:val="008E638B"/>
    <w:rsid w:val="008E77CF"/>
    <w:rsid w:val="008F24CC"/>
    <w:rsid w:val="008F5E81"/>
    <w:rsid w:val="00901CFE"/>
    <w:rsid w:val="00905669"/>
    <w:rsid w:val="00913596"/>
    <w:rsid w:val="00913890"/>
    <w:rsid w:val="00913A5C"/>
    <w:rsid w:val="00915294"/>
    <w:rsid w:val="009157D1"/>
    <w:rsid w:val="00916DFE"/>
    <w:rsid w:val="00921ECB"/>
    <w:rsid w:val="009254C1"/>
    <w:rsid w:val="00934683"/>
    <w:rsid w:val="0093720E"/>
    <w:rsid w:val="0094017E"/>
    <w:rsid w:val="009406A1"/>
    <w:rsid w:val="00941240"/>
    <w:rsid w:val="00944BA1"/>
    <w:rsid w:val="009451A8"/>
    <w:rsid w:val="009528AA"/>
    <w:rsid w:val="00964714"/>
    <w:rsid w:val="009654F1"/>
    <w:rsid w:val="0097409B"/>
    <w:rsid w:val="009779AD"/>
    <w:rsid w:val="00981D37"/>
    <w:rsid w:val="00986C8D"/>
    <w:rsid w:val="00994FD9"/>
    <w:rsid w:val="00997145"/>
    <w:rsid w:val="009A0D83"/>
    <w:rsid w:val="009B415D"/>
    <w:rsid w:val="009C380B"/>
    <w:rsid w:val="009D6CA8"/>
    <w:rsid w:val="009E2054"/>
    <w:rsid w:val="009F3835"/>
    <w:rsid w:val="00A02C72"/>
    <w:rsid w:val="00A11FEA"/>
    <w:rsid w:val="00A1334C"/>
    <w:rsid w:val="00A1341F"/>
    <w:rsid w:val="00A15981"/>
    <w:rsid w:val="00A205AF"/>
    <w:rsid w:val="00A369AA"/>
    <w:rsid w:val="00A371C9"/>
    <w:rsid w:val="00A43239"/>
    <w:rsid w:val="00A467DC"/>
    <w:rsid w:val="00A4766C"/>
    <w:rsid w:val="00A50B44"/>
    <w:rsid w:val="00A510FF"/>
    <w:rsid w:val="00A539AA"/>
    <w:rsid w:val="00A559F6"/>
    <w:rsid w:val="00A5770D"/>
    <w:rsid w:val="00A66B14"/>
    <w:rsid w:val="00A670A5"/>
    <w:rsid w:val="00A67E3A"/>
    <w:rsid w:val="00A702AE"/>
    <w:rsid w:val="00A74436"/>
    <w:rsid w:val="00A75341"/>
    <w:rsid w:val="00A81FE6"/>
    <w:rsid w:val="00A86099"/>
    <w:rsid w:val="00A909B3"/>
    <w:rsid w:val="00A91335"/>
    <w:rsid w:val="00A93156"/>
    <w:rsid w:val="00A969EF"/>
    <w:rsid w:val="00AA09B0"/>
    <w:rsid w:val="00AA117A"/>
    <w:rsid w:val="00AA3DB6"/>
    <w:rsid w:val="00AA44AA"/>
    <w:rsid w:val="00AB2E33"/>
    <w:rsid w:val="00AB3AFB"/>
    <w:rsid w:val="00AB5387"/>
    <w:rsid w:val="00AC6913"/>
    <w:rsid w:val="00AD0A72"/>
    <w:rsid w:val="00AD2335"/>
    <w:rsid w:val="00AE0C73"/>
    <w:rsid w:val="00AE2AD4"/>
    <w:rsid w:val="00AE2F9B"/>
    <w:rsid w:val="00AE4421"/>
    <w:rsid w:val="00AE5A79"/>
    <w:rsid w:val="00AE677D"/>
    <w:rsid w:val="00B00787"/>
    <w:rsid w:val="00B02DA0"/>
    <w:rsid w:val="00B03D8B"/>
    <w:rsid w:val="00B079A8"/>
    <w:rsid w:val="00B12C53"/>
    <w:rsid w:val="00B12EE6"/>
    <w:rsid w:val="00B154E0"/>
    <w:rsid w:val="00B374BA"/>
    <w:rsid w:val="00B447C5"/>
    <w:rsid w:val="00B44EB5"/>
    <w:rsid w:val="00B564B7"/>
    <w:rsid w:val="00B56594"/>
    <w:rsid w:val="00B6185F"/>
    <w:rsid w:val="00B626EE"/>
    <w:rsid w:val="00B62D53"/>
    <w:rsid w:val="00B67581"/>
    <w:rsid w:val="00B74CAE"/>
    <w:rsid w:val="00B76A90"/>
    <w:rsid w:val="00B91A61"/>
    <w:rsid w:val="00B9790F"/>
    <w:rsid w:val="00BA13CF"/>
    <w:rsid w:val="00BA46DE"/>
    <w:rsid w:val="00BA4B95"/>
    <w:rsid w:val="00BA6251"/>
    <w:rsid w:val="00BA79FE"/>
    <w:rsid w:val="00BB7FC2"/>
    <w:rsid w:val="00BC4DE7"/>
    <w:rsid w:val="00BC518F"/>
    <w:rsid w:val="00BC624F"/>
    <w:rsid w:val="00BD35CB"/>
    <w:rsid w:val="00BD54A5"/>
    <w:rsid w:val="00BE01EA"/>
    <w:rsid w:val="00BE55B5"/>
    <w:rsid w:val="00BE7E79"/>
    <w:rsid w:val="00BF223F"/>
    <w:rsid w:val="00BF4CD1"/>
    <w:rsid w:val="00BF5B18"/>
    <w:rsid w:val="00BF76AB"/>
    <w:rsid w:val="00C070E4"/>
    <w:rsid w:val="00C1048C"/>
    <w:rsid w:val="00C15022"/>
    <w:rsid w:val="00C155CA"/>
    <w:rsid w:val="00C15C2B"/>
    <w:rsid w:val="00C1648A"/>
    <w:rsid w:val="00C167C8"/>
    <w:rsid w:val="00C26704"/>
    <w:rsid w:val="00C30FBD"/>
    <w:rsid w:val="00C31405"/>
    <w:rsid w:val="00C34DB8"/>
    <w:rsid w:val="00C3799E"/>
    <w:rsid w:val="00C44701"/>
    <w:rsid w:val="00C5597C"/>
    <w:rsid w:val="00C623A8"/>
    <w:rsid w:val="00C62FD6"/>
    <w:rsid w:val="00C64D06"/>
    <w:rsid w:val="00C67BFF"/>
    <w:rsid w:val="00C71221"/>
    <w:rsid w:val="00C74629"/>
    <w:rsid w:val="00C83D74"/>
    <w:rsid w:val="00C84C66"/>
    <w:rsid w:val="00C8555C"/>
    <w:rsid w:val="00C91C42"/>
    <w:rsid w:val="00C92FFB"/>
    <w:rsid w:val="00C93B06"/>
    <w:rsid w:val="00C94D7E"/>
    <w:rsid w:val="00CA0FBC"/>
    <w:rsid w:val="00CB34F6"/>
    <w:rsid w:val="00CD0ED9"/>
    <w:rsid w:val="00CD1401"/>
    <w:rsid w:val="00CD47CC"/>
    <w:rsid w:val="00CD5FF4"/>
    <w:rsid w:val="00CD7C47"/>
    <w:rsid w:val="00CD7C9C"/>
    <w:rsid w:val="00CF2C40"/>
    <w:rsid w:val="00CF3AEF"/>
    <w:rsid w:val="00CF6603"/>
    <w:rsid w:val="00CF73C5"/>
    <w:rsid w:val="00CF7DFD"/>
    <w:rsid w:val="00D00D4C"/>
    <w:rsid w:val="00D073C3"/>
    <w:rsid w:val="00D075F4"/>
    <w:rsid w:val="00D159CD"/>
    <w:rsid w:val="00D21606"/>
    <w:rsid w:val="00D24DD3"/>
    <w:rsid w:val="00D37BE7"/>
    <w:rsid w:val="00D40025"/>
    <w:rsid w:val="00D46610"/>
    <w:rsid w:val="00D476EB"/>
    <w:rsid w:val="00D47D15"/>
    <w:rsid w:val="00D60351"/>
    <w:rsid w:val="00D64C7F"/>
    <w:rsid w:val="00D658E1"/>
    <w:rsid w:val="00D670D8"/>
    <w:rsid w:val="00D671E7"/>
    <w:rsid w:val="00D67A06"/>
    <w:rsid w:val="00D72338"/>
    <w:rsid w:val="00D75C69"/>
    <w:rsid w:val="00D80073"/>
    <w:rsid w:val="00D81994"/>
    <w:rsid w:val="00D90120"/>
    <w:rsid w:val="00DA4133"/>
    <w:rsid w:val="00DA5B33"/>
    <w:rsid w:val="00DA7E38"/>
    <w:rsid w:val="00DB1168"/>
    <w:rsid w:val="00DB5D60"/>
    <w:rsid w:val="00DC130A"/>
    <w:rsid w:val="00DC5EDC"/>
    <w:rsid w:val="00DD203C"/>
    <w:rsid w:val="00DD26CA"/>
    <w:rsid w:val="00DD6BC3"/>
    <w:rsid w:val="00DE09B0"/>
    <w:rsid w:val="00E03088"/>
    <w:rsid w:val="00E05790"/>
    <w:rsid w:val="00E106DA"/>
    <w:rsid w:val="00E15A5C"/>
    <w:rsid w:val="00E16F36"/>
    <w:rsid w:val="00E2695F"/>
    <w:rsid w:val="00E345E1"/>
    <w:rsid w:val="00E406DB"/>
    <w:rsid w:val="00E41CD1"/>
    <w:rsid w:val="00E42DA7"/>
    <w:rsid w:val="00E4388D"/>
    <w:rsid w:val="00E45A38"/>
    <w:rsid w:val="00E50289"/>
    <w:rsid w:val="00E51A51"/>
    <w:rsid w:val="00E54099"/>
    <w:rsid w:val="00E5450A"/>
    <w:rsid w:val="00E62F75"/>
    <w:rsid w:val="00E6480B"/>
    <w:rsid w:val="00E73993"/>
    <w:rsid w:val="00E7652E"/>
    <w:rsid w:val="00E81ABD"/>
    <w:rsid w:val="00E8242B"/>
    <w:rsid w:val="00E82F40"/>
    <w:rsid w:val="00E91478"/>
    <w:rsid w:val="00E94765"/>
    <w:rsid w:val="00EA0C2D"/>
    <w:rsid w:val="00EA5D1D"/>
    <w:rsid w:val="00EA6D0A"/>
    <w:rsid w:val="00EB05C1"/>
    <w:rsid w:val="00EB0B75"/>
    <w:rsid w:val="00EB1B15"/>
    <w:rsid w:val="00EB4DA8"/>
    <w:rsid w:val="00EB5A9B"/>
    <w:rsid w:val="00EC05A5"/>
    <w:rsid w:val="00EC4A81"/>
    <w:rsid w:val="00EC7EFA"/>
    <w:rsid w:val="00ED3703"/>
    <w:rsid w:val="00EE2947"/>
    <w:rsid w:val="00EE690B"/>
    <w:rsid w:val="00EE7195"/>
    <w:rsid w:val="00EF512C"/>
    <w:rsid w:val="00EF65E4"/>
    <w:rsid w:val="00F049C6"/>
    <w:rsid w:val="00F04A7D"/>
    <w:rsid w:val="00F057A5"/>
    <w:rsid w:val="00F1378F"/>
    <w:rsid w:val="00F170B7"/>
    <w:rsid w:val="00F223C5"/>
    <w:rsid w:val="00F31E51"/>
    <w:rsid w:val="00F3273C"/>
    <w:rsid w:val="00F32BCF"/>
    <w:rsid w:val="00F36A4B"/>
    <w:rsid w:val="00F44175"/>
    <w:rsid w:val="00F460D5"/>
    <w:rsid w:val="00F52F89"/>
    <w:rsid w:val="00F5549A"/>
    <w:rsid w:val="00F56433"/>
    <w:rsid w:val="00F65097"/>
    <w:rsid w:val="00F6652E"/>
    <w:rsid w:val="00F71B71"/>
    <w:rsid w:val="00F733F4"/>
    <w:rsid w:val="00F75030"/>
    <w:rsid w:val="00F91CE8"/>
    <w:rsid w:val="00FA54B7"/>
    <w:rsid w:val="00FA7B54"/>
    <w:rsid w:val="00FB3ABB"/>
    <w:rsid w:val="00FB714B"/>
    <w:rsid w:val="00FC20F5"/>
    <w:rsid w:val="00FC2F08"/>
    <w:rsid w:val="00FC643E"/>
    <w:rsid w:val="00FC6FBC"/>
    <w:rsid w:val="00FE100A"/>
    <w:rsid w:val="00FE640A"/>
    <w:rsid w:val="00FF44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4EE1"/>
  <w15:docId w15:val="{F7688AA9-BB41-4B62-87FF-17D91DDF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PargrafodaLista">
    <w:name w:val="List Paragraph"/>
    <w:basedOn w:val="Normal"/>
    <w:uiPriority w:val="34"/>
    <w:qFormat/>
    <w:rsid w:val="00AD274C"/>
    <w:pPr>
      <w:ind w:left="720"/>
      <w:contextualSpacing/>
    </w:pPr>
  </w:style>
  <w:style w:type="table" w:styleId="Tabelacomgrade">
    <w:name w:val="Table Grid"/>
    <w:basedOn w:val="Tabelanormal"/>
    <w:uiPriority w:val="39"/>
    <w:rsid w:val="00AD2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162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1622F"/>
    <w:rPr>
      <w:sz w:val="20"/>
      <w:szCs w:val="20"/>
    </w:rPr>
  </w:style>
  <w:style w:type="character" w:styleId="Refdenotaderodap">
    <w:name w:val="footnote reference"/>
    <w:basedOn w:val="Fontepargpadro"/>
    <w:uiPriority w:val="99"/>
    <w:semiHidden/>
    <w:unhideWhenUsed/>
    <w:rsid w:val="0021622F"/>
    <w:rPr>
      <w:vertAlign w:val="superscript"/>
    </w:rPr>
  </w:style>
  <w:style w:type="paragraph" w:customStyle="1" w:styleId="Default">
    <w:name w:val="Default"/>
    <w:rsid w:val="00917898"/>
    <w:pPr>
      <w:autoSpaceDE w:val="0"/>
      <w:autoSpaceDN w:val="0"/>
      <w:adjustRightInd w:val="0"/>
      <w:spacing w:after="0" w:line="240" w:lineRule="auto"/>
    </w:pPr>
    <w:rPr>
      <w:rFonts w:ascii="Times New Roman" w:hAnsi="Times New Roman" w:cs="Times New Roman"/>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254C55"/>
    <w:rPr>
      <w:sz w:val="18"/>
      <w:szCs w:val="18"/>
    </w:rPr>
  </w:style>
  <w:style w:type="paragraph" w:styleId="Textodecomentrio">
    <w:name w:val="annotation text"/>
    <w:basedOn w:val="Normal"/>
    <w:link w:val="TextodecomentrioChar"/>
    <w:uiPriority w:val="99"/>
    <w:unhideWhenUsed/>
    <w:rsid w:val="00254C55"/>
    <w:pPr>
      <w:spacing w:line="240" w:lineRule="auto"/>
    </w:pPr>
    <w:rPr>
      <w:sz w:val="24"/>
      <w:szCs w:val="24"/>
    </w:rPr>
  </w:style>
  <w:style w:type="character" w:customStyle="1" w:styleId="TextodecomentrioChar">
    <w:name w:val="Texto de comentário Char"/>
    <w:basedOn w:val="Fontepargpadro"/>
    <w:link w:val="Textodecomentrio"/>
    <w:uiPriority w:val="99"/>
    <w:rsid w:val="00254C55"/>
    <w:rPr>
      <w:sz w:val="24"/>
      <w:szCs w:val="24"/>
    </w:rPr>
  </w:style>
  <w:style w:type="paragraph" w:styleId="Assuntodocomentrio">
    <w:name w:val="annotation subject"/>
    <w:basedOn w:val="Textodecomentrio"/>
    <w:next w:val="Textodecomentrio"/>
    <w:link w:val="AssuntodocomentrioChar"/>
    <w:uiPriority w:val="99"/>
    <w:semiHidden/>
    <w:unhideWhenUsed/>
    <w:rsid w:val="00254C55"/>
    <w:rPr>
      <w:b/>
      <w:bCs/>
      <w:sz w:val="20"/>
      <w:szCs w:val="20"/>
    </w:rPr>
  </w:style>
  <w:style w:type="character" w:customStyle="1" w:styleId="AssuntodocomentrioChar">
    <w:name w:val="Assunto do comentário Char"/>
    <w:basedOn w:val="TextodecomentrioChar"/>
    <w:link w:val="Assuntodocomentrio"/>
    <w:uiPriority w:val="99"/>
    <w:semiHidden/>
    <w:rsid w:val="00254C55"/>
    <w:rPr>
      <w:b/>
      <w:bCs/>
      <w:sz w:val="20"/>
      <w:szCs w:val="20"/>
    </w:rPr>
  </w:style>
  <w:style w:type="paragraph" w:styleId="Textodebalo">
    <w:name w:val="Balloon Text"/>
    <w:basedOn w:val="Normal"/>
    <w:link w:val="TextodebaloChar"/>
    <w:uiPriority w:val="99"/>
    <w:semiHidden/>
    <w:unhideWhenUsed/>
    <w:rsid w:val="00254C55"/>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254C55"/>
    <w:rPr>
      <w:rFonts w:ascii="Times New Roman" w:hAnsi="Times New Roman" w:cs="Times New Roman"/>
      <w:sz w:val="18"/>
      <w:szCs w:val="18"/>
    </w:rPr>
  </w:style>
  <w:style w:type="paragraph" w:styleId="Pr-formataoHTML">
    <w:name w:val="HTML Preformatted"/>
    <w:basedOn w:val="Normal"/>
    <w:link w:val="Pr-formataoHTMLChar"/>
    <w:uiPriority w:val="99"/>
    <w:unhideWhenUsed/>
    <w:rsid w:val="00491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913E4"/>
    <w:rPr>
      <w:rFonts w:ascii="Courier New" w:eastAsia="Times New Roman" w:hAnsi="Courier New" w:cs="Courier New"/>
      <w:sz w:val="20"/>
      <w:szCs w:val="20"/>
    </w:rPr>
  </w:style>
  <w:style w:type="character" w:customStyle="1" w:styleId="y2iqfc">
    <w:name w:val="y2iqfc"/>
    <w:basedOn w:val="Fontepargpadro"/>
    <w:rsid w:val="004913E4"/>
  </w:style>
  <w:style w:type="character" w:styleId="Hyperlink">
    <w:name w:val="Hyperlink"/>
    <w:unhideWhenUsed/>
    <w:qFormat/>
    <w:rsid w:val="00ED6170"/>
    <w:rPr>
      <w:color w:val="0000FF"/>
      <w:w w:val="100"/>
      <w:position w:val="-1"/>
      <w:u w:val="single"/>
      <w:effect w:val="none"/>
      <w:vertAlign w:val="baseline"/>
      <w:em w:val="none"/>
    </w:rPr>
  </w:style>
  <w:style w:type="character" w:customStyle="1" w:styleId="MenoPendente1">
    <w:name w:val="Menção Pendente1"/>
    <w:basedOn w:val="Fontepargpadro"/>
    <w:uiPriority w:val="99"/>
    <w:rsid w:val="00ED6170"/>
    <w:rPr>
      <w:color w:val="605E5C"/>
      <w:shd w:val="clear" w:color="auto" w:fill="E1DFDD"/>
    </w:rPr>
  </w:style>
  <w:style w:type="character" w:customStyle="1" w:styleId="markedcontent">
    <w:name w:val="markedcontent"/>
    <w:basedOn w:val="Fontepargpadro"/>
    <w:rsid w:val="00E3475E"/>
  </w:style>
  <w:style w:type="character" w:customStyle="1" w:styleId="MenoNoResolvida1">
    <w:name w:val="Menção Não Resolvida1"/>
    <w:basedOn w:val="Fontepargpadro"/>
    <w:uiPriority w:val="99"/>
    <w:rsid w:val="000B6043"/>
    <w:rPr>
      <w:color w:val="605E5C"/>
      <w:shd w:val="clear" w:color="auto" w:fill="E1DFDD"/>
    </w:rPr>
  </w:style>
  <w:style w:type="paragraph" w:styleId="NormalWeb">
    <w:name w:val="Normal (Web)"/>
    <w:basedOn w:val="Normal"/>
    <w:uiPriority w:val="99"/>
    <w:unhideWhenUsed/>
    <w:rsid w:val="00DC2B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badge">
    <w:name w:val="_articlebadge"/>
    <w:basedOn w:val="Fontepargpadro"/>
    <w:rsid w:val="00216097"/>
  </w:style>
  <w:style w:type="character" w:customStyle="1" w:styleId="separator">
    <w:name w:val="_separator"/>
    <w:basedOn w:val="Fontepargpadro"/>
    <w:rsid w:val="00216097"/>
  </w:style>
  <w:style w:type="character" w:customStyle="1" w:styleId="editionmeta">
    <w:name w:val="_editionmeta"/>
    <w:basedOn w:val="Fontepargpadro"/>
    <w:rsid w:val="00216097"/>
  </w:style>
  <w:style w:type="character" w:customStyle="1" w:styleId="group-doi">
    <w:name w:val="group-doi"/>
    <w:basedOn w:val="Fontepargpadro"/>
    <w:rsid w:val="00EB6BD1"/>
  </w:style>
  <w:style w:type="character" w:customStyle="1" w:styleId="dropdown">
    <w:name w:val="dropdown"/>
    <w:basedOn w:val="Fontepargpadro"/>
    <w:rsid w:val="00EB6BD1"/>
  </w:style>
  <w:style w:type="paragraph" w:styleId="Cabealho">
    <w:name w:val="header"/>
    <w:basedOn w:val="Normal"/>
    <w:link w:val="CabealhoChar"/>
    <w:uiPriority w:val="99"/>
    <w:unhideWhenUsed/>
    <w:rsid w:val="00303C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3CEE"/>
  </w:style>
  <w:style w:type="paragraph" w:styleId="Rodap">
    <w:name w:val="footer"/>
    <w:basedOn w:val="Normal"/>
    <w:link w:val="RodapChar"/>
    <w:uiPriority w:val="99"/>
    <w:unhideWhenUsed/>
    <w:rsid w:val="00303CEE"/>
    <w:pPr>
      <w:tabs>
        <w:tab w:val="center" w:pos="4252"/>
        <w:tab w:val="right" w:pos="8504"/>
      </w:tabs>
      <w:spacing w:after="0" w:line="240" w:lineRule="auto"/>
    </w:pPr>
  </w:style>
  <w:style w:type="character" w:customStyle="1" w:styleId="RodapChar">
    <w:name w:val="Rodapé Char"/>
    <w:basedOn w:val="Fontepargpadro"/>
    <w:link w:val="Rodap"/>
    <w:uiPriority w:val="99"/>
    <w:rsid w:val="00303CEE"/>
  </w:style>
  <w:style w:type="character" w:styleId="nfase">
    <w:name w:val="Emphasis"/>
    <w:basedOn w:val="Fontepargpadro"/>
    <w:uiPriority w:val="20"/>
    <w:qFormat/>
    <w:rsid w:val="00303CEE"/>
    <w:rPr>
      <w:i/>
      <w:iCs/>
    </w:rPr>
  </w:style>
  <w:style w:type="paragraph" w:styleId="Reviso">
    <w:name w:val="Revision"/>
    <w:hidden/>
    <w:uiPriority w:val="99"/>
    <w:semiHidden/>
    <w:rsid w:val="007302A0"/>
    <w:pPr>
      <w:spacing w:after="0" w:line="240" w:lineRule="auto"/>
    </w:pPr>
  </w:style>
  <w:style w:type="paragraph" w:customStyle="1" w:styleId="EndNoteBibliographyTitle">
    <w:name w:val="EndNote Bibliography Title"/>
    <w:basedOn w:val="Normal"/>
    <w:link w:val="EndNoteBibliographyTitleCarter"/>
    <w:rsid w:val="00770BCA"/>
    <w:pPr>
      <w:spacing w:after="0"/>
      <w:jc w:val="center"/>
    </w:pPr>
    <w:rPr>
      <w:noProof/>
    </w:rPr>
  </w:style>
  <w:style w:type="character" w:customStyle="1" w:styleId="EndNoteBibliographyTitleCarter">
    <w:name w:val="EndNote Bibliography Title Caráter"/>
    <w:basedOn w:val="Fontepargpadro"/>
    <w:link w:val="EndNoteBibliographyTitle"/>
    <w:rsid w:val="00770BCA"/>
    <w:rPr>
      <w:noProof/>
    </w:rPr>
  </w:style>
  <w:style w:type="paragraph" w:customStyle="1" w:styleId="EndNoteBibliography">
    <w:name w:val="EndNote Bibliography"/>
    <w:basedOn w:val="Normal"/>
    <w:link w:val="EndNoteBibliographyCarter"/>
    <w:rsid w:val="00770BCA"/>
    <w:pPr>
      <w:spacing w:line="240" w:lineRule="auto"/>
      <w:jc w:val="both"/>
    </w:pPr>
    <w:rPr>
      <w:noProof/>
    </w:rPr>
  </w:style>
  <w:style w:type="character" w:customStyle="1" w:styleId="EndNoteBibliographyCarter">
    <w:name w:val="EndNote Bibliography Caráter"/>
    <w:basedOn w:val="Fontepargpadro"/>
    <w:link w:val="EndNoteBibliography"/>
    <w:rsid w:val="00770BCA"/>
    <w:rPr>
      <w:noProof/>
    </w:rPr>
  </w:style>
  <w:style w:type="character" w:customStyle="1" w:styleId="cf01">
    <w:name w:val="cf01"/>
    <w:basedOn w:val="Fontepargpadro"/>
    <w:rsid w:val="000E2292"/>
    <w:rPr>
      <w:rFonts w:ascii="Segoe UI" w:hAnsi="Segoe UI" w:cs="Segoe UI" w:hint="default"/>
      <w:sz w:val="18"/>
      <w:szCs w:val="18"/>
    </w:rPr>
  </w:style>
  <w:style w:type="character" w:customStyle="1" w:styleId="cf11">
    <w:name w:val="cf11"/>
    <w:basedOn w:val="Fontepargpadro"/>
    <w:rsid w:val="000E2292"/>
    <w:rPr>
      <w:rFonts w:ascii="Segoe UI" w:hAnsi="Segoe UI" w:cs="Segoe UI" w:hint="default"/>
      <w:sz w:val="18"/>
      <w:szCs w:val="18"/>
    </w:rPr>
  </w:style>
  <w:style w:type="character" w:customStyle="1" w:styleId="Ttulo1Char">
    <w:name w:val="Título 1 Char"/>
    <w:basedOn w:val="Fontepargpadro"/>
    <w:link w:val="Ttulo1"/>
    <w:rsid w:val="007168FA"/>
    <w:rPr>
      <w:b/>
      <w:sz w:val="48"/>
      <w:szCs w:val="48"/>
    </w:rPr>
  </w:style>
  <w:style w:type="character" w:styleId="Forte">
    <w:name w:val="Strong"/>
    <w:basedOn w:val="Fontepargpadro"/>
    <w:uiPriority w:val="22"/>
    <w:qFormat/>
    <w:rsid w:val="00E94765"/>
    <w:rPr>
      <w:b/>
      <w:bCs/>
    </w:rPr>
  </w:style>
  <w:style w:type="character" w:customStyle="1" w:styleId="MenoNoResolvida2">
    <w:name w:val="Menção Não Resolvida2"/>
    <w:basedOn w:val="Fontepargpadro"/>
    <w:uiPriority w:val="99"/>
    <w:semiHidden/>
    <w:unhideWhenUsed/>
    <w:rsid w:val="00DD2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adis.ensp.fiocruz.br/index.php/home/reportagem/amazonia-sem-respirar" TargetMode="External"/><Relationship Id="rId18" Type="http://schemas.openxmlformats.org/officeDocument/2006/relationships/footer" Target="footer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www.ipsos.com/en/covid-19-vaccination-intent-has-soared-across-world" TargetMode="External"/><Relationship Id="rId17" Type="http://schemas.openxmlformats.org/officeDocument/2006/relationships/hyperlink" Target="https://ourworldindata.org/covid-vaccinations?country=OWID_WRL" TargetMode="External"/><Relationship Id="rId2" Type="http://schemas.openxmlformats.org/officeDocument/2006/relationships/customXml" Target="../customXml/item2.xml"/><Relationship Id="rId16" Type="http://schemas.openxmlformats.org/officeDocument/2006/relationships/hyperlink" Target="https://www.brasildefato.com.br/2021/10/20/leia-a-integra-do-relatorio-final-da-cpi-da-pandemia-apresentado-por-renan-calheiros-no-senad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frgs.br/obcomp/textos-opinioes/3/1816/muriel-felten--o-que-nos-dizem-as-campanhas-publicitarias-duran" TargetMode="External"/><Relationship Id="rId5" Type="http://schemas.openxmlformats.org/officeDocument/2006/relationships/settings" Target="settings.xml"/><Relationship Id="rId15" Type="http://schemas.openxmlformats.org/officeDocument/2006/relationships/hyperlink" Target="https://www.paho.org/pt/covid19" TargetMode="External"/><Relationship Id="rId10" Type="http://schemas.openxmlformats.org/officeDocument/2006/relationships/hyperlink" Target="https://www.conjur.com.br/dl/liminar-barroso-proibe-campanha-brasil.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ropmark.com.br/10-campanhas-para-lembrar-ainda-estamos-na-pandemia/" TargetMode="External"/><Relationship Id="rId14" Type="http://schemas.openxmlformats.org/officeDocument/2006/relationships/hyperlink" Target="https://iris.paho.org/bitstream/handle/10665.2/54855/OPASWBRAPHECOVID-19210074_por.pdf?sequence=1&amp;isAllowed=y" TargetMode="External"/><Relationship Id="rId22"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SoSfhmCXouMIT/PR8I8pVXQogg==">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AB3F23-FC8E-4A6D-AE59-68EDC757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9362</Words>
  <Characters>53369</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USP</Company>
  <LinksUpToDate>false</LinksUpToDate>
  <CharactersWithSpaces>62606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Ione Mendes</dc:creator>
  <cp:lastModifiedBy>revisora</cp:lastModifiedBy>
  <cp:revision>2</cp:revision>
  <dcterms:created xsi:type="dcterms:W3CDTF">2023-02-24T19:02:00Z</dcterms:created>
  <dcterms:modified xsi:type="dcterms:W3CDTF">2023-02-24T19:02:00Z</dcterms:modified>
</cp:coreProperties>
</file>