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59AD" w14:textId="29CE81EB" w:rsidR="005F6717" w:rsidRPr="002B7E57" w:rsidRDefault="002B7E57" w:rsidP="002B7E57">
      <w:pPr>
        <w:jc w:val="center"/>
        <w:rPr>
          <w:b/>
          <w:bCs/>
          <w:sz w:val="28"/>
          <w:szCs w:val="28"/>
        </w:rPr>
      </w:pPr>
      <w:r w:rsidRPr="002B7E57">
        <w:rPr>
          <w:b/>
          <w:bCs/>
          <w:sz w:val="28"/>
          <w:szCs w:val="28"/>
        </w:rPr>
        <w:t>Mental health and Homelessness</w:t>
      </w:r>
    </w:p>
    <w:p w14:paraId="725ADB8D" w14:textId="4558F009" w:rsidR="002B7E57" w:rsidRDefault="002B7E57"/>
    <w:p w14:paraId="7FFD71CA" w14:textId="72C9F11D" w:rsidR="002B7E57" w:rsidRDefault="002B7E57">
      <w:r>
        <w:t>Caroline Hunter</w:t>
      </w:r>
      <w:r w:rsidR="00CF4D1A">
        <w:t>*</w:t>
      </w:r>
      <w:r w:rsidR="005C76DD">
        <w:t xml:space="preserve"> and Carla </w:t>
      </w:r>
      <w:proofErr w:type="spellStart"/>
      <w:r w:rsidR="005C76DD">
        <w:t>Reeson</w:t>
      </w:r>
      <w:proofErr w:type="spellEnd"/>
      <w:r w:rsidR="00CF4D1A">
        <w:t>**</w:t>
      </w:r>
    </w:p>
    <w:p w14:paraId="0512D365" w14:textId="3E448D0D" w:rsidR="002B7E57" w:rsidRDefault="002B7E57"/>
    <w:p w14:paraId="2130D21F" w14:textId="594221E6" w:rsidR="002B7E57" w:rsidRDefault="002B7E57">
      <w:pPr>
        <w:rPr>
          <w:b/>
          <w:bCs/>
        </w:rPr>
      </w:pPr>
      <w:r>
        <w:rPr>
          <w:b/>
          <w:bCs/>
        </w:rPr>
        <w:t>Introduction</w:t>
      </w:r>
    </w:p>
    <w:p w14:paraId="4F37D80D" w14:textId="24586CCA" w:rsidR="002B7E57" w:rsidRDefault="002B7E57">
      <w:r>
        <w:t xml:space="preserve">This article was prompted by a seminar </w:t>
      </w:r>
      <w:r w:rsidR="00F4747B">
        <w:t xml:space="preserve">on ‘Housing, homelessness and mental health’ </w:t>
      </w:r>
      <w:r>
        <w:t xml:space="preserve">arranged by the </w:t>
      </w:r>
      <w:r w:rsidRPr="00FD0EED">
        <w:t>Mental Diversity Law Network</w:t>
      </w:r>
      <w:r w:rsidR="002B71C9">
        <w:t>.</w:t>
      </w:r>
      <w:r w:rsidR="00DF31AC">
        <w:rPr>
          <w:rStyle w:val="FootnoteReference"/>
        </w:rPr>
        <w:footnoteReference w:id="1"/>
      </w:r>
      <w:r w:rsidR="002B71C9">
        <w:t xml:space="preserve"> </w:t>
      </w:r>
      <w:r w:rsidR="00DF31AC">
        <w:t>The seminar include</w:t>
      </w:r>
      <w:r w:rsidR="00C0735B">
        <w:t>d</w:t>
      </w:r>
      <w:r w:rsidR="00DF31AC">
        <w:t xml:space="preserve"> the lived experience of someone </w:t>
      </w:r>
      <w:r w:rsidR="00253A5D">
        <w:t xml:space="preserve">with knowledge of </w:t>
      </w:r>
      <w:r w:rsidR="004A3E50">
        <w:t>the links between housing and mental health services</w:t>
      </w:r>
      <w:r w:rsidR="006A000A">
        <w:rPr>
          <w:rStyle w:val="FootnoteReference"/>
        </w:rPr>
        <w:footnoteReference w:id="2"/>
      </w:r>
      <w:r w:rsidR="00DF31AC" w:rsidRPr="00FD0EED">
        <w:t xml:space="preserve"> </w:t>
      </w:r>
      <w:r w:rsidR="00DF31AC">
        <w:t>and a talk by Linda Clark of Changing Lives</w:t>
      </w:r>
      <w:r w:rsidR="004A3E50">
        <w:rPr>
          <w:rStyle w:val="FootnoteReference"/>
        </w:rPr>
        <w:footnoteReference w:id="3"/>
      </w:r>
      <w:r w:rsidR="004A3E50">
        <w:t xml:space="preserve"> </w:t>
      </w:r>
      <w:r w:rsidR="00253A5D">
        <w:t>about</w:t>
      </w:r>
      <w:r w:rsidR="00DF31AC">
        <w:t xml:space="preserve"> the </w:t>
      </w:r>
      <w:r w:rsidR="00DF31AC" w:rsidRPr="00DF31AC">
        <w:t xml:space="preserve">Mental Health Housing First service in York </w:t>
      </w:r>
      <w:r w:rsidR="00253A5D">
        <w:t>that was</w:t>
      </w:r>
      <w:r w:rsidR="00DF31AC" w:rsidRPr="00DF31AC">
        <w:t xml:space="preserve"> established in York in 2020 as a partnership between Changing Lives, City of York Council and Tees </w:t>
      </w:r>
      <w:proofErr w:type="spellStart"/>
      <w:r w:rsidR="00DF31AC" w:rsidRPr="00DF31AC">
        <w:t>Esk</w:t>
      </w:r>
      <w:proofErr w:type="spellEnd"/>
      <w:r w:rsidR="00DF31AC" w:rsidRPr="00DF31AC">
        <w:t xml:space="preserve"> and Wear Valley </w:t>
      </w:r>
      <w:r w:rsidR="004A3E50">
        <w:t>Mental Health</w:t>
      </w:r>
      <w:r w:rsidR="00DF31AC" w:rsidRPr="00DF31AC">
        <w:t>Trust.</w:t>
      </w:r>
      <w:r w:rsidR="008B20C0">
        <w:t xml:space="preserve"> Kesia Reeves and Stephen Green </w:t>
      </w:r>
      <w:r w:rsidR="005768BB">
        <w:t xml:space="preserve">from the Centre for Regional Economic and Social Research at Sheffield Hallam University </w:t>
      </w:r>
      <w:r w:rsidR="008B20C0">
        <w:t>talked about their research on homelessness</w:t>
      </w:r>
      <w:r w:rsidR="00F36C88">
        <w:t>,</w:t>
      </w:r>
      <w:r w:rsidR="008B20C0">
        <w:t xml:space="preserve"> mental health</w:t>
      </w:r>
      <w:r w:rsidR="00F36C88">
        <w:t xml:space="preserve"> and multiple disadvantage</w:t>
      </w:r>
      <w:r w:rsidR="008B20C0">
        <w:t>.</w:t>
      </w:r>
      <w:r w:rsidR="008B20C0">
        <w:rPr>
          <w:rStyle w:val="FootnoteReference"/>
        </w:rPr>
        <w:footnoteReference w:id="4"/>
      </w:r>
      <w:r w:rsidR="008B20C0">
        <w:t xml:space="preserve"> </w:t>
      </w:r>
    </w:p>
    <w:p w14:paraId="07EFF7A1" w14:textId="16561CDF" w:rsidR="00235E41" w:rsidRDefault="00235E41"/>
    <w:p w14:paraId="009E61F2" w14:textId="0D648F77" w:rsidR="00235E41" w:rsidRDefault="005C76DD">
      <w:r>
        <w:t>We</w:t>
      </w:r>
      <w:r w:rsidR="00235E41">
        <w:t xml:space="preserve"> presented some thoughts on the legal aspects of homelessness and how it intersects with </w:t>
      </w:r>
      <w:r w:rsidR="008E27DF">
        <w:t xml:space="preserve">people with mental health issues. </w:t>
      </w:r>
      <w:r w:rsidR="009D2B59">
        <w:t xml:space="preserve">Carla’s research has been on the changes to the Housing Act 1996, Part </w:t>
      </w:r>
      <w:r w:rsidR="00C0735B">
        <w:t xml:space="preserve">7, </w:t>
      </w:r>
      <w:r w:rsidR="009D2B59">
        <w:t>made by the Homelessness Reduction Act 2017. For Caroline</w:t>
      </w:r>
      <w:r w:rsidR="00C0735B">
        <w:t>,</w:t>
      </w:r>
      <w:r w:rsidR="009D2B59">
        <w:t xml:space="preserve"> t</w:t>
      </w:r>
      <w:r w:rsidR="008E27DF">
        <w:t>his took me back  firstly</w:t>
      </w:r>
      <w:r w:rsidR="00C0735B">
        <w:t>,</w:t>
      </w:r>
      <w:r w:rsidR="008E27DF">
        <w:t xml:space="preserve"> to the cases on priority need and secondly</w:t>
      </w:r>
      <w:r w:rsidR="00C0735B">
        <w:t>,</w:t>
      </w:r>
      <w:r w:rsidR="008E27DF">
        <w:t xml:space="preserve"> research I led 10 years ago on decision-making on </w:t>
      </w:r>
      <w:r>
        <w:t xml:space="preserve">priority need and in particular the use of </w:t>
      </w:r>
      <w:r w:rsidR="008E27DF">
        <w:t>medical evidence</w:t>
      </w:r>
      <w:r>
        <w:t>.</w:t>
      </w:r>
    </w:p>
    <w:p w14:paraId="34F33460" w14:textId="712D10C0" w:rsidR="005C76DD" w:rsidRDefault="005C76DD"/>
    <w:p w14:paraId="031BFB78" w14:textId="591B6A0B" w:rsidR="002B7E57" w:rsidRDefault="005C76DD">
      <w:pPr>
        <w:rPr>
          <w:b/>
          <w:bCs/>
        </w:rPr>
      </w:pPr>
      <w:r w:rsidRPr="005C76DD">
        <w:rPr>
          <w:b/>
          <w:bCs/>
        </w:rPr>
        <w:t>Homelessness Law</w:t>
      </w:r>
    </w:p>
    <w:p w14:paraId="65D4B9F8" w14:textId="6FC002E1" w:rsidR="008F04C9" w:rsidRDefault="00086984">
      <w:r>
        <w:t xml:space="preserve">As noted above </w:t>
      </w:r>
      <w:r w:rsidR="005C76DD">
        <w:t>the statutory framework on homelessness in England</w:t>
      </w:r>
      <w:r>
        <w:t>, the H</w:t>
      </w:r>
      <w:r w:rsidR="00A41804">
        <w:t>o</w:t>
      </w:r>
      <w:r>
        <w:t>using Act 1996, Part 7</w:t>
      </w:r>
      <w:r w:rsidR="00A41804">
        <w:t>,</w:t>
      </w:r>
      <w:r w:rsidR="005C76DD">
        <w:t xml:space="preserve"> </w:t>
      </w:r>
      <w:r w:rsidR="00A41804">
        <w:t>was</w:t>
      </w:r>
      <w:r w:rsidR="005C76DD">
        <w:t xml:space="preserve"> changed markedly </w:t>
      </w:r>
      <w:r w:rsidR="00AC6C8C">
        <w:t>by the Homelessness Reduction Act 2017. This added a layer of duties on local authorities that arise before the main homelessness duty</w:t>
      </w:r>
      <w:r w:rsidR="00946D8D">
        <w:t xml:space="preserve">. </w:t>
      </w:r>
      <w:r w:rsidR="00E929FB">
        <w:t xml:space="preserve">The </w:t>
      </w:r>
      <w:r w:rsidR="008F04C9" w:rsidRPr="008F04C9">
        <w:t xml:space="preserve">key </w:t>
      </w:r>
      <w:r w:rsidR="006A000A">
        <w:t xml:space="preserve">new </w:t>
      </w:r>
      <w:r w:rsidR="008F04C9" w:rsidRPr="008F04C9">
        <w:t xml:space="preserve">duties </w:t>
      </w:r>
      <w:r w:rsidR="009C695C">
        <w:t xml:space="preserve">are </w:t>
      </w:r>
      <w:r w:rsidR="008F04C9" w:rsidRPr="008F04C9">
        <w:t>owed to anyone who is homeless (</w:t>
      </w:r>
      <w:r w:rsidR="009C695C">
        <w:t xml:space="preserve">i.e. </w:t>
      </w:r>
      <w:r w:rsidR="008F04C9" w:rsidRPr="008F04C9">
        <w:t>has no accommodation available</w:t>
      </w:r>
      <w:r w:rsidR="00E929FB">
        <w:rPr>
          <w:rStyle w:val="FootnoteReference"/>
        </w:rPr>
        <w:footnoteReference w:id="5"/>
      </w:r>
      <w:r w:rsidR="008F04C9" w:rsidRPr="008F04C9">
        <w:t>) or is at risk of becoming homeless in 56 days, and is eligible for assistance</w:t>
      </w:r>
      <w:r w:rsidR="00E929FB">
        <w:rPr>
          <w:rStyle w:val="FootnoteReference"/>
        </w:rPr>
        <w:footnoteReference w:id="6"/>
      </w:r>
      <w:r w:rsidR="008F04C9" w:rsidRPr="008F04C9">
        <w:t xml:space="preserve"> (</w:t>
      </w:r>
      <w:r w:rsidR="00E929FB">
        <w:t>i</w:t>
      </w:r>
      <w:r w:rsidR="009C695C">
        <w:t>.</w:t>
      </w:r>
      <w:r w:rsidR="00E929FB">
        <w:t>e</w:t>
      </w:r>
      <w:r w:rsidR="009C695C">
        <w:t>.</w:t>
      </w:r>
      <w:r w:rsidR="00E929FB">
        <w:t xml:space="preserve"> </w:t>
      </w:r>
      <w:r w:rsidR="008F04C9" w:rsidRPr="008F04C9">
        <w:t>has recourse to public funds)</w:t>
      </w:r>
      <w:r w:rsidR="009C695C">
        <w:t xml:space="preserve">. </w:t>
      </w:r>
      <w:r w:rsidR="00A41804">
        <w:t>Because</w:t>
      </w:r>
      <w:r w:rsidR="00F36C88">
        <w:t xml:space="preserve"> the</w:t>
      </w:r>
      <w:r w:rsidR="00A41804">
        <w:t xml:space="preserve"> duties are open to anyone who is homelessness or threaten</w:t>
      </w:r>
      <w:r w:rsidR="009E4DBF">
        <w:t>ed</w:t>
      </w:r>
      <w:r w:rsidR="00A41804">
        <w:t xml:space="preserve"> with it and eligible, the </w:t>
      </w:r>
      <w:r w:rsidR="00A41804" w:rsidRPr="008F04C9">
        <w:t>personal characteristics</w:t>
      </w:r>
      <w:r w:rsidR="00A41804">
        <w:t>, such as the health</w:t>
      </w:r>
      <w:r w:rsidR="00A41804" w:rsidRPr="008F04C9">
        <w:t xml:space="preserve"> of the applicant</w:t>
      </w:r>
      <w:r w:rsidR="009E4DBF">
        <w:t>,</w:t>
      </w:r>
      <w:r w:rsidR="00A41804" w:rsidRPr="008F04C9">
        <w:t xml:space="preserve"> do not matter in determining whether they are owed a duty. </w:t>
      </w:r>
      <w:r w:rsidR="00A41804">
        <w:t xml:space="preserve">Local authority must take action without having to assess the medical </w:t>
      </w:r>
      <w:r w:rsidR="009E4DBF">
        <w:t xml:space="preserve">needs </w:t>
      </w:r>
      <w:r w:rsidR="00A41804">
        <w:t>of the applicant</w:t>
      </w:r>
      <w:r w:rsidR="00F36C88">
        <w:t>,</w:t>
      </w:r>
      <w:r w:rsidR="00A41804">
        <w:t xml:space="preserve"> that leads to the problems </w:t>
      </w:r>
      <w:r w:rsidR="00A41804">
        <w:lastRenderedPageBreak/>
        <w:t xml:space="preserve">discussed below about medical evidence. This was deliberate - the 2017 Act was designed to </w:t>
      </w:r>
      <w:r w:rsidR="00A41804" w:rsidRPr="009C695C">
        <w:t>open up assistance from local authorities to help more people than ever before.</w:t>
      </w:r>
      <w:r w:rsidR="00A41804">
        <w:rPr>
          <w:rStyle w:val="FootnoteReference"/>
        </w:rPr>
        <w:footnoteReference w:id="7"/>
      </w:r>
    </w:p>
    <w:p w14:paraId="7389F669" w14:textId="77777777" w:rsidR="008F04C9" w:rsidRDefault="008F04C9"/>
    <w:p w14:paraId="0A431343" w14:textId="34B4508A" w:rsidR="008F04C9" w:rsidRDefault="008F04C9">
      <w:r>
        <w:t xml:space="preserve">The keys duties </w:t>
      </w:r>
      <w:r w:rsidR="009E4DBF">
        <w:t>t</w:t>
      </w:r>
      <w:r>
        <w:t xml:space="preserve">hat we focused </w:t>
      </w:r>
      <w:r w:rsidR="00255F6F">
        <w:t xml:space="preserve">in the seminar </w:t>
      </w:r>
      <w:r>
        <w:t>were:</w:t>
      </w:r>
    </w:p>
    <w:p w14:paraId="36D6F8E5" w14:textId="7B1A5486" w:rsidR="008F04C9" w:rsidRPr="008F04C9" w:rsidRDefault="008F04C9" w:rsidP="008F04C9">
      <w:pPr>
        <w:pStyle w:val="ListParagraph"/>
        <w:numPr>
          <w:ilvl w:val="0"/>
          <w:numId w:val="1"/>
        </w:numPr>
      </w:pPr>
      <w:r>
        <w:t xml:space="preserve">The </w:t>
      </w:r>
      <w:r w:rsidRPr="008F04C9">
        <w:t xml:space="preserve">Prevention Duty </w:t>
      </w:r>
      <w:r>
        <w:t xml:space="preserve">- </w:t>
      </w:r>
      <w:r w:rsidRPr="008F04C9">
        <w:t>s.195</w:t>
      </w:r>
    </w:p>
    <w:p w14:paraId="70173FE1" w14:textId="04619181" w:rsidR="008F04C9" w:rsidRPr="008F04C9" w:rsidRDefault="008F04C9" w:rsidP="008F04C9">
      <w:pPr>
        <w:pStyle w:val="ListParagraph"/>
        <w:numPr>
          <w:ilvl w:val="0"/>
          <w:numId w:val="1"/>
        </w:numPr>
      </w:pPr>
      <w:r>
        <w:t xml:space="preserve">The </w:t>
      </w:r>
      <w:r w:rsidRPr="008F04C9">
        <w:t xml:space="preserve">Relief Duty </w:t>
      </w:r>
      <w:r>
        <w:t xml:space="preserve">- </w:t>
      </w:r>
      <w:r w:rsidRPr="008F04C9">
        <w:t>s.189(B)</w:t>
      </w:r>
    </w:p>
    <w:p w14:paraId="13673504" w14:textId="58127F71" w:rsidR="008F04C9" w:rsidRDefault="008F04C9" w:rsidP="008F04C9">
      <w:pPr>
        <w:pStyle w:val="ListParagraph"/>
        <w:numPr>
          <w:ilvl w:val="0"/>
          <w:numId w:val="1"/>
        </w:numPr>
      </w:pPr>
      <w:r>
        <w:t xml:space="preserve">The </w:t>
      </w:r>
      <w:r w:rsidRPr="008F04C9">
        <w:t>Duty to Assess an Applicant</w:t>
      </w:r>
      <w:r w:rsidR="00F36C88">
        <w:t>’</w:t>
      </w:r>
      <w:r w:rsidRPr="008F04C9">
        <w:t>s Needs and agree a Personal Housing Plan</w:t>
      </w:r>
      <w:r>
        <w:t xml:space="preserve"> </w:t>
      </w:r>
      <w:r w:rsidR="009E4DBF">
        <w:t xml:space="preserve">- </w:t>
      </w:r>
      <w:r>
        <w:t>s</w:t>
      </w:r>
      <w:r w:rsidRPr="008F04C9">
        <w:t>.189(A)</w:t>
      </w:r>
      <w:r>
        <w:t>.</w:t>
      </w:r>
    </w:p>
    <w:p w14:paraId="4C673F24" w14:textId="2FEE1CC0" w:rsidR="00FC702E" w:rsidRDefault="00FC702E" w:rsidP="008F04C9"/>
    <w:p w14:paraId="5CD1AEF7" w14:textId="0DB551BC" w:rsidR="00FC702E" w:rsidRPr="008F04C9" w:rsidRDefault="00A41804" w:rsidP="008F04C9">
      <w:r>
        <w:t>The p</w:t>
      </w:r>
      <w:r w:rsidRPr="008F04C9">
        <w:t>revention duty i</w:t>
      </w:r>
      <w:r>
        <w:t>s focused</w:t>
      </w:r>
      <w:r w:rsidRPr="008F04C9">
        <w:t xml:space="preserve"> </w:t>
      </w:r>
      <w:r>
        <w:t>on</w:t>
      </w:r>
      <w:r w:rsidRPr="008F04C9">
        <w:t xml:space="preserve"> those at </w:t>
      </w:r>
      <w:r w:rsidRPr="00255F6F">
        <w:rPr>
          <w:i/>
          <w:iCs/>
        </w:rPr>
        <w:t>risk</w:t>
      </w:r>
      <w:r w:rsidRPr="008F04C9">
        <w:t xml:space="preserve"> of homelessness</w:t>
      </w:r>
      <w:r>
        <w:t xml:space="preserve"> within 56 days</w:t>
      </w:r>
      <w:r w:rsidR="00F36C88">
        <w:t>,</w:t>
      </w:r>
      <w:r>
        <w:t xml:space="preserve"> while the </w:t>
      </w:r>
      <w:r w:rsidRPr="008F04C9">
        <w:t xml:space="preserve">relief duty is for those who then become homeless or </w:t>
      </w:r>
      <w:r>
        <w:t xml:space="preserve">who </w:t>
      </w:r>
      <w:r w:rsidRPr="008F04C9">
        <w:t xml:space="preserve">approach </w:t>
      </w:r>
      <w:r>
        <w:t xml:space="preserve">the local authority when </w:t>
      </w:r>
      <w:r w:rsidRPr="008F04C9">
        <w:t>already homeless.</w:t>
      </w:r>
      <w:r>
        <w:t xml:space="preserve"> </w:t>
      </w:r>
      <w:r w:rsidR="00FC702E">
        <w:t>The prevent</w:t>
      </w:r>
      <w:r w:rsidR="009E4DBF">
        <w:t>ion</w:t>
      </w:r>
      <w:r w:rsidR="00FC702E">
        <w:t xml:space="preserve"> duty in </w:t>
      </w:r>
      <w:r w:rsidR="007628FC">
        <w:t xml:space="preserve">HA 1996, </w:t>
      </w:r>
      <w:r w:rsidR="00FC702E">
        <w:t>s</w:t>
      </w:r>
      <w:r w:rsidR="007628FC">
        <w:t>.195 requires the authority to ‘</w:t>
      </w:r>
      <w:r w:rsidR="007628FC" w:rsidRPr="007628FC">
        <w:t xml:space="preserve">take </w:t>
      </w:r>
      <w:r w:rsidR="007628FC" w:rsidRPr="00211407">
        <w:rPr>
          <w:i/>
          <w:iCs/>
        </w:rPr>
        <w:t>reasonable steps</w:t>
      </w:r>
      <w:r w:rsidR="007628FC" w:rsidRPr="007628FC">
        <w:t xml:space="preserve"> </w:t>
      </w:r>
      <w:r w:rsidR="007628FC" w:rsidRPr="00211407">
        <w:rPr>
          <w:i/>
          <w:iCs/>
        </w:rPr>
        <w:t>to help</w:t>
      </w:r>
      <w:r w:rsidR="007628FC" w:rsidRPr="007628FC">
        <w:t xml:space="preserve"> the applicant to secure that accommodation does not cease to be available for the applicant's occupation.</w:t>
      </w:r>
      <w:r w:rsidR="007628FC">
        <w:t>’</w:t>
      </w:r>
      <w:r w:rsidR="007628FC">
        <w:rPr>
          <w:rStyle w:val="FootnoteReference"/>
        </w:rPr>
        <w:footnoteReference w:id="8"/>
      </w:r>
      <w:r w:rsidR="007628FC">
        <w:t xml:space="preserve"> By contrast the relief </w:t>
      </w:r>
      <w:r w:rsidR="00AF6428">
        <w:t xml:space="preserve">duty </w:t>
      </w:r>
      <w:r w:rsidR="007628FC">
        <w:t xml:space="preserve">is to </w:t>
      </w:r>
      <w:r w:rsidR="00A7148A">
        <w:t>‘</w:t>
      </w:r>
      <w:r w:rsidR="00AF6428" w:rsidRPr="007628FC">
        <w:t xml:space="preserve">take </w:t>
      </w:r>
      <w:r w:rsidR="00AF6428" w:rsidRPr="00211407">
        <w:rPr>
          <w:i/>
          <w:iCs/>
        </w:rPr>
        <w:t>reasonable steps</w:t>
      </w:r>
      <w:r w:rsidR="00AF6428" w:rsidRPr="007628FC">
        <w:t xml:space="preserve"> </w:t>
      </w:r>
      <w:r w:rsidR="00AF6428" w:rsidRPr="00211407">
        <w:rPr>
          <w:i/>
          <w:iCs/>
        </w:rPr>
        <w:t>to help</w:t>
      </w:r>
      <w:r w:rsidR="00AF6428" w:rsidRPr="007628FC">
        <w:t xml:space="preserve"> </w:t>
      </w:r>
      <w:r w:rsidR="007628FC">
        <w:t xml:space="preserve">the applicant to </w:t>
      </w:r>
      <w:r w:rsidR="00C4723D">
        <w:t xml:space="preserve">secure that suitable accommodation </w:t>
      </w:r>
      <w:r w:rsidR="00AF6428" w:rsidRPr="00AF6428">
        <w:t>becomes available for the applicant's occupation for at least</w:t>
      </w:r>
      <w:r w:rsidR="00AF6428">
        <w:t xml:space="preserve"> 6 months.</w:t>
      </w:r>
      <w:r w:rsidR="00A7148A">
        <w:t>’</w:t>
      </w:r>
      <w:r w:rsidR="00AF6428">
        <w:rPr>
          <w:rStyle w:val="FootnoteReference"/>
        </w:rPr>
        <w:footnoteReference w:id="9"/>
      </w:r>
    </w:p>
    <w:p w14:paraId="6BC72FFF" w14:textId="5389415F" w:rsidR="008F04C9" w:rsidRDefault="008F04C9" w:rsidP="008F04C9"/>
    <w:p w14:paraId="12538059" w14:textId="6D898FB3" w:rsidR="00946D8D" w:rsidRDefault="00946D8D" w:rsidP="00946D8D">
      <w:r w:rsidRPr="00946D8D">
        <w:t xml:space="preserve">Key in deciding what reasonable steps to take under the prevention and relief duties is an </w:t>
      </w:r>
      <w:r w:rsidR="00DE5CAE" w:rsidRPr="00946D8D">
        <w:t>applicant’s</w:t>
      </w:r>
      <w:r w:rsidRPr="00946D8D">
        <w:t xml:space="preserve"> assessment of needs and </w:t>
      </w:r>
      <w:r w:rsidR="00F36C88">
        <w:t xml:space="preserve">a </w:t>
      </w:r>
      <w:r w:rsidRPr="00946D8D">
        <w:t>personal housing plan</w:t>
      </w:r>
      <w:r w:rsidR="00EC64C8">
        <w:t>.</w:t>
      </w:r>
      <w:r w:rsidR="00A7148A">
        <w:rPr>
          <w:rStyle w:val="FootnoteReference"/>
        </w:rPr>
        <w:footnoteReference w:id="10"/>
      </w:r>
      <w:r w:rsidRPr="00946D8D">
        <w:t xml:space="preserve"> Assessment of support </w:t>
      </w:r>
      <w:r w:rsidR="00EC64C8">
        <w:t xml:space="preserve">is </w:t>
      </w:r>
      <w:r w:rsidRPr="00946D8D">
        <w:t xml:space="preserve">likely to be important for anyone experiencing mental health needs. But </w:t>
      </w:r>
      <w:r w:rsidR="00EC64C8">
        <w:t>the</w:t>
      </w:r>
      <w:r w:rsidRPr="00946D8D">
        <w:t xml:space="preserve"> duty </w:t>
      </w:r>
      <w:r w:rsidR="00EC64C8">
        <w:t xml:space="preserve">is only </w:t>
      </w:r>
      <w:r w:rsidRPr="00946D8D">
        <w:t xml:space="preserve">to record support needs, not </w:t>
      </w:r>
      <w:r w:rsidR="00C6375B">
        <w:t xml:space="preserve">a </w:t>
      </w:r>
      <w:r w:rsidRPr="00946D8D">
        <w:t>duty to</w:t>
      </w:r>
      <w:r w:rsidR="00F94684">
        <w:t xml:space="preserve"> guarantee they are met</w:t>
      </w:r>
      <w:r w:rsidRPr="00946D8D">
        <w:t xml:space="preserve">. </w:t>
      </w:r>
      <w:r w:rsidR="00EC64C8">
        <w:t>A p</w:t>
      </w:r>
      <w:r w:rsidRPr="00946D8D">
        <w:t xml:space="preserve">ersonal </w:t>
      </w:r>
      <w:r w:rsidR="00EC64C8">
        <w:t>h</w:t>
      </w:r>
      <w:r w:rsidRPr="00946D8D">
        <w:t xml:space="preserve">ousing </w:t>
      </w:r>
      <w:r w:rsidR="00EC64C8">
        <w:t>p</w:t>
      </w:r>
      <w:r w:rsidRPr="00946D8D">
        <w:t>lan</w:t>
      </w:r>
      <w:r w:rsidR="00EC64C8">
        <w:t xml:space="preserve"> i</w:t>
      </w:r>
      <w:r w:rsidR="00F36C88">
        <w:t>s</w:t>
      </w:r>
      <w:r w:rsidR="00EC64C8">
        <w:t xml:space="preserve"> required,</w:t>
      </w:r>
      <w:r w:rsidR="00EC64C8">
        <w:rPr>
          <w:rStyle w:val="FootnoteReference"/>
        </w:rPr>
        <w:footnoteReference w:id="11"/>
      </w:r>
      <w:r w:rsidRPr="00946D8D">
        <w:t xml:space="preserve"> recording reasonable steps the local authority and the applicant are to take to </w:t>
      </w:r>
      <w:r w:rsidR="00721358">
        <w:t>find and retain accommodation.</w:t>
      </w:r>
      <w:r w:rsidRPr="00946D8D">
        <w:t xml:space="preserve">. </w:t>
      </w:r>
      <w:r w:rsidR="00D22B09">
        <w:t>Plans are s</w:t>
      </w:r>
      <w:r w:rsidRPr="00946D8D">
        <w:t>upposed to be tailored to the applicant</w:t>
      </w:r>
      <w:r w:rsidR="00211407">
        <w:rPr>
          <w:rStyle w:val="FootnoteReference"/>
        </w:rPr>
        <w:footnoteReference w:id="12"/>
      </w:r>
      <w:r w:rsidRPr="00946D8D">
        <w:t xml:space="preserve"> </w:t>
      </w:r>
      <w:r w:rsidR="00D22B09">
        <w:t xml:space="preserve">and </w:t>
      </w:r>
      <w:r w:rsidRPr="00946D8D">
        <w:t xml:space="preserve">so </w:t>
      </w:r>
      <w:r w:rsidRPr="00946D8D">
        <w:rPr>
          <w:i/>
          <w:iCs/>
        </w:rPr>
        <w:t>should</w:t>
      </w:r>
      <w:r w:rsidRPr="00946D8D">
        <w:t xml:space="preserve"> take into account the effect of any mental health needs on suitability of suggested steps. </w:t>
      </w:r>
    </w:p>
    <w:p w14:paraId="38B2A628" w14:textId="389D2D1D" w:rsidR="00A7148A" w:rsidRDefault="00A7148A" w:rsidP="00946D8D"/>
    <w:p w14:paraId="0F2E0AA0" w14:textId="68598A64" w:rsidR="00A7148A" w:rsidRDefault="00A7148A" w:rsidP="00A7148A">
      <w:r>
        <w:t xml:space="preserve">Both </w:t>
      </w:r>
      <w:r w:rsidR="00EC64C8">
        <w:t>the prev</w:t>
      </w:r>
      <w:r w:rsidR="00B62B3A">
        <w:t>e</w:t>
      </w:r>
      <w:r w:rsidR="00EC64C8">
        <w:t>nt</w:t>
      </w:r>
      <w:r w:rsidR="00E60814">
        <w:t>ion</w:t>
      </w:r>
      <w:r w:rsidR="00EC64C8">
        <w:t xml:space="preserve"> and relief </w:t>
      </w:r>
      <w:r>
        <w:t xml:space="preserve">duties can </w:t>
      </w:r>
      <w:r w:rsidR="00F36C88">
        <w:t xml:space="preserve">be </w:t>
      </w:r>
      <w:r w:rsidRPr="008F04C9">
        <w:t>end</w:t>
      </w:r>
      <w:r>
        <w:t>ed</w:t>
      </w:r>
      <w:r w:rsidRPr="008F04C9">
        <w:t xml:space="preserve"> due to</w:t>
      </w:r>
      <w:r w:rsidR="00F36C88">
        <w:t xml:space="preserve"> a</w:t>
      </w:r>
      <w:r w:rsidR="00E60814">
        <w:t xml:space="preserve"> </w:t>
      </w:r>
      <w:r w:rsidRPr="008F04C9">
        <w:t>‘deliberate and unreasonable refusal to cooperate’</w:t>
      </w:r>
      <w:r>
        <w:t xml:space="preserve"> with the plan.</w:t>
      </w:r>
      <w:r w:rsidR="00EC64C8">
        <w:rPr>
          <w:rStyle w:val="FootnoteReference"/>
        </w:rPr>
        <w:footnoteReference w:id="13"/>
      </w:r>
      <w:r>
        <w:t xml:space="preserve"> </w:t>
      </w:r>
      <w:r w:rsidRPr="008F04C9">
        <w:t xml:space="preserve">Little </w:t>
      </w:r>
      <w:r w:rsidR="00F36C88">
        <w:t xml:space="preserve">is </w:t>
      </w:r>
      <w:r w:rsidRPr="008F04C9">
        <w:t xml:space="preserve">known at the moment of </w:t>
      </w:r>
      <w:r w:rsidR="00E60814">
        <w:t xml:space="preserve">the </w:t>
      </w:r>
      <w:r w:rsidRPr="008F04C9">
        <w:t xml:space="preserve">use of </w:t>
      </w:r>
      <w:r w:rsidR="00E60814">
        <w:t xml:space="preserve">the </w:t>
      </w:r>
      <w:r w:rsidRPr="008F04C9">
        <w:t xml:space="preserve">ability to end duties in this way and </w:t>
      </w:r>
      <w:r w:rsidR="00E60814">
        <w:t xml:space="preserve">the </w:t>
      </w:r>
      <w:r w:rsidRPr="008F04C9">
        <w:t xml:space="preserve">circumstances in which authorities will use </w:t>
      </w:r>
      <w:r w:rsidR="00E60814">
        <w:t xml:space="preserve">it </w:t>
      </w:r>
      <w:r w:rsidRPr="008F04C9">
        <w:t xml:space="preserve">– but </w:t>
      </w:r>
      <w:r w:rsidR="00F36C88">
        <w:t xml:space="preserve">it </w:t>
      </w:r>
      <w:r w:rsidRPr="008F04C9">
        <w:t>creates a potential risk for misunderstood symptoms/behaviour</w:t>
      </w:r>
      <w:r>
        <w:t xml:space="preserve"> (such as </w:t>
      </w:r>
      <w:r w:rsidR="0094135E">
        <w:t xml:space="preserve">the </w:t>
      </w:r>
      <w:r w:rsidRPr="008F04C9">
        <w:t>symptom</w:t>
      </w:r>
      <w:r w:rsidR="0094135E">
        <w:t>s</w:t>
      </w:r>
      <w:r w:rsidRPr="008F04C9">
        <w:t xml:space="preserve"> of depression/</w:t>
      </w:r>
      <w:r>
        <w:t>anxiety)</w:t>
      </w:r>
      <w:r w:rsidRPr="008F04C9">
        <w:t xml:space="preserve"> by applicant</w:t>
      </w:r>
      <w:r>
        <w:t>s</w:t>
      </w:r>
      <w:r w:rsidRPr="008F04C9">
        <w:t xml:space="preserve"> experiencing mental health need.</w:t>
      </w:r>
    </w:p>
    <w:p w14:paraId="539DBD8A" w14:textId="35356714" w:rsidR="008F04C9" w:rsidRDefault="008F04C9" w:rsidP="008F04C9"/>
    <w:p w14:paraId="17B7F1EE" w14:textId="50CB9BD6" w:rsidR="00946D8D" w:rsidRPr="00946D8D" w:rsidRDefault="00210004" w:rsidP="00946D8D">
      <w:r>
        <w:t>What is clear from these new duties is that t</w:t>
      </w:r>
      <w:r w:rsidR="00946D8D" w:rsidRPr="00946D8D">
        <w:t xml:space="preserve">here is </w:t>
      </w:r>
      <w:r w:rsidR="00E60814">
        <w:t xml:space="preserve">still </w:t>
      </w:r>
      <w:r w:rsidR="00946D8D" w:rsidRPr="00946D8D">
        <w:t xml:space="preserve">no obligation on an authority to provide temporary </w:t>
      </w:r>
      <w:r w:rsidR="00E60814">
        <w:t xml:space="preserve">or settled </w:t>
      </w:r>
      <w:r w:rsidR="00946D8D" w:rsidRPr="00946D8D">
        <w:t xml:space="preserve">accommodation to all who need it. </w:t>
      </w:r>
      <w:r w:rsidR="00B62B3A">
        <w:t xml:space="preserve">Hence the full duty will remain very important for those with mental health issues. </w:t>
      </w:r>
      <w:r w:rsidR="00946D8D" w:rsidRPr="00946D8D">
        <w:t xml:space="preserve">This </w:t>
      </w:r>
      <w:r w:rsidR="00B62B3A">
        <w:t>of course means</w:t>
      </w:r>
      <w:r w:rsidR="00B5718A">
        <w:t xml:space="preserve"> </w:t>
      </w:r>
      <w:r w:rsidR="00B62B3A">
        <w:lastRenderedPageBreak/>
        <w:t>consideration</w:t>
      </w:r>
      <w:r w:rsidR="00E1414F">
        <w:t xml:space="preserve"> </w:t>
      </w:r>
      <w:r w:rsidR="00B62B3A">
        <w:t xml:space="preserve">of not </w:t>
      </w:r>
      <w:r w:rsidR="00E60814">
        <w:t>only</w:t>
      </w:r>
      <w:r w:rsidR="00B62B3A">
        <w:t xml:space="preserve"> homelessness and eligibility</w:t>
      </w:r>
      <w:r w:rsidR="00E60814">
        <w:t>,</w:t>
      </w:r>
      <w:r w:rsidR="00B62B3A">
        <w:t xml:space="preserve"> but also priority need</w:t>
      </w:r>
      <w:r w:rsidR="00E1414F">
        <w:rPr>
          <w:rStyle w:val="FootnoteReference"/>
        </w:rPr>
        <w:footnoteReference w:id="14"/>
      </w:r>
      <w:r w:rsidR="00B62B3A">
        <w:t xml:space="preserve"> and </w:t>
      </w:r>
      <w:r w:rsidR="00E1414F">
        <w:t>intentional homelessness.</w:t>
      </w:r>
      <w:r w:rsidR="00E1414F">
        <w:rPr>
          <w:rStyle w:val="FootnoteReference"/>
        </w:rPr>
        <w:footnoteReference w:id="15"/>
      </w:r>
      <w:r w:rsidR="00E1414F">
        <w:t xml:space="preserve"> </w:t>
      </w:r>
    </w:p>
    <w:p w14:paraId="08AD454A" w14:textId="77777777" w:rsidR="00946D8D" w:rsidRDefault="00946D8D" w:rsidP="00946D8D"/>
    <w:p w14:paraId="31277090" w14:textId="3D5C53F4" w:rsidR="00946D8D" w:rsidRDefault="00E1414F" w:rsidP="00946D8D">
      <w:r>
        <w:t xml:space="preserve">If any applicant is homeless, eligible, in priority need and not </w:t>
      </w:r>
      <w:r w:rsidR="00D22B09">
        <w:t>intentional</w:t>
      </w:r>
      <w:r w:rsidR="00E60814">
        <w:t>ly</w:t>
      </w:r>
      <w:r w:rsidR="00D22B09">
        <w:t xml:space="preserve"> homelessness the relevant authority  ‘</w:t>
      </w:r>
      <w:r w:rsidR="00D22B09" w:rsidRPr="00D22B09">
        <w:t xml:space="preserve">shall </w:t>
      </w:r>
      <w:r w:rsidR="00D22B09" w:rsidRPr="00211407">
        <w:rPr>
          <w:i/>
          <w:iCs/>
        </w:rPr>
        <w:t>secure</w:t>
      </w:r>
      <w:r w:rsidR="00D22B09" w:rsidRPr="00D22B09">
        <w:t xml:space="preserve"> that accommodation is available for occupation by the applicant.</w:t>
      </w:r>
      <w:r w:rsidR="00D22B09">
        <w:t>’</w:t>
      </w:r>
      <w:r w:rsidR="00D22B09">
        <w:rPr>
          <w:rStyle w:val="FootnoteReference"/>
        </w:rPr>
        <w:footnoteReference w:id="16"/>
      </w:r>
      <w:r w:rsidR="00D22B09">
        <w:t xml:space="preserve"> Although the duty can be discharged through a </w:t>
      </w:r>
      <w:r w:rsidR="002B71C9">
        <w:t>tenancy of at least 12 months,</w:t>
      </w:r>
      <w:r w:rsidR="002B71C9">
        <w:rPr>
          <w:rStyle w:val="FootnoteReference"/>
        </w:rPr>
        <w:footnoteReference w:id="17"/>
      </w:r>
      <w:r w:rsidR="002B71C9">
        <w:t xml:space="preserve"> it is also the route into a social tenancy.</w:t>
      </w:r>
      <w:r w:rsidR="002B71C9">
        <w:rPr>
          <w:rStyle w:val="FootnoteReference"/>
        </w:rPr>
        <w:footnoteReference w:id="18"/>
      </w:r>
    </w:p>
    <w:p w14:paraId="04A16B99" w14:textId="77777777" w:rsidR="008F04C9" w:rsidRDefault="008F04C9"/>
    <w:p w14:paraId="04CF1A52" w14:textId="0BBFFAA5" w:rsidR="00946D8D" w:rsidRDefault="00946D8D">
      <w:pPr>
        <w:rPr>
          <w:b/>
          <w:bCs/>
        </w:rPr>
      </w:pPr>
      <w:r>
        <w:rPr>
          <w:b/>
          <w:bCs/>
        </w:rPr>
        <w:t>Priority Need</w:t>
      </w:r>
    </w:p>
    <w:p w14:paraId="05F96046" w14:textId="1A0D9A40" w:rsidR="00DE5CAE" w:rsidRPr="00946D8D" w:rsidRDefault="0094135E" w:rsidP="00946D8D">
      <w:r>
        <w:t>Turning to priority need, a</w:t>
      </w:r>
      <w:r w:rsidR="00946D8D" w:rsidRPr="00946D8D">
        <w:t>pplicants with mental health issues may fit under any of the priority need criteria. However,</w:t>
      </w:r>
      <w:r w:rsidR="00DE5CAE">
        <w:t xml:space="preserve"> </w:t>
      </w:r>
      <w:r w:rsidR="00946D8D" w:rsidRPr="00946D8D">
        <w:t xml:space="preserve">most of the issues arise in cases of people without children and </w:t>
      </w:r>
      <w:r w:rsidR="00E1414F">
        <w:t>for that reason in the seminar we</w:t>
      </w:r>
      <w:r w:rsidR="00946D8D" w:rsidRPr="00946D8D">
        <w:t xml:space="preserve"> </w:t>
      </w:r>
      <w:r w:rsidR="00E1414F">
        <w:t>f</w:t>
      </w:r>
      <w:r w:rsidR="00946D8D" w:rsidRPr="00946D8D">
        <w:t>ocus</w:t>
      </w:r>
      <w:r w:rsidR="00E1414F">
        <w:t>ed</w:t>
      </w:r>
      <w:r w:rsidR="00946D8D" w:rsidRPr="00946D8D">
        <w:t xml:space="preserve"> o</w:t>
      </w:r>
      <w:r w:rsidR="00E1414F">
        <w:t>n</w:t>
      </w:r>
      <w:r w:rsidR="00946D8D" w:rsidRPr="00946D8D">
        <w:t xml:space="preserve"> whether applica</w:t>
      </w:r>
      <w:r w:rsidR="003D147A">
        <w:t>n</w:t>
      </w:r>
      <w:r w:rsidR="00946D8D" w:rsidRPr="00946D8D">
        <w:t>t</w:t>
      </w:r>
      <w:r w:rsidR="00E1414F">
        <w:t>s</w:t>
      </w:r>
      <w:r w:rsidR="00946D8D" w:rsidRPr="00946D8D">
        <w:t xml:space="preserve"> are vulnerable</w:t>
      </w:r>
      <w:r w:rsidR="00E1414F">
        <w:t>.</w:t>
      </w:r>
      <w:r w:rsidR="00946D8D" w:rsidRPr="00946D8D">
        <w:t xml:space="preserve"> </w:t>
      </w:r>
      <w:r w:rsidR="00DE5CAE">
        <w:t xml:space="preserve">No doubt readers of the </w:t>
      </w:r>
      <w:r w:rsidR="00D22B09">
        <w:t>J</w:t>
      </w:r>
      <w:r w:rsidR="00DE5CAE">
        <w:t>ournal will be familiar with the statutory definition</w:t>
      </w:r>
      <w:r w:rsidR="00172909">
        <w:t xml:space="preserve"> in s.189 of the HA 1996 </w:t>
      </w:r>
      <w:r w:rsidR="00DE5CAE">
        <w:t>:</w:t>
      </w:r>
    </w:p>
    <w:p w14:paraId="2CDB5793" w14:textId="3F800926" w:rsidR="00172909" w:rsidRDefault="00172909" w:rsidP="00172909">
      <w:pPr>
        <w:ind w:left="720"/>
      </w:pPr>
      <w:r w:rsidRPr="00172909">
        <w:t>The following have a priority need for accommodation</w:t>
      </w:r>
      <w:r>
        <w:t>:</w:t>
      </w:r>
    </w:p>
    <w:p w14:paraId="2DEBD43E" w14:textId="04B3431B" w:rsidR="00172909" w:rsidRPr="00172909" w:rsidRDefault="00172909" w:rsidP="00172909">
      <w:pPr>
        <w:ind w:left="720"/>
      </w:pPr>
      <w:r>
        <w:t xml:space="preserve">(c) </w:t>
      </w:r>
      <w:r w:rsidRPr="00172909">
        <w:t>A person who is vulnerable as a result of old age, mental illness or disability or other special reason…</w:t>
      </w:r>
    </w:p>
    <w:p w14:paraId="358352C6" w14:textId="77777777" w:rsidR="00946D8D" w:rsidRDefault="00946D8D"/>
    <w:p w14:paraId="46F10483" w14:textId="16E33E3A" w:rsidR="00946D8D" w:rsidRPr="00946D8D" w:rsidRDefault="00172909" w:rsidP="00946D8D">
      <w:r>
        <w:t>The l</w:t>
      </w:r>
      <w:r w:rsidR="00946D8D" w:rsidRPr="00946D8D">
        <w:t xml:space="preserve">eading case </w:t>
      </w:r>
      <w:r w:rsidR="003D147A">
        <w:t>on</w:t>
      </w:r>
      <w:r w:rsidR="00946D8D" w:rsidRPr="00946D8D">
        <w:t xml:space="preserve"> </w:t>
      </w:r>
      <w:r>
        <w:t xml:space="preserve">the meaning of the section is </w:t>
      </w:r>
      <w:proofErr w:type="spellStart"/>
      <w:r w:rsidR="00946D8D" w:rsidRPr="00946D8D">
        <w:rPr>
          <w:i/>
          <w:iCs/>
        </w:rPr>
        <w:t>Hotak</w:t>
      </w:r>
      <w:proofErr w:type="spellEnd"/>
      <w:r w:rsidR="00946D8D" w:rsidRPr="00946D8D">
        <w:t>.</w:t>
      </w:r>
      <w:r>
        <w:rPr>
          <w:rStyle w:val="FootnoteReference"/>
        </w:rPr>
        <w:footnoteReference w:id="19"/>
      </w:r>
      <w:r w:rsidR="00946D8D" w:rsidRPr="00946D8D">
        <w:t xml:space="preserve"> </w:t>
      </w:r>
      <w:r w:rsidR="004805DB">
        <w:t>As Justin Bates wrote in 2015 the decision of the Supreme Court ‘changed long-held conceptions about what it means to be “vulnerable” for the purposes of’ the HA 1996.</w:t>
      </w:r>
      <w:r w:rsidR="004805DB">
        <w:rPr>
          <w:rStyle w:val="FootnoteReference"/>
        </w:rPr>
        <w:footnoteReference w:id="20"/>
      </w:r>
      <w:r w:rsidR="004805DB">
        <w:t xml:space="preserve"> </w:t>
      </w:r>
      <w:r w:rsidR="00D7745E">
        <w:t xml:space="preserve">Out was the </w:t>
      </w:r>
      <w:r w:rsidR="00D7745E" w:rsidRPr="00946D8D">
        <w:rPr>
          <w:i/>
          <w:iCs/>
        </w:rPr>
        <w:t>Pereira</w:t>
      </w:r>
      <w:r w:rsidR="00D7745E">
        <w:rPr>
          <w:rStyle w:val="FootnoteReference"/>
          <w:i/>
          <w:iCs/>
        </w:rPr>
        <w:footnoteReference w:id="21"/>
      </w:r>
      <w:r w:rsidR="00D7745E">
        <w:t xml:space="preserve"> criteria that </w:t>
      </w:r>
      <w:r w:rsidR="00946D8D" w:rsidRPr="00946D8D">
        <w:t xml:space="preserve">the applicant </w:t>
      </w:r>
      <w:r w:rsidR="00D7745E">
        <w:t xml:space="preserve">was </w:t>
      </w:r>
      <w:r w:rsidR="00946D8D" w:rsidRPr="00946D8D">
        <w:t xml:space="preserve">vulnerable if when homeless she or he </w:t>
      </w:r>
      <w:r w:rsidR="003D147A">
        <w:t xml:space="preserve">was </w:t>
      </w:r>
      <w:r w:rsidR="00D7745E">
        <w:t>‘</w:t>
      </w:r>
      <w:r w:rsidR="00946D8D" w:rsidRPr="00946D8D">
        <w:t>less able to fend for himself than an ordinary homeless person so that injury or detriment to him would have resulted when a less vulnerable man would be able to cope without harmful effect.</w:t>
      </w:r>
      <w:r w:rsidR="00D7745E">
        <w:t>’</w:t>
      </w:r>
    </w:p>
    <w:p w14:paraId="11BEF70D" w14:textId="77777777" w:rsidR="00D7745E" w:rsidRDefault="00D7745E" w:rsidP="00946D8D"/>
    <w:p w14:paraId="0E48D3FB" w14:textId="26D6FAA8" w:rsidR="00946D8D" w:rsidRDefault="00D7745E" w:rsidP="00946D8D">
      <w:r>
        <w:t xml:space="preserve">The Supreme Court </w:t>
      </w:r>
      <w:r w:rsidR="00CA734D">
        <w:t xml:space="preserve">found this </w:t>
      </w:r>
      <w:r w:rsidR="00210004">
        <w:t>formulation</w:t>
      </w:r>
      <w:r w:rsidR="00CA734D">
        <w:t xml:space="preserve"> was not </w:t>
      </w:r>
      <w:r w:rsidR="00946D8D" w:rsidRPr="00946D8D">
        <w:t xml:space="preserve">helpful. The comparator should be someone not homeless. </w:t>
      </w:r>
      <w:r w:rsidR="00496642">
        <w:t>Justin Bates</w:t>
      </w:r>
      <w:r w:rsidR="003D147A">
        <w:t>’</w:t>
      </w:r>
      <w:r w:rsidR="00496642">
        <w:t xml:space="preserve"> article provided an excellent analysis of the decision.</w:t>
      </w:r>
      <w:r w:rsidR="00496642">
        <w:rPr>
          <w:rStyle w:val="FootnoteReference"/>
        </w:rPr>
        <w:footnoteReference w:id="22"/>
      </w:r>
    </w:p>
    <w:p w14:paraId="704CCA9E" w14:textId="77777777" w:rsidR="00496642" w:rsidRDefault="00496642" w:rsidP="00496642">
      <w:pPr>
        <w:ind w:left="720"/>
      </w:pPr>
      <w:r>
        <w:t>In identifying the comparator, it may be that the easiest approach is to identify what factors cannot be taken into account:</w:t>
      </w:r>
    </w:p>
    <w:p w14:paraId="4D0606AF" w14:textId="1A652053" w:rsidR="00496642" w:rsidRDefault="00496642" w:rsidP="00496642">
      <w:pPr>
        <w:pStyle w:val="ListParagraph"/>
        <w:numPr>
          <w:ilvl w:val="0"/>
          <w:numId w:val="3"/>
        </w:numPr>
      </w:pPr>
      <w:r>
        <w:t>we know from the decision that an authority cannot take into account statistical evidence, whether as to the population as a whole or homeless persons. As the Supreme Court held "the use of statistics to determine whether someone is vulnerable is a very dangerous exercise whatever the correct test of vulnerability"</w:t>
      </w:r>
      <w:r>
        <w:rPr>
          <w:rStyle w:val="FootnoteReference"/>
        </w:rPr>
        <w:footnoteReference w:id="23"/>
      </w:r>
      <w:r>
        <w:t>;</w:t>
      </w:r>
    </w:p>
    <w:p w14:paraId="7B3B4801" w14:textId="181B936E" w:rsidR="00496642" w:rsidRDefault="00496642" w:rsidP="00496642">
      <w:pPr>
        <w:pStyle w:val="ListParagraph"/>
        <w:numPr>
          <w:ilvl w:val="0"/>
          <w:numId w:val="3"/>
        </w:numPr>
      </w:pPr>
      <w:r>
        <w:t xml:space="preserve">furthermore, we know that an authority cannot take into account its knowledge (or, more accurately, the knowledge of its officers) as to the nature of the homeless population in its area. Not only is that now the wrong </w:t>
      </w:r>
      <w:r>
        <w:lastRenderedPageBreak/>
        <w:t>test, but the Supreme Court has rejected this approach as "likely to lead to arbitrary and unpredictable outcomes"</w:t>
      </w:r>
      <w:r>
        <w:rPr>
          <w:rStyle w:val="FootnoteReference"/>
        </w:rPr>
        <w:footnoteReference w:id="24"/>
      </w:r>
      <w:r>
        <w:t>; and</w:t>
      </w:r>
    </w:p>
    <w:p w14:paraId="2C4645CD" w14:textId="0DC62E8B" w:rsidR="00496642" w:rsidRDefault="00496642" w:rsidP="00496642">
      <w:pPr>
        <w:pStyle w:val="ListParagraph"/>
        <w:numPr>
          <w:ilvl w:val="0"/>
          <w:numId w:val="3"/>
        </w:numPr>
      </w:pPr>
      <w:r>
        <w:t>finally, we also know that the factors listed in s.189 do not, of themselves, make someone vulnerable, i.e. someone cannot be vulnerable simply on account of their age, mental health, etc. There must be something more.</w:t>
      </w:r>
      <w:r>
        <w:rPr>
          <w:rStyle w:val="FootnoteReference"/>
        </w:rPr>
        <w:footnoteReference w:id="25"/>
      </w:r>
    </w:p>
    <w:p w14:paraId="37BB732F" w14:textId="77777777" w:rsidR="002D5D36" w:rsidRDefault="002D5D36" w:rsidP="00496642">
      <w:pPr>
        <w:ind w:left="720"/>
      </w:pPr>
    </w:p>
    <w:p w14:paraId="1EF091A2" w14:textId="0890D802" w:rsidR="00496642" w:rsidRDefault="00496642" w:rsidP="00496642">
      <w:pPr>
        <w:ind w:left="720"/>
      </w:pPr>
      <w:r>
        <w:t>But does this take matters very much further? If anything, it seems likely that this just makes the comparison more difficult by excluding from consideration information which might have been used to assess the traits of the ordinary person.</w:t>
      </w:r>
    </w:p>
    <w:p w14:paraId="31B35BF3" w14:textId="77777777" w:rsidR="0094135E" w:rsidRDefault="0094135E" w:rsidP="00496642">
      <w:pPr>
        <w:ind w:left="720"/>
      </w:pPr>
    </w:p>
    <w:p w14:paraId="19888C61" w14:textId="03D3F756" w:rsidR="00496642" w:rsidRDefault="00496642" w:rsidP="00496642">
      <w:pPr>
        <w:ind w:left="720"/>
      </w:pPr>
      <w:r>
        <w:t>We are told, however, that the ordinary person is "robust and healthy".</w:t>
      </w:r>
      <w:r w:rsidR="002D5D36">
        <w:rPr>
          <w:rStyle w:val="FootnoteReference"/>
        </w:rPr>
        <w:footnoteReference w:id="26"/>
      </w:r>
      <w:r>
        <w:t xml:space="preserve"> We also know that authorities are entitled to take into account support provided by third parties (whether family or statutory), so long as that support is provided on a "consistent and predictable basis."</w:t>
      </w:r>
      <w:r w:rsidR="002D5D36">
        <w:rPr>
          <w:rStyle w:val="FootnoteReference"/>
        </w:rPr>
        <w:footnoteReference w:id="27"/>
      </w:r>
      <w:r>
        <w:t xml:space="preserve"> But that does not assist with the comparison between the applicant and the ordinary person, rather, it is a reason why an applicant who is prima facie vulnerable may nonetheless not be held to be vulnerable in any given factual scenario.</w:t>
      </w:r>
    </w:p>
    <w:p w14:paraId="4099D874" w14:textId="77777777" w:rsidR="002D5D36" w:rsidRDefault="002D5D36" w:rsidP="00946D8D"/>
    <w:p w14:paraId="3B9F2106" w14:textId="32E6B04F" w:rsidR="00CA734D" w:rsidRDefault="00946D8D" w:rsidP="00946D8D">
      <w:r w:rsidRPr="00946D8D">
        <w:t xml:space="preserve">So the key issue is </w:t>
      </w:r>
      <w:r w:rsidR="00CA734D">
        <w:t xml:space="preserve">the </w:t>
      </w:r>
      <w:r w:rsidRPr="00946D8D">
        <w:t>particular circumstances of the applicant</w:t>
      </w:r>
      <w:r w:rsidR="00CA734D">
        <w:t xml:space="preserve"> – their </w:t>
      </w:r>
      <w:r w:rsidRPr="00946D8D">
        <w:t xml:space="preserve">individual mental health. </w:t>
      </w:r>
      <w:r w:rsidR="00CA734D">
        <w:t>But h</w:t>
      </w:r>
      <w:r w:rsidRPr="00946D8D">
        <w:t>ow will local authorities make this decision? Homelessness officers are not medical experts</w:t>
      </w:r>
      <w:r w:rsidR="00CA734D">
        <w:t xml:space="preserve"> – see</w:t>
      </w:r>
      <w:r w:rsidR="002D5D36">
        <w:t xml:space="preserve"> below</w:t>
      </w:r>
      <w:r w:rsidRPr="00946D8D">
        <w:t xml:space="preserve">. Some may seek information from the applicants doctors, some have in-house expertise but many use </w:t>
      </w:r>
      <w:r w:rsidR="0094135E">
        <w:t xml:space="preserve">medical </w:t>
      </w:r>
      <w:r w:rsidRPr="00946D8D">
        <w:t xml:space="preserve">external assessors – </w:t>
      </w:r>
      <w:r w:rsidR="008F0391">
        <w:t xml:space="preserve">the </w:t>
      </w:r>
      <w:r w:rsidRPr="00946D8D">
        <w:t xml:space="preserve">most </w:t>
      </w:r>
      <w:r w:rsidR="002D5D36" w:rsidRPr="00946D8D">
        <w:t>well-know</w:t>
      </w:r>
      <w:r w:rsidR="002D5D36">
        <w:t>n</w:t>
      </w:r>
      <w:r w:rsidRPr="00946D8D">
        <w:t xml:space="preserve"> one is </w:t>
      </w:r>
      <w:proofErr w:type="spellStart"/>
      <w:r w:rsidRPr="00946D8D">
        <w:t>NowMedical</w:t>
      </w:r>
      <w:proofErr w:type="spellEnd"/>
      <w:r w:rsidRPr="00946D8D">
        <w:t>. In 2007</w:t>
      </w:r>
      <w:r w:rsidR="008F0391">
        <w:t xml:space="preserve">, </w:t>
      </w:r>
      <w:r w:rsidR="008134B1">
        <w:t xml:space="preserve">in </w:t>
      </w:r>
      <w:r w:rsidR="008F0391">
        <w:t>the</w:t>
      </w:r>
      <w:r w:rsidRPr="00946D8D">
        <w:t xml:space="preserve"> </w:t>
      </w:r>
      <w:r w:rsidR="008F0391" w:rsidRPr="008F0391">
        <w:rPr>
          <w:i/>
          <w:iCs/>
        </w:rPr>
        <w:t>Shala</w:t>
      </w:r>
      <w:r w:rsidR="008F0391">
        <w:t xml:space="preserve"> c</w:t>
      </w:r>
      <w:r w:rsidRPr="00946D8D">
        <w:t xml:space="preserve">ase, Birmingham decided that a refugee couple were not in priority need based on the decision of </w:t>
      </w:r>
      <w:proofErr w:type="spellStart"/>
      <w:r w:rsidRPr="00946D8D">
        <w:t>NowMedical</w:t>
      </w:r>
      <w:proofErr w:type="spellEnd"/>
      <w:r w:rsidRPr="00946D8D">
        <w:t>.</w:t>
      </w:r>
      <w:r w:rsidR="002D5D36">
        <w:rPr>
          <w:rStyle w:val="FootnoteReference"/>
        </w:rPr>
        <w:footnoteReference w:id="28"/>
      </w:r>
      <w:r w:rsidRPr="00946D8D">
        <w:t xml:space="preserve"> The evidence </w:t>
      </w:r>
      <w:r w:rsidR="008F0391">
        <w:t>from one</w:t>
      </w:r>
      <w:r w:rsidRPr="00946D8D">
        <w:t xml:space="preserve"> the applicant’s </w:t>
      </w:r>
      <w:r w:rsidR="00027DBF">
        <w:t xml:space="preserve">own </w:t>
      </w:r>
      <w:r w:rsidR="002D5D36">
        <w:t>doctors</w:t>
      </w:r>
      <w:r w:rsidRPr="00946D8D">
        <w:t xml:space="preserve"> was that she had PTSD and depression as well hypertension and osteoarthritis.</w:t>
      </w:r>
      <w:r w:rsidR="008F0391">
        <w:t xml:space="preserve"> </w:t>
      </w:r>
    </w:p>
    <w:p w14:paraId="64221741" w14:textId="77777777" w:rsidR="00CA734D" w:rsidRDefault="00CA734D" w:rsidP="00946D8D"/>
    <w:p w14:paraId="0BB14B7C" w14:textId="205AD2BA" w:rsidR="00946D8D" w:rsidRPr="00946D8D" w:rsidRDefault="00946D8D" w:rsidP="00946D8D">
      <w:r w:rsidRPr="00946D8D">
        <w:t xml:space="preserve">The Court of Appeal noted that the </w:t>
      </w:r>
      <w:r w:rsidR="008F0391">
        <w:t>doctor</w:t>
      </w:r>
      <w:r w:rsidRPr="00946D8D">
        <w:t xml:space="preserve"> at </w:t>
      </w:r>
      <w:proofErr w:type="spellStart"/>
      <w:r w:rsidRPr="00946D8D">
        <w:t>NowMedical</w:t>
      </w:r>
      <w:proofErr w:type="spellEnd"/>
      <w:r w:rsidRPr="00946D8D">
        <w:t xml:space="preserve"> had not examined the applicant and was not a psychiatrist – unlike the evidence </w:t>
      </w:r>
      <w:r w:rsidR="00027DBF">
        <w:t xml:space="preserve">provided by </w:t>
      </w:r>
      <w:r w:rsidRPr="00946D8D">
        <w:t xml:space="preserve">the applicant. </w:t>
      </w:r>
      <w:r w:rsidR="008F0391">
        <w:t xml:space="preserve">The </w:t>
      </w:r>
      <w:r w:rsidR="002D5D36">
        <w:t xml:space="preserve">view of </w:t>
      </w:r>
      <w:proofErr w:type="spellStart"/>
      <w:r w:rsidR="002D5D36">
        <w:t>NowMedical</w:t>
      </w:r>
      <w:proofErr w:type="spellEnd"/>
      <w:r w:rsidR="002D5D36">
        <w:t xml:space="preserve"> </w:t>
      </w:r>
      <w:r w:rsidR="008F0391">
        <w:t xml:space="preserve">taken by the Court </w:t>
      </w:r>
      <w:r w:rsidR="002D5D36">
        <w:t xml:space="preserve">was </w:t>
      </w:r>
      <w:r w:rsidR="008F0391">
        <w:t>that they did not provide ‘</w:t>
      </w:r>
      <w:r w:rsidR="002D5D36">
        <w:t xml:space="preserve">medical </w:t>
      </w:r>
      <w:r w:rsidRPr="00946D8D">
        <w:t>evidence</w:t>
      </w:r>
      <w:r w:rsidR="002D5D36">
        <w:t>.</w:t>
      </w:r>
      <w:r w:rsidR="008F0391">
        <w:t>’</w:t>
      </w:r>
      <w:r w:rsidR="002D5D36">
        <w:t xml:space="preserve"> Rather </w:t>
      </w:r>
      <w:r w:rsidR="008F0391">
        <w:t>t</w:t>
      </w:r>
      <w:r w:rsidR="008134B1">
        <w:t>he</w:t>
      </w:r>
      <w:r w:rsidR="008F0391">
        <w:t xml:space="preserve"> role of the external advisor </w:t>
      </w:r>
      <w:r w:rsidR="008134B1">
        <w:t xml:space="preserve">is </w:t>
      </w:r>
      <w:r w:rsidR="008F0391">
        <w:t xml:space="preserve">to </w:t>
      </w:r>
      <w:r w:rsidRPr="00946D8D">
        <w:t>enabl</w:t>
      </w:r>
      <w:r w:rsidR="003D147A">
        <w:t>e</w:t>
      </w:r>
      <w:r w:rsidRPr="00946D8D">
        <w:t xml:space="preserve"> the authority to understand the medical issues</w:t>
      </w:r>
      <w:r w:rsidR="002D5D36">
        <w:t>, but no more that</w:t>
      </w:r>
      <w:r w:rsidRPr="00946D8D">
        <w:t>.</w:t>
      </w:r>
    </w:p>
    <w:p w14:paraId="1735B31D" w14:textId="77777777" w:rsidR="002D5D36" w:rsidRDefault="002D5D36" w:rsidP="00946D8D"/>
    <w:p w14:paraId="2BA989FF" w14:textId="0B74C3EA" w:rsidR="00946D8D" w:rsidRPr="00946D8D" w:rsidRDefault="002D5D36" w:rsidP="00946D8D">
      <w:r w:rsidRPr="002D5D36">
        <w:rPr>
          <w:i/>
          <w:iCs/>
        </w:rPr>
        <w:t>Shala</w:t>
      </w:r>
      <w:r>
        <w:t xml:space="preserve"> was decided 15 years ago. However, it is clear that </w:t>
      </w:r>
      <w:r w:rsidR="00152103">
        <w:t xml:space="preserve">the issue has not gone away. </w:t>
      </w:r>
      <w:r w:rsidR="00946D8D" w:rsidRPr="00946D8D">
        <w:t>Two recent cases in the county courts</w:t>
      </w:r>
      <w:r w:rsidR="00152103">
        <w:t xml:space="preserve"> from</w:t>
      </w:r>
      <w:r w:rsidR="00946D8D" w:rsidRPr="00946D8D">
        <w:t xml:space="preserve"> 2021 and 2018</w:t>
      </w:r>
      <w:r w:rsidR="00152103">
        <w:t xml:space="preserve"> </w:t>
      </w:r>
      <w:r w:rsidR="000B01A7">
        <w:t>demonstrate</w:t>
      </w:r>
      <w:r w:rsidR="00152103">
        <w:t xml:space="preserve"> this</w:t>
      </w:r>
      <w:r w:rsidR="00946D8D" w:rsidRPr="00946D8D">
        <w:t>. The first one</w:t>
      </w:r>
      <w:r w:rsidR="000B01A7">
        <w:t xml:space="preserve"> involved</w:t>
      </w:r>
      <w:r w:rsidR="00946D8D" w:rsidRPr="00946D8D">
        <w:t xml:space="preserve"> a 23 year-old woman with a learning disability.</w:t>
      </w:r>
      <w:r w:rsidR="00152103">
        <w:rPr>
          <w:rStyle w:val="FootnoteReference"/>
        </w:rPr>
        <w:footnoteReference w:id="29"/>
      </w:r>
      <w:r w:rsidR="00946D8D" w:rsidRPr="00946D8D">
        <w:t xml:space="preserve"> The local authority preferred the views of </w:t>
      </w:r>
      <w:proofErr w:type="spellStart"/>
      <w:r w:rsidR="00946D8D" w:rsidRPr="00946D8D">
        <w:t>NowMedical</w:t>
      </w:r>
      <w:proofErr w:type="spellEnd"/>
      <w:r w:rsidR="00946D8D" w:rsidRPr="00946D8D">
        <w:t xml:space="preserve"> to the applicant’s own psychiatrist and social worker. The decision </w:t>
      </w:r>
      <w:r w:rsidR="000B01A7">
        <w:t xml:space="preserve">was </w:t>
      </w:r>
      <w:r w:rsidR="00946D8D" w:rsidRPr="00946D8D">
        <w:t>varied to priority need.</w:t>
      </w:r>
    </w:p>
    <w:p w14:paraId="2F053665" w14:textId="77777777" w:rsidR="00CA734D" w:rsidRDefault="00CA734D" w:rsidP="00946D8D"/>
    <w:p w14:paraId="221FCD16" w14:textId="5752FF4A" w:rsidR="00946D8D" w:rsidRPr="00946D8D" w:rsidRDefault="00946D8D" w:rsidP="00946D8D">
      <w:r w:rsidRPr="00946D8D">
        <w:lastRenderedPageBreak/>
        <w:t>In the second the applicant was a 40 year</w:t>
      </w:r>
      <w:r w:rsidR="00D00660">
        <w:t>-</w:t>
      </w:r>
      <w:r w:rsidRPr="00946D8D">
        <w:t>old man.</w:t>
      </w:r>
      <w:r w:rsidR="00152103">
        <w:rPr>
          <w:rStyle w:val="FootnoteReference"/>
        </w:rPr>
        <w:footnoteReference w:id="30"/>
      </w:r>
      <w:r w:rsidRPr="00946D8D">
        <w:t xml:space="preserve"> </w:t>
      </w:r>
      <w:r w:rsidR="00152103">
        <w:t>He</w:t>
      </w:r>
      <w:r w:rsidRPr="00946D8D">
        <w:t xml:space="preserve"> had been homeless for 4 years</w:t>
      </w:r>
      <w:r w:rsidR="00152103">
        <w:t xml:space="preserve"> and </w:t>
      </w:r>
      <w:r w:rsidRPr="00946D8D">
        <w:t>had been the victim of a serious assault 2 year</w:t>
      </w:r>
      <w:r w:rsidR="00D00660">
        <w:t>s</w:t>
      </w:r>
      <w:r w:rsidRPr="00946D8D">
        <w:t xml:space="preserve"> before he became homeless. </w:t>
      </w:r>
      <w:r w:rsidR="00152103">
        <w:t>The e</w:t>
      </w:r>
      <w:r w:rsidRPr="00946D8D">
        <w:t xml:space="preserve">vidence </w:t>
      </w:r>
      <w:r w:rsidR="00152103">
        <w:t>f</w:t>
      </w:r>
      <w:r w:rsidR="000B01A7">
        <w:t>rom</w:t>
      </w:r>
      <w:r w:rsidR="00152103">
        <w:t xml:space="preserve"> his doctors </w:t>
      </w:r>
      <w:r w:rsidRPr="00946D8D">
        <w:t xml:space="preserve">was that he had PTSD which was continuing and of </w:t>
      </w:r>
      <w:r w:rsidR="00152103">
        <w:t xml:space="preserve">depression </w:t>
      </w:r>
      <w:r w:rsidR="006A000A">
        <w:t xml:space="preserve">of </w:t>
      </w:r>
      <w:r w:rsidR="000B01A7">
        <w:t xml:space="preserve">a </w:t>
      </w:r>
      <w:r w:rsidRPr="00946D8D">
        <w:t xml:space="preserve">moderate severity as well as cannabis dependence and </w:t>
      </w:r>
      <w:r w:rsidR="000B01A7">
        <w:t xml:space="preserve">a </w:t>
      </w:r>
      <w:r w:rsidRPr="00946D8D">
        <w:t xml:space="preserve">concern with </w:t>
      </w:r>
      <w:r w:rsidR="006A000A">
        <w:t xml:space="preserve">a </w:t>
      </w:r>
      <w:r w:rsidRPr="00946D8D">
        <w:t xml:space="preserve">risk of suicide.  </w:t>
      </w:r>
      <w:proofErr w:type="spellStart"/>
      <w:r w:rsidRPr="00946D8D">
        <w:t>NowMedical</w:t>
      </w:r>
      <w:proofErr w:type="spellEnd"/>
      <w:r w:rsidRPr="00946D8D">
        <w:t xml:space="preserve"> did not meet or examine the applicant but advised that the applicant was not in priority need. Again</w:t>
      </w:r>
      <w:r w:rsidR="00D00660">
        <w:t>,</w:t>
      </w:r>
      <w:r w:rsidRPr="00946D8D">
        <w:t xml:space="preserve"> the court varied the decision. </w:t>
      </w:r>
    </w:p>
    <w:p w14:paraId="16516473" w14:textId="6991AF06" w:rsidR="00946D8D" w:rsidRDefault="00946D8D" w:rsidP="00946D8D"/>
    <w:p w14:paraId="05A39612" w14:textId="726A918D" w:rsidR="00946D8D" w:rsidRPr="008134B1" w:rsidRDefault="00946D8D" w:rsidP="00946D8D">
      <w:pPr>
        <w:rPr>
          <w:b/>
          <w:bCs/>
        </w:rPr>
      </w:pPr>
      <w:r w:rsidRPr="00CA734D">
        <w:rPr>
          <w:b/>
          <w:bCs/>
        </w:rPr>
        <w:t>Decision-making in local authorities</w:t>
      </w:r>
    </w:p>
    <w:p w14:paraId="35CF3423" w14:textId="697A0BD2" w:rsidR="000B01A7" w:rsidRDefault="00DD563D" w:rsidP="000B01A7">
      <w:r>
        <w:t>Turning to the research on decision-making</w:t>
      </w:r>
      <w:r w:rsidR="000B01A7">
        <w:t>,</w:t>
      </w:r>
      <w:r>
        <w:rPr>
          <w:rStyle w:val="FootnoteReference"/>
        </w:rPr>
        <w:footnoteReference w:id="31"/>
      </w:r>
      <w:r w:rsidR="000B01A7">
        <w:t xml:space="preserve"> homeless officer are very aware that </w:t>
      </w:r>
      <w:r w:rsidR="008134B1">
        <w:t xml:space="preserve">they </w:t>
      </w:r>
      <w:r w:rsidR="000B01A7" w:rsidRPr="000B01A7">
        <w:t>do not have medical training and advice from professionals is needed to make a decision</w:t>
      </w:r>
      <w:r w:rsidR="000B01A7">
        <w:t>.</w:t>
      </w:r>
    </w:p>
    <w:p w14:paraId="6579DCFA" w14:textId="27411549" w:rsidR="000B01A7" w:rsidRPr="000B01A7" w:rsidRDefault="000B01A7" w:rsidP="000B01A7">
      <w:pPr>
        <w:ind w:left="720"/>
      </w:pPr>
      <w:r w:rsidRPr="000B01A7">
        <w:t>Ultimately most of us are not medically trained. So when you’re looking at information you may think ‘wow, it looks really bad for this person’ and then the medical professional will say ‘well no, this is what we’re seeing…</w:t>
      </w:r>
      <w:r w:rsidR="008134B1">
        <w:t>’</w:t>
      </w:r>
      <w:r w:rsidRPr="000B01A7">
        <w:t xml:space="preserve"> (Homelessness Officer)</w:t>
      </w:r>
    </w:p>
    <w:p w14:paraId="538B5B0F" w14:textId="50936C05" w:rsidR="00946D8D" w:rsidRDefault="000B01A7" w:rsidP="00946D8D">
      <w:r>
        <w:t xml:space="preserve">They are also quite </w:t>
      </w:r>
      <w:r w:rsidR="00E55AFC">
        <w:t>sceptical of the external advice they might receive.</w:t>
      </w:r>
    </w:p>
    <w:p w14:paraId="42A3EAA3" w14:textId="7B2FCE18" w:rsidR="00E55AFC" w:rsidRDefault="00E55AFC" w:rsidP="00E55AFC">
      <w:pPr>
        <w:ind w:left="720"/>
      </w:pPr>
      <w:r w:rsidRPr="00E55AFC">
        <w:t>[External advi</w:t>
      </w:r>
      <w:r w:rsidR="008134B1">
        <w:t>sor</w:t>
      </w:r>
      <w:r w:rsidRPr="00E55AFC">
        <w:t>] don’t actually meet the client. They will just base their opinion on the information that we provide, or that we gather, and what the client has provided as well. (Homelessness Officer)</w:t>
      </w:r>
    </w:p>
    <w:p w14:paraId="1A3AA9AC" w14:textId="578BFB6F" w:rsidR="00E55AFC" w:rsidRDefault="00E55AFC" w:rsidP="00E55AFC">
      <w:pPr>
        <w:ind w:left="720"/>
      </w:pPr>
    </w:p>
    <w:p w14:paraId="3039A3E6" w14:textId="26188BEE" w:rsidR="00E55AFC" w:rsidRDefault="00E55AFC" w:rsidP="00E55AFC">
      <w:r>
        <w:t>However, they are also a</w:t>
      </w:r>
      <w:r w:rsidRPr="00E55AFC">
        <w:t>mbivalen</w:t>
      </w:r>
      <w:r>
        <w:t>t</w:t>
      </w:r>
      <w:r w:rsidRPr="00E55AFC">
        <w:t xml:space="preserve"> towards medical evidence from the applicant</w:t>
      </w:r>
      <w:r w:rsidR="008134B1">
        <w:t>’</w:t>
      </w:r>
      <w:r w:rsidRPr="00E55AFC">
        <w:t>s GP.</w:t>
      </w:r>
      <w:r>
        <w:t xml:space="preserve"> There was a c</w:t>
      </w:r>
      <w:r w:rsidRPr="00E55AFC">
        <w:t>onsensus amongst officers that GP’s exaggerated their patients conditions</w:t>
      </w:r>
      <w:r>
        <w:t xml:space="preserve"> and that they did not understand what ‘vulnerability’ meant in the context of the 1996 Act. </w:t>
      </w:r>
    </w:p>
    <w:p w14:paraId="06C066EB" w14:textId="4C4F39CE" w:rsidR="00E55AFC" w:rsidRPr="00946D8D" w:rsidRDefault="00E55AFC" w:rsidP="00E55AFC">
      <w:pPr>
        <w:ind w:left="720"/>
      </w:pPr>
      <w:r w:rsidRPr="00E55AFC">
        <w:t>I do worry about how objective the applicant’s consultants and GPs are going to be. Because they’re always going to try their best for their patients, aren’t they?  Obviously they’re professional people and I’m not suggesting that they would deceive you, but they may kind of embellish someone’s symptoms in order for them to secure housing. I think with our assessors they are more objective really, and they’re just going to look at it as the facts stand, I think. (Homelessness Officer)</w:t>
      </w:r>
    </w:p>
    <w:p w14:paraId="4457DC63" w14:textId="77777777" w:rsidR="00E55AFC" w:rsidRDefault="00E55AFC"/>
    <w:p w14:paraId="637B11B0" w14:textId="7F7787FA" w:rsidR="00027DBF" w:rsidRDefault="00E55AFC" w:rsidP="00027DBF">
      <w:r>
        <w:t xml:space="preserve">Perhaps the </w:t>
      </w:r>
      <w:r w:rsidR="00027DBF">
        <w:t>most surprising founding from the research was that for officers m</w:t>
      </w:r>
      <w:r w:rsidR="00027DBF" w:rsidRPr="00027DBF">
        <w:t>edication an important proxy for vulnerability</w:t>
      </w:r>
      <w:r w:rsidR="00027DBF">
        <w:t xml:space="preserve">. </w:t>
      </w:r>
      <w:r w:rsidR="00027DBF" w:rsidRPr="00027DBF">
        <w:t>Dosage was especially important</w:t>
      </w:r>
      <w:r w:rsidR="00027DBF">
        <w:t xml:space="preserve"> and the </w:t>
      </w:r>
      <w:r w:rsidR="00027DBF" w:rsidRPr="00027DBF">
        <w:t>Internet was used to check dosages and other medical queries where the officers lacked knowledge</w:t>
      </w:r>
      <w:r w:rsidR="00027DBF">
        <w:t>.</w:t>
      </w:r>
    </w:p>
    <w:p w14:paraId="27A890B6" w14:textId="20A33BFE" w:rsidR="00027DBF" w:rsidRPr="00027DBF" w:rsidRDefault="00C15109" w:rsidP="00C15109">
      <w:pPr>
        <w:ind w:left="720"/>
      </w:pPr>
      <w:r w:rsidRPr="00C15109">
        <w:t>....dosage to us is very important as well, if it’s a high dosage then that indicates the person could be vulnerable based on the high dose. If it’s a standard or a very low one, you can always argue, well you’re not priority, although you’re on medication but they’re just standard or they’re the low dosage. (Homelessness Officer)</w:t>
      </w:r>
    </w:p>
    <w:p w14:paraId="6020199A" w14:textId="3141317A" w:rsidR="002B7E57" w:rsidRPr="002B7E57" w:rsidRDefault="002B7E57"/>
    <w:p w14:paraId="186242CF" w14:textId="3E566B3F" w:rsidR="007044BA" w:rsidRDefault="00DD563D" w:rsidP="00EF1A96">
      <w:r>
        <w:rPr>
          <w:b/>
          <w:bCs/>
        </w:rPr>
        <w:t>Conclusions</w:t>
      </w:r>
    </w:p>
    <w:p w14:paraId="6CD60CEE" w14:textId="727F6BAA" w:rsidR="007044BA" w:rsidRDefault="007044BA" w:rsidP="007044BA">
      <w:r>
        <w:t xml:space="preserve">This seminar gave us an opportunity to return to these important issues and reflect on recent legal developments. It is clear that prevention and relief duties discussed above make desirable developments to the law in removing previous barriers to assistance, and </w:t>
      </w:r>
      <w:r>
        <w:lastRenderedPageBreak/>
        <w:t xml:space="preserve">any actions taken by the local authority in assisting applicants in these early stages should be more sensitive to, and inclusive of, any mental health needs. </w:t>
      </w:r>
    </w:p>
    <w:p w14:paraId="1D524721" w14:textId="77777777" w:rsidR="007044BA" w:rsidRDefault="007044BA" w:rsidP="007044BA"/>
    <w:p w14:paraId="6ABB005E" w14:textId="67CDE0B1" w:rsidR="007044BA" w:rsidRDefault="007044BA" w:rsidP="007044BA">
      <w:r>
        <w:t>However, these duties are ultimately limited in scope, meaning many applicants will still filter through to consideration of priority need, where non-expert housing officers will make decisions as to whether an applicant’s medical needs make them vulnerable enough for the provision of accommodation.</w:t>
      </w:r>
    </w:p>
    <w:p w14:paraId="6031CED3" w14:textId="77777777" w:rsidR="007044BA" w:rsidRDefault="007044BA" w:rsidP="007044BA"/>
    <w:p w14:paraId="230A045F" w14:textId="77777777" w:rsidR="007044BA" w:rsidRPr="00CC47A7" w:rsidRDefault="007044BA" w:rsidP="007044BA">
      <w:r>
        <w:t>As a result of new duties to assess an applicant’s needs, there is now more available data on the characteristics of applicants, which tells us that the most common support need reported for single households is a history of mental health problems.</w:t>
      </w:r>
      <w:r>
        <w:rPr>
          <w:rStyle w:val="FootnoteReference"/>
        </w:rPr>
        <w:footnoteReference w:id="32"/>
      </w:r>
      <w:r>
        <w:t xml:space="preserve"> This simply highlights the urgent need for further research on the extent to which mental health problems reported by applicants are adequately met under the homelessness statutory framework. Further, exploration of recent case law above suggests people with mental health needs still struggle to be recognised as in priority need. There is, again, need for further research on whether developments under </w:t>
      </w:r>
      <w:proofErr w:type="spellStart"/>
      <w:r w:rsidRPr="00C771AF">
        <w:rPr>
          <w:i/>
          <w:iCs/>
        </w:rPr>
        <w:t>Hotak</w:t>
      </w:r>
      <w:proofErr w:type="spellEnd"/>
      <w:r>
        <w:t xml:space="preserve"> have made any difference to assessments of vulnerability, and the remaining barriers faced by applicants in asserting their case. We are left questioning whether the statutory homelessness route remains the best way into stable housing. </w:t>
      </w:r>
    </w:p>
    <w:p w14:paraId="2D83A934" w14:textId="77777777" w:rsidR="007044BA" w:rsidRPr="00DD563D" w:rsidRDefault="007044BA" w:rsidP="00EF1A96"/>
    <w:sectPr w:rsidR="007044BA" w:rsidRPr="00DD563D" w:rsidSect="008C1AF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9115" w14:textId="77777777" w:rsidR="00AA32CD" w:rsidRDefault="00AA32CD" w:rsidP="00DF31AC">
      <w:r>
        <w:separator/>
      </w:r>
    </w:p>
  </w:endnote>
  <w:endnote w:type="continuationSeparator" w:id="0">
    <w:p w14:paraId="35D56110" w14:textId="77777777" w:rsidR="00AA32CD" w:rsidRDefault="00AA32CD" w:rsidP="00DF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AAF4" w14:textId="77777777" w:rsidR="00AA32CD" w:rsidRDefault="00AA32CD" w:rsidP="00DF31AC">
      <w:r>
        <w:separator/>
      </w:r>
    </w:p>
  </w:footnote>
  <w:footnote w:type="continuationSeparator" w:id="0">
    <w:p w14:paraId="0A38D2A9" w14:textId="77777777" w:rsidR="00AA32CD" w:rsidRDefault="00AA32CD" w:rsidP="00DF31AC">
      <w:r>
        <w:continuationSeparator/>
      </w:r>
    </w:p>
  </w:footnote>
  <w:footnote w:id="1">
    <w:p w14:paraId="3D1D34FE" w14:textId="542590D0" w:rsidR="00CF4D1A" w:rsidRDefault="00CF4D1A" w:rsidP="00DF31AC">
      <w:pPr>
        <w:pStyle w:val="FootnoteText"/>
      </w:pPr>
      <w:r>
        <w:t>*Professor of Law, University of York. **Assistant Professor of Law,  University of Nottingham.</w:t>
      </w:r>
    </w:p>
    <w:p w14:paraId="27B82B03" w14:textId="27D1F7D4" w:rsidR="00DF31AC" w:rsidRDefault="00DF31AC" w:rsidP="00DF31AC">
      <w:pPr>
        <w:pStyle w:val="FootnoteText"/>
      </w:pPr>
      <w:r>
        <w:rPr>
          <w:rStyle w:val="FootnoteReference"/>
        </w:rPr>
        <w:footnoteRef/>
      </w:r>
      <w:r>
        <w:t xml:space="preserve"> The Mental Diversity Law Network (MDLN) is an interdisciplinary network of approximately 200 people with academic, professional and/or lived experience of mental differences or difficulties, care givers, and other stakeholders with an interest in the law as it relates to mental diversity. The network hosts a biennial conference (the next in the early summer of 2023), plus a selection of smaller online and in person events. </w:t>
      </w:r>
      <w:r w:rsidRPr="00DF31AC">
        <w:t>Our web site is at https://institutemh.org.uk/mentaldiversitylawnetwork.</w:t>
      </w:r>
    </w:p>
  </w:footnote>
  <w:footnote w:id="2">
    <w:p w14:paraId="798947C8" w14:textId="68FFAA91" w:rsidR="006A000A" w:rsidRDefault="006A000A">
      <w:pPr>
        <w:pStyle w:val="FootnoteText"/>
      </w:pPr>
      <w:r>
        <w:rPr>
          <w:rStyle w:val="FootnoteReference"/>
        </w:rPr>
        <w:footnoteRef/>
      </w:r>
      <w:r>
        <w:t xml:space="preserve"> You might think this is virtually every user!</w:t>
      </w:r>
    </w:p>
  </w:footnote>
  <w:footnote w:id="3">
    <w:p w14:paraId="43A30FAA" w14:textId="577F40D1" w:rsidR="004A3E50" w:rsidRDefault="004A3E50">
      <w:pPr>
        <w:pStyle w:val="FootnoteText"/>
      </w:pPr>
      <w:r>
        <w:rPr>
          <w:rStyle w:val="FootnoteReference"/>
        </w:rPr>
        <w:footnoteRef/>
      </w:r>
      <w:r>
        <w:t xml:space="preserve"> </w:t>
      </w:r>
      <w:r w:rsidRPr="004A3E50">
        <w:t>https://www.changing-lives.org.uk/about</w:t>
      </w:r>
      <w:r>
        <w:t>.</w:t>
      </w:r>
    </w:p>
  </w:footnote>
  <w:footnote w:id="4">
    <w:p w14:paraId="7FD1D19A" w14:textId="5861AE53" w:rsidR="008B20C0" w:rsidRDefault="008B20C0">
      <w:pPr>
        <w:pStyle w:val="FootnoteText"/>
      </w:pPr>
      <w:r>
        <w:rPr>
          <w:rStyle w:val="FootnoteReference"/>
        </w:rPr>
        <w:footnoteRef/>
      </w:r>
      <w:r>
        <w:t xml:space="preserve"> See: </w:t>
      </w:r>
      <w:r w:rsidRPr="008B20C0">
        <w:t>Reeve, K.</w:t>
      </w:r>
      <w:r>
        <w:t xml:space="preserve"> and others</w:t>
      </w:r>
      <w:r w:rsidRPr="008B20C0">
        <w:t xml:space="preserve"> (2018)</w:t>
      </w:r>
      <w:r w:rsidR="00C112E0">
        <w:t>,</w:t>
      </w:r>
      <w:r w:rsidRPr="008B20C0">
        <w:t xml:space="preserve"> </w:t>
      </w:r>
      <w:r w:rsidRPr="00C112E0">
        <w:rPr>
          <w:i/>
          <w:iCs/>
        </w:rPr>
        <w:t>The mental health needs of Nottingham's homeless population: an exploratory research study</w:t>
      </w:r>
      <w:r w:rsidR="00C112E0">
        <w:t>,</w:t>
      </w:r>
      <w:r w:rsidRPr="008B20C0">
        <w:t xml:space="preserve"> Sheffield: Sheffield Hallam University</w:t>
      </w:r>
      <w:r>
        <w:t xml:space="preserve"> and </w:t>
      </w:r>
      <w:r w:rsidR="00C112E0">
        <w:t xml:space="preserve">Fulfilling Lives LSL and others, (2021) </w:t>
      </w:r>
      <w:r w:rsidR="00C112E0" w:rsidRPr="00C112E0">
        <w:rPr>
          <w:i/>
          <w:iCs/>
        </w:rPr>
        <w:t>Re-thinking Outcomes: A guide for commissioners of services designed for people experiencing multiple disadvantage</w:t>
      </w:r>
      <w:r w:rsidR="00235E41">
        <w:t xml:space="preserve">, </w:t>
      </w:r>
      <w:r w:rsidR="00235E41" w:rsidRPr="00235E41">
        <w:t>https://www.thinknpc.org/wp-content/uploads/2022/02/Re-thinking-Outcomes-Guide-for-Commissioners.pdf</w:t>
      </w:r>
    </w:p>
  </w:footnote>
  <w:footnote w:id="5">
    <w:p w14:paraId="6E137017" w14:textId="72973EA6" w:rsidR="00E929FB" w:rsidRDefault="00E929FB">
      <w:pPr>
        <w:pStyle w:val="FootnoteText"/>
      </w:pPr>
      <w:r>
        <w:rPr>
          <w:rStyle w:val="FootnoteReference"/>
        </w:rPr>
        <w:footnoteRef/>
      </w:r>
      <w:r>
        <w:t xml:space="preserve"> See the Housing Act (HA) 1996, s.175.</w:t>
      </w:r>
    </w:p>
  </w:footnote>
  <w:footnote w:id="6">
    <w:p w14:paraId="44E92DF0" w14:textId="563673FE" w:rsidR="00E929FB" w:rsidRDefault="00E929FB">
      <w:pPr>
        <w:pStyle w:val="FootnoteText"/>
      </w:pPr>
      <w:r>
        <w:rPr>
          <w:rStyle w:val="FootnoteReference"/>
        </w:rPr>
        <w:footnoteRef/>
      </w:r>
      <w:r>
        <w:t xml:space="preserve"> See HA 1996, s.185 and </w:t>
      </w:r>
      <w:r w:rsidR="006A000A" w:rsidRPr="006A000A">
        <w:t>Allocation of Housing and Homelessness (Eligibility) (England) Regulations 2006</w:t>
      </w:r>
      <w:r w:rsidR="006A000A">
        <w:t xml:space="preserve"> (SI2006</w:t>
      </w:r>
      <w:r w:rsidR="006A000A" w:rsidRPr="006A000A">
        <w:t>/1294</w:t>
      </w:r>
      <w:r w:rsidR="009C695C">
        <w:t>, as amended).</w:t>
      </w:r>
    </w:p>
  </w:footnote>
  <w:footnote w:id="7">
    <w:p w14:paraId="7AF6D4EC" w14:textId="77777777" w:rsidR="00A41804" w:rsidRDefault="00A41804" w:rsidP="00A41804">
      <w:pPr>
        <w:pStyle w:val="FootnoteText"/>
      </w:pPr>
      <w:r>
        <w:rPr>
          <w:rStyle w:val="FootnoteReference"/>
        </w:rPr>
        <w:footnoteRef/>
      </w:r>
      <w:r>
        <w:t xml:space="preserve"> Foreword to </w:t>
      </w:r>
      <w:r w:rsidRPr="009C695C">
        <w:t>Sutton-Hamilton, C., Allard, M., Stroud, R., and Albanese, F. (2022) “I hoped there’d be more options:” Experiences of the Homelessness Reduction Act, 2018-2021. London: Crisis.</w:t>
      </w:r>
    </w:p>
  </w:footnote>
  <w:footnote w:id="8">
    <w:p w14:paraId="22EAC56E" w14:textId="7D882628" w:rsidR="007628FC" w:rsidRDefault="007628FC">
      <w:pPr>
        <w:pStyle w:val="FootnoteText"/>
      </w:pPr>
      <w:r>
        <w:rPr>
          <w:rStyle w:val="FootnoteReference"/>
        </w:rPr>
        <w:footnoteRef/>
      </w:r>
      <w:r>
        <w:t xml:space="preserve"> HA 199</w:t>
      </w:r>
      <w:r w:rsidR="00AF6428">
        <w:t>6</w:t>
      </w:r>
      <w:r>
        <w:t>, s.195(2).</w:t>
      </w:r>
    </w:p>
  </w:footnote>
  <w:footnote w:id="9">
    <w:p w14:paraId="4F714E39" w14:textId="0BDE2604" w:rsidR="00AF6428" w:rsidRDefault="00AF6428">
      <w:pPr>
        <w:pStyle w:val="FootnoteText"/>
      </w:pPr>
      <w:r>
        <w:rPr>
          <w:rStyle w:val="FootnoteReference"/>
        </w:rPr>
        <w:footnoteRef/>
      </w:r>
      <w:r>
        <w:t xml:space="preserve"> HA 1996, s.189B(2).</w:t>
      </w:r>
    </w:p>
  </w:footnote>
  <w:footnote w:id="10">
    <w:p w14:paraId="4AFC9DF8" w14:textId="6F9288AB" w:rsidR="00A7148A" w:rsidRDefault="00A7148A">
      <w:pPr>
        <w:pStyle w:val="FootnoteText"/>
      </w:pPr>
      <w:r>
        <w:rPr>
          <w:rStyle w:val="FootnoteReference"/>
        </w:rPr>
        <w:footnoteRef/>
      </w:r>
      <w:r>
        <w:t xml:space="preserve"> HA 1996, ss.1</w:t>
      </w:r>
      <w:r w:rsidR="00EC64C8">
        <w:t>89A.</w:t>
      </w:r>
    </w:p>
  </w:footnote>
  <w:footnote w:id="11">
    <w:p w14:paraId="67E6829D" w14:textId="33B361D2" w:rsidR="00EC64C8" w:rsidRDefault="00EC64C8">
      <w:pPr>
        <w:pStyle w:val="FootnoteText"/>
      </w:pPr>
      <w:r>
        <w:rPr>
          <w:rStyle w:val="FootnoteReference"/>
        </w:rPr>
        <w:footnoteRef/>
      </w:r>
      <w:r>
        <w:t xml:space="preserve"> HA 1996, ss.189A(4).</w:t>
      </w:r>
    </w:p>
  </w:footnote>
  <w:footnote w:id="12">
    <w:p w14:paraId="515AA749" w14:textId="475F8D6F" w:rsidR="00211407" w:rsidRDefault="00211407">
      <w:pPr>
        <w:pStyle w:val="FootnoteText"/>
      </w:pPr>
      <w:r>
        <w:rPr>
          <w:rStyle w:val="FootnoteReference"/>
        </w:rPr>
        <w:footnoteRef/>
      </w:r>
      <w:r>
        <w:t xml:space="preserve"> See the </w:t>
      </w:r>
      <w:r w:rsidRPr="00211407">
        <w:t>Homelessness code of guidance for local authorities</w:t>
      </w:r>
      <w:r>
        <w:t xml:space="preserve">, para.11.18, </w:t>
      </w:r>
      <w:r w:rsidRPr="00211407">
        <w:t>https://www.gov.uk/guidance/homelessness-code-of-guidance-for-local-authorities/chapter-11-assessments-and-personalised-plans</w:t>
      </w:r>
      <w:r>
        <w:t>.</w:t>
      </w:r>
    </w:p>
  </w:footnote>
  <w:footnote w:id="13">
    <w:p w14:paraId="663C7C3F" w14:textId="3B3B60FF" w:rsidR="00EC64C8" w:rsidRDefault="00EC64C8">
      <w:pPr>
        <w:pStyle w:val="FootnoteText"/>
      </w:pPr>
      <w:r>
        <w:rPr>
          <w:rStyle w:val="FootnoteReference"/>
        </w:rPr>
        <w:footnoteRef/>
      </w:r>
      <w:r>
        <w:t xml:space="preserve"> HA 1996, ss.193B, 193C.</w:t>
      </w:r>
    </w:p>
  </w:footnote>
  <w:footnote w:id="14">
    <w:p w14:paraId="267EA72F" w14:textId="2E694D6F" w:rsidR="00E1414F" w:rsidRDefault="00E1414F">
      <w:pPr>
        <w:pStyle w:val="FootnoteText"/>
      </w:pPr>
      <w:r>
        <w:rPr>
          <w:rStyle w:val="FootnoteReference"/>
        </w:rPr>
        <w:footnoteRef/>
      </w:r>
      <w:r>
        <w:t xml:space="preserve"> HA 1996, s.189.</w:t>
      </w:r>
    </w:p>
  </w:footnote>
  <w:footnote w:id="15">
    <w:p w14:paraId="383CDE06" w14:textId="1B74769A" w:rsidR="00E1414F" w:rsidRDefault="00E1414F">
      <w:pPr>
        <w:pStyle w:val="FootnoteText"/>
      </w:pPr>
      <w:r>
        <w:rPr>
          <w:rStyle w:val="FootnoteReference"/>
        </w:rPr>
        <w:footnoteRef/>
      </w:r>
      <w:r>
        <w:t xml:space="preserve"> HA 1996, s.191.</w:t>
      </w:r>
    </w:p>
  </w:footnote>
  <w:footnote w:id="16">
    <w:p w14:paraId="3ACDFE14" w14:textId="7006E6A6" w:rsidR="00D22B09" w:rsidRDefault="00D22B09">
      <w:pPr>
        <w:pStyle w:val="FootnoteText"/>
      </w:pPr>
      <w:r>
        <w:rPr>
          <w:rStyle w:val="FootnoteReference"/>
        </w:rPr>
        <w:footnoteRef/>
      </w:r>
      <w:r>
        <w:t xml:space="preserve"> HA 1996, s.192(3).</w:t>
      </w:r>
    </w:p>
  </w:footnote>
  <w:footnote w:id="17">
    <w:p w14:paraId="69B7A21F" w14:textId="60AB08AF" w:rsidR="002B71C9" w:rsidRDefault="002B71C9">
      <w:pPr>
        <w:pStyle w:val="FootnoteText"/>
      </w:pPr>
      <w:r>
        <w:rPr>
          <w:rStyle w:val="FootnoteReference"/>
        </w:rPr>
        <w:footnoteRef/>
      </w:r>
      <w:r>
        <w:t xml:space="preserve"> HA 1996, s.192(7AA).</w:t>
      </w:r>
    </w:p>
  </w:footnote>
  <w:footnote w:id="18">
    <w:p w14:paraId="6D2E8B2E" w14:textId="127869F1" w:rsidR="002B71C9" w:rsidRDefault="002B71C9">
      <w:pPr>
        <w:pStyle w:val="FootnoteText"/>
      </w:pPr>
      <w:r>
        <w:rPr>
          <w:rStyle w:val="FootnoteReference"/>
        </w:rPr>
        <w:footnoteRef/>
      </w:r>
      <w:r>
        <w:t xml:space="preserve"> HA 1996, s.166A(3).</w:t>
      </w:r>
    </w:p>
  </w:footnote>
  <w:footnote w:id="19">
    <w:p w14:paraId="655C2686" w14:textId="7CD6D8C5" w:rsidR="00172909" w:rsidRDefault="00172909">
      <w:pPr>
        <w:pStyle w:val="FootnoteText"/>
      </w:pPr>
      <w:r>
        <w:rPr>
          <w:rStyle w:val="FootnoteReference"/>
        </w:rPr>
        <w:footnoteRef/>
      </w:r>
      <w:r>
        <w:t xml:space="preserve"> </w:t>
      </w:r>
      <w:proofErr w:type="spellStart"/>
      <w:r w:rsidRPr="00172909">
        <w:rPr>
          <w:i/>
          <w:iCs/>
        </w:rPr>
        <w:t>Hotak</w:t>
      </w:r>
      <w:proofErr w:type="spellEnd"/>
      <w:r w:rsidRPr="00172909">
        <w:rPr>
          <w:i/>
          <w:iCs/>
        </w:rPr>
        <w:t xml:space="preserve"> v Southwark LBC; Kanu v Southwark LBC; Johnson v Solihull MBC</w:t>
      </w:r>
      <w:r w:rsidRPr="00172909">
        <w:t xml:space="preserve"> [2015] UKSC 30</w:t>
      </w:r>
      <w:r>
        <w:t>.</w:t>
      </w:r>
    </w:p>
  </w:footnote>
  <w:footnote w:id="20">
    <w:p w14:paraId="47D27B04" w14:textId="0106D09A" w:rsidR="004805DB" w:rsidRDefault="004805DB">
      <w:pPr>
        <w:pStyle w:val="FootnoteText"/>
      </w:pPr>
      <w:r>
        <w:rPr>
          <w:rStyle w:val="FootnoteReference"/>
        </w:rPr>
        <w:footnoteRef/>
      </w:r>
      <w:r>
        <w:t xml:space="preserve"> J. Bates </w:t>
      </w:r>
      <w:r w:rsidR="00D7745E">
        <w:t>‘The Ordinary Person’ [2015] JHL 63, p.63.</w:t>
      </w:r>
    </w:p>
  </w:footnote>
  <w:footnote w:id="21">
    <w:p w14:paraId="7D3EDE7A" w14:textId="1C7E6CB4" w:rsidR="00D7745E" w:rsidRDefault="00D7745E">
      <w:pPr>
        <w:pStyle w:val="FootnoteText"/>
      </w:pPr>
      <w:r>
        <w:rPr>
          <w:rStyle w:val="FootnoteReference"/>
        </w:rPr>
        <w:footnoteRef/>
      </w:r>
      <w:r>
        <w:t xml:space="preserve"> </w:t>
      </w:r>
      <w:r w:rsidRPr="00946D8D">
        <w:rPr>
          <w:i/>
          <w:iCs/>
        </w:rPr>
        <w:t xml:space="preserve">R. v. Camden LBC, ex p. Pereira </w:t>
      </w:r>
      <w:r w:rsidRPr="00946D8D">
        <w:t>(1998) 31 HLR 317</w:t>
      </w:r>
      <w:r>
        <w:t>.</w:t>
      </w:r>
    </w:p>
  </w:footnote>
  <w:footnote w:id="22">
    <w:p w14:paraId="426B56DD" w14:textId="7B478EFD" w:rsidR="00496642" w:rsidRDefault="00496642">
      <w:pPr>
        <w:pStyle w:val="FootnoteText"/>
      </w:pPr>
      <w:r>
        <w:rPr>
          <w:rStyle w:val="FootnoteReference"/>
        </w:rPr>
        <w:footnoteRef/>
      </w:r>
      <w:r>
        <w:t xml:space="preserve"> J. Bates ‘The Ordinary Person’ [2015] JHL 63, pp.65-6.</w:t>
      </w:r>
    </w:p>
  </w:footnote>
  <w:footnote w:id="23">
    <w:p w14:paraId="2295648F" w14:textId="67095234" w:rsidR="00496642" w:rsidRDefault="00496642">
      <w:pPr>
        <w:pStyle w:val="FootnoteText"/>
      </w:pPr>
      <w:r>
        <w:rPr>
          <w:rStyle w:val="FootnoteReference"/>
        </w:rPr>
        <w:footnoteRef/>
      </w:r>
      <w:r>
        <w:t xml:space="preserve"> </w:t>
      </w:r>
      <w:proofErr w:type="spellStart"/>
      <w:r w:rsidRPr="00172909">
        <w:rPr>
          <w:i/>
          <w:iCs/>
        </w:rPr>
        <w:t>Hotak</w:t>
      </w:r>
      <w:proofErr w:type="spellEnd"/>
      <w:r>
        <w:rPr>
          <w:i/>
          <w:iCs/>
        </w:rPr>
        <w:t xml:space="preserve"> </w:t>
      </w:r>
      <w:r w:rsidRPr="00496642">
        <w:t>at [43].</w:t>
      </w:r>
    </w:p>
  </w:footnote>
  <w:footnote w:id="24">
    <w:p w14:paraId="728CE87E" w14:textId="6525DA4D" w:rsidR="00496642" w:rsidRDefault="00496642">
      <w:pPr>
        <w:pStyle w:val="FootnoteText"/>
      </w:pPr>
      <w:r>
        <w:rPr>
          <w:rStyle w:val="FootnoteReference"/>
        </w:rPr>
        <w:footnoteRef/>
      </w:r>
      <w:r>
        <w:t xml:space="preserve"> </w:t>
      </w:r>
      <w:proofErr w:type="spellStart"/>
      <w:r w:rsidRPr="00172909">
        <w:rPr>
          <w:i/>
          <w:iCs/>
        </w:rPr>
        <w:t>Hotak</w:t>
      </w:r>
      <w:proofErr w:type="spellEnd"/>
      <w:r>
        <w:rPr>
          <w:i/>
          <w:iCs/>
        </w:rPr>
        <w:t xml:space="preserve"> </w:t>
      </w:r>
      <w:r w:rsidRPr="00496642">
        <w:t>at [</w:t>
      </w:r>
      <w:r>
        <w:t>56</w:t>
      </w:r>
      <w:r w:rsidRPr="00496642">
        <w:t>].</w:t>
      </w:r>
    </w:p>
  </w:footnote>
  <w:footnote w:id="25">
    <w:p w14:paraId="06F438CE" w14:textId="07880768" w:rsidR="00496642" w:rsidRDefault="00496642">
      <w:pPr>
        <w:pStyle w:val="FootnoteText"/>
      </w:pPr>
      <w:r>
        <w:rPr>
          <w:rStyle w:val="FootnoteReference"/>
        </w:rPr>
        <w:footnoteRef/>
      </w:r>
      <w:r>
        <w:t xml:space="preserve"> </w:t>
      </w:r>
      <w:proofErr w:type="spellStart"/>
      <w:r w:rsidRPr="00172909">
        <w:rPr>
          <w:i/>
          <w:iCs/>
        </w:rPr>
        <w:t>Hotak</w:t>
      </w:r>
      <w:proofErr w:type="spellEnd"/>
      <w:r>
        <w:rPr>
          <w:i/>
          <w:iCs/>
        </w:rPr>
        <w:t xml:space="preserve"> </w:t>
      </w:r>
      <w:r w:rsidRPr="00496642">
        <w:t>at [</w:t>
      </w:r>
      <w:r w:rsidR="002D5D36">
        <w:t>92</w:t>
      </w:r>
      <w:r w:rsidRPr="00496642">
        <w:t>].</w:t>
      </w:r>
    </w:p>
  </w:footnote>
  <w:footnote w:id="26">
    <w:p w14:paraId="5225FF6D" w14:textId="3E26C69C" w:rsidR="002D5D36" w:rsidRDefault="002D5D36">
      <w:pPr>
        <w:pStyle w:val="FootnoteText"/>
      </w:pPr>
      <w:r>
        <w:rPr>
          <w:rStyle w:val="FootnoteReference"/>
        </w:rPr>
        <w:footnoteRef/>
      </w:r>
      <w:r>
        <w:t xml:space="preserve"> </w:t>
      </w:r>
      <w:proofErr w:type="spellStart"/>
      <w:r w:rsidRPr="00172909">
        <w:rPr>
          <w:i/>
          <w:iCs/>
        </w:rPr>
        <w:t>Hotak</w:t>
      </w:r>
      <w:proofErr w:type="spellEnd"/>
      <w:r>
        <w:rPr>
          <w:i/>
          <w:iCs/>
        </w:rPr>
        <w:t xml:space="preserve"> </w:t>
      </w:r>
      <w:r w:rsidRPr="00496642">
        <w:t>at [</w:t>
      </w:r>
      <w:r>
        <w:t>71</w:t>
      </w:r>
      <w:r w:rsidRPr="00496642">
        <w:t>].</w:t>
      </w:r>
    </w:p>
  </w:footnote>
  <w:footnote w:id="27">
    <w:p w14:paraId="7E73BC09" w14:textId="5C74A6EE" w:rsidR="002D5D36" w:rsidRDefault="002D5D36">
      <w:pPr>
        <w:pStyle w:val="FootnoteText"/>
      </w:pPr>
      <w:r>
        <w:rPr>
          <w:rStyle w:val="FootnoteReference"/>
        </w:rPr>
        <w:footnoteRef/>
      </w:r>
      <w:r>
        <w:t xml:space="preserve"> </w:t>
      </w:r>
      <w:proofErr w:type="spellStart"/>
      <w:r w:rsidRPr="00172909">
        <w:rPr>
          <w:i/>
          <w:iCs/>
        </w:rPr>
        <w:t>Hotak</w:t>
      </w:r>
      <w:proofErr w:type="spellEnd"/>
      <w:r>
        <w:rPr>
          <w:i/>
          <w:iCs/>
        </w:rPr>
        <w:t xml:space="preserve"> </w:t>
      </w:r>
      <w:r w:rsidRPr="00496642">
        <w:t>at [</w:t>
      </w:r>
      <w:r>
        <w:t>95</w:t>
      </w:r>
      <w:r w:rsidRPr="00496642">
        <w:t>].</w:t>
      </w:r>
    </w:p>
  </w:footnote>
  <w:footnote w:id="28">
    <w:p w14:paraId="5DD124C2" w14:textId="6E244E9C" w:rsidR="002D5D36" w:rsidRDefault="002D5D36">
      <w:pPr>
        <w:pStyle w:val="FootnoteText"/>
      </w:pPr>
      <w:r>
        <w:rPr>
          <w:rStyle w:val="FootnoteReference"/>
        </w:rPr>
        <w:footnoteRef/>
      </w:r>
      <w:r>
        <w:t xml:space="preserve"> </w:t>
      </w:r>
      <w:r w:rsidRPr="002D5D36">
        <w:rPr>
          <w:i/>
          <w:iCs/>
        </w:rPr>
        <w:t>Shala v. Birmingham C.C.</w:t>
      </w:r>
      <w:r w:rsidRPr="002D5D36">
        <w:t xml:space="preserve"> [2007] EWCA </w:t>
      </w:r>
      <w:proofErr w:type="spellStart"/>
      <w:r w:rsidRPr="002D5D36">
        <w:t>Civ</w:t>
      </w:r>
      <w:proofErr w:type="spellEnd"/>
      <w:r w:rsidRPr="002D5D36">
        <w:t xml:space="preserve"> 62</w:t>
      </w:r>
      <w:r>
        <w:t>.</w:t>
      </w:r>
    </w:p>
  </w:footnote>
  <w:footnote w:id="29">
    <w:p w14:paraId="7473532D" w14:textId="74DAB03B" w:rsidR="00152103" w:rsidRDefault="00152103">
      <w:pPr>
        <w:pStyle w:val="FootnoteText"/>
      </w:pPr>
      <w:r>
        <w:rPr>
          <w:rStyle w:val="FootnoteReference"/>
        </w:rPr>
        <w:footnoteRef/>
      </w:r>
      <w:r>
        <w:t xml:space="preserve"> </w:t>
      </w:r>
      <w:r w:rsidRPr="00152103">
        <w:rPr>
          <w:i/>
          <w:iCs/>
        </w:rPr>
        <w:t>SR v Lambeth London Borough Council, </w:t>
      </w:r>
      <w:r w:rsidRPr="00152103">
        <w:t>County Court at Central London, 21</w:t>
      </w:r>
      <w:r w:rsidRPr="00152103">
        <w:rPr>
          <w:vertAlign w:val="superscript"/>
        </w:rPr>
        <w:t> </w:t>
      </w:r>
      <w:r w:rsidRPr="00152103">
        <w:t>October 2021</w:t>
      </w:r>
      <w:r>
        <w:t>,</w:t>
      </w:r>
      <w:r w:rsidRPr="00152103">
        <w:t> </w:t>
      </w:r>
    </w:p>
  </w:footnote>
  <w:footnote w:id="30">
    <w:p w14:paraId="1D831B90" w14:textId="552AD987" w:rsidR="00152103" w:rsidRDefault="00152103">
      <w:pPr>
        <w:pStyle w:val="FootnoteText"/>
      </w:pPr>
      <w:r>
        <w:rPr>
          <w:rStyle w:val="FootnoteReference"/>
        </w:rPr>
        <w:footnoteRef/>
      </w:r>
      <w:r>
        <w:t xml:space="preserve"> </w:t>
      </w:r>
      <w:r w:rsidRPr="00152103">
        <w:rPr>
          <w:i/>
          <w:iCs/>
        </w:rPr>
        <w:t>Cherry v LB Tower Hamlets</w:t>
      </w:r>
      <w:r w:rsidRPr="00152103">
        <w:t>. County Court at Central London, 11 January 2018</w:t>
      </w:r>
      <w:r>
        <w:t xml:space="preserve">, </w:t>
      </w:r>
      <w:r w:rsidRPr="00152103">
        <w:t>https://nearlylegal.co.uk/2021/11/recitation-is-not-application/https://nearlylegal.co.uk/2018/01/failure-engage-medical-advisors-homeless-vulnerability/</w:t>
      </w:r>
    </w:p>
  </w:footnote>
  <w:footnote w:id="31">
    <w:p w14:paraId="238506A3" w14:textId="5DF047B9" w:rsidR="00DD563D" w:rsidRDefault="00DD563D">
      <w:pPr>
        <w:pStyle w:val="FootnoteText"/>
      </w:pPr>
      <w:r>
        <w:rPr>
          <w:rStyle w:val="FootnoteReference"/>
        </w:rPr>
        <w:footnoteRef/>
      </w:r>
      <w:r>
        <w:t xml:space="preserve"> For more on the research see: </w:t>
      </w:r>
      <w:r w:rsidRPr="00B000CA">
        <w:t>Bretherton J., Hunter C and Johnsen S. (2013) “</w:t>
      </w:r>
      <w:r w:rsidRPr="00B000CA">
        <w:rPr>
          <w:iCs/>
        </w:rPr>
        <w:t xml:space="preserve">‘You can judge them on how they look…’: Homelessness Officers, Medical Evidence and Decision-Making in England” </w:t>
      </w:r>
      <w:r w:rsidRPr="00B000CA">
        <w:rPr>
          <w:i/>
          <w:iCs/>
        </w:rPr>
        <w:t xml:space="preserve">European Journal of Homelessness </w:t>
      </w:r>
      <w:r w:rsidRPr="00B000CA">
        <w:rPr>
          <w:iCs/>
        </w:rPr>
        <w:t>7(1), pp. 69-92</w:t>
      </w:r>
      <w:r>
        <w:rPr>
          <w:iCs/>
        </w:rPr>
        <w:t>.</w:t>
      </w:r>
    </w:p>
  </w:footnote>
  <w:footnote w:id="32">
    <w:p w14:paraId="586345C7" w14:textId="1B36C817" w:rsidR="007044BA" w:rsidRPr="003A5A42" w:rsidRDefault="007044BA" w:rsidP="007044BA">
      <w:pPr>
        <w:pStyle w:val="FootnoteText"/>
      </w:pPr>
      <w:r>
        <w:rPr>
          <w:rStyle w:val="FootnoteReference"/>
        </w:rPr>
        <w:footnoteRef/>
      </w:r>
      <w:r w:rsidR="00211407">
        <w:t xml:space="preserve"> DLUHC, </w:t>
      </w:r>
      <w:r w:rsidR="00211407" w:rsidRPr="00211407">
        <w:t>Statutory Homelessness Annual Report 2021-22, England</w:t>
      </w:r>
      <w:r w:rsidR="00211407">
        <w:t>,</w:t>
      </w:r>
      <w:r w:rsidR="00211407" w:rsidRPr="00211407">
        <w:t xml:space="preserve"> </w:t>
      </w:r>
      <w:hyperlink r:id="rId1" w:history="1">
        <w:r w:rsidR="00211407" w:rsidRPr="00211407">
          <w:rPr>
            <w:rStyle w:val="Hyperlink"/>
          </w:rPr>
          <w:t>https://assets.publishing.service.gov.uk/government/uploads/system/uploads/attachment_data/file/1105577/Annual_Statutory_Homelessness_release_2021-22.pdf</w:t>
        </w:r>
      </w:hyperlink>
      <w:r>
        <w:t xml:space="preserve"> page 15.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34F5"/>
    <w:multiLevelType w:val="hybridMultilevel"/>
    <w:tmpl w:val="A78E6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1D410C"/>
    <w:multiLevelType w:val="hybridMultilevel"/>
    <w:tmpl w:val="546E98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284DD8"/>
    <w:multiLevelType w:val="hybridMultilevel"/>
    <w:tmpl w:val="167AC672"/>
    <w:lvl w:ilvl="0" w:tplc="976EE8B2">
      <w:start w:val="1"/>
      <w:numFmt w:val="bullet"/>
      <w:lvlText w:val="•"/>
      <w:lvlJc w:val="left"/>
      <w:pPr>
        <w:tabs>
          <w:tab w:val="num" w:pos="720"/>
        </w:tabs>
        <w:ind w:left="720" w:hanging="360"/>
      </w:pPr>
      <w:rPr>
        <w:rFonts w:ascii="Times New Roman" w:hAnsi="Times New Roman" w:hint="default"/>
      </w:rPr>
    </w:lvl>
    <w:lvl w:ilvl="1" w:tplc="9CD2AEA0" w:tentative="1">
      <w:start w:val="1"/>
      <w:numFmt w:val="bullet"/>
      <w:lvlText w:val="•"/>
      <w:lvlJc w:val="left"/>
      <w:pPr>
        <w:tabs>
          <w:tab w:val="num" w:pos="1440"/>
        </w:tabs>
        <w:ind w:left="1440" w:hanging="360"/>
      </w:pPr>
      <w:rPr>
        <w:rFonts w:ascii="Times New Roman" w:hAnsi="Times New Roman" w:hint="default"/>
      </w:rPr>
    </w:lvl>
    <w:lvl w:ilvl="2" w:tplc="A29E3628" w:tentative="1">
      <w:start w:val="1"/>
      <w:numFmt w:val="bullet"/>
      <w:lvlText w:val="•"/>
      <w:lvlJc w:val="left"/>
      <w:pPr>
        <w:tabs>
          <w:tab w:val="num" w:pos="2160"/>
        </w:tabs>
        <w:ind w:left="2160" w:hanging="360"/>
      </w:pPr>
      <w:rPr>
        <w:rFonts w:ascii="Times New Roman" w:hAnsi="Times New Roman" w:hint="default"/>
      </w:rPr>
    </w:lvl>
    <w:lvl w:ilvl="3" w:tplc="FF1C5EF0" w:tentative="1">
      <w:start w:val="1"/>
      <w:numFmt w:val="bullet"/>
      <w:lvlText w:val="•"/>
      <w:lvlJc w:val="left"/>
      <w:pPr>
        <w:tabs>
          <w:tab w:val="num" w:pos="2880"/>
        </w:tabs>
        <w:ind w:left="2880" w:hanging="360"/>
      </w:pPr>
      <w:rPr>
        <w:rFonts w:ascii="Times New Roman" w:hAnsi="Times New Roman" w:hint="default"/>
      </w:rPr>
    </w:lvl>
    <w:lvl w:ilvl="4" w:tplc="A11C1956" w:tentative="1">
      <w:start w:val="1"/>
      <w:numFmt w:val="bullet"/>
      <w:lvlText w:val="•"/>
      <w:lvlJc w:val="left"/>
      <w:pPr>
        <w:tabs>
          <w:tab w:val="num" w:pos="3600"/>
        </w:tabs>
        <w:ind w:left="3600" w:hanging="360"/>
      </w:pPr>
      <w:rPr>
        <w:rFonts w:ascii="Times New Roman" w:hAnsi="Times New Roman" w:hint="default"/>
      </w:rPr>
    </w:lvl>
    <w:lvl w:ilvl="5" w:tplc="6BE47EE0" w:tentative="1">
      <w:start w:val="1"/>
      <w:numFmt w:val="bullet"/>
      <w:lvlText w:val="•"/>
      <w:lvlJc w:val="left"/>
      <w:pPr>
        <w:tabs>
          <w:tab w:val="num" w:pos="4320"/>
        </w:tabs>
        <w:ind w:left="4320" w:hanging="360"/>
      </w:pPr>
      <w:rPr>
        <w:rFonts w:ascii="Times New Roman" w:hAnsi="Times New Roman" w:hint="default"/>
      </w:rPr>
    </w:lvl>
    <w:lvl w:ilvl="6" w:tplc="B81A74C8" w:tentative="1">
      <w:start w:val="1"/>
      <w:numFmt w:val="bullet"/>
      <w:lvlText w:val="•"/>
      <w:lvlJc w:val="left"/>
      <w:pPr>
        <w:tabs>
          <w:tab w:val="num" w:pos="5040"/>
        </w:tabs>
        <w:ind w:left="5040" w:hanging="360"/>
      </w:pPr>
      <w:rPr>
        <w:rFonts w:ascii="Times New Roman" w:hAnsi="Times New Roman" w:hint="default"/>
      </w:rPr>
    </w:lvl>
    <w:lvl w:ilvl="7" w:tplc="ACE8D9C0" w:tentative="1">
      <w:start w:val="1"/>
      <w:numFmt w:val="bullet"/>
      <w:lvlText w:val="•"/>
      <w:lvlJc w:val="left"/>
      <w:pPr>
        <w:tabs>
          <w:tab w:val="num" w:pos="5760"/>
        </w:tabs>
        <w:ind w:left="5760" w:hanging="360"/>
      </w:pPr>
      <w:rPr>
        <w:rFonts w:ascii="Times New Roman" w:hAnsi="Times New Roman" w:hint="default"/>
      </w:rPr>
    </w:lvl>
    <w:lvl w:ilvl="8" w:tplc="39C2592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0107B11"/>
    <w:multiLevelType w:val="hybridMultilevel"/>
    <w:tmpl w:val="05E21ABA"/>
    <w:lvl w:ilvl="0" w:tplc="9FDE792C">
      <w:start w:val="1"/>
      <w:numFmt w:val="bullet"/>
      <w:lvlText w:val="•"/>
      <w:lvlJc w:val="left"/>
      <w:pPr>
        <w:tabs>
          <w:tab w:val="num" w:pos="720"/>
        </w:tabs>
        <w:ind w:left="720" w:hanging="360"/>
      </w:pPr>
      <w:rPr>
        <w:rFonts w:ascii="Times New Roman" w:hAnsi="Times New Roman" w:hint="default"/>
      </w:rPr>
    </w:lvl>
    <w:lvl w:ilvl="1" w:tplc="16343484" w:tentative="1">
      <w:start w:val="1"/>
      <w:numFmt w:val="bullet"/>
      <w:lvlText w:val="•"/>
      <w:lvlJc w:val="left"/>
      <w:pPr>
        <w:tabs>
          <w:tab w:val="num" w:pos="1440"/>
        </w:tabs>
        <w:ind w:left="1440" w:hanging="360"/>
      </w:pPr>
      <w:rPr>
        <w:rFonts w:ascii="Times New Roman" w:hAnsi="Times New Roman" w:hint="default"/>
      </w:rPr>
    </w:lvl>
    <w:lvl w:ilvl="2" w:tplc="0BD66D82" w:tentative="1">
      <w:start w:val="1"/>
      <w:numFmt w:val="bullet"/>
      <w:lvlText w:val="•"/>
      <w:lvlJc w:val="left"/>
      <w:pPr>
        <w:tabs>
          <w:tab w:val="num" w:pos="2160"/>
        </w:tabs>
        <w:ind w:left="2160" w:hanging="360"/>
      </w:pPr>
      <w:rPr>
        <w:rFonts w:ascii="Times New Roman" w:hAnsi="Times New Roman" w:hint="default"/>
      </w:rPr>
    </w:lvl>
    <w:lvl w:ilvl="3" w:tplc="8D129770" w:tentative="1">
      <w:start w:val="1"/>
      <w:numFmt w:val="bullet"/>
      <w:lvlText w:val="•"/>
      <w:lvlJc w:val="left"/>
      <w:pPr>
        <w:tabs>
          <w:tab w:val="num" w:pos="2880"/>
        </w:tabs>
        <w:ind w:left="2880" w:hanging="360"/>
      </w:pPr>
      <w:rPr>
        <w:rFonts w:ascii="Times New Roman" w:hAnsi="Times New Roman" w:hint="default"/>
      </w:rPr>
    </w:lvl>
    <w:lvl w:ilvl="4" w:tplc="3C5C1568" w:tentative="1">
      <w:start w:val="1"/>
      <w:numFmt w:val="bullet"/>
      <w:lvlText w:val="•"/>
      <w:lvlJc w:val="left"/>
      <w:pPr>
        <w:tabs>
          <w:tab w:val="num" w:pos="3600"/>
        </w:tabs>
        <w:ind w:left="3600" w:hanging="360"/>
      </w:pPr>
      <w:rPr>
        <w:rFonts w:ascii="Times New Roman" w:hAnsi="Times New Roman" w:hint="default"/>
      </w:rPr>
    </w:lvl>
    <w:lvl w:ilvl="5" w:tplc="854413FC" w:tentative="1">
      <w:start w:val="1"/>
      <w:numFmt w:val="bullet"/>
      <w:lvlText w:val="•"/>
      <w:lvlJc w:val="left"/>
      <w:pPr>
        <w:tabs>
          <w:tab w:val="num" w:pos="4320"/>
        </w:tabs>
        <w:ind w:left="4320" w:hanging="360"/>
      </w:pPr>
      <w:rPr>
        <w:rFonts w:ascii="Times New Roman" w:hAnsi="Times New Roman" w:hint="default"/>
      </w:rPr>
    </w:lvl>
    <w:lvl w:ilvl="6" w:tplc="16F2C48C" w:tentative="1">
      <w:start w:val="1"/>
      <w:numFmt w:val="bullet"/>
      <w:lvlText w:val="•"/>
      <w:lvlJc w:val="left"/>
      <w:pPr>
        <w:tabs>
          <w:tab w:val="num" w:pos="5040"/>
        </w:tabs>
        <w:ind w:left="5040" w:hanging="360"/>
      </w:pPr>
      <w:rPr>
        <w:rFonts w:ascii="Times New Roman" w:hAnsi="Times New Roman" w:hint="default"/>
      </w:rPr>
    </w:lvl>
    <w:lvl w:ilvl="7" w:tplc="AFA865EE" w:tentative="1">
      <w:start w:val="1"/>
      <w:numFmt w:val="bullet"/>
      <w:lvlText w:val="•"/>
      <w:lvlJc w:val="left"/>
      <w:pPr>
        <w:tabs>
          <w:tab w:val="num" w:pos="5760"/>
        </w:tabs>
        <w:ind w:left="5760" w:hanging="360"/>
      </w:pPr>
      <w:rPr>
        <w:rFonts w:ascii="Times New Roman" w:hAnsi="Times New Roman" w:hint="default"/>
      </w:rPr>
    </w:lvl>
    <w:lvl w:ilvl="8" w:tplc="F9A25DA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3F159B"/>
    <w:multiLevelType w:val="hybridMultilevel"/>
    <w:tmpl w:val="213AEECC"/>
    <w:lvl w:ilvl="0" w:tplc="C1546ADA">
      <w:start w:val="1"/>
      <w:numFmt w:val="bullet"/>
      <w:lvlText w:val="•"/>
      <w:lvlJc w:val="left"/>
      <w:pPr>
        <w:tabs>
          <w:tab w:val="num" w:pos="720"/>
        </w:tabs>
        <w:ind w:left="720" w:hanging="360"/>
      </w:pPr>
      <w:rPr>
        <w:rFonts w:ascii="Times New Roman" w:hAnsi="Times New Roman" w:hint="default"/>
      </w:rPr>
    </w:lvl>
    <w:lvl w:ilvl="1" w:tplc="A2B444B6" w:tentative="1">
      <w:start w:val="1"/>
      <w:numFmt w:val="bullet"/>
      <w:lvlText w:val="•"/>
      <w:lvlJc w:val="left"/>
      <w:pPr>
        <w:tabs>
          <w:tab w:val="num" w:pos="1440"/>
        </w:tabs>
        <w:ind w:left="1440" w:hanging="360"/>
      </w:pPr>
      <w:rPr>
        <w:rFonts w:ascii="Times New Roman" w:hAnsi="Times New Roman" w:hint="default"/>
      </w:rPr>
    </w:lvl>
    <w:lvl w:ilvl="2" w:tplc="680ACF40" w:tentative="1">
      <w:start w:val="1"/>
      <w:numFmt w:val="bullet"/>
      <w:lvlText w:val="•"/>
      <w:lvlJc w:val="left"/>
      <w:pPr>
        <w:tabs>
          <w:tab w:val="num" w:pos="2160"/>
        </w:tabs>
        <w:ind w:left="2160" w:hanging="360"/>
      </w:pPr>
      <w:rPr>
        <w:rFonts w:ascii="Times New Roman" w:hAnsi="Times New Roman" w:hint="default"/>
      </w:rPr>
    </w:lvl>
    <w:lvl w:ilvl="3" w:tplc="46BE430A" w:tentative="1">
      <w:start w:val="1"/>
      <w:numFmt w:val="bullet"/>
      <w:lvlText w:val="•"/>
      <w:lvlJc w:val="left"/>
      <w:pPr>
        <w:tabs>
          <w:tab w:val="num" w:pos="2880"/>
        </w:tabs>
        <w:ind w:left="2880" w:hanging="360"/>
      </w:pPr>
      <w:rPr>
        <w:rFonts w:ascii="Times New Roman" w:hAnsi="Times New Roman" w:hint="default"/>
      </w:rPr>
    </w:lvl>
    <w:lvl w:ilvl="4" w:tplc="3FEA4D1C" w:tentative="1">
      <w:start w:val="1"/>
      <w:numFmt w:val="bullet"/>
      <w:lvlText w:val="•"/>
      <w:lvlJc w:val="left"/>
      <w:pPr>
        <w:tabs>
          <w:tab w:val="num" w:pos="3600"/>
        </w:tabs>
        <w:ind w:left="3600" w:hanging="360"/>
      </w:pPr>
      <w:rPr>
        <w:rFonts w:ascii="Times New Roman" w:hAnsi="Times New Roman" w:hint="default"/>
      </w:rPr>
    </w:lvl>
    <w:lvl w:ilvl="5" w:tplc="975E6F20" w:tentative="1">
      <w:start w:val="1"/>
      <w:numFmt w:val="bullet"/>
      <w:lvlText w:val="•"/>
      <w:lvlJc w:val="left"/>
      <w:pPr>
        <w:tabs>
          <w:tab w:val="num" w:pos="4320"/>
        </w:tabs>
        <w:ind w:left="4320" w:hanging="360"/>
      </w:pPr>
      <w:rPr>
        <w:rFonts w:ascii="Times New Roman" w:hAnsi="Times New Roman" w:hint="default"/>
      </w:rPr>
    </w:lvl>
    <w:lvl w:ilvl="6" w:tplc="945AB238" w:tentative="1">
      <w:start w:val="1"/>
      <w:numFmt w:val="bullet"/>
      <w:lvlText w:val="•"/>
      <w:lvlJc w:val="left"/>
      <w:pPr>
        <w:tabs>
          <w:tab w:val="num" w:pos="5040"/>
        </w:tabs>
        <w:ind w:left="5040" w:hanging="360"/>
      </w:pPr>
      <w:rPr>
        <w:rFonts w:ascii="Times New Roman" w:hAnsi="Times New Roman" w:hint="default"/>
      </w:rPr>
    </w:lvl>
    <w:lvl w:ilvl="7" w:tplc="9C4CA302" w:tentative="1">
      <w:start w:val="1"/>
      <w:numFmt w:val="bullet"/>
      <w:lvlText w:val="•"/>
      <w:lvlJc w:val="left"/>
      <w:pPr>
        <w:tabs>
          <w:tab w:val="num" w:pos="5760"/>
        </w:tabs>
        <w:ind w:left="5760" w:hanging="360"/>
      </w:pPr>
      <w:rPr>
        <w:rFonts w:ascii="Times New Roman" w:hAnsi="Times New Roman" w:hint="default"/>
      </w:rPr>
    </w:lvl>
    <w:lvl w:ilvl="8" w:tplc="F8DCC17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42404515"/>
    <w:multiLevelType w:val="hybridMultilevel"/>
    <w:tmpl w:val="E5B60F7C"/>
    <w:lvl w:ilvl="0" w:tplc="665AFB78">
      <w:start w:val="1"/>
      <w:numFmt w:val="bullet"/>
      <w:lvlText w:val="•"/>
      <w:lvlJc w:val="left"/>
      <w:pPr>
        <w:tabs>
          <w:tab w:val="num" w:pos="720"/>
        </w:tabs>
        <w:ind w:left="720" w:hanging="360"/>
      </w:pPr>
      <w:rPr>
        <w:rFonts w:ascii="Arial" w:hAnsi="Arial" w:hint="default"/>
      </w:rPr>
    </w:lvl>
    <w:lvl w:ilvl="1" w:tplc="EC645790" w:tentative="1">
      <w:start w:val="1"/>
      <w:numFmt w:val="bullet"/>
      <w:lvlText w:val="•"/>
      <w:lvlJc w:val="left"/>
      <w:pPr>
        <w:tabs>
          <w:tab w:val="num" w:pos="1440"/>
        </w:tabs>
        <w:ind w:left="1440" w:hanging="360"/>
      </w:pPr>
      <w:rPr>
        <w:rFonts w:ascii="Arial" w:hAnsi="Arial" w:hint="default"/>
      </w:rPr>
    </w:lvl>
    <w:lvl w:ilvl="2" w:tplc="B046ED2E" w:tentative="1">
      <w:start w:val="1"/>
      <w:numFmt w:val="bullet"/>
      <w:lvlText w:val="•"/>
      <w:lvlJc w:val="left"/>
      <w:pPr>
        <w:tabs>
          <w:tab w:val="num" w:pos="2160"/>
        </w:tabs>
        <w:ind w:left="2160" w:hanging="360"/>
      </w:pPr>
      <w:rPr>
        <w:rFonts w:ascii="Arial" w:hAnsi="Arial" w:hint="default"/>
      </w:rPr>
    </w:lvl>
    <w:lvl w:ilvl="3" w:tplc="B7ACEF8A" w:tentative="1">
      <w:start w:val="1"/>
      <w:numFmt w:val="bullet"/>
      <w:lvlText w:val="•"/>
      <w:lvlJc w:val="left"/>
      <w:pPr>
        <w:tabs>
          <w:tab w:val="num" w:pos="2880"/>
        </w:tabs>
        <w:ind w:left="2880" w:hanging="360"/>
      </w:pPr>
      <w:rPr>
        <w:rFonts w:ascii="Arial" w:hAnsi="Arial" w:hint="default"/>
      </w:rPr>
    </w:lvl>
    <w:lvl w:ilvl="4" w:tplc="2F5AEA82" w:tentative="1">
      <w:start w:val="1"/>
      <w:numFmt w:val="bullet"/>
      <w:lvlText w:val="•"/>
      <w:lvlJc w:val="left"/>
      <w:pPr>
        <w:tabs>
          <w:tab w:val="num" w:pos="3600"/>
        </w:tabs>
        <w:ind w:left="3600" w:hanging="360"/>
      </w:pPr>
      <w:rPr>
        <w:rFonts w:ascii="Arial" w:hAnsi="Arial" w:hint="default"/>
      </w:rPr>
    </w:lvl>
    <w:lvl w:ilvl="5" w:tplc="3864E3FE" w:tentative="1">
      <w:start w:val="1"/>
      <w:numFmt w:val="bullet"/>
      <w:lvlText w:val="•"/>
      <w:lvlJc w:val="left"/>
      <w:pPr>
        <w:tabs>
          <w:tab w:val="num" w:pos="4320"/>
        </w:tabs>
        <w:ind w:left="4320" w:hanging="360"/>
      </w:pPr>
      <w:rPr>
        <w:rFonts w:ascii="Arial" w:hAnsi="Arial" w:hint="default"/>
      </w:rPr>
    </w:lvl>
    <w:lvl w:ilvl="6" w:tplc="0F92ACEE" w:tentative="1">
      <w:start w:val="1"/>
      <w:numFmt w:val="bullet"/>
      <w:lvlText w:val="•"/>
      <w:lvlJc w:val="left"/>
      <w:pPr>
        <w:tabs>
          <w:tab w:val="num" w:pos="5040"/>
        </w:tabs>
        <w:ind w:left="5040" w:hanging="360"/>
      </w:pPr>
      <w:rPr>
        <w:rFonts w:ascii="Arial" w:hAnsi="Arial" w:hint="default"/>
      </w:rPr>
    </w:lvl>
    <w:lvl w:ilvl="7" w:tplc="96CA6866" w:tentative="1">
      <w:start w:val="1"/>
      <w:numFmt w:val="bullet"/>
      <w:lvlText w:val="•"/>
      <w:lvlJc w:val="left"/>
      <w:pPr>
        <w:tabs>
          <w:tab w:val="num" w:pos="5760"/>
        </w:tabs>
        <w:ind w:left="5760" w:hanging="360"/>
      </w:pPr>
      <w:rPr>
        <w:rFonts w:ascii="Arial" w:hAnsi="Arial" w:hint="default"/>
      </w:rPr>
    </w:lvl>
    <w:lvl w:ilvl="8" w:tplc="8C2CEBA8"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E57"/>
    <w:rsid w:val="00027DBF"/>
    <w:rsid w:val="00086984"/>
    <w:rsid w:val="000B01A7"/>
    <w:rsid w:val="000B1044"/>
    <w:rsid w:val="00152103"/>
    <w:rsid w:val="00172909"/>
    <w:rsid w:val="00210004"/>
    <w:rsid w:val="00211407"/>
    <w:rsid w:val="00235E41"/>
    <w:rsid w:val="00253A5D"/>
    <w:rsid w:val="00255F6F"/>
    <w:rsid w:val="002B71C9"/>
    <w:rsid w:val="002B7E57"/>
    <w:rsid w:val="002D5D36"/>
    <w:rsid w:val="00334029"/>
    <w:rsid w:val="003D147A"/>
    <w:rsid w:val="004805DB"/>
    <w:rsid w:val="00496642"/>
    <w:rsid w:val="004A3E50"/>
    <w:rsid w:val="004A536B"/>
    <w:rsid w:val="00515207"/>
    <w:rsid w:val="005768BB"/>
    <w:rsid w:val="005A3480"/>
    <w:rsid w:val="005C76DD"/>
    <w:rsid w:val="006A000A"/>
    <w:rsid w:val="007044BA"/>
    <w:rsid w:val="00721358"/>
    <w:rsid w:val="00745E51"/>
    <w:rsid w:val="007628FC"/>
    <w:rsid w:val="007E154B"/>
    <w:rsid w:val="008134B1"/>
    <w:rsid w:val="008B20C0"/>
    <w:rsid w:val="008C1AFF"/>
    <w:rsid w:val="008E27DF"/>
    <w:rsid w:val="008F0391"/>
    <w:rsid w:val="008F04C9"/>
    <w:rsid w:val="0094135E"/>
    <w:rsid w:val="00946D8D"/>
    <w:rsid w:val="009C695C"/>
    <w:rsid w:val="009D2B59"/>
    <w:rsid w:val="009E4DBF"/>
    <w:rsid w:val="00A41804"/>
    <w:rsid w:val="00A7148A"/>
    <w:rsid w:val="00A71739"/>
    <w:rsid w:val="00AA32CD"/>
    <w:rsid w:val="00AC6C8C"/>
    <w:rsid w:val="00AF6428"/>
    <w:rsid w:val="00B5718A"/>
    <w:rsid w:val="00B62B3A"/>
    <w:rsid w:val="00C0735B"/>
    <w:rsid w:val="00C112E0"/>
    <w:rsid w:val="00C15109"/>
    <w:rsid w:val="00C4723D"/>
    <w:rsid w:val="00C6375B"/>
    <w:rsid w:val="00CA734D"/>
    <w:rsid w:val="00CF4D1A"/>
    <w:rsid w:val="00D00660"/>
    <w:rsid w:val="00D17137"/>
    <w:rsid w:val="00D22B09"/>
    <w:rsid w:val="00D7745E"/>
    <w:rsid w:val="00DD563D"/>
    <w:rsid w:val="00DE5CAE"/>
    <w:rsid w:val="00DF31AC"/>
    <w:rsid w:val="00E1414F"/>
    <w:rsid w:val="00E55AFC"/>
    <w:rsid w:val="00E60814"/>
    <w:rsid w:val="00E929FB"/>
    <w:rsid w:val="00EC64C8"/>
    <w:rsid w:val="00EF1A96"/>
    <w:rsid w:val="00F11110"/>
    <w:rsid w:val="00F36C88"/>
    <w:rsid w:val="00F46699"/>
    <w:rsid w:val="00F4747B"/>
    <w:rsid w:val="00F50F84"/>
    <w:rsid w:val="00F94684"/>
    <w:rsid w:val="00FC7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C587"/>
  <w15:chartTrackingRefBased/>
  <w15:docId w15:val="{49290577-D859-4D44-8956-5B3FEB242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F31AC"/>
    <w:rPr>
      <w:sz w:val="20"/>
      <w:szCs w:val="20"/>
    </w:rPr>
  </w:style>
  <w:style w:type="character" w:customStyle="1" w:styleId="FootnoteTextChar">
    <w:name w:val="Footnote Text Char"/>
    <w:basedOn w:val="DefaultParagraphFont"/>
    <w:link w:val="FootnoteText"/>
    <w:uiPriority w:val="99"/>
    <w:semiHidden/>
    <w:rsid w:val="00DF31AC"/>
    <w:rPr>
      <w:sz w:val="20"/>
      <w:szCs w:val="20"/>
    </w:rPr>
  </w:style>
  <w:style w:type="character" w:styleId="FootnoteReference">
    <w:name w:val="footnote reference"/>
    <w:basedOn w:val="DefaultParagraphFont"/>
    <w:uiPriority w:val="99"/>
    <w:semiHidden/>
    <w:unhideWhenUsed/>
    <w:rsid w:val="00DF31AC"/>
    <w:rPr>
      <w:vertAlign w:val="superscript"/>
    </w:rPr>
  </w:style>
  <w:style w:type="paragraph" w:styleId="ListParagraph">
    <w:name w:val="List Paragraph"/>
    <w:basedOn w:val="Normal"/>
    <w:uiPriority w:val="34"/>
    <w:qFormat/>
    <w:rsid w:val="008F04C9"/>
    <w:pPr>
      <w:ind w:left="720"/>
      <w:contextualSpacing/>
    </w:pPr>
  </w:style>
  <w:style w:type="paragraph" w:styleId="Revision">
    <w:name w:val="Revision"/>
    <w:hidden/>
    <w:uiPriority w:val="99"/>
    <w:semiHidden/>
    <w:rsid w:val="00C0735B"/>
  </w:style>
  <w:style w:type="character" w:styleId="CommentReference">
    <w:name w:val="annotation reference"/>
    <w:basedOn w:val="DefaultParagraphFont"/>
    <w:uiPriority w:val="99"/>
    <w:semiHidden/>
    <w:unhideWhenUsed/>
    <w:rsid w:val="00F94684"/>
    <w:rPr>
      <w:sz w:val="16"/>
      <w:szCs w:val="16"/>
    </w:rPr>
  </w:style>
  <w:style w:type="paragraph" w:styleId="CommentText">
    <w:name w:val="annotation text"/>
    <w:basedOn w:val="Normal"/>
    <w:link w:val="CommentTextChar"/>
    <w:uiPriority w:val="99"/>
    <w:unhideWhenUsed/>
    <w:rsid w:val="00F94684"/>
    <w:rPr>
      <w:sz w:val="20"/>
      <w:szCs w:val="20"/>
    </w:rPr>
  </w:style>
  <w:style w:type="character" w:customStyle="1" w:styleId="CommentTextChar">
    <w:name w:val="Comment Text Char"/>
    <w:basedOn w:val="DefaultParagraphFont"/>
    <w:link w:val="CommentText"/>
    <w:uiPriority w:val="99"/>
    <w:rsid w:val="00F94684"/>
    <w:rPr>
      <w:sz w:val="20"/>
      <w:szCs w:val="20"/>
    </w:rPr>
  </w:style>
  <w:style w:type="paragraph" w:styleId="CommentSubject">
    <w:name w:val="annotation subject"/>
    <w:basedOn w:val="CommentText"/>
    <w:next w:val="CommentText"/>
    <w:link w:val="CommentSubjectChar"/>
    <w:uiPriority w:val="99"/>
    <w:semiHidden/>
    <w:unhideWhenUsed/>
    <w:rsid w:val="00F94684"/>
    <w:rPr>
      <w:b/>
      <w:bCs/>
    </w:rPr>
  </w:style>
  <w:style w:type="character" w:customStyle="1" w:styleId="CommentSubjectChar">
    <w:name w:val="Comment Subject Char"/>
    <w:basedOn w:val="CommentTextChar"/>
    <w:link w:val="CommentSubject"/>
    <w:uiPriority w:val="99"/>
    <w:semiHidden/>
    <w:rsid w:val="00F94684"/>
    <w:rPr>
      <w:b/>
      <w:bCs/>
      <w:sz w:val="20"/>
      <w:szCs w:val="20"/>
    </w:rPr>
  </w:style>
  <w:style w:type="character" w:styleId="Hyperlink">
    <w:name w:val="Hyperlink"/>
    <w:basedOn w:val="DefaultParagraphFont"/>
    <w:uiPriority w:val="99"/>
    <w:unhideWhenUsed/>
    <w:rsid w:val="00F94684"/>
    <w:rPr>
      <w:color w:val="0563C1" w:themeColor="hyperlink"/>
      <w:u w:val="single"/>
    </w:rPr>
  </w:style>
  <w:style w:type="character" w:styleId="UnresolvedMention">
    <w:name w:val="Unresolved Mention"/>
    <w:basedOn w:val="DefaultParagraphFont"/>
    <w:uiPriority w:val="99"/>
    <w:semiHidden/>
    <w:unhideWhenUsed/>
    <w:rsid w:val="00F94684"/>
    <w:rPr>
      <w:color w:val="605E5C"/>
      <w:shd w:val="clear" w:color="auto" w:fill="E1DFDD"/>
    </w:rPr>
  </w:style>
  <w:style w:type="character" w:styleId="FollowedHyperlink">
    <w:name w:val="FollowedHyperlink"/>
    <w:basedOn w:val="DefaultParagraphFont"/>
    <w:uiPriority w:val="99"/>
    <w:semiHidden/>
    <w:unhideWhenUsed/>
    <w:rsid w:val="00211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9340">
      <w:bodyDiv w:val="1"/>
      <w:marLeft w:val="0"/>
      <w:marRight w:val="0"/>
      <w:marTop w:val="0"/>
      <w:marBottom w:val="0"/>
      <w:divBdr>
        <w:top w:val="none" w:sz="0" w:space="0" w:color="auto"/>
        <w:left w:val="none" w:sz="0" w:space="0" w:color="auto"/>
        <w:bottom w:val="none" w:sz="0" w:space="0" w:color="auto"/>
        <w:right w:val="none" w:sz="0" w:space="0" w:color="auto"/>
      </w:divBdr>
      <w:divsChild>
        <w:div w:id="1523283739">
          <w:marLeft w:val="547"/>
          <w:marRight w:val="0"/>
          <w:marTop w:val="0"/>
          <w:marBottom w:val="0"/>
          <w:divBdr>
            <w:top w:val="none" w:sz="0" w:space="0" w:color="auto"/>
            <w:left w:val="none" w:sz="0" w:space="0" w:color="auto"/>
            <w:bottom w:val="none" w:sz="0" w:space="0" w:color="auto"/>
            <w:right w:val="none" w:sz="0" w:space="0" w:color="auto"/>
          </w:divBdr>
        </w:div>
      </w:divsChild>
    </w:div>
    <w:div w:id="112018060">
      <w:bodyDiv w:val="1"/>
      <w:marLeft w:val="0"/>
      <w:marRight w:val="0"/>
      <w:marTop w:val="0"/>
      <w:marBottom w:val="0"/>
      <w:divBdr>
        <w:top w:val="none" w:sz="0" w:space="0" w:color="auto"/>
        <w:left w:val="none" w:sz="0" w:space="0" w:color="auto"/>
        <w:bottom w:val="none" w:sz="0" w:space="0" w:color="auto"/>
        <w:right w:val="none" w:sz="0" w:space="0" w:color="auto"/>
      </w:divBdr>
      <w:divsChild>
        <w:div w:id="584537307">
          <w:marLeft w:val="547"/>
          <w:marRight w:val="0"/>
          <w:marTop w:val="0"/>
          <w:marBottom w:val="0"/>
          <w:divBdr>
            <w:top w:val="none" w:sz="0" w:space="0" w:color="auto"/>
            <w:left w:val="none" w:sz="0" w:space="0" w:color="auto"/>
            <w:bottom w:val="none" w:sz="0" w:space="0" w:color="auto"/>
            <w:right w:val="none" w:sz="0" w:space="0" w:color="auto"/>
          </w:divBdr>
        </w:div>
      </w:divsChild>
    </w:div>
    <w:div w:id="216162531">
      <w:bodyDiv w:val="1"/>
      <w:marLeft w:val="0"/>
      <w:marRight w:val="0"/>
      <w:marTop w:val="0"/>
      <w:marBottom w:val="0"/>
      <w:divBdr>
        <w:top w:val="none" w:sz="0" w:space="0" w:color="auto"/>
        <w:left w:val="none" w:sz="0" w:space="0" w:color="auto"/>
        <w:bottom w:val="none" w:sz="0" w:space="0" w:color="auto"/>
        <w:right w:val="none" w:sz="0" w:space="0" w:color="auto"/>
      </w:divBdr>
    </w:div>
    <w:div w:id="227620647">
      <w:bodyDiv w:val="1"/>
      <w:marLeft w:val="0"/>
      <w:marRight w:val="0"/>
      <w:marTop w:val="0"/>
      <w:marBottom w:val="0"/>
      <w:divBdr>
        <w:top w:val="none" w:sz="0" w:space="0" w:color="auto"/>
        <w:left w:val="none" w:sz="0" w:space="0" w:color="auto"/>
        <w:bottom w:val="none" w:sz="0" w:space="0" w:color="auto"/>
        <w:right w:val="none" w:sz="0" w:space="0" w:color="auto"/>
      </w:divBdr>
      <w:divsChild>
        <w:div w:id="1634870879">
          <w:marLeft w:val="0"/>
          <w:marRight w:val="0"/>
          <w:marTop w:val="0"/>
          <w:marBottom w:val="0"/>
          <w:divBdr>
            <w:top w:val="none" w:sz="0" w:space="0" w:color="auto"/>
            <w:left w:val="none" w:sz="0" w:space="0" w:color="auto"/>
            <w:bottom w:val="none" w:sz="0" w:space="0" w:color="auto"/>
            <w:right w:val="none" w:sz="0" w:space="0" w:color="auto"/>
          </w:divBdr>
        </w:div>
        <w:div w:id="919369816">
          <w:marLeft w:val="0"/>
          <w:marRight w:val="0"/>
          <w:marTop w:val="0"/>
          <w:marBottom w:val="0"/>
          <w:divBdr>
            <w:top w:val="none" w:sz="0" w:space="0" w:color="auto"/>
            <w:left w:val="none" w:sz="0" w:space="0" w:color="auto"/>
            <w:bottom w:val="none" w:sz="0" w:space="0" w:color="auto"/>
            <w:right w:val="none" w:sz="0" w:space="0" w:color="auto"/>
          </w:divBdr>
          <w:divsChild>
            <w:div w:id="1274479985">
              <w:marLeft w:val="0"/>
              <w:marRight w:val="0"/>
              <w:marTop w:val="0"/>
              <w:marBottom w:val="0"/>
              <w:divBdr>
                <w:top w:val="none" w:sz="0" w:space="0" w:color="auto"/>
                <w:left w:val="none" w:sz="0" w:space="0" w:color="auto"/>
                <w:bottom w:val="none" w:sz="0" w:space="0" w:color="auto"/>
                <w:right w:val="none" w:sz="0" w:space="0" w:color="auto"/>
              </w:divBdr>
            </w:div>
            <w:div w:id="963659676">
              <w:marLeft w:val="0"/>
              <w:marRight w:val="0"/>
              <w:marTop w:val="0"/>
              <w:marBottom w:val="0"/>
              <w:divBdr>
                <w:top w:val="none" w:sz="0" w:space="0" w:color="auto"/>
                <w:left w:val="none" w:sz="0" w:space="0" w:color="auto"/>
                <w:bottom w:val="none" w:sz="0" w:space="0" w:color="auto"/>
                <w:right w:val="none" w:sz="0" w:space="0" w:color="auto"/>
              </w:divBdr>
            </w:div>
            <w:div w:id="1432093514">
              <w:marLeft w:val="0"/>
              <w:marRight w:val="0"/>
              <w:marTop w:val="0"/>
              <w:marBottom w:val="0"/>
              <w:divBdr>
                <w:top w:val="none" w:sz="0" w:space="0" w:color="auto"/>
                <w:left w:val="none" w:sz="0" w:space="0" w:color="auto"/>
                <w:bottom w:val="none" w:sz="0" w:space="0" w:color="auto"/>
                <w:right w:val="none" w:sz="0" w:space="0" w:color="auto"/>
              </w:divBdr>
            </w:div>
          </w:divsChild>
        </w:div>
        <w:div w:id="1742483141">
          <w:marLeft w:val="0"/>
          <w:marRight w:val="0"/>
          <w:marTop w:val="0"/>
          <w:marBottom w:val="0"/>
          <w:divBdr>
            <w:top w:val="none" w:sz="0" w:space="0" w:color="auto"/>
            <w:left w:val="none" w:sz="0" w:space="0" w:color="auto"/>
            <w:bottom w:val="none" w:sz="0" w:space="0" w:color="auto"/>
            <w:right w:val="none" w:sz="0" w:space="0" w:color="auto"/>
          </w:divBdr>
        </w:div>
        <w:div w:id="1475565254">
          <w:marLeft w:val="0"/>
          <w:marRight w:val="0"/>
          <w:marTop w:val="0"/>
          <w:marBottom w:val="0"/>
          <w:divBdr>
            <w:top w:val="none" w:sz="0" w:space="0" w:color="auto"/>
            <w:left w:val="none" w:sz="0" w:space="0" w:color="auto"/>
            <w:bottom w:val="none" w:sz="0" w:space="0" w:color="auto"/>
            <w:right w:val="none" w:sz="0" w:space="0" w:color="auto"/>
          </w:divBdr>
        </w:div>
      </w:divsChild>
    </w:div>
    <w:div w:id="337855328">
      <w:bodyDiv w:val="1"/>
      <w:marLeft w:val="0"/>
      <w:marRight w:val="0"/>
      <w:marTop w:val="0"/>
      <w:marBottom w:val="0"/>
      <w:divBdr>
        <w:top w:val="none" w:sz="0" w:space="0" w:color="auto"/>
        <w:left w:val="none" w:sz="0" w:space="0" w:color="auto"/>
        <w:bottom w:val="none" w:sz="0" w:space="0" w:color="auto"/>
        <w:right w:val="none" w:sz="0" w:space="0" w:color="auto"/>
      </w:divBdr>
      <w:divsChild>
        <w:div w:id="213543564">
          <w:marLeft w:val="547"/>
          <w:marRight w:val="0"/>
          <w:marTop w:val="0"/>
          <w:marBottom w:val="0"/>
          <w:divBdr>
            <w:top w:val="none" w:sz="0" w:space="0" w:color="auto"/>
            <w:left w:val="none" w:sz="0" w:space="0" w:color="auto"/>
            <w:bottom w:val="none" w:sz="0" w:space="0" w:color="auto"/>
            <w:right w:val="none" w:sz="0" w:space="0" w:color="auto"/>
          </w:divBdr>
        </w:div>
      </w:divsChild>
    </w:div>
    <w:div w:id="350183536">
      <w:bodyDiv w:val="1"/>
      <w:marLeft w:val="0"/>
      <w:marRight w:val="0"/>
      <w:marTop w:val="0"/>
      <w:marBottom w:val="0"/>
      <w:divBdr>
        <w:top w:val="none" w:sz="0" w:space="0" w:color="auto"/>
        <w:left w:val="none" w:sz="0" w:space="0" w:color="auto"/>
        <w:bottom w:val="none" w:sz="0" w:space="0" w:color="auto"/>
        <w:right w:val="none" w:sz="0" w:space="0" w:color="auto"/>
      </w:divBdr>
    </w:div>
    <w:div w:id="503864038">
      <w:bodyDiv w:val="1"/>
      <w:marLeft w:val="0"/>
      <w:marRight w:val="0"/>
      <w:marTop w:val="0"/>
      <w:marBottom w:val="0"/>
      <w:divBdr>
        <w:top w:val="none" w:sz="0" w:space="0" w:color="auto"/>
        <w:left w:val="none" w:sz="0" w:space="0" w:color="auto"/>
        <w:bottom w:val="none" w:sz="0" w:space="0" w:color="auto"/>
        <w:right w:val="none" w:sz="0" w:space="0" w:color="auto"/>
      </w:divBdr>
    </w:div>
    <w:div w:id="702093001">
      <w:bodyDiv w:val="1"/>
      <w:marLeft w:val="0"/>
      <w:marRight w:val="0"/>
      <w:marTop w:val="0"/>
      <w:marBottom w:val="0"/>
      <w:divBdr>
        <w:top w:val="none" w:sz="0" w:space="0" w:color="auto"/>
        <w:left w:val="none" w:sz="0" w:space="0" w:color="auto"/>
        <w:bottom w:val="none" w:sz="0" w:space="0" w:color="auto"/>
        <w:right w:val="none" w:sz="0" w:space="0" w:color="auto"/>
      </w:divBdr>
    </w:div>
    <w:div w:id="737244923">
      <w:bodyDiv w:val="1"/>
      <w:marLeft w:val="0"/>
      <w:marRight w:val="0"/>
      <w:marTop w:val="0"/>
      <w:marBottom w:val="0"/>
      <w:divBdr>
        <w:top w:val="none" w:sz="0" w:space="0" w:color="auto"/>
        <w:left w:val="none" w:sz="0" w:space="0" w:color="auto"/>
        <w:bottom w:val="none" w:sz="0" w:space="0" w:color="auto"/>
        <w:right w:val="none" w:sz="0" w:space="0" w:color="auto"/>
      </w:divBdr>
      <w:divsChild>
        <w:div w:id="1905291981">
          <w:marLeft w:val="0"/>
          <w:marRight w:val="0"/>
          <w:marTop w:val="0"/>
          <w:marBottom w:val="0"/>
          <w:divBdr>
            <w:top w:val="none" w:sz="0" w:space="0" w:color="auto"/>
            <w:left w:val="none" w:sz="0" w:space="0" w:color="auto"/>
            <w:bottom w:val="none" w:sz="0" w:space="0" w:color="auto"/>
            <w:right w:val="none" w:sz="0" w:space="0" w:color="auto"/>
          </w:divBdr>
        </w:div>
        <w:div w:id="19941324">
          <w:marLeft w:val="0"/>
          <w:marRight w:val="0"/>
          <w:marTop w:val="0"/>
          <w:marBottom w:val="0"/>
          <w:divBdr>
            <w:top w:val="none" w:sz="0" w:space="0" w:color="auto"/>
            <w:left w:val="none" w:sz="0" w:space="0" w:color="auto"/>
            <w:bottom w:val="none" w:sz="0" w:space="0" w:color="auto"/>
            <w:right w:val="none" w:sz="0" w:space="0" w:color="auto"/>
          </w:divBdr>
          <w:divsChild>
            <w:div w:id="441653857">
              <w:marLeft w:val="0"/>
              <w:marRight w:val="0"/>
              <w:marTop w:val="0"/>
              <w:marBottom w:val="0"/>
              <w:divBdr>
                <w:top w:val="none" w:sz="0" w:space="0" w:color="auto"/>
                <w:left w:val="none" w:sz="0" w:space="0" w:color="auto"/>
                <w:bottom w:val="none" w:sz="0" w:space="0" w:color="auto"/>
                <w:right w:val="none" w:sz="0" w:space="0" w:color="auto"/>
              </w:divBdr>
            </w:div>
            <w:div w:id="452021973">
              <w:marLeft w:val="0"/>
              <w:marRight w:val="0"/>
              <w:marTop w:val="0"/>
              <w:marBottom w:val="0"/>
              <w:divBdr>
                <w:top w:val="none" w:sz="0" w:space="0" w:color="auto"/>
                <w:left w:val="none" w:sz="0" w:space="0" w:color="auto"/>
                <w:bottom w:val="none" w:sz="0" w:space="0" w:color="auto"/>
                <w:right w:val="none" w:sz="0" w:space="0" w:color="auto"/>
              </w:divBdr>
            </w:div>
            <w:div w:id="1516841393">
              <w:marLeft w:val="0"/>
              <w:marRight w:val="0"/>
              <w:marTop w:val="0"/>
              <w:marBottom w:val="0"/>
              <w:divBdr>
                <w:top w:val="none" w:sz="0" w:space="0" w:color="auto"/>
                <w:left w:val="none" w:sz="0" w:space="0" w:color="auto"/>
                <w:bottom w:val="none" w:sz="0" w:space="0" w:color="auto"/>
                <w:right w:val="none" w:sz="0" w:space="0" w:color="auto"/>
              </w:divBdr>
            </w:div>
          </w:divsChild>
        </w:div>
        <w:div w:id="2106031456">
          <w:marLeft w:val="0"/>
          <w:marRight w:val="0"/>
          <w:marTop w:val="0"/>
          <w:marBottom w:val="0"/>
          <w:divBdr>
            <w:top w:val="none" w:sz="0" w:space="0" w:color="auto"/>
            <w:left w:val="none" w:sz="0" w:space="0" w:color="auto"/>
            <w:bottom w:val="none" w:sz="0" w:space="0" w:color="auto"/>
            <w:right w:val="none" w:sz="0" w:space="0" w:color="auto"/>
          </w:divBdr>
        </w:div>
        <w:div w:id="1863788394">
          <w:marLeft w:val="0"/>
          <w:marRight w:val="0"/>
          <w:marTop w:val="0"/>
          <w:marBottom w:val="0"/>
          <w:divBdr>
            <w:top w:val="none" w:sz="0" w:space="0" w:color="auto"/>
            <w:left w:val="none" w:sz="0" w:space="0" w:color="auto"/>
            <w:bottom w:val="none" w:sz="0" w:space="0" w:color="auto"/>
            <w:right w:val="none" w:sz="0" w:space="0" w:color="auto"/>
          </w:divBdr>
        </w:div>
      </w:divsChild>
    </w:div>
    <w:div w:id="813449722">
      <w:bodyDiv w:val="1"/>
      <w:marLeft w:val="0"/>
      <w:marRight w:val="0"/>
      <w:marTop w:val="0"/>
      <w:marBottom w:val="0"/>
      <w:divBdr>
        <w:top w:val="none" w:sz="0" w:space="0" w:color="auto"/>
        <w:left w:val="none" w:sz="0" w:space="0" w:color="auto"/>
        <w:bottom w:val="none" w:sz="0" w:space="0" w:color="auto"/>
        <w:right w:val="none" w:sz="0" w:space="0" w:color="auto"/>
      </w:divBdr>
      <w:divsChild>
        <w:div w:id="680547772">
          <w:marLeft w:val="547"/>
          <w:marRight w:val="0"/>
          <w:marTop w:val="0"/>
          <w:marBottom w:val="0"/>
          <w:divBdr>
            <w:top w:val="none" w:sz="0" w:space="0" w:color="auto"/>
            <w:left w:val="none" w:sz="0" w:space="0" w:color="auto"/>
            <w:bottom w:val="none" w:sz="0" w:space="0" w:color="auto"/>
            <w:right w:val="none" w:sz="0" w:space="0" w:color="auto"/>
          </w:divBdr>
        </w:div>
      </w:divsChild>
    </w:div>
    <w:div w:id="813792348">
      <w:bodyDiv w:val="1"/>
      <w:marLeft w:val="0"/>
      <w:marRight w:val="0"/>
      <w:marTop w:val="0"/>
      <w:marBottom w:val="0"/>
      <w:divBdr>
        <w:top w:val="none" w:sz="0" w:space="0" w:color="auto"/>
        <w:left w:val="none" w:sz="0" w:space="0" w:color="auto"/>
        <w:bottom w:val="none" w:sz="0" w:space="0" w:color="auto"/>
        <w:right w:val="none" w:sz="0" w:space="0" w:color="auto"/>
      </w:divBdr>
    </w:div>
    <w:div w:id="964384533">
      <w:bodyDiv w:val="1"/>
      <w:marLeft w:val="0"/>
      <w:marRight w:val="0"/>
      <w:marTop w:val="0"/>
      <w:marBottom w:val="0"/>
      <w:divBdr>
        <w:top w:val="none" w:sz="0" w:space="0" w:color="auto"/>
        <w:left w:val="none" w:sz="0" w:space="0" w:color="auto"/>
        <w:bottom w:val="none" w:sz="0" w:space="0" w:color="auto"/>
        <w:right w:val="none" w:sz="0" w:space="0" w:color="auto"/>
      </w:divBdr>
    </w:div>
    <w:div w:id="1288897163">
      <w:bodyDiv w:val="1"/>
      <w:marLeft w:val="0"/>
      <w:marRight w:val="0"/>
      <w:marTop w:val="0"/>
      <w:marBottom w:val="0"/>
      <w:divBdr>
        <w:top w:val="none" w:sz="0" w:space="0" w:color="auto"/>
        <w:left w:val="none" w:sz="0" w:space="0" w:color="auto"/>
        <w:bottom w:val="none" w:sz="0" w:space="0" w:color="auto"/>
        <w:right w:val="none" w:sz="0" w:space="0" w:color="auto"/>
      </w:divBdr>
    </w:div>
    <w:div w:id="1309895958">
      <w:bodyDiv w:val="1"/>
      <w:marLeft w:val="0"/>
      <w:marRight w:val="0"/>
      <w:marTop w:val="0"/>
      <w:marBottom w:val="0"/>
      <w:divBdr>
        <w:top w:val="none" w:sz="0" w:space="0" w:color="auto"/>
        <w:left w:val="none" w:sz="0" w:space="0" w:color="auto"/>
        <w:bottom w:val="none" w:sz="0" w:space="0" w:color="auto"/>
        <w:right w:val="none" w:sz="0" w:space="0" w:color="auto"/>
      </w:divBdr>
      <w:divsChild>
        <w:div w:id="302321734">
          <w:marLeft w:val="547"/>
          <w:marRight w:val="0"/>
          <w:marTop w:val="0"/>
          <w:marBottom w:val="0"/>
          <w:divBdr>
            <w:top w:val="none" w:sz="0" w:space="0" w:color="auto"/>
            <w:left w:val="none" w:sz="0" w:space="0" w:color="auto"/>
            <w:bottom w:val="none" w:sz="0" w:space="0" w:color="auto"/>
            <w:right w:val="none" w:sz="0" w:space="0" w:color="auto"/>
          </w:divBdr>
        </w:div>
      </w:divsChild>
    </w:div>
    <w:div w:id="1327248060">
      <w:bodyDiv w:val="1"/>
      <w:marLeft w:val="0"/>
      <w:marRight w:val="0"/>
      <w:marTop w:val="0"/>
      <w:marBottom w:val="0"/>
      <w:divBdr>
        <w:top w:val="none" w:sz="0" w:space="0" w:color="auto"/>
        <w:left w:val="none" w:sz="0" w:space="0" w:color="auto"/>
        <w:bottom w:val="none" w:sz="0" w:space="0" w:color="auto"/>
        <w:right w:val="none" w:sz="0" w:space="0" w:color="auto"/>
      </w:divBdr>
      <w:divsChild>
        <w:div w:id="1824270451">
          <w:marLeft w:val="547"/>
          <w:marRight w:val="0"/>
          <w:marTop w:val="0"/>
          <w:marBottom w:val="0"/>
          <w:divBdr>
            <w:top w:val="none" w:sz="0" w:space="0" w:color="auto"/>
            <w:left w:val="none" w:sz="0" w:space="0" w:color="auto"/>
            <w:bottom w:val="none" w:sz="0" w:space="0" w:color="auto"/>
            <w:right w:val="none" w:sz="0" w:space="0" w:color="auto"/>
          </w:divBdr>
        </w:div>
      </w:divsChild>
    </w:div>
    <w:div w:id="1514881836">
      <w:bodyDiv w:val="1"/>
      <w:marLeft w:val="0"/>
      <w:marRight w:val="0"/>
      <w:marTop w:val="0"/>
      <w:marBottom w:val="0"/>
      <w:divBdr>
        <w:top w:val="none" w:sz="0" w:space="0" w:color="auto"/>
        <w:left w:val="none" w:sz="0" w:space="0" w:color="auto"/>
        <w:bottom w:val="none" w:sz="0" w:space="0" w:color="auto"/>
        <w:right w:val="none" w:sz="0" w:space="0" w:color="auto"/>
      </w:divBdr>
    </w:div>
    <w:div w:id="1636567613">
      <w:bodyDiv w:val="1"/>
      <w:marLeft w:val="0"/>
      <w:marRight w:val="0"/>
      <w:marTop w:val="0"/>
      <w:marBottom w:val="0"/>
      <w:divBdr>
        <w:top w:val="none" w:sz="0" w:space="0" w:color="auto"/>
        <w:left w:val="none" w:sz="0" w:space="0" w:color="auto"/>
        <w:bottom w:val="none" w:sz="0" w:space="0" w:color="auto"/>
        <w:right w:val="none" w:sz="0" w:space="0" w:color="auto"/>
      </w:divBdr>
    </w:div>
    <w:div w:id="1711685369">
      <w:bodyDiv w:val="1"/>
      <w:marLeft w:val="0"/>
      <w:marRight w:val="0"/>
      <w:marTop w:val="0"/>
      <w:marBottom w:val="0"/>
      <w:divBdr>
        <w:top w:val="none" w:sz="0" w:space="0" w:color="auto"/>
        <w:left w:val="none" w:sz="0" w:space="0" w:color="auto"/>
        <w:bottom w:val="none" w:sz="0" w:space="0" w:color="auto"/>
        <w:right w:val="none" w:sz="0" w:space="0" w:color="auto"/>
      </w:divBdr>
    </w:div>
    <w:div w:id="1851722105">
      <w:bodyDiv w:val="1"/>
      <w:marLeft w:val="0"/>
      <w:marRight w:val="0"/>
      <w:marTop w:val="0"/>
      <w:marBottom w:val="0"/>
      <w:divBdr>
        <w:top w:val="none" w:sz="0" w:space="0" w:color="auto"/>
        <w:left w:val="none" w:sz="0" w:space="0" w:color="auto"/>
        <w:bottom w:val="none" w:sz="0" w:space="0" w:color="auto"/>
        <w:right w:val="none" w:sz="0" w:space="0" w:color="auto"/>
      </w:divBdr>
    </w:div>
    <w:div w:id="1877309749">
      <w:bodyDiv w:val="1"/>
      <w:marLeft w:val="0"/>
      <w:marRight w:val="0"/>
      <w:marTop w:val="0"/>
      <w:marBottom w:val="0"/>
      <w:divBdr>
        <w:top w:val="none" w:sz="0" w:space="0" w:color="auto"/>
        <w:left w:val="none" w:sz="0" w:space="0" w:color="auto"/>
        <w:bottom w:val="none" w:sz="0" w:space="0" w:color="auto"/>
        <w:right w:val="none" w:sz="0" w:space="0" w:color="auto"/>
      </w:divBdr>
      <w:divsChild>
        <w:div w:id="1333294671">
          <w:marLeft w:val="965"/>
          <w:marRight w:val="0"/>
          <w:marTop w:val="200"/>
          <w:marBottom w:val="0"/>
          <w:divBdr>
            <w:top w:val="none" w:sz="0" w:space="0" w:color="auto"/>
            <w:left w:val="none" w:sz="0" w:space="0" w:color="auto"/>
            <w:bottom w:val="none" w:sz="0" w:space="0" w:color="auto"/>
            <w:right w:val="none" w:sz="0" w:space="0" w:color="auto"/>
          </w:divBdr>
        </w:div>
      </w:divsChild>
    </w:div>
    <w:div w:id="1966540038">
      <w:bodyDiv w:val="1"/>
      <w:marLeft w:val="0"/>
      <w:marRight w:val="0"/>
      <w:marTop w:val="0"/>
      <w:marBottom w:val="0"/>
      <w:divBdr>
        <w:top w:val="none" w:sz="0" w:space="0" w:color="auto"/>
        <w:left w:val="none" w:sz="0" w:space="0" w:color="auto"/>
        <w:bottom w:val="none" w:sz="0" w:space="0" w:color="auto"/>
        <w:right w:val="none" w:sz="0" w:space="0" w:color="auto"/>
      </w:divBdr>
    </w:div>
    <w:div w:id="206189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1105577/Annual_Statutory_Homelessness_release_2021-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0BCFF4914B8F47982A5B9EDCF775F2" ma:contentTypeVersion="13" ma:contentTypeDescription="Create a new document." ma:contentTypeScope="" ma:versionID="24fabcfbfd4421c8192bf4ab1bd6f748">
  <xsd:schema xmlns:xsd="http://www.w3.org/2001/XMLSchema" xmlns:xs="http://www.w3.org/2001/XMLSchema" xmlns:p="http://schemas.microsoft.com/office/2006/metadata/properties" xmlns:ns3="795f76c1-0131-4aab-b30b-921b899da59c" xmlns:ns4="bbf8151e-135c-40c4-a9c2-2ab9f220e91c" targetNamespace="http://schemas.microsoft.com/office/2006/metadata/properties" ma:root="true" ma:fieldsID="fba13ab79794600dda9ffed02905fe1a" ns3:_="" ns4:_="">
    <xsd:import namespace="795f76c1-0131-4aab-b30b-921b899da59c"/>
    <xsd:import namespace="bbf8151e-135c-40c4-a9c2-2ab9f220e9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5f76c1-0131-4aab-b30b-921b899da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f8151e-135c-40c4-a9c2-2ab9f220e9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459A2D-1BFC-4318-A5C8-1B921E71CD86}">
  <ds:schemaRefs>
    <ds:schemaRef ds:uri="http://schemas.microsoft.com/sharepoint/v3/contenttype/forms"/>
  </ds:schemaRefs>
</ds:datastoreItem>
</file>

<file path=customXml/itemProps2.xml><?xml version="1.0" encoding="utf-8"?>
<ds:datastoreItem xmlns:ds="http://schemas.openxmlformats.org/officeDocument/2006/customXml" ds:itemID="{4F4FEA27-101C-4CAD-A512-345EAF3A7A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BC8C843-DA1D-614C-AE4D-87765DE385B2}">
  <ds:schemaRefs>
    <ds:schemaRef ds:uri="http://schemas.openxmlformats.org/officeDocument/2006/bibliography"/>
  </ds:schemaRefs>
</ds:datastoreItem>
</file>

<file path=customXml/itemProps4.xml><?xml version="1.0" encoding="utf-8"?>
<ds:datastoreItem xmlns:ds="http://schemas.openxmlformats.org/officeDocument/2006/customXml" ds:itemID="{DD6A581A-44E1-4356-A396-513F0028B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5f76c1-0131-4aab-b30b-921b899da59c"/>
    <ds:schemaRef ds:uri="bbf8151e-135c-40c4-a9c2-2ab9f220e9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Hunter</dc:creator>
  <cp:keywords/>
  <dc:description/>
  <cp:lastModifiedBy>Caroline Hunter</cp:lastModifiedBy>
  <cp:revision>4</cp:revision>
  <dcterms:created xsi:type="dcterms:W3CDTF">2022-09-27T14:35:00Z</dcterms:created>
  <dcterms:modified xsi:type="dcterms:W3CDTF">2022-09-27T14:40:00Z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0x010100750BCFF4914B8F47982A5B9EDCF775F2</vt:lpwstr>
  </property>
</Properties>
</file>