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2560" w14:textId="5AF219A3" w:rsidR="00197306" w:rsidRPr="00642E7E" w:rsidRDefault="00CC6D3A" w:rsidP="00386F53">
      <w:pPr>
        <w:pStyle w:val="MainTitle"/>
        <w:framePr w:w="0" w:hSpace="0" w:vSpace="0" w:wrap="auto" w:vAnchor="margin" w:yAlign="inline"/>
        <w:rPr>
          <w:rStyle w:val="TitleChar"/>
          <w:rFonts w:ascii="Calibri Light" w:hAnsi="Calibri Light"/>
          <w:b w:val="0"/>
        </w:rPr>
      </w:pPr>
      <w:bookmarkStart w:id="0" w:name="_Hlk109282188"/>
      <w:r w:rsidRPr="00642E7E">
        <w:rPr>
          <w:rStyle w:val="Style1Char"/>
          <w:rFonts w:eastAsiaTheme="majorEastAsia"/>
          <w:b/>
          <w:lang w:val="en-US"/>
        </w:rPr>
        <w:t xml:space="preserve">A consecutive ring expansion strategy </w:t>
      </w:r>
      <w:r w:rsidR="001644B6" w:rsidRPr="00642E7E">
        <w:rPr>
          <w:rStyle w:val="Style1Char"/>
          <w:rFonts w:eastAsiaTheme="majorEastAsia"/>
          <w:b/>
          <w:lang w:val="en-US"/>
        </w:rPr>
        <w:t>towards</w:t>
      </w:r>
      <w:r w:rsidRPr="00642E7E">
        <w:rPr>
          <w:rStyle w:val="Style1Char"/>
          <w:rFonts w:eastAsiaTheme="majorEastAsia"/>
          <w:b/>
          <w:lang w:val="en-US"/>
        </w:rPr>
        <w:t xml:space="preserve"> the macrocyclic core of the solomonamide natural products</w:t>
      </w:r>
    </w:p>
    <w:tbl>
      <w:tblPr>
        <w:tblpPr w:leftFromText="181" w:rightFromText="181" w:bottomFromText="284" w:vertAnchor="text" w:horzAnchor="margin" w:tblpY="126"/>
        <w:tblOverlap w:val="never"/>
        <w:tblW w:w="10173" w:type="dxa"/>
        <w:tblLayout w:type="fixed"/>
        <w:tblLook w:val="0600" w:firstRow="0" w:lastRow="0" w:firstColumn="0" w:lastColumn="0" w:noHBand="1" w:noVBand="1"/>
      </w:tblPr>
      <w:tblGrid>
        <w:gridCol w:w="3502"/>
        <w:gridCol w:w="6671"/>
      </w:tblGrid>
      <w:tr w:rsidR="002F02CD" w:rsidRPr="00642E7E" w14:paraId="3E4EC920" w14:textId="77777777" w:rsidTr="008E7628">
        <w:trPr>
          <w:cantSplit/>
          <w:trHeight w:hRule="exact" w:val="2835"/>
        </w:trPr>
        <w:tc>
          <w:tcPr>
            <w:tcW w:w="3502" w:type="dxa"/>
            <w:vMerge w:val="restart"/>
          </w:tcPr>
          <w:bookmarkEnd w:id="0"/>
          <w:p w14:paraId="4BB98362" w14:textId="77777777" w:rsidR="002C212D" w:rsidRPr="00642E7E" w:rsidRDefault="002C212D" w:rsidP="002C212D">
            <w:pPr>
              <w:pStyle w:val="Author"/>
              <w:keepNext/>
              <w:framePr w:hSpace="0" w:wrap="auto" w:vAnchor="margin" w:hAnchor="text" w:yAlign="inline"/>
              <w:rPr>
                <w:lang w:val="en-US"/>
              </w:rPr>
            </w:pPr>
            <w:proofErr w:type="spellStart"/>
            <w:r w:rsidRPr="00642E7E">
              <w:rPr>
                <w:lang w:val="en-US"/>
              </w:rPr>
              <w:t>Zhongzhen</w:t>
            </w:r>
            <w:proofErr w:type="spellEnd"/>
            <w:r w:rsidRPr="00642E7E">
              <w:rPr>
                <w:lang w:val="en-US"/>
              </w:rPr>
              <w:t xml:space="preserve"> Yang</w:t>
            </w:r>
            <w:r w:rsidRPr="00642E7E">
              <w:rPr>
                <w:vertAlign w:val="superscript"/>
                <w:lang w:val="en-US"/>
              </w:rPr>
              <w:t>a</w:t>
            </w:r>
            <w:r w:rsidRPr="00642E7E">
              <w:rPr>
                <w:lang w:val="en-US"/>
              </w:rPr>
              <w:t xml:space="preserve"> </w:t>
            </w:r>
          </w:p>
          <w:p w14:paraId="26F211FB" w14:textId="77777777" w:rsidR="002C212D" w:rsidRPr="00642E7E" w:rsidRDefault="002C212D" w:rsidP="002C212D">
            <w:pPr>
              <w:pStyle w:val="Author"/>
              <w:keepNext/>
              <w:framePr w:hSpace="0" w:wrap="auto" w:vAnchor="margin" w:hAnchor="text" w:yAlign="inline"/>
              <w:rPr>
                <w:lang w:val="en-US"/>
              </w:rPr>
            </w:pPr>
            <w:r w:rsidRPr="00642E7E">
              <w:rPr>
                <w:lang w:val="en-US"/>
              </w:rPr>
              <w:t>Christopher R. B. Swanson</w:t>
            </w:r>
            <w:r w:rsidRPr="00642E7E">
              <w:rPr>
                <w:vertAlign w:val="superscript"/>
                <w:lang w:val="en-US"/>
              </w:rPr>
              <w:t>a1</w:t>
            </w:r>
          </w:p>
          <w:p w14:paraId="2FA899AF" w14:textId="77777777" w:rsidR="002C212D" w:rsidRPr="00642E7E" w:rsidRDefault="002C212D" w:rsidP="002C212D">
            <w:pPr>
              <w:pStyle w:val="Author"/>
              <w:keepNext/>
              <w:framePr w:hSpace="0" w:wrap="auto" w:vAnchor="margin" w:hAnchor="text" w:yAlign="inline"/>
              <w:rPr>
                <w:lang w:val="en-US"/>
              </w:rPr>
            </w:pPr>
            <w:r w:rsidRPr="00642E7E">
              <w:rPr>
                <w:lang w:val="en-US"/>
              </w:rPr>
              <w:t>William P. Unsworth*</w:t>
            </w:r>
            <w:r w:rsidRPr="00642E7E">
              <w:rPr>
                <w:vertAlign w:val="superscript"/>
                <w:lang w:val="en-US"/>
              </w:rPr>
              <w:t>a</w:t>
            </w:r>
          </w:p>
          <w:p w14:paraId="721C9DB2" w14:textId="77777777" w:rsidR="002C212D" w:rsidRPr="00642E7E" w:rsidRDefault="002C212D" w:rsidP="002C212D">
            <w:pPr>
              <w:pStyle w:val="Address"/>
              <w:keepNext/>
              <w:framePr w:w="0" w:hSpace="0" w:vSpace="0" w:wrap="auto" w:vAnchor="margin" w:yAlign="inline"/>
              <w:rPr>
                <w:lang w:val="en-US"/>
              </w:rPr>
            </w:pPr>
            <w:r w:rsidRPr="00642E7E">
              <w:rPr>
                <w:vertAlign w:val="superscript"/>
                <w:lang w:val="en-US"/>
              </w:rPr>
              <w:t>a</w:t>
            </w:r>
            <w:r w:rsidRPr="00642E7E">
              <w:rPr>
                <w:lang w:val="en-US"/>
              </w:rPr>
              <w:t xml:space="preserve"> Department of Chemistry, University of York, Heslington, York, U.K., YO10 5DD.</w:t>
            </w:r>
          </w:p>
          <w:p w14:paraId="5D26F414" w14:textId="00A16E59" w:rsidR="002F02CD" w:rsidRPr="00642E7E" w:rsidRDefault="00A25E3A" w:rsidP="002C212D">
            <w:pPr>
              <w:pStyle w:val="Dedication"/>
              <w:keepNext/>
              <w:rPr>
                <w:lang w:val="en-US"/>
              </w:rPr>
            </w:pPr>
            <w:r w:rsidRPr="00642E7E">
              <w:rPr>
                <w:lang w:val="en-US"/>
              </w:rPr>
              <w:t>*</w:t>
            </w:r>
            <w:r w:rsidR="008F63FA" w:rsidRPr="00642E7E">
              <w:rPr>
                <w:lang w:val="en-US"/>
              </w:rPr>
              <w:t>william.unsworth</w:t>
            </w:r>
            <w:r w:rsidRPr="00642E7E">
              <w:rPr>
                <w:lang w:val="en-US"/>
              </w:rPr>
              <w:t>@</w:t>
            </w:r>
            <w:r w:rsidR="008F63FA" w:rsidRPr="00642E7E">
              <w:rPr>
                <w:lang w:val="en-US"/>
              </w:rPr>
              <w:t>york.ac.uk</w:t>
            </w:r>
          </w:p>
        </w:tc>
        <w:tc>
          <w:tcPr>
            <w:tcW w:w="6671" w:type="dxa"/>
            <w:noWrap/>
            <w:tcFitText/>
            <w:vAlign w:val="center"/>
          </w:tcPr>
          <w:p w14:paraId="3A6E8E1D" w14:textId="35C0EAFF" w:rsidR="002F02CD" w:rsidRPr="00642E7E" w:rsidRDefault="0085635A" w:rsidP="008E7628">
            <w:pPr>
              <w:keepNext/>
              <w:spacing w:after="0" w:line="240" w:lineRule="auto"/>
              <w:jc w:val="center"/>
              <w:rPr>
                <w:rFonts w:ascii="Thieme Argo 2011 Light" w:hAnsi="Thieme Argo 2011 Light"/>
                <w:sz w:val="24"/>
                <w:szCs w:val="24"/>
                <w:lang w:val="en-US"/>
              </w:rPr>
            </w:pPr>
            <w:r w:rsidRPr="00642E7E">
              <w:object w:dxaOrig="6230" w:dyaOrig="3729" w14:anchorId="073BF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6.15pt;height:141.7pt" o:ole="">
                  <v:imagedata r:id="rId8" o:title=""/>
                </v:shape>
                <o:OLEObject Type="Embed" ProgID="ChemDraw.Document.6.0" ShapeID="_x0000_i1049" DrawAspect="Content" ObjectID="_1722854176" r:id="rId9"/>
              </w:object>
            </w:r>
          </w:p>
        </w:tc>
      </w:tr>
      <w:tr w:rsidR="002F02CD" w:rsidRPr="00642E7E" w14:paraId="625D4793" w14:textId="77777777" w:rsidTr="008E7628">
        <w:trPr>
          <w:cantSplit/>
          <w:trHeight w:hRule="exact" w:val="990"/>
        </w:trPr>
        <w:tc>
          <w:tcPr>
            <w:tcW w:w="3502" w:type="dxa"/>
            <w:vMerge/>
          </w:tcPr>
          <w:p w14:paraId="6F869B40" w14:textId="77777777" w:rsidR="002F02CD" w:rsidRPr="00642E7E" w:rsidRDefault="002F02CD" w:rsidP="008E7628">
            <w:pPr>
              <w:pStyle w:val="Author"/>
              <w:keepNext/>
              <w:framePr w:hSpace="0" w:wrap="auto" w:vAnchor="margin" w:hAnchor="text" w:yAlign="inline"/>
              <w:rPr>
                <w:lang w:val="en-US"/>
              </w:rPr>
            </w:pPr>
          </w:p>
        </w:tc>
        <w:tc>
          <w:tcPr>
            <w:tcW w:w="6671" w:type="dxa"/>
            <w:noWrap/>
            <w:tcFitText/>
            <w:vAlign w:val="center"/>
          </w:tcPr>
          <w:p w14:paraId="19FEE328" w14:textId="77777777" w:rsidR="002F02CD" w:rsidRPr="00642E7E" w:rsidRDefault="002F02CD" w:rsidP="008E7628">
            <w:pPr>
              <w:keepNext/>
              <w:spacing w:after="0" w:line="240" w:lineRule="auto"/>
              <w:rPr>
                <w:lang w:val="en-US"/>
              </w:rPr>
            </w:pPr>
          </w:p>
        </w:tc>
      </w:tr>
    </w:tbl>
    <w:p w14:paraId="3AF6FCD6" w14:textId="77777777" w:rsidR="00F65BC8" w:rsidRPr="00642E7E" w:rsidRDefault="00F65BC8" w:rsidP="00541AC7">
      <w:pPr>
        <w:keepNext/>
        <w:rPr>
          <w:rFonts w:asciiTheme="majorHAnsi" w:hAnsiTheme="majorHAnsi"/>
          <w:lang w:val="en-US"/>
        </w:rPr>
        <w:sectPr w:rsidR="00F65BC8" w:rsidRPr="00642E7E" w:rsidSect="008913D9">
          <w:headerReference w:type="default" r:id="rId10"/>
          <w:footerReference w:type="default" r:id="rId11"/>
          <w:type w:val="continuous"/>
          <w:pgSz w:w="11906" w:h="16838" w:code="9"/>
          <w:pgMar w:top="1418" w:right="992" w:bottom="1134" w:left="992" w:header="709" w:footer="784" w:gutter="0"/>
          <w:cols w:space="720"/>
          <w:docGrid w:linePitch="360"/>
        </w:sectPr>
      </w:pPr>
    </w:p>
    <w:p w14:paraId="304E6B5F" w14:textId="77777777" w:rsidR="002F02CD" w:rsidRPr="00642E7E" w:rsidRDefault="005D181B" w:rsidP="00186C4C">
      <w:pPr>
        <w:pStyle w:val="PlainText"/>
        <w:keepNext/>
        <w:pBdr>
          <w:between w:val="single" w:sz="8" w:space="1" w:color="auto"/>
        </w:pBdr>
        <w:shd w:val="clear" w:color="auto" w:fill="DDDDDD"/>
        <w:contextualSpacing/>
        <w:jc w:val="left"/>
        <w:rPr>
          <w:color w:val="A6A6A6" w:themeColor="background1" w:themeShade="A6"/>
          <w:sz w:val="12"/>
          <w:szCs w:val="12"/>
          <w:lang w:val="en-US"/>
        </w:rPr>
      </w:pPr>
      <w:r w:rsidRPr="00642E7E">
        <w:rPr>
          <w:color w:val="808080" w:themeColor="background1" w:themeShade="80"/>
          <w:sz w:val="12"/>
          <w:szCs w:val="12"/>
          <w:lang w:val="en-US"/>
        </w:rPr>
        <w:t xml:space="preserve">Received: </w:t>
      </w:r>
      <w:r w:rsidR="008C1CBB" w:rsidRPr="00642E7E">
        <w:rPr>
          <w:color w:val="808080" w:themeColor="background1" w:themeShade="80"/>
          <w:sz w:val="12"/>
          <w:szCs w:val="12"/>
          <w:lang w:val="en-US"/>
        </w:rPr>
        <w:br/>
      </w:r>
      <w:r w:rsidRPr="00642E7E">
        <w:rPr>
          <w:color w:val="808080" w:themeColor="background1" w:themeShade="80"/>
          <w:sz w:val="12"/>
          <w:szCs w:val="12"/>
          <w:lang w:val="en-US"/>
        </w:rPr>
        <w:t xml:space="preserve">Accepted: </w:t>
      </w:r>
      <w:r w:rsidR="008C1CBB" w:rsidRPr="00642E7E">
        <w:rPr>
          <w:color w:val="808080" w:themeColor="background1" w:themeShade="80"/>
          <w:sz w:val="12"/>
          <w:szCs w:val="12"/>
          <w:lang w:val="en-US"/>
        </w:rPr>
        <w:br/>
      </w:r>
      <w:r w:rsidRPr="00642E7E">
        <w:rPr>
          <w:color w:val="808080" w:themeColor="background1" w:themeShade="80"/>
          <w:sz w:val="12"/>
          <w:szCs w:val="12"/>
          <w:lang w:val="en-US"/>
        </w:rPr>
        <w:t xml:space="preserve">Published online: </w:t>
      </w:r>
      <w:r w:rsidR="008C1CBB" w:rsidRPr="00642E7E">
        <w:rPr>
          <w:color w:val="808080" w:themeColor="background1" w:themeShade="80"/>
          <w:sz w:val="12"/>
          <w:szCs w:val="12"/>
          <w:lang w:val="en-US"/>
        </w:rPr>
        <w:br/>
      </w:r>
      <w:r w:rsidRPr="00642E7E">
        <w:rPr>
          <w:color w:val="808080" w:themeColor="background1" w:themeShade="80"/>
          <w:sz w:val="12"/>
          <w:szCs w:val="12"/>
          <w:lang w:val="en-US"/>
        </w:rPr>
        <w:t xml:space="preserve">DOI: </w:t>
      </w:r>
    </w:p>
    <w:p w14:paraId="4B79D5E1" w14:textId="536A9A70" w:rsidR="00986584" w:rsidRPr="00642E7E" w:rsidRDefault="00986584" w:rsidP="00DF4A58">
      <w:pPr>
        <w:pStyle w:val="Abstract"/>
        <w:rPr>
          <w:rFonts w:asciiTheme="minorHAnsi" w:hAnsiTheme="minorHAnsi"/>
          <w:lang w:val="en-US"/>
        </w:rPr>
      </w:pPr>
      <w:r w:rsidRPr="00642E7E">
        <w:rPr>
          <w:lang w:val="en-US"/>
        </w:rPr>
        <w:t>Abstract</w:t>
      </w:r>
      <w:r w:rsidR="002F64EB" w:rsidRPr="00642E7E">
        <w:rPr>
          <w:b w:val="0"/>
          <w:lang w:val="en-US"/>
        </w:rPr>
        <w:t xml:space="preserve"> </w:t>
      </w:r>
      <w:bookmarkStart w:id="1" w:name="_Hlk109282233"/>
      <w:r w:rsidR="002C212D" w:rsidRPr="00642E7E">
        <w:rPr>
          <w:rStyle w:val="AbstractChar"/>
          <w:lang w:val="en-US"/>
        </w:rPr>
        <w:t xml:space="preserve">A synthetic strategy based on the application of three consecutive ring expansion reactions has been used </w:t>
      </w:r>
      <w:r w:rsidR="008D0D89" w:rsidRPr="00642E7E">
        <w:rPr>
          <w:rStyle w:val="AbstractChar"/>
          <w:lang w:val="en-US"/>
        </w:rPr>
        <w:t>in</w:t>
      </w:r>
      <w:r w:rsidR="002C212D" w:rsidRPr="00642E7E">
        <w:rPr>
          <w:rStyle w:val="AbstractChar"/>
          <w:lang w:val="en-US"/>
        </w:rPr>
        <w:t xml:space="preserve"> the synthesis of </w:t>
      </w:r>
      <w:r w:rsidR="008D0D89" w:rsidRPr="00642E7E">
        <w:rPr>
          <w:rStyle w:val="AbstractChar"/>
          <w:lang w:val="en-US"/>
        </w:rPr>
        <w:t xml:space="preserve">analogues of </w:t>
      </w:r>
      <w:r w:rsidR="002C212D" w:rsidRPr="00642E7E">
        <w:rPr>
          <w:rStyle w:val="AbstractChar"/>
          <w:lang w:val="en-US"/>
        </w:rPr>
        <w:t xml:space="preserve">the macrocyclic core of the solomonamide natural products. Starting from a simple, readily available </w:t>
      </w:r>
      <w:proofErr w:type="spellStart"/>
      <w:r w:rsidR="002C212D" w:rsidRPr="00642E7E">
        <w:rPr>
          <w:rStyle w:val="AbstractChar"/>
          <w:lang w:val="en-US"/>
        </w:rPr>
        <w:t>tetrahydrocarbazole</w:t>
      </w:r>
      <w:proofErr w:type="spellEnd"/>
      <w:r w:rsidR="002C212D" w:rsidRPr="00642E7E">
        <w:rPr>
          <w:rStyle w:val="AbstractChar"/>
          <w:lang w:val="en-US"/>
        </w:rPr>
        <w:t xml:space="preserve">, oxidative ring expansion is followed by two further 3- and 4-atom ring expansion reactions, enabling the insertion of amino acid- and </w:t>
      </w:r>
      <w:proofErr w:type="spellStart"/>
      <w:r w:rsidR="002C212D" w:rsidRPr="00642E7E">
        <w:rPr>
          <w:rStyle w:val="AbstractChar"/>
          <w:lang w:val="en-US"/>
        </w:rPr>
        <w:t>hydroxyacid</w:t>
      </w:r>
      <w:proofErr w:type="spellEnd"/>
      <w:r w:rsidR="002C212D" w:rsidRPr="00642E7E">
        <w:rPr>
          <w:rStyle w:val="AbstractChar"/>
          <w:lang w:val="en-US"/>
        </w:rPr>
        <w:t xml:space="preserve">-derived linear fragments into </w:t>
      </w:r>
      <w:r w:rsidR="00005811" w:rsidRPr="00642E7E">
        <w:rPr>
          <w:rStyle w:val="AbstractChar"/>
          <w:lang w:val="en-US"/>
        </w:rPr>
        <w:t>15–17-membered</w:t>
      </w:r>
      <w:r w:rsidR="002C212D" w:rsidRPr="00642E7E">
        <w:rPr>
          <w:rStyle w:val="AbstractChar"/>
          <w:lang w:val="en-US"/>
        </w:rPr>
        <w:t xml:space="preserve"> ring-enlarged macrocyclic products.  </w:t>
      </w:r>
      <w:bookmarkEnd w:id="1"/>
    </w:p>
    <w:p w14:paraId="1C0F05B0" w14:textId="3AC1D87B" w:rsidR="00B95217" w:rsidRPr="00642E7E" w:rsidRDefault="00B95217" w:rsidP="00541AC7">
      <w:pPr>
        <w:pStyle w:val="AbstractKW"/>
        <w:keepNext/>
        <w:pBdr>
          <w:between w:val="single" w:sz="8" w:space="1" w:color="auto"/>
        </w:pBdr>
        <w:shd w:val="clear" w:color="auto" w:fill="DDDDDD"/>
        <w:rPr>
          <w:b/>
          <w:lang w:val="en-US"/>
        </w:rPr>
      </w:pPr>
      <w:r w:rsidRPr="00642E7E">
        <w:rPr>
          <w:b/>
          <w:szCs w:val="15"/>
          <w:lang w:val="en-US"/>
        </w:rPr>
        <w:t>Key words</w:t>
      </w:r>
      <w:r w:rsidRPr="00642E7E">
        <w:rPr>
          <w:sz w:val="16"/>
          <w:szCs w:val="16"/>
          <w:lang w:val="en-US"/>
        </w:rPr>
        <w:t xml:space="preserve"> </w:t>
      </w:r>
      <w:r w:rsidR="008F63FA" w:rsidRPr="00642E7E">
        <w:rPr>
          <w:rStyle w:val="AbstractKWChar"/>
          <w:lang w:val="en-US"/>
        </w:rPr>
        <w:t xml:space="preserve">macrocycles; medium-sized rings; ring expansion; natural product analogues; lactams; lactones; Solomonamides </w:t>
      </w:r>
    </w:p>
    <w:p w14:paraId="0759E877" w14:textId="77777777" w:rsidR="00B95217" w:rsidRPr="00642E7E" w:rsidRDefault="00B95217" w:rsidP="00986584">
      <w:pPr>
        <w:rPr>
          <w:rFonts w:asciiTheme="majorHAnsi" w:hAnsiTheme="majorHAnsi"/>
          <w:lang w:val="en-US"/>
        </w:rPr>
      </w:pPr>
    </w:p>
    <w:p w14:paraId="3ACB1FD2" w14:textId="6EAE271C" w:rsidR="002C212D" w:rsidRPr="00642E7E" w:rsidRDefault="002C212D" w:rsidP="002C212D">
      <w:pPr>
        <w:rPr>
          <w:vertAlign w:val="superscript"/>
          <w:lang w:val="en-GB"/>
        </w:rPr>
      </w:pPr>
      <w:r w:rsidRPr="00642E7E">
        <w:rPr>
          <w:lang w:val="en-US"/>
        </w:rPr>
        <w:t xml:space="preserve">Solomonamides A and B were first isolated in 2011 by </w:t>
      </w:r>
      <w:proofErr w:type="spellStart"/>
      <w:r w:rsidRPr="00642E7E">
        <w:rPr>
          <w:lang w:val="en-US"/>
        </w:rPr>
        <w:t>Zampella</w:t>
      </w:r>
      <w:proofErr w:type="spellEnd"/>
      <w:r w:rsidRPr="00642E7E">
        <w:rPr>
          <w:lang w:val="en-US"/>
        </w:rPr>
        <w:t xml:space="preserve"> and coworkers from the marine sponge </w:t>
      </w:r>
      <w:proofErr w:type="spellStart"/>
      <w:r w:rsidRPr="00642E7E">
        <w:rPr>
          <w:i/>
          <w:iCs/>
          <w:lang w:val="en-US"/>
        </w:rPr>
        <w:t>Theonella</w:t>
      </w:r>
      <w:proofErr w:type="spellEnd"/>
      <w:r w:rsidRPr="00642E7E">
        <w:rPr>
          <w:i/>
          <w:iCs/>
          <w:lang w:val="en-US"/>
        </w:rPr>
        <w:t xml:space="preserve"> swinhoei</w:t>
      </w:r>
      <w:r w:rsidRPr="00642E7E">
        <w:rPr>
          <w:lang w:val="en-US"/>
        </w:rPr>
        <w:t>.</w:t>
      </w:r>
      <w:r w:rsidR="001F5A5B" w:rsidRPr="00642E7E">
        <w:rPr>
          <w:vertAlign w:val="superscript"/>
          <w:lang w:val="en-US"/>
        </w:rPr>
        <w:t>2</w:t>
      </w:r>
      <w:r w:rsidRPr="00642E7E">
        <w:rPr>
          <w:lang w:val="en-US"/>
        </w:rPr>
        <w:t xml:space="preserve"> Interest in their total synthesis is influenced by their anti-inflammatory properties, and with natural supplies scarce, total synthesis is necessary to facilitate further biological studies. The original structural assignments of solomonamides A and B are depicted in Figure 1 (</w:t>
      </w:r>
      <w:r w:rsidRPr="00642E7E">
        <w:rPr>
          <w:b/>
          <w:bCs/>
          <w:lang w:val="en-US"/>
        </w:rPr>
        <w:t>1a</w:t>
      </w:r>
      <w:r w:rsidRPr="00642E7E">
        <w:rPr>
          <w:lang w:val="en-US"/>
        </w:rPr>
        <w:t xml:space="preserve"> and </w:t>
      </w:r>
      <w:r w:rsidRPr="00642E7E">
        <w:rPr>
          <w:b/>
          <w:bCs/>
          <w:lang w:val="en-US"/>
        </w:rPr>
        <w:t>1b</w:t>
      </w:r>
      <w:r w:rsidRPr="00642E7E">
        <w:rPr>
          <w:lang w:val="en-US"/>
        </w:rPr>
        <w:t xml:space="preserve">). However, following the first synthesis of </w:t>
      </w:r>
      <w:r w:rsidRPr="00642E7E">
        <w:rPr>
          <w:b/>
          <w:bCs/>
          <w:lang w:val="en-US"/>
        </w:rPr>
        <w:t>1b</w:t>
      </w:r>
      <w:r w:rsidRPr="00642E7E">
        <w:rPr>
          <w:lang w:val="en-US"/>
        </w:rPr>
        <w:t xml:space="preserve"> by Reddy and coworkers in 2016, a structural reassignment of solomonamide B was made (</w:t>
      </w:r>
      <w:r w:rsidRPr="00642E7E">
        <w:rPr>
          <w:b/>
          <w:bCs/>
          <w:lang w:val="en-US"/>
        </w:rPr>
        <w:t>2b</w:t>
      </w:r>
      <w:r w:rsidRPr="00642E7E">
        <w:rPr>
          <w:lang w:val="en-US"/>
        </w:rPr>
        <w:t xml:space="preserve"> – with the highlighted stereogenic centres inverted) and this was confirmed unambiguously by total synthesis.</w:t>
      </w:r>
      <w:r w:rsidR="001F5A5B" w:rsidRPr="00642E7E">
        <w:rPr>
          <w:vertAlign w:val="superscript"/>
          <w:lang w:val="en-US"/>
        </w:rPr>
        <w:t>3</w:t>
      </w:r>
      <w:r w:rsidRPr="00642E7E">
        <w:rPr>
          <w:lang w:val="en-US"/>
        </w:rPr>
        <w:t xml:space="preserve"> Reddy’s work also cast doubt on the original assignment of solomonamide A, and indeed, the Reddy group duly reported its total synthesis and structural reassignment as predicted (</w:t>
      </w:r>
      <w:r w:rsidRPr="00642E7E">
        <w:rPr>
          <w:b/>
          <w:bCs/>
          <w:lang w:val="en-US"/>
        </w:rPr>
        <w:t>2a</w:t>
      </w:r>
      <w:r w:rsidRPr="00642E7E">
        <w:rPr>
          <w:lang w:val="en-US"/>
        </w:rPr>
        <w:t>) in 2018.</w:t>
      </w:r>
      <w:r w:rsidR="001F5A5B" w:rsidRPr="00642E7E">
        <w:rPr>
          <w:vertAlign w:val="superscript"/>
          <w:lang w:val="en-US"/>
        </w:rPr>
        <w:t>4</w:t>
      </w:r>
    </w:p>
    <w:p w14:paraId="1D9093EF" w14:textId="100540B8" w:rsidR="002C212D" w:rsidRPr="00642E7E" w:rsidRDefault="00C17925" w:rsidP="002C212D">
      <w:pPr>
        <w:pStyle w:val="SchemeImage"/>
        <w:jc w:val="center"/>
      </w:pPr>
      <w:r w:rsidRPr="00642E7E">
        <w:object w:dxaOrig="6496" w:dyaOrig="3480" w14:anchorId="5C1B6E3B">
          <v:shape id="_x0000_i1050" type="#_x0000_t75" style="width:216.6pt;height:116.35pt" o:ole="">
            <v:imagedata r:id="rId12" o:title=""/>
          </v:shape>
          <o:OLEObject Type="Embed" ProgID="ChemDraw.Document.6.0" ShapeID="_x0000_i1050" DrawAspect="Content" ObjectID="_1722854177" r:id="rId13"/>
        </w:object>
      </w:r>
    </w:p>
    <w:p w14:paraId="4E87E6BB" w14:textId="77777777" w:rsidR="002C212D" w:rsidRPr="00642E7E" w:rsidRDefault="002C212D" w:rsidP="002C212D">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42E7E">
        <w:rPr>
          <w:rFonts w:ascii="Calibri Light" w:hAnsi="Calibri Light"/>
          <w:b/>
          <w:sz w:val="15"/>
        </w:rPr>
        <w:t>Figure 1</w:t>
      </w:r>
      <w:r w:rsidRPr="00642E7E">
        <w:rPr>
          <w:rFonts w:ascii="Calibri Light" w:hAnsi="Calibri Light"/>
          <w:sz w:val="15"/>
        </w:rPr>
        <w:t xml:space="preserve"> </w:t>
      </w:r>
      <w:r w:rsidRPr="00642E7E">
        <w:rPr>
          <w:rStyle w:val="GraphicCaptionChar"/>
        </w:rPr>
        <w:t>Original and revised structures of solomonamides A and B.</w:t>
      </w:r>
    </w:p>
    <w:p w14:paraId="4EAB6288" w14:textId="3D7A9927" w:rsidR="002C212D" w:rsidRPr="00642E7E" w:rsidRDefault="002C212D" w:rsidP="002C212D">
      <w:pPr>
        <w:rPr>
          <w:lang w:val="en-US"/>
        </w:rPr>
      </w:pPr>
      <w:r w:rsidRPr="00642E7E">
        <w:rPr>
          <w:lang w:val="en-US"/>
        </w:rPr>
        <w:t>Various other synthetic and associated biological studies focused on the solomonamide natural products have also been reported, by Reddy</w:t>
      </w:r>
      <w:r w:rsidR="001F5A5B" w:rsidRPr="00642E7E">
        <w:rPr>
          <w:vertAlign w:val="superscript"/>
          <w:lang w:val="en-US"/>
        </w:rPr>
        <w:t>5</w:t>
      </w:r>
      <w:r w:rsidRPr="00642E7E">
        <w:rPr>
          <w:lang w:val="en-US"/>
        </w:rPr>
        <w:t xml:space="preserve"> and others.</w:t>
      </w:r>
      <w:r w:rsidR="001F5A5B" w:rsidRPr="00642E7E">
        <w:rPr>
          <w:vertAlign w:val="superscript"/>
          <w:lang w:val="en-US"/>
        </w:rPr>
        <w:t>6</w:t>
      </w:r>
      <w:r w:rsidRPr="00642E7E">
        <w:rPr>
          <w:lang w:val="en-US"/>
        </w:rPr>
        <w:t xml:space="preserve"> Assembly of the macrocyclic core is a key step in the synthesis,</w:t>
      </w:r>
      <w:r w:rsidR="001F5A5B" w:rsidRPr="00642E7E">
        <w:rPr>
          <w:vertAlign w:val="superscript"/>
          <w:lang w:val="en-US"/>
        </w:rPr>
        <w:t>7</w:t>
      </w:r>
      <w:r w:rsidRPr="00642E7E">
        <w:rPr>
          <w:lang w:val="en-US"/>
        </w:rPr>
        <w:t xml:space="preserve"> and unsurprisingly, all syntheses to date have focused on end-to-end macrocyclisation strategies (Scheme 1a). For example, in the seminal reports by Reddy and coworkers</w:t>
      </w:r>
      <w:r w:rsidR="001F5A5B" w:rsidRPr="00642E7E">
        <w:rPr>
          <w:vertAlign w:val="superscript"/>
          <w:lang w:val="en-US"/>
        </w:rPr>
        <w:t>3</w:t>
      </w:r>
      <w:r w:rsidRPr="00642E7E">
        <w:rPr>
          <w:vertAlign w:val="superscript"/>
          <w:lang w:val="en-US"/>
        </w:rPr>
        <w:t>–</w:t>
      </w:r>
      <w:r w:rsidR="001F5A5B" w:rsidRPr="00642E7E">
        <w:rPr>
          <w:vertAlign w:val="superscript"/>
          <w:lang w:val="en-US"/>
        </w:rPr>
        <w:t>5</w:t>
      </w:r>
      <w:r w:rsidRPr="00642E7E">
        <w:rPr>
          <w:vertAlign w:val="superscript"/>
          <w:lang w:val="en-US"/>
        </w:rPr>
        <w:t xml:space="preserve"> </w:t>
      </w:r>
      <w:r w:rsidRPr="00642E7E">
        <w:rPr>
          <w:lang w:val="en-US"/>
        </w:rPr>
        <w:t xml:space="preserve">a ligand-free Heck macrocyclisation strategy was adopted, typified by the conversion of linear precursor </w:t>
      </w:r>
      <w:r w:rsidRPr="00642E7E">
        <w:rPr>
          <w:b/>
          <w:bCs/>
          <w:lang w:val="en-US"/>
        </w:rPr>
        <w:t>3</w:t>
      </w:r>
      <w:r w:rsidRPr="00642E7E">
        <w:rPr>
          <w:lang w:val="en-US"/>
        </w:rPr>
        <w:t xml:space="preserve"> into macrocycle </w:t>
      </w:r>
      <w:r w:rsidRPr="00642E7E">
        <w:rPr>
          <w:b/>
          <w:bCs/>
          <w:lang w:val="en-US"/>
        </w:rPr>
        <w:t>4</w:t>
      </w:r>
      <w:r w:rsidRPr="00642E7E">
        <w:rPr>
          <w:lang w:val="en-US"/>
        </w:rPr>
        <w:t xml:space="preserve"> using </w:t>
      </w:r>
      <w:proofErr w:type="gramStart"/>
      <w:r w:rsidRPr="00642E7E">
        <w:rPr>
          <w:lang w:val="en-US"/>
        </w:rPr>
        <w:t>Pd(</w:t>
      </w:r>
      <w:proofErr w:type="spellStart"/>
      <w:proofErr w:type="gramEnd"/>
      <w:r w:rsidRPr="00642E7E">
        <w:rPr>
          <w:lang w:val="en-US"/>
        </w:rPr>
        <w:t>OAc</w:t>
      </w:r>
      <w:proofErr w:type="spellEnd"/>
      <w:r w:rsidRPr="00642E7E">
        <w:rPr>
          <w:lang w:val="en-US"/>
        </w:rPr>
        <w:t>)</w:t>
      </w:r>
      <w:r w:rsidRPr="00642E7E">
        <w:rPr>
          <w:vertAlign w:val="subscript"/>
          <w:lang w:val="en-US"/>
        </w:rPr>
        <w:t>2</w:t>
      </w:r>
      <w:r w:rsidRPr="00642E7E">
        <w:rPr>
          <w:lang w:val="en-US"/>
        </w:rPr>
        <w:t>.</w:t>
      </w:r>
      <w:r w:rsidR="001F5A5B" w:rsidRPr="00642E7E">
        <w:rPr>
          <w:vertAlign w:val="superscript"/>
          <w:lang w:val="en-US"/>
        </w:rPr>
        <w:t>3</w:t>
      </w:r>
      <w:r w:rsidRPr="00642E7E">
        <w:rPr>
          <w:vertAlign w:val="superscript"/>
          <w:lang w:val="en-US"/>
        </w:rPr>
        <w:t>,</w:t>
      </w:r>
      <w:r w:rsidR="001F5A5B" w:rsidRPr="00642E7E">
        <w:rPr>
          <w:vertAlign w:val="superscript"/>
          <w:lang w:val="en-US"/>
        </w:rPr>
        <w:t>8</w:t>
      </w:r>
      <w:r w:rsidRPr="00642E7E">
        <w:rPr>
          <w:lang w:val="en-US"/>
        </w:rPr>
        <w:t xml:space="preserve"> In contrast, </w:t>
      </w:r>
      <w:proofErr w:type="spellStart"/>
      <w:r w:rsidRPr="00642E7E">
        <w:rPr>
          <w:lang w:val="en-US"/>
        </w:rPr>
        <w:t>Sarabia</w:t>
      </w:r>
      <w:proofErr w:type="spellEnd"/>
      <w:r w:rsidRPr="00642E7E">
        <w:rPr>
          <w:lang w:val="en-US"/>
        </w:rPr>
        <w:t xml:space="preserve"> and coworkers chose to perform the key macrocyclisation via a ring-closing metathesis reaction, using the </w:t>
      </w:r>
      <w:proofErr w:type="spellStart"/>
      <w:r w:rsidRPr="00642E7E">
        <w:rPr>
          <w:lang w:val="en-US"/>
        </w:rPr>
        <w:t>Hoveyda</w:t>
      </w:r>
      <w:proofErr w:type="spellEnd"/>
      <w:r w:rsidRPr="00642E7E">
        <w:rPr>
          <w:lang w:val="en-US"/>
        </w:rPr>
        <w:t xml:space="preserve">–Grubbs second generation (HG II) catalyst. This is typified by the high yielding synthesis of macrocycle </w:t>
      </w:r>
      <w:r w:rsidRPr="00642E7E">
        <w:rPr>
          <w:b/>
          <w:bCs/>
          <w:lang w:val="en-US"/>
        </w:rPr>
        <w:t>6</w:t>
      </w:r>
      <w:r w:rsidRPr="00642E7E">
        <w:rPr>
          <w:lang w:val="en-US"/>
        </w:rPr>
        <w:t xml:space="preserve"> from diene </w:t>
      </w:r>
      <w:r w:rsidRPr="00642E7E">
        <w:rPr>
          <w:b/>
          <w:bCs/>
          <w:lang w:val="en-US"/>
        </w:rPr>
        <w:t>5</w:t>
      </w:r>
      <w:r w:rsidRPr="00642E7E">
        <w:rPr>
          <w:lang w:val="en-US"/>
        </w:rPr>
        <w:t>.</w:t>
      </w:r>
      <w:r w:rsidR="001F5A5B" w:rsidRPr="00642E7E">
        <w:rPr>
          <w:vertAlign w:val="superscript"/>
          <w:lang w:val="en-US"/>
        </w:rPr>
        <w:t>6</w:t>
      </w:r>
      <w:r w:rsidRPr="00642E7E">
        <w:rPr>
          <w:vertAlign w:val="superscript"/>
          <w:lang w:val="en-US"/>
        </w:rPr>
        <w:t>d,</w:t>
      </w:r>
      <w:r w:rsidR="001F5A5B" w:rsidRPr="00642E7E">
        <w:rPr>
          <w:vertAlign w:val="superscript"/>
          <w:lang w:val="en-US"/>
        </w:rPr>
        <w:t>9</w:t>
      </w:r>
      <w:r w:rsidRPr="00642E7E">
        <w:rPr>
          <w:lang w:val="en-US"/>
        </w:rPr>
        <w:t xml:space="preserve"> Notably, both of these impressive reactions are performed under relatively high dilution conditions, which is a common technique used in macrocyclisation reactions to reduce the impact of competing intermolecular coupling and other side reactions.</w:t>
      </w:r>
      <w:r w:rsidR="001F5A5B" w:rsidRPr="00642E7E">
        <w:rPr>
          <w:vertAlign w:val="superscript"/>
          <w:lang w:val="en-US"/>
        </w:rPr>
        <w:t>10</w:t>
      </w:r>
    </w:p>
    <w:p w14:paraId="51F0DFBC" w14:textId="192E0347" w:rsidR="002C212D" w:rsidRPr="00642E7E" w:rsidRDefault="002C212D" w:rsidP="002C212D">
      <w:pPr>
        <w:rPr>
          <w:lang w:val="en-US"/>
        </w:rPr>
      </w:pPr>
      <w:r w:rsidRPr="00642E7E">
        <w:rPr>
          <w:lang w:val="en-US"/>
        </w:rPr>
        <w:t xml:space="preserve">To complement these previous approaches, we were inspired to adopt a completely different strategy, whereby end-to-end macrocyclisation is avoided entirely. Our synthetic strategy is based on the use of three consecutive ring expansion reactions, to allow the solomonamide macrocyclic core to be ‘grown’ from a simple, readily available 6-membered ring precursor </w:t>
      </w:r>
      <w:r w:rsidRPr="00642E7E">
        <w:rPr>
          <w:b/>
          <w:bCs/>
          <w:lang w:val="en-US"/>
        </w:rPr>
        <w:t>7</w:t>
      </w:r>
      <w:r w:rsidRPr="00642E7E">
        <w:rPr>
          <w:lang w:val="en-US"/>
        </w:rPr>
        <w:t xml:space="preserve"> </w:t>
      </w:r>
      <w:r w:rsidRPr="00642E7E">
        <w:rPr>
          <w:lang w:val="en-US"/>
        </w:rPr>
        <w:lastRenderedPageBreak/>
        <w:t>(Scheme 1b).</w:t>
      </w:r>
      <w:r w:rsidRPr="00642E7E">
        <w:rPr>
          <w:vertAlign w:val="superscript"/>
          <w:lang w:val="en-US"/>
        </w:rPr>
        <w:t>1</w:t>
      </w:r>
      <w:r w:rsidR="001F5A5B" w:rsidRPr="00642E7E">
        <w:rPr>
          <w:vertAlign w:val="superscript"/>
          <w:lang w:val="en-US"/>
        </w:rPr>
        <w:t>1-13</w:t>
      </w:r>
      <w:r w:rsidRPr="00642E7E">
        <w:rPr>
          <w:lang w:val="en-US"/>
        </w:rPr>
        <w:t xml:space="preserve"> The idea was that following an initial oxidative ring expansion reaction (</w:t>
      </w:r>
      <w:r w:rsidRPr="00642E7E">
        <w:rPr>
          <w:b/>
          <w:bCs/>
          <w:lang w:val="en-US"/>
        </w:rPr>
        <w:t>7</w:t>
      </w:r>
      <w:r w:rsidRPr="00642E7E">
        <w:rPr>
          <w:lang w:val="en-US"/>
        </w:rPr>
        <w:t xml:space="preserve"> → </w:t>
      </w:r>
      <w:r w:rsidRPr="00642E7E">
        <w:rPr>
          <w:b/>
          <w:bCs/>
          <w:lang w:val="en-US"/>
        </w:rPr>
        <w:t>8</w:t>
      </w:r>
      <w:r w:rsidRPr="00642E7E">
        <w:rPr>
          <w:lang w:val="en-US"/>
        </w:rPr>
        <w:t xml:space="preserve">), the resulting lactam </w:t>
      </w:r>
      <w:r w:rsidRPr="00642E7E">
        <w:rPr>
          <w:b/>
          <w:bCs/>
          <w:lang w:val="en-US"/>
        </w:rPr>
        <w:t>8</w:t>
      </w:r>
      <w:r w:rsidRPr="00642E7E">
        <w:rPr>
          <w:lang w:val="en-US"/>
        </w:rPr>
        <w:t xml:space="preserve"> could then undergo two further ring expansion reactions, using our group’s Successive Ring Expansion (SuRE) methodology,</w:t>
      </w:r>
      <w:r w:rsidRPr="00642E7E">
        <w:rPr>
          <w:vertAlign w:val="superscript"/>
          <w:lang w:val="en-US"/>
        </w:rPr>
        <w:t>1</w:t>
      </w:r>
      <w:r w:rsidR="001F5A5B" w:rsidRPr="00642E7E">
        <w:rPr>
          <w:vertAlign w:val="superscript"/>
          <w:lang w:val="en-US"/>
        </w:rPr>
        <w:t>4</w:t>
      </w:r>
      <w:r w:rsidRPr="00642E7E">
        <w:rPr>
          <w:vertAlign w:val="superscript"/>
          <w:lang w:val="en-US"/>
        </w:rPr>
        <w:t>,1</w:t>
      </w:r>
      <w:r w:rsidR="001F5A5B" w:rsidRPr="00642E7E">
        <w:rPr>
          <w:vertAlign w:val="superscript"/>
          <w:lang w:val="en-US"/>
        </w:rPr>
        <w:t>5</w:t>
      </w:r>
      <w:r w:rsidRPr="00642E7E">
        <w:rPr>
          <w:lang w:val="en-US"/>
        </w:rPr>
        <w:t xml:space="preserve"> thus enabling amino acid (when X = NR) or hydroxy acid (when X = O) derivatives of the type </w:t>
      </w:r>
      <w:r w:rsidRPr="00642E7E">
        <w:rPr>
          <w:b/>
          <w:bCs/>
          <w:lang w:val="en-US"/>
        </w:rPr>
        <w:t>9</w:t>
      </w:r>
      <w:r w:rsidRPr="00642E7E">
        <w:rPr>
          <w:lang w:val="en-US"/>
        </w:rPr>
        <w:t xml:space="preserve"> and </w:t>
      </w:r>
      <w:r w:rsidRPr="00642E7E">
        <w:rPr>
          <w:b/>
          <w:bCs/>
          <w:lang w:val="en-US"/>
        </w:rPr>
        <w:t>11</w:t>
      </w:r>
      <w:r w:rsidRPr="00642E7E">
        <w:rPr>
          <w:lang w:val="en-US"/>
        </w:rPr>
        <w:t xml:space="preserve"> to be inserted into ring enlarged products (</w:t>
      </w:r>
      <w:r w:rsidRPr="00642E7E">
        <w:rPr>
          <w:b/>
          <w:bCs/>
          <w:lang w:val="en-US"/>
        </w:rPr>
        <w:t>8</w:t>
      </w:r>
      <w:r w:rsidRPr="00642E7E">
        <w:rPr>
          <w:lang w:val="en-US"/>
        </w:rPr>
        <w:t xml:space="preserve"> → </w:t>
      </w:r>
      <w:r w:rsidRPr="00642E7E">
        <w:rPr>
          <w:b/>
          <w:bCs/>
          <w:lang w:val="en-US"/>
        </w:rPr>
        <w:t>10</w:t>
      </w:r>
      <w:r w:rsidRPr="00642E7E">
        <w:rPr>
          <w:lang w:val="en-US"/>
        </w:rPr>
        <w:t xml:space="preserve"> → </w:t>
      </w:r>
      <w:r w:rsidRPr="00642E7E">
        <w:rPr>
          <w:b/>
          <w:bCs/>
          <w:lang w:val="en-US"/>
        </w:rPr>
        <w:t>12</w:t>
      </w:r>
      <w:r w:rsidRPr="00642E7E">
        <w:rPr>
          <w:lang w:val="en-US"/>
        </w:rPr>
        <w:t xml:space="preserve">). The main advantages to this strategy are: </w:t>
      </w:r>
      <w:proofErr w:type="spellStart"/>
      <w:r w:rsidRPr="00642E7E">
        <w:rPr>
          <w:lang w:val="en-US"/>
        </w:rPr>
        <w:t>i</w:t>
      </w:r>
      <w:proofErr w:type="spellEnd"/>
      <w:r w:rsidRPr="00642E7E">
        <w:rPr>
          <w:lang w:val="en-US"/>
        </w:rPr>
        <w:t>) its overall brevity; ii) the divergent nature of the SuRE method, which means that different amino- and hydroxy-acid fragments can be used to facilitate analogue synthesis; iii) as no direct macrocyclisation reactions are needed, high dilution conditions should not be required. The application</w:t>
      </w:r>
      <w:r w:rsidR="00A25E3A" w:rsidRPr="00642E7E">
        <w:rPr>
          <w:lang w:val="en-US"/>
        </w:rPr>
        <w:t xml:space="preserve"> of</w:t>
      </w:r>
      <w:r w:rsidRPr="00642E7E">
        <w:rPr>
          <w:lang w:val="en-US"/>
        </w:rPr>
        <w:t xml:space="preserve"> this approach is reported herein. An oxidative ring expansion, followed by two consecutive SuRE reactions allows combinations of α- and β- amino and hydroxy acid derived acid chlorides to be inserted into the ring expanded products. This is showcased through the successful synthesis of six macrocyclic (15–17-membered) solomonamide core analogues of the form </w:t>
      </w:r>
      <w:r w:rsidRPr="00642E7E">
        <w:rPr>
          <w:b/>
          <w:bCs/>
          <w:lang w:val="en-US"/>
        </w:rPr>
        <w:t>12</w:t>
      </w:r>
      <w:r w:rsidRPr="00642E7E">
        <w:rPr>
          <w:lang w:val="en-US"/>
        </w:rPr>
        <w:t>.</w:t>
      </w:r>
    </w:p>
    <w:p w14:paraId="20C4120E" w14:textId="2B570C70" w:rsidR="002C212D" w:rsidRPr="00642E7E" w:rsidRDefault="00576C38" w:rsidP="002C212D">
      <w:pPr>
        <w:pStyle w:val="SchemeImage"/>
      </w:pPr>
      <w:r w:rsidRPr="00642E7E">
        <w:object w:dxaOrig="7152" w:dyaOrig="8836" w14:anchorId="2360B8F5">
          <v:shape id="_x0000_i1051" type="#_x0000_t75" style="width:235.6pt;height:290.9pt" o:ole="">
            <v:imagedata r:id="rId14" o:title=""/>
          </v:shape>
          <o:OLEObject Type="Embed" ProgID="ChemDraw.Document.6.0" ShapeID="_x0000_i1051" DrawAspect="Content" ObjectID="_1722854178" r:id="rId15"/>
        </w:object>
      </w:r>
    </w:p>
    <w:p w14:paraId="1CF56600" w14:textId="77777777" w:rsidR="002C212D" w:rsidRPr="00642E7E" w:rsidRDefault="002C212D" w:rsidP="002C212D">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42E7E">
        <w:rPr>
          <w:rFonts w:ascii="Calibri Light" w:hAnsi="Calibri Light"/>
          <w:b/>
          <w:sz w:val="15"/>
        </w:rPr>
        <w:t>Scheme 1</w:t>
      </w:r>
      <w:r w:rsidRPr="00642E7E">
        <w:rPr>
          <w:rFonts w:ascii="Calibri Light" w:hAnsi="Calibri Light"/>
          <w:sz w:val="15"/>
        </w:rPr>
        <w:t xml:space="preserve"> </w:t>
      </w:r>
      <w:r w:rsidRPr="00642E7E">
        <w:rPr>
          <w:rStyle w:val="GraphicCaptionChar"/>
        </w:rPr>
        <w:t>Strategies to synthesis the macrocyclic core of the solomonamide natural products. a) Previous macrocyclisation approaches. b) 3 x consecutive ring expansion strategy (this work).</w:t>
      </w:r>
    </w:p>
    <w:p w14:paraId="0D56C959" w14:textId="572A1EE8" w:rsidR="002C212D" w:rsidRPr="00642E7E" w:rsidRDefault="002C212D" w:rsidP="002C212D">
      <w:pPr>
        <w:rPr>
          <w:lang w:val="en-US"/>
        </w:rPr>
      </w:pPr>
      <w:r w:rsidRPr="00642E7E">
        <w:rPr>
          <w:lang w:val="en-US"/>
        </w:rPr>
        <w:t>Our synthesis started with the NaIO</w:t>
      </w:r>
      <w:r w:rsidRPr="00642E7E">
        <w:rPr>
          <w:vertAlign w:val="subscript"/>
          <w:lang w:val="en-US"/>
        </w:rPr>
        <w:t>4</w:t>
      </w:r>
      <w:r w:rsidRPr="00642E7E">
        <w:rPr>
          <w:lang w:val="en-US"/>
        </w:rPr>
        <w:t xml:space="preserve">-mediated oxidative ring expansion of commercially available </w:t>
      </w:r>
      <w:proofErr w:type="spellStart"/>
      <w:r w:rsidRPr="00642E7E">
        <w:rPr>
          <w:lang w:val="en-US"/>
        </w:rPr>
        <w:t>tetrahydrocarbazole</w:t>
      </w:r>
      <w:proofErr w:type="spellEnd"/>
      <w:r w:rsidRPr="00642E7E">
        <w:rPr>
          <w:lang w:val="en-US"/>
        </w:rPr>
        <w:t xml:space="preserve"> </w:t>
      </w:r>
      <w:r w:rsidRPr="00642E7E">
        <w:rPr>
          <w:b/>
          <w:bCs/>
          <w:lang w:val="en-US"/>
        </w:rPr>
        <w:t>7</w:t>
      </w:r>
      <w:r w:rsidRPr="00642E7E">
        <w:rPr>
          <w:lang w:val="en-US"/>
        </w:rPr>
        <w:t xml:space="preserve">, which led to the formation of 9-membered ring lactam </w:t>
      </w:r>
      <w:r w:rsidRPr="00642E7E">
        <w:rPr>
          <w:b/>
          <w:bCs/>
          <w:lang w:val="en-US"/>
        </w:rPr>
        <w:t>8</w:t>
      </w:r>
      <w:r w:rsidRPr="00642E7E">
        <w:rPr>
          <w:lang w:val="en-US"/>
        </w:rPr>
        <w:t xml:space="preserve"> in 98% yield, using a method adapted from that of Dolby and Booth (Scheme 2a).</w:t>
      </w:r>
      <w:r w:rsidRPr="00642E7E">
        <w:rPr>
          <w:vertAlign w:val="superscript"/>
          <w:lang w:val="en-US"/>
        </w:rPr>
        <w:t>1</w:t>
      </w:r>
      <w:r w:rsidR="001F5A5B" w:rsidRPr="00642E7E">
        <w:rPr>
          <w:vertAlign w:val="superscript"/>
          <w:lang w:val="en-US"/>
        </w:rPr>
        <w:t>6</w:t>
      </w:r>
      <w:r w:rsidRPr="00642E7E">
        <w:rPr>
          <w:vertAlign w:val="superscript"/>
          <w:lang w:val="en-US"/>
        </w:rPr>
        <w:t xml:space="preserve"> </w:t>
      </w:r>
      <w:r w:rsidRPr="00642E7E">
        <w:rPr>
          <w:lang w:val="en-US"/>
        </w:rPr>
        <w:t xml:space="preserve">Attention then moved to applying our group’s SuRE methodology, starting with an Fmoc-based protecting group strategy. Thus, lactam </w:t>
      </w:r>
      <w:r w:rsidRPr="00642E7E">
        <w:rPr>
          <w:b/>
          <w:bCs/>
          <w:lang w:val="en-US"/>
        </w:rPr>
        <w:t>8</w:t>
      </w:r>
      <w:r w:rsidRPr="00642E7E">
        <w:rPr>
          <w:lang w:val="en-US"/>
        </w:rPr>
        <w:t xml:space="preserve"> was reacted with acid chloride </w:t>
      </w:r>
      <w:r w:rsidRPr="00642E7E">
        <w:rPr>
          <w:b/>
          <w:bCs/>
          <w:lang w:val="en-US"/>
        </w:rPr>
        <w:t>13</w:t>
      </w:r>
      <w:r w:rsidRPr="00642E7E">
        <w:rPr>
          <w:lang w:val="en-US"/>
        </w:rPr>
        <w:t xml:space="preserve"> in the presence of pyridine and DMAP, which resulted in the formation of imide </w:t>
      </w:r>
      <w:r w:rsidRPr="00642E7E">
        <w:rPr>
          <w:b/>
          <w:bCs/>
          <w:lang w:val="en-US"/>
        </w:rPr>
        <w:t>14</w:t>
      </w:r>
      <w:r w:rsidRPr="00642E7E">
        <w:rPr>
          <w:lang w:val="en-US"/>
        </w:rPr>
        <w:t xml:space="preserve"> in 80% yield (Scheme 2a). Then, the idea was that cleavage of the Fmoc protecting group under basic conditions (</w:t>
      </w:r>
      <w:r w:rsidRPr="00642E7E">
        <w:rPr>
          <w:b/>
          <w:bCs/>
          <w:lang w:val="en-US"/>
        </w:rPr>
        <w:t>14</w:t>
      </w:r>
      <w:r w:rsidRPr="00642E7E">
        <w:rPr>
          <w:lang w:val="en-US"/>
        </w:rPr>
        <w:t xml:space="preserve"> → </w:t>
      </w:r>
      <w:r w:rsidRPr="00642E7E">
        <w:rPr>
          <w:b/>
          <w:bCs/>
          <w:lang w:val="en-US"/>
        </w:rPr>
        <w:t>15</w:t>
      </w:r>
      <w:r w:rsidRPr="00642E7E">
        <w:rPr>
          <w:lang w:val="en-US"/>
        </w:rPr>
        <w:t>) would initiate ring expansion (</w:t>
      </w:r>
      <w:r w:rsidRPr="00642E7E">
        <w:rPr>
          <w:b/>
          <w:bCs/>
          <w:lang w:val="en-US"/>
        </w:rPr>
        <w:t>15</w:t>
      </w:r>
      <w:r w:rsidRPr="00642E7E">
        <w:rPr>
          <w:lang w:val="en-US"/>
        </w:rPr>
        <w:t xml:space="preserve"> → </w:t>
      </w:r>
      <w:r w:rsidRPr="00642E7E">
        <w:rPr>
          <w:b/>
          <w:bCs/>
          <w:lang w:val="en-US"/>
        </w:rPr>
        <w:t>16</w:t>
      </w:r>
      <w:r w:rsidRPr="00642E7E">
        <w:rPr>
          <w:lang w:val="en-US"/>
        </w:rPr>
        <w:t>).</w:t>
      </w:r>
      <w:r w:rsidRPr="00642E7E">
        <w:rPr>
          <w:vertAlign w:val="superscript"/>
          <w:lang w:val="en-US"/>
        </w:rPr>
        <w:t>1</w:t>
      </w:r>
      <w:r w:rsidR="001F5A5B" w:rsidRPr="00642E7E">
        <w:rPr>
          <w:vertAlign w:val="superscript"/>
          <w:lang w:val="en-US"/>
        </w:rPr>
        <w:t>4</w:t>
      </w:r>
      <w:r w:rsidRPr="00642E7E">
        <w:rPr>
          <w:vertAlign w:val="superscript"/>
          <w:lang w:val="en-US"/>
        </w:rPr>
        <w:t xml:space="preserve">c-e </w:t>
      </w:r>
      <w:r w:rsidRPr="00642E7E">
        <w:rPr>
          <w:lang w:val="en-US"/>
        </w:rPr>
        <w:t xml:space="preserve">However, despite trialing this reaction under various </w:t>
      </w:r>
      <w:r w:rsidRPr="00642E7E">
        <w:rPr>
          <w:lang w:val="en-US"/>
        </w:rPr>
        <w:t xml:space="preserve">basic conditions (see ESI for full details) only trace quantities of the desired macrocycle </w:t>
      </w:r>
      <w:r w:rsidRPr="00642E7E">
        <w:rPr>
          <w:b/>
          <w:bCs/>
          <w:lang w:val="en-US"/>
        </w:rPr>
        <w:t>16</w:t>
      </w:r>
      <w:r w:rsidRPr="00642E7E">
        <w:rPr>
          <w:lang w:val="en-US"/>
        </w:rPr>
        <w:t xml:space="preserve"> were observed. The main problem was competing ring opening reactions, promoted by intermolecular nucleophilic attack of the imide by the base used to cleave the Fmoc protecting group; for example, linear amides </w:t>
      </w:r>
      <w:r w:rsidRPr="00642E7E">
        <w:rPr>
          <w:b/>
          <w:bCs/>
          <w:lang w:val="en-US"/>
        </w:rPr>
        <w:t>17a</w:t>
      </w:r>
      <w:r w:rsidRPr="00642E7E">
        <w:rPr>
          <w:lang w:val="en-US"/>
        </w:rPr>
        <w:t xml:space="preserve"> and </w:t>
      </w:r>
      <w:r w:rsidRPr="00642E7E">
        <w:rPr>
          <w:b/>
          <w:bCs/>
          <w:lang w:val="en-US"/>
        </w:rPr>
        <w:t>17b</w:t>
      </w:r>
      <w:r w:rsidRPr="00642E7E">
        <w:rPr>
          <w:lang w:val="en-US"/>
        </w:rPr>
        <w:t xml:space="preserve"> were isolated when using diethylamine and piperidine respectively. The deviation in reaction outcome here</w:t>
      </w:r>
      <w:r w:rsidR="000E328C" w:rsidRPr="00642E7E">
        <w:rPr>
          <w:lang w:val="en-US"/>
        </w:rPr>
        <w:t>,</w:t>
      </w:r>
      <w:r w:rsidRPr="00642E7E">
        <w:rPr>
          <w:lang w:val="en-US"/>
        </w:rPr>
        <w:t xml:space="preserve"> compared with published SuRE reactions</w:t>
      </w:r>
      <w:r w:rsidR="000E328C" w:rsidRPr="00642E7E">
        <w:rPr>
          <w:lang w:val="en-US"/>
        </w:rPr>
        <w:t>,</w:t>
      </w:r>
      <w:r w:rsidRPr="00642E7E">
        <w:rPr>
          <w:lang w:val="en-US"/>
        </w:rPr>
        <w:t xml:space="preserve"> is thought to be due to the increased electrophilicity of the imide carbonyl groups,</w:t>
      </w:r>
      <w:r w:rsidRPr="00642E7E">
        <w:rPr>
          <w:vertAlign w:val="superscript"/>
          <w:lang w:val="en-US"/>
        </w:rPr>
        <w:t>1</w:t>
      </w:r>
      <w:r w:rsidR="001F5A5B" w:rsidRPr="00642E7E">
        <w:rPr>
          <w:vertAlign w:val="superscript"/>
          <w:lang w:val="en-US"/>
        </w:rPr>
        <w:t>7</w:t>
      </w:r>
      <w:r w:rsidRPr="00642E7E">
        <w:rPr>
          <w:lang w:val="en-US"/>
        </w:rPr>
        <w:t xml:space="preserve"> as a result of conjugation with the adjacent electron deficient aromatic system. </w:t>
      </w:r>
    </w:p>
    <w:p w14:paraId="55770969" w14:textId="547D30DC" w:rsidR="002C212D" w:rsidRPr="00642E7E" w:rsidRDefault="0056037E" w:rsidP="002C212D">
      <w:pPr>
        <w:rPr>
          <w:lang w:val="en-US"/>
        </w:rPr>
      </w:pPr>
      <w:r w:rsidRPr="00642E7E">
        <w:rPr>
          <w:lang w:val="en-US"/>
        </w:rPr>
        <w:t>T</w:t>
      </w:r>
      <w:r w:rsidR="002C212D" w:rsidRPr="00642E7E">
        <w:rPr>
          <w:lang w:val="en-US"/>
        </w:rPr>
        <w:t xml:space="preserve">o </w:t>
      </w:r>
      <w:r w:rsidRPr="00642E7E">
        <w:rPr>
          <w:lang w:val="en-US"/>
        </w:rPr>
        <w:t>address</w:t>
      </w:r>
      <w:r w:rsidR="002C212D" w:rsidRPr="00642E7E">
        <w:rPr>
          <w:lang w:val="en-US"/>
        </w:rPr>
        <w:t xml:space="preserve"> this problem, we decided to avoid the use of nucleophilic reagents and switched to a </w:t>
      </w:r>
      <w:proofErr w:type="spellStart"/>
      <w:r w:rsidR="002C212D" w:rsidRPr="00642E7E">
        <w:rPr>
          <w:lang w:val="en-US"/>
        </w:rPr>
        <w:t>Cbz</w:t>
      </w:r>
      <w:proofErr w:type="spellEnd"/>
      <w:r w:rsidR="002C212D" w:rsidRPr="00642E7E">
        <w:rPr>
          <w:lang w:val="en-US"/>
        </w:rPr>
        <w:t xml:space="preserve">-based protecting group strategy (Scheme 2b). </w:t>
      </w:r>
      <w:r w:rsidR="002C212D" w:rsidRPr="00642E7E">
        <w:rPr>
          <w:i/>
          <w:iCs/>
          <w:lang w:val="en-US"/>
        </w:rPr>
        <w:t>N</w:t>
      </w:r>
      <w:r w:rsidR="002C212D" w:rsidRPr="00642E7E">
        <w:rPr>
          <w:lang w:val="en-US"/>
        </w:rPr>
        <w:t xml:space="preserve">-Acylation of lactam </w:t>
      </w:r>
      <w:r w:rsidR="002C212D" w:rsidRPr="00642E7E">
        <w:rPr>
          <w:b/>
          <w:bCs/>
          <w:lang w:val="en-US"/>
        </w:rPr>
        <w:t>8</w:t>
      </w:r>
      <w:r w:rsidR="002C212D" w:rsidRPr="00642E7E">
        <w:rPr>
          <w:lang w:val="en-US"/>
        </w:rPr>
        <w:t xml:space="preserve"> was performed using </w:t>
      </w:r>
      <w:proofErr w:type="spellStart"/>
      <w:r w:rsidR="002C212D" w:rsidRPr="00642E7E">
        <w:rPr>
          <w:lang w:val="en-US"/>
        </w:rPr>
        <w:t>Cbz</w:t>
      </w:r>
      <w:proofErr w:type="spellEnd"/>
      <w:r w:rsidR="002C212D" w:rsidRPr="00642E7E">
        <w:rPr>
          <w:lang w:val="en-US"/>
        </w:rPr>
        <w:t xml:space="preserve">-protected amino acid chloride </w:t>
      </w:r>
      <w:r w:rsidR="002C212D" w:rsidRPr="00642E7E">
        <w:rPr>
          <w:b/>
          <w:bCs/>
          <w:lang w:val="en-US"/>
        </w:rPr>
        <w:t>18</w:t>
      </w:r>
      <w:r w:rsidR="002C212D" w:rsidRPr="00642E7E">
        <w:rPr>
          <w:lang w:val="en-US"/>
        </w:rPr>
        <w:t xml:space="preserve"> to form imide </w:t>
      </w:r>
      <w:r w:rsidR="002C212D" w:rsidRPr="00642E7E">
        <w:rPr>
          <w:b/>
          <w:bCs/>
          <w:lang w:val="en-US"/>
        </w:rPr>
        <w:t>19</w:t>
      </w:r>
      <w:r w:rsidR="002C212D" w:rsidRPr="00642E7E">
        <w:rPr>
          <w:lang w:val="en-US"/>
        </w:rPr>
        <w:t xml:space="preserve">. Then, following hydrogenolysis, smooth conversion into macrocycle </w:t>
      </w:r>
      <w:r w:rsidR="002C212D" w:rsidRPr="00642E7E">
        <w:rPr>
          <w:b/>
          <w:bCs/>
          <w:lang w:val="en-US"/>
        </w:rPr>
        <w:t>21</w:t>
      </w:r>
      <w:r w:rsidR="002C212D" w:rsidRPr="00642E7E">
        <w:rPr>
          <w:lang w:val="en-US"/>
        </w:rPr>
        <w:t xml:space="preserve"> was observed, which was isolated in 56% overall yield from </w:t>
      </w:r>
      <w:r w:rsidR="002C212D" w:rsidRPr="00642E7E">
        <w:rPr>
          <w:b/>
          <w:bCs/>
          <w:lang w:val="en-US"/>
        </w:rPr>
        <w:t>8</w:t>
      </w:r>
      <w:r w:rsidR="002C212D" w:rsidRPr="00642E7E">
        <w:rPr>
          <w:lang w:val="en-US"/>
        </w:rPr>
        <w:t xml:space="preserve">, across the overall </w:t>
      </w:r>
      <w:r w:rsidR="002C212D" w:rsidRPr="00642E7E">
        <w:rPr>
          <w:i/>
          <w:iCs/>
          <w:lang w:val="en-US"/>
        </w:rPr>
        <w:t>N</w:t>
      </w:r>
      <w:r w:rsidR="002C212D" w:rsidRPr="00642E7E">
        <w:rPr>
          <w:lang w:val="en-US"/>
        </w:rPr>
        <w:t>-acylation, protecting group cleavage and ring expansion sequence.</w:t>
      </w:r>
    </w:p>
    <w:p w14:paraId="52B0F62F" w14:textId="6D8890FE" w:rsidR="002C212D" w:rsidRPr="00642E7E" w:rsidRDefault="00490434" w:rsidP="002C212D">
      <w:pPr>
        <w:pStyle w:val="SchemeImage"/>
      </w:pPr>
      <w:r w:rsidRPr="00642E7E">
        <w:object w:dxaOrig="6998" w:dyaOrig="8865" w14:anchorId="50A45B94">
          <v:shape id="_x0000_i1052" type="#_x0000_t75" style="width:235.6pt;height:298.95pt" o:ole="">
            <v:imagedata r:id="rId16" o:title=""/>
          </v:shape>
          <o:OLEObject Type="Embed" ProgID="ChemDraw.Document.6.0" ShapeID="_x0000_i1052" DrawAspect="Content" ObjectID="_1722854179" r:id="rId17"/>
        </w:object>
      </w:r>
    </w:p>
    <w:p w14:paraId="69E13845" w14:textId="57038EC3" w:rsidR="002C212D" w:rsidRPr="00642E7E" w:rsidRDefault="002C212D" w:rsidP="002C212D">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42E7E">
        <w:rPr>
          <w:rFonts w:ascii="Calibri Light" w:hAnsi="Calibri Light"/>
          <w:b/>
          <w:sz w:val="15"/>
        </w:rPr>
        <w:t>Scheme 2</w:t>
      </w:r>
      <w:r w:rsidRPr="00642E7E">
        <w:rPr>
          <w:rFonts w:ascii="Calibri Light" w:hAnsi="Calibri Light"/>
          <w:sz w:val="15"/>
        </w:rPr>
        <w:t xml:space="preserve"> </w:t>
      </w:r>
      <w:r w:rsidRPr="00642E7E">
        <w:rPr>
          <w:rStyle w:val="GraphicCaptionChar"/>
        </w:rPr>
        <w:t xml:space="preserve">Ring expansion of </w:t>
      </w:r>
      <w:r w:rsidRPr="00642E7E">
        <w:rPr>
          <w:rStyle w:val="GraphicCaptionChar"/>
          <w:b/>
          <w:bCs/>
        </w:rPr>
        <w:t>7</w:t>
      </w:r>
      <w:r w:rsidRPr="00642E7E">
        <w:rPr>
          <w:rStyle w:val="GraphicCaptionChar"/>
        </w:rPr>
        <w:t xml:space="preserve"> and SuRE reaction </w:t>
      </w:r>
      <w:r w:rsidRPr="00642E7E">
        <w:rPr>
          <w:rStyle w:val="GraphicCaptionChar"/>
          <w:b/>
          <w:bCs/>
        </w:rPr>
        <w:t>1</w:t>
      </w:r>
      <w:r w:rsidRPr="00642E7E">
        <w:rPr>
          <w:rStyle w:val="GraphicCaptionChar"/>
        </w:rPr>
        <w:t xml:space="preserve">. a) Fmoc strategy. B) </w:t>
      </w:r>
      <w:proofErr w:type="spellStart"/>
      <w:r w:rsidRPr="00642E7E">
        <w:rPr>
          <w:rStyle w:val="GraphicCaptionChar"/>
        </w:rPr>
        <w:t>Cbz</w:t>
      </w:r>
      <w:proofErr w:type="spellEnd"/>
      <w:r w:rsidRPr="00642E7E">
        <w:rPr>
          <w:rStyle w:val="GraphicCaptionChar"/>
        </w:rPr>
        <w:t xml:space="preserve"> strategy.</w:t>
      </w:r>
    </w:p>
    <w:p w14:paraId="0038AF0C" w14:textId="4F7EA924" w:rsidR="002C212D" w:rsidRPr="00642E7E" w:rsidRDefault="002C212D" w:rsidP="002C212D">
      <w:pPr>
        <w:rPr>
          <w:lang w:val="en-US"/>
        </w:rPr>
      </w:pPr>
      <w:r w:rsidRPr="00642E7E">
        <w:rPr>
          <w:lang w:val="en-US"/>
        </w:rPr>
        <w:t xml:space="preserve">Attention then turned to the second SuRE reaction. Initially, we focused on using the same </w:t>
      </w:r>
      <w:proofErr w:type="spellStart"/>
      <w:r w:rsidRPr="00642E7E">
        <w:rPr>
          <w:lang w:val="en-US"/>
        </w:rPr>
        <w:t>Cbz</w:t>
      </w:r>
      <w:proofErr w:type="spellEnd"/>
      <w:r w:rsidRPr="00642E7E">
        <w:rPr>
          <w:lang w:val="en-US"/>
        </w:rPr>
        <w:t xml:space="preserve"> protecting group strategy as above. However, attempts to perform the N-acylation of lactam </w:t>
      </w:r>
      <w:r w:rsidRPr="00642E7E">
        <w:rPr>
          <w:b/>
          <w:bCs/>
          <w:lang w:val="en-US"/>
        </w:rPr>
        <w:t>21</w:t>
      </w:r>
      <w:r w:rsidRPr="00642E7E">
        <w:rPr>
          <w:lang w:val="en-US"/>
        </w:rPr>
        <w:t xml:space="preserve"> with acid chloride </w:t>
      </w:r>
      <w:r w:rsidRPr="00642E7E">
        <w:rPr>
          <w:b/>
          <w:bCs/>
          <w:lang w:val="en-US"/>
        </w:rPr>
        <w:t>18</w:t>
      </w:r>
      <w:r w:rsidRPr="00642E7E">
        <w:rPr>
          <w:lang w:val="en-US"/>
        </w:rPr>
        <w:t xml:space="preserve"> failed, with unreacted </w:t>
      </w:r>
      <w:r w:rsidRPr="00642E7E">
        <w:rPr>
          <w:b/>
          <w:bCs/>
          <w:lang w:val="en-US"/>
        </w:rPr>
        <w:t>2</w:t>
      </w:r>
      <w:r w:rsidRPr="00642E7E">
        <w:rPr>
          <w:lang w:val="en-US"/>
        </w:rPr>
        <w:t xml:space="preserve">1 the major component of the reaction mixture under all the conditions tested (see ESI for details). It is clear that lactam </w:t>
      </w:r>
      <w:r w:rsidRPr="00642E7E">
        <w:rPr>
          <w:b/>
          <w:bCs/>
          <w:lang w:val="en-US"/>
        </w:rPr>
        <w:t>21</w:t>
      </w:r>
      <w:r w:rsidRPr="00642E7E">
        <w:rPr>
          <w:lang w:val="en-US"/>
        </w:rPr>
        <w:t xml:space="preserve"> undergoes </w:t>
      </w:r>
      <w:r w:rsidRPr="00642E7E">
        <w:rPr>
          <w:i/>
          <w:iCs/>
          <w:lang w:val="en-US"/>
        </w:rPr>
        <w:t>N</w:t>
      </w:r>
      <w:r w:rsidRPr="00642E7E">
        <w:rPr>
          <w:lang w:val="en-US"/>
        </w:rPr>
        <w:t xml:space="preserve">-acylation less readily than lactam </w:t>
      </w:r>
      <w:r w:rsidRPr="00642E7E">
        <w:rPr>
          <w:b/>
          <w:bCs/>
          <w:lang w:val="en-US"/>
        </w:rPr>
        <w:t>8</w:t>
      </w:r>
      <w:r w:rsidRPr="00642E7E">
        <w:rPr>
          <w:lang w:val="en-US"/>
        </w:rPr>
        <w:t xml:space="preserve">, and in previous work we have found </w:t>
      </w:r>
      <w:proofErr w:type="spellStart"/>
      <w:r w:rsidRPr="00642E7E">
        <w:rPr>
          <w:lang w:val="en-US"/>
        </w:rPr>
        <w:t>Cbz</w:t>
      </w:r>
      <w:proofErr w:type="spellEnd"/>
      <w:r w:rsidRPr="00642E7E">
        <w:rPr>
          <w:lang w:val="en-US"/>
        </w:rPr>
        <w:t xml:space="preserve">-protected amino acid chlorides to be less stable than the analogous Fmoc derivatives. As a result, they tend to perform poorly in cases where the </w:t>
      </w:r>
      <w:r w:rsidRPr="00642E7E">
        <w:rPr>
          <w:i/>
          <w:iCs/>
          <w:lang w:val="en-US"/>
        </w:rPr>
        <w:t>N</w:t>
      </w:r>
      <w:r w:rsidRPr="00642E7E">
        <w:rPr>
          <w:lang w:val="en-US"/>
        </w:rPr>
        <w:t xml:space="preserve">-acylation step is slow. Therefore, we reverted to the Fmoc protecting group strategy. </w:t>
      </w:r>
      <w:r w:rsidRPr="00642E7E">
        <w:rPr>
          <w:lang w:val="en-US"/>
        </w:rPr>
        <w:lastRenderedPageBreak/>
        <w:t xml:space="preserve">Using this method, </w:t>
      </w:r>
      <w:r w:rsidRPr="00642E7E">
        <w:rPr>
          <w:i/>
          <w:iCs/>
          <w:lang w:val="en-US"/>
        </w:rPr>
        <w:t>N</w:t>
      </w:r>
      <w:r w:rsidRPr="00642E7E">
        <w:rPr>
          <w:lang w:val="en-US"/>
        </w:rPr>
        <w:t xml:space="preserve">-acylation of </w:t>
      </w:r>
      <w:r w:rsidRPr="00642E7E">
        <w:rPr>
          <w:b/>
          <w:bCs/>
          <w:lang w:val="en-US"/>
        </w:rPr>
        <w:t>21</w:t>
      </w:r>
      <w:r w:rsidRPr="00642E7E">
        <w:rPr>
          <w:lang w:val="en-US"/>
        </w:rPr>
        <w:t xml:space="preserve"> using the more stable Fmoc-protected </w:t>
      </w:r>
      <w:r w:rsidR="005678D7" w:rsidRPr="00642E7E">
        <w:rPr>
          <w:lang w:val="en-US"/>
        </w:rPr>
        <w:t xml:space="preserve">amino </w:t>
      </w:r>
      <w:r w:rsidRPr="00642E7E">
        <w:rPr>
          <w:lang w:val="en-US"/>
        </w:rPr>
        <w:t xml:space="preserve">acid chloride </w:t>
      </w:r>
      <w:r w:rsidRPr="00642E7E">
        <w:rPr>
          <w:b/>
          <w:bCs/>
          <w:lang w:val="en-US"/>
        </w:rPr>
        <w:t>22</w:t>
      </w:r>
      <w:r w:rsidRPr="00642E7E">
        <w:rPr>
          <w:lang w:val="en-US"/>
        </w:rPr>
        <w:t xml:space="preserve"> proceeded well </w:t>
      </w:r>
      <w:bookmarkStart w:id="2" w:name="_Hlk112066298"/>
      <w:r w:rsidR="001E6904" w:rsidRPr="00642E7E">
        <w:rPr>
          <w:lang w:val="en-US"/>
        </w:rPr>
        <w:t xml:space="preserve">(based on full consumption of </w:t>
      </w:r>
      <w:r w:rsidR="001E6904" w:rsidRPr="00642E7E">
        <w:rPr>
          <w:b/>
          <w:bCs/>
          <w:lang w:val="en-US"/>
        </w:rPr>
        <w:t xml:space="preserve">21 </w:t>
      </w:r>
      <w:r w:rsidR="001E6904" w:rsidRPr="00642E7E">
        <w:rPr>
          <w:lang w:val="en-US"/>
        </w:rPr>
        <w:t xml:space="preserve">by </w:t>
      </w:r>
      <w:proofErr w:type="spellStart"/>
      <w:r w:rsidR="001E6904" w:rsidRPr="00642E7E">
        <w:rPr>
          <w:lang w:val="en-US"/>
        </w:rPr>
        <w:t>tlc</w:t>
      </w:r>
      <w:proofErr w:type="spellEnd"/>
      <w:r w:rsidR="001E6904" w:rsidRPr="00642E7E">
        <w:rPr>
          <w:lang w:val="en-US"/>
        </w:rPr>
        <w:t xml:space="preserve"> analysis) </w:t>
      </w:r>
      <w:r w:rsidRPr="00642E7E">
        <w:rPr>
          <w:lang w:val="en-US"/>
        </w:rPr>
        <w:t xml:space="preserve">to form imide </w:t>
      </w:r>
      <w:r w:rsidRPr="00642E7E">
        <w:rPr>
          <w:b/>
          <w:bCs/>
          <w:lang w:val="en-US"/>
        </w:rPr>
        <w:t>23</w:t>
      </w:r>
      <w:r w:rsidRPr="00642E7E">
        <w:rPr>
          <w:lang w:val="en-US"/>
        </w:rPr>
        <w:t xml:space="preserve">. </w:t>
      </w:r>
      <w:r w:rsidR="001E6904" w:rsidRPr="00642E7E">
        <w:rPr>
          <w:lang w:val="en-US"/>
        </w:rPr>
        <w:t xml:space="preserve">Imide </w:t>
      </w:r>
      <w:r w:rsidR="001E6904" w:rsidRPr="00642E7E">
        <w:rPr>
          <w:b/>
          <w:bCs/>
          <w:lang w:val="en-US"/>
        </w:rPr>
        <w:t xml:space="preserve">23 </w:t>
      </w:r>
      <w:r w:rsidR="001E6904" w:rsidRPr="00642E7E">
        <w:rPr>
          <w:lang w:val="en-US"/>
        </w:rPr>
        <w:t xml:space="preserve">was then taken directly onto </w:t>
      </w:r>
      <w:r w:rsidR="00490434" w:rsidRPr="00642E7E">
        <w:rPr>
          <w:lang w:val="en-US"/>
        </w:rPr>
        <w:t>the ring</w:t>
      </w:r>
      <w:r w:rsidR="001E6904" w:rsidRPr="00642E7E">
        <w:rPr>
          <w:lang w:val="en-US"/>
        </w:rPr>
        <w:t xml:space="preserve"> expansion step</w:t>
      </w:r>
      <w:r w:rsidR="00385206" w:rsidRPr="00642E7E">
        <w:rPr>
          <w:lang w:val="en-US"/>
        </w:rPr>
        <w:t xml:space="preserve">; thus, </w:t>
      </w:r>
      <w:bookmarkEnd w:id="2"/>
      <w:r w:rsidR="00385206" w:rsidRPr="00642E7E">
        <w:rPr>
          <w:lang w:val="en-US"/>
        </w:rPr>
        <w:t>f</w:t>
      </w:r>
      <w:r w:rsidRPr="00642E7E">
        <w:rPr>
          <w:lang w:val="en-US"/>
        </w:rPr>
        <w:t xml:space="preserve">ollowing treatment with piperidine in THF, this promoted Fmoc cleavage and subsequent ring expansion to form of 15-membered macrocycle </w:t>
      </w:r>
      <w:r w:rsidRPr="00642E7E">
        <w:rPr>
          <w:b/>
          <w:bCs/>
          <w:lang w:val="en-US"/>
        </w:rPr>
        <w:t>25</w:t>
      </w:r>
      <w:r w:rsidRPr="00642E7E">
        <w:rPr>
          <w:lang w:val="en-US"/>
        </w:rPr>
        <w:t xml:space="preserve"> in 30% overall yield from </w:t>
      </w:r>
      <w:r w:rsidRPr="00642E7E">
        <w:rPr>
          <w:b/>
          <w:bCs/>
          <w:lang w:val="en-US"/>
        </w:rPr>
        <w:t>21</w:t>
      </w:r>
      <w:r w:rsidRPr="00642E7E">
        <w:rPr>
          <w:lang w:val="en-US"/>
        </w:rPr>
        <w:t xml:space="preserve">. The problems associated with unwanted intermolecular side reactions observed in the first SuRE reaction were less pronounced in this case, although notably they were still not wholly avoided, with 12-membered lactam </w:t>
      </w:r>
      <w:r w:rsidRPr="00642E7E">
        <w:rPr>
          <w:b/>
          <w:bCs/>
          <w:lang w:val="en-US"/>
        </w:rPr>
        <w:t>21</w:t>
      </w:r>
      <w:r w:rsidRPr="00642E7E">
        <w:rPr>
          <w:lang w:val="en-US"/>
        </w:rPr>
        <w:t xml:space="preserve"> being recovered in 24% yield</w:t>
      </w:r>
      <w:r w:rsidR="005678D7" w:rsidRPr="00642E7E">
        <w:rPr>
          <w:lang w:val="en-US"/>
        </w:rPr>
        <w:t>.</w:t>
      </w:r>
      <w:r w:rsidRPr="00642E7E">
        <w:rPr>
          <w:lang w:val="en-US"/>
        </w:rPr>
        <w:t xml:space="preserve"> </w:t>
      </w:r>
      <w:r w:rsidR="005678D7" w:rsidRPr="00642E7E">
        <w:rPr>
          <w:lang w:val="en-US"/>
        </w:rPr>
        <w:t>N</w:t>
      </w:r>
      <w:r w:rsidR="0056037E" w:rsidRPr="00642E7E">
        <w:rPr>
          <w:lang w:val="en-US"/>
        </w:rPr>
        <w:t xml:space="preserve">otably, </w:t>
      </w:r>
      <w:r w:rsidRPr="00642E7E">
        <w:rPr>
          <w:b/>
          <w:bCs/>
          <w:lang w:val="en-US"/>
        </w:rPr>
        <w:t>21</w:t>
      </w:r>
      <w:r w:rsidRPr="00642E7E">
        <w:rPr>
          <w:lang w:val="en-US"/>
        </w:rPr>
        <w:t xml:space="preserve"> was not present after the </w:t>
      </w:r>
      <w:r w:rsidRPr="00642E7E">
        <w:rPr>
          <w:i/>
          <w:iCs/>
          <w:lang w:val="en-US"/>
        </w:rPr>
        <w:t>N</w:t>
      </w:r>
      <w:r w:rsidRPr="00642E7E">
        <w:rPr>
          <w:lang w:val="en-US"/>
        </w:rPr>
        <w:t xml:space="preserve">-acylation step and is </w:t>
      </w:r>
      <w:r w:rsidR="0056037E" w:rsidRPr="00642E7E">
        <w:rPr>
          <w:lang w:val="en-US"/>
        </w:rPr>
        <w:t xml:space="preserve">therefore </w:t>
      </w:r>
      <w:r w:rsidRPr="00642E7E">
        <w:rPr>
          <w:lang w:val="en-US"/>
        </w:rPr>
        <w:t xml:space="preserve">believed to result </w:t>
      </w:r>
      <w:r w:rsidR="005678D7" w:rsidRPr="00642E7E">
        <w:rPr>
          <w:lang w:val="en-US"/>
        </w:rPr>
        <w:t>from</w:t>
      </w:r>
      <w:r w:rsidRPr="00642E7E">
        <w:rPr>
          <w:lang w:val="en-US"/>
        </w:rPr>
        <w:t xml:space="preserve"> cleavage of the exocyclic imide C–N bond</w:t>
      </w:r>
      <w:r w:rsidR="005678D7" w:rsidRPr="00642E7E">
        <w:rPr>
          <w:lang w:val="en-US"/>
        </w:rPr>
        <w:t>, likely</w:t>
      </w:r>
      <w:r w:rsidRPr="00642E7E">
        <w:rPr>
          <w:lang w:val="en-US"/>
        </w:rPr>
        <w:t xml:space="preserve"> following nucleophilic attack </w:t>
      </w:r>
      <w:r w:rsidR="005678D7" w:rsidRPr="00642E7E">
        <w:rPr>
          <w:lang w:val="en-US"/>
        </w:rPr>
        <w:t>of the exocyclic imide carbonyl by</w:t>
      </w:r>
      <w:r w:rsidRPr="00642E7E">
        <w:rPr>
          <w:lang w:val="en-US"/>
        </w:rPr>
        <w:t xml:space="preserve"> piperidine. Nonetheless, the successful isolation of </w:t>
      </w:r>
      <w:r w:rsidRPr="00642E7E">
        <w:rPr>
          <w:b/>
          <w:bCs/>
          <w:lang w:val="en-US"/>
        </w:rPr>
        <w:t>25</w:t>
      </w:r>
      <w:r w:rsidRPr="00642E7E">
        <w:rPr>
          <w:lang w:val="en-US"/>
        </w:rPr>
        <w:t xml:space="preserve"> meant that the synthesis of the 15-membered solomonamide macrocyclic core had been completed, serving as proof of principle for </w:t>
      </w:r>
      <w:r w:rsidR="0056037E" w:rsidRPr="00642E7E">
        <w:rPr>
          <w:lang w:val="en-US"/>
        </w:rPr>
        <w:t>our</w:t>
      </w:r>
      <w:r w:rsidRPr="00642E7E">
        <w:rPr>
          <w:lang w:val="en-US"/>
        </w:rPr>
        <w:t xml:space="preserve"> consecutive ring expansion strategy.</w:t>
      </w:r>
    </w:p>
    <w:p w14:paraId="19A01C21" w14:textId="757788A5" w:rsidR="002C212D" w:rsidRPr="00642E7E" w:rsidRDefault="00385206" w:rsidP="002C212D">
      <w:pPr>
        <w:pStyle w:val="SchemeImage"/>
      </w:pPr>
      <w:r w:rsidRPr="00642E7E">
        <w:object w:dxaOrig="6941" w:dyaOrig="3972" w14:anchorId="4C5A2F08">
          <v:shape id="_x0000_i1053" type="#_x0000_t75" style="width:231.55pt;height:133.65pt" o:ole="">
            <v:imagedata r:id="rId18" o:title=""/>
          </v:shape>
          <o:OLEObject Type="Embed" ProgID="ChemDraw.Document.6.0" ShapeID="_x0000_i1053" DrawAspect="Content" ObjectID="_1722854180" r:id="rId19"/>
        </w:object>
      </w:r>
    </w:p>
    <w:p w14:paraId="2E63DD61" w14:textId="77777777" w:rsidR="002C212D" w:rsidRPr="00642E7E" w:rsidRDefault="002C212D" w:rsidP="002C212D">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42E7E">
        <w:rPr>
          <w:rFonts w:ascii="Calibri Light" w:hAnsi="Calibri Light"/>
          <w:b/>
          <w:sz w:val="15"/>
        </w:rPr>
        <w:t>Scheme 3</w:t>
      </w:r>
      <w:r w:rsidRPr="00642E7E">
        <w:rPr>
          <w:rFonts w:ascii="Calibri Light" w:hAnsi="Calibri Light"/>
          <w:sz w:val="15"/>
        </w:rPr>
        <w:t xml:space="preserve"> </w:t>
      </w:r>
      <w:r w:rsidRPr="00642E7E">
        <w:rPr>
          <w:rStyle w:val="GraphicCaptionChar"/>
        </w:rPr>
        <w:t xml:space="preserve">SuRE reaction 2: ring expansion of </w:t>
      </w:r>
      <w:r w:rsidRPr="00642E7E">
        <w:rPr>
          <w:rStyle w:val="GraphicCaptionChar"/>
          <w:b/>
          <w:bCs/>
        </w:rPr>
        <w:t>21</w:t>
      </w:r>
      <w:r w:rsidRPr="00642E7E">
        <w:rPr>
          <w:rStyle w:val="GraphicCaptionChar"/>
        </w:rPr>
        <w:t xml:space="preserve"> to form the 15-membered solomonamide macrocyclic core </w:t>
      </w:r>
      <w:r w:rsidRPr="00642E7E">
        <w:rPr>
          <w:rStyle w:val="GraphicCaptionChar"/>
          <w:b/>
          <w:bCs/>
        </w:rPr>
        <w:t>25</w:t>
      </w:r>
      <w:r w:rsidRPr="00642E7E">
        <w:rPr>
          <w:rStyle w:val="GraphicCaptionChar"/>
        </w:rPr>
        <w:t>.</w:t>
      </w:r>
    </w:p>
    <w:p w14:paraId="4830ADB5" w14:textId="53C067FA" w:rsidR="002C212D" w:rsidRPr="00642E7E" w:rsidRDefault="002C212D" w:rsidP="002C212D">
      <w:pPr>
        <w:rPr>
          <w:lang w:val="en-US"/>
        </w:rPr>
      </w:pPr>
      <w:r w:rsidRPr="00642E7E">
        <w:rPr>
          <w:lang w:val="en-US"/>
        </w:rPr>
        <w:t xml:space="preserve">One of the most valuable features of the SuRE method is the ability to vary the linear acid chloride to allow straightforward analogue synthesis. This idea is summarised in Scheme 4. Thus, the SuRE of lactam </w:t>
      </w:r>
      <w:r w:rsidRPr="00642E7E">
        <w:rPr>
          <w:b/>
          <w:bCs/>
          <w:lang w:val="en-US"/>
        </w:rPr>
        <w:t>8</w:t>
      </w:r>
      <w:r w:rsidRPr="00642E7E">
        <w:rPr>
          <w:lang w:val="en-US"/>
        </w:rPr>
        <w:t xml:space="preserve"> was tested using acid chlorides derived from various </w:t>
      </w:r>
      <w:proofErr w:type="spellStart"/>
      <w:r w:rsidRPr="00642E7E">
        <w:rPr>
          <w:lang w:val="en-US"/>
        </w:rPr>
        <w:t>Cbz</w:t>
      </w:r>
      <w:proofErr w:type="spellEnd"/>
      <w:r w:rsidRPr="00642E7E">
        <w:rPr>
          <w:lang w:val="en-US"/>
        </w:rPr>
        <w:t xml:space="preserve">-protected α- and β-amino acids, including a proline-derivative, to form 12–13-membered bis-lactams </w:t>
      </w:r>
      <w:r w:rsidRPr="00642E7E">
        <w:rPr>
          <w:b/>
          <w:bCs/>
          <w:lang w:val="en-US"/>
        </w:rPr>
        <w:t>21</w:t>
      </w:r>
      <w:r w:rsidRPr="00642E7E">
        <w:rPr>
          <w:lang w:val="en-US"/>
        </w:rPr>
        <w:t xml:space="preserve"> and </w:t>
      </w:r>
      <w:r w:rsidRPr="00642E7E">
        <w:rPr>
          <w:b/>
          <w:bCs/>
          <w:lang w:val="en-US"/>
        </w:rPr>
        <w:t>26</w:t>
      </w:r>
      <w:r w:rsidRPr="00642E7E">
        <w:rPr>
          <w:lang w:val="en-US"/>
        </w:rPr>
        <w:t>–</w:t>
      </w:r>
      <w:r w:rsidRPr="00642E7E">
        <w:rPr>
          <w:b/>
          <w:bCs/>
          <w:lang w:val="en-US"/>
        </w:rPr>
        <w:t>28</w:t>
      </w:r>
      <w:r w:rsidRPr="00642E7E">
        <w:rPr>
          <w:lang w:val="en-US"/>
        </w:rPr>
        <w:t xml:space="preserve"> (SuRE method A). The same starting material </w:t>
      </w:r>
      <w:r w:rsidRPr="00642E7E">
        <w:rPr>
          <w:b/>
          <w:bCs/>
          <w:lang w:val="en-US"/>
        </w:rPr>
        <w:t>8</w:t>
      </w:r>
      <w:r w:rsidRPr="00642E7E">
        <w:rPr>
          <w:lang w:val="en-US"/>
        </w:rPr>
        <w:t xml:space="preserve"> could also be converted into macrocyclic lactone products </w:t>
      </w:r>
      <w:r w:rsidRPr="00642E7E">
        <w:rPr>
          <w:b/>
          <w:bCs/>
          <w:lang w:val="en-US"/>
        </w:rPr>
        <w:t>29</w:t>
      </w:r>
      <w:r w:rsidRPr="00642E7E">
        <w:rPr>
          <w:lang w:val="en-US"/>
        </w:rPr>
        <w:t xml:space="preserve"> and </w:t>
      </w:r>
      <w:r w:rsidRPr="00642E7E">
        <w:rPr>
          <w:b/>
          <w:bCs/>
          <w:lang w:val="en-US"/>
        </w:rPr>
        <w:t>30</w:t>
      </w:r>
      <w:r w:rsidRPr="00642E7E">
        <w:rPr>
          <w:lang w:val="en-US"/>
        </w:rPr>
        <w:t>, by acylating with an O-benzyl functionalised acid chloride. In these cases, hydrogenolysis was used to cleave the benzyl protecting group to reveal an alcohol, and following stirring in chloroform with triethylamine at RT, ring expansion t</w:t>
      </w:r>
      <w:r w:rsidR="00385206" w:rsidRPr="00642E7E">
        <w:rPr>
          <w:lang w:val="en-US"/>
        </w:rPr>
        <w:t>ook</w:t>
      </w:r>
      <w:r w:rsidRPr="00642E7E">
        <w:rPr>
          <w:lang w:val="en-US"/>
        </w:rPr>
        <w:t xml:space="preserve"> place in the same manner as for the analogous amines (SuRE method C).</w:t>
      </w:r>
      <w:r w:rsidRPr="00642E7E">
        <w:rPr>
          <w:vertAlign w:val="superscript"/>
          <w:lang w:val="en-US"/>
        </w:rPr>
        <w:t>1</w:t>
      </w:r>
      <w:r w:rsidR="001F5A5B" w:rsidRPr="00642E7E">
        <w:rPr>
          <w:vertAlign w:val="superscript"/>
          <w:lang w:val="en-US"/>
        </w:rPr>
        <w:t>4</w:t>
      </w:r>
      <w:r w:rsidRPr="00642E7E">
        <w:rPr>
          <w:vertAlign w:val="superscript"/>
          <w:lang w:val="en-US"/>
        </w:rPr>
        <w:t xml:space="preserve">d </w:t>
      </w:r>
    </w:p>
    <w:p w14:paraId="1EF06016" w14:textId="2BCBCE11" w:rsidR="00E7436F" w:rsidRPr="00642E7E" w:rsidRDefault="002C212D" w:rsidP="002C212D">
      <w:pPr>
        <w:rPr>
          <w:lang w:val="en-US"/>
        </w:rPr>
      </w:pPr>
      <w:r w:rsidRPr="00642E7E">
        <w:rPr>
          <w:lang w:val="en-US"/>
        </w:rPr>
        <w:t xml:space="preserve">All products formed via SuRE are potentially viable starting materials for a second SuRE reaction. This is highlighted by the synthesis of 15–17-membered ring solomonamide analogues </w:t>
      </w:r>
      <w:r w:rsidRPr="00642E7E">
        <w:rPr>
          <w:b/>
          <w:bCs/>
          <w:lang w:val="en-US"/>
        </w:rPr>
        <w:t>25</w:t>
      </w:r>
      <w:r w:rsidRPr="00642E7E">
        <w:rPr>
          <w:lang w:val="en-US"/>
        </w:rPr>
        <w:t xml:space="preserve"> and </w:t>
      </w:r>
      <w:r w:rsidRPr="00642E7E">
        <w:rPr>
          <w:b/>
          <w:bCs/>
          <w:lang w:val="en-US"/>
        </w:rPr>
        <w:t>31</w:t>
      </w:r>
      <w:r w:rsidRPr="00642E7E">
        <w:rPr>
          <w:lang w:val="en-US"/>
        </w:rPr>
        <w:t>–</w:t>
      </w:r>
      <w:r w:rsidRPr="00642E7E">
        <w:rPr>
          <w:b/>
          <w:bCs/>
          <w:lang w:val="en-US"/>
        </w:rPr>
        <w:t>3</w:t>
      </w:r>
      <w:r w:rsidR="00490434" w:rsidRPr="00642E7E">
        <w:rPr>
          <w:b/>
          <w:bCs/>
          <w:lang w:val="en-US"/>
        </w:rPr>
        <w:t>5</w:t>
      </w:r>
      <w:r w:rsidRPr="00642E7E">
        <w:rPr>
          <w:lang w:val="en-US"/>
        </w:rPr>
        <w:t xml:space="preserve"> (Scheme 4; in these examples, the linear fragment inserted by the first SuRE reaction is highlighted in red, and the second SuRE reaction in blue). For the insertion of amino acid derivatives, the Fmoc protecting group strategy was used (SuRE method B), with both α- and β-amino acids again being compatible (</w:t>
      </w:r>
      <w:r w:rsidRPr="00642E7E">
        <w:rPr>
          <w:b/>
          <w:bCs/>
          <w:lang w:val="en-US"/>
        </w:rPr>
        <w:t>25</w:t>
      </w:r>
      <w:r w:rsidRPr="00642E7E">
        <w:rPr>
          <w:lang w:val="en-US"/>
        </w:rPr>
        <w:t xml:space="preserve">, </w:t>
      </w:r>
      <w:r w:rsidRPr="00642E7E">
        <w:rPr>
          <w:b/>
          <w:bCs/>
          <w:lang w:val="en-US"/>
        </w:rPr>
        <w:t>31</w:t>
      </w:r>
      <w:r w:rsidRPr="00642E7E">
        <w:rPr>
          <w:lang w:val="en-US"/>
        </w:rPr>
        <w:t>–</w:t>
      </w:r>
      <w:r w:rsidRPr="00642E7E">
        <w:rPr>
          <w:b/>
          <w:bCs/>
          <w:lang w:val="en-US"/>
        </w:rPr>
        <w:t>34</w:t>
      </w:r>
      <w:r w:rsidRPr="00642E7E">
        <w:rPr>
          <w:lang w:val="en-US"/>
        </w:rPr>
        <w:t>).</w:t>
      </w:r>
      <w:r w:rsidR="00F20D20" w:rsidRPr="00642E7E">
        <w:rPr>
          <w:vertAlign w:val="superscript"/>
          <w:lang w:val="en-US"/>
        </w:rPr>
        <w:t>18</w:t>
      </w:r>
      <w:r w:rsidRPr="00642E7E">
        <w:rPr>
          <w:lang w:val="en-US"/>
        </w:rPr>
        <w:t xml:space="preserve"> The lactone forming ring expansion (SuRE method C) was also successfully used in the synthesis of 16-membered bis-lactone macrocycle </w:t>
      </w:r>
      <w:r w:rsidRPr="00642E7E">
        <w:rPr>
          <w:b/>
          <w:bCs/>
          <w:lang w:val="en-US"/>
        </w:rPr>
        <w:t>35</w:t>
      </w:r>
      <w:r w:rsidRPr="00642E7E">
        <w:rPr>
          <w:lang w:val="en-US"/>
        </w:rPr>
        <w:t xml:space="preserve">. In the lower yielding cases, </w:t>
      </w:r>
      <w:r w:rsidR="005678D7" w:rsidRPr="00642E7E">
        <w:rPr>
          <w:lang w:val="en-US"/>
        </w:rPr>
        <w:t>most</w:t>
      </w:r>
      <w:r w:rsidRPr="00642E7E">
        <w:rPr>
          <w:lang w:val="en-US"/>
        </w:rPr>
        <w:t xml:space="preserve"> of the mass balance is accounted for by side reactions of the types described in Scheme 2 and 3. Notably, all 12 of the novel macrocyclic products in Scheme 4 were isolated cleanly following column chromatography, and the quoted yields relate to the overall SuRE process of </w:t>
      </w:r>
      <w:r w:rsidRPr="00642E7E">
        <w:rPr>
          <w:i/>
          <w:iCs/>
          <w:lang w:val="en-US"/>
        </w:rPr>
        <w:t>N</w:t>
      </w:r>
      <w:r w:rsidRPr="00642E7E">
        <w:rPr>
          <w:lang w:val="en-US"/>
        </w:rPr>
        <w:t>-acylation, protecting group cleavage and ring expansion.</w:t>
      </w:r>
    </w:p>
    <w:p w14:paraId="028B03DE" w14:textId="77777777" w:rsidR="002C212D" w:rsidRPr="00642E7E" w:rsidRDefault="002C212D" w:rsidP="008858A3">
      <w:pPr>
        <w:rPr>
          <w:rFonts w:asciiTheme="majorHAnsi" w:hAnsiTheme="majorHAnsi"/>
          <w:b/>
        </w:rPr>
      </w:pPr>
    </w:p>
    <w:p w14:paraId="432B4247" w14:textId="05C21ACE" w:rsidR="00385206" w:rsidRPr="00642E7E" w:rsidRDefault="00385206" w:rsidP="008858A3">
      <w:pPr>
        <w:rPr>
          <w:rFonts w:asciiTheme="majorHAnsi" w:hAnsiTheme="majorHAnsi"/>
          <w:b/>
        </w:rPr>
        <w:sectPr w:rsidR="00385206" w:rsidRPr="00642E7E" w:rsidSect="00727376">
          <w:type w:val="continuous"/>
          <w:pgSz w:w="11906" w:h="16838" w:code="9"/>
          <w:pgMar w:top="1418" w:right="992" w:bottom="1134" w:left="992" w:header="709" w:footer="709" w:gutter="0"/>
          <w:cols w:num="2" w:space="720"/>
          <w:docGrid w:linePitch="360"/>
        </w:sectPr>
      </w:pPr>
    </w:p>
    <w:p w14:paraId="6D9A77EE" w14:textId="4A6040EA" w:rsidR="002C212D" w:rsidRPr="00642E7E" w:rsidRDefault="002C212D" w:rsidP="00EB655E">
      <w:pPr>
        <w:pStyle w:val="SchemeImage"/>
      </w:pPr>
      <w:r w:rsidRPr="00642E7E">
        <w:object w:dxaOrig="14582" w:dyaOrig="6544" w14:anchorId="7DD28A6F">
          <v:shape id="_x0000_i1054" type="#_x0000_t75" style="width:489pt;height:220.05pt" o:ole="">
            <v:imagedata r:id="rId20" o:title=""/>
          </v:shape>
          <o:OLEObject Type="Embed" ProgID="ChemDraw.Document.6.0" ShapeID="_x0000_i1054" DrawAspect="Content" ObjectID="_1722854181" r:id="rId21"/>
        </w:object>
      </w:r>
    </w:p>
    <w:p w14:paraId="7ED13A0E" w14:textId="77777777" w:rsidR="002C212D" w:rsidRPr="00642E7E" w:rsidRDefault="002C212D" w:rsidP="007D57A1">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42E7E">
        <w:rPr>
          <w:rFonts w:ascii="Calibri Light" w:hAnsi="Calibri Light"/>
          <w:b/>
          <w:sz w:val="15"/>
        </w:rPr>
        <w:t>Scheme 4</w:t>
      </w:r>
      <w:r w:rsidRPr="00642E7E">
        <w:rPr>
          <w:rFonts w:ascii="Calibri Light" w:hAnsi="Calibri Light"/>
          <w:sz w:val="15"/>
        </w:rPr>
        <w:t xml:space="preserve"> </w:t>
      </w:r>
      <w:r w:rsidRPr="00642E7E">
        <w:rPr>
          <w:rStyle w:val="GraphicCaptionChar"/>
        </w:rPr>
        <w:t xml:space="preserve">A consecutive ring expansion approach for the synthesis of the macrocyclic core of the solomonamide natural products and analogues. </w:t>
      </w:r>
      <w:r w:rsidRPr="00642E7E">
        <w:rPr>
          <w:rStyle w:val="GraphicCaptionChar"/>
          <w:vertAlign w:val="superscript"/>
        </w:rPr>
        <w:t>[a]</w:t>
      </w:r>
      <w:r w:rsidRPr="00642E7E">
        <w:rPr>
          <w:rStyle w:val="GraphicCaptionChar"/>
        </w:rPr>
        <w:t xml:space="preserve"> SuRE method A: </w:t>
      </w:r>
      <w:proofErr w:type="spellStart"/>
      <w:r w:rsidRPr="00642E7E">
        <w:rPr>
          <w:rStyle w:val="GraphicCaptionChar"/>
        </w:rPr>
        <w:t>i</w:t>
      </w:r>
      <w:proofErr w:type="spellEnd"/>
      <w:r w:rsidRPr="00642E7E">
        <w:rPr>
          <w:rStyle w:val="GraphicCaptionChar"/>
        </w:rPr>
        <w:t>) lactam (1 equiv.), acid chloride (3 equiv.), pyridine (6 equiv.), DMAP (0.1 equiv.), DCM, 50 °C; (ii) H</w:t>
      </w:r>
      <w:r w:rsidRPr="00642E7E">
        <w:rPr>
          <w:rStyle w:val="GraphicCaptionChar"/>
          <w:vertAlign w:val="subscript"/>
        </w:rPr>
        <w:t>2</w:t>
      </w:r>
      <w:r w:rsidRPr="00642E7E">
        <w:rPr>
          <w:rStyle w:val="GraphicCaptionChar"/>
        </w:rPr>
        <w:t xml:space="preserve">, Pd/C, MeOH, RT. SuRE method B: </w:t>
      </w:r>
      <w:proofErr w:type="spellStart"/>
      <w:r w:rsidRPr="00642E7E">
        <w:rPr>
          <w:rStyle w:val="GraphicCaptionChar"/>
        </w:rPr>
        <w:t>i</w:t>
      </w:r>
      <w:proofErr w:type="spellEnd"/>
      <w:r w:rsidRPr="00642E7E">
        <w:rPr>
          <w:rStyle w:val="GraphicCaptionChar"/>
        </w:rPr>
        <w:t xml:space="preserve">) lactam (1 equiv.), acid chloride (3 equiv.), pyridine (6 equiv.), DMAP (0.1 equiv.), DCM (0.1 M), 50 °C; (ii) Piperidine in THF, RT. SuRE method C: </w:t>
      </w:r>
      <w:proofErr w:type="spellStart"/>
      <w:r w:rsidRPr="00642E7E">
        <w:rPr>
          <w:rStyle w:val="GraphicCaptionChar"/>
        </w:rPr>
        <w:t>i</w:t>
      </w:r>
      <w:proofErr w:type="spellEnd"/>
      <w:r w:rsidRPr="00642E7E">
        <w:rPr>
          <w:rStyle w:val="GraphicCaptionChar"/>
        </w:rPr>
        <w:t>) lactam (1 equiv.), acid chloride (3 equiv.), pyridine (6 equiv.), DMAP (0.1 equiv.), DCM, 50 °C; (ii) H</w:t>
      </w:r>
      <w:r w:rsidRPr="00642E7E">
        <w:rPr>
          <w:rStyle w:val="GraphicCaptionChar"/>
          <w:vertAlign w:val="subscript"/>
        </w:rPr>
        <w:t>2</w:t>
      </w:r>
      <w:r w:rsidRPr="00642E7E">
        <w:rPr>
          <w:rStyle w:val="GraphicCaptionChar"/>
        </w:rPr>
        <w:t>, Pd(OH)</w:t>
      </w:r>
      <w:r w:rsidRPr="00642E7E">
        <w:rPr>
          <w:rStyle w:val="GraphicCaptionChar"/>
          <w:vertAlign w:val="subscript"/>
        </w:rPr>
        <w:t>2</w:t>
      </w:r>
      <w:r w:rsidRPr="00642E7E">
        <w:rPr>
          <w:rStyle w:val="GraphicCaptionChar"/>
        </w:rPr>
        <w:t xml:space="preserve">/C or Pd/C, </w:t>
      </w:r>
      <w:proofErr w:type="spellStart"/>
      <w:r w:rsidRPr="00642E7E">
        <w:rPr>
          <w:rStyle w:val="GraphicCaptionChar"/>
        </w:rPr>
        <w:t>EtOAc</w:t>
      </w:r>
      <w:proofErr w:type="spellEnd"/>
      <w:r w:rsidRPr="00642E7E">
        <w:rPr>
          <w:rStyle w:val="GraphicCaptionChar"/>
        </w:rPr>
        <w:t>, RT; (iii) NEt</w:t>
      </w:r>
      <w:r w:rsidRPr="00642E7E">
        <w:rPr>
          <w:rStyle w:val="GraphicCaptionChar"/>
          <w:vertAlign w:val="subscript"/>
        </w:rPr>
        <w:t>3</w:t>
      </w:r>
      <w:r w:rsidRPr="00642E7E">
        <w:rPr>
          <w:rStyle w:val="GraphicCaptionChar"/>
        </w:rPr>
        <w:t>, CHCl</w:t>
      </w:r>
      <w:r w:rsidRPr="00642E7E">
        <w:rPr>
          <w:rStyle w:val="GraphicCaptionChar"/>
          <w:vertAlign w:val="subscript"/>
        </w:rPr>
        <w:t>3</w:t>
      </w:r>
      <w:r w:rsidRPr="00642E7E">
        <w:rPr>
          <w:rStyle w:val="GraphicCaptionChar"/>
        </w:rPr>
        <w:t>, RT</w:t>
      </w:r>
    </w:p>
    <w:p w14:paraId="1366BCC9" w14:textId="0F605CB5" w:rsidR="001C2352" w:rsidRPr="00642E7E" w:rsidRDefault="001C2352" w:rsidP="007D57A1">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Fonts w:ascii="Calibri Light" w:hAnsi="Calibri Light"/>
          <w:sz w:val="15"/>
        </w:rPr>
        <w:sectPr w:rsidR="001C2352" w:rsidRPr="00642E7E" w:rsidSect="002568A0">
          <w:type w:val="continuous"/>
          <w:pgSz w:w="11906" w:h="16838" w:code="9"/>
          <w:pgMar w:top="1418" w:right="992" w:bottom="1134" w:left="992" w:header="709" w:footer="709" w:gutter="0"/>
          <w:cols w:space="720"/>
          <w:docGrid w:linePitch="360"/>
        </w:sectPr>
      </w:pPr>
    </w:p>
    <w:p w14:paraId="5A278EE5" w14:textId="4657080B" w:rsidR="009331F0" w:rsidRPr="00642E7E" w:rsidRDefault="002C212D" w:rsidP="002C212D">
      <w:pPr>
        <w:rPr>
          <w:lang w:val="en-US"/>
        </w:rPr>
      </w:pPr>
      <w:r w:rsidRPr="00642E7E">
        <w:rPr>
          <w:lang w:val="en-US"/>
        </w:rPr>
        <w:t xml:space="preserve">In summary, a new synthetic strategy </w:t>
      </w:r>
      <w:r w:rsidR="00186C42" w:rsidRPr="00642E7E">
        <w:rPr>
          <w:lang w:val="en-US"/>
        </w:rPr>
        <w:t>towards</w:t>
      </w:r>
      <w:r w:rsidRPr="00642E7E">
        <w:rPr>
          <w:lang w:val="en-US"/>
        </w:rPr>
        <w:t xml:space="preserve"> the solomonamide natural products has been </w:t>
      </w:r>
      <w:r w:rsidR="0056037E" w:rsidRPr="00642E7E">
        <w:rPr>
          <w:lang w:val="en-US"/>
        </w:rPr>
        <w:t>established</w:t>
      </w:r>
      <w:r w:rsidRPr="00642E7E">
        <w:rPr>
          <w:lang w:val="en-US"/>
        </w:rPr>
        <w:t xml:space="preserve">, based on the use of three </w:t>
      </w:r>
      <w:r w:rsidRPr="00642E7E">
        <w:rPr>
          <w:lang w:val="en-US"/>
        </w:rPr>
        <w:t>consecutive ring expansion reactions.</w:t>
      </w:r>
      <w:r w:rsidR="001C2352" w:rsidRPr="00642E7E">
        <w:rPr>
          <w:vertAlign w:val="superscript"/>
          <w:lang w:val="en-US"/>
        </w:rPr>
        <w:t>1</w:t>
      </w:r>
      <w:r w:rsidR="00F20D20" w:rsidRPr="00642E7E">
        <w:rPr>
          <w:vertAlign w:val="superscript"/>
          <w:lang w:val="en-US"/>
        </w:rPr>
        <w:t>9</w:t>
      </w:r>
      <w:r w:rsidR="001C2352" w:rsidRPr="00642E7E">
        <w:rPr>
          <w:lang w:val="en-US"/>
        </w:rPr>
        <w:t xml:space="preserve"> </w:t>
      </w:r>
      <w:r w:rsidRPr="00642E7E">
        <w:rPr>
          <w:lang w:val="en-US"/>
        </w:rPr>
        <w:t xml:space="preserve">Compared with previously published syntheses, advantages of this new approach </w:t>
      </w:r>
      <w:r w:rsidRPr="00642E7E">
        <w:rPr>
          <w:lang w:val="en-US"/>
        </w:rPr>
        <w:lastRenderedPageBreak/>
        <w:t>are that it does not require high dilution conditions as end-to-end macrocyclisation is avoide</w:t>
      </w:r>
      <w:r w:rsidR="0056037E" w:rsidRPr="00642E7E">
        <w:rPr>
          <w:lang w:val="en-US"/>
        </w:rPr>
        <w:t>d,</w:t>
      </w:r>
      <w:r w:rsidRPr="00642E7E">
        <w:rPr>
          <w:lang w:val="en-US"/>
        </w:rPr>
        <w:t xml:space="preserve"> and its divergent nature</w:t>
      </w:r>
      <w:r w:rsidR="0056037E" w:rsidRPr="00642E7E">
        <w:rPr>
          <w:lang w:val="en-US"/>
        </w:rPr>
        <w:t>.</w:t>
      </w:r>
      <w:r w:rsidRPr="00642E7E">
        <w:rPr>
          <w:lang w:val="en-US"/>
        </w:rPr>
        <w:t xml:space="preserve"> </w:t>
      </w:r>
      <w:r w:rsidR="0056037E" w:rsidRPr="00642E7E">
        <w:rPr>
          <w:lang w:val="en-US"/>
        </w:rPr>
        <w:t>This</w:t>
      </w:r>
      <w:r w:rsidRPr="00642E7E">
        <w:rPr>
          <w:lang w:val="en-US"/>
        </w:rPr>
        <w:t xml:space="preserve"> is exemplified by the synthesis of a series of substituted macrocyclic derivatives, larger ring homologues and lactone analogues. </w:t>
      </w:r>
    </w:p>
    <w:p w14:paraId="20E5C556" w14:textId="47BF7F39" w:rsidR="002C212D" w:rsidRPr="00642E7E" w:rsidRDefault="001E6BC1" w:rsidP="002C212D">
      <w:pPr>
        <w:rPr>
          <w:vertAlign w:val="superscript"/>
          <w:lang w:val="en-US"/>
        </w:rPr>
      </w:pPr>
      <w:r w:rsidRPr="00642E7E">
        <w:rPr>
          <w:lang w:val="en-US"/>
        </w:rPr>
        <w:t>T</w:t>
      </w:r>
      <w:r w:rsidR="002C212D" w:rsidRPr="00642E7E">
        <w:rPr>
          <w:lang w:val="en-US"/>
        </w:rPr>
        <w:t xml:space="preserve">he isolated yields </w:t>
      </w:r>
      <w:r w:rsidR="0093184C" w:rsidRPr="00642E7E">
        <w:rPr>
          <w:lang w:val="en-US"/>
        </w:rPr>
        <w:t xml:space="preserve">in this study (especially </w:t>
      </w:r>
      <w:r w:rsidR="0056037E" w:rsidRPr="00642E7E">
        <w:rPr>
          <w:lang w:val="en-US"/>
        </w:rPr>
        <w:t>those in</w:t>
      </w:r>
      <w:r w:rsidR="002C212D" w:rsidRPr="00642E7E">
        <w:rPr>
          <w:lang w:val="en-US"/>
        </w:rPr>
        <w:t xml:space="preserve"> the second SuRE reaction</w:t>
      </w:r>
      <w:r w:rsidR="0093184C" w:rsidRPr="00642E7E">
        <w:rPr>
          <w:lang w:val="en-US"/>
        </w:rPr>
        <w:t>) a</w:t>
      </w:r>
      <w:r w:rsidR="002C212D" w:rsidRPr="00642E7E">
        <w:rPr>
          <w:lang w:val="en-US"/>
        </w:rPr>
        <w:t xml:space="preserve">re lower than those typically observed in </w:t>
      </w:r>
      <w:r w:rsidR="005678D7" w:rsidRPr="00642E7E">
        <w:rPr>
          <w:lang w:val="en-US"/>
        </w:rPr>
        <w:t>our</w:t>
      </w:r>
      <w:r w:rsidR="002C212D" w:rsidRPr="00642E7E">
        <w:rPr>
          <w:lang w:val="en-US"/>
        </w:rPr>
        <w:t xml:space="preserve"> group’s published work;</w:t>
      </w:r>
      <w:r w:rsidR="002C212D" w:rsidRPr="00642E7E">
        <w:rPr>
          <w:vertAlign w:val="superscript"/>
          <w:lang w:val="en-US"/>
        </w:rPr>
        <w:t>13</w:t>
      </w:r>
      <w:r w:rsidR="002C212D" w:rsidRPr="00642E7E">
        <w:rPr>
          <w:lang w:val="en-US"/>
        </w:rPr>
        <w:t xml:space="preserve"> this is likely due to the lactam nitrogen being an electron-deficient aniline, which promotes </w:t>
      </w:r>
      <w:r w:rsidR="0056037E" w:rsidRPr="00642E7E">
        <w:rPr>
          <w:lang w:val="en-US"/>
        </w:rPr>
        <w:t xml:space="preserve">the </w:t>
      </w:r>
      <w:r w:rsidR="002C212D" w:rsidRPr="00642E7E">
        <w:rPr>
          <w:lang w:val="en-US"/>
        </w:rPr>
        <w:t>competing side reactions</w:t>
      </w:r>
      <w:r w:rsidR="0056037E" w:rsidRPr="00642E7E">
        <w:rPr>
          <w:lang w:val="en-US"/>
        </w:rPr>
        <w:t xml:space="preserve"> described</w:t>
      </w:r>
      <w:r w:rsidR="002C212D" w:rsidRPr="00642E7E">
        <w:rPr>
          <w:lang w:val="en-US"/>
        </w:rPr>
        <w:t xml:space="preserve">. </w:t>
      </w:r>
      <w:r w:rsidR="009331F0" w:rsidRPr="00642E7E">
        <w:rPr>
          <w:lang w:val="en-US"/>
        </w:rPr>
        <w:t>A</w:t>
      </w:r>
      <w:r w:rsidR="00186C42" w:rsidRPr="00642E7E">
        <w:rPr>
          <w:lang w:val="en-US"/>
        </w:rPr>
        <w:t>dditional challenge</w:t>
      </w:r>
      <w:r w:rsidR="009331F0" w:rsidRPr="00642E7E">
        <w:rPr>
          <w:lang w:val="en-US"/>
        </w:rPr>
        <w:t>s</w:t>
      </w:r>
      <w:r w:rsidR="00186C42" w:rsidRPr="00642E7E">
        <w:rPr>
          <w:lang w:val="en-US"/>
        </w:rPr>
        <w:t xml:space="preserve"> that would need to be overcome </w:t>
      </w:r>
      <w:r w:rsidR="003E7319" w:rsidRPr="00642E7E">
        <w:rPr>
          <w:lang w:val="en-US"/>
        </w:rPr>
        <w:t xml:space="preserve">to complete the </w:t>
      </w:r>
      <w:r w:rsidR="0093184C" w:rsidRPr="00642E7E">
        <w:rPr>
          <w:lang w:val="en-US"/>
        </w:rPr>
        <w:t xml:space="preserve">total </w:t>
      </w:r>
      <w:r w:rsidR="003E7319" w:rsidRPr="00642E7E">
        <w:rPr>
          <w:lang w:val="en-US"/>
        </w:rPr>
        <w:t xml:space="preserve">synthesis </w:t>
      </w:r>
      <w:r w:rsidR="0093184C" w:rsidRPr="00642E7E">
        <w:rPr>
          <w:lang w:val="en-US"/>
        </w:rPr>
        <w:t xml:space="preserve">of </w:t>
      </w:r>
      <w:r w:rsidR="0093184C" w:rsidRPr="00642E7E">
        <w:rPr>
          <w:b/>
          <w:bCs/>
          <w:lang w:val="en-US"/>
        </w:rPr>
        <w:t xml:space="preserve">2a </w:t>
      </w:r>
      <w:r w:rsidR="0093184C" w:rsidRPr="00642E7E">
        <w:rPr>
          <w:lang w:val="en-US"/>
        </w:rPr>
        <w:t xml:space="preserve">and </w:t>
      </w:r>
      <w:r w:rsidR="0093184C" w:rsidRPr="00642E7E">
        <w:rPr>
          <w:b/>
          <w:bCs/>
          <w:lang w:val="en-US"/>
        </w:rPr>
        <w:t>2b</w:t>
      </w:r>
      <w:r w:rsidR="0093184C" w:rsidRPr="00642E7E">
        <w:rPr>
          <w:lang w:val="en-US"/>
        </w:rPr>
        <w:t xml:space="preserve"> </w:t>
      </w:r>
      <w:r w:rsidR="00186C42" w:rsidRPr="00642E7E">
        <w:rPr>
          <w:lang w:val="en-US"/>
        </w:rPr>
        <w:t xml:space="preserve">are </w:t>
      </w:r>
      <w:r w:rsidR="0093184C" w:rsidRPr="00642E7E">
        <w:rPr>
          <w:lang w:val="en-US"/>
        </w:rPr>
        <w:t xml:space="preserve">the </w:t>
      </w:r>
      <w:r w:rsidR="00186C42" w:rsidRPr="00642E7E">
        <w:rPr>
          <w:lang w:val="en-US"/>
        </w:rPr>
        <w:t xml:space="preserve">preparation of </w:t>
      </w:r>
      <w:r w:rsidR="003E7319" w:rsidRPr="00642E7E">
        <w:rPr>
          <w:lang w:val="en-US"/>
        </w:rPr>
        <w:t>more functionalized</w:t>
      </w:r>
      <w:r w:rsidR="0093184C" w:rsidRPr="00642E7E">
        <w:rPr>
          <w:lang w:val="en-US"/>
        </w:rPr>
        <w:t>,</w:t>
      </w:r>
      <w:r w:rsidR="003E7319" w:rsidRPr="00642E7E">
        <w:t xml:space="preserve"> </w:t>
      </w:r>
      <w:r w:rsidR="0093184C" w:rsidRPr="00642E7E">
        <w:t xml:space="preserve">protected </w:t>
      </w:r>
      <w:r w:rsidR="003E7319" w:rsidRPr="00642E7E">
        <w:t>analogue</w:t>
      </w:r>
      <w:r w:rsidR="0093184C" w:rsidRPr="00642E7E">
        <w:t>s</w:t>
      </w:r>
      <w:r w:rsidR="003E7319" w:rsidRPr="00642E7E">
        <w:t xml:space="preserve"> of </w:t>
      </w:r>
      <w:proofErr w:type="spellStart"/>
      <w:r w:rsidR="003E7319" w:rsidRPr="00642E7E">
        <w:rPr>
          <w:lang w:val="en-US"/>
        </w:rPr>
        <w:t>tetrahydrocarbazole</w:t>
      </w:r>
      <w:proofErr w:type="spellEnd"/>
      <w:r w:rsidR="003E7319" w:rsidRPr="00642E7E">
        <w:rPr>
          <w:lang w:val="en-US"/>
        </w:rPr>
        <w:t xml:space="preserve"> </w:t>
      </w:r>
      <w:r w:rsidR="003E7319" w:rsidRPr="00642E7E">
        <w:rPr>
          <w:b/>
          <w:bCs/>
          <w:lang w:val="en-US"/>
        </w:rPr>
        <w:t>7</w:t>
      </w:r>
      <w:r w:rsidR="0093184C" w:rsidRPr="00642E7E">
        <w:rPr>
          <w:lang w:val="en-US"/>
        </w:rPr>
        <w:t>,</w:t>
      </w:r>
      <w:r w:rsidR="003E7319" w:rsidRPr="00642E7E">
        <w:rPr>
          <w:lang w:val="en-US"/>
        </w:rPr>
        <w:t xml:space="preserve"> and </w:t>
      </w:r>
      <w:r w:rsidR="001F7982" w:rsidRPr="00642E7E">
        <w:rPr>
          <w:lang w:val="en-US"/>
        </w:rPr>
        <w:t>cleavage</w:t>
      </w:r>
      <w:r w:rsidR="003E7319" w:rsidRPr="00642E7E">
        <w:rPr>
          <w:lang w:val="en-US"/>
        </w:rPr>
        <w:t xml:space="preserve"> of the amide</w:t>
      </w:r>
      <w:r w:rsidR="00186C42" w:rsidRPr="00642E7E">
        <w:rPr>
          <w:lang w:val="en-US"/>
        </w:rPr>
        <w:t xml:space="preserve"> </w:t>
      </w:r>
      <w:r w:rsidR="003E7319" w:rsidRPr="00642E7E">
        <w:rPr>
          <w:i/>
          <w:iCs/>
          <w:lang w:val="en-US"/>
        </w:rPr>
        <w:t>N</w:t>
      </w:r>
      <w:r w:rsidR="003E7319" w:rsidRPr="00642E7E">
        <w:rPr>
          <w:lang w:val="en-US"/>
        </w:rPr>
        <w:t>-alkyl groups</w:t>
      </w:r>
      <w:r w:rsidR="0093184C" w:rsidRPr="00642E7E">
        <w:rPr>
          <w:lang w:val="en-US"/>
        </w:rPr>
        <w:t>; the latter would likely b</w:t>
      </w:r>
      <w:r w:rsidR="003E7319" w:rsidRPr="00642E7E">
        <w:rPr>
          <w:lang w:val="en-US"/>
        </w:rPr>
        <w:t xml:space="preserve">e </w:t>
      </w:r>
      <w:r w:rsidR="001F7982" w:rsidRPr="00642E7E">
        <w:rPr>
          <w:lang w:val="en-US"/>
        </w:rPr>
        <w:t>achieved</w:t>
      </w:r>
      <w:r w:rsidR="003E7319" w:rsidRPr="00642E7E">
        <w:rPr>
          <w:lang w:val="en-US"/>
        </w:rPr>
        <w:t xml:space="preserve"> via </w:t>
      </w:r>
      <w:proofErr w:type="spellStart"/>
      <w:r w:rsidR="001F7982" w:rsidRPr="00642E7E">
        <w:rPr>
          <w:lang w:val="en-US"/>
        </w:rPr>
        <w:t>NBn</w:t>
      </w:r>
      <w:proofErr w:type="spellEnd"/>
      <w:r w:rsidR="001F7982" w:rsidRPr="00642E7E">
        <w:rPr>
          <w:lang w:val="en-US"/>
        </w:rPr>
        <w:t xml:space="preserve"> </w:t>
      </w:r>
      <w:r w:rsidR="003E7319" w:rsidRPr="00642E7E">
        <w:rPr>
          <w:lang w:val="en-US"/>
        </w:rPr>
        <w:t>hydrogenolysis, a</w:t>
      </w:r>
      <w:r w:rsidR="0093184C" w:rsidRPr="00642E7E">
        <w:rPr>
          <w:lang w:val="en-US"/>
        </w:rPr>
        <w:t>s</w:t>
      </w:r>
      <w:r w:rsidR="003E7319" w:rsidRPr="00642E7E">
        <w:rPr>
          <w:lang w:val="en-US"/>
        </w:rPr>
        <w:t xml:space="preserve"> </w:t>
      </w:r>
      <w:proofErr w:type="spellStart"/>
      <w:r w:rsidR="003E7319" w:rsidRPr="00642E7E">
        <w:rPr>
          <w:lang w:val="en-US"/>
        </w:rPr>
        <w:t>N</w:t>
      </w:r>
      <w:r w:rsidR="0093184C" w:rsidRPr="00642E7E">
        <w:rPr>
          <w:lang w:val="en-US"/>
        </w:rPr>
        <w:t>Bn</w:t>
      </w:r>
      <w:proofErr w:type="spellEnd"/>
      <w:r w:rsidR="0093184C" w:rsidRPr="00642E7E">
        <w:rPr>
          <w:lang w:val="en-US"/>
        </w:rPr>
        <w:t xml:space="preserve"> </w:t>
      </w:r>
      <w:r w:rsidR="003E7319" w:rsidRPr="00642E7E">
        <w:rPr>
          <w:lang w:val="en-US"/>
        </w:rPr>
        <w:t>substituent</w:t>
      </w:r>
      <w:r w:rsidR="0093184C" w:rsidRPr="00642E7E">
        <w:rPr>
          <w:lang w:val="en-US"/>
        </w:rPr>
        <w:t>s</w:t>
      </w:r>
      <w:r w:rsidR="003E7319" w:rsidRPr="00642E7E">
        <w:rPr>
          <w:lang w:val="en-US"/>
        </w:rPr>
        <w:t xml:space="preserve"> </w:t>
      </w:r>
      <w:r w:rsidR="0093184C" w:rsidRPr="00642E7E">
        <w:rPr>
          <w:lang w:val="en-US"/>
        </w:rPr>
        <w:t>have</w:t>
      </w:r>
      <w:r w:rsidR="003E7319" w:rsidRPr="00642E7E">
        <w:rPr>
          <w:lang w:val="en-US"/>
        </w:rPr>
        <w:t xml:space="preserve"> been shown to work well in our earlier </w:t>
      </w:r>
      <w:r w:rsidR="0093184C" w:rsidRPr="00642E7E">
        <w:rPr>
          <w:lang w:val="en-US"/>
        </w:rPr>
        <w:t xml:space="preserve">SuRE </w:t>
      </w:r>
      <w:r w:rsidR="003E7319" w:rsidRPr="00642E7E">
        <w:rPr>
          <w:lang w:val="en-US"/>
        </w:rPr>
        <w:t>work</w:t>
      </w:r>
      <w:r w:rsidR="0093184C" w:rsidRPr="00642E7E">
        <w:rPr>
          <w:lang w:val="en-US"/>
        </w:rPr>
        <w:t>,</w:t>
      </w:r>
      <w:r w:rsidR="003E7319" w:rsidRPr="00642E7E">
        <w:rPr>
          <w:vertAlign w:val="superscript"/>
          <w:lang w:val="en-US"/>
        </w:rPr>
        <w:t>14</w:t>
      </w:r>
      <w:r w:rsidR="0093184C" w:rsidRPr="00642E7E">
        <w:rPr>
          <w:vertAlign w:val="superscript"/>
          <w:lang w:val="en-US"/>
        </w:rPr>
        <w:t xml:space="preserve"> </w:t>
      </w:r>
      <w:r w:rsidR="001F7982" w:rsidRPr="00642E7E">
        <w:rPr>
          <w:lang w:val="en-US"/>
        </w:rPr>
        <w:t>as well as</w:t>
      </w:r>
      <w:r w:rsidR="009331F0" w:rsidRPr="00642E7E">
        <w:rPr>
          <w:lang w:val="en-US"/>
        </w:rPr>
        <w:t xml:space="preserve"> </w:t>
      </w:r>
      <w:r w:rsidR="0093184C" w:rsidRPr="00642E7E">
        <w:rPr>
          <w:lang w:val="en-US"/>
        </w:rPr>
        <w:t xml:space="preserve">in this study (compound </w:t>
      </w:r>
      <w:r w:rsidR="0093184C" w:rsidRPr="00642E7E">
        <w:rPr>
          <w:b/>
          <w:bCs/>
          <w:lang w:val="en-US"/>
        </w:rPr>
        <w:t>26</w:t>
      </w:r>
      <w:r w:rsidR="0093184C" w:rsidRPr="00642E7E">
        <w:rPr>
          <w:lang w:val="en-US"/>
        </w:rPr>
        <w:t>).</w:t>
      </w:r>
      <w:r w:rsidRPr="00642E7E">
        <w:rPr>
          <w:vertAlign w:val="superscript"/>
          <w:lang w:val="en-US"/>
        </w:rPr>
        <w:t xml:space="preserve"> </w:t>
      </w:r>
      <w:r w:rsidR="002C212D" w:rsidRPr="00642E7E">
        <w:rPr>
          <w:lang w:val="en-US"/>
        </w:rPr>
        <w:t xml:space="preserve">Nonetheless, </w:t>
      </w:r>
      <w:r w:rsidR="00490434" w:rsidRPr="00642E7E">
        <w:rPr>
          <w:lang w:val="en-US"/>
        </w:rPr>
        <w:t xml:space="preserve">despite some challenges remaining, having </w:t>
      </w:r>
      <w:r w:rsidR="002C212D" w:rsidRPr="00642E7E">
        <w:rPr>
          <w:lang w:val="en-US"/>
        </w:rPr>
        <w:t xml:space="preserve">validated </w:t>
      </w:r>
      <w:r w:rsidR="000C16D2" w:rsidRPr="00642E7E">
        <w:rPr>
          <w:lang w:val="en-US"/>
        </w:rPr>
        <w:t>the overall approach through t</w:t>
      </w:r>
      <w:r w:rsidR="002C212D" w:rsidRPr="00642E7E">
        <w:rPr>
          <w:lang w:val="en-US"/>
        </w:rPr>
        <w:t xml:space="preserve">he synthesis of series of 15–17-membered ring solomonamide analogues, the synthesis the solomonamides A and B </w:t>
      </w:r>
      <w:r w:rsidR="000C16D2" w:rsidRPr="00642E7E">
        <w:rPr>
          <w:lang w:val="en-US"/>
        </w:rPr>
        <w:t>should</w:t>
      </w:r>
      <w:r w:rsidR="000D1F95" w:rsidRPr="00642E7E">
        <w:rPr>
          <w:lang w:val="en-US"/>
        </w:rPr>
        <w:t xml:space="preserve"> be</w:t>
      </w:r>
      <w:r w:rsidR="002C212D" w:rsidRPr="00642E7E">
        <w:rPr>
          <w:lang w:val="en-US"/>
        </w:rPr>
        <w:t xml:space="preserve"> viable using this approach. </w:t>
      </w:r>
      <w:r w:rsidR="009331F0" w:rsidRPr="00642E7E">
        <w:rPr>
          <w:lang w:val="en-US"/>
        </w:rPr>
        <w:t xml:space="preserve">Useful insight into additional </w:t>
      </w:r>
      <w:r w:rsidR="001F7982" w:rsidRPr="00642E7E">
        <w:rPr>
          <w:lang w:val="en-US"/>
        </w:rPr>
        <w:t xml:space="preserve">selectivity </w:t>
      </w:r>
      <w:r w:rsidR="009331F0" w:rsidRPr="00642E7E">
        <w:rPr>
          <w:lang w:val="en-US"/>
        </w:rPr>
        <w:t>challenge</w:t>
      </w:r>
      <w:r w:rsidR="000D1F95" w:rsidRPr="00642E7E">
        <w:rPr>
          <w:lang w:val="en-US"/>
        </w:rPr>
        <w:t>s</w:t>
      </w:r>
      <w:r w:rsidR="009331F0" w:rsidRPr="00642E7E">
        <w:rPr>
          <w:lang w:val="en-US"/>
        </w:rPr>
        <w:t xml:space="preserve"> </w:t>
      </w:r>
      <w:r w:rsidR="000D1F95" w:rsidRPr="00642E7E">
        <w:rPr>
          <w:lang w:val="en-US"/>
        </w:rPr>
        <w:t>when</w:t>
      </w:r>
      <w:r w:rsidR="00301AC7" w:rsidRPr="00642E7E">
        <w:rPr>
          <w:lang w:val="en-US"/>
        </w:rPr>
        <w:t xml:space="preserve"> using SuRE </w:t>
      </w:r>
      <w:r w:rsidR="000D1F95" w:rsidRPr="00642E7E">
        <w:rPr>
          <w:lang w:val="en-US"/>
        </w:rPr>
        <w:t>to</w:t>
      </w:r>
      <w:r w:rsidR="00301AC7" w:rsidRPr="00642E7E">
        <w:rPr>
          <w:lang w:val="en-US"/>
        </w:rPr>
        <w:t xml:space="preserve"> expand electron</w:t>
      </w:r>
      <w:r w:rsidR="000D1F95" w:rsidRPr="00642E7E">
        <w:rPr>
          <w:lang w:val="en-US"/>
        </w:rPr>
        <w:t>-</w:t>
      </w:r>
      <w:r w:rsidR="00301AC7" w:rsidRPr="00642E7E">
        <w:rPr>
          <w:lang w:val="en-US"/>
        </w:rPr>
        <w:t xml:space="preserve">deficient </w:t>
      </w:r>
      <w:r w:rsidR="00D45E91" w:rsidRPr="00642E7E">
        <w:rPr>
          <w:lang w:val="en-US"/>
        </w:rPr>
        <w:t>amide</w:t>
      </w:r>
      <w:r w:rsidR="00301AC7" w:rsidRPr="00642E7E">
        <w:rPr>
          <w:lang w:val="en-US"/>
        </w:rPr>
        <w:t xml:space="preserve"> systems has also been uncovered. Finally, and perhaps most importantly, w</w:t>
      </w:r>
      <w:r w:rsidR="002C212D" w:rsidRPr="00642E7E">
        <w:rPr>
          <w:lang w:val="en-US"/>
        </w:rPr>
        <w:t xml:space="preserve">e hope that this study helps to inspire future syntheses of other macrocyclic target molecules using consecutive ring expansion </w:t>
      </w:r>
      <w:r w:rsidR="000D1F95" w:rsidRPr="00642E7E">
        <w:rPr>
          <w:lang w:val="en-US"/>
        </w:rPr>
        <w:t>as a synthetic strategy</w:t>
      </w:r>
      <w:r w:rsidR="00681D53" w:rsidRPr="00642E7E">
        <w:rPr>
          <w:lang w:val="en-US"/>
        </w:rPr>
        <w:t>,</w:t>
      </w:r>
      <w:r w:rsidR="002C212D" w:rsidRPr="00642E7E">
        <w:rPr>
          <w:lang w:val="en-US"/>
        </w:rPr>
        <w:t xml:space="preserve"> as an alternative to end-to-end macrocyclisation.</w:t>
      </w:r>
    </w:p>
    <w:p w14:paraId="29D0367B" w14:textId="77777777" w:rsidR="002C212D" w:rsidRPr="00642E7E" w:rsidRDefault="002C212D" w:rsidP="002C212D">
      <w:pPr>
        <w:pStyle w:val="HeadAckno"/>
        <w:rPr>
          <w:lang w:val="en-US"/>
        </w:rPr>
      </w:pPr>
      <w:r w:rsidRPr="00642E7E">
        <w:rPr>
          <w:lang w:val="en-US"/>
        </w:rPr>
        <w:t>Acknowledgment</w:t>
      </w:r>
    </w:p>
    <w:p w14:paraId="33C6D60A" w14:textId="77777777" w:rsidR="002C212D" w:rsidRPr="00642E7E" w:rsidRDefault="002C212D" w:rsidP="002C212D">
      <w:pPr>
        <w:pStyle w:val="Ackno"/>
        <w:spacing w:line="240" w:lineRule="auto"/>
        <w:rPr>
          <w:lang w:val="en-US"/>
        </w:rPr>
      </w:pPr>
      <w:r w:rsidRPr="00642E7E">
        <w:rPr>
          <w:rStyle w:val="AcknoChar"/>
          <w:lang w:val="en-US"/>
        </w:rPr>
        <w:t>The authors would like to thank the University of York for the provision of an Eleanor Dodson Fellowship (to W. P. U.) and the China Scholarship Council for a funding the PhD studentship of Z. Y.</w:t>
      </w:r>
    </w:p>
    <w:p w14:paraId="6E0E10CD" w14:textId="77777777" w:rsidR="002C212D" w:rsidRPr="00642E7E" w:rsidRDefault="002C212D" w:rsidP="002C212D">
      <w:pPr>
        <w:pStyle w:val="HeadAckno"/>
        <w:rPr>
          <w:lang w:val="en-US"/>
        </w:rPr>
      </w:pPr>
      <w:r w:rsidRPr="00642E7E">
        <w:rPr>
          <w:lang w:val="en-US"/>
        </w:rPr>
        <w:t>Supporting Information</w:t>
      </w:r>
    </w:p>
    <w:sdt>
      <w:sdtPr>
        <w:rPr>
          <w:rStyle w:val="AcknoChar"/>
          <w:lang w:val="en-US"/>
        </w:rPr>
        <w:alias w:val="Supporting Information"/>
        <w:tag w:val="SI"/>
        <w:id w:val="1718008440"/>
        <w:placeholder>
          <w:docPart w:val="3E00829FA1BD498896FFD443C9C223FC"/>
        </w:placeholder>
        <w:comboBox>
          <w:listItem w:displayText="YES (this text will be updated with links prior to publication)" w:value="YES (this text will be updated with links prior to publication)"/>
          <w:listItem w:displayText="NO (this text will be deleted prior to publication)" w:value="NO (this text will be deleted prior to publication)"/>
        </w:comboBox>
      </w:sdtPr>
      <w:sdtEndPr>
        <w:rPr>
          <w:rStyle w:val="DefaultParagraphFont"/>
        </w:rPr>
      </w:sdtEndPr>
      <w:sdtContent>
        <w:p w14:paraId="2CA77A24" w14:textId="77777777" w:rsidR="002C212D" w:rsidRPr="00642E7E" w:rsidRDefault="002C212D" w:rsidP="002C212D">
          <w:pPr>
            <w:pStyle w:val="Ackno"/>
            <w:rPr>
              <w:lang w:val="en-US"/>
            </w:rPr>
          </w:pPr>
          <w:r w:rsidRPr="00642E7E">
            <w:rPr>
              <w:rStyle w:val="AcknoChar"/>
              <w:lang w:val="en-US"/>
            </w:rPr>
            <w:t>YES (this text will be updated with links prior to publication)</w:t>
          </w:r>
        </w:p>
      </w:sdtContent>
    </w:sdt>
    <w:p w14:paraId="30057FAF" w14:textId="77777777" w:rsidR="002C212D" w:rsidRPr="00642E7E" w:rsidRDefault="002C212D" w:rsidP="002C212D">
      <w:pPr>
        <w:pStyle w:val="HeadAckno"/>
        <w:rPr>
          <w:lang w:val="en-US"/>
        </w:rPr>
      </w:pPr>
      <w:r w:rsidRPr="00642E7E">
        <w:rPr>
          <w:lang w:val="en-US"/>
        </w:rPr>
        <w:t>Primary Data</w:t>
      </w:r>
    </w:p>
    <w:sdt>
      <w:sdtPr>
        <w:rPr>
          <w:rStyle w:val="AcknoChar"/>
        </w:rPr>
        <w:alias w:val="Primary Data"/>
        <w:tag w:val="PD"/>
        <w:id w:val="236755138"/>
        <w:placeholder>
          <w:docPart w:val="6F675C1B545448F8BAC6829740C37F26"/>
        </w:placeholder>
        <w:comboBox>
          <w:listItem w:displayText="NO." w:value="NO."/>
          <w:listItem w:value="Deposit the Primary Data at Zenodo.org and enter the DOI to be cited here."/>
        </w:comboBox>
      </w:sdtPr>
      <w:sdtEndPr>
        <w:rPr>
          <w:rStyle w:val="DefaultParagraphFont"/>
        </w:rPr>
      </w:sdtEndPr>
      <w:sdtContent>
        <w:p w14:paraId="5E0036C9" w14:textId="77777777" w:rsidR="002C212D" w:rsidRPr="00642E7E" w:rsidRDefault="002C212D" w:rsidP="002C212D">
          <w:pPr>
            <w:pStyle w:val="Ackno"/>
          </w:pPr>
          <w:r w:rsidRPr="00642E7E">
            <w:rPr>
              <w:rStyle w:val="AcknoChar"/>
            </w:rPr>
            <w:t>NO.</w:t>
          </w:r>
        </w:p>
      </w:sdtContent>
    </w:sdt>
    <w:p w14:paraId="4942B188" w14:textId="77777777" w:rsidR="002C212D" w:rsidRPr="00642E7E" w:rsidRDefault="002C212D" w:rsidP="002C212D">
      <w:pPr>
        <w:pStyle w:val="HeadAckno"/>
        <w:rPr>
          <w:lang w:val="en-US"/>
        </w:rPr>
      </w:pPr>
      <w:r w:rsidRPr="00642E7E">
        <w:rPr>
          <w:lang w:val="en-US"/>
        </w:rPr>
        <w:t>Conflict of Interest</w:t>
      </w:r>
    </w:p>
    <w:sdt>
      <w:sdtPr>
        <w:rPr>
          <w:rStyle w:val="AcknoChar"/>
        </w:rPr>
        <w:alias w:val="Conflict of Interest"/>
        <w:tag w:val="CoI"/>
        <w:id w:val="-645970285"/>
        <w:placeholder>
          <w:docPart w:val="A70A12FFA7E349F6985B5A890ACF30E1"/>
        </w:placeholder>
        <w:comboBox>
          <w:listItem w:displayText="The authors declare no conflict of interest." w:value="The authors declare no conflict of interest."/>
          <w:listItem w:value="Enter text describing the conflict of interest."/>
        </w:comboBox>
      </w:sdtPr>
      <w:sdtEndPr>
        <w:rPr>
          <w:rStyle w:val="DefaultParagraphFont"/>
        </w:rPr>
      </w:sdtEndPr>
      <w:sdtContent>
        <w:p w14:paraId="1EA1998E" w14:textId="77777777" w:rsidR="002C212D" w:rsidRPr="00642E7E" w:rsidRDefault="002C212D" w:rsidP="002C212D">
          <w:pPr>
            <w:pStyle w:val="Ackno"/>
          </w:pPr>
          <w:r w:rsidRPr="00642E7E">
            <w:rPr>
              <w:rStyle w:val="AcknoChar"/>
            </w:rPr>
            <w:t>The authors declare no conflict of interest.</w:t>
          </w:r>
        </w:p>
      </w:sdtContent>
    </w:sdt>
    <w:p w14:paraId="388CACAF" w14:textId="77777777" w:rsidR="002C212D" w:rsidRPr="00642E7E" w:rsidRDefault="002C212D" w:rsidP="002C212D">
      <w:pPr>
        <w:pStyle w:val="HeadRefs"/>
        <w:rPr>
          <w:lang w:val="en-US"/>
        </w:rPr>
      </w:pPr>
      <w:r w:rsidRPr="00642E7E">
        <w:rPr>
          <w:lang w:val="en-US"/>
        </w:rPr>
        <w:t>References and Notes</w:t>
      </w:r>
    </w:p>
    <w:p w14:paraId="37DF46D7" w14:textId="0B2F326C" w:rsidR="001C2352" w:rsidRPr="00642E7E" w:rsidRDefault="00BF7E29" w:rsidP="001C2352">
      <w:pPr>
        <w:pStyle w:val="Ref"/>
        <w:rPr>
          <w:lang w:val="en-US"/>
        </w:rPr>
      </w:pPr>
      <w:r w:rsidRPr="00642E7E">
        <w:rPr>
          <w:lang w:val="en-US"/>
        </w:rPr>
        <w:t xml:space="preserve">Since completing this study, </w:t>
      </w:r>
      <w:r w:rsidR="001C2352" w:rsidRPr="00642E7E">
        <w:rPr>
          <w:lang w:val="en-US"/>
        </w:rPr>
        <w:t>C</w:t>
      </w:r>
      <w:r w:rsidR="002C212D" w:rsidRPr="00642E7E">
        <w:rPr>
          <w:lang w:val="en-US"/>
        </w:rPr>
        <w:t xml:space="preserve">. </w:t>
      </w:r>
      <w:r w:rsidR="001C2352" w:rsidRPr="00642E7E">
        <w:rPr>
          <w:lang w:val="en-US"/>
        </w:rPr>
        <w:t>R</w:t>
      </w:r>
      <w:r w:rsidR="002C212D" w:rsidRPr="00642E7E">
        <w:rPr>
          <w:lang w:val="en-US"/>
        </w:rPr>
        <w:t xml:space="preserve">. </w:t>
      </w:r>
      <w:r w:rsidR="001C2352" w:rsidRPr="00642E7E">
        <w:rPr>
          <w:lang w:val="en-US"/>
        </w:rPr>
        <w:t>B. Swanson</w:t>
      </w:r>
      <w:r w:rsidRPr="00642E7E">
        <w:rPr>
          <w:lang w:val="en-US"/>
        </w:rPr>
        <w:t xml:space="preserve"> has relocated to a different institution:</w:t>
      </w:r>
      <w:r w:rsidR="001C2352" w:rsidRPr="00642E7E">
        <w:rPr>
          <w:lang w:val="en-US"/>
        </w:rPr>
        <w:t xml:space="preserve"> Manchester Institute of Biotechnology, The University of Manchester, 131 Princess Street, Manchester, M1 7DN (UK).</w:t>
      </w:r>
    </w:p>
    <w:p w14:paraId="470DBAB7" w14:textId="77777777" w:rsidR="002C212D" w:rsidRPr="00642E7E" w:rsidRDefault="002C212D" w:rsidP="002C212D">
      <w:pPr>
        <w:pStyle w:val="Ref"/>
      </w:pPr>
      <w:r w:rsidRPr="00642E7E">
        <w:t xml:space="preserve">C. Festa, S. De Marino, V. </w:t>
      </w:r>
      <w:proofErr w:type="spellStart"/>
      <w:r w:rsidRPr="00642E7E">
        <w:t>Sepe</w:t>
      </w:r>
      <w:proofErr w:type="spellEnd"/>
      <w:r w:rsidRPr="00642E7E">
        <w:t xml:space="preserve">, M. V. </w:t>
      </w:r>
      <w:proofErr w:type="spellStart"/>
      <w:r w:rsidRPr="00642E7E">
        <w:t>D’Auria</w:t>
      </w:r>
      <w:proofErr w:type="spellEnd"/>
      <w:r w:rsidRPr="00642E7E">
        <w:t xml:space="preserve">, G. </w:t>
      </w:r>
      <w:proofErr w:type="spellStart"/>
      <w:r w:rsidRPr="00642E7E">
        <w:t>Bifulco</w:t>
      </w:r>
      <w:proofErr w:type="spellEnd"/>
      <w:r w:rsidRPr="00642E7E">
        <w:t xml:space="preserve">, C. </w:t>
      </w:r>
      <w:proofErr w:type="spellStart"/>
      <w:r w:rsidRPr="00642E7E">
        <w:t>Débitus</w:t>
      </w:r>
      <w:proofErr w:type="spellEnd"/>
      <w:r w:rsidRPr="00642E7E">
        <w:t xml:space="preserve">, M. Bucci, V. </w:t>
      </w:r>
      <w:proofErr w:type="spellStart"/>
      <w:r w:rsidRPr="00642E7E">
        <w:t>Vellecco</w:t>
      </w:r>
      <w:proofErr w:type="spellEnd"/>
      <w:r w:rsidRPr="00642E7E">
        <w:t xml:space="preserve"> and A. </w:t>
      </w:r>
      <w:proofErr w:type="spellStart"/>
      <w:r w:rsidRPr="00642E7E">
        <w:t>Zampella</w:t>
      </w:r>
      <w:proofErr w:type="spellEnd"/>
      <w:r w:rsidRPr="00642E7E">
        <w:t xml:space="preserve">, </w:t>
      </w:r>
      <w:r w:rsidRPr="00642E7E">
        <w:rPr>
          <w:i/>
          <w:iCs/>
        </w:rPr>
        <w:t>Org. Lett</w:t>
      </w:r>
      <w:r w:rsidRPr="00642E7E">
        <w:t xml:space="preserve">., 2011, </w:t>
      </w:r>
      <w:r w:rsidRPr="00642E7E">
        <w:rPr>
          <w:b/>
          <w:bCs/>
        </w:rPr>
        <w:t>13</w:t>
      </w:r>
      <w:r w:rsidRPr="00642E7E">
        <w:t>, 1532.</w:t>
      </w:r>
    </w:p>
    <w:p w14:paraId="74C0EA13" w14:textId="77777777" w:rsidR="002C212D" w:rsidRPr="00642E7E" w:rsidRDefault="002C212D" w:rsidP="002C212D">
      <w:pPr>
        <w:pStyle w:val="Ref"/>
      </w:pPr>
      <w:r w:rsidRPr="00642E7E">
        <w:t xml:space="preserve">K. Kashinath, G. R. </w:t>
      </w:r>
      <w:proofErr w:type="spellStart"/>
      <w:r w:rsidRPr="00642E7E">
        <w:t>Jachak</w:t>
      </w:r>
      <w:proofErr w:type="spellEnd"/>
      <w:r w:rsidRPr="00642E7E">
        <w:t xml:space="preserve">, P. R. Athawale, U. K. Marelli, R. G. </w:t>
      </w:r>
      <w:proofErr w:type="spellStart"/>
      <w:r w:rsidRPr="00642E7E">
        <w:t>Gonnade</w:t>
      </w:r>
      <w:proofErr w:type="spellEnd"/>
      <w:r w:rsidRPr="00642E7E">
        <w:t xml:space="preserve"> and D. S. Reddy, </w:t>
      </w:r>
      <w:r w:rsidRPr="00642E7E">
        <w:rPr>
          <w:i/>
          <w:iCs/>
        </w:rPr>
        <w:t>Org. Lett</w:t>
      </w:r>
      <w:r w:rsidRPr="00642E7E">
        <w:t xml:space="preserve">., 2016, </w:t>
      </w:r>
      <w:r w:rsidRPr="00642E7E">
        <w:rPr>
          <w:b/>
          <w:bCs/>
        </w:rPr>
        <w:t>18</w:t>
      </w:r>
      <w:r w:rsidRPr="00642E7E">
        <w:t>, 3178.</w:t>
      </w:r>
    </w:p>
    <w:p w14:paraId="27E0D4D0" w14:textId="77777777" w:rsidR="002C212D" w:rsidRPr="00642E7E" w:rsidRDefault="002C212D" w:rsidP="002C212D">
      <w:pPr>
        <w:pStyle w:val="Ref"/>
      </w:pPr>
      <w:r w:rsidRPr="00642E7E">
        <w:t xml:space="preserve">G. R. </w:t>
      </w:r>
      <w:proofErr w:type="spellStart"/>
      <w:r w:rsidRPr="00642E7E">
        <w:t>Jachak</w:t>
      </w:r>
      <w:proofErr w:type="spellEnd"/>
      <w:r w:rsidRPr="00642E7E">
        <w:t xml:space="preserve">, P. R. Athawale, H. Agarwal, M. K. </w:t>
      </w:r>
      <w:proofErr w:type="spellStart"/>
      <w:r w:rsidRPr="00642E7E">
        <w:t>Barthwal</w:t>
      </w:r>
      <w:proofErr w:type="spellEnd"/>
      <w:r w:rsidRPr="00642E7E">
        <w:t xml:space="preserve">, G. </w:t>
      </w:r>
      <w:proofErr w:type="spellStart"/>
      <w:r w:rsidRPr="00642E7E">
        <w:t>Lauro</w:t>
      </w:r>
      <w:proofErr w:type="spellEnd"/>
      <w:r w:rsidRPr="00642E7E">
        <w:t xml:space="preserve">, G. </w:t>
      </w:r>
      <w:proofErr w:type="spellStart"/>
      <w:r w:rsidRPr="00642E7E">
        <w:t>Bifulco</w:t>
      </w:r>
      <w:proofErr w:type="spellEnd"/>
      <w:r w:rsidRPr="00642E7E">
        <w:t xml:space="preserve"> and D. S. Reddy, </w:t>
      </w:r>
      <w:r w:rsidRPr="00642E7E">
        <w:rPr>
          <w:i/>
          <w:iCs/>
        </w:rPr>
        <w:t xml:space="preserve">Org. </w:t>
      </w:r>
      <w:proofErr w:type="spellStart"/>
      <w:r w:rsidRPr="00642E7E">
        <w:rPr>
          <w:i/>
          <w:iCs/>
        </w:rPr>
        <w:t>Biomol</w:t>
      </w:r>
      <w:proofErr w:type="spellEnd"/>
      <w:r w:rsidRPr="00642E7E">
        <w:rPr>
          <w:i/>
          <w:iCs/>
        </w:rPr>
        <w:t>. Chem</w:t>
      </w:r>
      <w:r w:rsidRPr="00642E7E">
        <w:t xml:space="preserve">., 2018, </w:t>
      </w:r>
      <w:r w:rsidRPr="00642E7E">
        <w:rPr>
          <w:b/>
          <w:bCs/>
        </w:rPr>
        <w:t>16</w:t>
      </w:r>
      <w:r w:rsidRPr="00642E7E">
        <w:t>, 9138.</w:t>
      </w:r>
    </w:p>
    <w:p w14:paraId="7750F76A" w14:textId="77777777" w:rsidR="002C212D" w:rsidRPr="00642E7E" w:rsidRDefault="002C212D" w:rsidP="002C212D">
      <w:pPr>
        <w:pStyle w:val="Ref"/>
      </w:pPr>
      <w:r w:rsidRPr="00642E7E">
        <w:t xml:space="preserve">(a) K. Kashinath, N. Vasudevan and D. S. Reddy, </w:t>
      </w:r>
      <w:r w:rsidRPr="00642E7E">
        <w:rPr>
          <w:i/>
          <w:iCs/>
        </w:rPr>
        <w:t>Org. Lett</w:t>
      </w:r>
      <w:r w:rsidRPr="00642E7E">
        <w:t xml:space="preserve">., 2012, </w:t>
      </w:r>
      <w:r w:rsidRPr="00642E7E">
        <w:rPr>
          <w:b/>
          <w:bCs/>
        </w:rPr>
        <w:t>14</w:t>
      </w:r>
      <w:r w:rsidRPr="00642E7E">
        <w:t xml:space="preserve">, 6222; (b) N. Vasudevan, K. Kashinath and D. S. Reddy, </w:t>
      </w:r>
      <w:r w:rsidRPr="00642E7E">
        <w:rPr>
          <w:i/>
          <w:iCs/>
        </w:rPr>
        <w:t>Org. Lett</w:t>
      </w:r>
      <w:r w:rsidRPr="00642E7E">
        <w:t xml:space="preserve">., 2014, </w:t>
      </w:r>
      <w:r w:rsidRPr="00642E7E">
        <w:rPr>
          <w:b/>
          <w:bCs/>
        </w:rPr>
        <w:t>16</w:t>
      </w:r>
      <w:r w:rsidRPr="00642E7E">
        <w:t xml:space="preserve">, 6148; (c) K. Kashinath, S. </w:t>
      </w:r>
      <w:proofErr w:type="spellStart"/>
      <w:r w:rsidRPr="00642E7E">
        <w:t>Dhara</w:t>
      </w:r>
      <w:proofErr w:type="spellEnd"/>
      <w:r w:rsidRPr="00642E7E">
        <w:t xml:space="preserve"> and D. S. Reddy, </w:t>
      </w:r>
      <w:r w:rsidRPr="00642E7E">
        <w:rPr>
          <w:i/>
          <w:iCs/>
        </w:rPr>
        <w:t>Org. Lett</w:t>
      </w:r>
      <w:r w:rsidRPr="00642E7E">
        <w:t xml:space="preserve">., 2015, </w:t>
      </w:r>
      <w:r w:rsidRPr="00642E7E">
        <w:rPr>
          <w:b/>
          <w:bCs/>
        </w:rPr>
        <w:t>17</w:t>
      </w:r>
      <w:r w:rsidRPr="00642E7E">
        <w:t xml:space="preserve">, 2090; (d) G. R. </w:t>
      </w:r>
      <w:proofErr w:type="spellStart"/>
      <w:r w:rsidRPr="00642E7E">
        <w:t>Jachak</w:t>
      </w:r>
      <w:proofErr w:type="spellEnd"/>
      <w:r w:rsidRPr="00642E7E">
        <w:t xml:space="preserve">, P. R. Athawale, R. Choudhury, K. Kashinath and D. S. Reddy, </w:t>
      </w:r>
      <w:r w:rsidRPr="00642E7E">
        <w:rPr>
          <w:i/>
          <w:iCs/>
        </w:rPr>
        <w:t>Chem. Asian J</w:t>
      </w:r>
      <w:r w:rsidRPr="00642E7E">
        <w:t xml:space="preserve">., 2019, </w:t>
      </w:r>
      <w:r w:rsidRPr="00642E7E">
        <w:rPr>
          <w:b/>
          <w:bCs/>
        </w:rPr>
        <w:t>14</w:t>
      </w:r>
      <w:r w:rsidRPr="00642E7E">
        <w:t>, 4572.</w:t>
      </w:r>
    </w:p>
    <w:p w14:paraId="7830A520" w14:textId="77777777" w:rsidR="002C212D" w:rsidRPr="00642E7E" w:rsidRDefault="002C212D" w:rsidP="002C212D">
      <w:pPr>
        <w:pStyle w:val="Ref"/>
      </w:pPr>
      <w:r w:rsidRPr="00642E7E">
        <w:t xml:space="preserve">(a) N. Kavitha, V. P. </w:t>
      </w:r>
      <w:proofErr w:type="gramStart"/>
      <w:r w:rsidRPr="00642E7E">
        <w:t>Kumar</w:t>
      </w:r>
      <w:proofErr w:type="gramEnd"/>
      <w:r w:rsidRPr="00642E7E">
        <w:t xml:space="preserve"> and S. Chandrasekhar, </w:t>
      </w:r>
      <w:r w:rsidRPr="00642E7E">
        <w:rPr>
          <w:i/>
          <w:iCs/>
        </w:rPr>
        <w:t>Tetrahedron Lett</w:t>
      </w:r>
      <w:r w:rsidRPr="00642E7E">
        <w:t xml:space="preserve">., 2013, </w:t>
      </w:r>
      <w:r w:rsidRPr="00642E7E">
        <w:rPr>
          <w:b/>
          <w:bCs/>
        </w:rPr>
        <w:t>54</w:t>
      </w:r>
      <w:r w:rsidRPr="00642E7E">
        <w:t xml:space="preserve">, 2128; (b) N. Kavitha and S. Chandrasekhar, </w:t>
      </w:r>
      <w:r w:rsidRPr="00642E7E">
        <w:rPr>
          <w:i/>
          <w:iCs/>
        </w:rPr>
        <w:t xml:space="preserve">Org. </w:t>
      </w:r>
      <w:proofErr w:type="spellStart"/>
      <w:r w:rsidRPr="00642E7E">
        <w:rPr>
          <w:i/>
          <w:iCs/>
        </w:rPr>
        <w:t>Biomol</w:t>
      </w:r>
      <w:proofErr w:type="spellEnd"/>
      <w:r w:rsidRPr="00642E7E">
        <w:rPr>
          <w:i/>
          <w:iCs/>
        </w:rPr>
        <w:t>. Chem</w:t>
      </w:r>
      <w:r w:rsidRPr="00642E7E">
        <w:t xml:space="preserve">., 2015, </w:t>
      </w:r>
      <w:r w:rsidRPr="00642E7E">
        <w:rPr>
          <w:b/>
          <w:bCs/>
        </w:rPr>
        <w:t>13</w:t>
      </w:r>
      <w:r w:rsidRPr="00642E7E">
        <w:t xml:space="preserve">, 6242; (c) I. Cheng-Sánchez, C. García-Ruiz and F. </w:t>
      </w:r>
      <w:proofErr w:type="spellStart"/>
      <w:r w:rsidRPr="00642E7E">
        <w:t>Sarabia</w:t>
      </w:r>
      <w:proofErr w:type="spellEnd"/>
      <w:r w:rsidRPr="00642E7E">
        <w:t xml:space="preserve">, </w:t>
      </w:r>
      <w:r w:rsidRPr="00642E7E">
        <w:rPr>
          <w:i/>
          <w:iCs/>
        </w:rPr>
        <w:t>Tetrahedron Lett</w:t>
      </w:r>
      <w:r w:rsidRPr="00642E7E">
        <w:t xml:space="preserve">., 2016, </w:t>
      </w:r>
      <w:r w:rsidRPr="00642E7E">
        <w:rPr>
          <w:b/>
          <w:bCs/>
        </w:rPr>
        <w:t>57</w:t>
      </w:r>
      <w:r w:rsidRPr="00642E7E">
        <w:t xml:space="preserve">, 3392; (d) I. Cheng-Sánchez, P. Carrillo, A. Sánchez-Ruiz, B. Martínez-Poveda, A., R. Quesada, M. Á. Medina, J. M. López-Romero and F. </w:t>
      </w:r>
      <w:proofErr w:type="spellStart"/>
      <w:r w:rsidRPr="00642E7E">
        <w:t>Sarabia</w:t>
      </w:r>
      <w:proofErr w:type="spellEnd"/>
      <w:r w:rsidRPr="00642E7E">
        <w:t xml:space="preserve">, </w:t>
      </w:r>
      <w:r w:rsidRPr="00642E7E">
        <w:rPr>
          <w:i/>
          <w:iCs/>
        </w:rPr>
        <w:t>J. Org. Chem</w:t>
      </w:r>
      <w:r w:rsidRPr="00642E7E">
        <w:t xml:space="preserve">., 2018, </w:t>
      </w:r>
      <w:r w:rsidRPr="00642E7E">
        <w:rPr>
          <w:b/>
          <w:bCs/>
        </w:rPr>
        <w:t>83</w:t>
      </w:r>
      <w:r w:rsidRPr="00642E7E">
        <w:t xml:space="preserve">, 5365; (e) P. Carrillo, B. Martínez-Poveda, I. Cheng-Sánchez, J. Guerra, C. </w:t>
      </w:r>
      <w:proofErr w:type="spellStart"/>
      <w:r w:rsidRPr="00642E7E">
        <w:t>Tobia</w:t>
      </w:r>
      <w:proofErr w:type="spellEnd"/>
      <w:r w:rsidRPr="00642E7E">
        <w:t xml:space="preserve">, J. M. López-Romero, F. </w:t>
      </w:r>
      <w:proofErr w:type="spellStart"/>
      <w:r w:rsidRPr="00642E7E">
        <w:t>Sarabia</w:t>
      </w:r>
      <w:proofErr w:type="spellEnd"/>
      <w:r w:rsidRPr="00642E7E">
        <w:t xml:space="preserve">, M. A. Medina and A. R. Quesada, </w:t>
      </w:r>
      <w:r w:rsidRPr="00642E7E">
        <w:rPr>
          <w:i/>
          <w:iCs/>
        </w:rPr>
        <w:t>Mar. Drugs</w:t>
      </w:r>
      <w:r w:rsidRPr="00642E7E">
        <w:t xml:space="preserve">, 2019, </w:t>
      </w:r>
      <w:r w:rsidRPr="00642E7E">
        <w:rPr>
          <w:b/>
          <w:bCs/>
        </w:rPr>
        <w:t>17</w:t>
      </w:r>
      <w:r w:rsidRPr="00642E7E">
        <w:t>, 228.</w:t>
      </w:r>
    </w:p>
    <w:p w14:paraId="7D3BB422" w14:textId="77777777" w:rsidR="002C212D" w:rsidRPr="00642E7E" w:rsidRDefault="002C212D" w:rsidP="002C212D">
      <w:pPr>
        <w:pStyle w:val="Ref"/>
      </w:pPr>
      <w:r w:rsidRPr="00642E7E">
        <w:t xml:space="preserve">I. </w:t>
      </w:r>
      <w:proofErr w:type="spellStart"/>
      <w:r w:rsidRPr="00642E7E">
        <w:t>Saridakis</w:t>
      </w:r>
      <w:proofErr w:type="spellEnd"/>
      <w:r w:rsidRPr="00642E7E">
        <w:t xml:space="preserve">, D. </w:t>
      </w:r>
      <w:proofErr w:type="gramStart"/>
      <w:r w:rsidRPr="00642E7E">
        <w:t>Kaiser</w:t>
      </w:r>
      <w:proofErr w:type="gramEnd"/>
      <w:r w:rsidRPr="00642E7E">
        <w:t xml:space="preserve"> and N. </w:t>
      </w:r>
      <w:proofErr w:type="spellStart"/>
      <w:r w:rsidRPr="00642E7E">
        <w:t>Maulide</w:t>
      </w:r>
      <w:proofErr w:type="spellEnd"/>
      <w:r w:rsidRPr="00642E7E">
        <w:t xml:space="preserve">, </w:t>
      </w:r>
      <w:r w:rsidRPr="00642E7E">
        <w:rPr>
          <w:i/>
          <w:iCs/>
        </w:rPr>
        <w:t xml:space="preserve">ACS Cent. Sci. </w:t>
      </w:r>
      <w:r w:rsidRPr="00642E7E">
        <w:t xml:space="preserve">2020, </w:t>
      </w:r>
      <w:r w:rsidRPr="00642E7E">
        <w:rPr>
          <w:b/>
          <w:bCs/>
        </w:rPr>
        <w:t>6</w:t>
      </w:r>
      <w:r w:rsidRPr="00642E7E">
        <w:t>, 1869.</w:t>
      </w:r>
    </w:p>
    <w:p w14:paraId="767A71C3" w14:textId="77777777" w:rsidR="002C212D" w:rsidRPr="00642E7E" w:rsidRDefault="002C212D" w:rsidP="002C212D">
      <w:pPr>
        <w:pStyle w:val="Ref"/>
      </w:pPr>
      <w:r w:rsidRPr="00642E7E">
        <w:t xml:space="preserve">Practical Medicinal Chemistry with Macrocycles; </w:t>
      </w:r>
      <w:proofErr w:type="spellStart"/>
      <w:r w:rsidRPr="00642E7E">
        <w:t>Marsault</w:t>
      </w:r>
      <w:proofErr w:type="spellEnd"/>
      <w:r w:rsidRPr="00642E7E">
        <w:t>, E.; Peterson, M. L., Ed.; Wiley: Hoboken, NJ, 2017.</w:t>
      </w:r>
    </w:p>
    <w:p w14:paraId="526B37F4" w14:textId="77777777" w:rsidR="002C212D" w:rsidRPr="00642E7E" w:rsidRDefault="002C212D" w:rsidP="002C212D">
      <w:pPr>
        <w:pStyle w:val="Ref"/>
      </w:pPr>
      <w:r w:rsidRPr="00642E7E">
        <w:t xml:space="preserve">(a) A. </w:t>
      </w:r>
      <w:proofErr w:type="spellStart"/>
      <w:r w:rsidRPr="00642E7E">
        <w:t>Gradillas</w:t>
      </w:r>
      <w:proofErr w:type="spellEnd"/>
      <w:r w:rsidRPr="00642E7E">
        <w:t xml:space="preserve"> and J. P</w:t>
      </w:r>
      <w:r w:rsidRPr="00642E7E">
        <w:rPr>
          <w:rFonts w:cstheme="minorHAnsi"/>
        </w:rPr>
        <w:t>é</w:t>
      </w:r>
      <w:r w:rsidRPr="00642E7E">
        <w:t xml:space="preserve">rez-Castells, </w:t>
      </w:r>
      <w:proofErr w:type="spellStart"/>
      <w:r w:rsidRPr="00642E7E">
        <w:rPr>
          <w:i/>
          <w:iCs/>
        </w:rPr>
        <w:t>Angew</w:t>
      </w:r>
      <w:proofErr w:type="spellEnd"/>
      <w:r w:rsidRPr="00642E7E">
        <w:rPr>
          <w:i/>
          <w:iCs/>
        </w:rPr>
        <w:t>. Chem. Int. Ed</w:t>
      </w:r>
      <w:r w:rsidRPr="00642E7E">
        <w:t xml:space="preserve">. 2006, </w:t>
      </w:r>
      <w:r w:rsidRPr="00642E7E">
        <w:rPr>
          <w:b/>
          <w:bCs/>
        </w:rPr>
        <w:t>45</w:t>
      </w:r>
      <w:r w:rsidRPr="00642E7E">
        <w:t xml:space="preserve">, 6086; (b) C. </w:t>
      </w:r>
      <w:proofErr w:type="spellStart"/>
      <w:r w:rsidRPr="00642E7E">
        <w:t>Lecourt</w:t>
      </w:r>
      <w:proofErr w:type="spellEnd"/>
      <w:r w:rsidRPr="00642E7E">
        <w:t xml:space="preserve">, S. </w:t>
      </w:r>
      <w:proofErr w:type="spellStart"/>
      <w:r w:rsidRPr="00642E7E">
        <w:t>Dhambri</w:t>
      </w:r>
      <w:proofErr w:type="spellEnd"/>
      <w:r w:rsidRPr="00642E7E">
        <w:t xml:space="preserve">, L. </w:t>
      </w:r>
      <w:proofErr w:type="spellStart"/>
      <w:r w:rsidRPr="00642E7E">
        <w:t>Allievi</w:t>
      </w:r>
      <w:proofErr w:type="spellEnd"/>
      <w:r w:rsidRPr="00642E7E">
        <w:t xml:space="preserve">, Y. </w:t>
      </w:r>
      <w:proofErr w:type="spellStart"/>
      <w:r w:rsidRPr="00642E7E">
        <w:t>Sanogo</w:t>
      </w:r>
      <w:proofErr w:type="spellEnd"/>
      <w:r w:rsidRPr="00642E7E">
        <w:t xml:space="preserve">, N. </w:t>
      </w:r>
      <w:proofErr w:type="spellStart"/>
      <w:r w:rsidRPr="00642E7E">
        <w:t>Zeghbib</w:t>
      </w:r>
      <w:proofErr w:type="spellEnd"/>
      <w:r w:rsidRPr="00642E7E">
        <w:t xml:space="preserve">, R. Ben Othman, M.-I. </w:t>
      </w:r>
      <w:proofErr w:type="spellStart"/>
      <w:r w:rsidRPr="00642E7E">
        <w:t>Lannou</w:t>
      </w:r>
      <w:proofErr w:type="spellEnd"/>
      <w:r w:rsidRPr="00642E7E">
        <w:t xml:space="preserve">, G. Sorin and J. </w:t>
      </w:r>
      <w:proofErr w:type="spellStart"/>
      <w:r w:rsidRPr="00642E7E">
        <w:t>Ardisson</w:t>
      </w:r>
      <w:proofErr w:type="spellEnd"/>
      <w:r w:rsidRPr="00642E7E">
        <w:t xml:space="preserve"> </w:t>
      </w:r>
      <w:r w:rsidRPr="00642E7E">
        <w:rPr>
          <w:i/>
          <w:iCs/>
        </w:rPr>
        <w:t>Nat. Prod. Rep</w:t>
      </w:r>
      <w:r w:rsidRPr="00642E7E">
        <w:t xml:space="preserve">., 2018, </w:t>
      </w:r>
      <w:r w:rsidRPr="00642E7E">
        <w:rPr>
          <w:b/>
          <w:bCs/>
        </w:rPr>
        <w:t>35</w:t>
      </w:r>
      <w:r w:rsidRPr="00642E7E">
        <w:t>, 105.</w:t>
      </w:r>
    </w:p>
    <w:p w14:paraId="764E7E0E" w14:textId="16441304" w:rsidR="002C212D" w:rsidRPr="00642E7E" w:rsidRDefault="002C212D" w:rsidP="002C212D">
      <w:pPr>
        <w:pStyle w:val="Ref"/>
      </w:pPr>
      <w:r w:rsidRPr="00642E7E">
        <w:t xml:space="preserve">For papers discussing the influence of ring size on end-to-end cyclisation reactions, see: (a) G. Illuminati and L. </w:t>
      </w:r>
      <w:proofErr w:type="spellStart"/>
      <w:r w:rsidRPr="00642E7E">
        <w:t>Mandolini</w:t>
      </w:r>
      <w:proofErr w:type="spellEnd"/>
      <w:r w:rsidRPr="00642E7E">
        <w:t xml:space="preserve">, </w:t>
      </w:r>
      <w:r w:rsidRPr="00642E7E">
        <w:rPr>
          <w:i/>
          <w:iCs/>
        </w:rPr>
        <w:t>Acc. Chem. Res</w:t>
      </w:r>
      <w:r w:rsidRPr="00642E7E">
        <w:t xml:space="preserve">. 1981, </w:t>
      </w:r>
      <w:r w:rsidRPr="00642E7E">
        <w:rPr>
          <w:b/>
          <w:bCs/>
        </w:rPr>
        <w:t>14</w:t>
      </w:r>
      <w:r w:rsidRPr="00642E7E">
        <w:t xml:space="preserve">, 95. (b) J. </w:t>
      </w:r>
      <w:proofErr w:type="spellStart"/>
      <w:r w:rsidRPr="00642E7E">
        <w:t>Fastrez</w:t>
      </w:r>
      <w:proofErr w:type="spellEnd"/>
      <w:r w:rsidRPr="00642E7E">
        <w:t xml:space="preserve">, </w:t>
      </w:r>
      <w:r w:rsidRPr="00642E7E">
        <w:rPr>
          <w:i/>
          <w:iCs/>
        </w:rPr>
        <w:t>J. Phys. Chem</w:t>
      </w:r>
      <w:r w:rsidRPr="00642E7E">
        <w:t xml:space="preserve">., 1989, </w:t>
      </w:r>
      <w:r w:rsidRPr="00642E7E">
        <w:rPr>
          <w:b/>
          <w:bCs/>
        </w:rPr>
        <w:t>93</w:t>
      </w:r>
      <w:r w:rsidRPr="00642E7E">
        <w:t xml:space="preserve">, 2635; (c) J. C. Collins and K. James, </w:t>
      </w:r>
      <w:r w:rsidRPr="00642E7E">
        <w:rPr>
          <w:i/>
          <w:iCs/>
        </w:rPr>
        <w:t xml:space="preserve">Med. Chem. </w:t>
      </w:r>
      <w:proofErr w:type="spellStart"/>
      <w:r w:rsidRPr="00642E7E">
        <w:rPr>
          <w:i/>
          <w:iCs/>
        </w:rPr>
        <w:t>Commun</w:t>
      </w:r>
      <w:proofErr w:type="spellEnd"/>
      <w:r w:rsidRPr="00642E7E">
        <w:t xml:space="preserve">., 2012, </w:t>
      </w:r>
      <w:r w:rsidRPr="00642E7E">
        <w:rPr>
          <w:b/>
          <w:bCs/>
        </w:rPr>
        <w:t>3</w:t>
      </w:r>
      <w:r w:rsidRPr="00642E7E">
        <w:t xml:space="preserve">, 1489; (d) H. </w:t>
      </w:r>
      <w:proofErr w:type="spellStart"/>
      <w:r w:rsidRPr="00642E7E">
        <w:t>Kurouchi</w:t>
      </w:r>
      <w:proofErr w:type="spellEnd"/>
      <w:r w:rsidRPr="00642E7E">
        <w:t xml:space="preserve"> and T. Ohwada, </w:t>
      </w:r>
      <w:r w:rsidRPr="00642E7E">
        <w:rPr>
          <w:i/>
          <w:iCs/>
        </w:rPr>
        <w:t>J. Org. Chem</w:t>
      </w:r>
      <w:r w:rsidRPr="00642E7E">
        <w:t xml:space="preserve">. 2020, </w:t>
      </w:r>
      <w:r w:rsidRPr="00642E7E">
        <w:rPr>
          <w:b/>
          <w:bCs/>
        </w:rPr>
        <w:t>85</w:t>
      </w:r>
      <w:r w:rsidRPr="00642E7E">
        <w:t xml:space="preserve">, 876. For general perspective on macrocycle synthesis, see: (e) E. </w:t>
      </w:r>
      <w:proofErr w:type="spellStart"/>
      <w:r w:rsidRPr="00642E7E">
        <w:t>Marsault</w:t>
      </w:r>
      <w:proofErr w:type="spellEnd"/>
      <w:r w:rsidRPr="00642E7E">
        <w:t xml:space="preserve"> and M. L. Peterson, </w:t>
      </w:r>
      <w:r w:rsidRPr="00642E7E">
        <w:rPr>
          <w:i/>
          <w:iCs/>
        </w:rPr>
        <w:t>J. Med. Chem</w:t>
      </w:r>
      <w:r w:rsidRPr="00642E7E">
        <w:t xml:space="preserve">. 2011, </w:t>
      </w:r>
      <w:r w:rsidRPr="00642E7E">
        <w:rPr>
          <w:b/>
          <w:bCs/>
        </w:rPr>
        <w:t>54</w:t>
      </w:r>
      <w:r w:rsidRPr="00642E7E">
        <w:t xml:space="preserve">, 1961; (f) A. K. </w:t>
      </w:r>
      <w:proofErr w:type="spellStart"/>
      <w:r w:rsidRPr="00642E7E">
        <w:t>Yudin</w:t>
      </w:r>
      <w:proofErr w:type="spellEnd"/>
      <w:r w:rsidRPr="00642E7E">
        <w:t xml:space="preserve">, </w:t>
      </w:r>
      <w:r w:rsidRPr="00642E7E">
        <w:rPr>
          <w:i/>
          <w:iCs/>
        </w:rPr>
        <w:t>Chem. Sci</w:t>
      </w:r>
      <w:r w:rsidRPr="00642E7E">
        <w:t xml:space="preserve">. 2015, </w:t>
      </w:r>
      <w:r w:rsidRPr="00642E7E">
        <w:rPr>
          <w:b/>
          <w:bCs/>
        </w:rPr>
        <w:t>6</w:t>
      </w:r>
      <w:r w:rsidRPr="00642E7E">
        <w:t xml:space="preserve">, 30; (g) K. T. Mortensen, T. J. </w:t>
      </w:r>
      <w:proofErr w:type="spellStart"/>
      <w:r w:rsidRPr="00642E7E">
        <w:t>Osberger</w:t>
      </w:r>
      <w:proofErr w:type="spellEnd"/>
      <w:r w:rsidRPr="00642E7E">
        <w:t xml:space="preserve">, T. A. King, H. F. Sore and D. R. Spring, </w:t>
      </w:r>
      <w:r w:rsidRPr="00642E7E">
        <w:rPr>
          <w:i/>
          <w:iCs/>
        </w:rPr>
        <w:t>Chem. Rev</w:t>
      </w:r>
      <w:r w:rsidRPr="00642E7E">
        <w:t xml:space="preserve">. </w:t>
      </w:r>
      <w:r w:rsidRPr="00642E7E">
        <w:rPr>
          <w:b/>
          <w:bCs/>
        </w:rPr>
        <w:t>2019</w:t>
      </w:r>
      <w:r w:rsidRPr="00642E7E">
        <w:t xml:space="preserve">, </w:t>
      </w:r>
      <w:r w:rsidRPr="00642E7E">
        <w:rPr>
          <w:i/>
          <w:iCs/>
        </w:rPr>
        <w:t>119</w:t>
      </w:r>
      <w:r w:rsidRPr="00642E7E">
        <w:t xml:space="preserve">, 10288; (h) S. D. </w:t>
      </w:r>
      <w:proofErr w:type="spellStart"/>
      <w:r w:rsidRPr="00642E7E">
        <w:t>Appavoo</w:t>
      </w:r>
      <w:proofErr w:type="spellEnd"/>
      <w:r w:rsidRPr="00642E7E">
        <w:t>, S. Huh, D. B. Diaz and A</w:t>
      </w:r>
      <w:r w:rsidR="00305630" w:rsidRPr="00642E7E">
        <w:t>.</w:t>
      </w:r>
      <w:r w:rsidRPr="00642E7E">
        <w:t xml:space="preserve"> K</w:t>
      </w:r>
      <w:r w:rsidR="00305630" w:rsidRPr="00642E7E">
        <w:t>.</w:t>
      </w:r>
      <w:r w:rsidRPr="00642E7E">
        <w:t xml:space="preserve"> </w:t>
      </w:r>
      <w:proofErr w:type="spellStart"/>
      <w:r w:rsidRPr="00642E7E">
        <w:t>Yudin</w:t>
      </w:r>
      <w:proofErr w:type="spellEnd"/>
      <w:r w:rsidRPr="00642E7E">
        <w:t xml:space="preserve">, </w:t>
      </w:r>
      <w:r w:rsidRPr="00642E7E">
        <w:rPr>
          <w:i/>
          <w:iCs/>
        </w:rPr>
        <w:t xml:space="preserve">Chem. Rev. </w:t>
      </w:r>
      <w:r w:rsidRPr="00642E7E">
        <w:t xml:space="preserve">2019, </w:t>
      </w:r>
      <w:r w:rsidRPr="00642E7E">
        <w:rPr>
          <w:b/>
          <w:bCs/>
        </w:rPr>
        <w:t>119</w:t>
      </w:r>
      <w:r w:rsidRPr="00642E7E">
        <w:t>, 9724; (</w:t>
      </w:r>
      <w:proofErr w:type="spellStart"/>
      <w:r w:rsidRPr="00642E7E">
        <w:t>i</w:t>
      </w:r>
      <w:proofErr w:type="spellEnd"/>
      <w:r w:rsidRPr="00642E7E">
        <w:t xml:space="preserve">) I. V. </w:t>
      </w:r>
      <w:proofErr w:type="spellStart"/>
      <w:r w:rsidRPr="00642E7E">
        <w:t>Smolyar</w:t>
      </w:r>
      <w:proofErr w:type="spellEnd"/>
      <w:r w:rsidRPr="00642E7E">
        <w:t xml:space="preserve">, A. K. </w:t>
      </w:r>
      <w:proofErr w:type="spellStart"/>
      <w:r w:rsidRPr="00642E7E">
        <w:t>Yudin</w:t>
      </w:r>
      <w:proofErr w:type="spellEnd"/>
      <w:r w:rsidRPr="00642E7E">
        <w:t xml:space="preserve"> and V. G. </w:t>
      </w:r>
      <w:proofErr w:type="spellStart"/>
      <w:r w:rsidRPr="00642E7E">
        <w:t>Nenajdenko</w:t>
      </w:r>
      <w:proofErr w:type="spellEnd"/>
      <w:r w:rsidRPr="00642E7E">
        <w:t xml:space="preserve">, </w:t>
      </w:r>
      <w:r w:rsidRPr="00642E7E">
        <w:rPr>
          <w:i/>
          <w:iCs/>
        </w:rPr>
        <w:t xml:space="preserve">Chem. Rev. </w:t>
      </w:r>
      <w:r w:rsidRPr="00642E7E">
        <w:t xml:space="preserve">2019, </w:t>
      </w:r>
      <w:r w:rsidRPr="00642E7E">
        <w:rPr>
          <w:b/>
          <w:bCs/>
        </w:rPr>
        <w:t>119</w:t>
      </w:r>
      <w:r w:rsidRPr="00642E7E">
        <w:t>, 10032.</w:t>
      </w:r>
    </w:p>
    <w:p w14:paraId="3C46C6F0" w14:textId="77777777" w:rsidR="002C212D" w:rsidRPr="00642E7E" w:rsidRDefault="002C212D" w:rsidP="002C212D">
      <w:pPr>
        <w:pStyle w:val="Ref"/>
        <w:rPr>
          <w:rStyle w:val="RSCB02ArticleTextChar"/>
          <w:rFonts w:ascii="Cambria" w:hAnsi="Cambria"/>
          <w:w w:val="100"/>
          <w:sz w:val="15"/>
          <w:szCs w:val="15"/>
          <w:lang w:val="en-CA" w:eastAsia="en-CA"/>
        </w:rPr>
      </w:pPr>
      <w:r w:rsidRPr="00642E7E">
        <w:rPr>
          <w:rStyle w:val="RSCB02ArticleTextChar"/>
          <w:rFonts w:ascii="Cambria" w:hAnsi="Cambria"/>
          <w:w w:val="100"/>
          <w:sz w:val="15"/>
          <w:szCs w:val="15"/>
          <w:lang w:val="en-CA" w:eastAsia="en-CA"/>
        </w:rPr>
        <w:t xml:space="preserve">For a review on consecutive ring expansion reactions, see: T. C. Stephens and W. P. Unsworth, </w:t>
      </w:r>
      <w:proofErr w:type="spellStart"/>
      <w:r w:rsidRPr="00642E7E">
        <w:rPr>
          <w:rStyle w:val="RSCB02ArticleTextChar"/>
          <w:rFonts w:ascii="Cambria" w:hAnsi="Cambria"/>
          <w:i/>
          <w:iCs/>
          <w:w w:val="100"/>
          <w:sz w:val="15"/>
          <w:szCs w:val="15"/>
          <w:lang w:val="en-CA" w:eastAsia="en-CA"/>
        </w:rPr>
        <w:t>Synlett</w:t>
      </w:r>
      <w:proofErr w:type="spellEnd"/>
      <w:r w:rsidRPr="00642E7E">
        <w:rPr>
          <w:rStyle w:val="RSCB02ArticleTextChar"/>
          <w:rFonts w:ascii="Cambria" w:hAnsi="Cambria"/>
          <w:w w:val="100"/>
          <w:sz w:val="15"/>
          <w:szCs w:val="15"/>
          <w:lang w:val="en-CA" w:eastAsia="en-CA"/>
        </w:rPr>
        <w:t xml:space="preserve"> 2020, </w:t>
      </w:r>
      <w:r w:rsidRPr="00642E7E">
        <w:rPr>
          <w:rStyle w:val="RSCB02ArticleTextChar"/>
          <w:rFonts w:ascii="Cambria" w:hAnsi="Cambria"/>
          <w:b/>
          <w:bCs/>
          <w:w w:val="100"/>
          <w:sz w:val="15"/>
          <w:szCs w:val="15"/>
          <w:lang w:val="en-CA" w:eastAsia="en-CA"/>
        </w:rPr>
        <w:t>31</w:t>
      </w:r>
      <w:r w:rsidRPr="00642E7E">
        <w:rPr>
          <w:rStyle w:val="RSCB02ArticleTextChar"/>
          <w:rFonts w:ascii="Cambria" w:hAnsi="Cambria"/>
          <w:w w:val="100"/>
          <w:sz w:val="15"/>
          <w:szCs w:val="15"/>
          <w:lang w:val="en-CA" w:eastAsia="en-CA"/>
        </w:rPr>
        <w:t>, 133.</w:t>
      </w:r>
    </w:p>
    <w:p w14:paraId="024AB5BD" w14:textId="77777777" w:rsidR="002C212D" w:rsidRPr="00642E7E" w:rsidRDefault="002C212D" w:rsidP="002C212D">
      <w:pPr>
        <w:pStyle w:val="Ref"/>
        <w:rPr>
          <w:rStyle w:val="RSCB02ArticleTextChar"/>
          <w:rFonts w:ascii="Cambria" w:hAnsi="Cambria"/>
          <w:w w:val="100"/>
          <w:sz w:val="15"/>
          <w:szCs w:val="15"/>
          <w:lang w:val="en-CA" w:eastAsia="en-CA"/>
        </w:rPr>
      </w:pPr>
      <w:r w:rsidRPr="00642E7E">
        <w:rPr>
          <w:rStyle w:val="RSCB02ArticleTextChar"/>
          <w:rFonts w:ascii="Cambria" w:hAnsi="Cambria"/>
          <w:w w:val="100"/>
          <w:sz w:val="15"/>
          <w:szCs w:val="15"/>
          <w:lang w:val="en-CA" w:eastAsia="en-CA"/>
        </w:rPr>
        <w:t xml:space="preserve">For reviews on ring expansion, see: (a) M. Hesse in Ring Enlargement in Organic Chemistry, Wiley-VCH, Weinheim, 1991; (b) W. P. Unsworth and J. R. Donald, </w:t>
      </w:r>
      <w:r w:rsidRPr="00642E7E">
        <w:rPr>
          <w:rStyle w:val="RSCB02ArticleTextChar"/>
          <w:rFonts w:ascii="Cambria" w:hAnsi="Cambria"/>
          <w:i/>
          <w:iCs/>
          <w:w w:val="100"/>
          <w:sz w:val="15"/>
          <w:szCs w:val="15"/>
          <w:lang w:val="en-CA" w:eastAsia="en-CA"/>
        </w:rPr>
        <w:t>Chem. Eur. J</w:t>
      </w:r>
      <w:r w:rsidRPr="00642E7E">
        <w:rPr>
          <w:rStyle w:val="RSCB02ArticleTextChar"/>
          <w:rFonts w:ascii="Cambria" w:hAnsi="Cambria"/>
          <w:w w:val="100"/>
          <w:sz w:val="15"/>
          <w:szCs w:val="15"/>
          <w:lang w:val="en-CA" w:eastAsia="en-CA"/>
        </w:rPr>
        <w:t xml:space="preserve">. 2017, </w:t>
      </w:r>
      <w:r w:rsidRPr="00642E7E">
        <w:rPr>
          <w:rStyle w:val="RSCB02ArticleTextChar"/>
          <w:rFonts w:ascii="Cambria" w:hAnsi="Cambria"/>
          <w:b/>
          <w:bCs/>
          <w:w w:val="100"/>
          <w:sz w:val="15"/>
          <w:szCs w:val="15"/>
          <w:lang w:val="en-CA" w:eastAsia="en-CA"/>
        </w:rPr>
        <w:t>23</w:t>
      </w:r>
      <w:r w:rsidRPr="00642E7E">
        <w:rPr>
          <w:rStyle w:val="RSCB02ArticleTextChar"/>
          <w:rFonts w:ascii="Cambria" w:hAnsi="Cambria"/>
          <w:w w:val="100"/>
          <w:sz w:val="15"/>
          <w:szCs w:val="15"/>
          <w:lang w:val="en-CA" w:eastAsia="en-CA"/>
        </w:rPr>
        <w:t xml:space="preserve">, 8780; (c) K. </w:t>
      </w:r>
      <w:proofErr w:type="spellStart"/>
      <w:r w:rsidRPr="00642E7E">
        <w:rPr>
          <w:rStyle w:val="RSCB02ArticleTextChar"/>
          <w:rFonts w:ascii="Cambria" w:hAnsi="Cambria"/>
          <w:w w:val="100"/>
          <w:sz w:val="15"/>
          <w:szCs w:val="15"/>
          <w:lang w:val="en-CA" w:eastAsia="en-CA"/>
        </w:rPr>
        <w:t>Prantz</w:t>
      </w:r>
      <w:proofErr w:type="spellEnd"/>
      <w:r w:rsidRPr="00642E7E">
        <w:rPr>
          <w:rStyle w:val="RSCB02ArticleTextChar"/>
          <w:rFonts w:ascii="Cambria" w:hAnsi="Cambria"/>
          <w:w w:val="100"/>
          <w:sz w:val="15"/>
          <w:szCs w:val="15"/>
          <w:lang w:val="en-CA" w:eastAsia="en-CA"/>
        </w:rPr>
        <w:t xml:space="preserve"> and J. </w:t>
      </w:r>
      <w:proofErr w:type="spellStart"/>
      <w:r w:rsidRPr="00642E7E">
        <w:rPr>
          <w:rStyle w:val="RSCB02ArticleTextChar"/>
          <w:rFonts w:ascii="Cambria" w:hAnsi="Cambria"/>
          <w:w w:val="100"/>
          <w:sz w:val="15"/>
          <w:szCs w:val="15"/>
          <w:lang w:val="en-CA" w:eastAsia="en-CA"/>
        </w:rPr>
        <w:t>Mulzer</w:t>
      </w:r>
      <w:proofErr w:type="spellEnd"/>
      <w:r w:rsidRPr="00642E7E">
        <w:rPr>
          <w:rStyle w:val="RSCB02ArticleTextChar"/>
          <w:rFonts w:ascii="Cambria" w:hAnsi="Cambria"/>
          <w:w w:val="100"/>
          <w:sz w:val="15"/>
          <w:szCs w:val="15"/>
          <w:lang w:val="en-CA" w:eastAsia="en-CA"/>
        </w:rPr>
        <w:t xml:space="preserve">, </w:t>
      </w:r>
      <w:r w:rsidRPr="00642E7E">
        <w:rPr>
          <w:rStyle w:val="RSCB02ArticleTextChar"/>
          <w:rFonts w:ascii="Cambria" w:hAnsi="Cambria"/>
          <w:i/>
          <w:iCs/>
          <w:w w:val="100"/>
          <w:sz w:val="15"/>
          <w:szCs w:val="15"/>
          <w:lang w:val="en-CA" w:eastAsia="en-CA"/>
        </w:rPr>
        <w:t>Chem. Rev</w:t>
      </w:r>
      <w:r w:rsidRPr="00642E7E">
        <w:rPr>
          <w:rStyle w:val="RSCB02ArticleTextChar"/>
          <w:rFonts w:ascii="Cambria" w:hAnsi="Cambria"/>
          <w:w w:val="100"/>
          <w:sz w:val="15"/>
          <w:szCs w:val="15"/>
          <w:lang w:val="en-CA" w:eastAsia="en-CA"/>
        </w:rPr>
        <w:t xml:space="preserve">. 2010, </w:t>
      </w:r>
      <w:r w:rsidRPr="00642E7E">
        <w:rPr>
          <w:rStyle w:val="RSCB02ArticleTextChar"/>
          <w:rFonts w:ascii="Cambria" w:hAnsi="Cambria"/>
          <w:b/>
          <w:bCs/>
          <w:w w:val="100"/>
          <w:sz w:val="15"/>
          <w:szCs w:val="15"/>
          <w:lang w:val="en-CA" w:eastAsia="en-CA"/>
        </w:rPr>
        <w:t>110</w:t>
      </w:r>
      <w:r w:rsidRPr="00642E7E">
        <w:rPr>
          <w:rStyle w:val="RSCB02ArticleTextChar"/>
          <w:rFonts w:ascii="Cambria" w:hAnsi="Cambria"/>
          <w:w w:val="100"/>
          <w:sz w:val="15"/>
          <w:szCs w:val="15"/>
          <w:lang w:val="en-CA" w:eastAsia="en-CA"/>
        </w:rPr>
        <w:t xml:space="preserve">, 3741; (d) A. K. Clarke and W. P. Unsworth, </w:t>
      </w:r>
      <w:r w:rsidRPr="00642E7E">
        <w:rPr>
          <w:rStyle w:val="RSCB02ArticleTextChar"/>
          <w:rFonts w:ascii="Cambria" w:hAnsi="Cambria"/>
          <w:i/>
          <w:iCs/>
          <w:w w:val="100"/>
          <w:sz w:val="15"/>
          <w:szCs w:val="15"/>
          <w:lang w:val="en-CA" w:eastAsia="en-CA"/>
        </w:rPr>
        <w:t>Chem. Sci</w:t>
      </w:r>
      <w:r w:rsidRPr="00642E7E">
        <w:rPr>
          <w:rStyle w:val="RSCB02ArticleTextChar"/>
          <w:rFonts w:ascii="Cambria" w:hAnsi="Cambria"/>
          <w:w w:val="100"/>
          <w:sz w:val="15"/>
          <w:szCs w:val="15"/>
          <w:lang w:val="en-CA" w:eastAsia="en-CA"/>
        </w:rPr>
        <w:t xml:space="preserve">. 2020, </w:t>
      </w:r>
      <w:r w:rsidRPr="00642E7E">
        <w:rPr>
          <w:rStyle w:val="RSCB02ArticleTextChar"/>
          <w:rFonts w:ascii="Cambria" w:hAnsi="Cambria"/>
          <w:b/>
          <w:bCs/>
          <w:w w:val="100"/>
          <w:sz w:val="15"/>
          <w:szCs w:val="15"/>
          <w:lang w:val="en-CA" w:eastAsia="en-CA"/>
        </w:rPr>
        <w:t>11</w:t>
      </w:r>
      <w:r w:rsidRPr="00642E7E">
        <w:rPr>
          <w:rStyle w:val="RSCB02ArticleTextChar"/>
          <w:rFonts w:ascii="Cambria" w:hAnsi="Cambria"/>
          <w:w w:val="100"/>
          <w:sz w:val="15"/>
          <w:szCs w:val="15"/>
          <w:lang w:val="en-CA" w:eastAsia="en-CA"/>
        </w:rPr>
        <w:t>, 2876.</w:t>
      </w:r>
    </w:p>
    <w:p w14:paraId="072AD141" w14:textId="77777777" w:rsidR="002C212D" w:rsidRPr="00642E7E" w:rsidRDefault="002C212D" w:rsidP="002C212D">
      <w:pPr>
        <w:pStyle w:val="Ref"/>
        <w:rPr>
          <w:rStyle w:val="RSCB02ArticleTextChar"/>
          <w:w w:val="105"/>
          <w:sz w:val="16"/>
          <w:szCs w:val="16"/>
        </w:rPr>
      </w:pPr>
      <w:r w:rsidRPr="00642E7E">
        <w:t xml:space="preserve">For selected recent examples, see: (a) L. Li, Z.-L. Li, F.-L. Wang, Z. Guo, Y.-F. Cheng, N. Wang, X.-W. Dong, C. Fang, J. Liu, C. Hou, B. Tan and X.-Y. Liu, </w:t>
      </w:r>
      <w:r w:rsidRPr="00642E7E">
        <w:rPr>
          <w:i/>
          <w:iCs/>
        </w:rPr>
        <w:t xml:space="preserve">Nat. </w:t>
      </w:r>
      <w:proofErr w:type="spellStart"/>
      <w:r w:rsidRPr="00642E7E">
        <w:rPr>
          <w:i/>
          <w:iCs/>
        </w:rPr>
        <w:t>Commun</w:t>
      </w:r>
      <w:proofErr w:type="spellEnd"/>
      <w:r w:rsidRPr="00642E7E">
        <w:t xml:space="preserve">. 2016, </w:t>
      </w:r>
      <w:r w:rsidRPr="00642E7E">
        <w:rPr>
          <w:b/>
          <w:bCs/>
        </w:rPr>
        <w:t>7</w:t>
      </w:r>
      <w:r w:rsidRPr="00642E7E">
        <w:t xml:space="preserve">, 13852; (b) R. Mendoza‐Sanchez, V. B. </w:t>
      </w:r>
      <w:proofErr w:type="spellStart"/>
      <w:r w:rsidRPr="00642E7E">
        <w:t>Corless</w:t>
      </w:r>
      <w:proofErr w:type="spellEnd"/>
      <w:r w:rsidRPr="00642E7E">
        <w:t>, Q. N. N. Nguyen, M. Bergeron‐</w:t>
      </w:r>
      <w:proofErr w:type="spellStart"/>
      <w:r w:rsidRPr="00642E7E">
        <w:t>Brlek</w:t>
      </w:r>
      <w:proofErr w:type="spellEnd"/>
      <w:r w:rsidRPr="00642E7E">
        <w:t xml:space="preserve">, J. Frost, S. Adachi, D. J. </w:t>
      </w:r>
      <w:proofErr w:type="spellStart"/>
      <w:r w:rsidRPr="00642E7E">
        <w:t>Tantillo</w:t>
      </w:r>
      <w:proofErr w:type="spellEnd"/>
      <w:r w:rsidRPr="00642E7E">
        <w:t xml:space="preserve"> and A. K. </w:t>
      </w:r>
      <w:proofErr w:type="spellStart"/>
      <w:r w:rsidRPr="00642E7E">
        <w:t>Yudin</w:t>
      </w:r>
      <w:proofErr w:type="spellEnd"/>
      <w:r w:rsidRPr="00642E7E">
        <w:t xml:space="preserve">, </w:t>
      </w:r>
      <w:r w:rsidRPr="00642E7E">
        <w:rPr>
          <w:i/>
          <w:iCs/>
        </w:rPr>
        <w:t>Chem. Eur. J.</w:t>
      </w:r>
      <w:r w:rsidRPr="00642E7E">
        <w:t xml:space="preserve">, 2017, </w:t>
      </w:r>
      <w:r w:rsidRPr="00642E7E">
        <w:rPr>
          <w:b/>
          <w:bCs/>
        </w:rPr>
        <w:t>23</w:t>
      </w:r>
      <w:r w:rsidRPr="00642E7E">
        <w:t xml:space="preserve">, 13319; (c) R. </w:t>
      </w:r>
      <w:proofErr w:type="spellStart"/>
      <w:r w:rsidRPr="00642E7E">
        <w:t>Costil</w:t>
      </w:r>
      <w:proofErr w:type="spellEnd"/>
      <w:r w:rsidRPr="00642E7E">
        <w:t xml:space="preserve">, Q. Lefebvre and J. </w:t>
      </w:r>
      <w:proofErr w:type="spellStart"/>
      <w:r w:rsidRPr="00642E7E">
        <w:t>Clayden</w:t>
      </w:r>
      <w:proofErr w:type="spellEnd"/>
      <w:r w:rsidRPr="00642E7E">
        <w:t xml:space="preserve">, </w:t>
      </w:r>
      <w:proofErr w:type="spellStart"/>
      <w:r w:rsidRPr="00642E7E">
        <w:rPr>
          <w:i/>
          <w:iCs/>
        </w:rPr>
        <w:t>Angew</w:t>
      </w:r>
      <w:proofErr w:type="spellEnd"/>
      <w:r w:rsidRPr="00642E7E">
        <w:rPr>
          <w:i/>
          <w:iCs/>
        </w:rPr>
        <w:t>. Chem. Int. Ed</w:t>
      </w:r>
      <w:r w:rsidRPr="00642E7E">
        <w:t xml:space="preserve">., 2017, </w:t>
      </w:r>
      <w:r w:rsidRPr="00642E7E">
        <w:rPr>
          <w:b/>
          <w:bCs/>
        </w:rPr>
        <w:t>56</w:t>
      </w:r>
      <w:r w:rsidRPr="00642E7E">
        <w:t xml:space="preserve">, 14602; (d) D. </w:t>
      </w:r>
      <w:r w:rsidRPr="00642E7E">
        <w:rPr>
          <w:rFonts w:asciiTheme="majorHAnsi" w:hAnsiTheme="majorHAnsi"/>
        </w:rPr>
        <w:t xml:space="preserve">R. </w:t>
      </w:r>
      <w:proofErr w:type="spellStart"/>
      <w:r w:rsidRPr="00642E7E">
        <w:rPr>
          <w:rFonts w:asciiTheme="majorHAnsi" w:hAnsiTheme="majorHAnsi"/>
        </w:rPr>
        <w:t>Loya</w:t>
      </w:r>
      <w:proofErr w:type="spellEnd"/>
      <w:r w:rsidRPr="00642E7E">
        <w:rPr>
          <w:rFonts w:asciiTheme="majorHAnsi" w:hAnsiTheme="majorHAnsi"/>
        </w:rPr>
        <w:t xml:space="preserve">, A. Jean, M. Cormier, C. </w:t>
      </w:r>
      <w:proofErr w:type="spellStart"/>
      <w:r w:rsidRPr="00642E7E">
        <w:rPr>
          <w:rFonts w:asciiTheme="majorHAnsi" w:hAnsiTheme="majorHAnsi"/>
        </w:rPr>
        <w:t>Fressigné</w:t>
      </w:r>
      <w:proofErr w:type="spellEnd"/>
      <w:r w:rsidRPr="00642E7E">
        <w:rPr>
          <w:rFonts w:asciiTheme="majorHAnsi" w:hAnsiTheme="majorHAnsi"/>
        </w:rPr>
        <w:t xml:space="preserve">, S. </w:t>
      </w:r>
      <w:proofErr w:type="spellStart"/>
      <w:r w:rsidRPr="00642E7E">
        <w:rPr>
          <w:rFonts w:asciiTheme="majorHAnsi" w:hAnsiTheme="majorHAnsi"/>
        </w:rPr>
        <w:t>Nejrotti</w:t>
      </w:r>
      <w:proofErr w:type="spellEnd"/>
      <w:r w:rsidRPr="00642E7E">
        <w:rPr>
          <w:rFonts w:asciiTheme="majorHAnsi" w:hAnsiTheme="majorHAnsi"/>
        </w:rPr>
        <w:t xml:space="preserve">, J. Blanchet, J. </w:t>
      </w:r>
      <w:proofErr w:type="spellStart"/>
      <w:r w:rsidRPr="00642E7E">
        <w:rPr>
          <w:rFonts w:asciiTheme="majorHAnsi" w:hAnsiTheme="majorHAnsi"/>
        </w:rPr>
        <w:t>Maddaluno</w:t>
      </w:r>
      <w:proofErr w:type="spellEnd"/>
      <w:r w:rsidRPr="00642E7E">
        <w:rPr>
          <w:rFonts w:asciiTheme="majorHAnsi" w:hAnsiTheme="majorHAnsi"/>
        </w:rPr>
        <w:t xml:space="preserve"> and M. De </w:t>
      </w:r>
      <w:proofErr w:type="spellStart"/>
      <w:r w:rsidRPr="00642E7E">
        <w:rPr>
          <w:rFonts w:asciiTheme="majorHAnsi" w:hAnsiTheme="majorHAnsi"/>
        </w:rPr>
        <w:t>Paolis</w:t>
      </w:r>
      <w:proofErr w:type="spellEnd"/>
      <w:r w:rsidRPr="00642E7E">
        <w:rPr>
          <w:rFonts w:asciiTheme="majorHAnsi" w:hAnsiTheme="majorHAnsi"/>
        </w:rPr>
        <w:t xml:space="preserve">, </w:t>
      </w:r>
      <w:r w:rsidRPr="00642E7E">
        <w:rPr>
          <w:rFonts w:asciiTheme="majorHAnsi" w:hAnsiTheme="majorHAnsi"/>
          <w:i/>
          <w:iCs/>
        </w:rPr>
        <w:t>Chem. Eur. J</w:t>
      </w:r>
      <w:r w:rsidRPr="00642E7E">
        <w:rPr>
          <w:rFonts w:asciiTheme="majorHAnsi" w:hAnsiTheme="majorHAnsi"/>
        </w:rPr>
        <w:t xml:space="preserve">., 2018, </w:t>
      </w:r>
      <w:r w:rsidRPr="00642E7E">
        <w:rPr>
          <w:rFonts w:asciiTheme="majorHAnsi" w:hAnsiTheme="majorHAnsi"/>
          <w:b/>
          <w:bCs/>
        </w:rPr>
        <w:t>24</w:t>
      </w:r>
      <w:r w:rsidRPr="00642E7E">
        <w:rPr>
          <w:rFonts w:asciiTheme="majorHAnsi" w:hAnsiTheme="majorHAnsi"/>
        </w:rPr>
        <w:t xml:space="preserve">, 2080; e) </w:t>
      </w:r>
      <w:r w:rsidRPr="00642E7E">
        <w:rPr>
          <w:rStyle w:val="RSCB02ArticleTextChar"/>
          <w:rFonts w:asciiTheme="majorHAnsi" w:hAnsiTheme="majorHAnsi"/>
          <w:sz w:val="15"/>
          <w:szCs w:val="15"/>
        </w:rPr>
        <w:t xml:space="preserve">A. </w:t>
      </w:r>
      <w:proofErr w:type="spellStart"/>
      <w:r w:rsidRPr="00642E7E">
        <w:rPr>
          <w:rStyle w:val="RSCB02ArticleTextChar"/>
          <w:rFonts w:asciiTheme="majorHAnsi" w:hAnsiTheme="majorHAnsi"/>
          <w:sz w:val="15"/>
          <w:szCs w:val="15"/>
        </w:rPr>
        <w:t>Lawer</w:t>
      </w:r>
      <w:proofErr w:type="spellEnd"/>
      <w:r w:rsidRPr="00642E7E">
        <w:rPr>
          <w:rStyle w:val="RSCB02ArticleTextChar"/>
          <w:rFonts w:asciiTheme="majorHAnsi" w:hAnsiTheme="majorHAnsi"/>
          <w:sz w:val="15"/>
          <w:szCs w:val="15"/>
        </w:rPr>
        <w:t xml:space="preserve">, J. A. Rossi‐Ashton, T. C. Stephens, B. J. Challis, R. G. </w:t>
      </w:r>
      <w:proofErr w:type="spellStart"/>
      <w:r w:rsidRPr="00642E7E">
        <w:rPr>
          <w:rStyle w:val="RSCB02ArticleTextChar"/>
          <w:rFonts w:asciiTheme="majorHAnsi" w:hAnsiTheme="majorHAnsi"/>
          <w:sz w:val="15"/>
          <w:szCs w:val="15"/>
        </w:rPr>
        <w:t>Epton</w:t>
      </w:r>
      <w:proofErr w:type="spellEnd"/>
      <w:r w:rsidRPr="00642E7E">
        <w:rPr>
          <w:rStyle w:val="RSCB02ArticleTextChar"/>
          <w:rFonts w:asciiTheme="majorHAnsi" w:hAnsiTheme="majorHAnsi"/>
          <w:sz w:val="15"/>
          <w:szCs w:val="15"/>
        </w:rPr>
        <w:t xml:space="preserve">, J. M. </w:t>
      </w:r>
      <w:proofErr w:type="spellStart"/>
      <w:r w:rsidRPr="00642E7E">
        <w:rPr>
          <w:rStyle w:val="RSCB02ArticleTextChar"/>
          <w:rFonts w:asciiTheme="majorHAnsi" w:hAnsiTheme="majorHAnsi"/>
          <w:sz w:val="15"/>
          <w:szCs w:val="15"/>
        </w:rPr>
        <w:t>Lynam</w:t>
      </w:r>
      <w:proofErr w:type="spellEnd"/>
      <w:r w:rsidRPr="00642E7E">
        <w:rPr>
          <w:rStyle w:val="RSCB02ArticleTextChar"/>
          <w:rFonts w:asciiTheme="majorHAnsi" w:hAnsiTheme="majorHAnsi"/>
          <w:sz w:val="15"/>
          <w:szCs w:val="15"/>
        </w:rPr>
        <w:t xml:space="preserve"> and W. P. Unsworth, </w:t>
      </w:r>
      <w:proofErr w:type="spellStart"/>
      <w:r w:rsidRPr="00642E7E">
        <w:rPr>
          <w:rStyle w:val="RSCB02ArticleTextChar"/>
          <w:rFonts w:asciiTheme="majorHAnsi" w:hAnsiTheme="majorHAnsi"/>
          <w:i/>
          <w:sz w:val="15"/>
          <w:szCs w:val="15"/>
        </w:rPr>
        <w:t>Angew</w:t>
      </w:r>
      <w:proofErr w:type="spellEnd"/>
      <w:r w:rsidRPr="00642E7E">
        <w:rPr>
          <w:rStyle w:val="RSCB02ArticleTextChar"/>
          <w:rFonts w:asciiTheme="majorHAnsi" w:hAnsiTheme="majorHAnsi"/>
          <w:i/>
          <w:sz w:val="15"/>
          <w:szCs w:val="15"/>
        </w:rPr>
        <w:t>. Chem. Int. Ed.</w:t>
      </w:r>
      <w:r w:rsidRPr="00642E7E">
        <w:rPr>
          <w:rStyle w:val="RSCB02ArticleTextChar"/>
          <w:rFonts w:asciiTheme="majorHAnsi" w:hAnsiTheme="majorHAnsi"/>
          <w:sz w:val="15"/>
          <w:szCs w:val="15"/>
        </w:rPr>
        <w:t xml:space="preserve"> 2019, </w:t>
      </w:r>
      <w:r w:rsidRPr="00642E7E">
        <w:rPr>
          <w:rStyle w:val="RSCB02ArticleTextChar"/>
          <w:rFonts w:asciiTheme="majorHAnsi" w:hAnsiTheme="majorHAnsi"/>
          <w:b/>
          <w:sz w:val="15"/>
          <w:szCs w:val="15"/>
        </w:rPr>
        <w:t>58</w:t>
      </w:r>
      <w:r w:rsidRPr="00642E7E">
        <w:rPr>
          <w:rStyle w:val="RSCB02ArticleTextChar"/>
          <w:rFonts w:asciiTheme="majorHAnsi" w:hAnsiTheme="majorHAnsi"/>
          <w:sz w:val="15"/>
          <w:szCs w:val="15"/>
        </w:rPr>
        <w:t>, 13942</w:t>
      </w:r>
      <w:r w:rsidRPr="00642E7E">
        <w:rPr>
          <w:rFonts w:asciiTheme="majorHAnsi" w:hAnsiTheme="majorHAnsi"/>
        </w:rPr>
        <w:t xml:space="preserve">; (f) S. </w:t>
      </w:r>
      <w:proofErr w:type="spellStart"/>
      <w:r w:rsidRPr="00642E7E">
        <w:rPr>
          <w:rFonts w:asciiTheme="majorHAnsi" w:hAnsiTheme="majorHAnsi"/>
        </w:rPr>
        <w:t>Grintsevich</w:t>
      </w:r>
      <w:proofErr w:type="spellEnd"/>
      <w:r w:rsidRPr="00642E7E">
        <w:rPr>
          <w:rFonts w:asciiTheme="majorHAnsi" w:hAnsiTheme="majorHAnsi"/>
        </w:rPr>
        <w:t xml:space="preserve">, A. </w:t>
      </w:r>
      <w:proofErr w:type="spellStart"/>
      <w:r w:rsidRPr="00642E7E">
        <w:rPr>
          <w:rFonts w:asciiTheme="majorHAnsi" w:hAnsiTheme="majorHAnsi"/>
        </w:rPr>
        <w:t>Sapegin</w:t>
      </w:r>
      <w:proofErr w:type="spellEnd"/>
      <w:r w:rsidRPr="00642E7E">
        <w:rPr>
          <w:rFonts w:asciiTheme="majorHAnsi" w:hAnsiTheme="majorHAnsi"/>
        </w:rPr>
        <w:t xml:space="preserve">, E. </w:t>
      </w:r>
      <w:proofErr w:type="spellStart"/>
      <w:r w:rsidRPr="00642E7E">
        <w:rPr>
          <w:rFonts w:asciiTheme="majorHAnsi" w:hAnsiTheme="majorHAnsi"/>
        </w:rPr>
        <w:t>Reutskaya</w:t>
      </w:r>
      <w:proofErr w:type="spellEnd"/>
      <w:r w:rsidRPr="00642E7E">
        <w:rPr>
          <w:rFonts w:asciiTheme="majorHAnsi" w:hAnsiTheme="majorHAnsi"/>
        </w:rPr>
        <w:t xml:space="preserve">, S. </w:t>
      </w:r>
      <w:proofErr w:type="spellStart"/>
      <w:r w:rsidRPr="00642E7E">
        <w:rPr>
          <w:rFonts w:asciiTheme="majorHAnsi" w:hAnsiTheme="majorHAnsi"/>
        </w:rPr>
        <w:t>Peintner</w:t>
      </w:r>
      <w:proofErr w:type="spellEnd"/>
      <w:r w:rsidRPr="00642E7E">
        <w:rPr>
          <w:rFonts w:asciiTheme="majorHAnsi" w:hAnsiTheme="majorHAnsi"/>
        </w:rPr>
        <w:t xml:space="preserve">, M. </w:t>
      </w:r>
      <w:proofErr w:type="spellStart"/>
      <w:r w:rsidRPr="00642E7E">
        <w:rPr>
          <w:rFonts w:asciiTheme="majorHAnsi" w:hAnsiTheme="majorHAnsi"/>
        </w:rPr>
        <w:t>Erdélyi</w:t>
      </w:r>
      <w:proofErr w:type="spellEnd"/>
      <w:r w:rsidRPr="00642E7E">
        <w:rPr>
          <w:rFonts w:asciiTheme="majorHAnsi" w:hAnsiTheme="majorHAnsi"/>
        </w:rPr>
        <w:t xml:space="preserve"> and M. </w:t>
      </w:r>
      <w:proofErr w:type="spellStart"/>
      <w:r w:rsidRPr="00642E7E">
        <w:rPr>
          <w:rFonts w:asciiTheme="majorHAnsi" w:hAnsiTheme="majorHAnsi"/>
        </w:rPr>
        <w:t>Krasavin</w:t>
      </w:r>
      <w:proofErr w:type="spellEnd"/>
      <w:r w:rsidRPr="00642E7E">
        <w:rPr>
          <w:rFonts w:asciiTheme="majorHAnsi" w:hAnsiTheme="majorHAnsi"/>
        </w:rPr>
        <w:t xml:space="preserve">, </w:t>
      </w:r>
      <w:r w:rsidRPr="00642E7E">
        <w:rPr>
          <w:rFonts w:asciiTheme="majorHAnsi" w:hAnsiTheme="majorHAnsi"/>
          <w:i/>
          <w:iCs/>
        </w:rPr>
        <w:t xml:space="preserve">Eur. J. Org. Chem. </w:t>
      </w:r>
      <w:r w:rsidRPr="00642E7E">
        <w:rPr>
          <w:rFonts w:asciiTheme="majorHAnsi" w:hAnsiTheme="majorHAnsi"/>
        </w:rPr>
        <w:t>2020, 5664; (g)</w:t>
      </w:r>
      <w:r w:rsidRPr="00642E7E">
        <w:rPr>
          <w:rStyle w:val="RSCB02ArticleTextChar"/>
          <w:rFonts w:asciiTheme="majorHAnsi" w:hAnsiTheme="majorHAnsi"/>
          <w:sz w:val="15"/>
          <w:szCs w:val="15"/>
        </w:rPr>
        <w:t xml:space="preserve"> J. Shang, V. J. </w:t>
      </w:r>
      <w:proofErr w:type="spellStart"/>
      <w:r w:rsidRPr="00642E7E">
        <w:rPr>
          <w:rStyle w:val="RSCB02ArticleTextChar"/>
          <w:rFonts w:asciiTheme="majorHAnsi" w:hAnsiTheme="majorHAnsi"/>
          <w:sz w:val="15"/>
          <w:szCs w:val="15"/>
        </w:rPr>
        <w:t>Thombare</w:t>
      </w:r>
      <w:proofErr w:type="spellEnd"/>
      <w:r w:rsidRPr="00642E7E">
        <w:rPr>
          <w:rStyle w:val="RSCB02ArticleTextChar"/>
          <w:rFonts w:asciiTheme="majorHAnsi" w:hAnsiTheme="majorHAnsi"/>
          <w:sz w:val="15"/>
          <w:szCs w:val="15"/>
        </w:rPr>
        <w:t xml:space="preserve">, C. L. Charron, U. Wille and C. Hutton, </w:t>
      </w:r>
      <w:r w:rsidRPr="00642E7E">
        <w:rPr>
          <w:rStyle w:val="RSCB02ArticleTextChar"/>
          <w:rFonts w:asciiTheme="majorHAnsi" w:hAnsiTheme="majorHAnsi"/>
          <w:i/>
          <w:iCs/>
          <w:sz w:val="15"/>
          <w:szCs w:val="15"/>
        </w:rPr>
        <w:t>Chem. Eur. J</w:t>
      </w:r>
      <w:r w:rsidRPr="00642E7E">
        <w:rPr>
          <w:rStyle w:val="RSCB02ArticleTextChar"/>
          <w:rFonts w:asciiTheme="majorHAnsi" w:hAnsiTheme="majorHAnsi"/>
          <w:sz w:val="15"/>
          <w:szCs w:val="15"/>
        </w:rPr>
        <w:t xml:space="preserve">. 2021, </w:t>
      </w:r>
      <w:r w:rsidRPr="00642E7E">
        <w:rPr>
          <w:rStyle w:val="RSCB02ArticleTextChar"/>
          <w:rFonts w:asciiTheme="majorHAnsi" w:hAnsiTheme="majorHAnsi"/>
          <w:b/>
          <w:bCs/>
          <w:sz w:val="15"/>
          <w:szCs w:val="15"/>
        </w:rPr>
        <w:t>26</w:t>
      </w:r>
      <w:r w:rsidRPr="00642E7E">
        <w:rPr>
          <w:rStyle w:val="RSCB02ArticleTextChar"/>
          <w:rFonts w:asciiTheme="majorHAnsi" w:hAnsiTheme="majorHAnsi"/>
          <w:sz w:val="15"/>
          <w:szCs w:val="15"/>
        </w:rPr>
        <w:t>, 1620.</w:t>
      </w:r>
    </w:p>
    <w:p w14:paraId="10AA69EF" w14:textId="77777777" w:rsidR="002C212D" w:rsidRPr="00642E7E" w:rsidRDefault="002C212D" w:rsidP="002C212D">
      <w:pPr>
        <w:pStyle w:val="Ref"/>
        <w:rPr>
          <w:rStyle w:val="RSCB02ArticleTextChar"/>
          <w:rFonts w:asciiTheme="majorHAnsi" w:hAnsiTheme="majorHAnsi"/>
          <w:w w:val="105"/>
          <w:sz w:val="15"/>
          <w:szCs w:val="15"/>
        </w:rPr>
      </w:pPr>
      <w:r w:rsidRPr="00642E7E">
        <w:rPr>
          <w:rStyle w:val="RSCB02ArticleTextChar"/>
          <w:rFonts w:asciiTheme="majorHAnsi" w:hAnsiTheme="majorHAnsi"/>
          <w:w w:val="105"/>
          <w:sz w:val="15"/>
          <w:szCs w:val="15"/>
        </w:rPr>
        <w:t xml:space="preserve">(a) C. </w:t>
      </w:r>
      <w:proofErr w:type="spellStart"/>
      <w:r w:rsidRPr="00642E7E">
        <w:rPr>
          <w:rStyle w:val="RSCB02ArticleTextChar"/>
          <w:rFonts w:asciiTheme="majorHAnsi" w:hAnsiTheme="majorHAnsi"/>
          <w:w w:val="105"/>
          <w:sz w:val="15"/>
          <w:szCs w:val="15"/>
        </w:rPr>
        <w:t>Kitsiou</w:t>
      </w:r>
      <w:proofErr w:type="spellEnd"/>
      <w:r w:rsidRPr="00642E7E">
        <w:rPr>
          <w:rStyle w:val="RSCB02ArticleTextChar"/>
          <w:rFonts w:asciiTheme="majorHAnsi" w:hAnsiTheme="majorHAnsi"/>
          <w:w w:val="105"/>
          <w:sz w:val="15"/>
          <w:szCs w:val="15"/>
        </w:rPr>
        <w:t xml:space="preserve">, J. J. </w:t>
      </w:r>
      <w:proofErr w:type="spellStart"/>
      <w:r w:rsidRPr="00642E7E">
        <w:rPr>
          <w:rStyle w:val="RSCB02ArticleTextChar"/>
          <w:rFonts w:asciiTheme="majorHAnsi" w:hAnsiTheme="majorHAnsi"/>
          <w:w w:val="105"/>
          <w:sz w:val="15"/>
          <w:szCs w:val="15"/>
        </w:rPr>
        <w:t>Hindes</w:t>
      </w:r>
      <w:proofErr w:type="spellEnd"/>
      <w:r w:rsidRPr="00642E7E">
        <w:rPr>
          <w:rStyle w:val="RSCB02ArticleTextChar"/>
          <w:rFonts w:asciiTheme="majorHAnsi" w:hAnsiTheme="majorHAnsi"/>
          <w:w w:val="105"/>
          <w:sz w:val="15"/>
          <w:szCs w:val="15"/>
        </w:rPr>
        <w:t xml:space="preserve">, P. </w:t>
      </w:r>
      <w:proofErr w:type="spellStart"/>
      <w:r w:rsidRPr="00642E7E">
        <w:rPr>
          <w:rStyle w:val="RSCB02ArticleTextChar"/>
          <w:rFonts w:asciiTheme="majorHAnsi" w:hAnsiTheme="majorHAnsi"/>
          <w:w w:val="105"/>
          <w:sz w:val="15"/>
          <w:szCs w:val="15"/>
        </w:rPr>
        <w:t>I’Anson</w:t>
      </w:r>
      <w:proofErr w:type="spellEnd"/>
      <w:r w:rsidRPr="00642E7E">
        <w:rPr>
          <w:rStyle w:val="RSCB02ArticleTextChar"/>
          <w:rFonts w:asciiTheme="majorHAnsi" w:hAnsiTheme="majorHAnsi"/>
          <w:w w:val="105"/>
          <w:sz w:val="15"/>
          <w:szCs w:val="15"/>
        </w:rPr>
        <w:t xml:space="preserve">, P. Jackson, T. C. Wilson, E. K. Daly, H. R. Felstead, P. </w:t>
      </w:r>
      <w:proofErr w:type="spellStart"/>
      <w:r w:rsidRPr="00642E7E">
        <w:rPr>
          <w:rStyle w:val="RSCB02ArticleTextChar"/>
          <w:rFonts w:asciiTheme="majorHAnsi" w:hAnsiTheme="majorHAnsi"/>
          <w:w w:val="105"/>
          <w:sz w:val="15"/>
          <w:szCs w:val="15"/>
        </w:rPr>
        <w:t>Hearnshaw</w:t>
      </w:r>
      <w:proofErr w:type="spellEnd"/>
      <w:r w:rsidRPr="00642E7E">
        <w:rPr>
          <w:rStyle w:val="RSCB02ArticleTextChar"/>
          <w:rFonts w:asciiTheme="majorHAnsi" w:hAnsiTheme="majorHAnsi"/>
          <w:w w:val="105"/>
          <w:sz w:val="15"/>
          <w:szCs w:val="15"/>
        </w:rPr>
        <w:t xml:space="preserve"> and W. P. Unsworth, </w:t>
      </w:r>
      <w:proofErr w:type="spellStart"/>
      <w:r w:rsidRPr="00642E7E">
        <w:rPr>
          <w:rStyle w:val="RSCB02ArticleTextChar"/>
          <w:rFonts w:asciiTheme="majorHAnsi" w:hAnsiTheme="majorHAnsi"/>
          <w:i/>
          <w:iCs/>
          <w:w w:val="105"/>
          <w:sz w:val="15"/>
          <w:szCs w:val="15"/>
        </w:rPr>
        <w:t>Angew</w:t>
      </w:r>
      <w:proofErr w:type="spellEnd"/>
      <w:r w:rsidRPr="00642E7E">
        <w:rPr>
          <w:rStyle w:val="RSCB02ArticleTextChar"/>
          <w:rFonts w:asciiTheme="majorHAnsi" w:hAnsiTheme="majorHAnsi"/>
          <w:i/>
          <w:iCs/>
          <w:w w:val="105"/>
          <w:sz w:val="15"/>
          <w:szCs w:val="15"/>
        </w:rPr>
        <w:t>. Chem. Int. Ed</w:t>
      </w:r>
      <w:r w:rsidRPr="00642E7E">
        <w:rPr>
          <w:rStyle w:val="RSCB02ArticleTextChar"/>
          <w:rFonts w:asciiTheme="majorHAnsi" w:hAnsiTheme="majorHAnsi"/>
          <w:w w:val="105"/>
          <w:sz w:val="15"/>
          <w:szCs w:val="15"/>
        </w:rPr>
        <w:t xml:space="preserve">. 2015, </w:t>
      </w:r>
      <w:r w:rsidRPr="00642E7E">
        <w:rPr>
          <w:rStyle w:val="RSCB02ArticleTextChar"/>
          <w:rFonts w:asciiTheme="majorHAnsi" w:hAnsiTheme="majorHAnsi"/>
          <w:b/>
          <w:bCs/>
          <w:w w:val="105"/>
          <w:sz w:val="15"/>
          <w:szCs w:val="15"/>
        </w:rPr>
        <w:t>54</w:t>
      </w:r>
      <w:r w:rsidRPr="00642E7E">
        <w:rPr>
          <w:rStyle w:val="RSCB02ArticleTextChar"/>
          <w:rFonts w:asciiTheme="majorHAnsi" w:hAnsiTheme="majorHAnsi"/>
          <w:w w:val="105"/>
          <w:sz w:val="15"/>
          <w:szCs w:val="15"/>
        </w:rPr>
        <w:t xml:space="preserve">, 15794; (b) L. G. Baud, M. A. Manning, H. L. </w:t>
      </w:r>
      <w:proofErr w:type="spellStart"/>
      <w:r w:rsidRPr="00642E7E">
        <w:rPr>
          <w:rStyle w:val="RSCB02ArticleTextChar"/>
          <w:rFonts w:asciiTheme="majorHAnsi" w:hAnsiTheme="majorHAnsi"/>
          <w:w w:val="105"/>
          <w:sz w:val="15"/>
          <w:szCs w:val="15"/>
        </w:rPr>
        <w:t>Arkless</w:t>
      </w:r>
      <w:proofErr w:type="spellEnd"/>
      <w:r w:rsidRPr="00642E7E">
        <w:rPr>
          <w:rStyle w:val="RSCB02ArticleTextChar"/>
          <w:rFonts w:asciiTheme="majorHAnsi" w:hAnsiTheme="majorHAnsi"/>
          <w:w w:val="105"/>
          <w:sz w:val="15"/>
          <w:szCs w:val="15"/>
        </w:rPr>
        <w:t xml:space="preserve">, T. C. Stephens and W. P. Unsworth, </w:t>
      </w:r>
      <w:r w:rsidRPr="00642E7E">
        <w:rPr>
          <w:rStyle w:val="RSCB02ArticleTextChar"/>
          <w:rFonts w:asciiTheme="majorHAnsi" w:hAnsiTheme="majorHAnsi"/>
          <w:i/>
          <w:iCs/>
          <w:w w:val="105"/>
          <w:sz w:val="15"/>
          <w:szCs w:val="15"/>
        </w:rPr>
        <w:t>Chem. Eur. J</w:t>
      </w:r>
      <w:r w:rsidRPr="00642E7E">
        <w:rPr>
          <w:rStyle w:val="RSCB02ArticleTextChar"/>
          <w:rFonts w:asciiTheme="majorHAnsi" w:hAnsiTheme="majorHAnsi"/>
          <w:w w:val="105"/>
          <w:sz w:val="15"/>
          <w:szCs w:val="15"/>
        </w:rPr>
        <w:t xml:space="preserve">. 2017, </w:t>
      </w:r>
      <w:r w:rsidRPr="00642E7E">
        <w:rPr>
          <w:rStyle w:val="RSCB02ArticleTextChar"/>
          <w:rFonts w:asciiTheme="majorHAnsi" w:hAnsiTheme="majorHAnsi"/>
          <w:b/>
          <w:bCs/>
          <w:w w:val="105"/>
          <w:sz w:val="15"/>
          <w:szCs w:val="15"/>
        </w:rPr>
        <w:t>23</w:t>
      </w:r>
      <w:r w:rsidRPr="00642E7E">
        <w:rPr>
          <w:rStyle w:val="RSCB02ArticleTextChar"/>
          <w:rFonts w:asciiTheme="majorHAnsi" w:hAnsiTheme="majorHAnsi"/>
          <w:w w:val="105"/>
          <w:sz w:val="15"/>
          <w:szCs w:val="15"/>
        </w:rPr>
        <w:t xml:space="preserve">, 2225; (c) T. C. Stephens, M. Lodi, A. Steer, Y. Lin, M. Gill and W. P. Unsworth, </w:t>
      </w:r>
      <w:r w:rsidRPr="00642E7E">
        <w:rPr>
          <w:rStyle w:val="RSCB02ArticleTextChar"/>
          <w:rFonts w:asciiTheme="majorHAnsi" w:hAnsiTheme="majorHAnsi"/>
          <w:i/>
          <w:iCs/>
          <w:w w:val="105"/>
          <w:sz w:val="15"/>
          <w:szCs w:val="15"/>
        </w:rPr>
        <w:t>Chem. Eur. J.</w:t>
      </w:r>
      <w:r w:rsidRPr="00642E7E">
        <w:rPr>
          <w:rStyle w:val="RSCB02ArticleTextChar"/>
          <w:rFonts w:asciiTheme="majorHAnsi" w:hAnsiTheme="majorHAnsi"/>
          <w:w w:val="105"/>
          <w:sz w:val="15"/>
          <w:szCs w:val="15"/>
        </w:rPr>
        <w:t xml:space="preserve"> 2017, </w:t>
      </w:r>
      <w:r w:rsidRPr="00642E7E">
        <w:rPr>
          <w:rStyle w:val="RSCB02ArticleTextChar"/>
          <w:rFonts w:asciiTheme="majorHAnsi" w:hAnsiTheme="majorHAnsi"/>
          <w:b/>
          <w:bCs/>
          <w:w w:val="105"/>
          <w:sz w:val="15"/>
          <w:szCs w:val="15"/>
        </w:rPr>
        <w:t>23</w:t>
      </w:r>
      <w:r w:rsidRPr="00642E7E">
        <w:rPr>
          <w:rStyle w:val="RSCB02ArticleTextChar"/>
          <w:rFonts w:asciiTheme="majorHAnsi" w:hAnsiTheme="majorHAnsi"/>
          <w:w w:val="105"/>
          <w:sz w:val="15"/>
          <w:szCs w:val="15"/>
        </w:rPr>
        <w:t xml:space="preserve">, 13314; (d) </w:t>
      </w:r>
      <w:r w:rsidRPr="00642E7E">
        <w:rPr>
          <w:rStyle w:val="RSCB02ArticleTextChar"/>
          <w:rFonts w:asciiTheme="majorHAnsi" w:hAnsiTheme="majorHAnsi"/>
          <w:sz w:val="15"/>
          <w:szCs w:val="15"/>
        </w:rPr>
        <w:t xml:space="preserve">T. C. Stephens, A. </w:t>
      </w:r>
      <w:proofErr w:type="spellStart"/>
      <w:r w:rsidRPr="00642E7E">
        <w:rPr>
          <w:rStyle w:val="RSCB02ArticleTextChar"/>
          <w:rFonts w:asciiTheme="majorHAnsi" w:hAnsiTheme="majorHAnsi"/>
          <w:sz w:val="15"/>
          <w:szCs w:val="15"/>
        </w:rPr>
        <w:t>Lawer</w:t>
      </w:r>
      <w:proofErr w:type="spellEnd"/>
      <w:r w:rsidRPr="00642E7E">
        <w:rPr>
          <w:rStyle w:val="RSCB02ArticleTextChar"/>
          <w:rFonts w:asciiTheme="majorHAnsi" w:hAnsiTheme="majorHAnsi"/>
          <w:sz w:val="15"/>
          <w:szCs w:val="15"/>
        </w:rPr>
        <w:t xml:space="preserve">, T. French and W. P. Unsworth, </w:t>
      </w:r>
      <w:r w:rsidRPr="00642E7E">
        <w:rPr>
          <w:rStyle w:val="RSCB02ArticleTextChar"/>
          <w:rFonts w:asciiTheme="majorHAnsi" w:hAnsiTheme="majorHAnsi"/>
          <w:i/>
          <w:sz w:val="15"/>
          <w:szCs w:val="15"/>
        </w:rPr>
        <w:t>Chem. Eur. J.</w:t>
      </w:r>
      <w:r w:rsidRPr="00642E7E">
        <w:rPr>
          <w:rStyle w:val="RSCB02ArticleTextChar"/>
          <w:rFonts w:asciiTheme="majorHAnsi" w:hAnsiTheme="majorHAnsi"/>
          <w:sz w:val="15"/>
          <w:szCs w:val="15"/>
        </w:rPr>
        <w:t xml:space="preserve"> 2018, </w:t>
      </w:r>
      <w:r w:rsidRPr="00642E7E">
        <w:rPr>
          <w:rStyle w:val="RSCB02ArticleTextChar"/>
          <w:rFonts w:asciiTheme="majorHAnsi" w:hAnsiTheme="majorHAnsi"/>
          <w:b/>
          <w:sz w:val="15"/>
          <w:szCs w:val="15"/>
        </w:rPr>
        <w:t>24</w:t>
      </w:r>
      <w:r w:rsidRPr="00642E7E">
        <w:rPr>
          <w:rStyle w:val="RSCB02ArticleTextChar"/>
          <w:rFonts w:asciiTheme="majorHAnsi" w:hAnsiTheme="majorHAnsi"/>
          <w:sz w:val="15"/>
          <w:szCs w:val="15"/>
        </w:rPr>
        <w:t xml:space="preserve">, 13947; (e) </w:t>
      </w:r>
      <w:r w:rsidRPr="00642E7E">
        <w:rPr>
          <w:rStyle w:val="RSCB02ArticleTextChar"/>
          <w:rFonts w:asciiTheme="majorHAnsi" w:hAnsiTheme="majorHAnsi"/>
          <w:w w:val="105"/>
          <w:sz w:val="15"/>
          <w:szCs w:val="15"/>
        </w:rPr>
        <w:t xml:space="preserve">A. </w:t>
      </w:r>
      <w:proofErr w:type="spellStart"/>
      <w:r w:rsidRPr="00642E7E">
        <w:rPr>
          <w:rStyle w:val="RSCB02ArticleTextChar"/>
          <w:rFonts w:asciiTheme="majorHAnsi" w:hAnsiTheme="majorHAnsi"/>
          <w:w w:val="105"/>
          <w:sz w:val="15"/>
          <w:szCs w:val="15"/>
        </w:rPr>
        <w:t>Lawer</w:t>
      </w:r>
      <w:proofErr w:type="spellEnd"/>
      <w:r w:rsidRPr="00642E7E">
        <w:rPr>
          <w:rStyle w:val="RSCB02ArticleTextChar"/>
          <w:rFonts w:asciiTheme="majorHAnsi" w:hAnsiTheme="majorHAnsi"/>
          <w:w w:val="105"/>
          <w:sz w:val="15"/>
          <w:szCs w:val="15"/>
        </w:rPr>
        <w:t xml:space="preserve">, R. G. </w:t>
      </w:r>
      <w:proofErr w:type="spellStart"/>
      <w:r w:rsidRPr="00642E7E">
        <w:rPr>
          <w:rStyle w:val="RSCB02ArticleTextChar"/>
          <w:rFonts w:asciiTheme="majorHAnsi" w:hAnsiTheme="majorHAnsi"/>
          <w:w w:val="105"/>
          <w:sz w:val="15"/>
          <w:szCs w:val="15"/>
        </w:rPr>
        <w:t>Epton</w:t>
      </w:r>
      <w:proofErr w:type="spellEnd"/>
      <w:r w:rsidRPr="00642E7E">
        <w:rPr>
          <w:rStyle w:val="RSCB02ArticleTextChar"/>
          <w:rFonts w:asciiTheme="majorHAnsi" w:hAnsiTheme="majorHAnsi"/>
          <w:w w:val="105"/>
          <w:sz w:val="15"/>
          <w:szCs w:val="15"/>
        </w:rPr>
        <w:t xml:space="preserve">, T. C. Stephens, K. Y. Palate, M. Lodi, E. Marotte, K. J. Lamb, J. K. Sangha, J. </w:t>
      </w:r>
      <w:proofErr w:type="spellStart"/>
      <w:r w:rsidRPr="00642E7E">
        <w:rPr>
          <w:rStyle w:val="RSCB02ArticleTextChar"/>
          <w:rFonts w:asciiTheme="majorHAnsi" w:hAnsiTheme="majorHAnsi"/>
          <w:w w:val="105"/>
          <w:sz w:val="15"/>
          <w:szCs w:val="15"/>
        </w:rPr>
        <w:t>Lynam</w:t>
      </w:r>
      <w:proofErr w:type="spellEnd"/>
      <w:r w:rsidRPr="00642E7E">
        <w:rPr>
          <w:rStyle w:val="RSCB02ArticleTextChar"/>
          <w:rFonts w:asciiTheme="majorHAnsi" w:hAnsiTheme="majorHAnsi"/>
          <w:w w:val="105"/>
          <w:sz w:val="15"/>
          <w:szCs w:val="15"/>
        </w:rPr>
        <w:t xml:space="preserve"> and W. P. Unsworth, </w:t>
      </w:r>
      <w:r w:rsidRPr="00642E7E">
        <w:rPr>
          <w:rStyle w:val="RSCB02ArticleTextChar"/>
          <w:rFonts w:asciiTheme="majorHAnsi" w:hAnsiTheme="majorHAnsi"/>
          <w:i/>
          <w:iCs/>
          <w:w w:val="105"/>
          <w:sz w:val="15"/>
          <w:szCs w:val="15"/>
        </w:rPr>
        <w:t>Chem. Eur. J</w:t>
      </w:r>
      <w:r w:rsidRPr="00642E7E">
        <w:rPr>
          <w:rStyle w:val="RSCB02ArticleTextChar"/>
          <w:rFonts w:asciiTheme="majorHAnsi" w:hAnsiTheme="majorHAnsi"/>
          <w:w w:val="105"/>
          <w:sz w:val="15"/>
          <w:szCs w:val="15"/>
        </w:rPr>
        <w:t xml:space="preserve">. 2020, </w:t>
      </w:r>
      <w:r w:rsidRPr="00642E7E">
        <w:rPr>
          <w:rStyle w:val="RSCB02ArticleTextChar"/>
          <w:rFonts w:asciiTheme="majorHAnsi" w:hAnsiTheme="majorHAnsi"/>
          <w:b/>
          <w:bCs/>
          <w:w w:val="105"/>
          <w:sz w:val="15"/>
          <w:szCs w:val="15"/>
        </w:rPr>
        <w:t>26</w:t>
      </w:r>
      <w:r w:rsidRPr="00642E7E">
        <w:rPr>
          <w:rStyle w:val="RSCB02ArticleTextChar"/>
          <w:rFonts w:asciiTheme="majorHAnsi" w:hAnsiTheme="majorHAnsi"/>
          <w:w w:val="105"/>
          <w:sz w:val="15"/>
          <w:szCs w:val="15"/>
        </w:rPr>
        <w:t xml:space="preserve">, 12674; (f) K. Y. Palate, R. G </w:t>
      </w:r>
      <w:proofErr w:type="spellStart"/>
      <w:r w:rsidRPr="00642E7E">
        <w:rPr>
          <w:rStyle w:val="RSCB02ArticleTextChar"/>
          <w:rFonts w:asciiTheme="majorHAnsi" w:hAnsiTheme="majorHAnsi"/>
          <w:w w:val="105"/>
          <w:sz w:val="15"/>
          <w:szCs w:val="15"/>
        </w:rPr>
        <w:t>Epton</w:t>
      </w:r>
      <w:proofErr w:type="spellEnd"/>
      <w:r w:rsidRPr="00642E7E">
        <w:rPr>
          <w:rStyle w:val="RSCB02ArticleTextChar"/>
          <w:rFonts w:asciiTheme="majorHAnsi" w:hAnsiTheme="majorHAnsi"/>
          <w:w w:val="105"/>
          <w:sz w:val="15"/>
          <w:szCs w:val="15"/>
        </w:rPr>
        <w:t xml:space="preserve">, A. C. </w:t>
      </w:r>
      <w:proofErr w:type="spellStart"/>
      <w:r w:rsidRPr="00642E7E">
        <w:rPr>
          <w:rStyle w:val="RSCB02ArticleTextChar"/>
          <w:rFonts w:asciiTheme="majorHAnsi" w:hAnsiTheme="majorHAnsi"/>
          <w:w w:val="105"/>
          <w:sz w:val="15"/>
          <w:szCs w:val="15"/>
        </w:rPr>
        <w:t>Whitwood</w:t>
      </w:r>
      <w:proofErr w:type="spellEnd"/>
      <w:r w:rsidRPr="00642E7E">
        <w:rPr>
          <w:rStyle w:val="RSCB02ArticleTextChar"/>
          <w:rFonts w:asciiTheme="majorHAnsi" w:hAnsiTheme="majorHAnsi"/>
          <w:w w:val="105"/>
          <w:sz w:val="15"/>
          <w:szCs w:val="15"/>
        </w:rPr>
        <w:t xml:space="preserve">, J. M. </w:t>
      </w:r>
      <w:proofErr w:type="spellStart"/>
      <w:r w:rsidRPr="00642E7E">
        <w:rPr>
          <w:rStyle w:val="RSCB02ArticleTextChar"/>
          <w:rFonts w:asciiTheme="majorHAnsi" w:hAnsiTheme="majorHAnsi"/>
          <w:w w:val="105"/>
          <w:sz w:val="15"/>
          <w:szCs w:val="15"/>
        </w:rPr>
        <w:t>Lynam</w:t>
      </w:r>
      <w:proofErr w:type="spellEnd"/>
      <w:r w:rsidRPr="00642E7E">
        <w:rPr>
          <w:rStyle w:val="RSCB02ArticleTextChar"/>
          <w:rFonts w:asciiTheme="majorHAnsi" w:hAnsiTheme="majorHAnsi"/>
          <w:w w:val="105"/>
          <w:sz w:val="15"/>
          <w:szCs w:val="15"/>
        </w:rPr>
        <w:t xml:space="preserve"> and W. P. Unsworth </w:t>
      </w:r>
      <w:r w:rsidRPr="00642E7E">
        <w:rPr>
          <w:rStyle w:val="RSCB02ArticleTextChar"/>
          <w:rFonts w:asciiTheme="majorHAnsi" w:hAnsiTheme="majorHAnsi"/>
          <w:i/>
          <w:iCs/>
          <w:w w:val="105"/>
          <w:sz w:val="15"/>
          <w:szCs w:val="15"/>
        </w:rPr>
        <w:t xml:space="preserve">Org. </w:t>
      </w:r>
      <w:proofErr w:type="spellStart"/>
      <w:r w:rsidRPr="00642E7E">
        <w:rPr>
          <w:rStyle w:val="RSCB02ArticleTextChar"/>
          <w:rFonts w:asciiTheme="majorHAnsi" w:hAnsiTheme="majorHAnsi"/>
          <w:i/>
          <w:iCs/>
          <w:w w:val="105"/>
          <w:sz w:val="15"/>
          <w:szCs w:val="15"/>
        </w:rPr>
        <w:t>Biomol</w:t>
      </w:r>
      <w:proofErr w:type="spellEnd"/>
      <w:r w:rsidRPr="00642E7E">
        <w:rPr>
          <w:rStyle w:val="RSCB02ArticleTextChar"/>
          <w:rFonts w:asciiTheme="majorHAnsi" w:hAnsiTheme="majorHAnsi"/>
          <w:i/>
          <w:iCs/>
          <w:w w:val="105"/>
          <w:sz w:val="15"/>
          <w:szCs w:val="15"/>
        </w:rPr>
        <w:t>. Chem</w:t>
      </w:r>
      <w:r w:rsidRPr="00642E7E">
        <w:rPr>
          <w:rStyle w:val="RSCB02ArticleTextChar"/>
          <w:rFonts w:asciiTheme="majorHAnsi" w:hAnsiTheme="majorHAnsi"/>
          <w:w w:val="105"/>
          <w:sz w:val="15"/>
          <w:szCs w:val="15"/>
        </w:rPr>
        <w:t xml:space="preserve">., 2021, </w:t>
      </w:r>
      <w:r w:rsidRPr="00642E7E">
        <w:rPr>
          <w:rStyle w:val="RSCB02ArticleTextChar"/>
          <w:rFonts w:asciiTheme="majorHAnsi" w:hAnsiTheme="majorHAnsi"/>
          <w:b/>
          <w:bCs/>
          <w:w w:val="105"/>
          <w:sz w:val="15"/>
          <w:szCs w:val="15"/>
        </w:rPr>
        <w:t>19</w:t>
      </w:r>
      <w:r w:rsidRPr="00642E7E">
        <w:rPr>
          <w:rStyle w:val="RSCB02ArticleTextChar"/>
          <w:rFonts w:asciiTheme="majorHAnsi" w:hAnsiTheme="majorHAnsi"/>
          <w:w w:val="105"/>
          <w:sz w:val="15"/>
          <w:szCs w:val="15"/>
        </w:rPr>
        <w:t xml:space="preserve">, 1404; (g) K. Y. Palate, Z. Yang, A. C. </w:t>
      </w:r>
      <w:proofErr w:type="spellStart"/>
      <w:r w:rsidRPr="00642E7E">
        <w:rPr>
          <w:rStyle w:val="RSCB02ArticleTextChar"/>
          <w:rFonts w:asciiTheme="majorHAnsi" w:hAnsiTheme="majorHAnsi"/>
          <w:w w:val="105"/>
          <w:sz w:val="15"/>
          <w:szCs w:val="15"/>
        </w:rPr>
        <w:t>Whitwood</w:t>
      </w:r>
      <w:proofErr w:type="spellEnd"/>
      <w:r w:rsidRPr="00642E7E">
        <w:rPr>
          <w:rStyle w:val="RSCB02ArticleTextChar"/>
          <w:rFonts w:asciiTheme="majorHAnsi" w:hAnsiTheme="majorHAnsi"/>
          <w:w w:val="105"/>
          <w:sz w:val="15"/>
          <w:szCs w:val="15"/>
        </w:rPr>
        <w:t xml:space="preserve"> and W. P. Unsworth </w:t>
      </w:r>
      <w:r w:rsidRPr="00642E7E">
        <w:rPr>
          <w:rStyle w:val="RSCB02ArticleTextChar"/>
          <w:rFonts w:asciiTheme="majorHAnsi" w:hAnsiTheme="majorHAnsi"/>
          <w:i/>
          <w:iCs/>
          <w:w w:val="105"/>
          <w:sz w:val="15"/>
          <w:szCs w:val="15"/>
        </w:rPr>
        <w:t>RSC Chem. Biol</w:t>
      </w:r>
      <w:r w:rsidRPr="00642E7E">
        <w:rPr>
          <w:rStyle w:val="RSCB02ArticleTextChar"/>
          <w:rFonts w:asciiTheme="majorHAnsi" w:hAnsiTheme="majorHAnsi"/>
          <w:w w:val="105"/>
          <w:sz w:val="15"/>
          <w:szCs w:val="15"/>
        </w:rPr>
        <w:t xml:space="preserve">., 2022, </w:t>
      </w:r>
      <w:r w:rsidRPr="00642E7E">
        <w:rPr>
          <w:rStyle w:val="RSCB02ArticleTextChar"/>
          <w:rFonts w:asciiTheme="majorHAnsi" w:hAnsiTheme="majorHAnsi"/>
          <w:b/>
          <w:bCs/>
          <w:w w:val="105"/>
          <w:sz w:val="15"/>
          <w:szCs w:val="15"/>
        </w:rPr>
        <w:t>3</w:t>
      </w:r>
      <w:r w:rsidRPr="00642E7E">
        <w:rPr>
          <w:rStyle w:val="RSCB02ArticleTextChar"/>
          <w:rFonts w:asciiTheme="majorHAnsi" w:hAnsiTheme="majorHAnsi"/>
          <w:w w:val="105"/>
          <w:sz w:val="15"/>
          <w:szCs w:val="15"/>
        </w:rPr>
        <w:t>, 334.</w:t>
      </w:r>
    </w:p>
    <w:p w14:paraId="74AEAC96" w14:textId="77777777" w:rsidR="002C212D" w:rsidRPr="00642E7E" w:rsidRDefault="002C212D" w:rsidP="002C212D">
      <w:pPr>
        <w:pStyle w:val="Ref"/>
        <w:rPr>
          <w:rStyle w:val="RSCB02ArticleTextChar"/>
          <w:rFonts w:asciiTheme="majorHAnsi" w:hAnsiTheme="majorHAnsi"/>
          <w:w w:val="105"/>
          <w:sz w:val="15"/>
          <w:szCs w:val="15"/>
        </w:rPr>
      </w:pPr>
      <w:r w:rsidRPr="00642E7E">
        <w:rPr>
          <w:rStyle w:val="RSCB02ArticleTextChar"/>
          <w:rFonts w:asciiTheme="majorHAnsi" w:hAnsiTheme="majorHAnsi"/>
          <w:sz w:val="15"/>
          <w:szCs w:val="15"/>
        </w:rPr>
        <w:t xml:space="preserve">For the application of SuRE reactions by another research group, see: C. Zhao, Z. Ye, Z.-X. Ma, S. A. Wildman, S. A. </w:t>
      </w:r>
      <w:proofErr w:type="spellStart"/>
      <w:r w:rsidRPr="00642E7E">
        <w:rPr>
          <w:rStyle w:val="RSCB02ArticleTextChar"/>
          <w:rFonts w:asciiTheme="majorHAnsi" w:hAnsiTheme="majorHAnsi"/>
          <w:sz w:val="15"/>
          <w:szCs w:val="15"/>
        </w:rPr>
        <w:t>Blaszczyk</w:t>
      </w:r>
      <w:proofErr w:type="spellEnd"/>
      <w:r w:rsidRPr="00642E7E">
        <w:rPr>
          <w:rStyle w:val="RSCB02ArticleTextChar"/>
          <w:rFonts w:asciiTheme="majorHAnsi" w:hAnsiTheme="majorHAnsi"/>
          <w:sz w:val="15"/>
          <w:szCs w:val="15"/>
        </w:rPr>
        <w:t xml:space="preserve">, L. Hu, I. A. </w:t>
      </w:r>
      <w:proofErr w:type="spellStart"/>
      <w:r w:rsidRPr="00642E7E">
        <w:rPr>
          <w:rStyle w:val="RSCB02ArticleTextChar"/>
          <w:rFonts w:asciiTheme="majorHAnsi" w:hAnsiTheme="majorHAnsi"/>
          <w:sz w:val="15"/>
          <w:szCs w:val="15"/>
        </w:rPr>
        <w:t>Guizei</w:t>
      </w:r>
      <w:proofErr w:type="spellEnd"/>
      <w:r w:rsidRPr="00642E7E">
        <w:rPr>
          <w:rStyle w:val="RSCB02ArticleTextChar"/>
          <w:rFonts w:asciiTheme="majorHAnsi" w:hAnsiTheme="majorHAnsi"/>
          <w:sz w:val="15"/>
          <w:szCs w:val="15"/>
        </w:rPr>
        <w:t xml:space="preserve"> and W. Tang, </w:t>
      </w:r>
      <w:r w:rsidRPr="00642E7E">
        <w:rPr>
          <w:rStyle w:val="RSCB02ArticleTextChar"/>
          <w:rFonts w:asciiTheme="majorHAnsi" w:hAnsiTheme="majorHAnsi"/>
          <w:i/>
          <w:iCs/>
          <w:sz w:val="15"/>
          <w:szCs w:val="15"/>
        </w:rPr>
        <w:t xml:space="preserve">Nat. </w:t>
      </w:r>
      <w:proofErr w:type="spellStart"/>
      <w:r w:rsidRPr="00642E7E">
        <w:rPr>
          <w:rStyle w:val="RSCB02ArticleTextChar"/>
          <w:rFonts w:asciiTheme="majorHAnsi" w:hAnsiTheme="majorHAnsi"/>
          <w:i/>
          <w:iCs/>
          <w:sz w:val="15"/>
          <w:szCs w:val="15"/>
        </w:rPr>
        <w:t>Commun</w:t>
      </w:r>
      <w:proofErr w:type="spellEnd"/>
      <w:r w:rsidRPr="00642E7E">
        <w:rPr>
          <w:rStyle w:val="RSCB02ArticleTextChar"/>
          <w:rFonts w:asciiTheme="majorHAnsi" w:hAnsiTheme="majorHAnsi"/>
          <w:sz w:val="15"/>
          <w:szCs w:val="15"/>
        </w:rPr>
        <w:t xml:space="preserve">. 2019, </w:t>
      </w:r>
      <w:r w:rsidRPr="00642E7E">
        <w:rPr>
          <w:rStyle w:val="RSCB02ArticleTextChar"/>
          <w:rFonts w:asciiTheme="majorHAnsi" w:hAnsiTheme="majorHAnsi"/>
          <w:b/>
          <w:bCs/>
          <w:sz w:val="15"/>
          <w:szCs w:val="15"/>
        </w:rPr>
        <w:t>10</w:t>
      </w:r>
      <w:r w:rsidRPr="00642E7E">
        <w:rPr>
          <w:rStyle w:val="RSCB02ArticleTextChar"/>
          <w:rFonts w:asciiTheme="majorHAnsi" w:hAnsiTheme="majorHAnsi"/>
          <w:sz w:val="15"/>
          <w:szCs w:val="15"/>
        </w:rPr>
        <w:t>, 4015, DOI: 10.1038/s41467-019-11976-2.</w:t>
      </w:r>
    </w:p>
    <w:p w14:paraId="6C1FDEFA" w14:textId="77777777" w:rsidR="002C212D" w:rsidRPr="00642E7E" w:rsidRDefault="002C212D" w:rsidP="002C212D">
      <w:pPr>
        <w:pStyle w:val="Ref"/>
      </w:pPr>
      <w:r w:rsidRPr="00642E7E">
        <w:t xml:space="preserve">L. J. Dolby and D. L. Booth, </w:t>
      </w:r>
      <w:r w:rsidRPr="00642E7E">
        <w:rPr>
          <w:i/>
          <w:iCs/>
        </w:rPr>
        <w:t>J. Am. Chem. Soc</w:t>
      </w:r>
      <w:r w:rsidRPr="00642E7E">
        <w:t xml:space="preserve">., 1966, </w:t>
      </w:r>
      <w:r w:rsidRPr="00642E7E">
        <w:rPr>
          <w:b/>
          <w:bCs/>
        </w:rPr>
        <w:t>88</w:t>
      </w:r>
      <w:r w:rsidRPr="00642E7E">
        <w:t>, 1049.</w:t>
      </w:r>
    </w:p>
    <w:p w14:paraId="1DBA1562" w14:textId="20D36799" w:rsidR="002C212D" w:rsidRPr="00642E7E" w:rsidRDefault="002C212D" w:rsidP="002C212D">
      <w:pPr>
        <w:pStyle w:val="Ref"/>
      </w:pPr>
      <w:r w:rsidRPr="00642E7E">
        <w:t xml:space="preserve">For useful perspective on how resonance and conformation can affect the reactivity of amide derivatives, see: (a) C. Liu and M. </w:t>
      </w:r>
      <w:proofErr w:type="spellStart"/>
      <w:r w:rsidRPr="00642E7E">
        <w:lastRenderedPageBreak/>
        <w:t>Szostak</w:t>
      </w:r>
      <w:proofErr w:type="spellEnd"/>
      <w:r w:rsidRPr="00642E7E">
        <w:t xml:space="preserve">, </w:t>
      </w:r>
      <w:r w:rsidRPr="00642E7E">
        <w:rPr>
          <w:i/>
          <w:iCs/>
        </w:rPr>
        <w:t xml:space="preserve">Chem. Eur. J. </w:t>
      </w:r>
      <w:r w:rsidRPr="00642E7E">
        <w:t xml:space="preserve">2017, </w:t>
      </w:r>
      <w:r w:rsidRPr="00642E7E">
        <w:rPr>
          <w:b/>
          <w:bCs/>
        </w:rPr>
        <w:t>23</w:t>
      </w:r>
      <w:r w:rsidRPr="00642E7E">
        <w:t xml:space="preserve">, 7157; (b) G. Li, S. </w:t>
      </w:r>
      <w:proofErr w:type="gramStart"/>
      <w:r w:rsidRPr="00642E7E">
        <w:t>Ma</w:t>
      </w:r>
      <w:proofErr w:type="gramEnd"/>
      <w:r w:rsidRPr="00642E7E">
        <w:t xml:space="preserve"> and M. </w:t>
      </w:r>
      <w:proofErr w:type="spellStart"/>
      <w:r w:rsidRPr="00642E7E">
        <w:t>Szostak</w:t>
      </w:r>
      <w:proofErr w:type="spellEnd"/>
      <w:r w:rsidRPr="00642E7E">
        <w:t xml:space="preserve">, </w:t>
      </w:r>
      <w:r w:rsidRPr="00642E7E">
        <w:rPr>
          <w:i/>
          <w:iCs/>
        </w:rPr>
        <w:t>Trends Chem</w:t>
      </w:r>
      <w:r w:rsidRPr="00642E7E">
        <w:t xml:space="preserve">., </w:t>
      </w:r>
      <w:r w:rsidRPr="00642E7E">
        <w:rPr>
          <w:b/>
          <w:bCs/>
        </w:rPr>
        <w:t>2</w:t>
      </w:r>
      <w:r w:rsidRPr="00642E7E">
        <w:t>, 2020, 914.</w:t>
      </w:r>
    </w:p>
    <w:p w14:paraId="693A27C7" w14:textId="0329950F" w:rsidR="00F20D20" w:rsidRPr="00642E7E" w:rsidRDefault="00F20D20" w:rsidP="002C212D">
      <w:pPr>
        <w:pStyle w:val="Ref"/>
      </w:pPr>
      <w:r w:rsidRPr="00642E7E">
        <w:t xml:space="preserve">In the cases of products </w:t>
      </w:r>
      <w:r w:rsidRPr="00642E7E">
        <w:rPr>
          <w:b/>
          <w:bCs/>
        </w:rPr>
        <w:t>28</w:t>
      </w:r>
      <w:r w:rsidRPr="00642E7E">
        <w:t xml:space="preserve"> and </w:t>
      </w:r>
      <w:r w:rsidRPr="00642E7E">
        <w:rPr>
          <w:b/>
          <w:bCs/>
        </w:rPr>
        <w:t>33</w:t>
      </w:r>
      <w:r w:rsidRPr="00642E7E">
        <w:t xml:space="preserve"> (</w:t>
      </w:r>
      <w:r w:rsidR="00005811" w:rsidRPr="00642E7E">
        <w:t xml:space="preserve">both </w:t>
      </w:r>
      <w:r w:rsidRPr="00642E7E">
        <w:t xml:space="preserve">prepared from enantiopure proteinogenic amino acids), the enantiopurity of the products was not measured in this study, but epimerisation </w:t>
      </w:r>
      <w:proofErr w:type="gramStart"/>
      <w:r w:rsidRPr="00642E7E">
        <w:t xml:space="preserve">is </w:t>
      </w:r>
      <w:r w:rsidR="00005811" w:rsidRPr="00642E7E">
        <w:t>considered to be</w:t>
      </w:r>
      <w:proofErr w:type="gramEnd"/>
      <w:r w:rsidR="00005811" w:rsidRPr="00642E7E">
        <w:t xml:space="preserve"> </w:t>
      </w:r>
      <w:r w:rsidRPr="00642E7E">
        <w:t>unlikely based on our previous studies (refs 14), in which such epimerisation was not observed in related systems.</w:t>
      </w:r>
    </w:p>
    <w:p w14:paraId="21401CF7" w14:textId="2A39B6E1" w:rsidR="00244B14" w:rsidRPr="00642E7E" w:rsidRDefault="00ED3267" w:rsidP="00D602E6">
      <w:pPr>
        <w:pStyle w:val="Ref"/>
      </w:pPr>
      <w:r w:rsidRPr="00642E7E">
        <w:rPr>
          <w:b/>
          <w:bCs/>
        </w:rPr>
        <w:t>Representative procedure for SuRE method A</w:t>
      </w:r>
      <w:r w:rsidRPr="00642E7E">
        <w:t xml:space="preserve"> (synthesis of </w:t>
      </w:r>
      <w:r w:rsidRPr="00642E7E">
        <w:rPr>
          <w:b/>
          <w:bCs/>
        </w:rPr>
        <w:t>28</w:t>
      </w:r>
      <w:r w:rsidRPr="00642E7E">
        <w:t>): 3,4,5,6-tetrahydro-1H-(1)-benzazonin-2,7-dione 8 (406.4 mg, 2.00 mmol), DMAP (24.4 mg, 0.200 mmol) and pyridine (0.970 mL, 12.0 mmol) in dry DCM (10 mL) under an argon atmosphere w</w:t>
      </w:r>
      <w:r w:rsidR="00723476" w:rsidRPr="00642E7E">
        <w:t>ere</w:t>
      </w:r>
      <w:r w:rsidRPr="00642E7E">
        <w:t xml:space="preserve"> stirred at RT for 30 mins. Next, a solution of acid chloride (6.0 mmol, 3.0 equiv., prepared from </w:t>
      </w:r>
      <w:proofErr w:type="spellStart"/>
      <w:r w:rsidRPr="00642E7E">
        <w:t>Cbz</w:t>
      </w:r>
      <w:proofErr w:type="spellEnd"/>
      <w:r w:rsidRPr="00642E7E">
        <w:t>-proline using the procedure</w:t>
      </w:r>
      <w:r w:rsidR="001F5A5B" w:rsidRPr="00642E7E">
        <w:t xml:space="preserve"> described in the ESI</w:t>
      </w:r>
      <w:r w:rsidRPr="00642E7E">
        <w:t xml:space="preserve">) in dry DCM (10 mL) was added and the resulting mixture was </w:t>
      </w:r>
      <w:r w:rsidR="001F5A5B" w:rsidRPr="00642E7E">
        <w:t xml:space="preserve">heated at </w:t>
      </w:r>
      <w:r w:rsidRPr="00642E7E">
        <w:t xml:space="preserve">reflux </w:t>
      </w:r>
      <w:r w:rsidR="001F5A5B" w:rsidRPr="00642E7E">
        <w:t>(5</w:t>
      </w:r>
      <w:r w:rsidRPr="00642E7E">
        <w:t>0 °C</w:t>
      </w:r>
      <w:r w:rsidR="001F5A5B" w:rsidRPr="00642E7E">
        <w:t>)</w:t>
      </w:r>
      <w:r w:rsidRPr="00642E7E">
        <w:t xml:space="preserve"> for 18 h. The solvent was then concentrated in vacuo, loaded onto a short silica plug and eluted with ethyl acetate, to remove majority of excess carboxylic acid and pyridine residues, and concentrated in vacuo. This material was re-dissolved in MeOH (20 mL) and placed under an argon atmosphere. Palladium on carbon (200 mg, 10% </w:t>
      </w:r>
      <w:r w:rsidR="00723476" w:rsidRPr="00642E7E">
        <w:t xml:space="preserve">Pd </w:t>
      </w:r>
      <w:r w:rsidRPr="00642E7E">
        <w:t xml:space="preserve">on carbon) was added and the reaction vessel was backfilled with hydrogen (via balloon) several times, then stirred at RT under a slight positive pressure of hydrogen (balloon) for 1 h. The reaction was then purged with argon, filtered through Celite, washed with methanol </w:t>
      </w:r>
      <w:r w:rsidR="00723476" w:rsidRPr="00642E7E">
        <w:t>and</w:t>
      </w:r>
      <w:r w:rsidRPr="00642E7E">
        <w:t xml:space="preserve"> the solvent was removed in vacuo. Purification by flash column chromatography (SiO</w:t>
      </w:r>
      <w:r w:rsidRPr="00642E7E">
        <w:rPr>
          <w:vertAlign w:val="subscript"/>
        </w:rPr>
        <w:t>2</w:t>
      </w:r>
      <w:r w:rsidRPr="00642E7E">
        <w:t xml:space="preserve">, ethyl acetate) afforded the title compound as a colorless oil (414 mg, 69% over 2 steps from </w:t>
      </w:r>
      <w:r w:rsidRPr="00642E7E">
        <w:rPr>
          <w:b/>
          <w:bCs/>
        </w:rPr>
        <w:t>8</w:t>
      </w:r>
      <w:r w:rsidRPr="00642E7E">
        <w:t xml:space="preserve">) </w:t>
      </w:r>
      <w:r w:rsidR="00D602E6" w:rsidRPr="00642E7E">
        <w:t>which exists as a 5:1 mixture of rotamers in solution in CDCl</w:t>
      </w:r>
      <w:r w:rsidR="00D602E6" w:rsidRPr="00642E7E">
        <w:rPr>
          <w:vertAlign w:val="subscript"/>
        </w:rPr>
        <w:t>3</w:t>
      </w:r>
      <w:r w:rsidR="00D602E6" w:rsidRPr="00642E7E">
        <w:t xml:space="preserve">; </w:t>
      </w:r>
      <w:r w:rsidR="00D602E6" w:rsidRPr="00642E7E">
        <w:t>[α]</w:t>
      </w:r>
      <w:r w:rsidR="00D602E6" w:rsidRPr="00642E7E">
        <w:rPr>
          <w:vertAlign w:val="subscript"/>
        </w:rPr>
        <w:t>D</w:t>
      </w:r>
      <w:r w:rsidR="00D602E6" w:rsidRPr="00642E7E">
        <w:rPr>
          <w:vertAlign w:val="superscript"/>
        </w:rPr>
        <w:t>23</w:t>
      </w:r>
      <w:r w:rsidR="00D602E6" w:rsidRPr="00642E7E">
        <w:t xml:space="preserve"> </w:t>
      </w:r>
      <w:r w:rsidR="00D602E6" w:rsidRPr="00642E7E">
        <w:rPr>
          <w:rFonts w:ascii="PMingLiU" w:eastAsia="PMingLiU" w:hAnsi="PMingLiU" w:cs="PMingLiU" w:hint="eastAsia"/>
        </w:rPr>
        <w:t>﹣</w:t>
      </w:r>
      <w:r w:rsidR="00D602E6" w:rsidRPr="00642E7E">
        <w:t>312.13 (c = 1.0, CHCl3); R</w:t>
      </w:r>
      <w:r w:rsidR="00D602E6" w:rsidRPr="00642E7E">
        <w:rPr>
          <w:vertAlign w:val="subscript"/>
        </w:rPr>
        <w:t>f</w:t>
      </w:r>
      <w:r w:rsidR="00D602E6" w:rsidRPr="00642E7E">
        <w:t xml:space="preserve"> = 0.23 (ethyl acetate); </w:t>
      </w:r>
      <w:proofErr w:type="spellStart"/>
      <w:r w:rsidR="00D602E6" w:rsidRPr="00642E7E">
        <w:t>νmax</w:t>
      </w:r>
      <w:proofErr w:type="spellEnd"/>
      <w:r w:rsidR="00D602E6" w:rsidRPr="00642E7E">
        <w:t xml:space="preserve">/cm–1 (neat) 3252, 2948, 2242, 1691, 1672, 1602, 1505, 1442, 1299, 1238, 910, 756, 725, 644, 580; </w:t>
      </w:r>
      <w:proofErr w:type="spellStart"/>
      <w:r w:rsidR="00D602E6" w:rsidRPr="00642E7E">
        <w:t>δ</w:t>
      </w:r>
      <w:r w:rsidR="00D602E6" w:rsidRPr="00642E7E">
        <w:rPr>
          <w:vertAlign w:val="subscript"/>
        </w:rPr>
        <w:t>H</w:t>
      </w:r>
      <w:proofErr w:type="spellEnd"/>
      <w:r w:rsidR="00D602E6" w:rsidRPr="00642E7E">
        <w:t xml:space="preserve"> (400 MHz, CDCl3) 9.43 (s, 1H, NH, major rotamer), 9.34 (s, 1H, NH, minor rotamer), 7.77 – 7.73 (m, 1H, Ph-CH, major rotamer), 7.42 – 7.28 (m, 2H, Ph-CH, both rotamers), 7.20 – 7.14 (m, 1H, Ph-CH, minor rotamer), 7.07 (td, </w:t>
      </w:r>
      <w:r w:rsidR="00D602E6" w:rsidRPr="00642E7E">
        <w:rPr>
          <w:i/>
          <w:iCs/>
        </w:rPr>
        <w:t>J</w:t>
      </w:r>
      <w:r w:rsidR="00D602E6" w:rsidRPr="00642E7E">
        <w:t xml:space="preserve"> = 7.6, 1.0 Hz, 1H, Ph-CH, major rotamer), 4.31 – 4.20 (m, 1H, NCHCO, both rotamers), 3.78 (dt, </w:t>
      </w:r>
      <w:r w:rsidR="00D602E6" w:rsidRPr="00642E7E">
        <w:rPr>
          <w:i/>
          <w:iCs/>
        </w:rPr>
        <w:t>J</w:t>
      </w:r>
      <w:r w:rsidR="00D602E6" w:rsidRPr="00642E7E">
        <w:t xml:space="preserve"> = 10.1, 7.0 Hz, 1H, NCH</w:t>
      </w:r>
      <w:r w:rsidR="00D602E6" w:rsidRPr="00642E7E">
        <w:rPr>
          <w:vertAlign w:val="subscript"/>
        </w:rPr>
        <w:t>2</w:t>
      </w:r>
      <w:r w:rsidR="00D602E6" w:rsidRPr="00642E7E">
        <w:t>, major rotamer), 3.60 (</w:t>
      </w:r>
      <w:proofErr w:type="spellStart"/>
      <w:r w:rsidR="00D602E6" w:rsidRPr="00642E7E">
        <w:t>ddd</w:t>
      </w:r>
      <w:proofErr w:type="spellEnd"/>
      <w:r w:rsidR="00D602E6" w:rsidRPr="00642E7E">
        <w:t xml:space="preserve">, </w:t>
      </w:r>
      <w:r w:rsidR="00D602E6" w:rsidRPr="00642E7E">
        <w:rPr>
          <w:i/>
          <w:iCs/>
        </w:rPr>
        <w:t>J</w:t>
      </w:r>
      <w:r w:rsidR="00D602E6" w:rsidRPr="00642E7E">
        <w:t xml:space="preserve"> = 11.5, 7.3, 4.3 Hz, 1H, NCH</w:t>
      </w:r>
      <w:r w:rsidR="00D602E6" w:rsidRPr="00642E7E">
        <w:rPr>
          <w:vertAlign w:val="subscript"/>
        </w:rPr>
        <w:t>2</w:t>
      </w:r>
      <w:r w:rsidR="00D602E6" w:rsidRPr="00642E7E">
        <w:t>, minor rotamer), 3.55 – 3.44 (m, 1H, NCH</w:t>
      </w:r>
      <w:r w:rsidR="00D602E6" w:rsidRPr="00642E7E">
        <w:rPr>
          <w:vertAlign w:val="subscript"/>
        </w:rPr>
        <w:t>2</w:t>
      </w:r>
      <w:r w:rsidR="00D602E6" w:rsidRPr="00642E7E">
        <w:t>, both rotamers), 3.07 – 2.78 (m, 2H, CH</w:t>
      </w:r>
      <w:r w:rsidR="00D602E6" w:rsidRPr="00642E7E">
        <w:rPr>
          <w:vertAlign w:val="subscript"/>
        </w:rPr>
        <w:t>2</w:t>
      </w:r>
      <w:r w:rsidR="00D602E6" w:rsidRPr="00642E7E">
        <w:t>, both rotamers), 2.68 – 2.49 (m, 1H, CH</w:t>
      </w:r>
      <w:r w:rsidR="00D602E6" w:rsidRPr="00642E7E">
        <w:rPr>
          <w:vertAlign w:val="subscript"/>
        </w:rPr>
        <w:t>2</w:t>
      </w:r>
      <w:r w:rsidR="00D602E6" w:rsidRPr="00642E7E">
        <w:t>, major rotamer), 2.36 – 2.01 (m, 4H, CH</w:t>
      </w:r>
      <w:r w:rsidR="00D602E6" w:rsidRPr="00642E7E">
        <w:rPr>
          <w:vertAlign w:val="subscript"/>
        </w:rPr>
        <w:t>2</w:t>
      </w:r>
      <w:r w:rsidR="00D602E6" w:rsidRPr="00642E7E">
        <w:t>, both rotamers), 2.02 – 1.61 (m, 5H, CH</w:t>
      </w:r>
      <w:r w:rsidR="00D602E6" w:rsidRPr="00642E7E">
        <w:rPr>
          <w:vertAlign w:val="subscript"/>
        </w:rPr>
        <w:t>2</w:t>
      </w:r>
      <w:r w:rsidR="00D602E6" w:rsidRPr="00642E7E">
        <w:t xml:space="preserve">, both rotamers); </w:t>
      </w:r>
      <w:proofErr w:type="spellStart"/>
      <w:r w:rsidR="00D602E6" w:rsidRPr="00642E7E">
        <w:t>δ</w:t>
      </w:r>
      <w:r w:rsidR="00D602E6" w:rsidRPr="00642E7E">
        <w:rPr>
          <w:vertAlign w:val="subscript"/>
        </w:rPr>
        <w:t>C</w:t>
      </w:r>
      <w:proofErr w:type="spellEnd"/>
      <w:r w:rsidR="00D602E6" w:rsidRPr="00642E7E">
        <w:t xml:space="preserve"> (100 MHz, CDCl</w:t>
      </w:r>
      <w:r w:rsidR="00D602E6" w:rsidRPr="00642E7E">
        <w:rPr>
          <w:vertAlign w:val="subscript"/>
        </w:rPr>
        <w:t>3</w:t>
      </w:r>
      <w:r w:rsidR="00D602E6" w:rsidRPr="00642E7E">
        <w:t>) for the major rotamer only: 207.2 (CO), 173.4 (CO), 172.8 (CO), 134.8 (Ph-C), 133.0 (Ph-C), 131.4 (Ph-CH), 126.9 (Ph-CH), 124.5 (Ph-CH), 124.1 (Ph-CH), 62.6 (COCHN), 47.0 (CH</w:t>
      </w:r>
      <w:r w:rsidR="00D602E6" w:rsidRPr="00642E7E">
        <w:rPr>
          <w:vertAlign w:val="subscript"/>
        </w:rPr>
        <w:t>2</w:t>
      </w:r>
      <w:r w:rsidR="00D602E6" w:rsidRPr="00642E7E">
        <w:t>), 41.8 (CH</w:t>
      </w:r>
      <w:r w:rsidR="00D602E6" w:rsidRPr="00642E7E">
        <w:rPr>
          <w:vertAlign w:val="subscript"/>
        </w:rPr>
        <w:t>2</w:t>
      </w:r>
      <w:r w:rsidR="00D602E6" w:rsidRPr="00642E7E">
        <w:t>), 35.1 (CH</w:t>
      </w:r>
      <w:r w:rsidR="00D602E6" w:rsidRPr="00642E7E">
        <w:rPr>
          <w:vertAlign w:val="subscript"/>
        </w:rPr>
        <w:t>2</w:t>
      </w:r>
      <w:r w:rsidR="00D602E6" w:rsidRPr="00642E7E">
        <w:t>), 28.4 (CH</w:t>
      </w:r>
      <w:r w:rsidR="00D602E6" w:rsidRPr="00642E7E">
        <w:rPr>
          <w:vertAlign w:val="subscript"/>
        </w:rPr>
        <w:t>2</w:t>
      </w:r>
      <w:r w:rsidR="00D602E6" w:rsidRPr="00642E7E">
        <w:t>), 25.3 (CH</w:t>
      </w:r>
      <w:r w:rsidR="00D602E6" w:rsidRPr="00642E7E">
        <w:rPr>
          <w:vertAlign w:val="subscript"/>
        </w:rPr>
        <w:t>2</w:t>
      </w:r>
      <w:r w:rsidR="00D602E6" w:rsidRPr="00642E7E">
        <w:t>), 22.6 (CH</w:t>
      </w:r>
      <w:r w:rsidR="00D602E6" w:rsidRPr="00642E7E">
        <w:rPr>
          <w:vertAlign w:val="subscript"/>
        </w:rPr>
        <w:t>2</w:t>
      </w:r>
      <w:r w:rsidR="00D602E6" w:rsidRPr="00642E7E">
        <w:t>), 22.1 (CH</w:t>
      </w:r>
      <w:r w:rsidR="00D602E6" w:rsidRPr="00642E7E">
        <w:rPr>
          <w:vertAlign w:val="subscript"/>
        </w:rPr>
        <w:t>2</w:t>
      </w:r>
      <w:r w:rsidR="00D602E6" w:rsidRPr="00642E7E">
        <w:t xml:space="preserve">); Diagnostic </w:t>
      </w:r>
      <w:r w:rsidR="00D602E6" w:rsidRPr="00642E7E">
        <w:rPr>
          <w:vertAlign w:val="superscript"/>
        </w:rPr>
        <w:t>13</w:t>
      </w:r>
      <w:r w:rsidR="00D602E6" w:rsidRPr="00642E7E">
        <w:t>C NMR resonances for the minor rotamer: 204.8 (CO), 172.6 (CO), 172.3 (CO), 135.9 (Ph-C), 133.6 (Ph-C), 127.9 (Ph-CH), 126.0 (Ph-CH), 125.5 (Ph-CH), 61.4 (COCHN), 38.5 (CH</w:t>
      </w:r>
      <w:r w:rsidR="00D602E6" w:rsidRPr="00642E7E">
        <w:rPr>
          <w:vertAlign w:val="subscript"/>
        </w:rPr>
        <w:t>2</w:t>
      </w:r>
      <w:r w:rsidR="00D602E6" w:rsidRPr="00642E7E">
        <w:t>), 31.9 (CH</w:t>
      </w:r>
      <w:r w:rsidR="00D602E6" w:rsidRPr="00642E7E">
        <w:rPr>
          <w:vertAlign w:val="subscript"/>
        </w:rPr>
        <w:t>2</w:t>
      </w:r>
      <w:r w:rsidR="00D602E6" w:rsidRPr="00642E7E">
        <w:t>), 31.6 (CH</w:t>
      </w:r>
      <w:r w:rsidR="00D602E6" w:rsidRPr="00642E7E">
        <w:rPr>
          <w:vertAlign w:val="subscript"/>
        </w:rPr>
        <w:t>2</w:t>
      </w:r>
      <w:r w:rsidR="00D602E6" w:rsidRPr="00642E7E">
        <w:t>), 23.6 (CH</w:t>
      </w:r>
      <w:r w:rsidR="00D602E6" w:rsidRPr="00642E7E">
        <w:rPr>
          <w:vertAlign w:val="subscript"/>
        </w:rPr>
        <w:t>2</w:t>
      </w:r>
      <w:r w:rsidR="00D602E6" w:rsidRPr="00642E7E">
        <w:t>), 23.0 (CH</w:t>
      </w:r>
      <w:r w:rsidR="00D602E6" w:rsidRPr="00642E7E">
        <w:rPr>
          <w:vertAlign w:val="subscript"/>
        </w:rPr>
        <w:t>2</w:t>
      </w:r>
      <w:r w:rsidR="00D602E6" w:rsidRPr="00642E7E">
        <w:t>), 21.2 (CH</w:t>
      </w:r>
      <w:r w:rsidR="00D602E6" w:rsidRPr="00642E7E">
        <w:rPr>
          <w:vertAlign w:val="subscript"/>
        </w:rPr>
        <w:t>2</w:t>
      </w:r>
      <w:r w:rsidR="00D602E6" w:rsidRPr="00642E7E">
        <w:t xml:space="preserve">); HRMS (ESI): </w:t>
      </w:r>
      <w:proofErr w:type="spellStart"/>
      <w:r w:rsidR="00D602E6" w:rsidRPr="00642E7E">
        <w:t>calcd</w:t>
      </w:r>
      <w:proofErr w:type="spellEnd"/>
      <w:r w:rsidR="00D602E6" w:rsidRPr="00642E7E">
        <w:t>. for C</w:t>
      </w:r>
      <w:r w:rsidR="00D602E6" w:rsidRPr="00642E7E">
        <w:rPr>
          <w:vertAlign w:val="subscript"/>
        </w:rPr>
        <w:t>17</w:t>
      </w:r>
      <w:r w:rsidR="00D602E6" w:rsidRPr="00642E7E">
        <w:t>H</w:t>
      </w:r>
      <w:r w:rsidR="00D602E6" w:rsidRPr="00642E7E">
        <w:rPr>
          <w:vertAlign w:val="subscript"/>
        </w:rPr>
        <w:t>20</w:t>
      </w:r>
      <w:r w:rsidR="00D602E6" w:rsidRPr="00642E7E">
        <w:t>N</w:t>
      </w:r>
      <w:r w:rsidR="00D602E6" w:rsidRPr="00642E7E">
        <w:rPr>
          <w:vertAlign w:val="subscript"/>
        </w:rPr>
        <w:t>2</w:t>
      </w:r>
      <w:r w:rsidR="00D602E6" w:rsidRPr="00642E7E">
        <w:t>NaO</w:t>
      </w:r>
      <w:r w:rsidR="00D602E6" w:rsidRPr="00642E7E">
        <w:rPr>
          <w:vertAlign w:val="subscript"/>
        </w:rPr>
        <w:t>3</w:t>
      </w:r>
      <w:r w:rsidR="00D602E6" w:rsidRPr="00642E7E">
        <w:t>, 323.1366. Found: [</w:t>
      </w:r>
      <w:proofErr w:type="spellStart"/>
      <w:r w:rsidR="00D602E6" w:rsidRPr="00642E7E">
        <w:t>MNa</w:t>
      </w:r>
      <w:proofErr w:type="spellEnd"/>
      <w:r w:rsidR="00D602E6" w:rsidRPr="00642E7E">
        <w:t>]</w:t>
      </w:r>
      <w:r w:rsidR="00D602E6" w:rsidRPr="00642E7E">
        <w:rPr>
          <w:vertAlign w:val="superscript"/>
        </w:rPr>
        <w:t>+</w:t>
      </w:r>
      <w:r w:rsidR="00D602E6" w:rsidRPr="00642E7E">
        <w:t>, 323.1362 (1.3 ppm error).  For stereoscopic data and procedures for all novel compounds prepared in this manuscript, see the Supporting Information.</w:t>
      </w:r>
    </w:p>
    <w:p w14:paraId="33A3F869" w14:textId="77777777" w:rsidR="00244B14" w:rsidRPr="00642E7E" w:rsidRDefault="00244B14" w:rsidP="001D2EEA">
      <w:pPr>
        <w:pStyle w:val="Ref"/>
        <w:numPr>
          <w:ilvl w:val="0"/>
          <w:numId w:val="0"/>
        </w:numPr>
        <w:ind w:left="340"/>
        <w:rPr>
          <w:lang w:val="en-US"/>
        </w:rPr>
      </w:pPr>
    </w:p>
    <w:p w14:paraId="347DB554" w14:textId="77777777" w:rsidR="00244B14" w:rsidRPr="00642E7E" w:rsidRDefault="00244B14" w:rsidP="001D2EEA">
      <w:pPr>
        <w:pStyle w:val="Ref"/>
        <w:numPr>
          <w:ilvl w:val="0"/>
          <w:numId w:val="0"/>
        </w:numPr>
        <w:ind w:left="340"/>
        <w:rPr>
          <w:lang w:val="en-US"/>
        </w:rPr>
      </w:pPr>
    </w:p>
    <w:p w14:paraId="55A2218B" w14:textId="77777777" w:rsidR="00C45ADD" w:rsidRPr="00642E7E" w:rsidRDefault="00C45ADD" w:rsidP="001D2EEA">
      <w:pPr>
        <w:pStyle w:val="Ref"/>
        <w:numPr>
          <w:ilvl w:val="0"/>
          <w:numId w:val="0"/>
        </w:numPr>
        <w:ind w:left="340"/>
        <w:rPr>
          <w:lang w:val="en-US"/>
        </w:rPr>
      </w:pPr>
    </w:p>
    <w:p w14:paraId="47EDBD05" w14:textId="77777777" w:rsidR="00A4560D" w:rsidRPr="00642E7E" w:rsidRDefault="00A4560D" w:rsidP="001D2EEA">
      <w:pPr>
        <w:pStyle w:val="Ref"/>
        <w:numPr>
          <w:ilvl w:val="0"/>
          <w:numId w:val="0"/>
        </w:numPr>
        <w:ind w:left="340"/>
        <w:rPr>
          <w:lang w:val="en-US"/>
        </w:rPr>
        <w:sectPr w:rsidR="00A4560D" w:rsidRPr="00642E7E" w:rsidSect="008913D9">
          <w:type w:val="continuous"/>
          <w:pgSz w:w="11906" w:h="16838" w:code="9"/>
          <w:pgMar w:top="1418" w:right="992" w:bottom="1134" w:left="992" w:header="709" w:footer="789" w:gutter="0"/>
          <w:cols w:num="2" w:space="568"/>
          <w:docGrid w:linePitch="360"/>
        </w:sectPr>
      </w:pPr>
    </w:p>
    <w:p w14:paraId="06793566" w14:textId="77777777" w:rsidR="00F65BC8" w:rsidRPr="00642E7E" w:rsidRDefault="00946E86" w:rsidP="00946E86">
      <w:pPr>
        <w:tabs>
          <w:tab w:val="left" w:pos="5685"/>
        </w:tabs>
        <w:rPr>
          <w:rFonts w:asciiTheme="majorHAnsi" w:hAnsiTheme="majorHAnsi"/>
          <w:b/>
          <w:lang w:val="en-US"/>
        </w:rPr>
      </w:pPr>
      <w:r w:rsidRPr="00642E7E">
        <w:rPr>
          <w:rFonts w:asciiTheme="majorHAnsi" w:hAnsiTheme="majorHAnsi"/>
          <w:b/>
          <w:lang w:val="en-US"/>
        </w:rPr>
        <w:tab/>
      </w:r>
    </w:p>
    <w:p w14:paraId="73022F97" w14:textId="77777777" w:rsidR="00A4560D" w:rsidRPr="00642E7E" w:rsidRDefault="00A4560D" w:rsidP="00F34ED0">
      <w:pPr>
        <w:rPr>
          <w:rFonts w:asciiTheme="majorHAnsi" w:hAnsiTheme="majorHAnsi"/>
          <w:b/>
          <w:lang w:val="en-US"/>
        </w:rPr>
      </w:pPr>
    </w:p>
    <w:p w14:paraId="35E8B422" w14:textId="77777777" w:rsidR="00A4560D" w:rsidRPr="00642E7E" w:rsidRDefault="002A2DB0" w:rsidP="00A4560D">
      <w:pPr>
        <w:spacing w:after="0" w:line="240" w:lineRule="auto"/>
        <w:jc w:val="left"/>
        <w:rPr>
          <w:rFonts w:ascii="Calibri" w:hAnsi="Calibri"/>
          <w:sz w:val="28"/>
          <w:szCs w:val="28"/>
          <w:lang w:val="en-US"/>
        </w:rPr>
      </w:pPr>
      <w:r w:rsidRPr="00642E7E">
        <w:rPr>
          <w:rFonts w:ascii="Calibri" w:hAnsi="Calibri"/>
          <w:b/>
          <w:bCs/>
          <w:sz w:val="28"/>
          <w:szCs w:val="28"/>
          <w:lang w:val="en-US"/>
        </w:rPr>
        <w:t>C</w:t>
      </w:r>
      <w:r w:rsidR="00A4560D" w:rsidRPr="00642E7E">
        <w:rPr>
          <w:rFonts w:ascii="Calibri" w:hAnsi="Calibri"/>
          <w:b/>
          <w:bCs/>
          <w:sz w:val="28"/>
          <w:szCs w:val="28"/>
          <w:lang w:val="en-US"/>
        </w:rPr>
        <w:t>hecklist</w:t>
      </w:r>
      <w:r w:rsidRPr="00642E7E">
        <w:rPr>
          <w:rFonts w:ascii="Calibri" w:hAnsi="Calibri"/>
          <w:b/>
          <w:bCs/>
          <w:sz w:val="28"/>
          <w:szCs w:val="28"/>
          <w:lang w:val="en-US"/>
        </w:rPr>
        <w:t xml:space="preserve"> (have these on hand for manuscript submission in ScholarOne)</w:t>
      </w:r>
      <w:r w:rsidR="00A4560D" w:rsidRPr="00642E7E">
        <w:rPr>
          <w:rFonts w:ascii="Calibri" w:hAnsi="Calibri"/>
          <w:b/>
          <w:bCs/>
          <w:sz w:val="28"/>
          <w:szCs w:val="28"/>
          <w:lang w:val="en-US"/>
        </w:rPr>
        <w:t>:</w:t>
      </w:r>
    </w:p>
    <w:p w14:paraId="3B5354FE" w14:textId="77777777" w:rsidR="00A4560D" w:rsidRPr="00642E7E" w:rsidRDefault="005E45EA" w:rsidP="00A4560D">
      <w:pPr>
        <w:numPr>
          <w:ilvl w:val="0"/>
          <w:numId w:val="18"/>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sz w:val="24"/>
          <w:szCs w:val="24"/>
          <w:lang w:val="en-US"/>
        </w:rPr>
        <w:t xml:space="preserve">cover letter, including a </w:t>
      </w:r>
      <w:r w:rsidR="00A4560D" w:rsidRPr="00642E7E">
        <w:rPr>
          <w:rFonts w:ascii="Calibri Light" w:hAnsi="Calibri Light"/>
          <w:sz w:val="24"/>
          <w:szCs w:val="24"/>
          <w:lang w:val="en-US"/>
        </w:rPr>
        <w:t xml:space="preserve">statement of </w:t>
      </w:r>
      <w:r w:rsidRPr="00642E7E">
        <w:rPr>
          <w:rFonts w:ascii="Calibri Light" w:hAnsi="Calibri Light"/>
          <w:sz w:val="24"/>
          <w:szCs w:val="24"/>
          <w:lang w:val="en-US"/>
        </w:rPr>
        <w:t>the work’s significance</w:t>
      </w:r>
    </w:p>
    <w:p w14:paraId="06F0698C" w14:textId="77777777" w:rsidR="00A4560D" w:rsidRPr="00642E7E"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sz w:val="24"/>
          <w:szCs w:val="24"/>
          <w:lang w:val="en-US"/>
        </w:rPr>
        <w:t xml:space="preserve">full mailing address, </w:t>
      </w:r>
      <w:r w:rsidR="00D417BF" w:rsidRPr="00642E7E">
        <w:rPr>
          <w:rFonts w:ascii="Calibri Light" w:hAnsi="Calibri Light"/>
          <w:sz w:val="24"/>
          <w:szCs w:val="24"/>
          <w:lang w:val="en-US"/>
        </w:rPr>
        <w:t>telephone number,</w:t>
      </w:r>
      <w:r w:rsidRPr="00642E7E">
        <w:rPr>
          <w:rFonts w:ascii="Calibri Light" w:hAnsi="Calibri Light"/>
          <w:sz w:val="24"/>
          <w:szCs w:val="24"/>
          <w:lang w:val="en-US"/>
        </w:rPr>
        <w:t xml:space="preserve"> and e-mail address of the corresponding author</w:t>
      </w:r>
    </w:p>
    <w:p w14:paraId="500DC818" w14:textId="77777777" w:rsidR="00A4560D" w:rsidRPr="00642E7E"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email address</w:t>
      </w:r>
      <w:r w:rsidR="005E45EA" w:rsidRPr="00642E7E">
        <w:rPr>
          <w:rFonts w:ascii="Calibri Light" w:hAnsi="Calibri Light"/>
          <w:bCs/>
          <w:sz w:val="24"/>
          <w:szCs w:val="24"/>
          <w:lang w:val="en-US"/>
        </w:rPr>
        <w:t xml:space="preserve"> for each</w:t>
      </w:r>
      <w:r w:rsidRPr="00642E7E">
        <w:rPr>
          <w:rFonts w:ascii="Calibri Light" w:hAnsi="Calibri Light"/>
          <w:bCs/>
          <w:sz w:val="24"/>
          <w:szCs w:val="24"/>
          <w:lang w:val="en-US"/>
        </w:rPr>
        <w:t xml:space="preserve"> author</w:t>
      </w:r>
    </w:p>
    <w:p w14:paraId="3BC22F50" w14:textId="77777777" w:rsidR="005E45EA" w:rsidRPr="00642E7E" w:rsidRDefault="005E45EA" w:rsidP="005E45EA">
      <w:pPr>
        <w:numPr>
          <w:ilvl w:val="0"/>
          <w:numId w:val="20"/>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original Word file</w:t>
      </w:r>
    </w:p>
    <w:p w14:paraId="239DEDCD" w14:textId="77777777" w:rsidR="005E45EA" w:rsidRPr="00642E7E" w:rsidRDefault="005E45EA" w:rsidP="005E45EA">
      <w:pPr>
        <w:numPr>
          <w:ilvl w:val="0"/>
          <w:numId w:val="21"/>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 xml:space="preserve">original graphics files </w:t>
      </w:r>
      <w:r w:rsidR="001F37A0" w:rsidRPr="00642E7E">
        <w:rPr>
          <w:rFonts w:ascii="Calibri Light" w:hAnsi="Calibri Light"/>
          <w:bCs/>
          <w:sz w:val="24"/>
          <w:szCs w:val="24"/>
          <w:lang w:val="en-US"/>
        </w:rPr>
        <w:t>zipped into one</w:t>
      </w:r>
      <w:r w:rsidRPr="00642E7E">
        <w:rPr>
          <w:rFonts w:ascii="Calibri Light" w:hAnsi="Calibri Light"/>
          <w:bCs/>
          <w:sz w:val="24"/>
          <w:szCs w:val="24"/>
          <w:lang w:val="en-US"/>
        </w:rPr>
        <w:t xml:space="preserve"> zip file</w:t>
      </w:r>
    </w:p>
    <w:p w14:paraId="7CB88DDD" w14:textId="77777777" w:rsidR="00A4560D" w:rsidRPr="00642E7E"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eye-catching graphical abstract</w:t>
      </w:r>
      <w:r w:rsidR="001F37A0" w:rsidRPr="00642E7E">
        <w:rPr>
          <w:rFonts w:ascii="Calibri Light" w:hAnsi="Calibri Light"/>
          <w:bCs/>
          <w:sz w:val="24"/>
          <w:szCs w:val="24"/>
          <w:lang w:val="en-US"/>
        </w:rPr>
        <w:t xml:space="preserve"> as an individual file</w:t>
      </w:r>
    </w:p>
    <w:p w14:paraId="4F27408F" w14:textId="77777777" w:rsidR="00A4560D" w:rsidRPr="00642E7E" w:rsidRDefault="00A4560D" w:rsidP="00A4560D">
      <w:pPr>
        <w:numPr>
          <w:ilvl w:val="0"/>
          <w:numId w:val="19"/>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5</w:t>
      </w:r>
      <w:r w:rsidR="005E45EA" w:rsidRPr="00642E7E">
        <w:rPr>
          <w:rFonts w:ascii="Calibri Light" w:hAnsi="Calibri Light"/>
          <w:bCs/>
          <w:sz w:val="24"/>
          <w:szCs w:val="24"/>
          <w:lang w:val="en-US"/>
        </w:rPr>
        <w:t>–</w:t>
      </w:r>
      <w:r w:rsidR="005A5226" w:rsidRPr="00642E7E">
        <w:rPr>
          <w:rFonts w:ascii="Calibri Light" w:hAnsi="Calibri Light"/>
          <w:bCs/>
          <w:sz w:val="24"/>
          <w:szCs w:val="24"/>
          <w:lang w:val="en-US"/>
        </w:rPr>
        <w:t>8</w:t>
      </w:r>
      <w:r w:rsidRPr="00642E7E">
        <w:rPr>
          <w:rFonts w:ascii="Calibri Light" w:hAnsi="Calibri Light"/>
          <w:bCs/>
          <w:sz w:val="24"/>
          <w:szCs w:val="24"/>
          <w:lang w:val="en-US"/>
        </w:rPr>
        <w:t xml:space="preserve"> key words</w:t>
      </w:r>
    </w:p>
    <w:p w14:paraId="2FE48FBB" w14:textId="77777777" w:rsidR="005E45EA" w:rsidRPr="00642E7E" w:rsidRDefault="005E45EA" w:rsidP="00A4560D">
      <w:pPr>
        <w:numPr>
          <w:ilvl w:val="0"/>
          <w:numId w:val="21"/>
        </w:numPr>
        <w:spacing w:after="0" w:line="240" w:lineRule="auto"/>
        <w:ind w:left="540"/>
        <w:jc w:val="left"/>
        <w:textAlignment w:val="center"/>
        <w:rPr>
          <w:rFonts w:ascii="Times New Roman" w:hAnsi="Times New Roman"/>
          <w:sz w:val="24"/>
          <w:szCs w:val="24"/>
          <w:lang w:val="en-US"/>
        </w:rPr>
      </w:pPr>
      <w:r w:rsidRPr="00642E7E">
        <w:rPr>
          <w:rFonts w:ascii="Calibri Light" w:hAnsi="Calibri Light"/>
          <w:bCs/>
          <w:sz w:val="24"/>
          <w:szCs w:val="24"/>
          <w:lang w:val="en-US"/>
        </w:rPr>
        <w:t>separate Supporting Information file</w:t>
      </w:r>
    </w:p>
    <w:p w14:paraId="6E6AD458" w14:textId="77777777" w:rsidR="005E45EA" w:rsidRPr="00642E7E" w:rsidRDefault="00846982" w:rsidP="00846982">
      <w:pPr>
        <w:numPr>
          <w:ilvl w:val="0"/>
          <w:numId w:val="21"/>
        </w:numPr>
        <w:tabs>
          <w:tab w:val="clear" w:pos="720"/>
          <w:tab w:val="num" w:pos="644"/>
        </w:tabs>
        <w:spacing w:after="0" w:line="240" w:lineRule="auto"/>
        <w:ind w:left="540"/>
        <w:jc w:val="left"/>
        <w:textAlignment w:val="center"/>
        <w:rPr>
          <w:rFonts w:ascii="Times New Roman" w:hAnsi="Times New Roman"/>
          <w:sz w:val="24"/>
          <w:szCs w:val="24"/>
          <w:lang w:val="en-US"/>
        </w:rPr>
      </w:pPr>
      <w:proofErr w:type="spellStart"/>
      <w:r w:rsidRPr="00642E7E">
        <w:rPr>
          <w:rFonts w:ascii="Calibri Light" w:hAnsi="Calibri Light"/>
          <w:bCs/>
          <w:sz w:val="24"/>
          <w:szCs w:val="24"/>
          <w:lang w:val="en-US"/>
        </w:rPr>
        <w:t>Zenodo</w:t>
      </w:r>
      <w:proofErr w:type="spellEnd"/>
      <w:r w:rsidRPr="00642E7E">
        <w:rPr>
          <w:rFonts w:ascii="Calibri Light" w:hAnsi="Calibri Light"/>
          <w:bCs/>
          <w:sz w:val="24"/>
          <w:szCs w:val="24"/>
          <w:lang w:val="en-US"/>
        </w:rPr>
        <w:t xml:space="preserve"> DOI for optional deposited Primary Data</w:t>
      </w:r>
    </w:p>
    <w:p w14:paraId="136124E4" w14:textId="77777777" w:rsidR="00A4560D" w:rsidRPr="00642E7E" w:rsidRDefault="00A4560D" w:rsidP="00F34ED0">
      <w:pPr>
        <w:rPr>
          <w:rFonts w:asciiTheme="majorHAnsi" w:hAnsiTheme="majorHAnsi"/>
          <w:b/>
          <w:lang w:val="en-US"/>
        </w:rPr>
      </w:pPr>
    </w:p>
    <w:p w14:paraId="10D0E81E" w14:textId="77777777" w:rsidR="005A5226" w:rsidRPr="00642E7E" w:rsidRDefault="005A5226" w:rsidP="005A5226">
      <w:pPr>
        <w:spacing w:after="0" w:line="240" w:lineRule="auto"/>
        <w:jc w:val="left"/>
        <w:rPr>
          <w:rFonts w:ascii="Calibri" w:hAnsi="Calibri"/>
          <w:sz w:val="28"/>
          <w:szCs w:val="28"/>
          <w:lang w:val="en-US"/>
        </w:rPr>
      </w:pPr>
      <w:r w:rsidRPr="00642E7E">
        <w:rPr>
          <w:rFonts w:ascii="Calibri" w:hAnsi="Calibri"/>
          <w:b/>
          <w:bCs/>
          <w:sz w:val="28"/>
          <w:szCs w:val="28"/>
          <w:lang w:val="en-US"/>
        </w:rPr>
        <w:t>Useful links:</w:t>
      </w:r>
    </w:p>
    <w:p w14:paraId="39657D99" w14:textId="77777777" w:rsidR="001D453B" w:rsidRPr="00642E7E" w:rsidRDefault="00642E7E" w:rsidP="001D453B">
      <w:pPr>
        <w:numPr>
          <w:ilvl w:val="0"/>
          <w:numId w:val="18"/>
        </w:numPr>
        <w:spacing w:after="0" w:line="240" w:lineRule="auto"/>
        <w:ind w:left="540"/>
        <w:jc w:val="left"/>
        <w:textAlignment w:val="center"/>
        <w:rPr>
          <w:rFonts w:ascii="Times New Roman" w:hAnsi="Times New Roman"/>
          <w:sz w:val="24"/>
          <w:szCs w:val="24"/>
          <w:lang w:val="en-US"/>
        </w:rPr>
      </w:pPr>
      <w:hyperlink r:id="rId22" w:history="1">
        <w:r w:rsidR="005E45EA" w:rsidRPr="00642E7E">
          <w:rPr>
            <w:rStyle w:val="Hyperlink"/>
            <w:rFonts w:ascii="Calibri Light" w:hAnsi="Calibri Light"/>
            <w:sz w:val="24"/>
            <w:szCs w:val="24"/>
            <w:lang w:val="en-US"/>
          </w:rPr>
          <w:t>SYN</w:t>
        </w:r>
        <w:r w:rsidR="0066712B" w:rsidRPr="00642E7E">
          <w:rPr>
            <w:rStyle w:val="Hyperlink"/>
            <w:rFonts w:ascii="Calibri Light" w:hAnsi="Calibri Light"/>
            <w:sz w:val="24"/>
            <w:szCs w:val="24"/>
            <w:lang w:val="en-US"/>
          </w:rPr>
          <w:t>LETT</w:t>
        </w:r>
        <w:r w:rsidR="005E45EA" w:rsidRPr="00642E7E">
          <w:rPr>
            <w:rStyle w:val="Hyperlink"/>
            <w:rFonts w:ascii="Calibri Light" w:hAnsi="Calibri Light"/>
            <w:sz w:val="24"/>
            <w:szCs w:val="24"/>
            <w:lang w:val="en-US"/>
          </w:rPr>
          <w:t xml:space="preserve"> </w:t>
        </w:r>
        <w:r w:rsidR="001D453B" w:rsidRPr="00642E7E">
          <w:rPr>
            <w:rStyle w:val="Hyperlink"/>
            <w:rFonts w:ascii="Calibri Light" w:hAnsi="Calibri Light"/>
            <w:sz w:val="24"/>
            <w:szCs w:val="24"/>
            <w:lang w:val="en-US"/>
          </w:rPr>
          <w:t>homepage</w:t>
        </w:r>
      </w:hyperlink>
    </w:p>
    <w:p w14:paraId="059020FD" w14:textId="77777777" w:rsidR="00CF795E" w:rsidRPr="00642E7E" w:rsidRDefault="00642E7E" w:rsidP="00CF795E">
      <w:pPr>
        <w:numPr>
          <w:ilvl w:val="0"/>
          <w:numId w:val="18"/>
        </w:numPr>
        <w:spacing w:after="0" w:line="240" w:lineRule="auto"/>
        <w:ind w:left="540"/>
        <w:jc w:val="left"/>
        <w:textAlignment w:val="center"/>
        <w:rPr>
          <w:rFonts w:ascii="Times New Roman" w:hAnsi="Times New Roman"/>
          <w:sz w:val="24"/>
          <w:szCs w:val="24"/>
          <w:lang w:val="en-US"/>
        </w:rPr>
      </w:pPr>
      <w:hyperlink r:id="rId23" w:history="1">
        <w:r w:rsidR="001D453B" w:rsidRPr="00642E7E">
          <w:rPr>
            <w:rStyle w:val="Hyperlink"/>
            <w:rFonts w:ascii="Calibri Light" w:hAnsi="Calibri Light"/>
            <w:sz w:val="24"/>
            <w:szCs w:val="24"/>
            <w:lang w:val="en-US"/>
          </w:rPr>
          <w:t xml:space="preserve">SYNLETT </w:t>
        </w:r>
        <w:r w:rsidR="005E45EA" w:rsidRPr="00642E7E">
          <w:rPr>
            <w:rStyle w:val="Hyperlink"/>
            <w:rFonts w:ascii="Calibri Light" w:hAnsi="Calibri Light"/>
            <w:sz w:val="24"/>
            <w:szCs w:val="24"/>
            <w:lang w:val="en-US"/>
          </w:rPr>
          <w:t>information and tools for authors</w:t>
        </w:r>
      </w:hyperlink>
    </w:p>
    <w:p w14:paraId="054E4B8D" w14:textId="77777777" w:rsidR="00CF795E" w:rsidRPr="00642E7E" w:rsidRDefault="00642E7E" w:rsidP="00CF795E">
      <w:pPr>
        <w:numPr>
          <w:ilvl w:val="0"/>
          <w:numId w:val="18"/>
        </w:numPr>
        <w:spacing w:after="0" w:line="240" w:lineRule="auto"/>
        <w:ind w:left="540"/>
        <w:jc w:val="left"/>
        <w:textAlignment w:val="center"/>
        <w:rPr>
          <w:rFonts w:ascii="Times New Roman" w:hAnsi="Times New Roman"/>
          <w:sz w:val="24"/>
          <w:szCs w:val="24"/>
          <w:lang w:val="en-US"/>
        </w:rPr>
      </w:pPr>
      <w:hyperlink r:id="rId24" w:history="1">
        <w:r w:rsidR="00CF795E" w:rsidRPr="00642E7E">
          <w:rPr>
            <w:rStyle w:val="Hyperlink"/>
            <w:rFonts w:ascii="Calibri Light" w:hAnsi="Calibri Light"/>
            <w:sz w:val="24"/>
            <w:szCs w:val="24"/>
            <w:lang w:val="en-US"/>
          </w:rPr>
          <w:t>Graphical abstract samples</w:t>
        </w:r>
      </w:hyperlink>
      <w:r w:rsidR="00E3711E" w:rsidRPr="00642E7E">
        <w:rPr>
          <w:rFonts w:ascii="Calibri Light" w:hAnsi="Calibri Light"/>
          <w:sz w:val="24"/>
          <w:szCs w:val="24"/>
          <w:lang w:val="en-US"/>
        </w:rPr>
        <w:t xml:space="preserve"> (PDF file download)</w:t>
      </w:r>
    </w:p>
    <w:p w14:paraId="27B51832" w14:textId="77777777" w:rsidR="00CF795E" w:rsidRPr="00642E7E" w:rsidRDefault="00642E7E" w:rsidP="00CF795E">
      <w:pPr>
        <w:numPr>
          <w:ilvl w:val="0"/>
          <w:numId w:val="18"/>
        </w:numPr>
        <w:spacing w:after="0" w:line="240" w:lineRule="auto"/>
        <w:ind w:left="540"/>
        <w:jc w:val="left"/>
        <w:textAlignment w:val="center"/>
        <w:rPr>
          <w:rFonts w:ascii="Times New Roman" w:hAnsi="Times New Roman"/>
          <w:sz w:val="24"/>
          <w:szCs w:val="24"/>
          <w:lang w:val="en-US"/>
        </w:rPr>
      </w:pPr>
      <w:hyperlink r:id="rId25" w:history="1">
        <w:r w:rsidR="00CF795E" w:rsidRPr="00642E7E">
          <w:rPr>
            <w:rStyle w:val="Hyperlink"/>
            <w:rFonts w:ascii="Calibri Light" w:hAnsi="Calibri Light"/>
            <w:sz w:val="24"/>
            <w:szCs w:val="24"/>
            <w:lang w:val="en-US"/>
          </w:rPr>
          <w:t>W</w:t>
        </w:r>
        <w:r w:rsidR="005E45EA" w:rsidRPr="00642E7E">
          <w:rPr>
            <w:rStyle w:val="Hyperlink"/>
            <w:rFonts w:ascii="Calibri Light" w:hAnsi="Calibri Light"/>
            <w:sz w:val="24"/>
            <w:szCs w:val="24"/>
            <w:lang w:val="en-US"/>
          </w:rPr>
          <w:t xml:space="preserve">hat is </w:t>
        </w:r>
        <w:r w:rsidR="00CF795E" w:rsidRPr="00642E7E">
          <w:rPr>
            <w:rStyle w:val="Hyperlink"/>
            <w:rFonts w:ascii="Calibri Light" w:hAnsi="Calibri Light"/>
            <w:sz w:val="24"/>
            <w:szCs w:val="24"/>
            <w:lang w:val="en-US"/>
          </w:rPr>
          <w:t>“</w:t>
        </w:r>
        <w:r w:rsidR="005E45EA" w:rsidRPr="00642E7E">
          <w:rPr>
            <w:rStyle w:val="Hyperlink"/>
            <w:rFonts w:ascii="Calibri Light" w:hAnsi="Calibri Light"/>
            <w:sz w:val="24"/>
            <w:szCs w:val="24"/>
            <w:lang w:val="en-US"/>
          </w:rPr>
          <w:t>Primary Data</w:t>
        </w:r>
        <w:r w:rsidR="00CF795E" w:rsidRPr="00642E7E">
          <w:rPr>
            <w:rStyle w:val="Hyperlink"/>
            <w:rFonts w:ascii="Calibri Light" w:hAnsi="Calibri Light"/>
            <w:sz w:val="24"/>
            <w:szCs w:val="24"/>
            <w:lang w:val="en-US"/>
          </w:rPr>
          <w:t>”</w:t>
        </w:r>
      </w:hyperlink>
      <w:r w:rsidR="005E45EA" w:rsidRPr="00642E7E">
        <w:rPr>
          <w:rFonts w:ascii="Calibri Light" w:hAnsi="Calibri Light"/>
          <w:sz w:val="24"/>
          <w:szCs w:val="24"/>
          <w:lang w:val="en-US"/>
        </w:rPr>
        <w:t>?</w:t>
      </w:r>
    </w:p>
    <w:p w14:paraId="696E03F0" w14:textId="77777777" w:rsidR="005A5226" w:rsidRPr="00642E7E" w:rsidRDefault="00642E7E" w:rsidP="00CF795E">
      <w:pPr>
        <w:numPr>
          <w:ilvl w:val="0"/>
          <w:numId w:val="18"/>
        </w:numPr>
        <w:spacing w:after="0" w:line="240" w:lineRule="auto"/>
        <w:ind w:left="540"/>
        <w:jc w:val="left"/>
        <w:textAlignment w:val="center"/>
        <w:rPr>
          <w:rFonts w:ascii="Times New Roman" w:hAnsi="Times New Roman"/>
          <w:sz w:val="24"/>
          <w:szCs w:val="24"/>
          <w:lang w:val="en-US"/>
        </w:rPr>
      </w:pPr>
      <w:hyperlink r:id="rId26" w:history="1">
        <w:r w:rsidR="00E3711E" w:rsidRPr="00642E7E">
          <w:rPr>
            <w:rStyle w:val="Hyperlink"/>
            <w:rFonts w:ascii="Calibri Light" w:hAnsi="Calibri Light"/>
            <w:sz w:val="24"/>
            <w:szCs w:val="24"/>
            <w:lang w:val="en-US"/>
          </w:rPr>
          <w:t>ScholarOne</w:t>
        </w:r>
      </w:hyperlink>
      <w:r w:rsidR="00E3711E" w:rsidRPr="00642E7E">
        <w:rPr>
          <w:rFonts w:ascii="Calibri Light" w:hAnsi="Calibri Light"/>
          <w:noProof/>
          <w:sz w:val="24"/>
          <w:szCs w:val="24"/>
          <w:lang w:val="en-US"/>
        </w:rPr>
        <w:t xml:space="preserve"> (manuscript submission)</w:t>
      </w:r>
    </w:p>
    <w:p w14:paraId="3C99FCDB" w14:textId="77777777" w:rsidR="005A5226" w:rsidRPr="00EC75A3" w:rsidRDefault="005A5226" w:rsidP="005A5226">
      <w:pPr>
        <w:rPr>
          <w:rFonts w:asciiTheme="majorHAnsi" w:hAnsiTheme="majorHAnsi"/>
          <w:b/>
          <w:lang w:val="en-US"/>
        </w:rPr>
      </w:pPr>
    </w:p>
    <w:p w14:paraId="7A864242" w14:textId="77777777" w:rsidR="005A5226" w:rsidRPr="00EC75A3" w:rsidRDefault="005A5226" w:rsidP="00F34ED0">
      <w:pPr>
        <w:rPr>
          <w:rFonts w:asciiTheme="majorHAnsi" w:hAnsiTheme="majorHAnsi"/>
          <w:b/>
          <w:lang w:val="en-US"/>
        </w:rPr>
      </w:pPr>
    </w:p>
    <w:sectPr w:rsidR="005A5226" w:rsidRPr="00EC75A3" w:rsidSect="008913D9">
      <w:type w:val="continuous"/>
      <w:pgSz w:w="11906" w:h="16838" w:code="9"/>
      <w:pgMar w:top="1418" w:right="992" w:bottom="1134" w:left="992" w:header="709" w:footer="7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7A2F" w14:textId="77777777" w:rsidR="00557802" w:rsidRDefault="00557802">
      <w:r>
        <w:separator/>
      </w:r>
    </w:p>
  </w:endnote>
  <w:endnote w:type="continuationSeparator" w:id="0">
    <w:p w14:paraId="6B6AAA5D" w14:textId="77777777" w:rsidR="00557802" w:rsidRDefault="0055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hieme Argo 2011 Light">
    <w:altName w:val="Calibri"/>
    <w:charset w:val="00"/>
    <w:family w:val="auto"/>
    <w:pitch w:val="variable"/>
    <w:sig w:usb0="A00002EF" w:usb1="0000F4FB" w:usb2="00000000" w:usb3="00000000" w:csb0="0000008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CB7" w14:textId="77777777" w:rsidR="00642ED6" w:rsidRPr="00485448" w:rsidRDefault="00485448" w:rsidP="00485448">
    <w:pPr>
      <w:pBdr>
        <w:top w:val="single" w:sz="8" w:space="2" w:color="808080" w:themeColor="background1" w:themeShade="80"/>
      </w:pBdr>
      <w:tabs>
        <w:tab w:val="center" w:pos="5103"/>
        <w:tab w:val="right" w:pos="9923"/>
      </w:tabs>
      <w:rPr>
        <w:rFonts w:ascii="Calibri" w:hAnsi="Calibri"/>
        <w:color w:val="808080" w:themeColor="background1" w:themeShade="80"/>
      </w:rPr>
    </w:pPr>
    <w:r w:rsidRPr="006818EF">
      <w:rPr>
        <w:rFonts w:ascii="Calibri" w:hAnsi="Calibri"/>
        <w:color w:val="808080" w:themeColor="background1" w:themeShade="80"/>
      </w:rPr>
      <w:t>Template for SYN</w:t>
    </w:r>
    <w:r>
      <w:rPr>
        <w:rFonts w:ascii="Calibri" w:hAnsi="Calibri"/>
        <w:color w:val="808080" w:themeColor="background1" w:themeShade="80"/>
      </w:rPr>
      <w:t>LETT</w:t>
    </w:r>
    <w:r>
      <w:rPr>
        <w:rFonts w:ascii="Calibri" w:hAnsi="Calibri"/>
        <w:color w:val="808080" w:themeColor="background1" w:themeShade="80"/>
      </w:rPr>
      <w:tab/>
    </w:r>
    <w:proofErr w:type="spellStart"/>
    <w:r>
      <w:rPr>
        <w:rFonts w:ascii="Calibri" w:hAnsi="Calibri"/>
        <w:color w:val="808080" w:themeColor="background1" w:themeShade="80"/>
      </w:rPr>
      <w:t>Thieme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9580" w14:textId="77777777" w:rsidR="00557802" w:rsidRDefault="00557802">
      <w:r>
        <w:separator/>
      </w:r>
    </w:p>
  </w:footnote>
  <w:footnote w:type="continuationSeparator" w:id="0">
    <w:p w14:paraId="0820C574" w14:textId="77777777" w:rsidR="00557802" w:rsidRDefault="0055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196" w14:textId="77777777" w:rsidR="00642ED6" w:rsidRPr="00C76583" w:rsidRDefault="007F6A34" w:rsidP="008E7628">
    <w:pPr>
      <w:pStyle w:val="PlainText"/>
      <w:pBdr>
        <w:bottom w:val="single" w:sz="8" w:space="3" w:color="808080" w:themeColor="background1" w:themeShade="80"/>
      </w:pBdr>
      <w:rPr>
        <w:b/>
        <w:sz w:val="20"/>
        <w:szCs w:val="20"/>
        <w:lang w:val="fr-FR"/>
      </w:rPr>
    </w:pPr>
    <w:proofErr w:type="spellStart"/>
    <w:r w:rsidRPr="00C76583">
      <w:rPr>
        <w:b/>
        <w:sz w:val="20"/>
        <w:szCs w:val="20"/>
      </w:rPr>
      <w:t>S</w:t>
    </w:r>
    <w:r w:rsidR="004573AB" w:rsidRPr="00C76583">
      <w:rPr>
        <w:b/>
        <w:sz w:val="20"/>
        <w:szCs w:val="20"/>
      </w:rPr>
      <w:t>yn</w:t>
    </w:r>
    <w:r w:rsidR="00C45ADD">
      <w:rPr>
        <w:b/>
        <w:sz w:val="20"/>
        <w:szCs w:val="20"/>
      </w:rPr>
      <w:t>lett</w:t>
    </w:r>
    <w:proofErr w:type="spellEnd"/>
    <w:r w:rsidR="004573AB" w:rsidRPr="00C76583">
      <w:rPr>
        <w:b/>
        <w:sz w:val="20"/>
        <w:szCs w:val="20"/>
      </w:rPr>
      <w:ptab w:relativeTo="margin" w:alignment="right" w:leader="none"/>
    </w:r>
    <w:r w:rsidR="00C45ADD">
      <w:rPr>
        <w:b/>
        <w:sz w:val="20"/>
        <w:szCs w:val="20"/>
      </w:rPr>
      <w:t>Letter / Cluster / New Tools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EC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AB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09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940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2F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8A0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67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8D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EA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F8A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C3E"/>
    <w:multiLevelType w:val="hybridMultilevel"/>
    <w:tmpl w:val="C79E7380"/>
    <w:lvl w:ilvl="0" w:tplc="6472C372">
      <w:start w:val="1"/>
      <w:numFmt w:val="decimal"/>
      <w:pStyle w:val="Ref"/>
      <w:lvlText w:val="(%1)"/>
      <w:lvlJc w:val="right"/>
      <w:pPr>
        <w:ind w:left="644" w:hanging="360"/>
      </w:pPr>
      <w:rPr>
        <w:rFonts w:hint="default"/>
        <w:b w:val="0"/>
        <w:bCs w:val="0"/>
      </w:rPr>
    </w:lvl>
    <w:lvl w:ilvl="1" w:tplc="7A78CD14" w:tentative="1">
      <w:start w:val="1"/>
      <w:numFmt w:val="lowerLetter"/>
      <w:lvlText w:val="%2."/>
      <w:lvlJc w:val="left"/>
      <w:pPr>
        <w:tabs>
          <w:tab w:val="num" w:pos="1440"/>
        </w:tabs>
        <w:ind w:left="1440" w:hanging="360"/>
      </w:pPr>
    </w:lvl>
    <w:lvl w:ilvl="2" w:tplc="190C42BA" w:tentative="1">
      <w:start w:val="1"/>
      <w:numFmt w:val="lowerRoman"/>
      <w:lvlText w:val="%3."/>
      <w:lvlJc w:val="right"/>
      <w:pPr>
        <w:tabs>
          <w:tab w:val="num" w:pos="2160"/>
        </w:tabs>
        <w:ind w:left="2160" w:hanging="180"/>
      </w:pPr>
    </w:lvl>
    <w:lvl w:ilvl="3" w:tplc="56847BE2" w:tentative="1">
      <w:start w:val="1"/>
      <w:numFmt w:val="decimal"/>
      <w:lvlText w:val="%4."/>
      <w:lvlJc w:val="left"/>
      <w:pPr>
        <w:tabs>
          <w:tab w:val="num" w:pos="2880"/>
        </w:tabs>
        <w:ind w:left="2880" w:hanging="360"/>
      </w:pPr>
    </w:lvl>
    <w:lvl w:ilvl="4" w:tplc="2AE05806" w:tentative="1">
      <w:start w:val="1"/>
      <w:numFmt w:val="lowerLetter"/>
      <w:lvlText w:val="%5."/>
      <w:lvlJc w:val="left"/>
      <w:pPr>
        <w:tabs>
          <w:tab w:val="num" w:pos="3600"/>
        </w:tabs>
        <w:ind w:left="3600" w:hanging="360"/>
      </w:pPr>
    </w:lvl>
    <w:lvl w:ilvl="5" w:tplc="6B94ABBE" w:tentative="1">
      <w:start w:val="1"/>
      <w:numFmt w:val="lowerRoman"/>
      <w:lvlText w:val="%6."/>
      <w:lvlJc w:val="right"/>
      <w:pPr>
        <w:tabs>
          <w:tab w:val="num" w:pos="4320"/>
        </w:tabs>
        <w:ind w:left="4320" w:hanging="180"/>
      </w:pPr>
    </w:lvl>
    <w:lvl w:ilvl="6" w:tplc="1974E93E" w:tentative="1">
      <w:start w:val="1"/>
      <w:numFmt w:val="decimal"/>
      <w:lvlText w:val="%7."/>
      <w:lvlJc w:val="left"/>
      <w:pPr>
        <w:tabs>
          <w:tab w:val="num" w:pos="5040"/>
        </w:tabs>
        <w:ind w:left="5040" w:hanging="360"/>
      </w:pPr>
    </w:lvl>
    <w:lvl w:ilvl="7" w:tplc="6FC082BC" w:tentative="1">
      <w:start w:val="1"/>
      <w:numFmt w:val="lowerLetter"/>
      <w:lvlText w:val="%8."/>
      <w:lvlJc w:val="left"/>
      <w:pPr>
        <w:tabs>
          <w:tab w:val="num" w:pos="5760"/>
        </w:tabs>
        <w:ind w:left="5760" w:hanging="360"/>
      </w:pPr>
    </w:lvl>
    <w:lvl w:ilvl="8" w:tplc="D2489C04" w:tentative="1">
      <w:start w:val="1"/>
      <w:numFmt w:val="lowerRoman"/>
      <w:lvlText w:val="%9."/>
      <w:lvlJc w:val="right"/>
      <w:pPr>
        <w:tabs>
          <w:tab w:val="num" w:pos="6480"/>
        </w:tabs>
        <w:ind w:left="6480" w:hanging="180"/>
      </w:pPr>
    </w:lvl>
  </w:abstractNum>
  <w:abstractNum w:abstractNumId="11" w15:restartNumberingAfterBreak="0">
    <w:nsid w:val="0FB84260"/>
    <w:multiLevelType w:val="hybridMultilevel"/>
    <w:tmpl w:val="26FAD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E943E2"/>
    <w:multiLevelType w:val="hybridMultilevel"/>
    <w:tmpl w:val="6FC677FC"/>
    <w:lvl w:ilvl="0" w:tplc="27C079AE">
      <w:start w:val="3"/>
      <w:numFmt w:val="bullet"/>
      <w:lvlText w:val="-"/>
      <w:lvlJc w:val="left"/>
      <w:pPr>
        <w:ind w:left="1068" w:hanging="360"/>
      </w:pPr>
      <w:rPr>
        <w:rFonts w:ascii="Calibri Light" w:eastAsiaTheme="majorEastAsia" w:hAnsi="Calibri Light" w:cs="Times New Roman" w:hint="default"/>
        <w:b/>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3" w15:restartNumberingAfterBreak="0">
    <w:nsid w:val="3A907928"/>
    <w:multiLevelType w:val="hybridMultilevel"/>
    <w:tmpl w:val="BB30C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2B1C08"/>
    <w:multiLevelType w:val="multilevel"/>
    <w:tmpl w:val="25D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B7A67"/>
    <w:multiLevelType w:val="multilevel"/>
    <w:tmpl w:val="4ED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D15A6"/>
    <w:multiLevelType w:val="hybridMultilevel"/>
    <w:tmpl w:val="713ED92C"/>
    <w:lvl w:ilvl="0" w:tplc="173EE2C2">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BE62E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032840"/>
    <w:multiLevelType w:val="multilevel"/>
    <w:tmpl w:val="D4D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AD53C1"/>
    <w:multiLevelType w:val="multilevel"/>
    <w:tmpl w:val="924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903152">
    <w:abstractNumId w:val="10"/>
  </w:num>
  <w:num w:numId="2" w16cid:durableId="1985549002">
    <w:abstractNumId w:val="13"/>
  </w:num>
  <w:num w:numId="3" w16cid:durableId="227225729">
    <w:abstractNumId w:val="10"/>
  </w:num>
  <w:num w:numId="4" w16cid:durableId="999232185">
    <w:abstractNumId w:val="9"/>
  </w:num>
  <w:num w:numId="5" w16cid:durableId="811948288">
    <w:abstractNumId w:val="7"/>
  </w:num>
  <w:num w:numId="6" w16cid:durableId="556162485">
    <w:abstractNumId w:val="6"/>
  </w:num>
  <w:num w:numId="7" w16cid:durableId="1565215423">
    <w:abstractNumId w:val="5"/>
  </w:num>
  <w:num w:numId="8" w16cid:durableId="649486619">
    <w:abstractNumId w:val="4"/>
  </w:num>
  <w:num w:numId="9" w16cid:durableId="433326053">
    <w:abstractNumId w:val="8"/>
  </w:num>
  <w:num w:numId="10" w16cid:durableId="774709127">
    <w:abstractNumId w:val="3"/>
  </w:num>
  <w:num w:numId="11" w16cid:durableId="1135873776">
    <w:abstractNumId w:val="2"/>
  </w:num>
  <w:num w:numId="12" w16cid:durableId="2138336271">
    <w:abstractNumId w:val="1"/>
  </w:num>
  <w:num w:numId="13" w16cid:durableId="1798374722">
    <w:abstractNumId w:val="0"/>
  </w:num>
  <w:num w:numId="14" w16cid:durableId="1947299348">
    <w:abstractNumId w:val="17"/>
  </w:num>
  <w:num w:numId="15" w16cid:durableId="1015812814">
    <w:abstractNumId w:val="16"/>
  </w:num>
  <w:num w:numId="16" w16cid:durableId="294069549">
    <w:abstractNumId w:val="11"/>
  </w:num>
  <w:num w:numId="17" w16cid:durableId="778988865">
    <w:abstractNumId w:val="12"/>
  </w:num>
  <w:num w:numId="18" w16cid:durableId="411244311">
    <w:abstractNumId w:val="19"/>
  </w:num>
  <w:num w:numId="19" w16cid:durableId="2109352295">
    <w:abstractNumId w:val="18"/>
  </w:num>
  <w:num w:numId="20" w16cid:durableId="828710037">
    <w:abstractNumId w:val="14"/>
  </w:num>
  <w:num w:numId="21" w16cid:durableId="869223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DocType" w:val="CHOOSE AN ARTICLE TYPE"/>
    <w:docVar w:name="SysArtType_0" w:val="Synthesis: Paper@Use this template for Synthesis Papers; original research which has not been previously published except in the form of an abstract or preliminary communication@&lt;MainTitle&gt;Print out this copy of the sample article._x000d__x000a_&lt;MainTitle&gt;Main Title - Please overwrite this text with the title of the article._x000d__x000a_&lt;Author&gt;Authors - Please overwrite this text with the full names of all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Then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1" w:val="Synlett: Letter@Use this template for Synlett Letters; preliminary reports of new scientific research resul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docVar w:name="SysArtType_10" w:val="Synlett: Cluster (invited article)@Use this template for Synthesis Cluste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hen prompted to &quot;Add an Editor&quot;, please select the Editor who invited you to submit this Cluster article."/>
    <w:docVar w:name="SysArtType_2" w:val="Synthesis: PSP@Use this template for Synthesis Practical Synthetic Procedures (PSP); useful and reliable procedures presented in a compact form@&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chemeImage&gt;Please insert a 2 column scheme here providing an overview of the practial synthetic procedure provided in the manuscript._x000d__x000a_&lt;SchemeCaption&gt;&lt;B&gt;Scheme 1&lt;/B&gt; Insert the scheme legend here after the Scheme number and delete this text. All schemes must be numbered and mentioned in the text._x000d__x000a_&lt;Standard&gt;Note the Abstract, Key words, and Scheme 1 in a PSP are presented over 2 columns; please insert a 2-column scheme, the remaining formating will take place during production. 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2&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3" w:val="Synthesis: Review or Short Review (invited article)@Use this template for Synthesis Reviews or Short Reviews; critical evaluation of developments in a specific area of interest to the readership@&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Table of Contents entry - if required please overwrite this section with the table of contents for the article._x000d__x000a_&lt;ToC&gt;2_x000d__x000a_&lt;ToC&gt;2.1_x000d__x000a_&lt;ToC&gt;2.2_x000d__x000a_&lt;ToC&gt;2.3_x000d__x000a_&lt;ToC&gt;3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hort Review) or second page (Review)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Editor who invited you to submit this Review or Short Review."/>
    <w:docVar w:name="SysArtType_4" w:val="Synthesis: Feature (invited article)@Use this template for Synthesis Feature Articles; research papers with special prominence due to their high scientific standard and general interest@&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ToC&gt;1 Table of Contents entry - if required please overwrite this section with the table of contents for the article._x000d__x000a_&lt;ToC&gt;2_x000d__x000a_&lt;ToC&gt;2.1_x000d__x000a_&lt;ToC&gt;2.1.1_x000d__x000a_&lt;ToC&gt;3_x000d__x000a_&lt;ToC&gt;4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Regional Editor who invited you to submit this Feature Article._x000d__x000a_"/>
    <w:docVar w:name="SysArtType_5" w:val="Synlett: Account or Synpacts (invited article)@Use this template for Synlett Accounts or Synpacts; reviews of significant recent work from the research group of the principal autho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 Table of Contents entry - if required please overwrite this section with the table of contents for the article._x000d__x000a_&lt;ToC&gt;1.1_x000d__x000a_&lt;ToC&gt;2_x000d__x000a_&lt;ToC&gt;2.1_x000d__x000a_&lt;ToC&gt;3_x000d__x000a_&lt;ToC&gt;4_x000d__x000a_&lt;ToC&gt;5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ynpacts) or second page (Accounts)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lett. When prompted to &quot;Add an Editor&quot;, please select the Editor who invited you to submit this Account or Synpacts article."/>
    <w:docVar w:name="SysArtType_6" w:val="Synlett: New Tools@Use this template for Synlett New Tools; reviews of conceptual methodological or technical developments of areas of synthetic stragegy and methods that are of importance to synthetic chemis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lett/for-authors.html.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New Tools in Synthesis are generally invited; however, uninvited proposals or manuscripts will be considered. Please contact Michael Binanzer (michael.binanzer@thieme.de) at the Editorial Office."/>
    <w:docVar w:name="SysArtType_7" w:val="Synlett: Spotlight@Use this template for Synlett Spotlights, which focus on reagents chosen by graduate students; reagents must be approved prior to manuscript submission, consult the Instruction for Authors for more details@&lt;SYNLETT&gt;_x000d__x000a_&lt;MainTitle&gt;Print out a copy of this sample article. There is a 2-page limit for Spotlight articles. Please contact spotlights@thieme.de to get your reagent approved, before preparing the manuscript._x000d__x000a_&lt;MainTitle&gt;Please overwrite this text with the title of the article._x000d__x000a_&lt;Author&gt;Compiled by - Please enter your full name here and place the biographical sketch under your name. You may also place your  photograph here, alternatively you can send it by regular mail to the editorial office._x000d__x000a_&lt;Address&gt;Correspondence information - Please overwrite this text with the institution(s) and full mailing address where you are a student._x000d__x000a_&lt;Email&gt;E-mail: Insert your email address after the colon._x000d__x000a_&lt;Head1&gt;Introduction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page of the article at the galley proof stage. You may also place the photograph of the author here, alternatively you can send it by regular mail to the editorial office._x000d__x000a_&lt;Head1&gt;Manuscript submission checklist_x000d__x000a_&lt;Standard&gt; • Statement of significance of work._x000d__x000a_&lt;Standard&gt; • Full mailing address, telephone, and fax numbers, and email address of the corresponding author._x000d__x000a_&lt;Standard&gt; • Original Word file._x000d__x000a_&lt;Standard&gt; • Original graphics files._x000d__x000a_&lt;Standard&gt; • Biographical sketch of the author._x000d__x000a_&lt;Standard&gt; • Photograph of the author._x000d__x000a_&lt;Standard&gt;Inquiries concerning this section should be directed to the Editorial Office prior to manuscript preparation (spotlights@thieme.de)."/>
    <w:docVar w:name="SysArtType_8" w:val="Synthesis: Special Topic (invited article)@Use this template for Synthesis Special Topic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6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hen prompted to &quot;Add an Editor&quot;, please select the Editor who invited you to submit this Special Topic article._x000d__x000a_"/>
  </w:docVars>
  <w:rsids>
    <w:rsidRoot w:val="00CC6D3A"/>
    <w:rsid w:val="000049E8"/>
    <w:rsid w:val="00005811"/>
    <w:rsid w:val="0001610F"/>
    <w:rsid w:val="000219DD"/>
    <w:rsid w:val="00025530"/>
    <w:rsid w:val="00030DC0"/>
    <w:rsid w:val="000329DC"/>
    <w:rsid w:val="0003481E"/>
    <w:rsid w:val="0003546D"/>
    <w:rsid w:val="00037521"/>
    <w:rsid w:val="00041F80"/>
    <w:rsid w:val="0004707C"/>
    <w:rsid w:val="000476BD"/>
    <w:rsid w:val="00053E0D"/>
    <w:rsid w:val="000603E8"/>
    <w:rsid w:val="000700FD"/>
    <w:rsid w:val="00074545"/>
    <w:rsid w:val="00076325"/>
    <w:rsid w:val="0008630F"/>
    <w:rsid w:val="000A6033"/>
    <w:rsid w:val="000B38C5"/>
    <w:rsid w:val="000B5F16"/>
    <w:rsid w:val="000B665B"/>
    <w:rsid w:val="000C16D2"/>
    <w:rsid w:val="000D05CD"/>
    <w:rsid w:val="000D183D"/>
    <w:rsid w:val="000D1F95"/>
    <w:rsid w:val="000D610E"/>
    <w:rsid w:val="000E328C"/>
    <w:rsid w:val="000E7054"/>
    <w:rsid w:val="00106593"/>
    <w:rsid w:val="0011634B"/>
    <w:rsid w:val="001253C8"/>
    <w:rsid w:val="00125E52"/>
    <w:rsid w:val="001401A4"/>
    <w:rsid w:val="001449A6"/>
    <w:rsid w:val="00163E19"/>
    <w:rsid w:val="001644B6"/>
    <w:rsid w:val="00164DC8"/>
    <w:rsid w:val="00165EA7"/>
    <w:rsid w:val="0016789D"/>
    <w:rsid w:val="00170426"/>
    <w:rsid w:val="00173A40"/>
    <w:rsid w:val="001762C5"/>
    <w:rsid w:val="001823E8"/>
    <w:rsid w:val="00186C42"/>
    <w:rsid w:val="00186C4C"/>
    <w:rsid w:val="00197306"/>
    <w:rsid w:val="001A2084"/>
    <w:rsid w:val="001A6A5A"/>
    <w:rsid w:val="001A73AA"/>
    <w:rsid w:val="001B0F67"/>
    <w:rsid w:val="001C2352"/>
    <w:rsid w:val="001D2EEA"/>
    <w:rsid w:val="001D4266"/>
    <w:rsid w:val="001D453B"/>
    <w:rsid w:val="001D62AF"/>
    <w:rsid w:val="001D6652"/>
    <w:rsid w:val="001E0799"/>
    <w:rsid w:val="001E2033"/>
    <w:rsid w:val="001E6904"/>
    <w:rsid w:val="001E6BC1"/>
    <w:rsid w:val="001F37A0"/>
    <w:rsid w:val="001F4856"/>
    <w:rsid w:val="001F5A5B"/>
    <w:rsid w:val="001F7982"/>
    <w:rsid w:val="00202953"/>
    <w:rsid w:val="002047DE"/>
    <w:rsid w:val="00212C3E"/>
    <w:rsid w:val="00215EDA"/>
    <w:rsid w:val="002160BB"/>
    <w:rsid w:val="00221075"/>
    <w:rsid w:val="00222369"/>
    <w:rsid w:val="00227F7E"/>
    <w:rsid w:val="00242C83"/>
    <w:rsid w:val="00242DF0"/>
    <w:rsid w:val="00244B14"/>
    <w:rsid w:val="002568A0"/>
    <w:rsid w:val="00260D90"/>
    <w:rsid w:val="002635F8"/>
    <w:rsid w:val="002661D0"/>
    <w:rsid w:val="0026665D"/>
    <w:rsid w:val="0026704E"/>
    <w:rsid w:val="00270791"/>
    <w:rsid w:val="002728AD"/>
    <w:rsid w:val="00276FE8"/>
    <w:rsid w:val="002827EF"/>
    <w:rsid w:val="00282BC6"/>
    <w:rsid w:val="00285533"/>
    <w:rsid w:val="0029420C"/>
    <w:rsid w:val="002A2DB0"/>
    <w:rsid w:val="002A5AE5"/>
    <w:rsid w:val="002A74D6"/>
    <w:rsid w:val="002A7F80"/>
    <w:rsid w:val="002B2138"/>
    <w:rsid w:val="002B7F7E"/>
    <w:rsid w:val="002C212D"/>
    <w:rsid w:val="002C2372"/>
    <w:rsid w:val="002C4E5D"/>
    <w:rsid w:val="002C5B04"/>
    <w:rsid w:val="002C5E23"/>
    <w:rsid w:val="002D543C"/>
    <w:rsid w:val="002D6BC6"/>
    <w:rsid w:val="002E198B"/>
    <w:rsid w:val="002E1D35"/>
    <w:rsid w:val="002E5728"/>
    <w:rsid w:val="002F02CD"/>
    <w:rsid w:val="002F04EA"/>
    <w:rsid w:val="002F64EB"/>
    <w:rsid w:val="00301AC7"/>
    <w:rsid w:val="00305630"/>
    <w:rsid w:val="00314F39"/>
    <w:rsid w:val="00322173"/>
    <w:rsid w:val="003242C9"/>
    <w:rsid w:val="00326ED2"/>
    <w:rsid w:val="003308C8"/>
    <w:rsid w:val="00330F8A"/>
    <w:rsid w:val="003313C2"/>
    <w:rsid w:val="00334887"/>
    <w:rsid w:val="00355664"/>
    <w:rsid w:val="00355FE8"/>
    <w:rsid w:val="00356A12"/>
    <w:rsid w:val="00372DFA"/>
    <w:rsid w:val="00373CE5"/>
    <w:rsid w:val="00384163"/>
    <w:rsid w:val="00385206"/>
    <w:rsid w:val="00386F53"/>
    <w:rsid w:val="003C725B"/>
    <w:rsid w:val="003D1490"/>
    <w:rsid w:val="003D585F"/>
    <w:rsid w:val="003D7513"/>
    <w:rsid w:val="003E65E6"/>
    <w:rsid w:val="003E7319"/>
    <w:rsid w:val="003F0CA7"/>
    <w:rsid w:val="003F1BFB"/>
    <w:rsid w:val="003F2D2B"/>
    <w:rsid w:val="003F3773"/>
    <w:rsid w:val="00403DD1"/>
    <w:rsid w:val="00404622"/>
    <w:rsid w:val="004062B3"/>
    <w:rsid w:val="004109FA"/>
    <w:rsid w:val="004212A2"/>
    <w:rsid w:val="0042161A"/>
    <w:rsid w:val="004333C7"/>
    <w:rsid w:val="00434F4E"/>
    <w:rsid w:val="004454E2"/>
    <w:rsid w:val="00445C3B"/>
    <w:rsid w:val="004477A9"/>
    <w:rsid w:val="00452AD8"/>
    <w:rsid w:val="004573AB"/>
    <w:rsid w:val="004600F8"/>
    <w:rsid w:val="00467113"/>
    <w:rsid w:val="00484266"/>
    <w:rsid w:val="00485448"/>
    <w:rsid w:val="00490434"/>
    <w:rsid w:val="0049355E"/>
    <w:rsid w:val="004978F1"/>
    <w:rsid w:val="004A04E8"/>
    <w:rsid w:val="004A3063"/>
    <w:rsid w:val="004B24D3"/>
    <w:rsid w:val="004C5824"/>
    <w:rsid w:val="004D10ED"/>
    <w:rsid w:val="004D17E6"/>
    <w:rsid w:val="004E0099"/>
    <w:rsid w:val="004E1A68"/>
    <w:rsid w:val="004E66D1"/>
    <w:rsid w:val="004F37C2"/>
    <w:rsid w:val="004F44FC"/>
    <w:rsid w:val="00504ECB"/>
    <w:rsid w:val="00534057"/>
    <w:rsid w:val="00541AC7"/>
    <w:rsid w:val="00557802"/>
    <w:rsid w:val="00557B5F"/>
    <w:rsid w:val="0056037E"/>
    <w:rsid w:val="00561F77"/>
    <w:rsid w:val="005678D7"/>
    <w:rsid w:val="00570A40"/>
    <w:rsid w:val="00576C38"/>
    <w:rsid w:val="005816ED"/>
    <w:rsid w:val="00584075"/>
    <w:rsid w:val="00585D18"/>
    <w:rsid w:val="00595552"/>
    <w:rsid w:val="005A1B13"/>
    <w:rsid w:val="005A5226"/>
    <w:rsid w:val="005A58CA"/>
    <w:rsid w:val="005B797A"/>
    <w:rsid w:val="005C45B5"/>
    <w:rsid w:val="005C4A18"/>
    <w:rsid w:val="005C5279"/>
    <w:rsid w:val="005D181B"/>
    <w:rsid w:val="005D2B45"/>
    <w:rsid w:val="005E45EA"/>
    <w:rsid w:val="005E4833"/>
    <w:rsid w:val="005F3AD5"/>
    <w:rsid w:val="00607D9F"/>
    <w:rsid w:val="00610D6B"/>
    <w:rsid w:val="00615AB1"/>
    <w:rsid w:val="006160F8"/>
    <w:rsid w:val="00616F86"/>
    <w:rsid w:val="00635431"/>
    <w:rsid w:val="00637435"/>
    <w:rsid w:val="00642E7E"/>
    <w:rsid w:val="00642ED6"/>
    <w:rsid w:val="00650C1A"/>
    <w:rsid w:val="006575AB"/>
    <w:rsid w:val="00657CF1"/>
    <w:rsid w:val="0066712B"/>
    <w:rsid w:val="0067461E"/>
    <w:rsid w:val="006818EF"/>
    <w:rsid w:val="006819E4"/>
    <w:rsid w:val="00681D53"/>
    <w:rsid w:val="00693CB6"/>
    <w:rsid w:val="006A21E1"/>
    <w:rsid w:val="006B6D13"/>
    <w:rsid w:val="006C24CA"/>
    <w:rsid w:val="006E071F"/>
    <w:rsid w:val="006E1A10"/>
    <w:rsid w:val="00705770"/>
    <w:rsid w:val="00706C48"/>
    <w:rsid w:val="0072264A"/>
    <w:rsid w:val="00723476"/>
    <w:rsid w:val="00727376"/>
    <w:rsid w:val="00727B3E"/>
    <w:rsid w:val="00736F04"/>
    <w:rsid w:val="00743E0E"/>
    <w:rsid w:val="00746ACC"/>
    <w:rsid w:val="00770808"/>
    <w:rsid w:val="007739AD"/>
    <w:rsid w:val="00777328"/>
    <w:rsid w:val="0078325A"/>
    <w:rsid w:val="00785ECB"/>
    <w:rsid w:val="00791B18"/>
    <w:rsid w:val="007933A2"/>
    <w:rsid w:val="00796940"/>
    <w:rsid w:val="00796F8D"/>
    <w:rsid w:val="007A493B"/>
    <w:rsid w:val="007B383A"/>
    <w:rsid w:val="007B74EE"/>
    <w:rsid w:val="007C113D"/>
    <w:rsid w:val="007C4E3B"/>
    <w:rsid w:val="007E4DC5"/>
    <w:rsid w:val="007E57F7"/>
    <w:rsid w:val="007E6435"/>
    <w:rsid w:val="007E664D"/>
    <w:rsid w:val="007E76B4"/>
    <w:rsid w:val="007F0108"/>
    <w:rsid w:val="007F3A41"/>
    <w:rsid w:val="007F6A34"/>
    <w:rsid w:val="008008B9"/>
    <w:rsid w:val="00804ED3"/>
    <w:rsid w:val="008075D0"/>
    <w:rsid w:val="00813117"/>
    <w:rsid w:val="00822900"/>
    <w:rsid w:val="008245FD"/>
    <w:rsid w:val="008331B8"/>
    <w:rsid w:val="00846982"/>
    <w:rsid w:val="0084793C"/>
    <w:rsid w:val="00853F6D"/>
    <w:rsid w:val="0085635A"/>
    <w:rsid w:val="00861E08"/>
    <w:rsid w:val="00864976"/>
    <w:rsid w:val="0087210B"/>
    <w:rsid w:val="00872F06"/>
    <w:rsid w:val="0088427E"/>
    <w:rsid w:val="008858A3"/>
    <w:rsid w:val="00887E21"/>
    <w:rsid w:val="008913D9"/>
    <w:rsid w:val="008B0D76"/>
    <w:rsid w:val="008B4DA1"/>
    <w:rsid w:val="008C1CBB"/>
    <w:rsid w:val="008D0D89"/>
    <w:rsid w:val="008D3A2D"/>
    <w:rsid w:val="008E7628"/>
    <w:rsid w:val="008F27F4"/>
    <w:rsid w:val="008F4CE2"/>
    <w:rsid w:val="008F63FA"/>
    <w:rsid w:val="008F703E"/>
    <w:rsid w:val="00901643"/>
    <w:rsid w:val="00914387"/>
    <w:rsid w:val="0091653A"/>
    <w:rsid w:val="00923066"/>
    <w:rsid w:val="0093184C"/>
    <w:rsid w:val="00931F38"/>
    <w:rsid w:val="009323CB"/>
    <w:rsid w:val="009331F0"/>
    <w:rsid w:val="00942CDD"/>
    <w:rsid w:val="00943623"/>
    <w:rsid w:val="00946E86"/>
    <w:rsid w:val="009509C1"/>
    <w:rsid w:val="00950BD1"/>
    <w:rsid w:val="00977A5F"/>
    <w:rsid w:val="00986584"/>
    <w:rsid w:val="0098706E"/>
    <w:rsid w:val="00995817"/>
    <w:rsid w:val="009B6612"/>
    <w:rsid w:val="009B68D9"/>
    <w:rsid w:val="009B7DCA"/>
    <w:rsid w:val="009C328F"/>
    <w:rsid w:val="009D1833"/>
    <w:rsid w:val="009F28A6"/>
    <w:rsid w:val="009F428F"/>
    <w:rsid w:val="00A013F9"/>
    <w:rsid w:val="00A0145F"/>
    <w:rsid w:val="00A1174C"/>
    <w:rsid w:val="00A16A1F"/>
    <w:rsid w:val="00A2445F"/>
    <w:rsid w:val="00A25E3A"/>
    <w:rsid w:val="00A33482"/>
    <w:rsid w:val="00A4560D"/>
    <w:rsid w:val="00A52BE9"/>
    <w:rsid w:val="00A532F2"/>
    <w:rsid w:val="00A608B1"/>
    <w:rsid w:val="00A65A1B"/>
    <w:rsid w:val="00A66C6F"/>
    <w:rsid w:val="00A7109D"/>
    <w:rsid w:val="00A75EDE"/>
    <w:rsid w:val="00A836AA"/>
    <w:rsid w:val="00A85AC7"/>
    <w:rsid w:val="00A8743E"/>
    <w:rsid w:val="00A93523"/>
    <w:rsid w:val="00A93800"/>
    <w:rsid w:val="00AA0A64"/>
    <w:rsid w:val="00AA3AAE"/>
    <w:rsid w:val="00AA7990"/>
    <w:rsid w:val="00AB3FE8"/>
    <w:rsid w:val="00AC1F17"/>
    <w:rsid w:val="00AC299F"/>
    <w:rsid w:val="00AC7002"/>
    <w:rsid w:val="00AD6E6D"/>
    <w:rsid w:val="00AF02E6"/>
    <w:rsid w:val="00B01BD1"/>
    <w:rsid w:val="00B048E4"/>
    <w:rsid w:val="00B12503"/>
    <w:rsid w:val="00B316F5"/>
    <w:rsid w:val="00B32C0E"/>
    <w:rsid w:val="00B36E64"/>
    <w:rsid w:val="00B41840"/>
    <w:rsid w:val="00B50063"/>
    <w:rsid w:val="00B57FB3"/>
    <w:rsid w:val="00B600BC"/>
    <w:rsid w:val="00B65F08"/>
    <w:rsid w:val="00B70418"/>
    <w:rsid w:val="00B75F4D"/>
    <w:rsid w:val="00B84884"/>
    <w:rsid w:val="00B9271B"/>
    <w:rsid w:val="00B95217"/>
    <w:rsid w:val="00B9530B"/>
    <w:rsid w:val="00BA0E4D"/>
    <w:rsid w:val="00BA1F6E"/>
    <w:rsid w:val="00BA26CB"/>
    <w:rsid w:val="00BA5A5E"/>
    <w:rsid w:val="00BB094B"/>
    <w:rsid w:val="00BB2A9E"/>
    <w:rsid w:val="00BC0932"/>
    <w:rsid w:val="00BC2E7A"/>
    <w:rsid w:val="00BC7E99"/>
    <w:rsid w:val="00BD245C"/>
    <w:rsid w:val="00BD24B7"/>
    <w:rsid w:val="00BD5903"/>
    <w:rsid w:val="00BD63B1"/>
    <w:rsid w:val="00BE30C2"/>
    <w:rsid w:val="00BF1197"/>
    <w:rsid w:val="00BF7E29"/>
    <w:rsid w:val="00C108D7"/>
    <w:rsid w:val="00C17925"/>
    <w:rsid w:val="00C272C0"/>
    <w:rsid w:val="00C33B01"/>
    <w:rsid w:val="00C441FC"/>
    <w:rsid w:val="00C448D3"/>
    <w:rsid w:val="00C45ADD"/>
    <w:rsid w:val="00C54E48"/>
    <w:rsid w:val="00C56303"/>
    <w:rsid w:val="00C630EC"/>
    <w:rsid w:val="00C635EB"/>
    <w:rsid w:val="00C7025C"/>
    <w:rsid w:val="00C72E8C"/>
    <w:rsid w:val="00C76583"/>
    <w:rsid w:val="00C9275E"/>
    <w:rsid w:val="00C941D9"/>
    <w:rsid w:val="00C94D1E"/>
    <w:rsid w:val="00C97935"/>
    <w:rsid w:val="00CA2102"/>
    <w:rsid w:val="00CA52C3"/>
    <w:rsid w:val="00CA56F9"/>
    <w:rsid w:val="00CA65E5"/>
    <w:rsid w:val="00CB75B2"/>
    <w:rsid w:val="00CC2014"/>
    <w:rsid w:val="00CC6D3A"/>
    <w:rsid w:val="00CD6546"/>
    <w:rsid w:val="00CE5C6E"/>
    <w:rsid w:val="00CE6B31"/>
    <w:rsid w:val="00CF2A1B"/>
    <w:rsid w:val="00CF795E"/>
    <w:rsid w:val="00D06473"/>
    <w:rsid w:val="00D11C38"/>
    <w:rsid w:val="00D27FB0"/>
    <w:rsid w:val="00D37722"/>
    <w:rsid w:val="00D417BF"/>
    <w:rsid w:val="00D45E91"/>
    <w:rsid w:val="00D52AB3"/>
    <w:rsid w:val="00D53512"/>
    <w:rsid w:val="00D548F4"/>
    <w:rsid w:val="00D54989"/>
    <w:rsid w:val="00D54D33"/>
    <w:rsid w:val="00D56C49"/>
    <w:rsid w:val="00D602E6"/>
    <w:rsid w:val="00D64CA0"/>
    <w:rsid w:val="00D659EF"/>
    <w:rsid w:val="00D65B58"/>
    <w:rsid w:val="00D709A3"/>
    <w:rsid w:val="00D7188E"/>
    <w:rsid w:val="00D71EEC"/>
    <w:rsid w:val="00D73788"/>
    <w:rsid w:val="00D80836"/>
    <w:rsid w:val="00D842AA"/>
    <w:rsid w:val="00D86599"/>
    <w:rsid w:val="00DA1877"/>
    <w:rsid w:val="00DA231A"/>
    <w:rsid w:val="00DB0B90"/>
    <w:rsid w:val="00DC18C4"/>
    <w:rsid w:val="00DD3D2C"/>
    <w:rsid w:val="00DE21A7"/>
    <w:rsid w:val="00DF1D82"/>
    <w:rsid w:val="00DF356A"/>
    <w:rsid w:val="00DF4A58"/>
    <w:rsid w:val="00DF4E22"/>
    <w:rsid w:val="00E0276D"/>
    <w:rsid w:val="00E03214"/>
    <w:rsid w:val="00E20CA4"/>
    <w:rsid w:val="00E2212D"/>
    <w:rsid w:val="00E247CC"/>
    <w:rsid w:val="00E30B1D"/>
    <w:rsid w:val="00E3711E"/>
    <w:rsid w:val="00E41F3D"/>
    <w:rsid w:val="00E4436B"/>
    <w:rsid w:val="00E47FE1"/>
    <w:rsid w:val="00E50C58"/>
    <w:rsid w:val="00E634A8"/>
    <w:rsid w:val="00E642CD"/>
    <w:rsid w:val="00E7253D"/>
    <w:rsid w:val="00E7436F"/>
    <w:rsid w:val="00E74591"/>
    <w:rsid w:val="00E7688B"/>
    <w:rsid w:val="00EA5321"/>
    <w:rsid w:val="00EB655E"/>
    <w:rsid w:val="00EC5E8A"/>
    <w:rsid w:val="00EC75A3"/>
    <w:rsid w:val="00ED3267"/>
    <w:rsid w:val="00EE091B"/>
    <w:rsid w:val="00EF76A9"/>
    <w:rsid w:val="00F02532"/>
    <w:rsid w:val="00F064F4"/>
    <w:rsid w:val="00F079C5"/>
    <w:rsid w:val="00F20AF2"/>
    <w:rsid w:val="00F20D20"/>
    <w:rsid w:val="00F262E6"/>
    <w:rsid w:val="00F27AB9"/>
    <w:rsid w:val="00F3141A"/>
    <w:rsid w:val="00F34ED0"/>
    <w:rsid w:val="00F50A36"/>
    <w:rsid w:val="00F5130E"/>
    <w:rsid w:val="00F53F49"/>
    <w:rsid w:val="00F54010"/>
    <w:rsid w:val="00F60069"/>
    <w:rsid w:val="00F60BCC"/>
    <w:rsid w:val="00F62E1C"/>
    <w:rsid w:val="00F65934"/>
    <w:rsid w:val="00F65BC8"/>
    <w:rsid w:val="00F72724"/>
    <w:rsid w:val="00F832D2"/>
    <w:rsid w:val="00F857D0"/>
    <w:rsid w:val="00F9295D"/>
    <w:rsid w:val="00F94D57"/>
    <w:rsid w:val="00FB60F7"/>
    <w:rsid w:val="00FC2088"/>
    <w:rsid w:val="00FC2093"/>
    <w:rsid w:val="00FC39BE"/>
    <w:rsid w:val="00FC3A03"/>
    <w:rsid w:val="00FD2153"/>
    <w:rsid w:val="00FE7A16"/>
    <w:rsid w:val="00FF470A"/>
    <w:rsid w:val="00FF54C9"/>
    <w:rsid w:val="00FF6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55B728A"/>
  <w15:docId w15:val="{DAB9D0D7-BEC7-4175-A7BD-1722B4F6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sz w:val="15"/>
        <w:szCs w:val="15"/>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94B"/>
    <w:pPr>
      <w:spacing w:after="80" w:line="235" w:lineRule="exact"/>
      <w:jc w:val="both"/>
    </w:pPr>
    <w:rPr>
      <w:rFonts w:ascii="Cambria" w:hAnsi="Cambria"/>
      <w:sz w:val="17"/>
    </w:rPr>
  </w:style>
  <w:style w:type="paragraph" w:styleId="Heading1">
    <w:name w:val="heading 1"/>
    <w:basedOn w:val="Normal"/>
    <w:next w:val="Normal"/>
    <w:link w:val="Heading1Char"/>
    <w:qFormat/>
    <w:rsid w:val="004573AB"/>
    <w:pPr>
      <w:keepNext/>
      <w:spacing w:before="240" w:after="60"/>
      <w:outlineLvl w:val="0"/>
    </w:pPr>
    <w:rPr>
      <w:rFonts w:ascii="Arial" w:hAnsi="Arial"/>
      <w:b/>
      <w:kern w:val="32"/>
      <w:sz w:val="32"/>
    </w:rPr>
  </w:style>
  <w:style w:type="paragraph" w:styleId="Heading2">
    <w:name w:val="heading 2"/>
    <w:basedOn w:val="Normal"/>
    <w:next w:val="Normal"/>
    <w:link w:val="Heading2Char"/>
    <w:qFormat/>
    <w:rsid w:val="004573AB"/>
    <w:pPr>
      <w:keepNext/>
      <w:spacing w:before="240" w:after="60"/>
      <w:outlineLvl w:val="1"/>
    </w:pPr>
    <w:rPr>
      <w:rFonts w:ascii="Arial" w:hAnsi="Arial"/>
      <w:b/>
      <w:i/>
      <w:sz w:val="28"/>
    </w:rPr>
  </w:style>
  <w:style w:type="paragraph" w:styleId="Heading3">
    <w:name w:val="heading 3"/>
    <w:basedOn w:val="Normal"/>
    <w:next w:val="Normal"/>
    <w:qFormat/>
    <w:rsid w:val="004573AB"/>
    <w:pPr>
      <w:keepNext/>
      <w:spacing w:before="240" w:after="60"/>
      <w:outlineLvl w:val="2"/>
    </w:pPr>
    <w:rPr>
      <w:rFonts w:ascii="Arial" w:hAnsi="Arial"/>
      <w:b/>
      <w:sz w:val="26"/>
    </w:rPr>
  </w:style>
  <w:style w:type="paragraph" w:styleId="Heading4">
    <w:name w:val="heading 4"/>
    <w:basedOn w:val="Normal"/>
    <w:next w:val="Normal"/>
    <w:qFormat/>
    <w:rsid w:val="004573AB"/>
    <w:pPr>
      <w:keepNext/>
      <w:spacing w:before="240" w:after="60"/>
      <w:outlineLvl w:val="3"/>
    </w:pPr>
    <w:rPr>
      <w:b/>
      <w:sz w:val="28"/>
    </w:rPr>
  </w:style>
  <w:style w:type="paragraph" w:styleId="Heading5">
    <w:name w:val="heading 5"/>
    <w:basedOn w:val="Normal"/>
    <w:next w:val="Normal"/>
    <w:qFormat/>
    <w:rsid w:val="004573AB"/>
    <w:pPr>
      <w:spacing w:before="240" w:after="60"/>
      <w:outlineLvl w:val="4"/>
    </w:pPr>
    <w:rPr>
      <w:b/>
      <w:bCs/>
      <w:i/>
      <w:iCs/>
      <w:sz w:val="26"/>
      <w:szCs w:val="26"/>
    </w:rPr>
  </w:style>
  <w:style w:type="paragraph" w:styleId="Heading6">
    <w:name w:val="heading 6"/>
    <w:basedOn w:val="Normal"/>
    <w:next w:val="Normal"/>
    <w:qFormat/>
    <w:rsid w:val="004573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lainText"/>
    <w:next w:val="AbstractKW"/>
    <w:link w:val="AbstractChar"/>
    <w:rsid w:val="00D11C38"/>
    <w:pPr>
      <w:pBdr>
        <w:top w:val="single" w:sz="8" w:space="6" w:color="999999"/>
        <w:bottom w:val="single" w:sz="8" w:space="5" w:color="999999"/>
      </w:pBdr>
      <w:shd w:val="clear" w:color="auto" w:fill="D9D9D9" w:themeFill="background1" w:themeFillShade="D9"/>
    </w:pPr>
    <w:rPr>
      <w:b/>
    </w:rPr>
  </w:style>
  <w:style w:type="paragraph" w:customStyle="1" w:styleId="AbstractKW">
    <w:name w:val="AbstractKW"/>
    <w:basedOn w:val="PlainText"/>
    <w:next w:val="Normal"/>
    <w:link w:val="AbstractKWChar"/>
    <w:rsid w:val="00D11C38"/>
    <w:pPr>
      <w:pBdr>
        <w:top w:val="single" w:sz="8" w:space="4" w:color="D9D9D9" w:themeColor="background1" w:themeShade="D9"/>
        <w:left w:val="single" w:sz="8" w:space="0" w:color="D9D9D9" w:themeColor="background1" w:themeShade="D9"/>
        <w:bottom w:val="single" w:sz="8" w:space="4" w:color="D9D9D9" w:themeColor="background1" w:themeShade="D9"/>
        <w:right w:val="single" w:sz="8" w:space="0" w:color="D9D9D9" w:themeColor="background1" w:themeShade="D9"/>
      </w:pBdr>
      <w:shd w:val="clear" w:color="auto" w:fill="D9D9D9" w:themeFill="background1" w:themeFillShade="D9"/>
    </w:pPr>
  </w:style>
  <w:style w:type="paragraph" w:customStyle="1" w:styleId="Ackno">
    <w:name w:val="Ackno"/>
    <w:basedOn w:val="Normal"/>
    <w:next w:val="HeadAckno"/>
    <w:link w:val="AcknoChar"/>
    <w:rsid w:val="001401A4"/>
    <w:pPr>
      <w:spacing w:line="205" w:lineRule="exact"/>
    </w:pPr>
    <w:rPr>
      <w:sz w:val="15"/>
    </w:rPr>
  </w:style>
  <w:style w:type="paragraph" w:customStyle="1" w:styleId="Address">
    <w:name w:val="Address"/>
    <w:basedOn w:val="PlainText"/>
    <w:next w:val="PlainText"/>
    <w:link w:val="AddressChar"/>
    <w:rsid w:val="00BB2A9E"/>
    <w:pPr>
      <w:framePr w:w="9923" w:hSpace="142" w:vSpace="142" w:wrap="notBeside" w:vAnchor="text" w:hAnchor="text" w:y="1"/>
      <w:spacing w:before="120"/>
      <w:jc w:val="left"/>
    </w:pPr>
    <w:rPr>
      <w:sz w:val="13"/>
    </w:rPr>
  </w:style>
  <w:style w:type="paragraph" w:customStyle="1" w:styleId="Author">
    <w:name w:val="Author"/>
    <w:basedOn w:val="PlainText"/>
    <w:next w:val="Address"/>
    <w:link w:val="AuthorChar"/>
    <w:rsid w:val="009D1833"/>
    <w:pPr>
      <w:framePr w:hSpace="180" w:wrap="around" w:vAnchor="text" w:hAnchor="margin" w:y="125"/>
      <w:jc w:val="left"/>
    </w:pPr>
    <w:rPr>
      <w:b/>
    </w:rPr>
  </w:style>
  <w:style w:type="paragraph" w:customStyle="1" w:styleId="BioSketch">
    <w:name w:val="BioSketch"/>
    <w:basedOn w:val="Normal"/>
    <w:link w:val="BioSketchChar"/>
    <w:rsid w:val="001401A4"/>
    <w:pPr>
      <w:pBdr>
        <w:left w:val="single" w:sz="8" w:space="4" w:color="999999"/>
      </w:pBdr>
      <w:spacing w:before="320" w:after="0" w:line="235" w:lineRule="atLeast"/>
    </w:pPr>
    <w:rPr>
      <w:sz w:val="15"/>
    </w:rPr>
  </w:style>
  <w:style w:type="paragraph" w:customStyle="1" w:styleId="BioSketchT">
    <w:name w:val="BioSketchT"/>
    <w:basedOn w:val="Normal"/>
    <w:next w:val="Normal"/>
    <w:link w:val="BioSketchTChar"/>
    <w:rsid w:val="001401A4"/>
    <w:pPr>
      <w:framePr w:wrap="notBeside" w:hAnchor="text"/>
    </w:pPr>
    <w:rPr>
      <w:sz w:val="15"/>
    </w:rPr>
  </w:style>
  <w:style w:type="paragraph" w:customStyle="1" w:styleId="History">
    <w:name w:val="History"/>
    <w:basedOn w:val="Normal"/>
    <w:next w:val="Abstract"/>
    <w:rsid w:val="004573AB"/>
    <w:pPr>
      <w:framePr w:w="9923" w:hSpace="142" w:vSpace="142" w:wrap="notBeside" w:vAnchor="text" w:hAnchor="text" w:y="1"/>
      <w:spacing w:after="40" w:line="200" w:lineRule="exact"/>
      <w:jc w:val="left"/>
    </w:pPr>
    <w:rPr>
      <w:i/>
    </w:rPr>
  </w:style>
  <w:style w:type="paragraph" w:customStyle="1" w:styleId="Dedication">
    <w:name w:val="Dedication"/>
    <w:basedOn w:val="PlainText"/>
    <w:next w:val="PlainText"/>
    <w:link w:val="DedicationChar"/>
    <w:rsid w:val="00CD6546"/>
    <w:pPr>
      <w:spacing w:before="120"/>
    </w:pPr>
  </w:style>
  <w:style w:type="paragraph" w:customStyle="1" w:styleId="Fax">
    <w:name w:val="Fax"/>
    <w:basedOn w:val="Address"/>
    <w:rsid w:val="004573AB"/>
    <w:pPr>
      <w:framePr w:wrap="notBeside"/>
    </w:pPr>
    <w:rPr>
      <w:szCs w:val="24"/>
    </w:rPr>
  </w:style>
  <w:style w:type="paragraph" w:customStyle="1" w:styleId="Email">
    <w:name w:val="Email"/>
    <w:basedOn w:val="PlainText"/>
    <w:next w:val="PlainText"/>
    <w:link w:val="EmailChar"/>
    <w:rsid w:val="00CD6546"/>
    <w:pPr>
      <w:framePr w:wrap="notBeside" w:hAnchor="text"/>
      <w:spacing w:before="120"/>
    </w:pPr>
    <w:rPr>
      <w:sz w:val="13"/>
    </w:rPr>
  </w:style>
  <w:style w:type="paragraph" w:customStyle="1" w:styleId="FigCaption">
    <w:name w:val="FigCaption"/>
    <w:basedOn w:val="PlainText"/>
    <w:next w:val="Normal"/>
    <w:link w:val="FigCaptionChar"/>
    <w:rsid w:val="009D1833"/>
    <w:pPr>
      <w:spacing w:before="80" w:after="315" w:line="200" w:lineRule="exact"/>
      <w:jc w:val="left"/>
    </w:pPr>
  </w:style>
  <w:style w:type="paragraph" w:customStyle="1" w:styleId="EquCaption">
    <w:name w:val="EquCaption"/>
    <w:basedOn w:val="FigCaption"/>
    <w:next w:val="Normal"/>
    <w:link w:val="EquCaptionChar"/>
    <w:rsid w:val="009D1833"/>
  </w:style>
  <w:style w:type="paragraph" w:customStyle="1" w:styleId="FigImage">
    <w:name w:val="FigImage"/>
    <w:basedOn w:val="PlainText"/>
    <w:next w:val="FigCaption"/>
    <w:link w:val="FigImageChar"/>
    <w:rsid w:val="00EB655E"/>
    <w:pPr>
      <w:keepNext/>
      <w:keepLines/>
      <w:pBdr>
        <w:top w:val="single" w:sz="8" w:space="1" w:color="999999"/>
        <w:left w:val="single" w:sz="8" w:space="4" w:color="999999"/>
        <w:bottom w:val="single" w:sz="8" w:space="1" w:color="999999"/>
        <w:right w:val="single" w:sz="8" w:space="4" w:color="999999"/>
      </w:pBdr>
      <w:spacing w:before="315"/>
      <w:jc w:val="left"/>
    </w:pPr>
    <w:rPr>
      <w:sz w:val="18"/>
    </w:rPr>
  </w:style>
  <w:style w:type="paragraph" w:customStyle="1" w:styleId="EquImage">
    <w:name w:val="EquImage"/>
    <w:basedOn w:val="FigImage"/>
    <w:next w:val="EquCaption"/>
    <w:link w:val="EquImageChar"/>
    <w:rsid w:val="004573AB"/>
  </w:style>
  <w:style w:type="paragraph" w:customStyle="1" w:styleId="Experimental">
    <w:name w:val="Experimental"/>
    <w:basedOn w:val="Normal"/>
    <w:link w:val="ExperimentalChar"/>
    <w:rsid w:val="00CE6B31"/>
    <w:pPr>
      <w:spacing w:line="276" w:lineRule="auto"/>
    </w:pPr>
    <w:rPr>
      <w:sz w:val="15"/>
    </w:rPr>
  </w:style>
  <w:style w:type="character" w:styleId="FollowedHyperlink">
    <w:name w:val="FollowedHyperlink"/>
    <w:rsid w:val="004573AB"/>
    <w:rPr>
      <w:color w:val="800080"/>
      <w:u w:val="single"/>
    </w:rPr>
  </w:style>
  <w:style w:type="paragraph" w:styleId="Footer">
    <w:name w:val="footer"/>
    <w:basedOn w:val="Normal"/>
    <w:link w:val="FooterChar"/>
    <w:rsid w:val="004573AB"/>
    <w:pPr>
      <w:tabs>
        <w:tab w:val="center" w:pos="7020"/>
        <w:tab w:val="right" w:pos="9900"/>
      </w:tabs>
    </w:pPr>
    <w:rPr>
      <w:sz w:val="16"/>
    </w:rPr>
  </w:style>
  <w:style w:type="character" w:customStyle="1" w:styleId="FooterChar">
    <w:name w:val="Footer Char"/>
    <w:basedOn w:val="DefaultParagraphFont"/>
    <w:link w:val="Footer"/>
    <w:rsid w:val="004573AB"/>
    <w:rPr>
      <w:kern w:val="18"/>
      <w:sz w:val="16"/>
      <w:lang w:val="en-US" w:eastAsia="de-DE"/>
    </w:rPr>
  </w:style>
  <w:style w:type="paragraph" w:customStyle="1" w:styleId="Head1">
    <w:name w:val="Head1"/>
    <w:basedOn w:val="Heading2"/>
    <w:next w:val="Normal"/>
    <w:link w:val="Head1Char"/>
    <w:rsid w:val="006A21E1"/>
    <w:pPr>
      <w:tabs>
        <w:tab w:val="left" w:pos="709"/>
      </w:tabs>
      <w:spacing w:before="470" w:after="235"/>
      <w:ind w:left="709" w:hanging="709"/>
      <w:jc w:val="left"/>
    </w:pPr>
    <w:rPr>
      <w:rFonts w:ascii="Calibri" w:hAnsi="Calibri"/>
      <w:i w:val="0"/>
      <w:sz w:val="23"/>
    </w:rPr>
  </w:style>
  <w:style w:type="paragraph" w:customStyle="1" w:styleId="Head2">
    <w:name w:val="Head2"/>
    <w:basedOn w:val="Heading3"/>
    <w:next w:val="Normal"/>
    <w:rsid w:val="006A21E1"/>
    <w:pPr>
      <w:spacing w:before="470" w:after="235"/>
      <w:ind w:left="709" w:hanging="709"/>
      <w:jc w:val="left"/>
    </w:pPr>
    <w:rPr>
      <w:rFonts w:ascii="Calibri" w:hAnsi="Calibri"/>
      <w:sz w:val="20"/>
    </w:rPr>
  </w:style>
  <w:style w:type="paragraph" w:customStyle="1" w:styleId="Head3">
    <w:name w:val="Head3"/>
    <w:basedOn w:val="Heading4"/>
    <w:next w:val="Normal"/>
    <w:rsid w:val="004573AB"/>
    <w:pPr>
      <w:spacing w:before="470" w:after="235"/>
      <w:ind w:left="709" w:hanging="709"/>
    </w:pPr>
    <w:rPr>
      <w:sz w:val="22"/>
    </w:rPr>
  </w:style>
  <w:style w:type="paragraph" w:customStyle="1" w:styleId="Head4">
    <w:name w:val="Head4"/>
    <w:basedOn w:val="Heading5"/>
    <w:next w:val="Normal"/>
    <w:rsid w:val="004573AB"/>
    <w:pPr>
      <w:spacing w:before="470" w:after="235"/>
      <w:ind w:left="709" w:hanging="709"/>
    </w:pPr>
    <w:rPr>
      <w:i w:val="0"/>
      <w:sz w:val="22"/>
    </w:rPr>
  </w:style>
  <w:style w:type="paragraph" w:customStyle="1" w:styleId="Head5">
    <w:name w:val="Head5"/>
    <w:basedOn w:val="Heading6"/>
    <w:next w:val="Normal"/>
    <w:rsid w:val="004573AB"/>
    <w:pPr>
      <w:spacing w:before="470" w:after="235"/>
      <w:ind w:left="709" w:hanging="709"/>
    </w:pPr>
  </w:style>
  <w:style w:type="paragraph" w:customStyle="1" w:styleId="HeadAckno">
    <w:name w:val="HeadAckno"/>
    <w:basedOn w:val="PlainText"/>
    <w:next w:val="Ackno"/>
    <w:link w:val="HeadAcknoChar"/>
    <w:rsid w:val="001401A4"/>
    <w:pPr>
      <w:spacing w:before="235" w:after="120"/>
    </w:pPr>
    <w:rPr>
      <w:rFonts w:ascii="Calibri" w:hAnsi="Calibri"/>
      <w:b/>
      <w:sz w:val="20"/>
    </w:rPr>
  </w:style>
  <w:style w:type="paragraph" w:styleId="Header">
    <w:name w:val="header"/>
    <w:basedOn w:val="Normal"/>
    <w:link w:val="HeaderChar"/>
    <w:rsid w:val="004573AB"/>
    <w:pPr>
      <w:pBdr>
        <w:bottom w:val="single" w:sz="4" w:space="1" w:color="auto"/>
      </w:pBdr>
      <w:tabs>
        <w:tab w:val="right" w:pos="9900"/>
      </w:tabs>
    </w:pPr>
    <w:rPr>
      <w:sz w:val="20"/>
    </w:rPr>
  </w:style>
  <w:style w:type="character" w:customStyle="1" w:styleId="HeaderChar">
    <w:name w:val="Header Char"/>
    <w:basedOn w:val="DefaultParagraphFont"/>
    <w:link w:val="Header"/>
    <w:rsid w:val="004573AB"/>
    <w:rPr>
      <w:kern w:val="18"/>
      <w:lang w:val="en-US" w:eastAsia="de-DE"/>
    </w:rPr>
  </w:style>
  <w:style w:type="paragraph" w:customStyle="1" w:styleId="HeadRefs">
    <w:name w:val="HeadRefs"/>
    <w:basedOn w:val="PlainText"/>
    <w:next w:val="Ref"/>
    <w:link w:val="HeadRefsChar"/>
    <w:rsid w:val="009D1833"/>
    <w:pPr>
      <w:spacing w:before="235" w:after="120"/>
      <w:jc w:val="left"/>
    </w:pPr>
    <w:rPr>
      <w:rFonts w:ascii="Calibri" w:hAnsi="Calibri"/>
      <w:b/>
      <w:sz w:val="20"/>
    </w:rPr>
  </w:style>
  <w:style w:type="character" w:styleId="Hyperlink">
    <w:name w:val="Hyperlink"/>
    <w:rsid w:val="004573AB"/>
    <w:rPr>
      <w:color w:val="0000FF"/>
      <w:u w:val="single"/>
    </w:rPr>
  </w:style>
  <w:style w:type="paragraph" w:customStyle="1" w:styleId="MainTitle">
    <w:name w:val="MainTitle"/>
    <w:basedOn w:val="Heading1"/>
    <w:next w:val="Author"/>
    <w:link w:val="MainTitleChar"/>
    <w:rsid w:val="00C94D1E"/>
    <w:pPr>
      <w:keepLines/>
      <w:framePr w:w="9923" w:hSpace="142" w:vSpace="142" w:wrap="notBeside" w:vAnchor="text" w:hAnchor="text" w:y="1" w:anchorLock="1"/>
      <w:spacing w:after="120" w:line="240" w:lineRule="auto"/>
    </w:pPr>
    <w:rPr>
      <w:rFonts w:ascii="Calibri" w:hAnsi="Calibri"/>
      <w:sz w:val="33"/>
    </w:rPr>
  </w:style>
  <w:style w:type="character" w:styleId="PageNumber">
    <w:name w:val="page number"/>
    <w:basedOn w:val="DefaultParagraphFont"/>
    <w:rsid w:val="004573AB"/>
  </w:style>
  <w:style w:type="paragraph" w:customStyle="1" w:styleId="Ref">
    <w:name w:val="Ref"/>
    <w:basedOn w:val="Normal"/>
    <w:link w:val="RefChar"/>
    <w:rsid w:val="004A3063"/>
    <w:pPr>
      <w:numPr>
        <w:numId w:val="3"/>
      </w:numPr>
      <w:spacing w:after="0" w:line="205" w:lineRule="exact"/>
      <w:ind w:left="453" w:hanging="113"/>
    </w:pPr>
    <w:rPr>
      <w:sz w:val="15"/>
    </w:rPr>
  </w:style>
  <w:style w:type="paragraph" w:customStyle="1" w:styleId="SchemeCaption">
    <w:name w:val="SchemeCaption"/>
    <w:basedOn w:val="FigCaption"/>
    <w:next w:val="Normal"/>
    <w:link w:val="SchemeCaptionChar"/>
    <w:rsid w:val="004573AB"/>
  </w:style>
  <w:style w:type="paragraph" w:customStyle="1" w:styleId="SchemeImage">
    <w:name w:val="SchemeImage"/>
    <w:basedOn w:val="FigImage"/>
    <w:next w:val="SchemeCaption"/>
    <w:link w:val="SchemeImageChar"/>
    <w:rsid w:val="00EB655E"/>
  </w:style>
  <w:style w:type="paragraph" w:customStyle="1" w:styleId="TD">
    <w:name w:val="TD"/>
    <w:basedOn w:val="PlainText"/>
    <w:link w:val="TDChar"/>
    <w:rsid w:val="00164DC8"/>
    <w:pPr>
      <w:spacing w:line="200" w:lineRule="atLeast"/>
      <w:jc w:val="left"/>
    </w:pPr>
    <w:rPr>
      <w:sz w:val="14"/>
    </w:rPr>
  </w:style>
  <w:style w:type="paragraph" w:customStyle="1" w:styleId="TDFN">
    <w:name w:val="TDFN"/>
    <w:basedOn w:val="TD"/>
    <w:link w:val="TDFNChar"/>
    <w:rsid w:val="00164DC8"/>
    <w:pPr>
      <w:spacing w:before="80" w:line="240" w:lineRule="auto"/>
      <w:contextualSpacing/>
    </w:pPr>
  </w:style>
  <w:style w:type="paragraph" w:customStyle="1" w:styleId="TDH">
    <w:name w:val="TDH"/>
    <w:basedOn w:val="PlainText"/>
    <w:link w:val="TDHChar"/>
    <w:rsid w:val="00164DC8"/>
    <w:pPr>
      <w:spacing w:line="200" w:lineRule="atLeast"/>
      <w:jc w:val="left"/>
    </w:pPr>
    <w:rPr>
      <w:sz w:val="14"/>
    </w:rPr>
  </w:style>
  <w:style w:type="paragraph" w:customStyle="1" w:styleId="TDImage">
    <w:name w:val="TDImage"/>
    <w:basedOn w:val="TD"/>
    <w:rsid w:val="004573AB"/>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TDL">
    <w:name w:val="TDL"/>
    <w:basedOn w:val="PlainText"/>
    <w:next w:val="TDH"/>
    <w:link w:val="TDLChar"/>
    <w:rsid w:val="007E76B4"/>
    <w:pPr>
      <w:keepNext/>
      <w:keepLines/>
      <w:pBdr>
        <w:top w:val="single" w:sz="8" w:space="2" w:color="C9C9C9"/>
        <w:left w:val="single" w:sz="8" w:space="4" w:color="C9C9C9"/>
        <w:bottom w:val="single" w:sz="8" w:space="2" w:color="C9C9C9"/>
        <w:right w:val="single" w:sz="8" w:space="4" w:color="C9C9C9"/>
      </w:pBdr>
      <w:shd w:val="clear" w:color="auto" w:fill="D9D9D9" w:themeFill="background1" w:themeFillShade="D9"/>
      <w:spacing w:before="240" w:line="200" w:lineRule="exact"/>
      <w:jc w:val="left"/>
    </w:pPr>
  </w:style>
  <w:style w:type="paragraph" w:customStyle="1" w:styleId="TDLImage">
    <w:name w:val="TDLImage"/>
    <w:basedOn w:val="TDL"/>
    <w:rsid w:val="004573AB"/>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oC">
    <w:name w:val="ToC"/>
    <w:basedOn w:val="Abstract"/>
    <w:next w:val="AbstractKW"/>
    <w:rsid w:val="004573AB"/>
    <w:pPr>
      <w:pBdr>
        <w:top w:val="none" w:sz="0" w:space="0" w:color="auto"/>
      </w:pBdr>
      <w:ind w:left="510" w:hanging="510"/>
    </w:pPr>
  </w:style>
  <w:style w:type="character" w:customStyle="1" w:styleId="Heading2Char">
    <w:name w:val="Heading 2 Char"/>
    <w:basedOn w:val="DefaultParagraphFont"/>
    <w:link w:val="Heading2"/>
    <w:rsid w:val="006A21E1"/>
    <w:rPr>
      <w:rFonts w:ascii="Arial" w:hAnsi="Arial"/>
      <w:b/>
      <w:i/>
      <w:sz w:val="28"/>
    </w:rPr>
  </w:style>
  <w:style w:type="character" w:styleId="PlaceholderText">
    <w:name w:val="Placeholder Text"/>
    <w:basedOn w:val="DefaultParagraphFont"/>
    <w:uiPriority w:val="99"/>
    <w:semiHidden/>
    <w:rsid w:val="004573AB"/>
    <w:rPr>
      <w:color w:val="808080"/>
    </w:rPr>
  </w:style>
  <w:style w:type="paragraph" w:styleId="Title">
    <w:name w:val="Title"/>
    <w:basedOn w:val="Normal"/>
    <w:next w:val="Normal"/>
    <w:link w:val="TitleChar"/>
    <w:qFormat/>
    <w:rsid w:val="004109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9FA"/>
    <w:rPr>
      <w:rFonts w:asciiTheme="majorHAnsi" w:eastAsiaTheme="majorEastAsia" w:hAnsiTheme="majorHAnsi" w:cstheme="majorBidi"/>
      <w:color w:val="17365D" w:themeColor="text2" w:themeShade="BF"/>
      <w:spacing w:val="5"/>
      <w:kern w:val="28"/>
      <w:sz w:val="52"/>
      <w:szCs w:val="52"/>
      <w:lang w:val="en-US" w:eastAsia="de-DE"/>
    </w:rPr>
  </w:style>
  <w:style w:type="paragraph" w:styleId="PlainText">
    <w:name w:val="Plain Text"/>
    <w:basedOn w:val="Normal"/>
    <w:link w:val="PlainTextChar"/>
    <w:rsid w:val="001401A4"/>
    <w:pPr>
      <w:spacing w:after="0" w:line="240" w:lineRule="auto"/>
    </w:pPr>
    <w:rPr>
      <w:rFonts w:ascii="Calibri Light" w:hAnsi="Calibri Light" w:cs="Consolas"/>
      <w:sz w:val="15"/>
      <w:szCs w:val="21"/>
    </w:rPr>
  </w:style>
  <w:style w:type="character" w:customStyle="1" w:styleId="PlainTextChar">
    <w:name w:val="Plain Text Char"/>
    <w:basedOn w:val="DefaultParagraphFont"/>
    <w:link w:val="PlainText"/>
    <w:rsid w:val="001401A4"/>
    <w:rPr>
      <w:rFonts w:cs="Consolas"/>
      <w:szCs w:val="21"/>
    </w:rPr>
  </w:style>
  <w:style w:type="character" w:customStyle="1" w:styleId="TDChar">
    <w:name w:val="TD Char"/>
    <w:basedOn w:val="PlainTextChar"/>
    <w:link w:val="TD"/>
    <w:rsid w:val="00164DC8"/>
    <w:rPr>
      <w:rFonts w:cs="Consolas"/>
      <w:sz w:val="14"/>
      <w:szCs w:val="21"/>
    </w:rPr>
  </w:style>
  <w:style w:type="character" w:customStyle="1" w:styleId="AddressChar">
    <w:name w:val="Address Char"/>
    <w:basedOn w:val="PlainTextChar"/>
    <w:link w:val="Address"/>
    <w:rsid w:val="009D1833"/>
    <w:rPr>
      <w:rFonts w:cs="Consolas"/>
      <w:sz w:val="13"/>
      <w:szCs w:val="21"/>
    </w:rPr>
  </w:style>
  <w:style w:type="character" w:customStyle="1" w:styleId="AbstractChar">
    <w:name w:val="Abstract Char"/>
    <w:basedOn w:val="DefaultParagraphFont"/>
    <w:link w:val="Abstract"/>
    <w:rsid w:val="00D11C38"/>
    <w:rPr>
      <w:rFonts w:cs="Consolas"/>
      <w:b/>
      <w:szCs w:val="21"/>
      <w:shd w:val="clear" w:color="auto" w:fill="D9D9D9" w:themeFill="background1" w:themeFillShade="D9"/>
    </w:rPr>
  </w:style>
  <w:style w:type="character" w:customStyle="1" w:styleId="TDHChar">
    <w:name w:val="TDH Char"/>
    <w:basedOn w:val="PlainTextChar"/>
    <w:link w:val="TDH"/>
    <w:rsid w:val="00164DC8"/>
    <w:rPr>
      <w:rFonts w:cs="Consolas"/>
      <w:sz w:val="14"/>
      <w:szCs w:val="21"/>
    </w:rPr>
  </w:style>
  <w:style w:type="character" w:customStyle="1" w:styleId="AcknoChar">
    <w:name w:val="Ackno Char"/>
    <w:basedOn w:val="DefaultParagraphFont"/>
    <w:link w:val="Ackno"/>
    <w:rsid w:val="001401A4"/>
    <w:rPr>
      <w:rFonts w:ascii="Cambria" w:hAnsi="Cambria"/>
    </w:rPr>
  </w:style>
  <w:style w:type="character" w:customStyle="1" w:styleId="Head1Char">
    <w:name w:val="Head1 Char"/>
    <w:basedOn w:val="Heading2Char"/>
    <w:link w:val="Head1"/>
    <w:rsid w:val="006A21E1"/>
    <w:rPr>
      <w:rFonts w:ascii="Calibri" w:hAnsi="Calibri"/>
      <w:b/>
      <w:i w:val="0"/>
      <w:sz w:val="23"/>
    </w:rPr>
  </w:style>
  <w:style w:type="table" w:styleId="TableGrid">
    <w:name w:val="Table Grid"/>
    <w:basedOn w:val="TableNormal"/>
    <w:rsid w:val="007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KWChar">
    <w:name w:val="AbstractKW Char"/>
    <w:basedOn w:val="PlainTextChar"/>
    <w:link w:val="AbstractKW"/>
    <w:rsid w:val="00D11C38"/>
    <w:rPr>
      <w:rFonts w:cs="Consolas"/>
      <w:szCs w:val="21"/>
      <w:shd w:val="clear" w:color="auto" w:fill="D9D9D9" w:themeFill="background1" w:themeFillShade="D9"/>
    </w:rPr>
  </w:style>
  <w:style w:type="character" w:customStyle="1" w:styleId="BioSketchChar">
    <w:name w:val="BioSketch Char"/>
    <w:basedOn w:val="DefaultParagraphFont"/>
    <w:link w:val="BioSketch"/>
    <w:rsid w:val="001401A4"/>
    <w:rPr>
      <w:rFonts w:ascii="Cambria" w:hAnsi="Cambria"/>
    </w:rPr>
  </w:style>
  <w:style w:type="character" w:customStyle="1" w:styleId="BioSketchTChar">
    <w:name w:val="BioSketchT Char"/>
    <w:basedOn w:val="DefaultParagraphFont"/>
    <w:link w:val="BioSketchT"/>
    <w:rsid w:val="001401A4"/>
    <w:rPr>
      <w:rFonts w:ascii="Cambria" w:hAnsi="Cambria"/>
    </w:rPr>
  </w:style>
  <w:style w:type="character" w:customStyle="1" w:styleId="AuthorChar">
    <w:name w:val="Author Char"/>
    <w:basedOn w:val="PlainTextChar"/>
    <w:link w:val="Author"/>
    <w:rsid w:val="009D1833"/>
    <w:rPr>
      <w:rFonts w:cs="Consolas"/>
      <w:b/>
      <w:szCs w:val="21"/>
    </w:rPr>
  </w:style>
  <w:style w:type="character" w:customStyle="1" w:styleId="DedicationChar">
    <w:name w:val="Dedication Char"/>
    <w:basedOn w:val="PlainTextChar"/>
    <w:link w:val="Dedication"/>
    <w:rsid w:val="00CD6546"/>
    <w:rPr>
      <w:rFonts w:cs="Consolas"/>
      <w:szCs w:val="21"/>
    </w:rPr>
  </w:style>
  <w:style w:type="character" w:customStyle="1" w:styleId="EmailChar">
    <w:name w:val="Email Char"/>
    <w:basedOn w:val="PlainTextChar"/>
    <w:link w:val="Email"/>
    <w:rsid w:val="00CD6546"/>
    <w:rPr>
      <w:rFonts w:cs="Consolas"/>
      <w:sz w:val="13"/>
      <w:szCs w:val="21"/>
    </w:rPr>
  </w:style>
  <w:style w:type="character" w:customStyle="1" w:styleId="FigCaptionChar">
    <w:name w:val="FigCaption Char"/>
    <w:basedOn w:val="DefaultParagraphFont"/>
    <w:link w:val="FigCaption"/>
    <w:rsid w:val="009D1833"/>
    <w:rPr>
      <w:rFonts w:cs="Consolas"/>
      <w:szCs w:val="21"/>
    </w:rPr>
  </w:style>
  <w:style w:type="character" w:customStyle="1" w:styleId="EquCaptionChar">
    <w:name w:val="EquCaption Char"/>
    <w:basedOn w:val="FigCaptionChar"/>
    <w:link w:val="EquCaption"/>
    <w:rsid w:val="009D1833"/>
    <w:rPr>
      <w:rFonts w:cs="Consolas"/>
      <w:szCs w:val="21"/>
    </w:rPr>
  </w:style>
  <w:style w:type="character" w:customStyle="1" w:styleId="FigImageChar">
    <w:name w:val="FigImage Char"/>
    <w:basedOn w:val="DefaultParagraphFont"/>
    <w:link w:val="FigImage"/>
    <w:rsid w:val="00EB655E"/>
    <w:rPr>
      <w:rFonts w:cs="Consolas"/>
      <w:sz w:val="18"/>
      <w:szCs w:val="21"/>
    </w:rPr>
  </w:style>
  <w:style w:type="character" w:customStyle="1" w:styleId="EquImageChar">
    <w:name w:val="EquImage Char"/>
    <w:basedOn w:val="FigImageChar"/>
    <w:link w:val="EquImage"/>
    <w:rsid w:val="009D1833"/>
    <w:rPr>
      <w:rFonts w:cs="Consolas"/>
      <w:sz w:val="18"/>
      <w:szCs w:val="21"/>
    </w:rPr>
  </w:style>
  <w:style w:type="character" w:customStyle="1" w:styleId="ExperimentalChar">
    <w:name w:val="Experimental Char"/>
    <w:basedOn w:val="DefaultParagraphFont"/>
    <w:link w:val="Experimental"/>
    <w:rsid w:val="00CE6B31"/>
    <w:rPr>
      <w:rFonts w:ascii="Cambria" w:hAnsi="Cambria"/>
    </w:rPr>
  </w:style>
  <w:style w:type="character" w:customStyle="1" w:styleId="HeadRefsChar">
    <w:name w:val="HeadRefs Char"/>
    <w:basedOn w:val="PlainTextChar"/>
    <w:link w:val="HeadRefs"/>
    <w:rsid w:val="009D1833"/>
    <w:rPr>
      <w:rFonts w:ascii="Calibri" w:hAnsi="Calibri" w:cs="Consolas"/>
      <w:b/>
      <w:sz w:val="20"/>
      <w:szCs w:val="21"/>
    </w:rPr>
  </w:style>
  <w:style w:type="character" w:customStyle="1" w:styleId="HeadAcknoChar">
    <w:name w:val="HeadAckno Char"/>
    <w:basedOn w:val="PlainTextChar"/>
    <w:link w:val="HeadAckno"/>
    <w:rsid w:val="001401A4"/>
    <w:rPr>
      <w:rFonts w:ascii="Calibri" w:hAnsi="Calibri" w:cs="Consolas"/>
      <w:b/>
      <w:sz w:val="20"/>
      <w:szCs w:val="21"/>
    </w:rPr>
  </w:style>
  <w:style w:type="character" w:customStyle="1" w:styleId="RefChar">
    <w:name w:val="Ref Char"/>
    <w:basedOn w:val="DefaultParagraphFont"/>
    <w:link w:val="Ref"/>
    <w:rsid w:val="004A3063"/>
    <w:rPr>
      <w:rFonts w:ascii="Cambria" w:hAnsi="Cambria"/>
    </w:rPr>
  </w:style>
  <w:style w:type="character" w:customStyle="1" w:styleId="SchemeCaptionChar">
    <w:name w:val="SchemeCaption Char"/>
    <w:basedOn w:val="FigCaptionChar"/>
    <w:link w:val="SchemeCaption"/>
    <w:rsid w:val="001401A4"/>
    <w:rPr>
      <w:rFonts w:cs="Consolas"/>
      <w:szCs w:val="21"/>
    </w:rPr>
  </w:style>
  <w:style w:type="character" w:customStyle="1" w:styleId="SchemeImageChar">
    <w:name w:val="SchemeImage Char"/>
    <w:basedOn w:val="FigImageChar"/>
    <w:link w:val="SchemeImage"/>
    <w:rsid w:val="00EB655E"/>
    <w:rPr>
      <w:rFonts w:cs="Consolas"/>
      <w:sz w:val="18"/>
      <w:szCs w:val="21"/>
    </w:rPr>
  </w:style>
  <w:style w:type="character" w:customStyle="1" w:styleId="TDLChar">
    <w:name w:val="TDL Char"/>
    <w:basedOn w:val="PlainTextChar"/>
    <w:link w:val="TDL"/>
    <w:rsid w:val="007E76B4"/>
    <w:rPr>
      <w:rFonts w:cs="Consolas"/>
      <w:szCs w:val="21"/>
      <w:shd w:val="clear" w:color="auto" w:fill="D9D9D9" w:themeFill="background1" w:themeFillShade="D9"/>
    </w:rPr>
  </w:style>
  <w:style w:type="character" w:customStyle="1" w:styleId="TDFNChar">
    <w:name w:val="TDFN Char"/>
    <w:basedOn w:val="TDChar"/>
    <w:link w:val="TDFN"/>
    <w:rsid w:val="00164DC8"/>
    <w:rPr>
      <w:rFonts w:cs="Consolas"/>
      <w:sz w:val="14"/>
      <w:szCs w:val="21"/>
    </w:rPr>
  </w:style>
  <w:style w:type="character" w:customStyle="1" w:styleId="Heading1Char">
    <w:name w:val="Heading 1 Char"/>
    <w:basedOn w:val="DefaultParagraphFont"/>
    <w:link w:val="Heading1"/>
    <w:rsid w:val="003F2D2B"/>
    <w:rPr>
      <w:rFonts w:ascii="Arial" w:hAnsi="Arial"/>
      <w:b/>
      <w:kern w:val="32"/>
      <w:sz w:val="32"/>
    </w:rPr>
  </w:style>
  <w:style w:type="character" w:customStyle="1" w:styleId="MainTitleChar">
    <w:name w:val="MainTitle Char"/>
    <w:basedOn w:val="Heading1Char"/>
    <w:link w:val="MainTitle"/>
    <w:rsid w:val="00C94D1E"/>
    <w:rPr>
      <w:rFonts w:ascii="Calibri" w:hAnsi="Calibri"/>
      <w:b/>
      <w:kern w:val="32"/>
      <w:sz w:val="33"/>
    </w:rPr>
  </w:style>
  <w:style w:type="paragraph" w:customStyle="1" w:styleId="Style1">
    <w:name w:val="Style1"/>
    <w:basedOn w:val="MainTitle"/>
    <w:link w:val="Style1Char"/>
    <w:rsid w:val="00CD6546"/>
    <w:pPr>
      <w:keepNext w:val="0"/>
      <w:keepLines w:val="0"/>
      <w:framePr w:w="0" w:hSpace="0" w:vSpace="0" w:wrap="auto" w:vAnchor="margin" w:yAlign="inline" w:anchorLock="0"/>
      <w:spacing w:before="0" w:after="80"/>
      <w:outlineLvl w:val="9"/>
    </w:pPr>
    <w:rPr>
      <w:kern w:val="0"/>
    </w:rPr>
  </w:style>
  <w:style w:type="character" w:customStyle="1" w:styleId="Style1Char">
    <w:name w:val="Style1 Char"/>
    <w:basedOn w:val="MainTitleChar"/>
    <w:link w:val="Style1"/>
    <w:rsid w:val="00CD6546"/>
    <w:rPr>
      <w:rFonts w:ascii="Calibri" w:hAnsi="Calibri"/>
      <w:b/>
      <w:kern w:val="32"/>
      <w:sz w:val="33"/>
    </w:rPr>
  </w:style>
  <w:style w:type="paragraph" w:styleId="ListParagraph">
    <w:name w:val="List Paragraph"/>
    <w:basedOn w:val="Normal"/>
    <w:uiPriority w:val="34"/>
    <w:qFormat/>
    <w:rsid w:val="00E7253D"/>
    <w:pPr>
      <w:ind w:left="720"/>
      <w:contextualSpacing/>
    </w:pPr>
  </w:style>
  <w:style w:type="character" w:customStyle="1" w:styleId="GraphicCaptionChar">
    <w:name w:val="GraphicCaption Char"/>
    <w:basedOn w:val="FigCaptionChar"/>
    <w:uiPriority w:val="1"/>
    <w:rsid w:val="00610D6B"/>
    <w:rPr>
      <w:rFonts w:ascii="Calibri Light" w:hAnsi="Calibri Light" w:cs="Consolas"/>
      <w:sz w:val="15"/>
      <w:szCs w:val="21"/>
    </w:rPr>
  </w:style>
  <w:style w:type="paragraph" w:customStyle="1" w:styleId="GraphicCaptionPara">
    <w:name w:val="GraphicCaption Para"/>
    <w:basedOn w:val="Normal"/>
    <w:qFormat/>
    <w:rsid w:val="000B665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jc w:val="left"/>
    </w:pPr>
    <w:rPr>
      <w:rFonts w:ascii="Calibri Light" w:hAnsi="Calibri Light"/>
      <w:b/>
      <w:sz w:val="15"/>
    </w:rPr>
  </w:style>
  <w:style w:type="paragraph" w:styleId="NormalWeb">
    <w:name w:val="Normal (Web)"/>
    <w:basedOn w:val="Normal"/>
    <w:uiPriority w:val="99"/>
    <w:unhideWhenUsed/>
    <w:rsid w:val="00A4560D"/>
    <w:pPr>
      <w:spacing w:before="100" w:beforeAutospacing="1" w:after="100" w:afterAutospacing="1" w:line="240" w:lineRule="auto"/>
      <w:jc w:val="left"/>
    </w:pPr>
    <w:rPr>
      <w:rFonts w:ascii="Times New Roman" w:hAnsi="Times New Roman"/>
      <w:sz w:val="24"/>
      <w:szCs w:val="24"/>
    </w:rPr>
  </w:style>
  <w:style w:type="paragraph" w:customStyle="1" w:styleId="RSCB02ArticleText">
    <w:name w:val="RSC B02 Article Text"/>
    <w:basedOn w:val="Normal"/>
    <w:link w:val="RSCB02ArticleTextChar"/>
    <w:qFormat/>
    <w:rsid w:val="002C212D"/>
    <w:pPr>
      <w:spacing w:after="0" w:line="240" w:lineRule="exact"/>
    </w:pPr>
    <w:rPr>
      <w:rFonts w:asciiTheme="minorHAnsi" w:eastAsiaTheme="minorHAnsi" w:hAnsiTheme="minorHAnsi"/>
      <w:w w:val="108"/>
      <w:sz w:val="18"/>
      <w:szCs w:val="18"/>
      <w:lang w:val="en-GB" w:eastAsia="en-US"/>
    </w:rPr>
  </w:style>
  <w:style w:type="character" w:customStyle="1" w:styleId="RSCB02ArticleTextChar">
    <w:name w:val="RSC B02 Article Text Char"/>
    <w:basedOn w:val="DefaultParagraphFont"/>
    <w:link w:val="RSCB02ArticleText"/>
    <w:rsid w:val="002C212D"/>
    <w:rPr>
      <w:rFonts w:asciiTheme="minorHAnsi" w:eastAsiaTheme="minorHAnsi" w:hAnsiTheme="minorHAnsi"/>
      <w:w w:val="108"/>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72070">
      <w:bodyDiv w:val="1"/>
      <w:marLeft w:val="0"/>
      <w:marRight w:val="0"/>
      <w:marTop w:val="0"/>
      <w:marBottom w:val="0"/>
      <w:divBdr>
        <w:top w:val="none" w:sz="0" w:space="0" w:color="auto"/>
        <w:left w:val="none" w:sz="0" w:space="0" w:color="auto"/>
        <w:bottom w:val="none" w:sz="0" w:space="0" w:color="auto"/>
        <w:right w:val="none" w:sz="0" w:space="0" w:color="auto"/>
      </w:divBdr>
    </w:div>
    <w:div w:id="2117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yperlink" Target="https://mc.manuscriptcentral.com/synlett"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www.thieme.de/de/synlett/author-guidelines-58892.htm"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ieme.de/statics/dokumente/thieme/final/de/dokumente/zw_synthesis/CFZ-Sample-Graphical-Abstracts.pdf"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thieme.de/de/synlett/authors-55965.htm"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hyperlink" Target="http://www.thieme.de/de/synlett/journal-information-55964.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u500\Downloads\CFZ-Synlett-Template-Letter-Cluster-NewTools-Win-v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0829FA1BD498896FFD443C9C223FC"/>
        <w:category>
          <w:name w:val="General"/>
          <w:gallery w:val="placeholder"/>
        </w:category>
        <w:types>
          <w:type w:val="bbPlcHdr"/>
        </w:types>
        <w:behaviors>
          <w:behavior w:val="content"/>
        </w:behaviors>
        <w:guid w:val="{8A2C00B8-E5A0-4049-A845-7262EF66ADAA}"/>
      </w:docPartPr>
      <w:docPartBody>
        <w:p w:rsidR="006E05D8" w:rsidRDefault="001D6F99" w:rsidP="001D6F99">
          <w:pPr>
            <w:pStyle w:val="3E00829FA1BD498896FFD443C9C223FC"/>
          </w:pPr>
          <w:r w:rsidRPr="00EC75A3">
            <w:rPr>
              <w:rStyle w:val="PlaceholderText"/>
              <w:color w:val="2F5496" w:themeColor="accent1" w:themeShade="BF"/>
              <w:lang w:val="en-US"/>
            </w:rPr>
            <w:t xml:space="preserve">Is there </w:t>
          </w:r>
          <w:r w:rsidRPr="00EC75A3">
            <w:rPr>
              <w:rStyle w:val="PlaceholderText"/>
              <w:b/>
              <w:lang w:val="en-US"/>
            </w:rPr>
            <w:t>Supporting Information</w:t>
          </w:r>
          <w:r w:rsidRPr="00EC75A3">
            <w:rPr>
              <w:rStyle w:val="PlaceholderText"/>
              <w:color w:val="2F5496" w:themeColor="accent1" w:themeShade="BF"/>
              <w:lang w:val="en-US"/>
            </w:rPr>
            <w:t xml:space="preserve"> to be published? Click here</w:t>
          </w:r>
          <w:r>
            <w:rPr>
              <w:rStyle w:val="PlaceholderText"/>
              <w:color w:val="2F5496" w:themeColor="accent1" w:themeShade="BF"/>
              <w:lang w:val="en-US"/>
            </w:rPr>
            <w:t>, then the arrow, and</w:t>
          </w:r>
          <w:r w:rsidRPr="00EC75A3">
            <w:rPr>
              <w:rStyle w:val="PlaceholderText"/>
              <w:color w:val="2F5496" w:themeColor="accent1" w:themeShade="BF"/>
              <w:lang w:val="en-US"/>
            </w:rPr>
            <w:t xml:space="preserve"> choose YES or NO.</w:t>
          </w:r>
        </w:p>
      </w:docPartBody>
    </w:docPart>
    <w:docPart>
      <w:docPartPr>
        <w:name w:val="6F675C1B545448F8BAC6829740C37F26"/>
        <w:category>
          <w:name w:val="General"/>
          <w:gallery w:val="placeholder"/>
        </w:category>
        <w:types>
          <w:type w:val="bbPlcHdr"/>
        </w:types>
        <w:behaviors>
          <w:behavior w:val="content"/>
        </w:behaviors>
        <w:guid w:val="{1899F927-3458-448A-ABE3-63D5183C405B}"/>
      </w:docPartPr>
      <w:docPartBody>
        <w:p w:rsidR="006E05D8" w:rsidRDefault="001D6F99" w:rsidP="001D6F99">
          <w:pPr>
            <w:pStyle w:val="6F675C1B545448F8BAC6829740C37F26"/>
          </w:pPr>
          <w:r w:rsidRPr="00A975F7">
            <w:rPr>
              <w:rStyle w:val="PlaceholderText"/>
              <w:color w:val="2F5496" w:themeColor="accent1" w:themeShade="BF"/>
              <w:lang w:val="en-US"/>
            </w:rPr>
            <w:t xml:space="preserve">Is there </w:t>
          </w:r>
          <w:r w:rsidRPr="00A975F7">
            <w:rPr>
              <w:rStyle w:val="PlaceholderText"/>
              <w:b/>
              <w:bCs/>
              <w:lang w:val="en-US"/>
            </w:rPr>
            <w:t>Primary Data</w:t>
          </w:r>
          <w:r w:rsidRPr="00A975F7">
            <w:rPr>
              <w:rStyle w:val="PlaceholderText"/>
              <w:color w:val="2F5496" w:themeColor="accent1" w:themeShade="BF"/>
              <w:lang w:val="en-US"/>
            </w:rPr>
            <w:t xml:space="preserve"> associated with this article? Click here to enter the Zenodo.org DOI, or click the arrow and choose NO.</w:t>
          </w:r>
        </w:p>
      </w:docPartBody>
    </w:docPart>
    <w:docPart>
      <w:docPartPr>
        <w:name w:val="A70A12FFA7E349F6985B5A890ACF30E1"/>
        <w:category>
          <w:name w:val="General"/>
          <w:gallery w:val="placeholder"/>
        </w:category>
        <w:types>
          <w:type w:val="bbPlcHdr"/>
        </w:types>
        <w:behaviors>
          <w:behavior w:val="content"/>
        </w:behaviors>
        <w:guid w:val="{15B9EDD7-5D76-491C-9206-B3DCADB34131}"/>
      </w:docPartPr>
      <w:docPartBody>
        <w:p w:rsidR="006E05D8" w:rsidRDefault="001D6F99" w:rsidP="001D6F99">
          <w:pPr>
            <w:pStyle w:val="A70A12FFA7E349F6985B5A890ACF30E1"/>
          </w:pPr>
          <w:r w:rsidRPr="003970F7">
            <w:rPr>
              <w:rStyle w:val="PlaceholderText"/>
              <w:color w:val="2F5496" w:themeColor="accent1" w:themeShade="BF"/>
              <w:lang w:val="en-US"/>
            </w:rPr>
            <w:t xml:space="preserve">Click here to enter text describing the </w:t>
          </w:r>
          <w:r w:rsidRPr="003970F7">
            <w:rPr>
              <w:rStyle w:val="PlaceholderText"/>
              <w:b/>
              <w:bCs/>
              <w:lang w:val="en-US"/>
            </w:rPr>
            <w:t>conflict of interest</w:t>
          </w:r>
          <w:r w:rsidRPr="003970F7">
            <w:rPr>
              <w:rStyle w:val="PlaceholderText"/>
              <w:color w:val="2F5496" w:themeColor="accent1" w:themeShade="BF"/>
              <w:lang w:val="en-US"/>
            </w:rPr>
            <w:t xml:space="preserve">, or click the arrow </w:t>
          </w:r>
          <w:r>
            <w:rPr>
              <w:rStyle w:val="PlaceholderText"/>
              <w:color w:val="2F5496" w:themeColor="accent1" w:themeShade="BF"/>
              <w:lang w:val="en-US"/>
            </w:rPr>
            <w:t>and</w:t>
          </w:r>
          <w:r w:rsidRPr="003970F7">
            <w:rPr>
              <w:rStyle w:val="PlaceholderText"/>
              <w:color w:val="2F5496" w:themeColor="accent1" w:themeShade="BF"/>
              <w:lang w:val="en-US"/>
            </w:rPr>
            <w:t xml:space="preserve"> choose</w:t>
          </w:r>
          <w:r w:rsidRPr="00DD6E99">
            <w:rPr>
              <w:rStyle w:val="PlaceholderText"/>
              <w:color w:val="2F5496" w:themeColor="accent1" w:themeShade="BF"/>
              <w:lang w:val="en-US"/>
            </w:rPr>
            <w:t xml:space="preserve"> </w:t>
          </w:r>
          <w:r w:rsidRPr="00DD6E99">
            <w:rPr>
              <w:rStyle w:val="PlaceholderText"/>
              <w:color w:val="2F5496" w:themeColor="accent1" w:themeShade="BF"/>
            </w:rPr>
            <w:t>The authors declare no conflict of interest.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hieme Argo 2011 Light">
    <w:altName w:val="Calibri"/>
    <w:charset w:val="00"/>
    <w:family w:val="auto"/>
    <w:pitch w:val="variable"/>
    <w:sig w:usb0="A00002EF" w:usb1="0000F4FB" w:usb2="00000000" w:usb3="00000000" w:csb0="0000008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99"/>
    <w:rsid w:val="00155C55"/>
    <w:rsid w:val="001D6F99"/>
    <w:rsid w:val="006E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F99"/>
    <w:rPr>
      <w:color w:val="808080"/>
    </w:rPr>
  </w:style>
  <w:style w:type="paragraph" w:customStyle="1" w:styleId="3E00829FA1BD498896FFD443C9C223FC">
    <w:name w:val="3E00829FA1BD498896FFD443C9C223FC"/>
    <w:rsid w:val="001D6F99"/>
  </w:style>
  <w:style w:type="paragraph" w:customStyle="1" w:styleId="6F675C1B545448F8BAC6829740C37F26">
    <w:name w:val="6F675C1B545448F8BAC6829740C37F26"/>
    <w:rsid w:val="001D6F99"/>
  </w:style>
  <w:style w:type="paragraph" w:customStyle="1" w:styleId="A70A12FFA7E349F6985B5A890ACF30E1">
    <w:name w:val="A70A12FFA7E349F6985B5A890ACF30E1"/>
    <w:rsid w:val="001D6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91DD-7EE1-4DDD-9480-88E3F8BF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CFZ-Synlett-Template-Letter-Cluster-NewTools-Win-v2.2(1)</Template>
  <TotalTime>0</TotalTime>
  <Pages>5</Pages>
  <Words>3615</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SYNLETT template v2.2 - Letter - Cluster - New Tools</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SYNLETT template v2.2 - Letter - Cluster - New Tools</dc:title>
  <dc:creator>William Unsworth</dc:creator>
  <dc:description>SYNLETT template v2.2 - Letter - Cluster - New Tools; June 2021</dc:description>
  <cp:lastModifiedBy>William Unsworth</cp:lastModifiedBy>
  <cp:revision>2</cp:revision>
  <cp:lastPrinted>2015-03-11T22:25:00Z</cp:lastPrinted>
  <dcterms:created xsi:type="dcterms:W3CDTF">2022-08-24T12:20:00Z</dcterms:created>
  <dcterms:modified xsi:type="dcterms:W3CDTF">2022-08-24T12:20:00Z</dcterms:modified>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2002 Ziegler + Müller, programming: Marc Jung</vt:lpwstr>
  </property>
</Properties>
</file>