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EFC069" w14:textId="77777777" w:rsidR="008E1216" w:rsidRPr="00B83426" w:rsidRDefault="00A83F02" w:rsidP="00810CC0">
      <w:pPr>
        <w:spacing w:line="240" w:lineRule="auto"/>
        <w:jc w:val="both"/>
        <w:rPr>
          <w:b/>
          <w:sz w:val="24"/>
          <w:szCs w:val="24"/>
        </w:rPr>
      </w:pPr>
      <w:r w:rsidRPr="00B83426">
        <w:rPr>
          <w:b/>
          <w:sz w:val="24"/>
          <w:szCs w:val="24"/>
        </w:rPr>
        <w:t>‘Everywhere’ or ‘over there’?</w:t>
      </w:r>
      <w:r w:rsidR="00D7128A" w:rsidRPr="00B83426">
        <w:rPr>
          <w:b/>
          <w:sz w:val="24"/>
          <w:szCs w:val="24"/>
        </w:rPr>
        <w:t xml:space="preserve"> </w:t>
      </w:r>
      <w:r w:rsidR="008E1216" w:rsidRPr="00B83426">
        <w:rPr>
          <w:b/>
          <w:sz w:val="24"/>
          <w:szCs w:val="24"/>
        </w:rPr>
        <w:t xml:space="preserve">Managing </w:t>
      </w:r>
      <w:r w:rsidR="00FF1BA2" w:rsidRPr="00B83426">
        <w:rPr>
          <w:b/>
          <w:sz w:val="24"/>
          <w:szCs w:val="24"/>
        </w:rPr>
        <w:t xml:space="preserve">and </w:t>
      </w:r>
      <w:proofErr w:type="spellStart"/>
      <w:r w:rsidR="00FF1BA2" w:rsidRPr="00B83426">
        <w:rPr>
          <w:b/>
          <w:sz w:val="24"/>
          <w:szCs w:val="24"/>
        </w:rPr>
        <w:t>spatialising</w:t>
      </w:r>
      <w:proofErr w:type="spellEnd"/>
      <w:r w:rsidR="00FF1BA2" w:rsidRPr="00B83426">
        <w:rPr>
          <w:b/>
          <w:sz w:val="24"/>
          <w:szCs w:val="24"/>
        </w:rPr>
        <w:t xml:space="preserve"> </w:t>
      </w:r>
      <w:r w:rsidR="00107C5D" w:rsidRPr="00B83426">
        <w:rPr>
          <w:b/>
          <w:sz w:val="24"/>
          <w:szCs w:val="24"/>
        </w:rPr>
        <w:t xml:space="preserve">the </w:t>
      </w:r>
      <w:r w:rsidR="008E1216" w:rsidRPr="00B83426">
        <w:rPr>
          <w:b/>
          <w:sz w:val="24"/>
          <w:szCs w:val="24"/>
        </w:rPr>
        <w:t xml:space="preserve">perceived risks of gender-based violence on </w:t>
      </w:r>
      <w:r w:rsidR="00107C5D" w:rsidRPr="00B83426">
        <w:rPr>
          <w:b/>
          <w:sz w:val="24"/>
          <w:szCs w:val="24"/>
        </w:rPr>
        <w:t>a</w:t>
      </w:r>
      <w:r w:rsidR="008E1216" w:rsidRPr="00B83426">
        <w:rPr>
          <w:b/>
          <w:sz w:val="24"/>
          <w:szCs w:val="24"/>
        </w:rPr>
        <w:t xml:space="preserve"> Girls’ Night Out</w:t>
      </w:r>
    </w:p>
    <w:p w14:paraId="5B8D753D" w14:textId="77777777" w:rsidR="00813923" w:rsidRPr="00B83426" w:rsidRDefault="00D35520" w:rsidP="00810CC0">
      <w:pPr>
        <w:spacing w:line="240" w:lineRule="auto"/>
        <w:jc w:val="both"/>
        <w:rPr>
          <w:sz w:val="24"/>
          <w:szCs w:val="24"/>
        </w:rPr>
      </w:pPr>
      <w:bookmarkStart w:id="0" w:name="_GoBack"/>
      <w:bookmarkEnd w:id="0"/>
      <w:r w:rsidRPr="00B83426">
        <w:rPr>
          <w:sz w:val="24"/>
          <w:szCs w:val="24"/>
        </w:rPr>
        <w:t>Participating in the late-night leisur</w:t>
      </w:r>
      <w:r w:rsidR="00D7128A" w:rsidRPr="00B83426">
        <w:rPr>
          <w:sz w:val="24"/>
          <w:szCs w:val="24"/>
        </w:rPr>
        <w:t>e opportunities afforded by the Night Time Economy (NTE) i</w:t>
      </w:r>
      <w:r w:rsidRPr="00B83426">
        <w:rPr>
          <w:sz w:val="24"/>
          <w:szCs w:val="24"/>
        </w:rPr>
        <w:t xml:space="preserve">s an important component of </w:t>
      </w:r>
      <w:r w:rsidR="00D7128A" w:rsidRPr="00B83426">
        <w:rPr>
          <w:sz w:val="24"/>
          <w:szCs w:val="24"/>
        </w:rPr>
        <w:t>many</w:t>
      </w:r>
      <w:r w:rsidRPr="00B83426">
        <w:rPr>
          <w:sz w:val="24"/>
          <w:szCs w:val="24"/>
        </w:rPr>
        <w:t xml:space="preserve"> women</w:t>
      </w:r>
      <w:r w:rsidR="005D296C" w:rsidRPr="00B83426">
        <w:rPr>
          <w:sz w:val="24"/>
          <w:szCs w:val="24"/>
        </w:rPr>
        <w:t>’s lives</w:t>
      </w:r>
      <w:r w:rsidRPr="00B83426">
        <w:rPr>
          <w:sz w:val="24"/>
          <w:szCs w:val="24"/>
        </w:rPr>
        <w:t>.</w:t>
      </w:r>
      <w:r w:rsidR="00487A37" w:rsidRPr="00B83426">
        <w:rPr>
          <w:sz w:val="24"/>
          <w:szCs w:val="24"/>
        </w:rPr>
        <w:t xml:space="preserve"> However,</w:t>
      </w:r>
      <w:r w:rsidR="008B478E" w:rsidRPr="00B83426">
        <w:rPr>
          <w:sz w:val="24"/>
          <w:szCs w:val="24"/>
        </w:rPr>
        <w:t xml:space="preserve"> </w:t>
      </w:r>
      <w:r w:rsidR="00D7128A" w:rsidRPr="00B83426">
        <w:rPr>
          <w:sz w:val="24"/>
          <w:szCs w:val="24"/>
        </w:rPr>
        <w:t>in research contexts such as the UK, Austra</w:t>
      </w:r>
      <w:r w:rsidR="00143F89" w:rsidRPr="00B83426">
        <w:rPr>
          <w:sz w:val="24"/>
          <w:szCs w:val="24"/>
        </w:rPr>
        <w:t>lia, New Zealand and Singapore</w:t>
      </w:r>
      <w:r w:rsidR="00D7128A" w:rsidRPr="00B83426">
        <w:rPr>
          <w:sz w:val="24"/>
          <w:szCs w:val="24"/>
        </w:rPr>
        <w:t xml:space="preserve">, </w:t>
      </w:r>
      <w:r w:rsidR="00143F89" w:rsidRPr="00B83426">
        <w:rPr>
          <w:sz w:val="24"/>
          <w:szCs w:val="24"/>
        </w:rPr>
        <w:t xml:space="preserve">drinking and </w:t>
      </w:r>
      <w:r w:rsidR="004045DE" w:rsidRPr="00B83426">
        <w:rPr>
          <w:sz w:val="24"/>
          <w:szCs w:val="24"/>
        </w:rPr>
        <w:t xml:space="preserve">clubbing </w:t>
      </w:r>
      <w:r w:rsidR="00143F89" w:rsidRPr="00B83426">
        <w:rPr>
          <w:sz w:val="24"/>
          <w:szCs w:val="24"/>
        </w:rPr>
        <w:t>can be understood as activities imbued with</w:t>
      </w:r>
      <w:r w:rsidR="004045DE" w:rsidRPr="00B83426">
        <w:rPr>
          <w:sz w:val="24"/>
          <w:szCs w:val="24"/>
        </w:rPr>
        <w:t xml:space="preserve"> tensions </w:t>
      </w:r>
      <w:r w:rsidR="00D7128A" w:rsidRPr="00B83426">
        <w:rPr>
          <w:sz w:val="24"/>
          <w:szCs w:val="24"/>
        </w:rPr>
        <w:t>for female revellers</w:t>
      </w:r>
      <w:r w:rsidR="00487A37" w:rsidRPr="00B83426">
        <w:rPr>
          <w:sz w:val="24"/>
          <w:szCs w:val="24"/>
        </w:rPr>
        <w:t xml:space="preserve"> (Cullen, 2011</w:t>
      </w:r>
      <w:r w:rsidR="00143F89" w:rsidRPr="00B83426">
        <w:rPr>
          <w:sz w:val="24"/>
          <w:szCs w:val="24"/>
        </w:rPr>
        <w:t xml:space="preserve">; </w:t>
      </w:r>
      <w:proofErr w:type="spellStart"/>
      <w:r w:rsidR="00143F89" w:rsidRPr="00B83426">
        <w:rPr>
          <w:sz w:val="24"/>
          <w:szCs w:val="24"/>
        </w:rPr>
        <w:t>Fileborn</w:t>
      </w:r>
      <w:proofErr w:type="spellEnd"/>
      <w:r w:rsidR="00143F89" w:rsidRPr="00B83426">
        <w:rPr>
          <w:sz w:val="24"/>
          <w:szCs w:val="24"/>
        </w:rPr>
        <w:t xml:space="preserve">, 2016; Lyons and </w:t>
      </w:r>
      <w:proofErr w:type="spellStart"/>
      <w:r w:rsidR="00143F89" w:rsidRPr="00B83426">
        <w:rPr>
          <w:sz w:val="24"/>
          <w:szCs w:val="24"/>
        </w:rPr>
        <w:t>Willot</w:t>
      </w:r>
      <w:proofErr w:type="spellEnd"/>
      <w:r w:rsidR="00143F89" w:rsidRPr="00B83426">
        <w:rPr>
          <w:sz w:val="24"/>
          <w:szCs w:val="24"/>
        </w:rPr>
        <w:t>, 2008; Tan, 2013</w:t>
      </w:r>
      <w:r w:rsidR="00487A37" w:rsidRPr="00B83426">
        <w:rPr>
          <w:sz w:val="24"/>
          <w:szCs w:val="24"/>
        </w:rPr>
        <w:t xml:space="preserve">). On the one hand, </w:t>
      </w:r>
      <w:r w:rsidR="004045DE" w:rsidRPr="00B83426">
        <w:rPr>
          <w:sz w:val="24"/>
          <w:szCs w:val="24"/>
        </w:rPr>
        <w:t>these act</w:t>
      </w:r>
      <w:r w:rsidR="003E77E7" w:rsidRPr="00B83426">
        <w:rPr>
          <w:sz w:val="24"/>
          <w:szCs w:val="24"/>
        </w:rPr>
        <w:t>i</w:t>
      </w:r>
      <w:r w:rsidR="004045DE" w:rsidRPr="00B83426">
        <w:rPr>
          <w:sz w:val="24"/>
          <w:szCs w:val="24"/>
        </w:rPr>
        <w:t>vities</w:t>
      </w:r>
      <w:r w:rsidR="00487A37" w:rsidRPr="00B83426">
        <w:rPr>
          <w:sz w:val="24"/>
          <w:szCs w:val="24"/>
        </w:rPr>
        <w:t xml:space="preserve"> can be bound up with female friendship and</w:t>
      </w:r>
      <w:r w:rsidR="004045DE" w:rsidRPr="00B83426">
        <w:rPr>
          <w:sz w:val="24"/>
          <w:szCs w:val="24"/>
        </w:rPr>
        <w:t xml:space="preserve"> femininity and be theorised as </w:t>
      </w:r>
      <w:r w:rsidR="00487A37" w:rsidRPr="00B83426">
        <w:rPr>
          <w:sz w:val="24"/>
          <w:szCs w:val="24"/>
        </w:rPr>
        <w:t>pleasurable</w:t>
      </w:r>
      <w:r w:rsidR="00D7128A" w:rsidRPr="00B83426">
        <w:rPr>
          <w:sz w:val="24"/>
          <w:szCs w:val="24"/>
        </w:rPr>
        <w:t xml:space="preserve"> and </w:t>
      </w:r>
      <w:r w:rsidR="00544593" w:rsidRPr="00B83426">
        <w:rPr>
          <w:sz w:val="24"/>
          <w:szCs w:val="24"/>
        </w:rPr>
        <w:t>empowering for women (Hut</w:t>
      </w:r>
      <w:r w:rsidR="00143F89" w:rsidRPr="00B83426">
        <w:rPr>
          <w:sz w:val="24"/>
          <w:szCs w:val="24"/>
        </w:rPr>
        <w:t>ton</w:t>
      </w:r>
      <w:r w:rsidR="004045DE" w:rsidRPr="00B83426">
        <w:rPr>
          <w:sz w:val="24"/>
          <w:szCs w:val="24"/>
        </w:rPr>
        <w:t>,</w:t>
      </w:r>
      <w:r w:rsidR="00143F89" w:rsidRPr="00B83426">
        <w:rPr>
          <w:sz w:val="24"/>
          <w:szCs w:val="24"/>
        </w:rPr>
        <w:t xml:space="preserve"> 2006</w:t>
      </w:r>
      <w:r w:rsidR="00487A37" w:rsidRPr="00B83426">
        <w:rPr>
          <w:sz w:val="24"/>
          <w:szCs w:val="24"/>
        </w:rPr>
        <w:t xml:space="preserve">). On the other, the NTE </w:t>
      </w:r>
      <w:r w:rsidR="00994BDF" w:rsidRPr="00B83426">
        <w:rPr>
          <w:sz w:val="24"/>
          <w:szCs w:val="24"/>
        </w:rPr>
        <w:t xml:space="preserve">can be understood as a site of </w:t>
      </w:r>
      <w:r w:rsidR="00487A37" w:rsidRPr="00B83426">
        <w:rPr>
          <w:sz w:val="24"/>
          <w:szCs w:val="24"/>
        </w:rPr>
        <w:t>risk</w:t>
      </w:r>
      <w:r w:rsidR="00CC64F8" w:rsidRPr="00B83426">
        <w:rPr>
          <w:sz w:val="24"/>
          <w:szCs w:val="24"/>
        </w:rPr>
        <w:t>-</w:t>
      </w:r>
      <w:r w:rsidR="00994BDF" w:rsidRPr="00B83426">
        <w:rPr>
          <w:sz w:val="24"/>
          <w:szCs w:val="24"/>
        </w:rPr>
        <w:t>management</w:t>
      </w:r>
      <w:r w:rsidR="008B478E" w:rsidRPr="00B83426">
        <w:rPr>
          <w:sz w:val="24"/>
          <w:szCs w:val="24"/>
        </w:rPr>
        <w:t xml:space="preserve"> </w:t>
      </w:r>
      <w:r w:rsidR="00813923" w:rsidRPr="00B83426">
        <w:rPr>
          <w:sz w:val="24"/>
          <w:szCs w:val="24"/>
        </w:rPr>
        <w:t>and</w:t>
      </w:r>
      <w:r w:rsidR="00994BDF" w:rsidRPr="00B83426">
        <w:rPr>
          <w:sz w:val="24"/>
          <w:szCs w:val="24"/>
        </w:rPr>
        <w:t xml:space="preserve"> associated</w:t>
      </w:r>
      <w:r w:rsidR="00813923" w:rsidRPr="00B83426">
        <w:rPr>
          <w:sz w:val="24"/>
          <w:szCs w:val="24"/>
        </w:rPr>
        <w:t xml:space="preserve"> with the policing and control of </w:t>
      </w:r>
      <w:r w:rsidR="00487A37" w:rsidRPr="00B83426">
        <w:rPr>
          <w:sz w:val="24"/>
          <w:szCs w:val="24"/>
        </w:rPr>
        <w:t>women</w:t>
      </w:r>
      <w:r w:rsidR="00143F89" w:rsidRPr="00B83426">
        <w:rPr>
          <w:sz w:val="24"/>
          <w:szCs w:val="24"/>
        </w:rPr>
        <w:t xml:space="preserve">’s bodies </w:t>
      </w:r>
      <w:r w:rsidR="00813923" w:rsidRPr="00B83426">
        <w:rPr>
          <w:sz w:val="24"/>
          <w:szCs w:val="24"/>
        </w:rPr>
        <w:t>(</w:t>
      </w:r>
      <w:r w:rsidR="008B478E" w:rsidRPr="00B83426">
        <w:rPr>
          <w:sz w:val="24"/>
          <w:szCs w:val="24"/>
        </w:rPr>
        <w:t>Buckley and Fawcett 2002</w:t>
      </w:r>
      <w:r w:rsidR="00D7128A" w:rsidRPr="00B83426">
        <w:rPr>
          <w:sz w:val="24"/>
          <w:szCs w:val="24"/>
        </w:rPr>
        <w:t>; Tan 2013</w:t>
      </w:r>
      <w:r w:rsidR="00813923" w:rsidRPr="00B83426">
        <w:rPr>
          <w:sz w:val="24"/>
          <w:szCs w:val="24"/>
        </w:rPr>
        <w:t>)</w:t>
      </w:r>
      <w:r w:rsidR="00487A37" w:rsidRPr="00B83426">
        <w:rPr>
          <w:sz w:val="24"/>
          <w:szCs w:val="24"/>
        </w:rPr>
        <w:t xml:space="preserve">. </w:t>
      </w:r>
      <w:r w:rsidR="00143F89" w:rsidRPr="00B83426">
        <w:rPr>
          <w:sz w:val="24"/>
          <w:szCs w:val="24"/>
        </w:rPr>
        <w:t>Crucially, the</w:t>
      </w:r>
      <w:r w:rsidR="008D0BF3" w:rsidRPr="00B83426">
        <w:rPr>
          <w:sz w:val="24"/>
          <w:szCs w:val="24"/>
        </w:rPr>
        <w:t xml:space="preserve"> particular, </w:t>
      </w:r>
      <w:r w:rsidR="00143F89" w:rsidRPr="00B83426">
        <w:rPr>
          <w:sz w:val="24"/>
          <w:szCs w:val="24"/>
        </w:rPr>
        <w:t>(</w:t>
      </w:r>
      <w:r w:rsidR="008D0BF3" w:rsidRPr="00B83426">
        <w:rPr>
          <w:sz w:val="24"/>
          <w:szCs w:val="24"/>
        </w:rPr>
        <w:t>hetero</w:t>
      </w:r>
      <w:r w:rsidR="00143F89" w:rsidRPr="00B83426">
        <w:rPr>
          <w:sz w:val="24"/>
          <w:szCs w:val="24"/>
        </w:rPr>
        <w:t>)</w:t>
      </w:r>
      <w:r w:rsidR="008D0BF3" w:rsidRPr="00B83426">
        <w:rPr>
          <w:sz w:val="24"/>
          <w:szCs w:val="24"/>
        </w:rPr>
        <w:t>sexualis</w:t>
      </w:r>
      <w:r w:rsidR="00544593" w:rsidRPr="00B83426">
        <w:rPr>
          <w:sz w:val="24"/>
          <w:szCs w:val="24"/>
        </w:rPr>
        <w:t xml:space="preserve">ed patterns of engagement that are encouraged and </w:t>
      </w:r>
      <w:r w:rsidR="008B478E" w:rsidRPr="00B83426">
        <w:rPr>
          <w:sz w:val="24"/>
          <w:szCs w:val="24"/>
        </w:rPr>
        <w:t>even expected</w:t>
      </w:r>
      <w:r w:rsidR="00544593" w:rsidRPr="00B83426">
        <w:rPr>
          <w:sz w:val="24"/>
          <w:szCs w:val="24"/>
        </w:rPr>
        <w:t xml:space="preserve"> in mainstream nightlife venues </w:t>
      </w:r>
      <w:r w:rsidR="00143F89" w:rsidRPr="00B83426">
        <w:rPr>
          <w:sz w:val="24"/>
          <w:szCs w:val="24"/>
        </w:rPr>
        <w:t>may serve to</w:t>
      </w:r>
      <w:r w:rsidR="008B478E" w:rsidRPr="00B83426">
        <w:rPr>
          <w:sz w:val="24"/>
          <w:szCs w:val="24"/>
        </w:rPr>
        <w:t xml:space="preserve"> </w:t>
      </w:r>
      <w:r w:rsidR="00544593" w:rsidRPr="00B83426">
        <w:rPr>
          <w:sz w:val="24"/>
          <w:szCs w:val="24"/>
        </w:rPr>
        <w:t>normalise interactions that sit on a continuum of gender-based violence (GBV)</w:t>
      </w:r>
      <w:r w:rsidR="00143F89" w:rsidRPr="00B83426">
        <w:rPr>
          <w:sz w:val="24"/>
          <w:szCs w:val="24"/>
        </w:rPr>
        <w:t xml:space="preserve"> for women</w:t>
      </w:r>
      <w:r w:rsidR="008B478E" w:rsidRPr="00B83426">
        <w:rPr>
          <w:sz w:val="24"/>
          <w:szCs w:val="24"/>
        </w:rPr>
        <w:t xml:space="preserve"> (</w:t>
      </w:r>
      <w:proofErr w:type="spellStart"/>
      <w:r w:rsidR="008B478E" w:rsidRPr="00B83426">
        <w:rPr>
          <w:sz w:val="24"/>
          <w:szCs w:val="24"/>
        </w:rPr>
        <w:t>Kavanaugh</w:t>
      </w:r>
      <w:proofErr w:type="spellEnd"/>
      <w:r w:rsidR="00D7128A" w:rsidRPr="00B83426">
        <w:rPr>
          <w:sz w:val="24"/>
          <w:szCs w:val="24"/>
        </w:rPr>
        <w:t>,</w:t>
      </w:r>
      <w:r w:rsidR="008B478E" w:rsidRPr="00B83426">
        <w:rPr>
          <w:sz w:val="24"/>
          <w:szCs w:val="24"/>
        </w:rPr>
        <w:t xml:space="preserve"> 2013).</w:t>
      </w:r>
      <w:r w:rsidR="008D0BF3" w:rsidRPr="00B83426">
        <w:rPr>
          <w:sz w:val="24"/>
          <w:szCs w:val="24"/>
        </w:rPr>
        <w:t xml:space="preserve"> </w:t>
      </w:r>
      <w:r w:rsidR="00CC64F8" w:rsidRPr="00B83426">
        <w:rPr>
          <w:sz w:val="24"/>
          <w:szCs w:val="24"/>
        </w:rPr>
        <w:t xml:space="preserve">It </w:t>
      </w:r>
      <w:r w:rsidR="00487A37" w:rsidRPr="00B83426">
        <w:rPr>
          <w:sz w:val="24"/>
          <w:szCs w:val="24"/>
        </w:rPr>
        <w:t xml:space="preserve">is important to </w:t>
      </w:r>
      <w:r w:rsidR="00CC64F8" w:rsidRPr="00B83426">
        <w:rPr>
          <w:sz w:val="24"/>
          <w:szCs w:val="24"/>
        </w:rPr>
        <w:t>consider the ways in which the</w:t>
      </w:r>
      <w:r w:rsidR="00487A37" w:rsidRPr="00B83426">
        <w:rPr>
          <w:sz w:val="24"/>
          <w:szCs w:val="24"/>
        </w:rPr>
        <w:t xml:space="preserve"> various pleasures and dangers </w:t>
      </w:r>
      <w:r w:rsidR="00CC64F8" w:rsidRPr="00B83426">
        <w:rPr>
          <w:sz w:val="24"/>
          <w:szCs w:val="24"/>
        </w:rPr>
        <w:t>of the NTE are</w:t>
      </w:r>
      <w:r w:rsidR="00487A37" w:rsidRPr="00B83426">
        <w:rPr>
          <w:sz w:val="24"/>
          <w:szCs w:val="24"/>
        </w:rPr>
        <w:t xml:space="preserve"> experienced and negotiated </w:t>
      </w:r>
      <w:r w:rsidR="008D0BF3" w:rsidRPr="00B83426">
        <w:rPr>
          <w:sz w:val="24"/>
          <w:szCs w:val="24"/>
        </w:rPr>
        <w:t xml:space="preserve">and how this </w:t>
      </w:r>
      <w:r w:rsidR="00487A37" w:rsidRPr="00B83426">
        <w:rPr>
          <w:sz w:val="24"/>
          <w:szCs w:val="24"/>
        </w:rPr>
        <w:t xml:space="preserve">continues to be shaped by various facets of identity including – but not limited to – one’s gender and sexuality. In particular, </w:t>
      </w:r>
      <w:r w:rsidR="00544593" w:rsidRPr="00B83426">
        <w:rPr>
          <w:sz w:val="24"/>
          <w:szCs w:val="24"/>
        </w:rPr>
        <w:t xml:space="preserve">the normalisation of </w:t>
      </w:r>
      <w:r w:rsidR="008D0BF3" w:rsidRPr="00B83426">
        <w:rPr>
          <w:sz w:val="24"/>
          <w:szCs w:val="24"/>
        </w:rPr>
        <w:t>(hetero)</w:t>
      </w:r>
      <w:r w:rsidR="00813923" w:rsidRPr="00B83426">
        <w:rPr>
          <w:sz w:val="24"/>
          <w:szCs w:val="24"/>
        </w:rPr>
        <w:t>sexualised</w:t>
      </w:r>
      <w:r w:rsidR="00544593" w:rsidRPr="00B83426">
        <w:rPr>
          <w:sz w:val="24"/>
          <w:szCs w:val="24"/>
        </w:rPr>
        <w:t xml:space="preserve"> behaviours in </w:t>
      </w:r>
      <w:r w:rsidR="008D0BF3" w:rsidRPr="00B83426">
        <w:rPr>
          <w:sz w:val="24"/>
          <w:szCs w:val="24"/>
        </w:rPr>
        <w:t xml:space="preserve">mainstream </w:t>
      </w:r>
      <w:r w:rsidR="00544593" w:rsidRPr="00B83426">
        <w:rPr>
          <w:sz w:val="24"/>
          <w:szCs w:val="24"/>
        </w:rPr>
        <w:t>bars, pubs and clubs - and the impact that t</w:t>
      </w:r>
      <w:r w:rsidR="008D0BF3" w:rsidRPr="00B83426">
        <w:rPr>
          <w:sz w:val="24"/>
          <w:szCs w:val="24"/>
        </w:rPr>
        <w:t xml:space="preserve">his has on women’s understandings and negotiations </w:t>
      </w:r>
      <w:r w:rsidR="00544593" w:rsidRPr="00B83426">
        <w:rPr>
          <w:sz w:val="24"/>
          <w:szCs w:val="24"/>
        </w:rPr>
        <w:t xml:space="preserve">of risk and safety – demands further </w:t>
      </w:r>
      <w:r w:rsidR="004045DE" w:rsidRPr="00B83426">
        <w:rPr>
          <w:sz w:val="24"/>
          <w:szCs w:val="24"/>
        </w:rPr>
        <w:t>attention</w:t>
      </w:r>
      <w:r w:rsidR="00544593" w:rsidRPr="00B83426">
        <w:rPr>
          <w:sz w:val="24"/>
          <w:szCs w:val="24"/>
        </w:rPr>
        <w:t xml:space="preserve">. </w:t>
      </w:r>
    </w:p>
    <w:p w14:paraId="5CD795DA" w14:textId="3C52C457" w:rsidR="00813923" w:rsidRPr="00B83426" w:rsidRDefault="00813923" w:rsidP="00810CC0">
      <w:pPr>
        <w:spacing w:line="240" w:lineRule="auto"/>
        <w:jc w:val="both"/>
        <w:rPr>
          <w:sz w:val="24"/>
          <w:szCs w:val="24"/>
        </w:rPr>
      </w:pPr>
      <w:r w:rsidRPr="00B83426">
        <w:rPr>
          <w:sz w:val="24"/>
          <w:szCs w:val="24"/>
        </w:rPr>
        <w:t xml:space="preserve">For the purposes of this chapter, gender-based violence (GBV) will be defined as acts of violence, harassment or aggression perpetuated against individuals because of their gender and sexuality (presumed or otherwise) that take place against a </w:t>
      </w:r>
      <w:r w:rsidR="008D0BF3" w:rsidRPr="00B83426">
        <w:rPr>
          <w:sz w:val="24"/>
          <w:szCs w:val="24"/>
        </w:rPr>
        <w:t xml:space="preserve">wider </w:t>
      </w:r>
      <w:r w:rsidRPr="00B83426">
        <w:rPr>
          <w:sz w:val="24"/>
          <w:szCs w:val="24"/>
        </w:rPr>
        <w:t xml:space="preserve">backdrop of unequal power relations and </w:t>
      </w:r>
      <w:r w:rsidR="00886DFB" w:rsidRPr="00B83426">
        <w:rPr>
          <w:sz w:val="24"/>
          <w:szCs w:val="24"/>
        </w:rPr>
        <w:t>social structures (</w:t>
      </w:r>
      <w:proofErr w:type="spellStart"/>
      <w:r w:rsidR="00886DFB" w:rsidRPr="00B83426">
        <w:rPr>
          <w:sz w:val="24"/>
          <w:szCs w:val="24"/>
        </w:rPr>
        <w:t>Anitha</w:t>
      </w:r>
      <w:proofErr w:type="spellEnd"/>
      <w:r w:rsidR="00886DFB" w:rsidRPr="00B83426">
        <w:rPr>
          <w:sz w:val="24"/>
          <w:szCs w:val="24"/>
        </w:rPr>
        <w:t xml:space="preserve"> et al</w:t>
      </w:r>
      <w:r w:rsidRPr="00B83426">
        <w:rPr>
          <w:sz w:val="24"/>
          <w:szCs w:val="24"/>
        </w:rPr>
        <w:t>, 2020). GBV exists on a spectrum and incorporates a range of practices</w:t>
      </w:r>
      <w:r w:rsidR="004045DE" w:rsidRPr="00B83426">
        <w:rPr>
          <w:sz w:val="24"/>
          <w:szCs w:val="24"/>
        </w:rPr>
        <w:t xml:space="preserve"> not limited to</w:t>
      </w:r>
      <w:r w:rsidRPr="00B83426">
        <w:rPr>
          <w:sz w:val="24"/>
          <w:szCs w:val="24"/>
        </w:rPr>
        <w:t>; rape, sexual assault, unwanted sexual attention (including verbal comments and non-consensual touching)</w:t>
      </w:r>
      <w:r w:rsidR="002126D4">
        <w:rPr>
          <w:sz w:val="24"/>
          <w:szCs w:val="24"/>
        </w:rPr>
        <w:t>,</w:t>
      </w:r>
      <w:r w:rsidRPr="00B83426">
        <w:rPr>
          <w:sz w:val="24"/>
          <w:szCs w:val="24"/>
        </w:rPr>
        <w:t xml:space="preserve"> </w:t>
      </w:r>
      <w:r w:rsidR="002126D4">
        <w:rPr>
          <w:sz w:val="24"/>
          <w:szCs w:val="24"/>
        </w:rPr>
        <w:t>and</w:t>
      </w:r>
      <w:r w:rsidRPr="00B83426">
        <w:rPr>
          <w:sz w:val="24"/>
          <w:szCs w:val="24"/>
        </w:rPr>
        <w:t xml:space="preserve"> homophobic or transphobic violence and abuse. GBV can incl</w:t>
      </w:r>
      <w:r w:rsidR="008D0BF3" w:rsidRPr="00B83426">
        <w:rPr>
          <w:sz w:val="24"/>
          <w:szCs w:val="24"/>
        </w:rPr>
        <w:t>ude behaviours that may not be</w:t>
      </w:r>
      <w:r w:rsidRPr="00B83426">
        <w:rPr>
          <w:sz w:val="24"/>
          <w:szCs w:val="24"/>
        </w:rPr>
        <w:t xml:space="preserve"> legally considered an ‘offence’ but are perceived as unwanted, threatening and</w:t>
      </w:r>
      <w:r w:rsidR="00143F89" w:rsidRPr="00B83426">
        <w:rPr>
          <w:sz w:val="24"/>
          <w:szCs w:val="24"/>
        </w:rPr>
        <w:t xml:space="preserve"> non-consensual encounters </w:t>
      </w:r>
      <w:r w:rsidRPr="00B83426">
        <w:rPr>
          <w:sz w:val="24"/>
          <w:szCs w:val="24"/>
        </w:rPr>
        <w:t>by those who experience them (</w:t>
      </w:r>
      <w:proofErr w:type="spellStart"/>
      <w:r w:rsidRPr="00B83426">
        <w:rPr>
          <w:sz w:val="24"/>
          <w:szCs w:val="24"/>
        </w:rPr>
        <w:t>Gunby</w:t>
      </w:r>
      <w:proofErr w:type="spellEnd"/>
      <w:r w:rsidRPr="00B83426">
        <w:rPr>
          <w:sz w:val="24"/>
          <w:szCs w:val="24"/>
        </w:rPr>
        <w:t xml:space="preserve"> </w:t>
      </w:r>
      <w:r w:rsidR="00886DFB" w:rsidRPr="00B83426">
        <w:rPr>
          <w:sz w:val="24"/>
          <w:szCs w:val="24"/>
        </w:rPr>
        <w:t>et al</w:t>
      </w:r>
      <w:r w:rsidR="00143F89" w:rsidRPr="00B83426">
        <w:rPr>
          <w:sz w:val="24"/>
          <w:szCs w:val="24"/>
        </w:rPr>
        <w:t xml:space="preserve">, </w:t>
      </w:r>
      <w:r w:rsidRPr="00B83426">
        <w:rPr>
          <w:sz w:val="24"/>
          <w:szCs w:val="24"/>
        </w:rPr>
        <w:t xml:space="preserve">2020). </w:t>
      </w:r>
    </w:p>
    <w:p w14:paraId="559CAD3A" w14:textId="336E7EDE" w:rsidR="008D0BF3" w:rsidRPr="00B83426" w:rsidRDefault="00544593" w:rsidP="00810CC0">
      <w:pPr>
        <w:spacing w:line="240" w:lineRule="auto"/>
        <w:jc w:val="both"/>
        <w:rPr>
          <w:sz w:val="24"/>
          <w:szCs w:val="24"/>
        </w:rPr>
      </w:pPr>
      <w:r w:rsidRPr="00B83426">
        <w:rPr>
          <w:sz w:val="24"/>
          <w:szCs w:val="24"/>
        </w:rPr>
        <w:t>Drawing on primary researc</w:t>
      </w:r>
      <w:r w:rsidR="00724782">
        <w:rPr>
          <w:sz w:val="24"/>
          <w:szCs w:val="24"/>
        </w:rPr>
        <w:t>h on the ‘girls’ night out’ in north-e</w:t>
      </w:r>
      <w:r w:rsidRPr="00B83426">
        <w:rPr>
          <w:sz w:val="24"/>
          <w:szCs w:val="24"/>
        </w:rPr>
        <w:t xml:space="preserve">ast England, this chapter will explore the ways in which a </w:t>
      </w:r>
      <w:r w:rsidR="00143F89" w:rsidRPr="00B83426">
        <w:rPr>
          <w:sz w:val="24"/>
          <w:szCs w:val="24"/>
        </w:rPr>
        <w:t>continuum</w:t>
      </w:r>
      <w:r w:rsidRPr="00B83426">
        <w:rPr>
          <w:sz w:val="24"/>
          <w:szCs w:val="24"/>
        </w:rPr>
        <w:t xml:space="preserve"> of GBV</w:t>
      </w:r>
      <w:r w:rsidR="00813923" w:rsidRPr="00B83426">
        <w:rPr>
          <w:sz w:val="24"/>
          <w:szCs w:val="24"/>
        </w:rPr>
        <w:t xml:space="preserve"> in and around licensed venues</w:t>
      </w:r>
      <w:r w:rsidRPr="00B83426">
        <w:rPr>
          <w:sz w:val="24"/>
          <w:szCs w:val="24"/>
        </w:rPr>
        <w:t xml:space="preserve"> is managed and understood by women through a lens that draws attention to the role of space</w:t>
      </w:r>
      <w:r w:rsidR="004045DE" w:rsidRPr="00B83426">
        <w:rPr>
          <w:sz w:val="24"/>
          <w:szCs w:val="24"/>
        </w:rPr>
        <w:t xml:space="preserve"> and place</w:t>
      </w:r>
      <w:r w:rsidRPr="00B83426">
        <w:rPr>
          <w:sz w:val="24"/>
          <w:szCs w:val="24"/>
        </w:rPr>
        <w:t xml:space="preserve">. </w:t>
      </w:r>
      <w:r w:rsidR="004045DE" w:rsidRPr="00B83426">
        <w:rPr>
          <w:sz w:val="24"/>
          <w:szCs w:val="24"/>
        </w:rPr>
        <w:t>T</w:t>
      </w:r>
      <w:r w:rsidRPr="00B83426">
        <w:rPr>
          <w:sz w:val="24"/>
          <w:szCs w:val="24"/>
        </w:rPr>
        <w:t xml:space="preserve">he chapter will </w:t>
      </w:r>
      <w:r w:rsidR="000774BD" w:rsidRPr="00B83426">
        <w:rPr>
          <w:sz w:val="24"/>
          <w:szCs w:val="24"/>
        </w:rPr>
        <w:t>consider</w:t>
      </w:r>
      <w:r w:rsidRPr="00B83426">
        <w:rPr>
          <w:sz w:val="24"/>
          <w:szCs w:val="24"/>
        </w:rPr>
        <w:t xml:space="preserve"> the ways in which GBV </w:t>
      </w:r>
      <w:r w:rsidR="008D0BF3" w:rsidRPr="00B83426">
        <w:rPr>
          <w:sz w:val="24"/>
          <w:szCs w:val="24"/>
        </w:rPr>
        <w:t>was positioned by participants</w:t>
      </w:r>
      <w:r w:rsidRPr="00B83426">
        <w:rPr>
          <w:sz w:val="24"/>
          <w:szCs w:val="24"/>
        </w:rPr>
        <w:t xml:space="preserve"> as a pervasive and unavoidable aspect of participation in the N</w:t>
      </w:r>
      <w:r w:rsidR="000774BD" w:rsidRPr="00B83426">
        <w:rPr>
          <w:sz w:val="24"/>
          <w:szCs w:val="24"/>
        </w:rPr>
        <w:t>TE. At the same time, GBV was also associated with</w:t>
      </w:r>
      <w:r w:rsidRPr="00B83426">
        <w:rPr>
          <w:sz w:val="24"/>
          <w:szCs w:val="24"/>
        </w:rPr>
        <w:t xml:space="preserve"> </w:t>
      </w:r>
      <w:r w:rsidR="008D0BF3" w:rsidRPr="00B83426">
        <w:rPr>
          <w:sz w:val="24"/>
          <w:szCs w:val="24"/>
        </w:rPr>
        <w:t>venues o</w:t>
      </w:r>
      <w:r w:rsidR="000774BD" w:rsidRPr="00B83426">
        <w:rPr>
          <w:sz w:val="24"/>
          <w:szCs w:val="24"/>
        </w:rPr>
        <w:t xml:space="preserve">r parts of the city centre </w:t>
      </w:r>
      <w:r w:rsidR="008D0BF3" w:rsidRPr="00B83426">
        <w:rPr>
          <w:sz w:val="24"/>
          <w:szCs w:val="24"/>
        </w:rPr>
        <w:t xml:space="preserve">labelled as </w:t>
      </w:r>
      <w:r w:rsidRPr="00B83426">
        <w:rPr>
          <w:sz w:val="24"/>
          <w:szCs w:val="24"/>
        </w:rPr>
        <w:t>problematic, dangerous o</w:t>
      </w:r>
      <w:r w:rsidR="008D0BF3" w:rsidRPr="00B83426">
        <w:rPr>
          <w:sz w:val="24"/>
          <w:szCs w:val="24"/>
        </w:rPr>
        <w:t>r risky a</w:t>
      </w:r>
      <w:r w:rsidR="000774BD" w:rsidRPr="00B83426">
        <w:rPr>
          <w:sz w:val="24"/>
          <w:szCs w:val="24"/>
        </w:rPr>
        <w:t xml:space="preserve">t night. In this sense, risk was </w:t>
      </w:r>
      <w:r w:rsidR="00143F89" w:rsidRPr="00B83426">
        <w:rPr>
          <w:sz w:val="24"/>
          <w:szCs w:val="24"/>
        </w:rPr>
        <w:t xml:space="preserve">simultaneously </w:t>
      </w:r>
      <w:r w:rsidRPr="00B83426">
        <w:rPr>
          <w:sz w:val="24"/>
          <w:szCs w:val="24"/>
        </w:rPr>
        <w:t xml:space="preserve">understood as embedded throughout </w:t>
      </w:r>
      <w:r w:rsidRPr="00B83426">
        <w:rPr>
          <w:i/>
          <w:sz w:val="24"/>
          <w:szCs w:val="24"/>
        </w:rPr>
        <w:t>all</w:t>
      </w:r>
      <w:r w:rsidRPr="00B83426">
        <w:rPr>
          <w:sz w:val="24"/>
          <w:szCs w:val="24"/>
        </w:rPr>
        <w:t xml:space="preserve"> </w:t>
      </w:r>
      <w:r w:rsidR="008D0BF3" w:rsidRPr="00B83426">
        <w:rPr>
          <w:sz w:val="24"/>
          <w:szCs w:val="24"/>
        </w:rPr>
        <w:t xml:space="preserve">mainstream </w:t>
      </w:r>
      <w:r w:rsidRPr="00B83426">
        <w:rPr>
          <w:sz w:val="24"/>
          <w:szCs w:val="24"/>
        </w:rPr>
        <w:t>spaces of the NTE yet</w:t>
      </w:r>
      <w:r w:rsidR="008D0BF3" w:rsidRPr="00B83426">
        <w:rPr>
          <w:sz w:val="24"/>
          <w:szCs w:val="24"/>
        </w:rPr>
        <w:t xml:space="preserve"> also</w:t>
      </w:r>
      <w:r w:rsidRPr="00B83426">
        <w:rPr>
          <w:sz w:val="24"/>
          <w:szCs w:val="24"/>
        </w:rPr>
        <w:t xml:space="preserve"> </w:t>
      </w:r>
      <w:r w:rsidR="000774BD" w:rsidRPr="00B83426">
        <w:rPr>
          <w:sz w:val="24"/>
          <w:szCs w:val="24"/>
        </w:rPr>
        <w:t xml:space="preserve">regarded as </w:t>
      </w:r>
      <w:r w:rsidRPr="00B83426">
        <w:rPr>
          <w:sz w:val="24"/>
          <w:szCs w:val="24"/>
        </w:rPr>
        <w:t>concentrated within particula</w:t>
      </w:r>
      <w:r w:rsidR="00813923" w:rsidRPr="00B83426">
        <w:rPr>
          <w:sz w:val="24"/>
          <w:szCs w:val="24"/>
        </w:rPr>
        <w:t xml:space="preserve">r, ‘no-go’ </w:t>
      </w:r>
      <w:r w:rsidR="000774BD" w:rsidRPr="00B83426">
        <w:rPr>
          <w:sz w:val="24"/>
          <w:szCs w:val="24"/>
        </w:rPr>
        <w:t>areas</w:t>
      </w:r>
      <w:r w:rsidRPr="00B83426">
        <w:rPr>
          <w:sz w:val="24"/>
          <w:szCs w:val="24"/>
        </w:rPr>
        <w:t>.</w:t>
      </w:r>
    </w:p>
    <w:p w14:paraId="76AE6C86" w14:textId="77777777" w:rsidR="00544593" w:rsidRPr="00B83426" w:rsidRDefault="00813923" w:rsidP="00810CC0">
      <w:pPr>
        <w:spacing w:line="240" w:lineRule="auto"/>
        <w:jc w:val="both"/>
        <w:rPr>
          <w:i/>
          <w:sz w:val="24"/>
          <w:szCs w:val="24"/>
        </w:rPr>
      </w:pPr>
      <w:r w:rsidRPr="00B83426">
        <w:rPr>
          <w:i/>
          <w:sz w:val="24"/>
          <w:szCs w:val="24"/>
        </w:rPr>
        <w:t>The development</w:t>
      </w:r>
      <w:r w:rsidR="00544593" w:rsidRPr="00B83426">
        <w:rPr>
          <w:i/>
          <w:sz w:val="24"/>
          <w:szCs w:val="24"/>
        </w:rPr>
        <w:t xml:space="preserve"> of the Night Time Economy </w:t>
      </w:r>
    </w:p>
    <w:p w14:paraId="1C864472" w14:textId="77777777" w:rsidR="00544593" w:rsidRPr="00B83426" w:rsidRDefault="00544593" w:rsidP="00810CC0">
      <w:pPr>
        <w:spacing w:line="240" w:lineRule="auto"/>
        <w:jc w:val="both"/>
        <w:rPr>
          <w:sz w:val="24"/>
          <w:szCs w:val="24"/>
        </w:rPr>
      </w:pPr>
      <w:r w:rsidRPr="00B83426">
        <w:rPr>
          <w:rFonts w:cs="Times New Roman"/>
          <w:sz w:val="24"/>
          <w:szCs w:val="24"/>
        </w:rPr>
        <w:t>Public drinking in the UK</w:t>
      </w:r>
      <w:r w:rsidR="000774BD" w:rsidRPr="00B83426">
        <w:rPr>
          <w:rFonts w:cs="Times New Roman"/>
          <w:sz w:val="24"/>
          <w:szCs w:val="24"/>
        </w:rPr>
        <w:t xml:space="preserve"> and</w:t>
      </w:r>
      <w:r w:rsidRPr="00B83426">
        <w:rPr>
          <w:rFonts w:cs="Times New Roman"/>
          <w:sz w:val="24"/>
          <w:szCs w:val="24"/>
        </w:rPr>
        <w:t xml:space="preserve"> other Western contexts has historically </w:t>
      </w:r>
      <w:r w:rsidR="008D0BF3" w:rsidRPr="00B83426">
        <w:rPr>
          <w:rFonts w:cs="Times New Roman"/>
          <w:sz w:val="24"/>
          <w:szCs w:val="24"/>
        </w:rPr>
        <w:t>been</w:t>
      </w:r>
      <w:r w:rsidRPr="00B83426">
        <w:rPr>
          <w:rFonts w:cs="Times New Roman"/>
          <w:sz w:val="24"/>
          <w:szCs w:val="24"/>
        </w:rPr>
        <w:t xml:space="preserve"> a masculine pastime</w:t>
      </w:r>
      <w:r w:rsidR="004045DE" w:rsidRPr="00B83426">
        <w:rPr>
          <w:rFonts w:cs="Times New Roman"/>
          <w:sz w:val="24"/>
          <w:szCs w:val="24"/>
        </w:rPr>
        <w:t xml:space="preserve"> (</w:t>
      </w:r>
      <w:proofErr w:type="spellStart"/>
      <w:r w:rsidR="004045DE" w:rsidRPr="00B83426">
        <w:rPr>
          <w:rFonts w:cs="Times New Roman"/>
          <w:sz w:val="24"/>
          <w:szCs w:val="24"/>
        </w:rPr>
        <w:t>Gofton</w:t>
      </w:r>
      <w:proofErr w:type="spellEnd"/>
      <w:r w:rsidR="004045DE" w:rsidRPr="00B83426">
        <w:rPr>
          <w:rFonts w:cs="Times New Roman"/>
          <w:sz w:val="24"/>
          <w:szCs w:val="24"/>
        </w:rPr>
        <w:t xml:space="preserve">, 1990), with </w:t>
      </w:r>
      <w:r w:rsidR="000774BD" w:rsidRPr="00B83426">
        <w:rPr>
          <w:rFonts w:cs="Times New Roman"/>
          <w:sz w:val="24"/>
          <w:szCs w:val="24"/>
        </w:rPr>
        <w:t>t</w:t>
      </w:r>
      <w:r w:rsidRPr="00B83426">
        <w:rPr>
          <w:rFonts w:cs="Times New Roman"/>
          <w:sz w:val="24"/>
          <w:szCs w:val="24"/>
        </w:rPr>
        <w:t>he</w:t>
      </w:r>
      <w:r w:rsidR="000774BD" w:rsidRPr="00B83426">
        <w:rPr>
          <w:rFonts w:cs="Times New Roman"/>
          <w:sz w:val="24"/>
          <w:szCs w:val="24"/>
        </w:rPr>
        <w:t xml:space="preserve"> working man’s club or</w:t>
      </w:r>
      <w:r w:rsidRPr="00B83426">
        <w:rPr>
          <w:rFonts w:cs="Times New Roman"/>
          <w:sz w:val="24"/>
          <w:szCs w:val="24"/>
        </w:rPr>
        <w:t xml:space="preserve"> community </w:t>
      </w:r>
      <w:r w:rsidR="000774BD" w:rsidRPr="00B83426">
        <w:rPr>
          <w:rFonts w:cs="Times New Roman"/>
          <w:sz w:val="24"/>
          <w:szCs w:val="24"/>
        </w:rPr>
        <w:t xml:space="preserve">pub </w:t>
      </w:r>
      <w:r w:rsidR="004045DE" w:rsidRPr="00B83426">
        <w:rPr>
          <w:rFonts w:cs="Times New Roman"/>
          <w:sz w:val="24"/>
          <w:szCs w:val="24"/>
        </w:rPr>
        <w:t xml:space="preserve">in industrial </w:t>
      </w:r>
      <w:r w:rsidR="005D720C" w:rsidRPr="00B83426">
        <w:rPr>
          <w:rFonts w:cs="Times New Roman"/>
          <w:sz w:val="24"/>
          <w:szCs w:val="24"/>
        </w:rPr>
        <w:t>villages, towns or cities</w:t>
      </w:r>
      <w:r w:rsidR="004045DE" w:rsidRPr="00B83426">
        <w:rPr>
          <w:rFonts w:cs="Times New Roman"/>
          <w:sz w:val="24"/>
          <w:szCs w:val="24"/>
        </w:rPr>
        <w:t xml:space="preserve"> representing</w:t>
      </w:r>
      <w:r w:rsidR="000774BD" w:rsidRPr="00B83426">
        <w:rPr>
          <w:rFonts w:cs="Times New Roman"/>
          <w:sz w:val="24"/>
          <w:szCs w:val="24"/>
        </w:rPr>
        <w:t xml:space="preserve"> a space where</w:t>
      </w:r>
      <w:r w:rsidRPr="00B83426">
        <w:rPr>
          <w:rFonts w:cs="Times New Roman"/>
          <w:sz w:val="24"/>
          <w:szCs w:val="24"/>
        </w:rPr>
        <w:t xml:space="preserve"> alcohol and masculinity symbolically inters</w:t>
      </w:r>
      <w:r w:rsidR="004045DE" w:rsidRPr="00B83426">
        <w:rPr>
          <w:rFonts w:cs="Times New Roman"/>
          <w:sz w:val="24"/>
          <w:szCs w:val="24"/>
        </w:rPr>
        <w:t xml:space="preserve">ected </w:t>
      </w:r>
      <w:r w:rsidR="000774BD" w:rsidRPr="00B83426">
        <w:rPr>
          <w:rFonts w:cs="Times New Roman"/>
          <w:sz w:val="24"/>
          <w:szCs w:val="24"/>
        </w:rPr>
        <w:t>(</w:t>
      </w:r>
      <w:r w:rsidR="00143F89" w:rsidRPr="00B83426">
        <w:rPr>
          <w:rFonts w:cs="Times New Roman"/>
          <w:sz w:val="24"/>
          <w:szCs w:val="24"/>
        </w:rPr>
        <w:t xml:space="preserve">Campbell, </w:t>
      </w:r>
      <w:r w:rsidR="000774BD" w:rsidRPr="00B83426">
        <w:rPr>
          <w:rFonts w:cs="Times New Roman"/>
          <w:sz w:val="24"/>
          <w:szCs w:val="24"/>
        </w:rPr>
        <w:t>2000)</w:t>
      </w:r>
      <w:r w:rsidRPr="00B83426">
        <w:rPr>
          <w:sz w:val="24"/>
          <w:szCs w:val="24"/>
        </w:rPr>
        <w:t>. By the 1990s,</w:t>
      </w:r>
      <w:r w:rsidR="000774BD" w:rsidRPr="00B83426">
        <w:rPr>
          <w:sz w:val="24"/>
          <w:szCs w:val="24"/>
        </w:rPr>
        <w:t xml:space="preserve"> the landscape of UK public drinking had shifted, and </w:t>
      </w:r>
      <w:r w:rsidRPr="00B83426">
        <w:rPr>
          <w:sz w:val="24"/>
          <w:szCs w:val="24"/>
        </w:rPr>
        <w:t xml:space="preserve">cities began </w:t>
      </w:r>
      <w:r w:rsidR="008D0BF3" w:rsidRPr="00B83426">
        <w:rPr>
          <w:sz w:val="24"/>
          <w:szCs w:val="24"/>
        </w:rPr>
        <w:t xml:space="preserve">to </w:t>
      </w:r>
      <w:r w:rsidRPr="00B83426">
        <w:rPr>
          <w:sz w:val="24"/>
          <w:szCs w:val="24"/>
        </w:rPr>
        <w:t xml:space="preserve">develop dedicated ‘Night Time Economies’ as an attempt to revive ailing urban areas and extend consumption opportunities in city centre spaces into the evening and late night. </w:t>
      </w:r>
      <w:r w:rsidRPr="00B83426">
        <w:rPr>
          <w:sz w:val="24"/>
          <w:szCs w:val="24"/>
        </w:rPr>
        <w:lastRenderedPageBreak/>
        <w:t xml:space="preserve">In this way, </w:t>
      </w:r>
      <w:r w:rsidRPr="00B83426">
        <w:rPr>
          <w:rFonts w:eastAsia="Times New Roman" w:cs="Times New Roman"/>
          <w:bCs/>
          <w:iCs/>
          <w:noProof/>
          <w:sz w:val="24"/>
          <w:szCs w:val="24"/>
          <w:lang w:eastAsia="en-GB"/>
        </w:rPr>
        <w:t xml:space="preserve">formerly industrial citites and towns became ‘remoulded as spheres of </w:t>
      </w:r>
      <w:r w:rsidR="00143F89" w:rsidRPr="00B83426">
        <w:rPr>
          <w:rFonts w:eastAsia="Times New Roman" w:cs="Times New Roman"/>
          <w:bCs/>
          <w:iCs/>
          <w:noProof/>
          <w:sz w:val="24"/>
          <w:szCs w:val="24"/>
          <w:lang w:eastAsia="en-GB"/>
        </w:rPr>
        <w:t xml:space="preserve">leisure and consumption’ (Smith, </w:t>
      </w:r>
      <w:r w:rsidRPr="00B83426">
        <w:rPr>
          <w:rFonts w:eastAsia="Times New Roman" w:cs="Times New Roman"/>
          <w:bCs/>
          <w:iCs/>
          <w:noProof/>
          <w:sz w:val="24"/>
          <w:szCs w:val="24"/>
          <w:lang w:eastAsia="en-GB"/>
        </w:rPr>
        <w:t>2014: 24).</w:t>
      </w:r>
    </w:p>
    <w:p w14:paraId="65FC9550" w14:textId="77777777" w:rsidR="00544593" w:rsidRPr="00B83426" w:rsidRDefault="00544593" w:rsidP="00810CC0">
      <w:pPr>
        <w:spacing w:line="240" w:lineRule="auto"/>
        <w:jc w:val="both"/>
        <w:rPr>
          <w:rFonts w:cs="Times New Roman"/>
          <w:sz w:val="24"/>
          <w:szCs w:val="24"/>
        </w:rPr>
      </w:pPr>
      <w:r w:rsidRPr="00B83426">
        <w:rPr>
          <w:rFonts w:cs="Times New Roman"/>
          <w:sz w:val="24"/>
          <w:szCs w:val="24"/>
        </w:rPr>
        <w:t>The term ‘Night Time Economy’ describes what Shaw terms ‘night-time economic activity, specifically, the entertainment and retail provisions of cities at night’ (2010: 893). Whilst early ambitions may have been to d</w:t>
      </w:r>
      <w:r w:rsidR="00143F89" w:rsidRPr="00B83426">
        <w:rPr>
          <w:rFonts w:cs="Times New Roman"/>
          <w:sz w:val="24"/>
          <w:szCs w:val="24"/>
        </w:rPr>
        <w:t>evelop UK urban spaces into ’24-</w:t>
      </w:r>
      <w:r w:rsidRPr="00B83426">
        <w:rPr>
          <w:rFonts w:cs="Times New Roman"/>
          <w:sz w:val="24"/>
          <w:szCs w:val="24"/>
        </w:rPr>
        <w:t>hour cities’ offering a continental-sty</w:t>
      </w:r>
      <w:r w:rsidR="00143F89" w:rsidRPr="00B83426">
        <w:rPr>
          <w:rFonts w:cs="Times New Roman"/>
          <w:sz w:val="24"/>
          <w:szCs w:val="24"/>
        </w:rPr>
        <w:t xml:space="preserve">le and cosmopolitan late-night </w:t>
      </w:r>
      <w:r w:rsidRPr="00B83426">
        <w:rPr>
          <w:rFonts w:cs="Times New Roman"/>
          <w:sz w:val="24"/>
          <w:szCs w:val="24"/>
        </w:rPr>
        <w:t>café cu</w:t>
      </w:r>
      <w:r w:rsidR="00143F89" w:rsidRPr="00B83426">
        <w:rPr>
          <w:rFonts w:cs="Times New Roman"/>
          <w:sz w:val="24"/>
          <w:szCs w:val="24"/>
        </w:rPr>
        <w:t>lture</w:t>
      </w:r>
      <w:r w:rsidRPr="00B83426">
        <w:rPr>
          <w:rFonts w:cs="Times New Roman"/>
          <w:sz w:val="24"/>
          <w:szCs w:val="24"/>
        </w:rPr>
        <w:t xml:space="preserve"> with a range of different social, cultural and leisure opportunities, </w:t>
      </w:r>
      <w:r w:rsidR="004045DE" w:rsidRPr="00B83426">
        <w:rPr>
          <w:rFonts w:cs="Times New Roman"/>
          <w:sz w:val="24"/>
          <w:szCs w:val="24"/>
        </w:rPr>
        <w:t>in reality, m</w:t>
      </w:r>
      <w:r w:rsidRPr="00B83426">
        <w:rPr>
          <w:rFonts w:cs="Times New Roman"/>
          <w:sz w:val="24"/>
          <w:szCs w:val="24"/>
        </w:rPr>
        <w:t xml:space="preserve">ost city centres </w:t>
      </w:r>
      <w:r w:rsidR="005D720C" w:rsidRPr="00B83426">
        <w:rPr>
          <w:rFonts w:cs="Times New Roman"/>
          <w:sz w:val="24"/>
          <w:szCs w:val="24"/>
        </w:rPr>
        <w:t xml:space="preserve">are characterised by </w:t>
      </w:r>
      <w:r w:rsidRPr="00B83426">
        <w:rPr>
          <w:rFonts w:cs="Times New Roman"/>
          <w:sz w:val="24"/>
          <w:szCs w:val="24"/>
        </w:rPr>
        <w:t>clusters of licensed, mainstrea</w:t>
      </w:r>
      <w:r w:rsidR="004045DE" w:rsidRPr="00B83426">
        <w:rPr>
          <w:rFonts w:cs="Times New Roman"/>
          <w:sz w:val="24"/>
          <w:szCs w:val="24"/>
        </w:rPr>
        <w:t xml:space="preserve">m </w:t>
      </w:r>
      <w:r w:rsidRPr="00B83426">
        <w:rPr>
          <w:rFonts w:cs="Times New Roman"/>
          <w:sz w:val="24"/>
          <w:szCs w:val="24"/>
        </w:rPr>
        <w:t>bars, pubs and clubs</w:t>
      </w:r>
      <w:r w:rsidR="004045DE" w:rsidRPr="00B83426">
        <w:rPr>
          <w:rFonts w:cs="Times New Roman"/>
          <w:sz w:val="24"/>
          <w:szCs w:val="24"/>
        </w:rPr>
        <w:t xml:space="preserve"> </w:t>
      </w:r>
      <w:r w:rsidRPr="00B83426">
        <w:rPr>
          <w:rFonts w:cs="Times New Roman"/>
          <w:sz w:val="24"/>
          <w:szCs w:val="24"/>
        </w:rPr>
        <w:t>target</w:t>
      </w:r>
      <w:r w:rsidR="004045DE" w:rsidRPr="00B83426">
        <w:rPr>
          <w:rFonts w:cs="Times New Roman"/>
          <w:sz w:val="24"/>
          <w:szCs w:val="24"/>
        </w:rPr>
        <w:t>ed at cash-rich young consumers</w:t>
      </w:r>
      <w:r w:rsidR="005D720C" w:rsidRPr="00B83426">
        <w:rPr>
          <w:rFonts w:cs="Times New Roman"/>
          <w:sz w:val="24"/>
          <w:szCs w:val="24"/>
        </w:rPr>
        <w:t xml:space="preserve"> and encouraging heavy and rapid consumption</w:t>
      </w:r>
      <w:r w:rsidRPr="00B83426">
        <w:rPr>
          <w:rFonts w:cs="Times New Roman"/>
          <w:sz w:val="24"/>
          <w:szCs w:val="24"/>
        </w:rPr>
        <w:t xml:space="preserve">. Any ambitions to create diverse, multi-purpose social and cultural late-night spaces have been further thwarted by </w:t>
      </w:r>
      <w:r w:rsidRPr="00B83426">
        <w:rPr>
          <w:sz w:val="24"/>
          <w:szCs w:val="24"/>
        </w:rPr>
        <w:t xml:space="preserve">liberalised planning laws that have given rise to a series of what Jayne </w:t>
      </w:r>
      <w:r w:rsidR="00886DFB" w:rsidRPr="00B83426">
        <w:rPr>
          <w:sz w:val="24"/>
          <w:szCs w:val="24"/>
        </w:rPr>
        <w:t>et al</w:t>
      </w:r>
      <w:r w:rsidRPr="00B83426">
        <w:rPr>
          <w:sz w:val="24"/>
          <w:szCs w:val="24"/>
        </w:rPr>
        <w:t xml:space="preserve"> (2011) wittily descri</w:t>
      </w:r>
      <w:r w:rsidR="00143F89" w:rsidRPr="00B83426">
        <w:rPr>
          <w:sz w:val="24"/>
          <w:szCs w:val="24"/>
        </w:rPr>
        <w:t>be as UK ‘</w:t>
      </w:r>
      <w:proofErr w:type="spellStart"/>
      <w:r w:rsidR="00143F89" w:rsidRPr="00B83426">
        <w:rPr>
          <w:sz w:val="24"/>
          <w:szCs w:val="24"/>
        </w:rPr>
        <w:t>blandscapes</w:t>
      </w:r>
      <w:proofErr w:type="spellEnd"/>
      <w:r w:rsidR="00143F89" w:rsidRPr="00B83426">
        <w:rPr>
          <w:sz w:val="24"/>
          <w:szCs w:val="24"/>
        </w:rPr>
        <w:t xml:space="preserve">’. </w:t>
      </w:r>
      <w:proofErr w:type="spellStart"/>
      <w:r w:rsidR="00143F89" w:rsidRPr="00B83426">
        <w:rPr>
          <w:sz w:val="24"/>
          <w:szCs w:val="24"/>
        </w:rPr>
        <w:t>Marketis</w:t>
      </w:r>
      <w:r w:rsidRPr="00B83426">
        <w:rPr>
          <w:sz w:val="24"/>
          <w:szCs w:val="24"/>
        </w:rPr>
        <w:t>ation</w:t>
      </w:r>
      <w:proofErr w:type="spellEnd"/>
      <w:r w:rsidRPr="00B83426">
        <w:rPr>
          <w:sz w:val="24"/>
          <w:szCs w:val="24"/>
        </w:rPr>
        <w:t xml:space="preserve"> and de-regulation has facilitated the growth of</w:t>
      </w:r>
      <w:r w:rsidR="004D0DB1" w:rsidRPr="00B83426">
        <w:rPr>
          <w:rFonts w:cs="Times New Roman"/>
          <w:sz w:val="24"/>
          <w:szCs w:val="24"/>
        </w:rPr>
        <w:t xml:space="preserve"> large corporations </w:t>
      </w:r>
      <w:r w:rsidRPr="00B83426">
        <w:rPr>
          <w:rFonts w:cs="Times New Roman"/>
          <w:sz w:val="24"/>
          <w:szCs w:val="24"/>
        </w:rPr>
        <w:t>and chain bars at the expense of local and independent venues (</w:t>
      </w:r>
      <w:r w:rsidRPr="00B83426">
        <w:rPr>
          <w:rFonts w:cs="Arial"/>
          <w:sz w:val="24"/>
          <w:szCs w:val="24"/>
        </w:rPr>
        <w:t>Shaw, 2010), to the point where many UK city centres now display</w:t>
      </w:r>
      <w:r w:rsidR="004045DE" w:rsidRPr="00B83426">
        <w:rPr>
          <w:rFonts w:cs="Arial"/>
          <w:sz w:val="24"/>
          <w:szCs w:val="24"/>
        </w:rPr>
        <w:t xml:space="preserve"> what Smith calls</w:t>
      </w:r>
      <w:r w:rsidRPr="00B83426">
        <w:rPr>
          <w:rFonts w:cs="Arial"/>
          <w:sz w:val="24"/>
          <w:szCs w:val="24"/>
        </w:rPr>
        <w:t xml:space="preserve"> </w:t>
      </w:r>
      <w:r w:rsidRPr="00B83426">
        <w:rPr>
          <w:sz w:val="24"/>
          <w:szCs w:val="24"/>
        </w:rPr>
        <w:t>‘an unavoidable element of uniformity that trans</w:t>
      </w:r>
      <w:r w:rsidR="00143F89" w:rsidRPr="00B83426">
        <w:rPr>
          <w:sz w:val="24"/>
          <w:szCs w:val="24"/>
        </w:rPr>
        <w:t>cends local specificity’ (</w:t>
      </w:r>
      <w:r w:rsidRPr="00B83426">
        <w:rPr>
          <w:sz w:val="24"/>
          <w:szCs w:val="24"/>
        </w:rPr>
        <w:t>2014: 11).</w:t>
      </w:r>
    </w:p>
    <w:p w14:paraId="25F91E57" w14:textId="77777777" w:rsidR="00544593" w:rsidRPr="00B83426" w:rsidRDefault="00544593" w:rsidP="00810CC0">
      <w:pPr>
        <w:spacing w:line="240" w:lineRule="auto"/>
        <w:jc w:val="both"/>
        <w:rPr>
          <w:sz w:val="24"/>
          <w:szCs w:val="24"/>
        </w:rPr>
      </w:pPr>
      <w:r w:rsidRPr="00B83426">
        <w:rPr>
          <w:sz w:val="24"/>
          <w:szCs w:val="24"/>
        </w:rPr>
        <w:t xml:space="preserve">Alongside the </w:t>
      </w:r>
      <w:r w:rsidR="008D0BF3" w:rsidRPr="00B83426">
        <w:rPr>
          <w:sz w:val="24"/>
          <w:szCs w:val="24"/>
        </w:rPr>
        <w:t>development</w:t>
      </w:r>
      <w:r w:rsidRPr="00B83426">
        <w:rPr>
          <w:sz w:val="24"/>
          <w:szCs w:val="24"/>
        </w:rPr>
        <w:t xml:space="preserve"> of the NTE</w:t>
      </w:r>
      <w:r w:rsidR="008D0BF3" w:rsidRPr="00B83426">
        <w:rPr>
          <w:sz w:val="24"/>
          <w:szCs w:val="24"/>
        </w:rPr>
        <w:t xml:space="preserve"> and its associated drinking expectations</w:t>
      </w:r>
      <w:r w:rsidRPr="00B83426">
        <w:rPr>
          <w:sz w:val="24"/>
          <w:szCs w:val="24"/>
        </w:rPr>
        <w:t>, women have become more active participants in night</w:t>
      </w:r>
      <w:r w:rsidR="00143F89" w:rsidRPr="00B83426">
        <w:rPr>
          <w:sz w:val="24"/>
          <w:szCs w:val="24"/>
        </w:rPr>
        <w:t>life and drinking spaces (</w:t>
      </w:r>
      <w:r w:rsidRPr="00B83426">
        <w:rPr>
          <w:sz w:val="24"/>
          <w:szCs w:val="24"/>
        </w:rPr>
        <w:t xml:space="preserve">Atkinson and </w:t>
      </w:r>
      <w:proofErr w:type="spellStart"/>
      <w:r w:rsidRPr="00B83426">
        <w:rPr>
          <w:sz w:val="24"/>
          <w:szCs w:val="24"/>
        </w:rPr>
        <w:t>Sumnall</w:t>
      </w:r>
      <w:proofErr w:type="spellEnd"/>
      <w:r w:rsidR="00143F89" w:rsidRPr="00B83426">
        <w:rPr>
          <w:sz w:val="24"/>
          <w:szCs w:val="24"/>
        </w:rPr>
        <w:t xml:space="preserve">, </w:t>
      </w:r>
      <w:r w:rsidRPr="00B83426">
        <w:rPr>
          <w:sz w:val="24"/>
          <w:szCs w:val="24"/>
        </w:rPr>
        <w:t>2016), at least in urban environments</w:t>
      </w:r>
      <w:r w:rsidRPr="00B83426">
        <w:rPr>
          <w:rStyle w:val="FootnoteReference"/>
          <w:sz w:val="24"/>
          <w:szCs w:val="24"/>
        </w:rPr>
        <w:footnoteReference w:id="1"/>
      </w:r>
      <w:r w:rsidRPr="00B83426">
        <w:rPr>
          <w:sz w:val="24"/>
          <w:szCs w:val="24"/>
        </w:rPr>
        <w:t xml:space="preserve">. The urban NTE has been theorised as an increasingly ‘feminised’ </w:t>
      </w:r>
      <w:r w:rsidR="00143F89" w:rsidRPr="00B83426">
        <w:rPr>
          <w:sz w:val="24"/>
          <w:szCs w:val="24"/>
        </w:rPr>
        <w:t>context</w:t>
      </w:r>
      <w:r w:rsidRPr="00B83426">
        <w:rPr>
          <w:sz w:val="24"/>
          <w:szCs w:val="24"/>
        </w:rPr>
        <w:t xml:space="preserve"> w</w:t>
      </w:r>
      <w:r w:rsidR="008D0BF3" w:rsidRPr="00B83426">
        <w:rPr>
          <w:sz w:val="24"/>
          <w:szCs w:val="24"/>
        </w:rPr>
        <w:t>here</w:t>
      </w:r>
      <w:r w:rsidRPr="00B83426">
        <w:rPr>
          <w:sz w:val="24"/>
          <w:szCs w:val="24"/>
        </w:rPr>
        <w:t xml:space="preserve"> broader changes in women’s social positions have allowed </w:t>
      </w:r>
      <w:r w:rsidR="00875766" w:rsidRPr="00B83426">
        <w:rPr>
          <w:sz w:val="24"/>
          <w:szCs w:val="24"/>
        </w:rPr>
        <w:t>them</w:t>
      </w:r>
      <w:r w:rsidRPr="00B83426">
        <w:rPr>
          <w:sz w:val="24"/>
          <w:szCs w:val="24"/>
        </w:rPr>
        <w:t xml:space="preserve"> to enter this traditionally male space (Jackson and </w:t>
      </w:r>
      <w:proofErr w:type="spellStart"/>
      <w:r w:rsidRPr="00B83426">
        <w:rPr>
          <w:sz w:val="24"/>
          <w:szCs w:val="24"/>
        </w:rPr>
        <w:t>Tinkler</w:t>
      </w:r>
      <w:proofErr w:type="spellEnd"/>
      <w:r w:rsidR="00143F89" w:rsidRPr="00B83426">
        <w:rPr>
          <w:sz w:val="24"/>
          <w:szCs w:val="24"/>
        </w:rPr>
        <w:t>,</w:t>
      </w:r>
      <w:r w:rsidRPr="00B83426">
        <w:rPr>
          <w:sz w:val="24"/>
          <w:szCs w:val="24"/>
        </w:rPr>
        <w:t xml:space="preserve"> 2007</w:t>
      </w:r>
      <w:r w:rsidR="004045DE" w:rsidRPr="00B83426">
        <w:rPr>
          <w:sz w:val="24"/>
          <w:szCs w:val="24"/>
        </w:rPr>
        <w:t xml:space="preserve">), although </w:t>
      </w:r>
      <w:r w:rsidR="00143F89" w:rsidRPr="00B83426">
        <w:rPr>
          <w:sz w:val="24"/>
          <w:szCs w:val="24"/>
        </w:rPr>
        <w:t xml:space="preserve">a more cynical view might regard </w:t>
      </w:r>
      <w:r w:rsidR="004045DE" w:rsidRPr="00B83426">
        <w:rPr>
          <w:sz w:val="24"/>
          <w:szCs w:val="24"/>
        </w:rPr>
        <w:t>this ‘feminisation’</w:t>
      </w:r>
      <w:r w:rsidR="00143F89" w:rsidRPr="00B83426">
        <w:rPr>
          <w:sz w:val="24"/>
          <w:szCs w:val="24"/>
        </w:rPr>
        <w:t xml:space="preserve"> as a move by the alcohol and nightlife industries </w:t>
      </w:r>
      <w:r w:rsidR="008D0BF3" w:rsidRPr="00B83426">
        <w:rPr>
          <w:sz w:val="24"/>
          <w:szCs w:val="24"/>
        </w:rPr>
        <w:t xml:space="preserve">to target women as a </w:t>
      </w:r>
      <w:r w:rsidR="004045DE" w:rsidRPr="00B83426">
        <w:rPr>
          <w:sz w:val="24"/>
          <w:szCs w:val="24"/>
        </w:rPr>
        <w:t>new</w:t>
      </w:r>
      <w:r w:rsidR="008D0BF3" w:rsidRPr="00B83426">
        <w:rPr>
          <w:sz w:val="24"/>
          <w:szCs w:val="24"/>
        </w:rPr>
        <w:t xml:space="preserve"> consumer market (</w:t>
      </w:r>
      <w:r w:rsidR="004D0DB1" w:rsidRPr="00B83426">
        <w:rPr>
          <w:sz w:val="24"/>
          <w:szCs w:val="24"/>
        </w:rPr>
        <w:t xml:space="preserve">Hollands and Chatterton, </w:t>
      </w:r>
      <w:r w:rsidR="004045DE" w:rsidRPr="00B83426">
        <w:rPr>
          <w:sz w:val="24"/>
          <w:szCs w:val="24"/>
        </w:rPr>
        <w:t>2002</w:t>
      </w:r>
      <w:r w:rsidR="008D0BF3" w:rsidRPr="00B83426">
        <w:rPr>
          <w:sz w:val="24"/>
          <w:szCs w:val="24"/>
        </w:rPr>
        <w:t xml:space="preserve">). </w:t>
      </w:r>
      <w:r w:rsidR="00143F89" w:rsidRPr="00B83426">
        <w:rPr>
          <w:sz w:val="24"/>
          <w:szCs w:val="24"/>
        </w:rPr>
        <w:t>T</w:t>
      </w:r>
      <w:r w:rsidR="00875766" w:rsidRPr="00B83426">
        <w:rPr>
          <w:sz w:val="24"/>
          <w:szCs w:val="24"/>
        </w:rPr>
        <w:t xml:space="preserve">he 1980s and </w:t>
      </w:r>
      <w:r w:rsidR="008D0BF3" w:rsidRPr="00B83426">
        <w:rPr>
          <w:sz w:val="24"/>
          <w:szCs w:val="24"/>
        </w:rPr>
        <w:t xml:space="preserve">1990s </w:t>
      </w:r>
      <w:r w:rsidR="00143F89" w:rsidRPr="00B83426">
        <w:rPr>
          <w:sz w:val="24"/>
          <w:szCs w:val="24"/>
        </w:rPr>
        <w:t xml:space="preserve">certainly </w:t>
      </w:r>
      <w:r w:rsidR="008D0BF3" w:rsidRPr="00B83426">
        <w:rPr>
          <w:sz w:val="24"/>
          <w:szCs w:val="24"/>
        </w:rPr>
        <w:t>saw an expansion of alcohol marketing t</w:t>
      </w:r>
      <w:r w:rsidR="00875766" w:rsidRPr="00B83426">
        <w:rPr>
          <w:sz w:val="24"/>
          <w:szCs w:val="24"/>
        </w:rPr>
        <w:t xml:space="preserve">o more explicitly target women </w:t>
      </w:r>
      <w:r w:rsidR="008D0BF3" w:rsidRPr="00B83426">
        <w:rPr>
          <w:rFonts w:cs="Arial"/>
          <w:sz w:val="24"/>
          <w:szCs w:val="24"/>
        </w:rPr>
        <w:t>(Ch</w:t>
      </w:r>
      <w:r w:rsidR="00143F89" w:rsidRPr="00B83426">
        <w:rPr>
          <w:rFonts w:cs="Arial"/>
          <w:sz w:val="24"/>
          <w:szCs w:val="24"/>
        </w:rPr>
        <w:t>atterton and Hollands 2003), but of course t</w:t>
      </w:r>
      <w:r w:rsidR="008D0BF3" w:rsidRPr="00B83426">
        <w:rPr>
          <w:rFonts w:cs="Arial"/>
          <w:sz w:val="24"/>
          <w:szCs w:val="24"/>
        </w:rPr>
        <w:t xml:space="preserve">his is not to say that clubbing and drinking are not important for women in the UK and beyond. </w:t>
      </w:r>
      <w:r w:rsidR="00875766" w:rsidRPr="00B83426">
        <w:rPr>
          <w:rFonts w:cs="Arial"/>
          <w:sz w:val="24"/>
          <w:szCs w:val="24"/>
        </w:rPr>
        <w:t>Research suggests that t</w:t>
      </w:r>
      <w:r w:rsidRPr="00B83426">
        <w:rPr>
          <w:rFonts w:cs="Arial"/>
          <w:sz w:val="24"/>
          <w:szCs w:val="24"/>
        </w:rPr>
        <w:t xml:space="preserve">he ‘night on the town’ </w:t>
      </w:r>
      <w:r w:rsidR="00875766" w:rsidRPr="00B83426">
        <w:rPr>
          <w:rFonts w:cs="Arial"/>
          <w:sz w:val="24"/>
          <w:szCs w:val="24"/>
        </w:rPr>
        <w:t>offers</w:t>
      </w:r>
      <w:r w:rsidRPr="00B83426">
        <w:rPr>
          <w:rFonts w:cs="Arial"/>
          <w:sz w:val="24"/>
          <w:szCs w:val="24"/>
        </w:rPr>
        <w:t xml:space="preserve"> important opportunities for young women to relax and escape from the often mundane reali</w:t>
      </w:r>
      <w:r w:rsidR="008D0BF3" w:rsidRPr="00B83426">
        <w:rPr>
          <w:rFonts w:cs="Arial"/>
          <w:sz w:val="24"/>
          <w:szCs w:val="24"/>
        </w:rPr>
        <w:t>ties of everyday life</w:t>
      </w:r>
      <w:r w:rsidR="005D720C" w:rsidRPr="00B83426">
        <w:rPr>
          <w:rFonts w:cs="Arial"/>
          <w:sz w:val="24"/>
          <w:szCs w:val="24"/>
        </w:rPr>
        <w:t xml:space="preserve"> (Guise and Gill, </w:t>
      </w:r>
      <w:r w:rsidR="004045DE" w:rsidRPr="00B83426">
        <w:rPr>
          <w:rFonts w:cs="Arial"/>
          <w:sz w:val="24"/>
          <w:szCs w:val="24"/>
        </w:rPr>
        <w:t>2007</w:t>
      </w:r>
      <w:r w:rsidRPr="00B83426">
        <w:rPr>
          <w:rFonts w:cs="Arial"/>
          <w:sz w:val="24"/>
          <w:szCs w:val="24"/>
        </w:rPr>
        <w:t>).</w:t>
      </w:r>
      <w:r w:rsidR="008D0BF3" w:rsidRPr="00B83426">
        <w:rPr>
          <w:sz w:val="24"/>
          <w:szCs w:val="24"/>
        </w:rPr>
        <w:t xml:space="preserve"> </w:t>
      </w:r>
      <w:r w:rsidR="0066718B" w:rsidRPr="00B83426">
        <w:rPr>
          <w:sz w:val="24"/>
          <w:szCs w:val="24"/>
        </w:rPr>
        <w:t>In particular, the under-researched pheno</w:t>
      </w:r>
      <w:r w:rsidR="00143F89" w:rsidRPr="00B83426">
        <w:rPr>
          <w:sz w:val="24"/>
          <w:szCs w:val="24"/>
        </w:rPr>
        <w:t xml:space="preserve">menon of the ‘girls’ night out’ </w:t>
      </w:r>
      <w:r w:rsidR="0066718B" w:rsidRPr="00B83426">
        <w:rPr>
          <w:sz w:val="24"/>
          <w:szCs w:val="24"/>
        </w:rPr>
        <w:t xml:space="preserve">may offer unique opportunities to socialise with </w:t>
      </w:r>
      <w:r w:rsidR="00875766" w:rsidRPr="00B83426">
        <w:rPr>
          <w:sz w:val="24"/>
          <w:szCs w:val="24"/>
        </w:rPr>
        <w:t xml:space="preserve">female </w:t>
      </w:r>
      <w:r w:rsidR="0066718B" w:rsidRPr="00B83426">
        <w:rPr>
          <w:sz w:val="24"/>
          <w:szCs w:val="24"/>
        </w:rPr>
        <w:t>friends and spend time away from work and domestic/ca</w:t>
      </w:r>
      <w:r w:rsidR="00143F89" w:rsidRPr="00B83426">
        <w:rPr>
          <w:sz w:val="24"/>
          <w:szCs w:val="24"/>
        </w:rPr>
        <w:t xml:space="preserve">ring responsibilities (Nicholls, </w:t>
      </w:r>
      <w:r w:rsidR="0066718B" w:rsidRPr="00B83426">
        <w:rPr>
          <w:sz w:val="24"/>
          <w:szCs w:val="24"/>
        </w:rPr>
        <w:t xml:space="preserve">2019). </w:t>
      </w:r>
      <w:r w:rsidR="00813923" w:rsidRPr="00B83426">
        <w:rPr>
          <w:sz w:val="24"/>
          <w:szCs w:val="24"/>
        </w:rPr>
        <w:t>The NTE has</w:t>
      </w:r>
      <w:r w:rsidR="008D0BF3" w:rsidRPr="00B83426">
        <w:rPr>
          <w:sz w:val="24"/>
          <w:szCs w:val="24"/>
        </w:rPr>
        <w:t xml:space="preserve"> also</w:t>
      </w:r>
      <w:r w:rsidR="00813923" w:rsidRPr="00B83426">
        <w:rPr>
          <w:sz w:val="24"/>
          <w:szCs w:val="24"/>
        </w:rPr>
        <w:t xml:space="preserve"> been conceptualised as a space where women can experiment with different fem</w:t>
      </w:r>
      <w:r w:rsidR="008D0BF3" w:rsidRPr="00B83426">
        <w:rPr>
          <w:sz w:val="24"/>
          <w:szCs w:val="24"/>
        </w:rPr>
        <w:t xml:space="preserve">inine identities (Hutton, 2006), </w:t>
      </w:r>
      <w:r w:rsidR="00813923" w:rsidRPr="00B83426">
        <w:rPr>
          <w:sz w:val="24"/>
          <w:szCs w:val="24"/>
        </w:rPr>
        <w:t xml:space="preserve">re-write </w:t>
      </w:r>
      <w:r w:rsidR="008D0BF3" w:rsidRPr="00B83426">
        <w:rPr>
          <w:sz w:val="24"/>
          <w:szCs w:val="24"/>
        </w:rPr>
        <w:t xml:space="preserve">gendered and </w:t>
      </w:r>
      <w:r w:rsidR="00813923" w:rsidRPr="00B83426">
        <w:rPr>
          <w:sz w:val="24"/>
          <w:szCs w:val="24"/>
        </w:rPr>
        <w:t>sexual scripts through shared embodied practices such as collective drinking (</w:t>
      </w:r>
      <w:proofErr w:type="spellStart"/>
      <w:r w:rsidR="00813923" w:rsidRPr="00B83426">
        <w:rPr>
          <w:sz w:val="24"/>
          <w:szCs w:val="24"/>
        </w:rPr>
        <w:t>Waitt</w:t>
      </w:r>
      <w:proofErr w:type="spellEnd"/>
      <w:r w:rsidR="00813923" w:rsidRPr="00B83426">
        <w:rPr>
          <w:sz w:val="24"/>
          <w:szCs w:val="24"/>
        </w:rPr>
        <w:t xml:space="preserve"> </w:t>
      </w:r>
      <w:r w:rsidR="00886DFB" w:rsidRPr="00B83426">
        <w:rPr>
          <w:sz w:val="24"/>
          <w:szCs w:val="24"/>
        </w:rPr>
        <w:t>et al</w:t>
      </w:r>
      <w:r w:rsidR="00813923" w:rsidRPr="00B83426">
        <w:rPr>
          <w:sz w:val="24"/>
          <w:szCs w:val="24"/>
        </w:rPr>
        <w:t>, 2011)</w:t>
      </w:r>
      <w:r w:rsidR="008D0BF3" w:rsidRPr="00B83426">
        <w:rPr>
          <w:sz w:val="24"/>
          <w:szCs w:val="24"/>
        </w:rPr>
        <w:t xml:space="preserve"> and use alcohol consumption to excuse behaviour that transgresses boundaries of acceptable femininity and sexuality (Peralta, 2008). However, it is important to consider the ways in which this might be more difficult for women who are positioned further from ‘respectable femininity’ in the first place due to – for example - the</w:t>
      </w:r>
      <w:r w:rsidR="00143F89" w:rsidRPr="00B83426">
        <w:rPr>
          <w:sz w:val="24"/>
          <w:szCs w:val="24"/>
        </w:rPr>
        <w:t>ir sexuality, race or class. Furthermore, the</w:t>
      </w:r>
      <w:r w:rsidR="008D0BF3" w:rsidRPr="00B83426">
        <w:rPr>
          <w:sz w:val="24"/>
          <w:szCs w:val="24"/>
        </w:rPr>
        <w:t xml:space="preserve"> ability </w:t>
      </w:r>
      <w:r w:rsidR="00143F89" w:rsidRPr="00B83426">
        <w:rPr>
          <w:sz w:val="24"/>
          <w:szCs w:val="24"/>
        </w:rPr>
        <w:t xml:space="preserve">of any woman </w:t>
      </w:r>
      <w:r w:rsidR="008D0BF3" w:rsidRPr="00B83426">
        <w:rPr>
          <w:sz w:val="24"/>
          <w:szCs w:val="24"/>
        </w:rPr>
        <w:t xml:space="preserve">to use the NTE as a space for escape, resistance or transgression is likely to be somewhat constrained by </w:t>
      </w:r>
      <w:r w:rsidR="00875766" w:rsidRPr="00B83426">
        <w:rPr>
          <w:sz w:val="24"/>
          <w:szCs w:val="24"/>
        </w:rPr>
        <w:t>concerns about risk and safety</w:t>
      </w:r>
      <w:r w:rsidR="00143F89" w:rsidRPr="00B83426">
        <w:rPr>
          <w:sz w:val="24"/>
          <w:szCs w:val="24"/>
        </w:rPr>
        <w:t>, as this chapter will illustrate</w:t>
      </w:r>
      <w:r w:rsidR="008D0BF3" w:rsidRPr="00B83426">
        <w:rPr>
          <w:sz w:val="24"/>
          <w:szCs w:val="24"/>
        </w:rPr>
        <w:t>.</w:t>
      </w:r>
    </w:p>
    <w:p w14:paraId="610DC83E" w14:textId="77777777" w:rsidR="00813923" w:rsidRPr="00B83426" w:rsidRDefault="00244927" w:rsidP="00810CC0">
      <w:pPr>
        <w:spacing w:line="240" w:lineRule="auto"/>
        <w:rPr>
          <w:i/>
          <w:noProof/>
          <w:sz w:val="24"/>
          <w:szCs w:val="24"/>
        </w:rPr>
      </w:pPr>
      <w:r w:rsidRPr="00B83426">
        <w:rPr>
          <w:i/>
          <w:noProof/>
          <w:sz w:val="24"/>
          <w:szCs w:val="24"/>
        </w:rPr>
        <w:t>Femininity, risk and gender-based v</w:t>
      </w:r>
      <w:r w:rsidR="00813923" w:rsidRPr="00B83426">
        <w:rPr>
          <w:i/>
          <w:noProof/>
          <w:sz w:val="24"/>
          <w:szCs w:val="24"/>
        </w:rPr>
        <w:t>iolence in the NTE</w:t>
      </w:r>
    </w:p>
    <w:p w14:paraId="68C7EE27" w14:textId="77777777" w:rsidR="008D0BF3" w:rsidRPr="00B83426" w:rsidRDefault="00544593" w:rsidP="00810CC0">
      <w:pPr>
        <w:spacing w:line="240" w:lineRule="auto"/>
        <w:jc w:val="both"/>
        <w:rPr>
          <w:sz w:val="24"/>
          <w:szCs w:val="24"/>
        </w:rPr>
      </w:pPr>
      <w:r w:rsidRPr="00B83426">
        <w:rPr>
          <w:sz w:val="24"/>
          <w:szCs w:val="24"/>
        </w:rPr>
        <w:t>T</w:t>
      </w:r>
      <w:r w:rsidRPr="00B83426">
        <w:rPr>
          <w:rFonts w:cs="Arial"/>
          <w:sz w:val="24"/>
          <w:szCs w:val="24"/>
        </w:rPr>
        <w:t>emporal distinctions clearly impact upon urban spaces, and engaging with the NTE marks a distinct way of experiencing the city after dark. The NTE can be understoo</w:t>
      </w:r>
      <w:r w:rsidRPr="00B83426">
        <w:rPr>
          <w:rFonts w:cs="Times New Roman"/>
          <w:sz w:val="24"/>
          <w:szCs w:val="24"/>
        </w:rPr>
        <w:t>d as a ‘liminal’ space of possibility and pleasure (</w:t>
      </w:r>
      <w:r w:rsidRPr="00B83426">
        <w:rPr>
          <w:noProof/>
          <w:sz w:val="24"/>
          <w:szCs w:val="24"/>
        </w:rPr>
        <w:t xml:space="preserve">Hayward and Hobbs 2007), where part of the attraction of the night may be navigating uncertainty, </w:t>
      </w:r>
      <w:r w:rsidR="005C4672" w:rsidRPr="00B83426">
        <w:rPr>
          <w:noProof/>
          <w:sz w:val="24"/>
          <w:szCs w:val="24"/>
        </w:rPr>
        <w:t>pleasure and risk</w:t>
      </w:r>
      <w:r w:rsidRPr="00B83426">
        <w:rPr>
          <w:noProof/>
          <w:sz w:val="24"/>
          <w:szCs w:val="24"/>
        </w:rPr>
        <w:t>.</w:t>
      </w:r>
      <w:r w:rsidR="008D0BF3" w:rsidRPr="00B83426">
        <w:rPr>
          <w:noProof/>
          <w:sz w:val="24"/>
          <w:szCs w:val="24"/>
        </w:rPr>
        <w:t xml:space="preserve"> </w:t>
      </w:r>
      <w:r w:rsidR="0066718B" w:rsidRPr="00B83426">
        <w:rPr>
          <w:noProof/>
          <w:sz w:val="24"/>
          <w:szCs w:val="24"/>
        </w:rPr>
        <w:t xml:space="preserve">However, </w:t>
      </w:r>
      <w:r w:rsidR="0066718B" w:rsidRPr="00B83426">
        <w:rPr>
          <w:sz w:val="24"/>
          <w:szCs w:val="24"/>
        </w:rPr>
        <w:t>negotiating</w:t>
      </w:r>
      <w:r w:rsidR="00813923" w:rsidRPr="00B83426">
        <w:rPr>
          <w:sz w:val="24"/>
          <w:szCs w:val="24"/>
        </w:rPr>
        <w:t xml:space="preserve"> these tensions </w:t>
      </w:r>
      <w:r w:rsidR="008D0BF3" w:rsidRPr="00B83426">
        <w:rPr>
          <w:sz w:val="24"/>
          <w:szCs w:val="24"/>
        </w:rPr>
        <w:lastRenderedPageBreak/>
        <w:t>may be difficult</w:t>
      </w:r>
      <w:r w:rsidR="00813923" w:rsidRPr="00B83426">
        <w:rPr>
          <w:sz w:val="24"/>
          <w:szCs w:val="24"/>
        </w:rPr>
        <w:t xml:space="preserve"> for women,</w:t>
      </w:r>
      <w:r w:rsidR="008D0BF3" w:rsidRPr="00B83426">
        <w:rPr>
          <w:sz w:val="24"/>
          <w:szCs w:val="24"/>
        </w:rPr>
        <w:t xml:space="preserve"> who have traditionally been denied access to late night leisure and are expected to engage in safekeeping practices as a ‘condition’ of their femininity. If we understand gender </w:t>
      </w:r>
      <w:r w:rsidR="005D296C" w:rsidRPr="00B83426">
        <w:rPr>
          <w:sz w:val="24"/>
          <w:szCs w:val="24"/>
        </w:rPr>
        <w:t>as</w:t>
      </w:r>
      <w:r w:rsidR="008D0BF3" w:rsidRPr="00B83426">
        <w:rPr>
          <w:sz w:val="24"/>
          <w:szCs w:val="24"/>
        </w:rPr>
        <w:t xml:space="preserve"> performative - in that bodies only become gendered through the continued repetition of behaviours, traits and practices that are associated with masculinity and femininity (Butler, 1990) – then bei</w:t>
      </w:r>
      <w:r w:rsidR="004045DE" w:rsidRPr="00B83426">
        <w:rPr>
          <w:sz w:val="24"/>
          <w:szCs w:val="24"/>
        </w:rPr>
        <w:t xml:space="preserve">ng risk-averse and adopting various ‘safekeeping’ practices </w:t>
      </w:r>
      <w:r w:rsidR="008D0BF3" w:rsidRPr="00B83426">
        <w:rPr>
          <w:sz w:val="24"/>
          <w:szCs w:val="24"/>
        </w:rPr>
        <w:t>is inextricably bound up with the performance of</w:t>
      </w:r>
      <w:r w:rsidR="00143F89" w:rsidRPr="00B83426">
        <w:rPr>
          <w:sz w:val="24"/>
          <w:szCs w:val="24"/>
        </w:rPr>
        <w:t xml:space="preserve"> appropriate femininity (Campbell, 2005). In other words,</w:t>
      </w:r>
      <w:r w:rsidR="008D0BF3" w:rsidRPr="00B83426">
        <w:rPr>
          <w:sz w:val="24"/>
          <w:szCs w:val="24"/>
        </w:rPr>
        <w:t xml:space="preserve"> women are charged with taking responsibility for their own safety and may be subjected to blame if they are seen to have made themse</w:t>
      </w:r>
      <w:r w:rsidR="00143F89" w:rsidRPr="00B83426">
        <w:rPr>
          <w:sz w:val="24"/>
          <w:szCs w:val="24"/>
        </w:rPr>
        <w:t>lves ‘vulnerable’ to GBV or other seemingly risky</w:t>
      </w:r>
      <w:r w:rsidR="008D0BF3" w:rsidRPr="00B83426">
        <w:rPr>
          <w:sz w:val="24"/>
          <w:szCs w:val="24"/>
        </w:rPr>
        <w:t xml:space="preserve"> encounters or situations through failing to adhere to standards of appropriate feminine behaviour </w:t>
      </w:r>
      <w:r w:rsidR="00143F89" w:rsidRPr="00B83426">
        <w:rPr>
          <w:noProof/>
          <w:sz w:val="24"/>
          <w:szCs w:val="24"/>
        </w:rPr>
        <w:t xml:space="preserve">(Brooks, </w:t>
      </w:r>
      <w:r w:rsidR="008D0BF3" w:rsidRPr="00B83426">
        <w:rPr>
          <w:noProof/>
          <w:sz w:val="24"/>
          <w:szCs w:val="24"/>
        </w:rPr>
        <w:t xml:space="preserve">2008; Tinkler </w:t>
      </w:r>
      <w:r w:rsidR="00886DFB" w:rsidRPr="00B83426">
        <w:rPr>
          <w:noProof/>
          <w:sz w:val="24"/>
          <w:szCs w:val="24"/>
        </w:rPr>
        <w:t>et al</w:t>
      </w:r>
      <w:r w:rsidR="00143F89" w:rsidRPr="00B83426">
        <w:rPr>
          <w:noProof/>
          <w:sz w:val="24"/>
          <w:szCs w:val="24"/>
        </w:rPr>
        <w:t>,</w:t>
      </w:r>
      <w:r w:rsidR="00143F89" w:rsidRPr="00B83426">
        <w:rPr>
          <w:i/>
          <w:noProof/>
          <w:sz w:val="24"/>
          <w:szCs w:val="24"/>
        </w:rPr>
        <w:t xml:space="preserve"> </w:t>
      </w:r>
      <w:r w:rsidR="008D0BF3" w:rsidRPr="00B83426">
        <w:rPr>
          <w:noProof/>
          <w:sz w:val="24"/>
          <w:szCs w:val="24"/>
        </w:rPr>
        <w:t>2018)</w:t>
      </w:r>
      <w:r w:rsidR="008D0BF3" w:rsidRPr="00B83426">
        <w:rPr>
          <w:sz w:val="24"/>
          <w:szCs w:val="24"/>
        </w:rPr>
        <w:t xml:space="preserve">. This may be even more significant for – for example - women of colour, disabled women, transwomen or women who identify as lesbian, bisexual, gay or queer, who may experience specific forms of GBV that </w:t>
      </w:r>
      <w:r w:rsidR="00143F89" w:rsidRPr="00B83426">
        <w:rPr>
          <w:sz w:val="24"/>
          <w:szCs w:val="24"/>
        </w:rPr>
        <w:t>are bound up with</w:t>
      </w:r>
      <w:r w:rsidR="008D0BF3" w:rsidRPr="00B83426">
        <w:rPr>
          <w:sz w:val="24"/>
          <w:szCs w:val="24"/>
        </w:rPr>
        <w:t xml:space="preserve"> racist, </w:t>
      </w:r>
      <w:proofErr w:type="spellStart"/>
      <w:r w:rsidR="008D0BF3" w:rsidRPr="00B83426">
        <w:rPr>
          <w:sz w:val="24"/>
          <w:szCs w:val="24"/>
        </w:rPr>
        <w:t>ableist</w:t>
      </w:r>
      <w:proofErr w:type="spellEnd"/>
      <w:r w:rsidR="008D0BF3" w:rsidRPr="00B83426">
        <w:rPr>
          <w:sz w:val="24"/>
          <w:szCs w:val="24"/>
        </w:rPr>
        <w:t xml:space="preserve">, transphobic or homophobic abuse. </w:t>
      </w:r>
    </w:p>
    <w:p w14:paraId="59084321" w14:textId="77777777" w:rsidR="0066718B" w:rsidRPr="00B83426" w:rsidRDefault="008D0BF3" w:rsidP="00810CC0">
      <w:pPr>
        <w:spacing w:line="240" w:lineRule="auto"/>
        <w:jc w:val="both"/>
        <w:rPr>
          <w:rFonts w:cs="Times New Roman"/>
          <w:sz w:val="24"/>
          <w:szCs w:val="24"/>
        </w:rPr>
      </w:pPr>
      <w:r w:rsidRPr="00B83426">
        <w:rPr>
          <w:sz w:val="24"/>
          <w:szCs w:val="24"/>
        </w:rPr>
        <w:t xml:space="preserve">The risks that women perceive and navigate are compounded in so-called ‘mainstream’ nightlife venues </w:t>
      </w:r>
      <w:r w:rsidR="00813923" w:rsidRPr="00B83426">
        <w:rPr>
          <w:sz w:val="24"/>
          <w:szCs w:val="24"/>
        </w:rPr>
        <w:t xml:space="preserve">where (hetero)sexualised patterns of interaction are normalised and </w:t>
      </w:r>
      <w:r w:rsidRPr="00B83426">
        <w:rPr>
          <w:sz w:val="24"/>
          <w:szCs w:val="24"/>
        </w:rPr>
        <w:t>magnified. As Lindsay (2006) suggests, mainstream venues tend to play popular / chart music and target</w:t>
      </w:r>
      <w:r w:rsidR="00501D64" w:rsidRPr="00B83426">
        <w:rPr>
          <w:sz w:val="24"/>
          <w:szCs w:val="24"/>
        </w:rPr>
        <w:t xml:space="preserve"> a specific, </w:t>
      </w:r>
      <w:r w:rsidRPr="00B83426">
        <w:rPr>
          <w:sz w:val="24"/>
          <w:szCs w:val="24"/>
        </w:rPr>
        <w:t xml:space="preserve">heterosexual </w:t>
      </w:r>
      <w:r w:rsidR="00501D64" w:rsidRPr="00B83426">
        <w:rPr>
          <w:sz w:val="24"/>
          <w:szCs w:val="24"/>
        </w:rPr>
        <w:t>consumer base</w:t>
      </w:r>
      <w:r w:rsidRPr="00B83426">
        <w:rPr>
          <w:sz w:val="24"/>
          <w:szCs w:val="24"/>
        </w:rPr>
        <w:t>. Indeed, an important feature of such spaces is their ‘</w:t>
      </w:r>
      <w:proofErr w:type="spellStart"/>
      <w:r w:rsidRPr="00B83426">
        <w:rPr>
          <w:sz w:val="24"/>
          <w:szCs w:val="24"/>
        </w:rPr>
        <w:t>heterosexualisation</w:t>
      </w:r>
      <w:proofErr w:type="spellEnd"/>
      <w:r w:rsidRPr="00B83426">
        <w:rPr>
          <w:sz w:val="24"/>
          <w:szCs w:val="24"/>
        </w:rPr>
        <w:t>’</w:t>
      </w:r>
      <w:r w:rsidR="00F47297" w:rsidRPr="00B83426">
        <w:rPr>
          <w:sz w:val="24"/>
          <w:szCs w:val="24"/>
        </w:rPr>
        <w:t>; t</w:t>
      </w:r>
      <w:r w:rsidR="0066718B" w:rsidRPr="00B83426">
        <w:rPr>
          <w:sz w:val="24"/>
          <w:szCs w:val="24"/>
        </w:rPr>
        <w:t xml:space="preserve">he </w:t>
      </w:r>
      <w:r w:rsidR="0066718B" w:rsidRPr="00B83426">
        <w:rPr>
          <w:rFonts w:cs="Times New Roman"/>
          <w:sz w:val="24"/>
          <w:szCs w:val="24"/>
        </w:rPr>
        <w:t>mainstream NTE is a site where music and dancing, dress and bodily presentation, atmosphere and alcohol consumption work to create a sexualised and heteronormative environment where certain patterns of interaction are encouraged (</w:t>
      </w:r>
      <w:proofErr w:type="spellStart"/>
      <w:r w:rsidR="0066718B" w:rsidRPr="00B83426">
        <w:rPr>
          <w:rFonts w:cs="Times New Roman"/>
          <w:sz w:val="24"/>
          <w:szCs w:val="24"/>
        </w:rPr>
        <w:t>Fileborn</w:t>
      </w:r>
      <w:proofErr w:type="spellEnd"/>
      <w:r w:rsidR="00143F89" w:rsidRPr="00B83426">
        <w:rPr>
          <w:rFonts w:cs="Times New Roman"/>
          <w:sz w:val="24"/>
          <w:szCs w:val="24"/>
        </w:rPr>
        <w:t>,</w:t>
      </w:r>
      <w:r w:rsidR="0066718B" w:rsidRPr="00B83426">
        <w:rPr>
          <w:rFonts w:cs="Times New Roman"/>
          <w:sz w:val="24"/>
          <w:szCs w:val="24"/>
        </w:rPr>
        <w:t xml:space="preserve"> 2016). </w:t>
      </w:r>
      <w:r w:rsidR="00143F89" w:rsidRPr="00B83426">
        <w:rPr>
          <w:rFonts w:cs="Times New Roman"/>
          <w:sz w:val="24"/>
          <w:szCs w:val="24"/>
        </w:rPr>
        <w:t>There is a broad</w:t>
      </w:r>
      <w:r w:rsidR="0066718B" w:rsidRPr="00B83426">
        <w:rPr>
          <w:rFonts w:cs="Times New Roman"/>
          <w:sz w:val="24"/>
          <w:szCs w:val="24"/>
        </w:rPr>
        <w:t xml:space="preserve"> expectation that men</w:t>
      </w:r>
      <w:r w:rsidR="00143F89" w:rsidRPr="00B83426">
        <w:rPr>
          <w:rFonts w:cs="Times New Roman"/>
          <w:sz w:val="24"/>
          <w:szCs w:val="24"/>
        </w:rPr>
        <w:t xml:space="preserve"> should</w:t>
      </w:r>
      <w:r w:rsidR="0066718B" w:rsidRPr="00B83426">
        <w:rPr>
          <w:rFonts w:cs="Times New Roman"/>
          <w:sz w:val="24"/>
          <w:szCs w:val="24"/>
        </w:rPr>
        <w:t xml:space="preserve"> </w:t>
      </w:r>
      <w:r w:rsidR="0066718B" w:rsidRPr="00B83426">
        <w:rPr>
          <w:sz w:val="24"/>
          <w:szCs w:val="24"/>
        </w:rPr>
        <w:t xml:space="preserve">‘pursue’ women in these spaces and act in sexually assertive ways whilst women remain passive </w:t>
      </w:r>
      <w:r w:rsidR="004045DE" w:rsidRPr="00B83426">
        <w:rPr>
          <w:sz w:val="24"/>
          <w:szCs w:val="24"/>
        </w:rPr>
        <w:t>(</w:t>
      </w:r>
      <w:proofErr w:type="spellStart"/>
      <w:r w:rsidR="004045DE" w:rsidRPr="00B83426">
        <w:rPr>
          <w:sz w:val="24"/>
          <w:szCs w:val="24"/>
        </w:rPr>
        <w:t>Kavanaugh</w:t>
      </w:r>
      <w:proofErr w:type="spellEnd"/>
      <w:r w:rsidR="004045DE" w:rsidRPr="00B83426">
        <w:rPr>
          <w:sz w:val="24"/>
          <w:szCs w:val="24"/>
        </w:rPr>
        <w:t xml:space="preserve">, </w:t>
      </w:r>
      <w:r w:rsidRPr="00B83426">
        <w:rPr>
          <w:sz w:val="24"/>
          <w:szCs w:val="24"/>
        </w:rPr>
        <w:t>2013)</w:t>
      </w:r>
      <w:r w:rsidR="00143F89" w:rsidRPr="00B83426">
        <w:rPr>
          <w:sz w:val="24"/>
          <w:szCs w:val="24"/>
        </w:rPr>
        <w:t>. Whilst this may of course be a p</w:t>
      </w:r>
      <w:r w:rsidR="0066718B" w:rsidRPr="00B83426">
        <w:rPr>
          <w:sz w:val="24"/>
          <w:szCs w:val="24"/>
        </w:rPr>
        <w:t xml:space="preserve">leasurable </w:t>
      </w:r>
      <w:r w:rsidR="00143F89" w:rsidRPr="00B83426">
        <w:rPr>
          <w:sz w:val="24"/>
          <w:szCs w:val="24"/>
        </w:rPr>
        <w:t xml:space="preserve">part of the night </w:t>
      </w:r>
      <w:r w:rsidR="0066718B" w:rsidRPr="00B83426">
        <w:rPr>
          <w:sz w:val="24"/>
          <w:szCs w:val="24"/>
        </w:rPr>
        <w:t>for revellers who may seek out or</w:t>
      </w:r>
      <w:r w:rsidR="00143F89" w:rsidRPr="00B83426">
        <w:rPr>
          <w:sz w:val="24"/>
          <w:szCs w:val="24"/>
        </w:rPr>
        <w:t xml:space="preserve"> desire sexual encounters</w:t>
      </w:r>
      <w:r w:rsidR="0066718B" w:rsidRPr="00B83426">
        <w:rPr>
          <w:rFonts w:cs="Times New Roman"/>
          <w:sz w:val="24"/>
          <w:szCs w:val="24"/>
        </w:rPr>
        <w:t>,</w:t>
      </w:r>
      <w:r w:rsidR="00C81846" w:rsidRPr="00B83426">
        <w:rPr>
          <w:rFonts w:cs="Times New Roman"/>
          <w:sz w:val="24"/>
          <w:szCs w:val="24"/>
        </w:rPr>
        <w:t xml:space="preserve"> it can be argued that</w:t>
      </w:r>
      <w:r w:rsidR="0066718B" w:rsidRPr="00B83426">
        <w:rPr>
          <w:rFonts w:cs="Times New Roman"/>
          <w:sz w:val="24"/>
          <w:szCs w:val="24"/>
        </w:rPr>
        <w:t xml:space="preserve"> the line between expected (hetero)sexualised patterns of interaction and unwanted sexual attention or harassment is a thin one, and this may contribute to the normalisation of </w:t>
      </w:r>
      <w:r w:rsidR="00143F89" w:rsidRPr="00B83426">
        <w:rPr>
          <w:rFonts w:cs="Times New Roman"/>
          <w:sz w:val="24"/>
          <w:szCs w:val="24"/>
        </w:rPr>
        <w:t xml:space="preserve">various </w:t>
      </w:r>
      <w:r w:rsidR="0066718B" w:rsidRPr="00B83426">
        <w:rPr>
          <w:rFonts w:cs="Times New Roman"/>
          <w:sz w:val="24"/>
          <w:szCs w:val="24"/>
        </w:rPr>
        <w:t>forms of GBV</w:t>
      </w:r>
      <w:r w:rsidRPr="00B83426">
        <w:rPr>
          <w:rFonts w:cs="Times New Roman"/>
          <w:sz w:val="24"/>
          <w:szCs w:val="24"/>
        </w:rPr>
        <w:t xml:space="preserve"> </w:t>
      </w:r>
      <w:r w:rsidR="0066718B" w:rsidRPr="00B83426">
        <w:rPr>
          <w:rFonts w:cs="Times New Roman"/>
          <w:sz w:val="24"/>
          <w:szCs w:val="24"/>
        </w:rPr>
        <w:t xml:space="preserve">in </w:t>
      </w:r>
      <w:r w:rsidR="004045DE" w:rsidRPr="00B83426">
        <w:rPr>
          <w:rFonts w:cs="Times New Roman"/>
          <w:sz w:val="24"/>
          <w:szCs w:val="24"/>
        </w:rPr>
        <w:t>these spaces</w:t>
      </w:r>
      <w:r w:rsidR="00143F89" w:rsidRPr="00B83426">
        <w:rPr>
          <w:rFonts w:cs="Times New Roman"/>
          <w:sz w:val="24"/>
          <w:szCs w:val="24"/>
        </w:rPr>
        <w:t xml:space="preserve"> </w:t>
      </w:r>
      <w:r w:rsidR="00143F89" w:rsidRPr="00B83426">
        <w:rPr>
          <w:sz w:val="24"/>
          <w:szCs w:val="24"/>
        </w:rPr>
        <w:t>(</w:t>
      </w:r>
      <w:proofErr w:type="spellStart"/>
      <w:r w:rsidR="00143F89" w:rsidRPr="00B83426">
        <w:rPr>
          <w:sz w:val="24"/>
          <w:szCs w:val="24"/>
        </w:rPr>
        <w:t>Tinkler</w:t>
      </w:r>
      <w:proofErr w:type="spellEnd"/>
      <w:r w:rsidR="00143F89" w:rsidRPr="00B83426">
        <w:rPr>
          <w:sz w:val="24"/>
          <w:szCs w:val="24"/>
        </w:rPr>
        <w:t xml:space="preserve"> et al,</w:t>
      </w:r>
      <w:r w:rsidR="00143F89" w:rsidRPr="00B83426">
        <w:rPr>
          <w:i/>
          <w:sz w:val="24"/>
          <w:szCs w:val="24"/>
        </w:rPr>
        <w:t xml:space="preserve"> </w:t>
      </w:r>
      <w:r w:rsidR="00143F89" w:rsidRPr="00B83426">
        <w:rPr>
          <w:sz w:val="24"/>
          <w:szCs w:val="24"/>
        </w:rPr>
        <w:t>2018).</w:t>
      </w:r>
    </w:p>
    <w:p w14:paraId="2D043795" w14:textId="77777777" w:rsidR="00813923" w:rsidRPr="00B83426" w:rsidRDefault="008D0BF3" w:rsidP="00810CC0">
      <w:pPr>
        <w:spacing w:line="240" w:lineRule="auto"/>
        <w:jc w:val="both"/>
        <w:rPr>
          <w:sz w:val="24"/>
          <w:szCs w:val="24"/>
        </w:rPr>
      </w:pPr>
      <w:r w:rsidRPr="00B83426">
        <w:rPr>
          <w:sz w:val="24"/>
          <w:szCs w:val="24"/>
        </w:rPr>
        <w:t>Previous research highlights the wide</w:t>
      </w:r>
      <w:r w:rsidR="0066718B" w:rsidRPr="00B83426">
        <w:rPr>
          <w:sz w:val="24"/>
          <w:szCs w:val="24"/>
        </w:rPr>
        <w:t xml:space="preserve"> range of</w:t>
      </w:r>
      <w:r w:rsidRPr="00B83426">
        <w:rPr>
          <w:sz w:val="24"/>
          <w:szCs w:val="24"/>
        </w:rPr>
        <w:t xml:space="preserve"> </w:t>
      </w:r>
      <w:r w:rsidR="0066718B" w:rsidRPr="00B83426">
        <w:rPr>
          <w:sz w:val="24"/>
          <w:szCs w:val="24"/>
        </w:rPr>
        <w:t xml:space="preserve">‘safekeeping’ </w:t>
      </w:r>
      <w:r w:rsidRPr="00B83426">
        <w:rPr>
          <w:sz w:val="24"/>
          <w:szCs w:val="24"/>
        </w:rPr>
        <w:t>strategies used by women to manage risk and safety in th</w:t>
      </w:r>
      <w:r w:rsidR="0066718B" w:rsidRPr="00B83426">
        <w:rPr>
          <w:sz w:val="24"/>
          <w:szCs w:val="24"/>
        </w:rPr>
        <w:t>e spac</w:t>
      </w:r>
      <w:r w:rsidR="00143F89" w:rsidRPr="00B83426">
        <w:rPr>
          <w:sz w:val="24"/>
          <w:szCs w:val="24"/>
        </w:rPr>
        <w:t xml:space="preserve">es of the NTE globally (see </w:t>
      </w:r>
      <w:r w:rsidR="0066718B" w:rsidRPr="00B83426">
        <w:rPr>
          <w:sz w:val="24"/>
          <w:szCs w:val="24"/>
        </w:rPr>
        <w:t>Brooks</w:t>
      </w:r>
      <w:r w:rsidR="00143F89" w:rsidRPr="00B83426">
        <w:rPr>
          <w:sz w:val="24"/>
          <w:szCs w:val="24"/>
        </w:rPr>
        <w:t xml:space="preserve">, 2008; </w:t>
      </w:r>
      <w:proofErr w:type="spellStart"/>
      <w:r w:rsidR="00143F89" w:rsidRPr="00B83426">
        <w:rPr>
          <w:sz w:val="24"/>
          <w:szCs w:val="24"/>
        </w:rPr>
        <w:t>Fileborn</w:t>
      </w:r>
      <w:proofErr w:type="spellEnd"/>
      <w:r w:rsidR="00143F89" w:rsidRPr="00B83426">
        <w:rPr>
          <w:sz w:val="24"/>
          <w:szCs w:val="24"/>
        </w:rPr>
        <w:t xml:space="preserve">, 2016; Nicholls, </w:t>
      </w:r>
      <w:r w:rsidR="0066718B" w:rsidRPr="00B83426">
        <w:rPr>
          <w:sz w:val="24"/>
          <w:szCs w:val="24"/>
        </w:rPr>
        <w:t xml:space="preserve">2017; </w:t>
      </w:r>
      <w:proofErr w:type="spellStart"/>
      <w:r w:rsidR="00143F89" w:rsidRPr="00B83426">
        <w:rPr>
          <w:sz w:val="24"/>
          <w:szCs w:val="24"/>
        </w:rPr>
        <w:t>Sheard</w:t>
      </w:r>
      <w:proofErr w:type="spellEnd"/>
      <w:r w:rsidR="00143F89" w:rsidRPr="00B83426">
        <w:rPr>
          <w:sz w:val="24"/>
          <w:szCs w:val="24"/>
        </w:rPr>
        <w:t xml:space="preserve">, 2011; </w:t>
      </w:r>
      <w:proofErr w:type="spellStart"/>
      <w:r w:rsidR="0066718B" w:rsidRPr="00B83426">
        <w:rPr>
          <w:sz w:val="24"/>
          <w:szCs w:val="24"/>
        </w:rPr>
        <w:t>Waitt</w:t>
      </w:r>
      <w:proofErr w:type="spellEnd"/>
      <w:r w:rsidR="0066718B" w:rsidRPr="00B83426">
        <w:rPr>
          <w:sz w:val="24"/>
          <w:szCs w:val="24"/>
        </w:rPr>
        <w:t xml:space="preserve"> </w:t>
      </w:r>
      <w:r w:rsidR="00886DFB" w:rsidRPr="00B83426">
        <w:rPr>
          <w:sz w:val="24"/>
          <w:szCs w:val="24"/>
        </w:rPr>
        <w:t>et al</w:t>
      </w:r>
      <w:r w:rsidR="0066718B" w:rsidRPr="00B83426">
        <w:rPr>
          <w:sz w:val="24"/>
          <w:szCs w:val="24"/>
        </w:rPr>
        <w:t>, 2011), inclu</w:t>
      </w:r>
      <w:r w:rsidR="00143F89" w:rsidRPr="00B83426">
        <w:rPr>
          <w:sz w:val="24"/>
          <w:szCs w:val="24"/>
        </w:rPr>
        <w:t xml:space="preserve">ding seeking safety in numbers, </w:t>
      </w:r>
      <w:r w:rsidR="0066718B" w:rsidRPr="00B83426">
        <w:rPr>
          <w:sz w:val="24"/>
          <w:szCs w:val="24"/>
        </w:rPr>
        <w:t>modera</w:t>
      </w:r>
      <w:r w:rsidR="00143F89" w:rsidRPr="00B83426">
        <w:rPr>
          <w:sz w:val="24"/>
          <w:szCs w:val="24"/>
        </w:rPr>
        <w:t xml:space="preserve">ting alcohol consumption </w:t>
      </w:r>
      <w:r w:rsidR="0066718B" w:rsidRPr="00B83426">
        <w:rPr>
          <w:sz w:val="24"/>
          <w:szCs w:val="24"/>
        </w:rPr>
        <w:t xml:space="preserve">and guarding drinks </w:t>
      </w:r>
      <w:r w:rsidR="005D720C" w:rsidRPr="00B83426">
        <w:rPr>
          <w:sz w:val="24"/>
          <w:szCs w:val="24"/>
        </w:rPr>
        <w:t xml:space="preserve">against </w:t>
      </w:r>
      <w:r w:rsidR="00143F89" w:rsidRPr="00B83426">
        <w:rPr>
          <w:sz w:val="24"/>
          <w:szCs w:val="24"/>
        </w:rPr>
        <w:t>‘spiking’</w:t>
      </w:r>
      <w:r w:rsidR="0066718B" w:rsidRPr="00B83426">
        <w:rPr>
          <w:sz w:val="24"/>
          <w:szCs w:val="24"/>
        </w:rPr>
        <w:t>. However, research that considers the ‘girls’ night out’ as a specific form of engagement with the NTE remains limited. This is an important omission as these types of night out may come with specific opportunities (for example to spend time with female friends) yet also with specific challenges (such as attendance at</w:t>
      </w:r>
      <w:r w:rsidR="004045DE" w:rsidRPr="00B83426">
        <w:rPr>
          <w:sz w:val="24"/>
          <w:szCs w:val="24"/>
        </w:rPr>
        <w:t xml:space="preserve"> mainstream </w:t>
      </w:r>
      <w:r w:rsidR="0066718B" w:rsidRPr="00B83426">
        <w:rPr>
          <w:sz w:val="24"/>
          <w:szCs w:val="24"/>
        </w:rPr>
        <w:t xml:space="preserve">venues in an all-female group, which may invite specific forms of harassment and unwanted attention). </w:t>
      </w:r>
      <w:proofErr w:type="spellStart"/>
      <w:r w:rsidR="00813923" w:rsidRPr="00B83426">
        <w:rPr>
          <w:sz w:val="24"/>
          <w:szCs w:val="24"/>
        </w:rPr>
        <w:t>Gunby</w:t>
      </w:r>
      <w:proofErr w:type="spellEnd"/>
      <w:r w:rsidR="00813923" w:rsidRPr="00B83426">
        <w:rPr>
          <w:sz w:val="24"/>
          <w:szCs w:val="24"/>
        </w:rPr>
        <w:t xml:space="preserve"> </w:t>
      </w:r>
      <w:r w:rsidR="00886DFB" w:rsidRPr="00B83426">
        <w:rPr>
          <w:sz w:val="24"/>
          <w:szCs w:val="24"/>
        </w:rPr>
        <w:t>et al</w:t>
      </w:r>
      <w:r w:rsidR="00813923" w:rsidRPr="00B83426">
        <w:rPr>
          <w:sz w:val="24"/>
          <w:szCs w:val="24"/>
        </w:rPr>
        <w:t xml:space="preserve"> (2020) argue that research into the specificities of the ‘unwanted sexual attention’ aspect of GBV in the NTE - and its management - remains limited in a UK context (see also </w:t>
      </w:r>
      <w:proofErr w:type="spellStart"/>
      <w:r w:rsidR="00813923" w:rsidRPr="00B83426">
        <w:rPr>
          <w:sz w:val="24"/>
          <w:szCs w:val="24"/>
        </w:rPr>
        <w:t>Anitha</w:t>
      </w:r>
      <w:proofErr w:type="spellEnd"/>
      <w:r w:rsidR="00813923" w:rsidRPr="00B83426">
        <w:rPr>
          <w:sz w:val="24"/>
          <w:szCs w:val="24"/>
        </w:rPr>
        <w:t xml:space="preserve"> </w:t>
      </w:r>
      <w:r w:rsidR="00886DFB" w:rsidRPr="00B83426">
        <w:rPr>
          <w:sz w:val="24"/>
          <w:szCs w:val="24"/>
        </w:rPr>
        <w:t>et al</w:t>
      </w:r>
      <w:r w:rsidR="00813923" w:rsidRPr="00B83426">
        <w:rPr>
          <w:sz w:val="24"/>
          <w:szCs w:val="24"/>
        </w:rPr>
        <w:t xml:space="preserve">, 2020). </w:t>
      </w:r>
      <w:r w:rsidRPr="00B83426">
        <w:rPr>
          <w:sz w:val="24"/>
          <w:szCs w:val="24"/>
        </w:rPr>
        <w:t>This chapter will address s</w:t>
      </w:r>
      <w:r w:rsidR="0066718B" w:rsidRPr="00B83426">
        <w:rPr>
          <w:sz w:val="24"/>
          <w:szCs w:val="24"/>
        </w:rPr>
        <w:t>ome of these limitations, drawing on primary research in the UK to illustrate the ways in which the</w:t>
      </w:r>
      <w:r w:rsidR="004045DE" w:rsidRPr="00B83426">
        <w:rPr>
          <w:sz w:val="24"/>
          <w:szCs w:val="24"/>
        </w:rPr>
        <w:t xml:space="preserve"> perception and </w:t>
      </w:r>
      <w:r w:rsidR="0066718B" w:rsidRPr="00B83426">
        <w:rPr>
          <w:sz w:val="24"/>
          <w:szCs w:val="24"/>
        </w:rPr>
        <w:t xml:space="preserve">management of GBV is a </w:t>
      </w:r>
      <w:proofErr w:type="spellStart"/>
      <w:r w:rsidR="0066718B" w:rsidRPr="00B83426">
        <w:rPr>
          <w:sz w:val="24"/>
          <w:szCs w:val="24"/>
        </w:rPr>
        <w:t>spatialised</w:t>
      </w:r>
      <w:proofErr w:type="spellEnd"/>
      <w:r w:rsidR="0066718B" w:rsidRPr="00B83426">
        <w:rPr>
          <w:sz w:val="24"/>
          <w:szCs w:val="24"/>
        </w:rPr>
        <w:t xml:space="preserve"> process in the context of a girls’ night out.</w:t>
      </w:r>
    </w:p>
    <w:p w14:paraId="15D52CDE" w14:textId="77777777" w:rsidR="00E6218A" w:rsidRPr="00B83426" w:rsidRDefault="00E6218A" w:rsidP="00810CC0">
      <w:pPr>
        <w:spacing w:line="240" w:lineRule="auto"/>
        <w:jc w:val="both"/>
        <w:rPr>
          <w:i/>
          <w:sz w:val="24"/>
          <w:szCs w:val="24"/>
        </w:rPr>
      </w:pPr>
      <w:r w:rsidRPr="00B83426">
        <w:rPr>
          <w:i/>
          <w:sz w:val="24"/>
          <w:szCs w:val="24"/>
        </w:rPr>
        <w:t>The Girls’ Night Out Project</w:t>
      </w:r>
    </w:p>
    <w:p w14:paraId="2E26FD0B" w14:textId="242D2167" w:rsidR="005D296C" w:rsidRPr="00B83426" w:rsidRDefault="004045DE" w:rsidP="00810CC0">
      <w:pPr>
        <w:spacing w:line="240" w:lineRule="auto"/>
        <w:jc w:val="both"/>
        <w:rPr>
          <w:sz w:val="24"/>
          <w:szCs w:val="24"/>
        </w:rPr>
      </w:pPr>
      <w:r w:rsidRPr="00B83426">
        <w:rPr>
          <w:sz w:val="24"/>
          <w:szCs w:val="24"/>
        </w:rPr>
        <w:t xml:space="preserve">Newcastle-upon-Tyne is the largest city in the </w:t>
      </w:r>
      <w:r w:rsidR="00724782">
        <w:rPr>
          <w:sz w:val="24"/>
          <w:szCs w:val="24"/>
        </w:rPr>
        <w:t>north-e</w:t>
      </w:r>
      <w:r w:rsidRPr="00B83426">
        <w:rPr>
          <w:sz w:val="24"/>
          <w:szCs w:val="24"/>
        </w:rPr>
        <w:t xml:space="preserve">ast of England; formerly known for shipbuilding and heavy industry, but with a more recent reputation as a vibrant ‘party city’ (Buckley and Fawcett, 2002). </w:t>
      </w:r>
      <w:r w:rsidRPr="00B83426">
        <w:rPr>
          <w:bCs/>
          <w:iCs/>
          <w:sz w:val="24"/>
          <w:szCs w:val="24"/>
        </w:rPr>
        <w:t xml:space="preserve">The NTE is similar to that of a large number of UK city centres </w:t>
      </w:r>
      <w:r w:rsidRPr="00B83426">
        <w:rPr>
          <w:bCs/>
          <w:iCs/>
          <w:sz w:val="24"/>
          <w:szCs w:val="24"/>
        </w:rPr>
        <w:lastRenderedPageBreak/>
        <w:t xml:space="preserve">with mostly mainstream nightlife but with small alternative or ‘niche’ scenes. </w:t>
      </w:r>
      <w:r w:rsidRPr="00B83426">
        <w:rPr>
          <w:sz w:val="24"/>
          <w:szCs w:val="24"/>
        </w:rPr>
        <w:t xml:space="preserve">In 2012 and 2013, semi-structured and in-depth interviews were conducted with 26 young women aged 18-25 who went on ‘girls’ nights out’ in Newcastle as part of a PhD project. </w:t>
      </w:r>
      <w:r w:rsidR="0066718B" w:rsidRPr="00B83426">
        <w:rPr>
          <w:rFonts w:cs="Arial"/>
          <w:sz w:val="24"/>
          <w:szCs w:val="24"/>
        </w:rPr>
        <w:t xml:space="preserve">Whilst it is important to recognise that women engage with the NTE </w:t>
      </w:r>
      <w:r w:rsidR="005D296C" w:rsidRPr="00B83426">
        <w:rPr>
          <w:rFonts w:cs="Arial"/>
          <w:sz w:val="24"/>
          <w:szCs w:val="24"/>
        </w:rPr>
        <w:t xml:space="preserve">in Newcastle </w:t>
      </w:r>
      <w:r w:rsidR="0066718B" w:rsidRPr="00B83426">
        <w:rPr>
          <w:rFonts w:cs="Arial"/>
          <w:sz w:val="24"/>
          <w:szCs w:val="24"/>
        </w:rPr>
        <w:t xml:space="preserve">in an array of ways, </w:t>
      </w:r>
      <w:r w:rsidR="00143F89" w:rsidRPr="00B83426">
        <w:rPr>
          <w:sz w:val="24"/>
          <w:szCs w:val="24"/>
        </w:rPr>
        <w:t xml:space="preserve">the interviews sought specifically to explore the ways in which the boundaries of ‘appropriate’ femininity were defined and negotiated through embodied practices in the specific and under-researched context of the girls’ night out. </w:t>
      </w:r>
    </w:p>
    <w:p w14:paraId="28C651E9" w14:textId="77777777" w:rsidR="005D296C" w:rsidRPr="00B83426" w:rsidRDefault="005D296C" w:rsidP="00810CC0">
      <w:pPr>
        <w:spacing w:line="240" w:lineRule="auto"/>
        <w:jc w:val="both"/>
        <w:rPr>
          <w:sz w:val="24"/>
          <w:szCs w:val="24"/>
        </w:rPr>
      </w:pPr>
      <w:r w:rsidRPr="00B83426">
        <w:rPr>
          <w:sz w:val="24"/>
          <w:szCs w:val="24"/>
        </w:rPr>
        <w:t>Participants were recruited through a range of methods including snowball sampling, social media posts and presentations at local college and university classes. There was some diversity in terms of sexuality (t</w:t>
      </w:r>
      <w:r w:rsidRPr="00B83426">
        <w:rPr>
          <w:rFonts w:cs="Arial"/>
          <w:sz w:val="24"/>
          <w:szCs w:val="24"/>
        </w:rPr>
        <w:t xml:space="preserve">wo-thirds identified as straight, 5 as bisexual, 4 as lesbian and 1 as queer) but less in terms of race (all participants identified as White British). </w:t>
      </w:r>
      <w:r w:rsidRPr="00B83426">
        <w:rPr>
          <w:sz w:val="24"/>
          <w:szCs w:val="24"/>
        </w:rPr>
        <w:t xml:space="preserve">Just under half self-identified as ‘working-class’, with the remainder saying they were ‘middle-class’ or ‘do not identify with a class’. Half of participants were not local to the city and were studying at one of the two Universities, 4 were local and had A-levels or were attending college and the remaining 9 were local and had attended / were attending University either in Newcastle </w:t>
      </w:r>
      <w:r w:rsidR="004045DE" w:rsidRPr="00B83426">
        <w:rPr>
          <w:sz w:val="24"/>
          <w:szCs w:val="24"/>
        </w:rPr>
        <w:t xml:space="preserve">or </w:t>
      </w:r>
      <w:r w:rsidRPr="00B83426">
        <w:rPr>
          <w:sz w:val="24"/>
          <w:szCs w:val="24"/>
        </w:rPr>
        <w:t xml:space="preserve">elsewhere. </w:t>
      </w:r>
      <w:r w:rsidR="000027A4" w:rsidRPr="00B83426">
        <w:rPr>
          <w:sz w:val="24"/>
          <w:szCs w:val="24"/>
        </w:rPr>
        <w:t>Some of the participants also self-identified as ‘Geordie’ (a term that can generally be argued to describe working-class people originally from the city).</w:t>
      </w:r>
    </w:p>
    <w:p w14:paraId="5B4112FD" w14:textId="77777777" w:rsidR="00143F89" w:rsidRPr="00B83426" w:rsidRDefault="00143F89" w:rsidP="00810CC0">
      <w:pPr>
        <w:spacing w:line="240" w:lineRule="auto"/>
        <w:jc w:val="both"/>
        <w:rPr>
          <w:bCs/>
          <w:iCs/>
          <w:sz w:val="24"/>
          <w:szCs w:val="24"/>
        </w:rPr>
      </w:pPr>
      <w:r w:rsidRPr="00B83426">
        <w:rPr>
          <w:sz w:val="24"/>
          <w:szCs w:val="24"/>
        </w:rPr>
        <w:t>Rich and in-depth data was collected, with the semi-structured approach</w:t>
      </w:r>
      <w:r w:rsidR="005D296C" w:rsidRPr="00B83426">
        <w:rPr>
          <w:sz w:val="24"/>
          <w:szCs w:val="24"/>
        </w:rPr>
        <w:t xml:space="preserve"> providing scope to uncover the ‘perceptions, attitudes and experiences’ of participants (</w:t>
      </w:r>
      <w:proofErr w:type="spellStart"/>
      <w:r w:rsidR="005D296C" w:rsidRPr="00B83426">
        <w:rPr>
          <w:sz w:val="24"/>
          <w:szCs w:val="24"/>
        </w:rPr>
        <w:t>Sheard</w:t>
      </w:r>
      <w:proofErr w:type="spellEnd"/>
      <w:r w:rsidR="005D296C" w:rsidRPr="00B83426">
        <w:rPr>
          <w:sz w:val="24"/>
          <w:szCs w:val="24"/>
        </w:rPr>
        <w:t>, 2011: 623). The young women were invited to talk through all aspects of a typical girls’ night out, positioning them as ‘authors of valid and reliable accounts of embodied</w:t>
      </w:r>
      <w:r w:rsidR="005D720C" w:rsidRPr="00B83426">
        <w:rPr>
          <w:sz w:val="24"/>
          <w:szCs w:val="24"/>
        </w:rPr>
        <w:t xml:space="preserve"> experience’ (Howson, 2005: 39). T</w:t>
      </w:r>
      <w:r w:rsidR="005D296C" w:rsidRPr="00B83426">
        <w:rPr>
          <w:sz w:val="24"/>
          <w:szCs w:val="24"/>
        </w:rPr>
        <w:t>here was widespread agreement amongst participants that this type of night is characterise</w:t>
      </w:r>
      <w:r w:rsidR="004045DE" w:rsidRPr="00B83426">
        <w:rPr>
          <w:sz w:val="24"/>
          <w:szCs w:val="24"/>
        </w:rPr>
        <w:t xml:space="preserve">d by attendance at </w:t>
      </w:r>
      <w:r w:rsidR="005D296C" w:rsidRPr="00B83426">
        <w:rPr>
          <w:sz w:val="24"/>
          <w:szCs w:val="24"/>
        </w:rPr>
        <w:t xml:space="preserve">mainstream nightlife venues with a group of female friends following an extended session of drinking and getting ready at the home of one friend. </w:t>
      </w:r>
      <w:r w:rsidR="00994BDF" w:rsidRPr="00B83426">
        <w:rPr>
          <w:sz w:val="24"/>
          <w:szCs w:val="24"/>
        </w:rPr>
        <w:t xml:space="preserve">Further discussion centred on themes such as dress and appearance, drinking practices and risk management. </w:t>
      </w:r>
      <w:r w:rsidRPr="00B83426">
        <w:rPr>
          <w:sz w:val="24"/>
          <w:szCs w:val="24"/>
        </w:rPr>
        <w:t>Interviews were recorde</w:t>
      </w:r>
      <w:r w:rsidR="003E77E7" w:rsidRPr="00B83426">
        <w:rPr>
          <w:sz w:val="24"/>
          <w:szCs w:val="24"/>
        </w:rPr>
        <w:t xml:space="preserve">d, transcribed, manually coded and subjected to thematic analysis. </w:t>
      </w:r>
      <w:r w:rsidR="00244927" w:rsidRPr="00B83426">
        <w:rPr>
          <w:bCs/>
          <w:iCs/>
          <w:sz w:val="24"/>
          <w:szCs w:val="24"/>
        </w:rPr>
        <w:t>All participants were given p</w:t>
      </w:r>
      <w:r w:rsidR="001D17BC" w:rsidRPr="00B83426">
        <w:rPr>
          <w:bCs/>
          <w:iCs/>
          <w:sz w:val="24"/>
          <w:szCs w:val="24"/>
        </w:rPr>
        <w:t xml:space="preserve">seudonyms </w:t>
      </w:r>
      <w:r w:rsidR="00244927" w:rsidRPr="00B83426">
        <w:rPr>
          <w:bCs/>
          <w:iCs/>
          <w:sz w:val="24"/>
          <w:szCs w:val="24"/>
        </w:rPr>
        <w:t>to help preserve anonymity</w:t>
      </w:r>
      <w:r w:rsidR="001D17BC" w:rsidRPr="00B83426">
        <w:rPr>
          <w:bCs/>
          <w:iCs/>
          <w:sz w:val="24"/>
          <w:szCs w:val="24"/>
        </w:rPr>
        <w:t>.</w:t>
      </w:r>
    </w:p>
    <w:p w14:paraId="6A82485A" w14:textId="6E485E61" w:rsidR="00190E75" w:rsidRPr="00B83426" w:rsidRDefault="00190E75" w:rsidP="00810CC0">
      <w:pPr>
        <w:spacing w:line="240" w:lineRule="auto"/>
        <w:jc w:val="both"/>
        <w:rPr>
          <w:i/>
          <w:sz w:val="24"/>
          <w:szCs w:val="24"/>
        </w:rPr>
      </w:pPr>
      <w:r w:rsidRPr="00B83426">
        <w:rPr>
          <w:i/>
          <w:sz w:val="24"/>
          <w:szCs w:val="24"/>
        </w:rPr>
        <w:t xml:space="preserve">‘Everywhere’: </w:t>
      </w:r>
      <w:r w:rsidR="00E81517">
        <w:rPr>
          <w:i/>
          <w:sz w:val="24"/>
          <w:szCs w:val="24"/>
        </w:rPr>
        <w:t>t</w:t>
      </w:r>
      <w:r w:rsidRPr="00B83426">
        <w:rPr>
          <w:i/>
          <w:sz w:val="24"/>
          <w:szCs w:val="24"/>
        </w:rPr>
        <w:t>he pervasive threat of gender-based violence on a Girls’ Night Out</w:t>
      </w:r>
    </w:p>
    <w:p w14:paraId="231E99BC" w14:textId="77777777" w:rsidR="004045DE" w:rsidRPr="00B83426" w:rsidRDefault="00501D64" w:rsidP="00810CC0">
      <w:pPr>
        <w:spacing w:line="240" w:lineRule="auto"/>
        <w:jc w:val="both"/>
        <w:rPr>
          <w:sz w:val="24"/>
          <w:szCs w:val="24"/>
        </w:rPr>
      </w:pPr>
      <w:r w:rsidRPr="00B83426">
        <w:rPr>
          <w:rFonts w:cs="Times New Roman"/>
          <w:sz w:val="24"/>
          <w:szCs w:val="24"/>
        </w:rPr>
        <w:t xml:space="preserve">Risk and safekeeping were seen as important considerations for almost all of the young women and many </w:t>
      </w:r>
      <w:r w:rsidR="004045DE" w:rsidRPr="00B83426">
        <w:rPr>
          <w:rFonts w:cs="Times New Roman"/>
          <w:sz w:val="24"/>
          <w:szCs w:val="24"/>
        </w:rPr>
        <w:t>discussed the topic extensively</w:t>
      </w:r>
      <w:r w:rsidRPr="00B83426">
        <w:rPr>
          <w:rFonts w:cs="Times New Roman"/>
          <w:sz w:val="24"/>
          <w:szCs w:val="24"/>
        </w:rPr>
        <w:t xml:space="preserve">. The ways in which assumptions about the NTE as a risky space came through in women’s discussions of drinking, dress and behaviour highlighted how considerations of risk and safety could be threaded throughout every aspect of the night out as young women continue to be expected to engage in active risk management </w:t>
      </w:r>
      <w:r w:rsidR="00994BDF" w:rsidRPr="00B83426">
        <w:rPr>
          <w:rFonts w:cs="Times New Roman"/>
          <w:sz w:val="24"/>
          <w:szCs w:val="24"/>
        </w:rPr>
        <w:t xml:space="preserve">in these contexts </w:t>
      </w:r>
      <w:r w:rsidR="00994BDF" w:rsidRPr="00B83426">
        <w:rPr>
          <w:rFonts w:cs="Times New Roman"/>
          <w:noProof/>
          <w:sz w:val="24"/>
          <w:szCs w:val="24"/>
        </w:rPr>
        <w:t xml:space="preserve">(Brooks, </w:t>
      </w:r>
      <w:r w:rsidRPr="00B83426">
        <w:rPr>
          <w:rFonts w:cs="Times New Roman"/>
          <w:noProof/>
          <w:sz w:val="24"/>
          <w:szCs w:val="24"/>
        </w:rPr>
        <w:t>2008).</w:t>
      </w:r>
      <w:r w:rsidR="004045DE" w:rsidRPr="00B83426">
        <w:rPr>
          <w:rFonts w:cs="Times New Roman"/>
          <w:noProof/>
          <w:sz w:val="24"/>
          <w:szCs w:val="24"/>
        </w:rPr>
        <w:t xml:space="preserve"> </w:t>
      </w:r>
      <w:r w:rsidR="00C87235" w:rsidRPr="00B83426">
        <w:rPr>
          <w:rFonts w:cs="Times New Roman"/>
          <w:noProof/>
          <w:sz w:val="24"/>
          <w:szCs w:val="24"/>
        </w:rPr>
        <w:t>The possibility of r</w:t>
      </w:r>
      <w:r w:rsidR="004045DE" w:rsidRPr="00B83426">
        <w:rPr>
          <w:sz w:val="24"/>
          <w:szCs w:val="24"/>
        </w:rPr>
        <w:t>ape or sexual assault</w:t>
      </w:r>
      <w:r w:rsidR="00C87235" w:rsidRPr="00B83426">
        <w:rPr>
          <w:sz w:val="24"/>
          <w:szCs w:val="24"/>
        </w:rPr>
        <w:t xml:space="preserve"> </w:t>
      </w:r>
      <w:r w:rsidR="004045DE" w:rsidRPr="00B83426">
        <w:rPr>
          <w:sz w:val="24"/>
          <w:szCs w:val="24"/>
        </w:rPr>
        <w:t xml:space="preserve">heavily policed the behaviour of </w:t>
      </w:r>
      <w:r w:rsidR="00C87235" w:rsidRPr="00B83426">
        <w:rPr>
          <w:sz w:val="24"/>
          <w:szCs w:val="24"/>
        </w:rPr>
        <w:t xml:space="preserve">participants; whilst none </w:t>
      </w:r>
      <w:r w:rsidR="004045DE" w:rsidRPr="00B83426">
        <w:rPr>
          <w:sz w:val="24"/>
          <w:szCs w:val="24"/>
        </w:rPr>
        <w:t>talked about directly experiencing this</w:t>
      </w:r>
      <w:r w:rsidR="00C87235" w:rsidRPr="00B83426">
        <w:rPr>
          <w:sz w:val="24"/>
          <w:szCs w:val="24"/>
        </w:rPr>
        <w:t xml:space="preserve"> in the NTE</w:t>
      </w:r>
      <w:r w:rsidR="004045DE" w:rsidRPr="00B83426">
        <w:rPr>
          <w:sz w:val="24"/>
          <w:szCs w:val="24"/>
        </w:rPr>
        <w:t xml:space="preserve"> (although of course this does not mean none had), the</w:t>
      </w:r>
      <w:r w:rsidR="00C87235" w:rsidRPr="00B83426">
        <w:rPr>
          <w:sz w:val="24"/>
          <w:szCs w:val="24"/>
        </w:rPr>
        <w:t xml:space="preserve"> mere </w:t>
      </w:r>
      <w:r w:rsidR="004045DE" w:rsidRPr="00B83426">
        <w:rPr>
          <w:sz w:val="24"/>
          <w:szCs w:val="24"/>
        </w:rPr>
        <w:t xml:space="preserve">threat of it shaped their experiences of a girls’ night out. </w:t>
      </w:r>
      <w:r w:rsidR="004045DE" w:rsidRPr="00B83426">
        <w:rPr>
          <w:rFonts w:cs="Times New Roman"/>
          <w:sz w:val="24"/>
          <w:szCs w:val="24"/>
        </w:rPr>
        <w:t xml:space="preserve">As </w:t>
      </w:r>
      <w:r w:rsidR="004045DE" w:rsidRPr="00B83426">
        <w:rPr>
          <w:rFonts w:cs="Times New Roman"/>
          <w:noProof/>
          <w:sz w:val="24"/>
          <w:szCs w:val="24"/>
        </w:rPr>
        <w:t>Campbell (2005)</w:t>
      </w:r>
      <w:r w:rsidR="004045DE" w:rsidRPr="00B83426">
        <w:rPr>
          <w:rFonts w:cs="Times New Roman"/>
          <w:sz w:val="24"/>
          <w:szCs w:val="24"/>
        </w:rPr>
        <w:t xml:space="preserve"> argues, the </w:t>
      </w:r>
      <w:r w:rsidR="004045DE" w:rsidRPr="00B83426">
        <w:rPr>
          <w:rFonts w:cs="Times New Roman"/>
          <w:i/>
          <w:sz w:val="24"/>
          <w:szCs w:val="24"/>
        </w:rPr>
        <w:t>fear</w:t>
      </w:r>
      <w:r w:rsidR="004045DE" w:rsidRPr="00B83426">
        <w:rPr>
          <w:rFonts w:cs="Times New Roman"/>
          <w:sz w:val="24"/>
          <w:szCs w:val="24"/>
        </w:rPr>
        <w:t xml:space="preserve"> of rape and sexual assault produces particular types of vulnerable, feminine bodies, makes GBV seem inevitable and affects women’s behaviour and the ways in which they move through and use space</w:t>
      </w:r>
      <w:r w:rsidR="004045DE" w:rsidRPr="00B83426">
        <w:rPr>
          <w:sz w:val="24"/>
          <w:szCs w:val="24"/>
        </w:rPr>
        <w:t>.</w:t>
      </w:r>
    </w:p>
    <w:p w14:paraId="67FC907E" w14:textId="77777777" w:rsidR="00501D64" w:rsidRPr="00B83426" w:rsidRDefault="00501D64" w:rsidP="00810CC0">
      <w:pPr>
        <w:spacing w:line="240" w:lineRule="auto"/>
        <w:jc w:val="both"/>
        <w:rPr>
          <w:sz w:val="24"/>
          <w:szCs w:val="24"/>
        </w:rPr>
      </w:pPr>
      <w:r w:rsidRPr="00B83426">
        <w:rPr>
          <w:sz w:val="24"/>
          <w:szCs w:val="24"/>
        </w:rPr>
        <w:t xml:space="preserve">Participants </w:t>
      </w:r>
      <w:r w:rsidR="00F96C86" w:rsidRPr="00B83426">
        <w:rPr>
          <w:sz w:val="24"/>
          <w:szCs w:val="24"/>
        </w:rPr>
        <w:t>remarked</w:t>
      </w:r>
      <w:r w:rsidRPr="00B83426">
        <w:rPr>
          <w:sz w:val="24"/>
          <w:szCs w:val="24"/>
        </w:rPr>
        <w:t xml:space="preserve"> that ‘unwanted attention’</w:t>
      </w:r>
      <w:r w:rsidR="00994BDF" w:rsidRPr="00B83426">
        <w:rPr>
          <w:sz w:val="24"/>
          <w:szCs w:val="24"/>
        </w:rPr>
        <w:t xml:space="preserve"> from men</w:t>
      </w:r>
      <w:r w:rsidRPr="00B83426">
        <w:rPr>
          <w:sz w:val="24"/>
          <w:szCs w:val="24"/>
        </w:rPr>
        <w:t xml:space="preserve"> was the most common form of GBV experienced when they were drinking and clubbing with female friends, suggesting a hesitance to overtly name sexual risks which is mirrored in other research with young women (Griffin </w:t>
      </w:r>
      <w:r w:rsidR="00886DFB" w:rsidRPr="00B83426">
        <w:rPr>
          <w:sz w:val="24"/>
          <w:szCs w:val="24"/>
        </w:rPr>
        <w:t>et al</w:t>
      </w:r>
      <w:r w:rsidR="00994BDF" w:rsidRPr="00B83426">
        <w:rPr>
          <w:sz w:val="24"/>
          <w:szCs w:val="24"/>
        </w:rPr>
        <w:t>,</w:t>
      </w:r>
      <w:r w:rsidRPr="00B83426">
        <w:rPr>
          <w:sz w:val="24"/>
          <w:szCs w:val="24"/>
        </w:rPr>
        <w:t xml:space="preserve"> 2009). Their understandings of ‘unwanted attention’ included acts which might be recognised legally as sexual offences or crimes, but also other behaviours that were </w:t>
      </w:r>
      <w:r w:rsidRPr="00B83426">
        <w:rPr>
          <w:sz w:val="24"/>
          <w:szCs w:val="24"/>
        </w:rPr>
        <w:lastRenderedPageBreak/>
        <w:t xml:space="preserve">nonetheless experienced as non-consensual, threatening and uncomfortable. </w:t>
      </w:r>
      <w:r w:rsidR="00C87235" w:rsidRPr="00B83426">
        <w:rPr>
          <w:sz w:val="24"/>
          <w:szCs w:val="24"/>
        </w:rPr>
        <w:t>The</w:t>
      </w:r>
      <w:r w:rsidR="00897FA9" w:rsidRPr="00B83426">
        <w:rPr>
          <w:sz w:val="24"/>
          <w:szCs w:val="24"/>
        </w:rPr>
        <w:t xml:space="preserve"> </w:t>
      </w:r>
      <w:r w:rsidRPr="00B83426">
        <w:rPr>
          <w:sz w:val="24"/>
          <w:szCs w:val="24"/>
        </w:rPr>
        <w:t>‘unwanted attention’</w:t>
      </w:r>
      <w:r w:rsidR="00897FA9" w:rsidRPr="00B83426">
        <w:rPr>
          <w:sz w:val="24"/>
          <w:szCs w:val="24"/>
        </w:rPr>
        <w:t xml:space="preserve"> participants </w:t>
      </w:r>
      <w:r w:rsidR="00C87235" w:rsidRPr="00B83426">
        <w:rPr>
          <w:sz w:val="24"/>
          <w:szCs w:val="24"/>
        </w:rPr>
        <w:t xml:space="preserve">reported they had received from men on a night out </w:t>
      </w:r>
      <w:r w:rsidR="00897FA9" w:rsidRPr="00B83426">
        <w:rPr>
          <w:sz w:val="24"/>
          <w:szCs w:val="24"/>
        </w:rPr>
        <w:t>included; feeling ‘watched’ or ‘stared at’; drink spiking; unsolicited conversations, catcalling, shouted comments or insults</w:t>
      </w:r>
      <w:r w:rsidR="004045DE" w:rsidRPr="00B83426">
        <w:rPr>
          <w:sz w:val="24"/>
          <w:szCs w:val="24"/>
        </w:rPr>
        <w:t xml:space="preserve"> and</w:t>
      </w:r>
      <w:r w:rsidR="00897FA9" w:rsidRPr="00B83426">
        <w:rPr>
          <w:sz w:val="24"/>
          <w:szCs w:val="24"/>
        </w:rPr>
        <w:t xml:space="preserve"> unwanted touching and groping</w:t>
      </w:r>
      <w:r w:rsidR="00994BDF" w:rsidRPr="00B83426">
        <w:rPr>
          <w:sz w:val="24"/>
          <w:szCs w:val="24"/>
        </w:rPr>
        <w:t xml:space="preserve"> (see also Brooks, </w:t>
      </w:r>
      <w:r w:rsidRPr="00B83426">
        <w:rPr>
          <w:sz w:val="24"/>
          <w:szCs w:val="24"/>
        </w:rPr>
        <w:t xml:space="preserve">2008; </w:t>
      </w:r>
      <w:proofErr w:type="spellStart"/>
      <w:r w:rsidRPr="00B83426">
        <w:rPr>
          <w:sz w:val="24"/>
          <w:szCs w:val="24"/>
        </w:rPr>
        <w:t>Fileborn</w:t>
      </w:r>
      <w:proofErr w:type="spellEnd"/>
      <w:r w:rsidR="00994BDF" w:rsidRPr="00B83426">
        <w:rPr>
          <w:sz w:val="24"/>
          <w:szCs w:val="24"/>
        </w:rPr>
        <w:t>,</w:t>
      </w:r>
      <w:r w:rsidRPr="00B83426">
        <w:rPr>
          <w:sz w:val="24"/>
          <w:szCs w:val="24"/>
        </w:rPr>
        <w:t xml:space="preserve"> 2016</w:t>
      </w:r>
      <w:r w:rsidR="005D720C" w:rsidRPr="00B83426">
        <w:rPr>
          <w:sz w:val="24"/>
          <w:szCs w:val="24"/>
        </w:rPr>
        <w:t xml:space="preserve">; </w:t>
      </w:r>
      <w:proofErr w:type="spellStart"/>
      <w:r w:rsidR="005D720C" w:rsidRPr="00B83426">
        <w:rPr>
          <w:sz w:val="24"/>
          <w:szCs w:val="24"/>
        </w:rPr>
        <w:t>Sheard</w:t>
      </w:r>
      <w:proofErr w:type="spellEnd"/>
      <w:r w:rsidR="005D720C" w:rsidRPr="00B83426">
        <w:rPr>
          <w:sz w:val="24"/>
          <w:szCs w:val="24"/>
        </w:rPr>
        <w:t>, 2011</w:t>
      </w:r>
      <w:r w:rsidRPr="00B83426">
        <w:rPr>
          <w:sz w:val="24"/>
          <w:szCs w:val="24"/>
        </w:rPr>
        <w:t>)</w:t>
      </w:r>
      <w:r w:rsidR="00897FA9" w:rsidRPr="00B83426">
        <w:rPr>
          <w:sz w:val="24"/>
          <w:szCs w:val="24"/>
        </w:rPr>
        <w:t xml:space="preserve">. </w:t>
      </w:r>
    </w:p>
    <w:p w14:paraId="5F4031C0" w14:textId="77777777" w:rsidR="00501D64" w:rsidRPr="00B83426" w:rsidRDefault="001D17BC" w:rsidP="00810CC0">
      <w:pPr>
        <w:spacing w:line="240" w:lineRule="auto"/>
        <w:jc w:val="both"/>
        <w:rPr>
          <w:sz w:val="24"/>
          <w:szCs w:val="24"/>
        </w:rPr>
      </w:pPr>
      <w:r w:rsidRPr="00B83426">
        <w:rPr>
          <w:sz w:val="24"/>
          <w:szCs w:val="24"/>
        </w:rPr>
        <w:t>One significant finding</w:t>
      </w:r>
      <w:r w:rsidR="00994BDF" w:rsidRPr="00B83426">
        <w:rPr>
          <w:sz w:val="24"/>
          <w:szCs w:val="24"/>
        </w:rPr>
        <w:t xml:space="preserve"> across the data</w:t>
      </w:r>
      <w:r w:rsidR="00501D64" w:rsidRPr="00B83426">
        <w:rPr>
          <w:sz w:val="24"/>
          <w:szCs w:val="24"/>
        </w:rPr>
        <w:t xml:space="preserve"> was the normalisation and – at times – the trivialisation of GBV in mainstream nightlife spaces. The participants associated </w:t>
      </w:r>
      <w:r w:rsidR="00501D64" w:rsidRPr="00B83426">
        <w:rPr>
          <w:i/>
          <w:sz w:val="24"/>
          <w:szCs w:val="24"/>
        </w:rPr>
        <w:t xml:space="preserve">all </w:t>
      </w:r>
      <w:r w:rsidR="00501D64" w:rsidRPr="00B83426">
        <w:rPr>
          <w:sz w:val="24"/>
          <w:szCs w:val="24"/>
        </w:rPr>
        <w:t>mainstream nightlife spaces with the risks of unwanted sexual attention and harassment and positioned this kind of interaction as inevitable and expected</w:t>
      </w:r>
      <w:r w:rsidR="00755AF2" w:rsidRPr="00B83426">
        <w:rPr>
          <w:sz w:val="24"/>
          <w:szCs w:val="24"/>
        </w:rPr>
        <w:t xml:space="preserve">. For example, Nicole described </w:t>
      </w:r>
      <w:r w:rsidR="00810CC0" w:rsidRPr="00B83426">
        <w:rPr>
          <w:sz w:val="24"/>
          <w:szCs w:val="24"/>
        </w:rPr>
        <w:t>being groped</w:t>
      </w:r>
      <w:r w:rsidR="00755AF2" w:rsidRPr="00B83426">
        <w:rPr>
          <w:sz w:val="24"/>
          <w:szCs w:val="24"/>
        </w:rPr>
        <w:t xml:space="preserve"> as ‘something which happens on a regular basis’, and went on to explain</w:t>
      </w:r>
      <w:r w:rsidR="00501D64" w:rsidRPr="00B83426">
        <w:rPr>
          <w:sz w:val="24"/>
          <w:szCs w:val="24"/>
        </w:rPr>
        <w:t>:</w:t>
      </w:r>
    </w:p>
    <w:p w14:paraId="3CC175E1" w14:textId="77777777" w:rsidR="00501D64" w:rsidRPr="00B83426" w:rsidRDefault="00810CC0" w:rsidP="00810CC0">
      <w:pPr>
        <w:spacing w:line="240" w:lineRule="auto"/>
        <w:ind w:left="360"/>
        <w:jc w:val="both"/>
        <w:rPr>
          <w:sz w:val="24"/>
          <w:szCs w:val="24"/>
        </w:rPr>
      </w:pPr>
      <w:r w:rsidRPr="00B83426">
        <w:rPr>
          <w:sz w:val="24"/>
          <w:szCs w:val="24"/>
        </w:rPr>
        <w:t>Things like that</w:t>
      </w:r>
      <w:r w:rsidR="00501D64" w:rsidRPr="00B83426">
        <w:rPr>
          <w:sz w:val="24"/>
          <w:szCs w:val="24"/>
        </w:rPr>
        <w:t xml:space="preserve">, you kind of let go. Are they acceptable? Probably not… But I think it would be </w:t>
      </w:r>
      <w:r w:rsidR="00501D64" w:rsidRPr="00B83426">
        <w:rPr>
          <w:i/>
          <w:iCs/>
          <w:sz w:val="24"/>
          <w:szCs w:val="24"/>
        </w:rPr>
        <w:t xml:space="preserve">worse </w:t>
      </w:r>
      <w:r w:rsidR="00501D64" w:rsidRPr="00B83426">
        <w:rPr>
          <w:sz w:val="24"/>
          <w:szCs w:val="24"/>
        </w:rPr>
        <w:t xml:space="preserve">in a supermarket because it’s not a social environment, really… You can kind of accept someone’s had a few drinks… bit cheeky… If they did it in a supermarket, I’d be like ‘what the hell are you doing?!’ I think that could be perceived as </w:t>
      </w:r>
      <w:r w:rsidR="00501D64" w:rsidRPr="00B83426">
        <w:rPr>
          <w:i/>
          <w:iCs/>
          <w:sz w:val="24"/>
          <w:szCs w:val="24"/>
        </w:rPr>
        <w:t>worse</w:t>
      </w:r>
      <w:r w:rsidR="00501D64" w:rsidRPr="00B83426">
        <w:rPr>
          <w:sz w:val="24"/>
          <w:szCs w:val="24"/>
        </w:rPr>
        <w:t>. I suppose it’s just</w:t>
      </w:r>
      <w:r w:rsidRPr="00B83426">
        <w:rPr>
          <w:sz w:val="24"/>
          <w:szCs w:val="24"/>
        </w:rPr>
        <w:t xml:space="preserve"> the atmosphere you’re in m</w:t>
      </w:r>
      <w:r w:rsidR="00501D64" w:rsidRPr="00B83426">
        <w:rPr>
          <w:sz w:val="24"/>
          <w:szCs w:val="24"/>
        </w:rPr>
        <w:t>ore than anything else. From a serious atmosphere to one where it’s a little bit silly, and everyone’s a bit drunk (Nicole, 24)</w:t>
      </w:r>
    </w:p>
    <w:p w14:paraId="64D41E7D" w14:textId="2B73DD45" w:rsidR="00810CC0" w:rsidRPr="00B83426" w:rsidRDefault="00F96C86" w:rsidP="00810CC0">
      <w:pPr>
        <w:spacing w:after="0" w:line="240" w:lineRule="auto"/>
        <w:jc w:val="both"/>
        <w:rPr>
          <w:sz w:val="24"/>
          <w:szCs w:val="24"/>
        </w:rPr>
      </w:pPr>
      <w:r w:rsidRPr="00B83426">
        <w:rPr>
          <w:sz w:val="24"/>
          <w:szCs w:val="24"/>
        </w:rPr>
        <w:t>Nicole’s comments echo</w:t>
      </w:r>
      <w:r w:rsidR="00501D64" w:rsidRPr="00B83426">
        <w:rPr>
          <w:sz w:val="24"/>
          <w:szCs w:val="24"/>
        </w:rPr>
        <w:t xml:space="preserve"> findings </w:t>
      </w:r>
      <w:r w:rsidR="00994BDF" w:rsidRPr="00B83426">
        <w:rPr>
          <w:sz w:val="24"/>
          <w:szCs w:val="24"/>
        </w:rPr>
        <w:t xml:space="preserve">reported elsewhere </w:t>
      </w:r>
      <w:r w:rsidR="00501D64" w:rsidRPr="00B83426">
        <w:rPr>
          <w:sz w:val="24"/>
          <w:szCs w:val="24"/>
        </w:rPr>
        <w:t>suggesting that sexual harassment and GBV are understood as ‘just what happens’ in the context of a night out (</w:t>
      </w:r>
      <w:proofErr w:type="spellStart"/>
      <w:r w:rsidR="00501D64" w:rsidRPr="00B83426">
        <w:rPr>
          <w:sz w:val="24"/>
          <w:szCs w:val="24"/>
        </w:rPr>
        <w:t>Anitha</w:t>
      </w:r>
      <w:proofErr w:type="spellEnd"/>
      <w:r w:rsidR="00501D64" w:rsidRPr="00B83426">
        <w:rPr>
          <w:sz w:val="24"/>
          <w:szCs w:val="24"/>
        </w:rPr>
        <w:t xml:space="preserve"> </w:t>
      </w:r>
      <w:r w:rsidR="00886DFB" w:rsidRPr="00B83426">
        <w:rPr>
          <w:sz w:val="24"/>
          <w:szCs w:val="24"/>
        </w:rPr>
        <w:t>et al</w:t>
      </w:r>
      <w:r w:rsidR="00501D64" w:rsidRPr="00B83426">
        <w:rPr>
          <w:sz w:val="24"/>
          <w:szCs w:val="24"/>
        </w:rPr>
        <w:t>, 2020).</w:t>
      </w:r>
      <w:r w:rsidRPr="00B83426">
        <w:rPr>
          <w:sz w:val="24"/>
          <w:szCs w:val="24"/>
        </w:rPr>
        <w:t xml:space="preserve"> S</w:t>
      </w:r>
      <w:r w:rsidR="00501D64" w:rsidRPr="00B83426">
        <w:rPr>
          <w:sz w:val="24"/>
          <w:szCs w:val="24"/>
        </w:rPr>
        <w:t>pace and context are important, as Nicole suggests that within the specific spatial and temporal contexts of the NTE, the ‘rules’ about appropriate conduct may be different to the rules in</w:t>
      </w:r>
      <w:r w:rsidR="00810CC0" w:rsidRPr="00B83426">
        <w:rPr>
          <w:sz w:val="24"/>
          <w:szCs w:val="24"/>
        </w:rPr>
        <w:t xml:space="preserve"> spaces such as supermarkets</w:t>
      </w:r>
      <w:r w:rsidR="00501D64" w:rsidRPr="00B83426">
        <w:rPr>
          <w:sz w:val="24"/>
          <w:szCs w:val="24"/>
        </w:rPr>
        <w:t xml:space="preserve">, echoing findings in previous research about the specific ways in which the context of the NTE excuses or even </w:t>
      </w:r>
      <w:r w:rsidR="00501D64" w:rsidRPr="00B83426">
        <w:rPr>
          <w:i/>
          <w:sz w:val="24"/>
          <w:szCs w:val="24"/>
        </w:rPr>
        <w:t>encourages</w:t>
      </w:r>
      <w:r w:rsidR="00501D64" w:rsidRPr="00B83426">
        <w:rPr>
          <w:sz w:val="24"/>
          <w:szCs w:val="24"/>
        </w:rPr>
        <w:t xml:space="preserve"> types of heterosexual interaction that </w:t>
      </w:r>
      <w:r w:rsidRPr="00B83426">
        <w:rPr>
          <w:sz w:val="24"/>
          <w:szCs w:val="24"/>
        </w:rPr>
        <w:t>would not</w:t>
      </w:r>
      <w:r w:rsidR="00501D64" w:rsidRPr="00B83426">
        <w:rPr>
          <w:sz w:val="24"/>
          <w:szCs w:val="24"/>
        </w:rPr>
        <w:t xml:space="preserve"> be permitted elsewhere (Boyd</w:t>
      </w:r>
      <w:r w:rsidR="00810CC0" w:rsidRPr="00B83426">
        <w:rPr>
          <w:sz w:val="24"/>
          <w:szCs w:val="24"/>
        </w:rPr>
        <w:t xml:space="preserve">, </w:t>
      </w:r>
      <w:r w:rsidR="00501D64" w:rsidRPr="00B83426">
        <w:rPr>
          <w:sz w:val="24"/>
          <w:szCs w:val="24"/>
        </w:rPr>
        <w:t xml:space="preserve">2010). </w:t>
      </w:r>
      <w:r w:rsidR="00994BDF" w:rsidRPr="00B83426">
        <w:rPr>
          <w:sz w:val="24"/>
          <w:szCs w:val="24"/>
        </w:rPr>
        <w:t>Some participants also reported that simply the</w:t>
      </w:r>
      <w:r w:rsidR="00D17C99" w:rsidRPr="00B83426">
        <w:rPr>
          <w:sz w:val="24"/>
          <w:szCs w:val="24"/>
        </w:rPr>
        <w:t xml:space="preserve"> </w:t>
      </w:r>
      <w:r w:rsidR="00994BDF" w:rsidRPr="00B83426">
        <w:rPr>
          <w:sz w:val="24"/>
          <w:szCs w:val="24"/>
        </w:rPr>
        <w:t xml:space="preserve">layout of mainstream venues could </w:t>
      </w:r>
      <w:r w:rsidR="00D17C99" w:rsidRPr="00B83426">
        <w:rPr>
          <w:sz w:val="24"/>
          <w:szCs w:val="24"/>
        </w:rPr>
        <w:t xml:space="preserve">make women feel more vulnerable (for example dancefloors in the centre of nightclubs with specific space around the edges for men to ‘watch’ women). </w:t>
      </w:r>
      <w:r w:rsidR="00501D64" w:rsidRPr="00B83426">
        <w:rPr>
          <w:sz w:val="24"/>
          <w:szCs w:val="24"/>
        </w:rPr>
        <w:t xml:space="preserve">Nicole also suggests that </w:t>
      </w:r>
      <w:r w:rsidRPr="00B83426">
        <w:rPr>
          <w:sz w:val="24"/>
          <w:szCs w:val="24"/>
        </w:rPr>
        <w:t xml:space="preserve">perpetrator </w:t>
      </w:r>
      <w:r w:rsidR="00501D64" w:rsidRPr="00B83426">
        <w:rPr>
          <w:sz w:val="24"/>
          <w:szCs w:val="24"/>
        </w:rPr>
        <w:t>drunkenness can</w:t>
      </w:r>
      <w:r w:rsidR="00C20665">
        <w:rPr>
          <w:sz w:val="24"/>
          <w:szCs w:val="24"/>
        </w:rPr>
        <w:t>, to an extent,</w:t>
      </w:r>
      <w:r w:rsidR="00501D64" w:rsidRPr="00B83426">
        <w:rPr>
          <w:sz w:val="24"/>
          <w:szCs w:val="24"/>
        </w:rPr>
        <w:t xml:space="preserve"> excuse certain behaviours that would not be acceptable in other, more ‘serious’ spaces (although of course, this is not to say that GBV does not routinely </w:t>
      </w:r>
      <w:r w:rsidR="00810CC0" w:rsidRPr="00B83426">
        <w:rPr>
          <w:sz w:val="24"/>
          <w:szCs w:val="24"/>
        </w:rPr>
        <w:t>occur</w:t>
      </w:r>
      <w:r w:rsidR="005D720C" w:rsidRPr="00B83426">
        <w:rPr>
          <w:sz w:val="24"/>
          <w:szCs w:val="24"/>
        </w:rPr>
        <w:t xml:space="preserve"> in those </w:t>
      </w:r>
      <w:r w:rsidR="00501D64" w:rsidRPr="00B83426">
        <w:rPr>
          <w:sz w:val="24"/>
          <w:szCs w:val="24"/>
        </w:rPr>
        <w:t xml:space="preserve">spaces). In this sense, alcohol </w:t>
      </w:r>
      <w:r w:rsidR="00994BDF" w:rsidRPr="00B83426">
        <w:rPr>
          <w:sz w:val="24"/>
          <w:szCs w:val="24"/>
        </w:rPr>
        <w:t xml:space="preserve">may </w:t>
      </w:r>
      <w:r w:rsidR="00501D64" w:rsidRPr="00B83426">
        <w:rPr>
          <w:sz w:val="24"/>
          <w:szCs w:val="24"/>
        </w:rPr>
        <w:t xml:space="preserve">function not just as an excuse for women to behave in transgressive ways but as an excuse for </w:t>
      </w:r>
      <w:r w:rsidR="00994BDF" w:rsidRPr="00B83426">
        <w:rPr>
          <w:sz w:val="24"/>
          <w:szCs w:val="24"/>
        </w:rPr>
        <w:t>the ‘cheeky’ behaviour of others that is experienced nonetheless as uncomfortable or unpleasant.</w:t>
      </w:r>
      <w:r w:rsidR="00810CC0" w:rsidRPr="00B83426">
        <w:rPr>
          <w:sz w:val="24"/>
          <w:szCs w:val="24"/>
        </w:rPr>
        <w:t xml:space="preserve"> </w:t>
      </w:r>
      <w:r w:rsidRPr="00B83426">
        <w:rPr>
          <w:sz w:val="24"/>
          <w:szCs w:val="24"/>
        </w:rPr>
        <w:t>T</w:t>
      </w:r>
      <w:r w:rsidR="00501D64" w:rsidRPr="00B83426">
        <w:rPr>
          <w:sz w:val="24"/>
          <w:szCs w:val="24"/>
        </w:rPr>
        <w:t>he belief that some degree of GBV is unavoidable and should be expected in these spaces was also reinforced through appeals to essentialist notions of male sexuality as somehow ‘naturally’ uncontrollable and uncontainable, as seen in Kate’s</w:t>
      </w:r>
      <w:r w:rsidR="00994BDF" w:rsidRPr="00B83426">
        <w:rPr>
          <w:sz w:val="24"/>
          <w:szCs w:val="24"/>
        </w:rPr>
        <w:t xml:space="preserve"> (20)</w:t>
      </w:r>
      <w:r w:rsidR="00501D64" w:rsidRPr="00B83426">
        <w:rPr>
          <w:sz w:val="24"/>
          <w:szCs w:val="24"/>
        </w:rPr>
        <w:t xml:space="preserve"> comment that ‘</w:t>
      </w:r>
      <w:r w:rsidR="00501D64" w:rsidRPr="00B83426">
        <w:rPr>
          <w:rFonts w:eastAsia="Times New Roman" w:cs="Times New Roman"/>
          <w:bCs/>
          <w:iCs/>
          <w:sz w:val="24"/>
          <w:szCs w:val="24"/>
          <w:lang w:eastAsia="en-GB"/>
        </w:rPr>
        <w:t>men think with their penises’ and are likely to be incited or aroused by women in these particular contexts who might be dressed – in her words - ‘more provocatively’</w:t>
      </w:r>
      <w:r w:rsidR="00501D64" w:rsidRPr="00B83426">
        <w:rPr>
          <w:sz w:val="24"/>
          <w:szCs w:val="24"/>
        </w:rPr>
        <w:t xml:space="preserve"> than in other settings. </w:t>
      </w:r>
      <w:r w:rsidR="00994BDF" w:rsidRPr="00B83426">
        <w:rPr>
          <w:sz w:val="24"/>
          <w:szCs w:val="24"/>
        </w:rPr>
        <w:t xml:space="preserve">This of course presents a source of tension for women who – as I have discussed elsewhere - are simultaneously expected </w:t>
      </w:r>
      <w:r w:rsidR="00994BDF" w:rsidRPr="00B83426">
        <w:rPr>
          <w:rFonts w:cs="Times New Roman"/>
          <w:sz w:val="24"/>
          <w:szCs w:val="24"/>
        </w:rPr>
        <w:t xml:space="preserve">to dress in particular ‘(hetero)sexy’ ways yet to avoid being seen to ‘lead guys on’ through their dress and appearance (Nicholls, 2017). </w:t>
      </w:r>
    </w:p>
    <w:p w14:paraId="38A294E0" w14:textId="77777777" w:rsidR="00324DC1" w:rsidRPr="00B83426" w:rsidRDefault="00994BDF" w:rsidP="00810CC0">
      <w:pPr>
        <w:spacing w:before="240" w:after="0" w:line="240" w:lineRule="auto"/>
        <w:jc w:val="both"/>
        <w:rPr>
          <w:sz w:val="24"/>
          <w:szCs w:val="24"/>
        </w:rPr>
      </w:pPr>
      <w:r w:rsidRPr="00B83426">
        <w:rPr>
          <w:sz w:val="24"/>
          <w:szCs w:val="24"/>
        </w:rPr>
        <w:t xml:space="preserve">A degree of unwanted attention was further normalised through the expectation that women should respond by simply deciding to ‘let it go’, as Nicole suggests. Whilst actions like being groped or harassed might be actively and assertively called out in other spaces, the expected response in the NTE might be to downplay or ignore such behaviour, </w:t>
      </w:r>
      <w:r w:rsidR="008C4991" w:rsidRPr="00B83426">
        <w:rPr>
          <w:sz w:val="24"/>
          <w:szCs w:val="24"/>
        </w:rPr>
        <w:t xml:space="preserve">as noted by other participants who </w:t>
      </w:r>
      <w:r w:rsidR="00810CC0" w:rsidRPr="00B83426">
        <w:rPr>
          <w:sz w:val="24"/>
          <w:szCs w:val="24"/>
        </w:rPr>
        <w:t xml:space="preserve">claimed </w:t>
      </w:r>
      <w:r w:rsidR="008C4991" w:rsidRPr="00B83426">
        <w:rPr>
          <w:sz w:val="24"/>
          <w:szCs w:val="24"/>
        </w:rPr>
        <w:t xml:space="preserve">that when they experience verbal or physical harassment their strategy is to ‘keep </w:t>
      </w:r>
      <w:proofErr w:type="spellStart"/>
      <w:r w:rsidR="008C4991" w:rsidRPr="00B83426">
        <w:rPr>
          <w:sz w:val="24"/>
          <w:szCs w:val="24"/>
        </w:rPr>
        <w:t>wur</w:t>
      </w:r>
      <w:proofErr w:type="spellEnd"/>
      <w:r w:rsidR="008C4991" w:rsidRPr="00B83426">
        <w:rPr>
          <w:sz w:val="24"/>
          <w:szCs w:val="24"/>
        </w:rPr>
        <w:t xml:space="preserve"> [our] heads down’ (Kirsty, 23), avoid a visible reaction or ‘just ignore </w:t>
      </w:r>
      <w:r w:rsidR="008C4991" w:rsidRPr="00B83426">
        <w:rPr>
          <w:sz w:val="24"/>
          <w:szCs w:val="24"/>
        </w:rPr>
        <w:lastRenderedPageBreak/>
        <w:t xml:space="preserve">it’ (Alex, 19). </w:t>
      </w:r>
      <w:r w:rsidR="00324DC1" w:rsidRPr="00B83426">
        <w:rPr>
          <w:sz w:val="24"/>
          <w:szCs w:val="24"/>
        </w:rPr>
        <w:t>Where such encounters might be more difficult to ignore completely, it was still important to c</w:t>
      </w:r>
      <w:r w:rsidRPr="00B83426">
        <w:rPr>
          <w:sz w:val="24"/>
          <w:szCs w:val="24"/>
        </w:rPr>
        <w:t>arefully diffuse an uncomfortable situation in a way that wo</w:t>
      </w:r>
      <w:r w:rsidR="00324DC1" w:rsidRPr="00B83426">
        <w:rPr>
          <w:sz w:val="24"/>
          <w:szCs w:val="24"/>
        </w:rPr>
        <w:t>uld not be confrontational:</w:t>
      </w:r>
    </w:p>
    <w:p w14:paraId="50362BB1" w14:textId="77777777" w:rsidR="00324DC1" w:rsidRPr="00B83426" w:rsidRDefault="00324DC1" w:rsidP="00810CC0">
      <w:pPr>
        <w:spacing w:after="0" w:line="240" w:lineRule="auto"/>
        <w:jc w:val="both"/>
        <w:rPr>
          <w:sz w:val="24"/>
          <w:szCs w:val="24"/>
        </w:rPr>
      </w:pPr>
    </w:p>
    <w:p w14:paraId="493708BB" w14:textId="77777777" w:rsidR="00324DC1" w:rsidRPr="00B83426" w:rsidRDefault="00324DC1" w:rsidP="00810CC0">
      <w:pPr>
        <w:spacing w:line="240" w:lineRule="auto"/>
        <w:ind w:left="360"/>
        <w:jc w:val="both"/>
        <w:rPr>
          <w:sz w:val="24"/>
          <w:szCs w:val="24"/>
        </w:rPr>
      </w:pPr>
      <w:r w:rsidRPr="00B83426">
        <w:rPr>
          <w:sz w:val="24"/>
          <w:szCs w:val="24"/>
        </w:rPr>
        <w:t xml:space="preserve">You don’t know what to </w:t>
      </w:r>
      <w:r w:rsidRPr="00B83426">
        <w:rPr>
          <w:i/>
          <w:iCs/>
          <w:sz w:val="24"/>
          <w:szCs w:val="24"/>
        </w:rPr>
        <w:t>say</w:t>
      </w:r>
      <w:r w:rsidRPr="00B83426">
        <w:rPr>
          <w:sz w:val="24"/>
          <w:szCs w:val="24"/>
        </w:rPr>
        <w:t xml:space="preserve">! You know... you don’t </w:t>
      </w:r>
      <w:proofErr w:type="spellStart"/>
      <w:r w:rsidRPr="00B83426">
        <w:rPr>
          <w:sz w:val="24"/>
          <w:szCs w:val="24"/>
        </w:rPr>
        <w:t>wanna</w:t>
      </w:r>
      <w:proofErr w:type="spellEnd"/>
      <w:r w:rsidRPr="00B83426">
        <w:rPr>
          <w:sz w:val="24"/>
          <w:szCs w:val="24"/>
        </w:rPr>
        <w:t xml:space="preserve"> say ‘oh bugger off’, so you try and talk, but you try and turn away as well... so you’re </w:t>
      </w:r>
      <w:proofErr w:type="spellStart"/>
      <w:r w:rsidRPr="00B83426">
        <w:rPr>
          <w:sz w:val="24"/>
          <w:szCs w:val="24"/>
        </w:rPr>
        <w:t>tryin</w:t>
      </w:r>
      <w:proofErr w:type="spellEnd"/>
      <w:r w:rsidRPr="00B83426">
        <w:rPr>
          <w:sz w:val="24"/>
          <w:szCs w:val="24"/>
        </w:rPr>
        <w:t xml:space="preserve">’ not to give them... I don’t know... without telling them to ‘eff off!’ [both laugh]... You have to keep </w:t>
      </w:r>
      <w:proofErr w:type="spellStart"/>
      <w:r w:rsidRPr="00B83426">
        <w:rPr>
          <w:sz w:val="24"/>
          <w:szCs w:val="24"/>
        </w:rPr>
        <w:t>jokin</w:t>
      </w:r>
      <w:proofErr w:type="spellEnd"/>
      <w:r w:rsidRPr="00B83426">
        <w:rPr>
          <w:sz w:val="24"/>
          <w:szCs w:val="24"/>
        </w:rPr>
        <w:t>’, make it awkward! (Joanna, 24)</w:t>
      </w:r>
    </w:p>
    <w:p w14:paraId="5F56C932" w14:textId="77777777" w:rsidR="00324DC1" w:rsidRPr="00B83426" w:rsidRDefault="00324DC1" w:rsidP="00810CC0">
      <w:pPr>
        <w:spacing w:after="0" w:line="240" w:lineRule="auto"/>
        <w:jc w:val="both"/>
        <w:rPr>
          <w:sz w:val="24"/>
          <w:szCs w:val="24"/>
        </w:rPr>
      </w:pPr>
      <w:r w:rsidRPr="00B83426">
        <w:rPr>
          <w:sz w:val="24"/>
          <w:szCs w:val="24"/>
        </w:rPr>
        <w:t>Referring here to situations where men persistently follow her, wolf-whistling and shouting to get her attention, Joanna describe</w:t>
      </w:r>
      <w:r w:rsidR="00E5511C" w:rsidRPr="00B83426">
        <w:rPr>
          <w:sz w:val="24"/>
          <w:szCs w:val="24"/>
        </w:rPr>
        <w:t xml:space="preserve">s the </w:t>
      </w:r>
      <w:r w:rsidR="00810CC0" w:rsidRPr="00B83426">
        <w:rPr>
          <w:sz w:val="24"/>
          <w:szCs w:val="24"/>
        </w:rPr>
        <w:t>avoidance</w:t>
      </w:r>
      <w:r w:rsidR="00E5511C" w:rsidRPr="00B83426">
        <w:rPr>
          <w:sz w:val="24"/>
          <w:szCs w:val="24"/>
        </w:rPr>
        <w:t xml:space="preserve"> of strategies that </w:t>
      </w:r>
      <w:r w:rsidR="00810CC0" w:rsidRPr="00B83426">
        <w:rPr>
          <w:sz w:val="24"/>
          <w:szCs w:val="24"/>
        </w:rPr>
        <w:t>might be seen as</w:t>
      </w:r>
      <w:r w:rsidRPr="00B83426">
        <w:rPr>
          <w:sz w:val="24"/>
          <w:szCs w:val="24"/>
        </w:rPr>
        <w:t xml:space="preserve"> confrontational. </w:t>
      </w:r>
      <w:r w:rsidR="005D720C" w:rsidRPr="00B83426">
        <w:rPr>
          <w:sz w:val="24"/>
          <w:szCs w:val="24"/>
        </w:rPr>
        <w:t>The implicat</w:t>
      </w:r>
      <w:r w:rsidRPr="00B83426">
        <w:rPr>
          <w:sz w:val="24"/>
          <w:szCs w:val="24"/>
        </w:rPr>
        <w:t>ion is that harassment from men should be managed it a way that doesn’t involve swearing or even risking making a situa</w:t>
      </w:r>
      <w:r w:rsidR="005D720C" w:rsidRPr="00B83426">
        <w:rPr>
          <w:sz w:val="24"/>
          <w:szCs w:val="24"/>
        </w:rPr>
        <w:t>tion feel ‘awkward’ in any way</w:t>
      </w:r>
      <w:r w:rsidRPr="00B83426">
        <w:rPr>
          <w:sz w:val="24"/>
          <w:szCs w:val="24"/>
        </w:rPr>
        <w:t>, perhaps through the use of humour or trying to turn away.</w:t>
      </w:r>
      <w:r w:rsidR="001D17BC" w:rsidRPr="00B83426">
        <w:rPr>
          <w:sz w:val="24"/>
          <w:szCs w:val="24"/>
        </w:rPr>
        <w:t xml:space="preserve"> </w:t>
      </w:r>
      <w:r w:rsidR="006517A7" w:rsidRPr="00B83426">
        <w:rPr>
          <w:sz w:val="24"/>
          <w:szCs w:val="24"/>
        </w:rPr>
        <w:t xml:space="preserve">Other participants, such as Donna (21), </w:t>
      </w:r>
      <w:r w:rsidR="00810CC0" w:rsidRPr="00B83426">
        <w:rPr>
          <w:sz w:val="24"/>
          <w:szCs w:val="24"/>
        </w:rPr>
        <w:t xml:space="preserve">also </w:t>
      </w:r>
      <w:r w:rsidR="006517A7" w:rsidRPr="00B83426">
        <w:rPr>
          <w:sz w:val="24"/>
          <w:szCs w:val="24"/>
        </w:rPr>
        <w:t xml:space="preserve">talked about the difficulties her heterosexual friends might experience in extracting themselves from particular scenarios on a night out without seeming ‘rude’, for example walking away after a man has bought them a drink or started to dance with them. </w:t>
      </w:r>
      <w:proofErr w:type="spellStart"/>
      <w:r w:rsidRPr="00B83426">
        <w:rPr>
          <w:sz w:val="24"/>
          <w:szCs w:val="24"/>
        </w:rPr>
        <w:t>Tinkler</w:t>
      </w:r>
      <w:proofErr w:type="spellEnd"/>
      <w:r w:rsidRPr="00B83426">
        <w:rPr>
          <w:sz w:val="24"/>
          <w:szCs w:val="24"/>
        </w:rPr>
        <w:t xml:space="preserve"> et al (2018) report similar findings, suggesting that ‘appropriate’ reactions to GBV are often limited to responses that are indirect, passive or even polite. </w:t>
      </w:r>
      <w:r w:rsidR="00E5511C" w:rsidRPr="00B83426">
        <w:rPr>
          <w:sz w:val="24"/>
          <w:szCs w:val="24"/>
        </w:rPr>
        <w:t xml:space="preserve">Of course, to react otherwise may risk escalating an uncomfortable or risky situation. </w:t>
      </w:r>
    </w:p>
    <w:p w14:paraId="1F716626" w14:textId="77777777" w:rsidR="00324DC1" w:rsidRPr="00B83426" w:rsidRDefault="00324DC1" w:rsidP="00810CC0">
      <w:pPr>
        <w:spacing w:after="0" w:line="240" w:lineRule="auto"/>
        <w:jc w:val="both"/>
        <w:rPr>
          <w:sz w:val="24"/>
          <w:szCs w:val="24"/>
        </w:rPr>
      </w:pPr>
    </w:p>
    <w:p w14:paraId="5C687142" w14:textId="4C9FDBF4" w:rsidR="00E5511C" w:rsidRPr="00B83426" w:rsidRDefault="00E81517" w:rsidP="00810CC0">
      <w:pPr>
        <w:spacing w:line="240" w:lineRule="auto"/>
        <w:jc w:val="both"/>
        <w:rPr>
          <w:i/>
          <w:sz w:val="24"/>
          <w:szCs w:val="24"/>
        </w:rPr>
      </w:pPr>
      <w:r>
        <w:rPr>
          <w:i/>
          <w:sz w:val="24"/>
          <w:szCs w:val="24"/>
        </w:rPr>
        <w:t>‘Over there’: c</w:t>
      </w:r>
      <w:r w:rsidR="00E6218A" w:rsidRPr="00B83426">
        <w:rPr>
          <w:i/>
          <w:sz w:val="24"/>
          <w:szCs w:val="24"/>
        </w:rPr>
        <w:t>reating ‘ris</w:t>
      </w:r>
      <w:r w:rsidR="00E5511C" w:rsidRPr="00B83426">
        <w:rPr>
          <w:i/>
          <w:sz w:val="24"/>
          <w:szCs w:val="24"/>
        </w:rPr>
        <w:t>ky spaces’ on a Girls’ Night Out</w:t>
      </w:r>
    </w:p>
    <w:p w14:paraId="2DCDC652" w14:textId="77777777" w:rsidR="00E5511C" w:rsidRPr="00B83426" w:rsidRDefault="00E5511C" w:rsidP="00810CC0">
      <w:pPr>
        <w:spacing w:line="240" w:lineRule="auto"/>
        <w:jc w:val="both"/>
        <w:rPr>
          <w:sz w:val="24"/>
          <w:szCs w:val="24"/>
        </w:rPr>
      </w:pPr>
      <w:r w:rsidRPr="00B83426">
        <w:rPr>
          <w:sz w:val="24"/>
          <w:szCs w:val="24"/>
        </w:rPr>
        <w:t xml:space="preserve">There was agreement across the interviews that simply to enter the mainstream NTE is to enter a space where women may experience forms of GBV. However, whilst this was positioned as something pervasive, unavoidable, and perhaps expected on a night out, the participants simultaneously worked to ‘contain’ risk by associating it with particular venues or areas within Newcastle’s city centre. </w:t>
      </w:r>
      <w:r w:rsidR="00810CC0" w:rsidRPr="00B83426">
        <w:rPr>
          <w:sz w:val="24"/>
          <w:szCs w:val="24"/>
        </w:rPr>
        <w:t xml:space="preserve">As Holt and Griffin (2005) also suggest, risk management in the NTE is likely to be </w:t>
      </w:r>
      <w:proofErr w:type="spellStart"/>
      <w:r w:rsidR="00810CC0" w:rsidRPr="00B83426">
        <w:rPr>
          <w:sz w:val="24"/>
          <w:szCs w:val="24"/>
        </w:rPr>
        <w:t>spatialised</w:t>
      </w:r>
      <w:proofErr w:type="spellEnd"/>
      <w:r w:rsidR="00810CC0" w:rsidRPr="00B83426">
        <w:rPr>
          <w:sz w:val="24"/>
          <w:szCs w:val="24"/>
        </w:rPr>
        <w:t>, for example through the ways women move through public space after dark or make choices about venues to frequent or avoid.</w:t>
      </w:r>
    </w:p>
    <w:p w14:paraId="4A3E0D5B" w14:textId="77777777" w:rsidR="00190E75" w:rsidRPr="00B83426" w:rsidRDefault="00E5511C" w:rsidP="00810CC0">
      <w:pPr>
        <w:spacing w:line="240" w:lineRule="auto"/>
        <w:jc w:val="both"/>
        <w:rPr>
          <w:sz w:val="24"/>
          <w:szCs w:val="24"/>
        </w:rPr>
      </w:pPr>
      <w:r w:rsidRPr="00B83426">
        <w:rPr>
          <w:sz w:val="24"/>
          <w:szCs w:val="24"/>
        </w:rPr>
        <w:t>All participants carved the city centre into particular zones or areas</w:t>
      </w:r>
      <w:r w:rsidRPr="00B83426">
        <w:rPr>
          <w:bCs/>
          <w:iCs/>
          <w:sz w:val="24"/>
          <w:szCs w:val="24"/>
        </w:rPr>
        <w:t xml:space="preserve"> which at the time of the research could be broadly demarcated by pricing, branding and clientele</w:t>
      </w:r>
      <w:r w:rsidRPr="00B83426">
        <w:rPr>
          <w:sz w:val="24"/>
          <w:szCs w:val="24"/>
        </w:rPr>
        <w:t>. Generally, the so-called ‘Diamond Strip’ (a street of upmarket cocktail bars with</w:t>
      </w:r>
      <w:r w:rsidRPr="00B83426">
        <w:rPr>
          <w:bCs/>
          <w:iCs/>
          <w:sz w:val="24"/>
          <w:szCs w:val="24"/>
        </w:rPr>
        <w:t xml:space="preserve"> associations of affluence and status) was the most popular part of the mainstream NTE</w:t>
      </w:r>
      <w:r w:rsidR="00810CC0" w:rsidRPr="00B83426">
        <w:rPr>
          <w:bCs/>
          <w:iCs/>
          <w:sz w:val="24"/>
          <w:szCs w:val="24"/>
        </w:rPr>
        <w:t xml:space="preserve"> and was</w:t>
      </w:r>
      <w:r w:rsidRPr="00B83426">
        <w:rPr>
          <w:bCs/>
          <w:iCs/>
          <w:sz w:val="24"/>
          <w:szCs w:val="24"/>
        </w:rPr>
        <w:t xml:space="preserve"> frequented by </w:t>
      </w:r>
      <w:r w:rsidR="00810CC0" w:rsidRPr="00B83426">
        <w:rPr>
          <w:bCs/>
          <w:iCs/>
          <w:sz w:val="24"/>
          <w:szCs w:val="24"/>
        </w:rPr>
        <w:t xml:space="preserve">most </w:t>
      </w:r>
      <w:r w:rsidRPr="00B83426">
        <w:rPr>
          <w:bCs/>
          <w:iCs/>
          <w:sz w:val="24"/>
          <w:szCs w:val="24"/>
        </w:rPr>
        <w:t xml:space="preserve">participants, regardless of class, sexuality, age or their status as students or locals. However, all participants were acutely aware of the Diamond Strip’s shared border with what was perceived to be a less desirable and more dangerous part of town, the </w:t>
      </w:r>
      <w:proofErr w:type="spellStart"/>
      <w:r w:rsidRPr="00B83426">
        <w:rPr>
          <w:bCs/>
          <w:iCs/>
          <w:sz w:val="24"/>
          <w:szCs w:val="24"/>
        </w:rPr>
        <w:t>Bigg</w:t>
      </w:r>
      <w:proofErr w:type="spellEnd"/>
      <w:r w:rsidRPr="00B83426">
        <w:rPr>
          <w:bCs/>
          <w:iCs/>
          <w:sz w:val="24"/>
          <w:szCs w:val="24"/>
        </w:rPr>
        <w:t xml:space="preserve"> Market. Historically, the </w:t>
      </w:r>
      <w:proofErr w:type="spellStart"/>
      <w:r w:rsidRPr="00B83426">
        <w:rPr>
          <w:bCs/>
          <w:iCs/>
          <w:sz w:val="24"/>
          <w:szCs w:val="24"/>
        </w:rPr>
        <w:t>Bigg</w:t>
      </w:r>
      <w:proofErr w:type="spellEnd"/>
      <w:r w:rsidRPr="00B83426">
        <w:rPr>
          <w:bCs/>
          <w:iCs/>
          <w:sz w:val="24"/>
          <w:szCs w:val="24"/>
        </w:rPr>
        <w:t xml:space="preserve"> Market </w:t>
      </w:r>
      <w:r w:rsidR="005D720C" w:rsidRPr="00B83426">
        <w:rPr>
          <w:bCs/>
          <w:iCs/>
          <w:sz w:val="24"/>
          <w:szCs w:val="24"/>
        </w:rPr>
        <w:t>has been</w:t>
      </w:r>
      <w:r w:rsidRPr="00B83426">
        <w:rPr>
          <w:bCs/>
          <w:iCs/>
          <w:sz w:val="24"/>
          <w:szCs w:val="24"/>
        </w:rPr>
        <w:t xml:space="preserve"> understood as an infamous – perhaps notorious – site of ‘Geordie’ drinking culture</w:t>
      </w:r>
      <w:r w:rsidR="005E1B1D" w:rsidRPr="00B83426">
        <w:rPr>
          <w:bCs/>
          <w:iCs/>
          <w:sz w:val="24"/>
          <w:szCs w:val="24"/>
        </w:rPr>
        <w:t xml:space="preserve">, traditionally serving a local, working-class and male crowd (Hollands and Chatterton, 2002). </w:t>
      </w:r>
      <w:r w:rsidR="005E1B1D" w:rsidRPr="00B83426">
        <w:rPr>
          <w:sz w:val="24"/>
          <w:szCs w:val="24"/>
        </w:rPr>
        <w:t xml:space="preserve">The </w:t>
      </w:r>
      <w:proofErr w:type="spellStart"/>
      <w:r w:rsidR="005E1B1D" w:rsidRPr="00B83426">
        <w:rPr>
          <w:sz w:val="24"/>
          <w:szCs w:val="24"/>
        </w:rPr>
        <w:t>Bigg</w:t>
      </w:r>
      <w:proofErr w:type="spellEnd"/>
      <w:r w:rsidR="005E1B1D" w:rsidRPr="00B83426">
        <w:rPr>
          <w:sz w:val="24"/>
          <w:szCs w:val="24"/>
        </w:rPr>
        <w:t xml:space="preserve"> Market was </w:t>
      </w:r>
      <w:r w:rsidR="00810CC0" w:rsidRPr="00B83426">
        <w:rPr>
          <w:sz w:val="24"/>
          <w:szCs w:val="24"/>
        </w:rPr>
        <w:t>often</w:t>
      </w:r>
      <w:r w:rsidR="005E1B1D" w:rsidRPr="00B83426">
        <w:rPr>
          <w:sz w:val="24"/>
          <w:szCs w:val="24"/>
        </w:rPr>
        <w:t xml:space="preserve"> described </w:t>
      </w:r>
      <w:r w:rsidR="00810CC0" w:rsidRPr="00B83426">
        <w:rPr>
          <w:sz w:val="24"/>
          <w:szCs w:val="24"/>
        </w:rPr>
        <w:t xml:space="preserve">by participants </w:t>
      </w:r>
      <w:r w:rsidR="005E1B1D" w:rsidRPr="00B83426">
        <w:rPr>
          <w:sz w:val="24"/>
          <w:szCs w:val="24"/>
        </w:rPr>
        <w:t xml:space="preserve">as </w:t>
      </w:r>
      <w:r w:rsidR="005D720C" w:rsidRPr="00B83426">
        <w:rPr>
          <w:sz w:val="24"/>
          <w:szCs w:val="24"/>
        </w:rPr>
        <w:t xml:space="preserve">a ‘no-go’ area, whilst the venues they </w:t>
      </w:r>
      <w:r w:rsidR="00190E75" w:rsidRPr="00B83426">
        <w:rPr>
          <w:sz w:val="24"/>
          <w:szCs w:val="24"/>
        </w:rPr>
        <w:t>preferred to frequent were depicted as</w:t>
      </w:r>
      <w:r w:rsidR="005D720C" w:rsidRPr="00B83426">
        <w:rPr>
          <w:sz w:val="24"/>
          <w:szCs w:val="24"/>
        </w:rPr>
        <w:t xml:space="preserve"> </w:t>
      </w:r>
      <w:r w:rsidR="00190E75" w:rsidRPr="00B83426">
        <w:rPr>
          <w:sz w:val="24"/>
          <w:szCs w:val="24"/>
        </w:rPr>
        <w:t>familiar and comfortable. In this sense, the subject</w:t>
      </w:r>
      <w:r w:rsidR="005D720C" w:rsidRPr="00B83426">
        <w:rPr>
          <w:sz w:val="24"/>
          <w:szCs w:val="24"/>
        </w:rPr>
        <w:t>ive</w:t>
      </w:r>
      <w:r w:rsidR="00190E75" w:rsidRPr="00B83426">
        <w:rPr>
          <w:sz w:val="24"/>
          <w:szCs w:val="24"/>
        </w:rPr>
        <w:t xml:space="preserve"> and affectiv</w:t>
      </w:r>
      <w:r w:rsidR="00810CC0" w:rsidRPr="00B83426">
        <w:rPr>
          <w:sz w:val="24"/>
          <w:szCs w:val="24"/>
        </w:rPr>
        <w:t>e ex</w:t>
      </w:r>
      <w:r w:rsidR="005D720C" w:rsidRPr="00B83426">
        <w:rPr>
          <w:sz w:val="24"/>
          <w:szCs w:val="24"/>
        </w:rPr>
        <w:t xml:space="preserve">perience of </w:t>
      </w:r>
      <w:r w:rsidR="005D720C" w:rsidRPr="00B83426">
        <w:rPr>
          <w:i/>
          <w:sz w:val="24"/>
          <w:szCs w:val="24"/>
        </w:rPr>
        <w:t>feeling</w:t>
      </w:r>
      <w:r w:rsidR="005D720C" w:rsidRPr="00B83426">
        <w:rPr>
          <w:sz w:val="24"/>
          <w:szCs w:val="24"/>
        </w:rPr>
        <w:t xml:space="preserve"> safer </w:t>
      </w:r>
      <w:r w:rsidR="00190E75" w:rsidRPr="00B83426">
        <w:rPr>
          <w:sz w:val="24"/>
          <w:szCs w:val="24"/>
        </w:rPr>
        <w:t xml:space="preserve">could be created through drawing </w:t>
      </w:r>
      <w:proofErr w:type="spellStart"/>
      <w:r w:rsidR="00190E75" w:rsidRPr="00B83426">
        <w:rPr>
          <w:sz w:val="24"/>
          <w:szCs w:val="24"/>
        </w:rPr>
        <w:t>spatialised</w:t>
      </w:r>
      <w:proofErr w:type="spellEnd"/>
      <w:r w:rsidR="00190E75" w:rsidRPr="00B83426">
        <w:rPr>
          <w:sz w:val="24"/>
          <w:szCs w:val="24"/>
        </w:rPr>
        <w:t xml:space="preserve"> distinctions between venues or areas that were felt to be safe and comfortable, and those that were unfamiliar, risky or dangerous.  </w:t>
      </w:r>
    </w:p>
    <w:p w14:paraId="49934688" w14:textId="77777777" w:rsidR="005E1B1D" w:rsidRPr="00B83426" w:rsidRDefault="00111E53" w:rsidP="00810CC0">
      <w:pPr>
        <w:spacing w:line="240" w:lineRule="auto"/>
        <w:jc w:val="both"/>
        <w:rPr>
          <w:sz w:val="24"/>
          <w:szCs w:val="24"/>
        </w:rPr>
      </w:pPr>
      <w:r w:rsidRPr="00B83426">
        <w:rPr>
          <w:sz w:val="24"/>
          <w:szCs w:val="24"/>
        </w:rPr>
        <w:t xml:space="preserve">A number of participants noted that the main advice they had received from others (usually from parents or family, even if they were not local), was to avoid the </w:t>
      </w:r>
      <w:proofErr w:type="spellStart"/>
      <w:r w:rsidRPr="00B83426">
        <w:rPr>
          <w:sz w:val="24"/>
          <w:szCs w:val="24"/>
        </w:rPr>
        <w:t>Bigg</w:t>
      </w:r>
      <w:proofErr w:type="spellEnd"/>
      <w:r w:rsidRPr="00B83426">
        <w:rPr>
          <w:sz w:val="24"/>
          <w:szCs w:val="24"/>
        </w:rPr>
        <w:t xml:space="preserve"> Market at all costs, </w:t>
      </w:r>
      <w:r w:rsidRPr="00B83426">
        <w:rPr>
          <w:sz w:val="24"/>
          <w:szCs w:val="24"/>
        </w:rPr>
        <w:lastRenderedPageBreak/>
        <w:t xml:space="preserve">as illustrated by Lydia here, describing advice given </w:t>
      </w:r>
      <w:r w:rsidR="00810CC0" w:rsidRPr="00B83426">
        <w:rPr>
          <w:sz w:val="24"/>
          <w:szCs w:val="24"/>
        </w:rPr>
        <w:t xml:space="preserve">to her </w:t>
      </w:r>
      <w:r w:rsidRPr="00B83426">
        <w:rPr>
          <w:sz w:val="24"/>
          <w:szCs w:val="24"/>
        </w:rPr>
        <w:t>by her father before she came up to Newcastle to study:</w:t>
      </w:r>
    </w:p>
    <w:p w14:paraId="3205AD84" w14:textId="77777777" w:rsidR="00111E53" w:rsidRPr="00B83426" w:rsidRDefault="00111E53" w:rsidP="00810CC0">
      <w:pPr>
        <w:spacing w:line="240" w:lineRule="auto"/>
        <w:ind w:left="720"/>
        <w:jc w:val="both"/>
        <w:rPr>
          <w:sz w:val="24"/>
          <w:szCs w:val="24"/>
        </w:rPr>
      </w:pPr>
      <w:r w:rsidRPr="00B83426">
        <w:rPr>
          <w:sz w:val="24"/>
          <w:szCs w:val="24"/>
        </w:rPr>
        <w:t xml:space="preserve">Never, ever go down </w:t>
      </w:r>
      <w:proofErr w:type="spellStart"/>
      <w:r w:rsidRPr="00B83426">
        <w:rPr>
          <w:sz w:val="24"/>
          <w:szCs w:val="24"/>
        </w:rPr>
        <w:t>Bigg</w:t>
      </w:r>
      <w:proofErr w:type="spellEnd"/>
      <w:r w:rsidRPr="00B83426">
        <w:rPr>
          <w:sz w:val="24"/>
          <w:szCs w:val="24"/>
        </w:rPr>
        <w:t xml:space="preserve"> Market, ever... like, avoid it, take the other road. When you go down and left is the </w:t>
      </w:r>
      <w:proofErr w:type="spellStart"/>
      <w:r w:rsidRPr="00B83426">
        <w:rPr>
          <w:sz w:val="24"/>
          <w:szCs w:val="24"/>
        </w:rPr>
        <w:t>Bigg</w:t>
      </w:r>
      <w:proofErr w:type="spellEnd"/>
      <w:r w:rsidRPr="00B83426">
        <w:rPr>
          <w:sz w:val="24"/>
          <w:szCs w:val="24"/>
        </w:rPr>
        <w:t xml:space="preserve"> Market, and right is... go the other way (Lydia, 21)</w:t>
      </w:r>
    </w:p>
    <w:p w14:paraId="1EDE8030" w14:textId="77777777" w:rsidR="00810CC0" w:rsidRPr="00B83426" w:rsidRDefault="00111E53" w:rsidP="00810CC0">
      <w:pPr>
        <w:spacing w:line="240" w:lineRule="auto"/>
        <w:jc w:val="both"/>
        <w:rPr>
          <w:sz w:val="24"/>
          <w:szCs w:val="24"/>
        </w:rPr>
      </w:pPr>
      <w:r w:rsidRPr="00B83426">
        <w:rPr>
          <w:sz w:val="24"/>
          <w:szCs w:val="24"/>
        </w:rPr>
        <w:t>As suggested here, often even passing through this problematic space was to be avoided, as the participants created mental maps that carved up city centre space a</w:t>
      </w:r>
      <w:r w:rsidR="00810CC0" w:rsidRPr="00B83426">
        <w:rPr>
          <w:sz w:val="24"/>
          <w:szCs w:val="24"/>
        </w:rPr>
        <w:t xml:space="preserve">nd allowed them to chart ‘safe’ routes through it. </w:t>
      </w:r>
      <w:r w:rsidR="00244927" w:rsidRPr="00B83426">
        <w:rPr>
          <w:sz w:val="24"/>
          <w:szCs w:val="24"/>
        </w:rPr>
        <w:t>Mason’s (2001) research with lesbian women indicates that</w:t>
      </w:r>
      <w:r w:rsidR="00810CC0" w:rsidRPr="00B83426">
        <w:rPr>
          <w:sz w:val="24"/>
          <w:szCs w:val="24"/>
        </w:rPr>
        <w:t xml:space="preserve"> women may</w:t>
      </w:r>
      <w:r w:rsidR="00244927" w:rsidRPr="00B83426">
        <w:rPr>
          <w:sz w:val="24"/>
          <w:szCs w:val="24"/>
        </w:rPr>
        <w:t xml:space="preserve"> draw on ‘</w:t>
      </w:r>
      <w:proofErr w:type="spellStart"/>
      <w:r w:rsidR="00244927" w:rsidRPr="00B83426">
        <w:rPr>
          <w:sz w:val="24"/>
          <w:szCs w:val="24"/>
        </w:rPr>
        <w:t>knowledges</w:t>
      </w:r>
      <w:proofErr w:type="spellEnd"/>
      <w:r w:rsidR="00244927" w:rsidRPr="00B83426">
        <w:rPr>
          <w:sz w:val="24"/>
          <w:szCs w:val="24"/>
        </w:rPr>
        <w:t>’ of homophobic violence to construct ‘safety maps’ that help them to navigate public space</w:t>
      </w:r>
      <w:r w:rsidR="00810CC0" w:rsidRPr="00B83426">
        <w:rPr>
          <w:sz w:val="24"/>
          <w:szCs w:val="24"/>
        </w:rPr>
        <w:t>. A similar practice is evident</w:t>
      </w:r>
      <w:r w:rsidR="00244927" w:rsidRPr="00B83426">
        <w:rPr>
          <w:sz w:val="24"/>
          <w:szCs w:val="24"/>
        </w:rPr>
        <w:t xml:space="preserve"> here; one where ‘</w:t>
      </w:r>
      <w:proofErr w:type="spellStart"/>
      <w:r w:rsidR="00244927" w:rsidRPr="00B83426">
        <w:rPr>
          <w:sz w:val="24"/>
          <w:szCs w:val="24"/>
        </w:rPr>
        <w:t>knowledges</w:t>
      </w:r>
      <w:proofErr w:type="spellEnd"/>
      <w:r w:rsidR="00244927" w:rsidRPr="00B83426">
        <w:rPr>
          <w:sz w:val="24"/>
          <w:szCs w:val="24"/>
        </w:rPr>
        <w:t>’ may be collective ones that are passed on and shared by others.</w:t>
      </w:r>
      <w:r w:rsidRPr="00B83426">
        <w:rPr>
          <w:sz w:val="24"/>
          <w:szCs w:val="24"/>
        </w:rPr>
        <w:t xml:space="preserve"> </w:t>
      </w:r>
      <w:r w:rsidR="00244927" w:rsidRPr="00B83426">
        <w:rPr>
          <w:sz w:val="24"/>
          <w:szCs w:val="24"/>
        </w:rPr>
        <w:t xml:space="preserve">Several participants depicted the </w:t>
      </w:r>
      <w:proofErr w:type="spellStart"/>
      <w:r w:rsidR="00244927" w:rsidRPr="00B83426">
        <w:rPr>
          <w:sz w:val="24"/>
          <w:szCs w:val="24"/>
        </w:rPr>
        <w:t>Bigg</w:t>
      </w:r>
      <w:proofErr w:type="spellEnd"/>
      <w:r w:rsidR="00244927" w:rsidRPr="00B83426">
        <w:rPr>
          <w:sz w:val="24"/>
          <w:szCs w:val="24"/>
        </w:rPr>
        <w:t xml:space="preserve"> Market as a site of violent altercations (including </w:t>
      </w:r>
      <w:proofErr w:type="spellStart"/>
      <w:r w:rsidR="00244927" w:rsidRPr="00B83426">
        <w:rPr>
          <w:sz w:val="24"/>
          <w:szCs w:val="24"/>
        </w:rPr>
        <w:t>glassings</w:t>
      </w:r>
      <w:proofErr w:type="spellEnd"/>
      <w:r w:rsidR="00244927" w:rsidRPr="00B83426">
        <w:rPr>
          <w:sz w:val="24"/>
          <w:szCs w:val="24"/>
        </w:rPr>
        <w:t xml:space="preserve"> and stabbings) and also a space where women might be highly likely to experience forms of GBV, particularly in the form of sexually predatory behaviour from heterosexual men. </w:t>
      </w:r>
      <w:r w:rsidR="00190E75" w:rsidRPr="00B83426">
        <w:rPr>
          <w:sz w:val="24"/>
          <w:szCs w:val="24"/>
        </w:rPr>
        <w:t xml:space="preserve">Hollands and Chatterton describe the space as having a </w:t>
      </w:r>
      <w:r w:rsidR="00244927" w:rsidRPr="00B83426">
        <w:rPr>
          <w:rFonts w:cs="Times New Roman"/>
          <w:sz w:val="24"/>
          <w:szCs w:val="24"/>
        </w:rPr>
        <w:t>‘boisterous and sexually charged atmosphere’ (</w:t>
      </w:r>
      <w:r w:rsidR="00244927" w:rsidRPr="00B83426">
        <w:rPr>
          <w:rFonts w:cs="Times New Roman"/>
          <w:noProof/>
          <w:sz w:val="24"/>
          <w:szCs w:val="24"/>
        </w:rPr>
        <w:t>2002: 308)</w:t>
      </w:r>
      <w:r w:rsidR="00190E75" w:rsidRPr="00B83426">
        <w:rPr>
          <w:bCs/>
          <w:iCs/>
          <w:sz w:val="24"/>
          <w:szCs w:val="24"/>
        </w:rPr>
        <w:t xml:space="preserve">, and this certainly seemed to </w:t>
      </w:r>
      <w:r w:rsidR="00810CC0" w:rsidRPr="00B83426">
        <w:rPr>
          <w:bCs/>
          <w:iCs/>
          <w:sz w:val="24"/>
          <w:szCs w:val="24"/>
        </w:rPr>
        <w:t xml:space="preserve">be </w:t>
      </w:r>
      <w:r w:rsidR="00190E75" w:rsidRPr="00B83426">
        <w:rPr>
          <w:bCs/>
          <w:iCs/>
          <w:sz w:val="24"/>
          <w:szCs w:val="24"/>
        </w:rPr>
        <w:t>reflect</w:t>
      </w:r>
      <w:r w:rsidR="00810CC0" w:rsidRPr="00B83426">
        <w:rPr>
          <w:bCs/>
          <w:iCs/>
          <w:sz w:val="24"/>
          <w:szCs w:val="24"/>
        </w:rPr>
        <w:t>ed in</w:t>
      </w:r>
      <w:r w:rsidR="00190E75" w:rsidRPr="00B83426">
        <w:rPr>
          <w:bCs/>
          <w:iCs/>
          <w:sz w:val="24"/>
          <w:szCs w:val="24"/>
        </w:rPr>
        <w:t xml:space="preserve"> the ways in which it was perceived by participants. </w:t>
      </w:r>
      <w:r w:rsidR="00244927" w:rsidRPr="00B83426">
        <w:rPr>
          <w:sz w:val="24"/>
          <w:szCs w:val="24"/>
        </w:rPr>
        <w:t>Lydia goes on to describe the space as ‘dicey’, and to describe an occasion where she did actual</w:t>
      </w:r>
      <w:r w:rsidR="00810CC0" w:rsidRPr="00B83426">
        <w:rPr>
          <w:sz w:val="24"/>
          <w:szCs w:val="24"/>
        </w:rPr>
        <w:t xml:space="preserve">ly walk through the </w:t>
      </w:r>
      <w:proofErr w:type="spellStart"/>
      <w:r w:rsidR="00810CC0" w:rsidRPr="00B83426">
        <w:rPr>
          <w:sz w:val="24"/>
          <w:szCs w:val="24"/>
        </w:rPr>
        <w:t>Bigg</w:t>
      </w:r>
      <w:proofErr w:type="spellEnd"/>
      <w:r w:rsidR="00810CC0" w:rsidRPr="00B83426">
        <w:rPr>
          <w:sz w:val="24"/>
          <w:szCs w:val="24"/>
        </w:rPr>
        <w:t xml:space="preserve"> Market, characterised at the time of the research by a combination of more traditional pubs serving an older, local clientele, ‘disco pubs’ and tightly-packed takeaway venues and taxi ranks. She </w:t>
      </w:r>
      <w:r w:rsidR="00244927" w:rsidRPr="00B83426">
        <w:rPr>
          <w:sz w:val="24"/>
          <w:szCs w:val="24"/>
        </w:rPr>
        <w:t xml:space="preserve">felt nervous and intimidated as a result of some of the physical features of the space, particularly the crowded cobbled streets and </w:t>
      </w:r>
      <w:r w:rsidR="00810CC0" w:rsidRPr="00B83426">
        <w:rPr>
          <w:sz w:val="24"/>
          <w:szCs w:val="24"/>
        </w:rPr>
        <w:t>busy</w:t>
      </w:r>
      <w:r w:rsidR="00244927" w:rsidRPr="00B83426">
        <w:rPr>
          <w:sz w:val="24"/>
          <w:szCs w:val="24"/>
        </w:rPr>
        <w:t xml:space="preserve"> takeaways, and the intoxicated people ‘pouring out’ of busy venues and occupying the street.</w:t>
      </w:r>
      <w:r w:rsidR="00810CC0" w:rsidRPr="00B83426">
        <w:rPr>
          <w:sz w:val="24"/>
          <w:szCs w:val="24"/>
        </w:rPr>
        <w:t xml:space="preserve"> </w:t>
      </w:r>
    </w:p>
    <w:p w14:paraId="58E8861B" w14:textId="14F1F7AA" w:rsidR="00190E75" w:rsidRPr="00B83426" w:rsidRDefault="00810CC0" w:rsidP="00810CC0">
      <w:pPr>
        <w:spacing w:line="240" w:lineRule="auto"/>
        <w:jc w:val="both"/>
        <w:rPr>
          <w:sz w:val="24"/>
          <w:szCs w:val="24"/>
        </w:rPr>
      </w:pPr>
      <w:r w:rsidRPr="00B83426">
        <w:rPr>
          <w:sz w:val="24"/>
          <w:szCs w:val="24"/>
        </w:rPr>
        <w:t xml:space="preserve">Whilst characteristics of the physical space and built environment may contribute to feelings of danger, as suggested above, </w:t>
      </w:r>
      <w:r w:rsidR="00190E75" w:rsidRPr="00B83426">
        <w:rPr>
          <w:sz w:val="24"/>
          <w:szCs w:val="24"/>
        </w:rPr>
        <w:t xml:space="preserve">concerns about risk, safety and crime often manifest as fears about certain </w:t>
      </w:r>
      <w:r w:rsidR="00190E75" w:rsidRPr="00B83426">
        <w:rPr>
          <w:i/>
          <w:sz w:val="24"/>
          <w:szCs w:val="24"/>
        </w:rPr>
        <w:t>people</w:t>
      </w:r>
      <w:r w:rsidR="00190E75" w:rsidRPr="00B83426">
        <w:rPr>
          <w:sz w:val="24"/>
          <w:szCs w:val="24"/>
        </w:rPr>
        <w:t xml:space="preserve">, and it is important to consider the ways in which the participants’ anxieties about the </w:t>
      </w:r>
      <w:proofErr w:type="spellStart"/>
      <w:r w:rsidR="00190E75" w:rsidRPr="00B83426">
        <w:rPr>
          <w:sz w:val="24"/>
          <w:szCs w:val="24"/>
        </w:rPr>
        <w:t>Bigg</w:t>
      </w:r>
      <w:proofErr w:type="spellEnd"/>
      <w:r w:rsidR="00190E75" w:rsidRPr="00B83426">
        <w:rPr>
          <w:sz w:val="24"/>
          <w:szCs w:val="24"/>
        </w:rPr>
        <w:t xml:space="preserve"> Market were entangled with the types of people they expected to find there. Perhaps unsurprisingly, notions of social class were important in shaping the ways in which participants spoke about the </w:t>
      </w:r>
      <w:proofErr w:type="spellStart"/>
      <w:r w:rsidR="00190E75" w:rsidRPr="00B83426">
        <w:rPr>
          <w:sz w:val="24"/>
          <w:szCs w:val="24"/>
        </w:rPr>
        <w:t>Bigg</w:t>
      </w:r>
      <w:proofErr w:type="spellEnd"/>
      <w:r w:rsidR="00190E75" w:rsidRPr="00B83426">
        <w:rPr>
          <w:sz w:val="24"/>
          <w:szCs w:val="24"/>
        </w:rPr>
        <w:t xml:space="preserve"> Market, with terms such as ‘rough’ and ‘cheap’ commonly used and with the area described more explicitly as ‘</w:t>
      </w:r>
      <w:proofErr w:type="spellStart"/>
      <w:r w:rsidR="00190E75" w:rsidRPr="00B83426">
        <w:rPr>
          <w:sz w:val="24"/>
          <w:szCs w:val="24"/>
        </w:rPr>
        <w:t>chavvy</w:t>
      </w:r>
      <w:proofErr w:type="spellEnd"/>
      <w:r w:rsidR="009C7F22">
        <w:rPr>
          <w:rStyle w:val="FootnoteReference"/>
          <w:sz w:val="24"/>
          <w:szCs w:val="24"/>
        </w:rPr>
        <w:footnoteReference w:id="2"/>
      </w:r>
      <w:r w:rsidR="00190E75" w:rsidRPr="00B83426">
        <w:rPr>
          <w:sz w:val="24"/>
          <w:szCs w:val="24"/>
        </w:rPr>
        <w:t xml:space="preserve">’ (Ruth, 21) or frequented by </w:t>
      </w:r>
      <w:r w:rsidRPr="00B83426">
        <w:rPr>
          <w:sz w:val="24"/>
          <w:szCs w:val="24"/>
        </w:rPr>
        <w:t>older, visibly intoxicated working-class revellers.</w:t>
      </w:r>
      <w:r w:rsidR="00190E75" w:rsidRPr="00B83426">
        <w:rPr>
          <w:sz w:val="24"/>
          <w:szCs w:val="24"/>
        </w:rPr>
        <w:t xml:space="preserve"> Descriptions of the area as a </w:t>
      </w:r>
      <w:r w:rsidR="005D720C" w:rsidRPr="00B83426">
        <w:rPr>
          <w:sz w:val="24"/>
          <w:szCs w:val="24"/>
        </w:rPr>
        <w:t>‘</w:t>
      </w:r>
      <w:r w:rsidR="00190E75" w:rsidRPr="00B83426">
        <w:rPr>
          <w:sz w:val="24"/>
          <w:szCs w:val="24"/>
        </w:rPr>
        <w:t>stereotypical Geordie type area’ (Zoe, 23) also functioned as veiled ways to talk about class and equate being local/Geordie with an undesirable working-class identity:</w:t>
      </w:r>
    </w:p>
    <w:p w14:paraId="6B6D9D63" w14:textId="77777777" w:rsidR="00F219FD" w:rsidRPr="00B83426" w:rsidRDefault="00810CC0" w:rsidP="00810CC0">
      <w:pPr>
        <w:spacing w:line="240" w:lineRule="auto"/>
        <w:ind w:left="720"/>
        <w:jc w:val="both"/>
        <w:rPr>
          <w:rFonts w:cstheme="minorHAnsi"/>
          <w:color w:val="FF0000"/>
          <w:sz w:val="24"/>
          <w:szCs w:val="24"/>
        </w:rPr>
      </w:pPr>
      <w:r w:rsidRPr="00B83426">
        <w:rPr>
          <w:rFonts w:cstheme="minorHAnsi"/>
          <w:sz w:val="24"/>
          <w:szCs w:val="24"/>
        </w:rPr>
        <w:t>T</w:t>
      </w:r>
      <w:r w:rsidR="00F219FD" w:rsidRPr="00B83426">
        <w:rPr>
          <w:rFonts w:cstheme="minorHAnsi"/>
          <w:sz w:val="24"/>
          <w:szCs w:val="24"/>
        </w:rPr>
        <w:t xml:space="preserve">he local </w:t>
      </w:r>
      <w:r w:rsidR="00F219FD" w:rsidRPr="00B83426">
        <w:rPr>
          <w:rFonts w:cstheme="minorHAnsi"/>
          <w:i/>
          <w:sz w:val="24"/>
          <w:szCs w:val="24"/>
        </w:rPr>
        <w:t xml:space="preserve">men </w:t>
      </w:r>
      <w:r w:rsidR="00F219FD" w:rsidRPr="00B83426">
        <w:rPr>
          <w:rFonts w:cstheme="minorHAnsi"/>
          <w:sz w:val="24"/>
          <w:szCs w:val="24"/>
        </w:rPr>
        <w:t xml:space="preserve">especially.... [pause].... are more </w:t>
      </w:r>
      <w:proofErr w:type="spellStart"/>
      <w:r w:rsidR="00F219FD" w:rsidRPr="00B83426">
        <w:rPr>
          <w:rFonts w:cstheme="minorHAnsi"/>
          <w:i/>
          <w:sz w:val="24"/>
          <w:szCs w:val="24"/>
        </w:rPr>
        <w:t>chavvy</w:t>
      </w:r>
      <w:proofErr w:type="spellEnd"/>
      <w:r w:rsidR="00F219FD" w:rsidRPr="00B83426">
        <w:rPr>
          <w:rFonts w:cstheme="minorHAnsi"/>
          <w:i/>
          <w:sz w:val="24"/>
          <w:szCs w:val="24"/>
        </w:rPr>
        <w:t>...</w:t>
      </w:r>
      <w:r w:rsidR="00F219FD" w:rsidRPr="00B83426">
        <w:rPr>
          <w:rFonts w:cstheme="minorHAnsi"/>
          <w:sz w:val="24"/>
          <w:szCs w:val="24"/>
        </w:rPr>
        <w:t xml:space="preserve"> and a bit more... like, </w:t>
      </w:r>
      <w:r w:rsidR="00F219FD" w:rsidRPr="00B83426">
        <w:rPr>
          <w:rFonts w:cstheme="minorHAnsi"/>
          <w:i/>
          <w:sz w:val="24"/>
          <w:szCs w:val="24"/>
        </w:rPr>
        <w:t>forward</w:t>
      </w:r>
      <w:r w:rsidR="00F219FD" w:rsidRPr="00B83426">
        <w:rPr>
          <w:rFonts w:cstheme="minorHAnsi"/>
          <w:sz w:val="24"/>
          <w:szCs w:val="24"/>
        </w:rPr>
        <w:t xml:space="preserve">.... in the way that they ask you stuff. </w:t>
      </w:r>
      <w:r w:rsidR="005D720C" w:rsidRPr="00B83426">
        <w:rPr>
          <w:rFonts w:cstheme="minorHAnsi"/>
          <w:sz w:val="24"/>
          <w:szCs w:val="24"/>
        </w:rPr>
        <w:t xml:space="preserve">It </w:t>
      </w:r>
      <w:r w:rsidR="00F219FD" w:rsidRPr="00B83426">
        <w:rPr>
          <w:rFonts w:cstheme="minorHAnsi"/>
          <w:sz w:val="24"/>
          <w:szCs w:val="24"/>
        </w:rPr>
        <w:t>actually makes me feel uncomfortable (Lucy, 21)</w:t>
      </w:r>
    </w:p>
    <w:p w14:paraId="673BC829" w14:textId="4DBEEC1E" w:rsidR="00190E75" w:rsidRPr="00B83426" w:rsidRDefault="00190E75" w:rsidP="00810CC0">
      <w:pPr>
        <w:spacing w:line="240" w:lineRule="auto"/>
        <w:jc w:val="both"/>
        <w:rPr>
          <w:sz w:val="24"/>
          <w:szCs w:val="24"/>
        </w:rPr>
      </w:pPr>
      <w:r w:rsidRPr="00B83426">
        <w:rPr>
          <w:rFonts w:cs="Times New Roman"/>
          <w:sz w:val="24"/>
          <w:szCs w:val="24"/>
        </w:rPr>
        <w:t xml:space="preserve">Here, Lucy discursively links local men </w:t>
      </w:r>
      <w:r w:rsidR="00810CC0" w:rsidRPr="00B83426">
        <w:rPr>
          <w:rFonts w:cs="Times New Roman"/>
          <w:sz w:val="24"/>
          <w:szCs w:val="24"/>
        </w:rPr>
        <w:t xml:space="preserve">in the </w:t>
      </w:r>
      <w:proofErr w:type="spellStart"/>
      <w:r w:rsidR="00810CC0" w:rsidRPr="00B83426">
        <w:rPr>
          <w:rFonts w:cs="Times New Roman"/>
          <w:sz w:val="24"/>
          <w:szCs w:val="24"/>
        </w:rPr>
        <w:t>Bigg</w:t>
      </w:r>
      <w:proofErr w:type="spellEnd"/>
      <w:r w:rsidR="00810CC0" w:rsidRPr="00B83426">
        <w:rPr>
          <w:rFonts w:cs="Times New Roman"/>
          <w:sz w:val="24"/>
          <w:szCs w:val="24"/>
        </w:rPr>
        <w:t xml:space="preserve"> Market </w:t>
      </w:r>
      <w:r w:rsidRPr="00B83426">
        <w:rPr>
          <w:rFonts w:cs="Times New Roman"/>
          <w:sz w:val="24"/>
          <w:szCs w:val="24"/>
        </w:rPr>
        <w:t>with being ‘</w:t>
      </w:r>
      <w:proofErr w:type="spellStart"/>
      <w:r w:rsidRPr="00B83426">
        <w:rPr>
          <w:rFonts w:cs="Times New Roman"/>
          <w:sz w:val="24"/>
          <w:szCs w:val="24"/>
        </w:rPr>
        <w:t>chavvy</w:t>
      </w:r>
      <w:proofErr w:type="spellEnd"/>
      <w:r w:rsidRPr="00B83426">
        <w:rPr>
          <w:rFonts w:cs="Times New Roman"/>
          <w:sz w:val="24"/>
          <w:szCs w:val="24"/>
        </w:rPr>
        <w:t>’ (i.e. working-class) and argues that these men are more likely to engage in the types of behaviour that might be seen as ‘forward’ or make women feel harassed and uncomfortable</w:t>
      </w:r>
      <w:r w:rsidR="00810CC0" w:rsidRPr="00B83426">
        <w:rPr>
          <w:rFonts w:cs="Times New Roman"/>
          <w:sz w:val="24"/>
          <w:szCs w:val="24"/>
        </w:rPr>
        <w:t xml:space="preserve"> in the NTE</w:t>
      </w:r>
      <w:r w:rsidRPr="00B83426">
        <w:rPr>
          <w:rFonts w:cs="Times New Roman"/>
          <w:sz w:val="24"/>
          <w:szCs w:val="24"/>
        </w:rPr>
        <w:t xml:space="preserve">. This is also echoed in the work of Wattis et al (2011), who report that the students they spoke to in a similarly working-class, </w:t>
      </w:r>
      <w:r w:rsidR="00724782">
        <w:rPr>
          <w:rFonts w:cs="Times New Roman"/>
          <w:sz w:val="24"/>
          <w:szCs w:val="24"/>
        </w:rPr>
        <w:t>n</w:t>
      </w:r>
      <w:r w:rsidRPr="00B83426">
        <w:rPr>
          <w:rFonts w:cs="Times New Roman"/>
          <w:sz w:val="24"/>
          <w:szCs w:val="24"/>
        </w:rPr>
        <w:t>orthern town viewed the area and the local residents as risky or dangerous in some way. As they argue, in de-industrialised urban settings, ‘local people become a distinct group from students, and are constructed as problematic amidst connections to crime and other social problems’ (Wattis et al,</w:t>
      </w:r>
      <w:r w:rsidRPr="00B83426">
        <w:rPr>
          <w:rFonts w:cs="Times New Roman"/>
          <w:i/>
          <w:sz w:val="24"/>
          <w:szCs w:val="24"/>
        </w:rPr>
        <w:t xml:space="preserve"> </w:t>
      </w:r>
      <w:r w:rsidRPr="00B83426">
        <w:rPr>
          <w:rFonts w:cs="Times New Roman"/>
          <w:sz w:val="24"/>
          <w:szCs w:val="24"/>
        </w:rPr>
        <w:t xml:space="preserve">2011: 761). In this sense, </w:t>
      </w:r>
      <w:r w:rsidRPr="00B83426">
        <w:rPr>
          <w:rFonts w:cs="Times New Roman"/>
          <w:sz w:val="24"/>
          <w:szCs w:val="24"/>
        </w:rPr>
        <w:lastRenderedPageBreak/>
        <w:t xml:space="preserve">participants’ associations of older, visibly intoxicated and ‘local’ men with </w:t>
      </w:r>
      <w:r w:rsidR="00810CC0" w:rsidRPr="00B83426">
        <w:rPr>
          <w:rFonts w:cs="Times New Roman"/>
          <w:sz w:val="24"/>
          <w:szCs w:val="24"/>
        </w:rPr>
        <w:t xml:space="preserve">an </w:t>
      </w:r>
      <w:r w:rsidRPr="00B83426">
        <w:rPr>
          <w:rFonts w:cs="Times New Roman"/>
          <w:sz w:val="24"/>
          <w:szCs w:val="24"/>
        </w:rPr>
        <w:t>increased likelihood of GBV (and with aggression and violence more generally)</w:t>
      </w:r>
      <w:r w:rsidR="00810CC0" w:rsidRPr="00B83426">
        <w:rPr>
          <w:rFonts w:cs="Times New Roman"/>
          <w:sz w:val="24"/>
          <w:szCs w:val="24"/>
        </w:rPr>
        <w:t xml:space="preserve"> firms</w:t>
      </w:r>
      <w:r w:rsidRPr="00B83426">
        <w:rPr>
          <w:rFonts w:cs="Times New Roman"/>
          <w:sz w:val="24"/>
          <w:szCs w:val="24"/>
        </w:rPr>
        <w:t xml:space="preserve"> up boundaries between ‘us’ and ‘them’, and between the type of people who are perceived to go out in the </w:t>
      </w:r>
      <w:proofErr w:type="spellStart"/>
      <w:r w:rsidRPr="00B83426">
        <w:rPr>
          <w:rFonts w:cs="Times New Roman"/>
          <w:sz w:val="24"/>
          <w:szCs w:val="24"/>
        </w:rPr>
        <w:t>Bigg</w:t>
      </w:r>
      <w:proofErr w:type="spellEnd"/>
      <w:r w:rsidRPr="00B83426">
        <w:rPr>
          <w:rFonts w:cs="Times New Roman"/>
          <w:sz w:val="24"/>
          <w:szCs w:val="24"/>
        </w:rPr>
        <w:t xml:space="preserve"> Market and the type likely to frequent similar venues to participants. Indeed, a sort of ‘territorial’ boundary-drawing between students and locals (with locals associated with all forms of violence) is echoed in previous research (see </w:t>
      </w:r>
      <w:r w:rsidRPr="00B83426">
        <w:rPr>
          <w:rFonts w:cs="Times New Roman"/>
          <w:noProof/>
          <w:sz w:val="24"/>
          <w:szCs w:val="24"/>
        </w:rPr>
        <w:t xml:space="preserve">Holt and Griffin, 2005), </w:t>
      </w:r>
      <w:r w:rsidRPr="00B83426">
        <w:rPr>
          <w:rFonts w:cs="Times New Roman"/>
          <w:sz w:val="24"/>
          <w:szCs w:val="24"/>
        </w:rPr>
        <w:t>although the accuracy of such assumptions can of course be challenged.</w:t>
      </w:r>
      <w:r w:rsidRPr="00B83426">
        <w:rPr>
          <w:sz w:val="24"/>
          <w:szCs w:val="24"/>
        </w:rPr>
        <w:t xml:space="preserve"> </w:t>
      </w:r>
    </w:p>
    <w:p w14:paraId="7B7ACDFE" w14:textId="77777777" w:rsidR="005E1B1D" w:rsidRPr="00B83426" w:rsidRDefault="000027A4" w:rsidP="00810CC0">
      <w:pPr>
        <w:spacing w:line="240" w:lineRule="auto"/>
        <w:jc w:val="both"/>
        <w:rPr>
          <w:sz w:val="24"/>
          <w:szCs w:val="24"/>
        </w:rPr>
      </w:pPr>
      <w:r w:rsidRPr="00B83426">
        <w:rPr>
          <w:sz w:val="24"/>
          <w:szCs w:val="24"/>
        </w:rPr>
        <w:t xml:space="preserve">Interestingly, the participants who were local to Newcastle themselves often worked particularly hard to distance themselves from the </w:t>
      </w:r>
      <w:proofErr w:type="spellStart"/>
      <w:r w:rsidRPr="00B83426">
        <w:rPr>
          <w:sz w:val="24"/>
          <w:szCs w:val="24"/>
        </w:rPr>
        <w:t>Bigg</w:t>
      </w:r>
      <w:proofErr w:type="spellEnd"/>
      <w:r w:rsidRPr="00B83426">
        <w:rPr>
          <w:sz w:val="24"/>
          <w:szCs w:val="24"/>
        </w:rPr>
        <w:t xml:space="preserve"> Market and to make it very clear this was not a part of town they would frequent. Very early in the interview, Kirsty</w:t>
      </w:r>
      <w:r w:rsidR="00810CC0" w:rsidRPr="00B83426">
        <w:rPr>
          <w:sz w:val="24"/>
          <w:szCs w:val="24"/>
        </w:rPr>
        <w:t xml:space="preserve"> (23) </w:t>
      </w:r>
      <w:r w:rsidRPr="00B83426">
        <w:rPr>
          <w:sz w:val="24"/>
          <w:szCs w:val="24"/>
        </w:rPr>
        <w:t>made a point of bringing this up and saying</w:t>
      </w:r>
      <w:r w:rsidR="005E1B1D" w:rsidRPr="00B83426">
        <w:rPr>
          <w:sz w:val="24"/>
          <w:szCs w:val="24"/>
        </w:rPr>
        <w:t xml:space="preserve"> ‘we’re no</w:t>
      </w:r>
      <w:r w:rsidR="00810CC0" w:rsidRPr="00B83426">
        <w:rPr>
          <w:sz w:val="24"/>
          <w:szCs w:val="24"/>
        </w:rPr>
        <w:t xml:space="preserve">t them </w:t>
      </w:r>
      <w:proofErr w:type="spellStart"/>
      <w:r w:rsidR="00810CC0" w:rsidRPr="00B83426">
        <w:rPr>
          <w:sz w:val="24"/>
          <w:szCs w:val="24"/>
        </w:rPr>
        <w:t>kinda</w:t>
      </w:r>
      <w:proofErr w:type="spellEnd"/>
      <w:r w:rsidR="00810CC0" w:rsidRPr="00B83426">
        <w:rPr>
          <w:sz w:val="24"/>
          <w:szCs w:val="24"/>
        </w:rPr>
        <w:t xml:space="preserve"> </w:t>
      </w:r>
      <w:proofErr w:type="spellStart"/>
      <w:r w:rsidR="00810CC0" w:rsidRPr="00B83426">
        <w:rPr>
          <w:sz w:val="24"/>
          <w:szCs w:val="24"/>
        </w:rPr>
        <w:t>Bigg</w:t>
      </w:r>
      <w:proofErr w:type="spellEnd"/>
      <w:r w:rsidR="00810CC0" w:rsidRPr="00B83426">
        <w:rPr>
          <w:sz w:val="24"/>
          <w:szCs w:val="24"/>
        </w:rPr>
        <w:t xml:space="preserve"> Market fans’. </w:t>
      </w:r>
      <w:r w:rsidRPr="00B83426">
        <w:rPr>
          <w:sz w:val="24"/>
          <w:szCs w:val="24"/>
        </w:rPr>
        <w:t xml:space="preserve">Similarly, </w:t>
      </w:r>
      <w:r w:rsidR="005E1B1D" w:rsidRPr="00B83426">
        <w:rPr>
          <w:sz w:val="24"/>
          <w:szCs w:val="24"/>
        </w:rPr>
        <w:t xml:space="preserve">her sister Nicole (24) </w:t>
      </w:r>
      <w:r w:rsidRPr="00B83426">
        <w:rPr>
          <w:sz w:val="24"/>
          <w:szCs w:val="24"/>
        </w:rPr>
        <w:t xml:space="preserve">who identified as proudly ‘Geordie’ and working-class, was careful to distinguish between hard-working locals such as herself and the </w:t>
      </w:r>
      <w:r w:rsidR="005E1B1D" w:rsidRPr="00B83426">
        <w:rPr>
          <w:sz w:val="24"/>
          <w:szCs w:val="24"/>
        </w:rPr>
        <w:t>perceived ‘underclass’ prone to excessive drinking, rowdy behaviour and violence</w:t>
      </w:r>
      <w:r w:rsidRPr="00B83426">
        <w:rPr>
          <w:sz w:val="24"/>
          <w:szCs w:val="24"/>
        </w:rPr>
        <w:t xml:space="preserve"> that she associated with the </w:t>
      </w:r>
      <w:proofErr w:type="spellStart"/>
      <w:r w:rsidRPr="00B83426">
        <w:rPr>
          <w:sz w:val="24"/>
          <w:szCs w:val="24"/>
        </w:rPr>
        <w:t>Bigg</w:t>
      </w:r>
      <w:proofErr w:type="spellEnd"/>
      <w:r w:rsidRPr="00B83426">
        <w:rPr>
          <w:sz w:val="24"/>
          <w:szCs w:val="24"/>
        </w:rPr>
        <w:t xml:space="preserve"> Market</w:t>
      </w:r>
      <w:r w:rsidR="005E1B1D" w:rsidRPr="00B83426">
        <w:rPr>
          <w:sz w:val="24"/>
          <w:szCs w:val="24"/>
        </w:rPr>
        <w:t>.</w:t>
      </w:r>
      <w:r w:rsidRPr="00B83426">
        <w:rPr>
          <w:sz w:val="24"/>
          <w:szCs w:val="24"/>
        </w:rPr>
        <w:t xml:space="preserve"> In this way, these participants could associate themselves with the ‘respectable’ rather than the ‘rough’ wedge of the working class (</w:t>
      </w:r>
      <w:proofErr w:type="spellStart"/>
      <w:r w:rsidRPr="00B83426">
        <w:rPr>
          <w:sz w:val="24"/>
          <w:szCs w:val="24"/>
        </w:rPr>
        <w:t>Nayak</w:t>
      </w:r>
      <w:proofErr w:type="spellEnd"/>
      <w:r w:rsidRPr="00B83426">
        <w:rPr>
          <w:sz w:val="24"/>
          <w:szCs w:val="24"/>
        </w:rPr>
        <w:t xml:space="preserve">, 2003) and could also work, much like their student peers, to tie risk and violence (in all its forms) to a particular dangerous and undesirable space within the city centre and those who frequented it. </w:t>
      </w:r>
      <w:r w:rsidR="005E1B1D" w:rsidRPr="00B83426">
        <w:rPr>
          <w:sz w:val="24"/>
          <w:szCs w:val="24"/>
        </w:rPr>
        <w:t xml:space="preserve"> </w:t>
      </w:r>
      <w:r w:rsidR="006E2656" w:rsidRPr="00B83426">
        <w:rPr>
          <w:sz w:val="24"/>
          <w:szCs w:val="24"/>
        </w:rPr>
        <w:t xml:space="preserve"> </w:t>
      </w:r>
    </w:p>
    <w:p w14:paraId="313D8834" w14:textId="77777777" w:rsidR="00E6218A" w:rsidRPr="00B83426" w:rsidRDefault="00E6218A" w:rsidP="00810CC0">
      <w:pPr>
        <w:spacing w:line="240" w:lineRule="auto"/>
        <w:jc w:val="both"/>
        <w:rPr>
          <w:i/>
          <w:sz w:val="24"/>
          <w:szCs w:val="24"/>
        </w:rPr>
      </w:pPr>
      <w:r w:rsidRPr="00B83426">
        <w:rPr>
          <w:i/>
          <w:sz w:val="24"/>
          <w:szCs w:val="24"/>
        </w:rPr>
        <w:t xml:space="preserve">Conclusion </w:t>
      </w:r>
    </w:p>
    <w:p w14:paraId="209F0158" w14:textId="77777777" w:rsidR="00C81846" w:rsidRPr="00B83426" w:rsidRDefault="001D17BC" w:rsidP="00810CC0">
      <w:pPr>
        <w:spacing w:line="240" w:lineRule="auto"/>
        <w:jc w:val="both"/>
        <w:rPr>
          <w:sz w:val="24"/>
          <w:szCs w:val="24"/>
        </w:rPr>
      </w:pPr>
      <w:r w:rsidRPr="00B83426">
        <w:rPr>
          <w:sz w:val="24"/>
          <w:szCs w:val="24"/>
        </w:rPr>
        <w:t xml:space="preserve">This chapter highlights some of the ways in which young women may talk about their experiences of GBV </w:t>
      </w:r>
      <w:r w:rsidR="005D720C" w:rsidRPr="00B83426">
        <w:rPr>
          <w:sz w:val="24"/>
          <w:szCs w:val="24"/>
        </w:rPr>
        <w:t xml:space="preserve">and risk </w:t>
      </w:r>
      <w:r w:rsidRPr="00B83426">
        <w:rPr>
          <w:sz w:val="24"/>
          <w:szCs w:val="24"/>
        </w:rPr>
        <w:t>on a girls’ night out, and the various ways in w</w:t>
      </w:r>
      <w:r w:rsidR="00873C75" w:rsidRPr="00B83426">
        <w:rPr>
          <w:sz w:val="24"/>
          <w:szCs w:val="24"/>
        </w:rPr>
        <w:t xml:space="preserve">hich they might seek to manage or to </w:t>
      </w:r>
      <w:r w:rsidRPr="00B83426">
        <w:rPr>
          <w:i/>
          <w:sz w:val="24"/>
          <w:szCs w:val="24"/>
        </w:rPr>
        <w:t>accept</w:t>
      </w:r>
      <w:r w:rsidRPr="00B83426">
        <w:rPr>
          <w:sz w:val="24"/>
          <w:szCs w:val="24"/>
        </w:rPr>
        <w:t xml:space="preserve"> a degree of gendered and sexualised risk in the bars, pubs and clubs of the mainstream NTE. As this discussion has shown, there was some tension in the ways in which pa</w:t>
      </w:r>
      <w:r w:rsidR="005D720C" w:rsidRPr="00B83426">
        <w:rPr>
          <w:sz w:val="24"/>
          <w:szCs w:val="24"/>
        </w:rPr>
        <w:t xml:space="preserve">rticipants talked about GBV </w:t>
      </w:r>
      <w:r w:rsidRPr="00B83426">
        <w:rPr>
          <w:sz w:val="24"/>
          <w:szCs w:val="24"/>
        </w:rPr>
        <w:t xml:space="preserve">on night outs, through </w:t>
      </w:r>
      <w:r w:rsidR="00244927" w:rsidRPr="00B83426">
        <w:rPr>
          <w:bCs/>
          <w:iCs/>
          <w:sz w:val="24"/>
          <w:szCs w:val="24"/>
        </w:rPr>
        <w:t>positioning risk</w:t>
      </w:r>
      <w:r w:rsidRPr="00B83426">
        <w:rPr>
          <w:bCs/>
          <w:iCs/>
          <w:sz w:val="24"/>
          <w:szCs w:val="24"/>
        </w:rPr>
        <w:t xml:space="preserve"> as pervasive and omnipresent in the NTE </w:t>
      </w:r>
      <w:r w:rsidRPr="00B83426">
        <w:rPr>
          <w:bCs/>
          <w:i/>
          <w:iCs/>
          <w:sz w:val="24"/>
          <w:szCs w:val="24"/>
        </w:rPr>
        <w:t xml:space="preserve">but </w:t>
      </w:r>
      <w:r w:rsidRPr="00B83426">
        <w:rPr>
          <w:bCs/>
          <w:iCs/>
          <w:sz w:val="24"/>
          <w:szCs w:val="24"/>
        </w:rPr>
        <w:t xml:space="preserve">at the same time associating it with particular venues, settings and parts of town. Interestingly, risk could be simultaneously perceived to be largely </w:t>
      </w:r>
      <w:r w:rsidR="00244927" w:rsidRPr="00B83426">
        <w:rPr>
          <w:bCs/>
          <w:iCs/>
          <w:sz w:val="24"/>
          <w:szCs w:val="24"/>
        </w:rPr>
        <w:t>confined to</w:t>
      </w:r>
      <w:r w:rsidRPr="00B83426">
        <w:rPr>
          <w:bCs/>
          <w:iCs/>
          <w:sz w:val="24"/>
          <w:szCs w:val="24"/>
        </w:rPr>
        <w:t xml:space="preserve"> particular ‘rough’ areas in the city </w:t>
      </w:r>
      <w:r w:rsidR="00C81846" w:rsidRPr="00B83426">
        <w:rPr>
          <w:bCs/>
          <w:iCs/>
          <w:sz w:val="24"/>
          <w:szCs w:val="24"/>
        </w:rPr>
        <w:t>centre</w:t>
      </w:r>
      <w:r w:rsidRPr="00B83426">
        <w:rPr>
          <w:bCs/>
          <w:iCs/>
          <w:sz w:val="24"/>
          <w:szCs w:val="24"/>
        </w:rPr>
        <w:t>, yet at the same time, a degree of GBV (</w:t>
      </w:r>
      <w:r w:rsidR="00C81846" w:rsidRPr="00B83426">
        <w:rPr>
          <w:bCs/>
          <w:iCs/>
          <w:sz w:val="24"/>
          <w:szCs w:val="24"/>
        </w:rPr>
        <w:t>part</w:t>
      </w:r>
      <w:r w:rsidRPr="00B83426">
        <w:rPr>
          <w:bCs/>
          <w:iCs/>
          <w:sz w:val="24"/>
          <w:szCs w:val="24"/>
        </w:rPr>
        <w:t xml:space="preserve">icularly in the form of being groped, </w:t>
      </w:r>
      <w:r w:rsidR="00C81846" w:rsidRPr="00B83426">
        <w:rPr>
          <w:bCs/>
          <w:iCs/>
          <w:sz w:val="24"/>
          <w:szCs w:val="24"/>
        </w:rPr>
        <w:t>stared</w:t>
      </w:r>
      <w:r w:rsidRPr="00B83426">
        <w:rPr>
          <w:bCs/>
          <w:iCs/>
          <w:sz w:val="24"/>
          <w:szCs w:val="24"/>
        </w:rPr>
        <w:t xml:space="preserve"> at or verbally harassed) was regarded as an </w:t>
      </w:r>
      <w:r w:rsidR="00FF1BA2" w:rsidRPr="00B83426">
        <w:rPr>
          <w:sz w:val="24"/>
          <w:szCs w:val="24"/>
        </w:rPr>
        <w:t>embedded and normalised part of</w:t>
      </w:r>
      <w:r w:rsidR="00A83F02" w:rsidRPr="00B83426">
        <w:rPr>
          <w:sz w:val="24"/>
          <w:szCs w:val="24"/>
        </w:rPr>
        <w:t xml:space="preserve"> the entire mainstream nightlife scene.</w:t>
      </w:r>
      <w:r w:rsidR="00C81846" w:rsidRPr="00B83426">
        <w:rPr>
          <w:sz w:val="24"/>
          <w:szCs w:val="24"/>
        </w:rPr>
        <w:t xml:space="preserve"> </w:t>
      </w:r>
    </w:p>
    <w:p w14:paraId="0F034744" w14:textId="77777777" w:rsidR="00C81846" w:rsidRPr="00B83426" w:rsidRDefault="00C81846" w:rsidP="00810CC0">
      <w:pPr>
        <w:spacing w:line="240" w:lineRule="auto"/>
        <w:jc w:val="both"/>
        <w:rPr>
          <w:sz w:val="24"/>
          <w:szCs w:val="24"/>
        </w:rPr>
      </w:pPr>
      <w:r w:rsidRPr="00B83426">
        <w:rPr>
          <w:sz w:val="24"/>
          <w:szCs w:val="24"/>
        </w:rPr>
        <w:t>On the one hand, it is perhaps unsurprising that young women may work to ‘contain’ risk in particular geographical areas</w:t>
      </w:r>
      <w:r w:rsidR="00F219FD" w:rsidRPr="00B83426">
        <w:rPr>
          <w:sz w:val="24"/>
          <w:szCs w:val="24"/>
        </w:rPr>
        <w:t xml:space="preserve">, a strategy noted in other research where regarding certain areas as risky or ‘off-limits’ is a common safekeeping strategy (Green and Singleton, 2006). </w:t>
      </w:r>
      <w:r w:rsidR="00CC64F8" w:rsidRPr="00B83426">
        <w:rPr>
          <w:sz w:val="24"/>
          <w:szCs w:val="24"/>
        </w:rPr>
        <w:t>W</w:t>
      </w:r>
      <w:r w:rsidR="00A40A51" w:rsidRPr="00B83426">
        <w:rPr>
          <w:sz w:val="24"/>
          <w:szCs w:val="24"/>
        </w:rPr>
        <w:t xml:space="preserve">omen may work to justify their continued presence in these spaces through positioning the venues they frequent as less risky or problematic than other parts of town. Crucially, the drawing of lines and boundaries around more or less ‘risky’ spaces is as much about risky </w:t>
      </w:r>
      <w:r w:rsidR="00A40A51" w:rsidRPr="00B83426">
        <w:rPr>
          <w:i/>
          <w:sz w:val="24"/>
          <w:szCs w:val="24"/>
        </w:rPr>
        <w:t>people</w:t>
      </w:r>
      <w:r w:rsidR="00873C75" w:rsidRPr="00B83426">
        <w:rPr>
          <w:sz w:val="24"/>
          <w:szCs w:val="24"/>
        </w:rPr>
        <w:t xml:space="preserve"> as it is about geography; social </w:t>
      </w:r>
      <w:r w:rsidR="00A40A51" w:rsidRPr="00B83426">
        <w:rPr>
          <w:sz w:val="24"/>
          <w:szCs w:val="24"/>
        </w:rPr>
        <w:t xml:space="preserve">class (intersecting with age and </w:t>
      </w:r>
      <w:r w:rsidR="00873C75" w:rsidRPr="00B83426">
        <w:rPr>
          <w:sz w:val="24"/>
          <w:szCs w:val="24"/>
        </w:rPr>
        <w:t>student/local distinctions</w:t>
      </w:r>
      <w:r w:rsidR="00A40A51" w:rsidRPr="00B83426">
        <w:rPr>
          <w:sz w:val="24"/>
          <w:szCs w:val="24"/>
        </w:rPr>
        <w:t xml:space="preserve">) was central to the ways in which the participants </w:t>
      </w:r>
      <w:r w:rsidR="00244927" w:rsidRPr="00B83426">
        <w:rPr>
          <w:sz w:val="24"/>
          <w:szCs w:val="24"/>
        </w:rPr>
        <w:t xml:space="preserve">positioned the </w:t>
      </w:r>
      <w:proofErr w:type="spellStart"/>
      <w:r w:rsidR="00244927" w:rsidRPr="00B83426">
        <w:rPr>
          <w:sz w:val="24"/>
          <w:szCs w:val="24"/>
        </w:rPr>
        <w:t>Bigg</w:t>
      </w:r>
      <w:proofErr w:type="spellEnd"/>
      <w:r w:rsidR="00244927" w:rsidRPr="00B83426">
        <w:rPr>
          <w:sz w:val="24"/>
          <w:szCs w:val="24"/>
        </w:rPr>
        <w:t xml:space="preserve"> Market as a site of risk. Whilst the nature of the space itself </w:t>
      </w:r>
      <w:r w:rsidR="00244927" w:rsidRPr="00B83426">
        <w:rPr>
          <w:i/>
          <w:sz w:val="24"/>
          <w:szCs w:val="24"/>
        </w:rPr>
        <w:t>was</w:t>
      </w:r>
      <w:r w:rsidR="00244927" w:rsidRPr="00B83426">
        <w:rPr>
          <w:sz w:val="24"/>
          <w:szCs w:val="24"/>
        </w:rPr>
        <w:t xml:space="preserve"> important - the tightly-packed venues, the activity spilling out onto the cobbled streets – anxiety was often centred around who was seen to occupy that space and frequent the venues there. In this way, the findings build upon earlier work suggesting class and student/local distinctions may be important for women in conceptualising risk (Holt and Griffin, 2005; Wattis et al, 2011). </w:t>
      </w:r>
    </w:p>
    <w:p w14:paraId="0BD1BB52" w14:textId="77777777" w:rsidR="001D17BC" w:rsidRPr="00B83426" w:rsidRDefault="00244927" w:rsidP="00810CC0">
      <w:pPr>
        <w:spacing w:line="240" w:lineRule="auto"/>
        <w:jc w:val="both"/>
        <w:rPr>
          <w:sz w:val="24"/>
          <w:szCs w:val="24"/>
        </w:rPr>
      </w:pPr>
      <w:r w:rsidRPr="00B83426">
        <w:rPr>
          <w:sz w:val="24"/>
          <w:szCs w:val="24"/>
        </w:rPr>
        <w:t>On the other hand, women struggled to reconcile the notion that risk is confined to certain ‘no-go’ spaces, as forms of GBV quite obviously affected them in myriad ways</w:t>
      </w:r>
      <w:r w:rsidR="005D720C" w:rsidRPr="00B83426">
        <w:rPr>
          <w:sz w:val="24"/>
          <w:szCs w:val="24"/>
        </w:rPr>
        <w:t>, even</w:t>
      </w:r>
      <w:r w:rsidRPr="00B83426">
        <w:rPr>
          <w:sz w:val="24"/>
          <w:szCs w:val="24"/>
        </w:rPr>
        <w:t xml:space="preserve"> in the </w:t>
      </w:r>
      <w:r w:rsidRPr="00B83426">
        <w:rPr>
          <w:sz w:val="24"/>
          <w:szCs w:val="24"/>
        </w:rPr>
        <w:lastRenderedPageBreak/>
        <w:t xml:space="preserve">spaces that they depicted as more </w:t>
      </w:r>
      <w:r w:rsidR="005D720C" w:rsidRPr="00B83426">
        <w:rPr>
          <w:sz w:val="24"/>
          <w:szCs w:val="24"/>
        </w:rPr>
        <w:t>comfortable, familiar and safe</w:t>
      </w:r>
      <w:r w:rsidRPr="00B83426">
        <w:rPr>
          <w:sz w:val="24"/>
          <w:szCs w:val="24"/>
        </w:rPr>
        <w:t xml:space="preserve">. </w:t>
      </w:r>
      <w:r w:rsidR="00C81846" w:rsidRPr="00B83426">
        <w:rPr>
          <w:sz w:val="24"/>
          <w:szCs w:val="24"/>
        </w:rPr>
        <w:t xml:space="preserve">It was clear from the data that any claims the NTE in the UK has been ‘feminised’ must be treated with caution, as mainstream nightlife venues ‘remain highly masculinised in terms of the male domination of space and the policing of compulsory heterosexuality’ (Chatterton and Hollands 2003: 148). In such spaces, particular patterns of (hetero)sexualised behaviour and interaction may be normalised to such an extent that we see </w:t>
      </w:r>
      <w:r w:rsidR="00C81846" w:rsidRPr="00B83426">
        <w:rPr>
          <w:rFonts w:cs="Times New Roman"/>
          <w:sz w:val="24"/>
          <w:szCs w:val="24"/>
        </w:rPr>
        <w:t>‘a blurring of definitional boundaries regarding what constitutes sexual victimisation versus normal heterosexual behaviour’ (</w:t>
      </w:r>
      <w:proofErr w:type="spellStart"/>
      <w:r w:rsidR="00C81846" w:rsidRPr="00B83426">
        <w:rPr>
          <w:rFonts w:cs="Times New Roman"/>
          <w:sz w:val="24"/>
          <w:szCs w:val="24"/>
        </w:rPr>
        <w:t>Kavanaugh</w:t>
      </w:r>
      <w:proofErr w:type="spellEnd"/>
      <w:r w:rsidR="00C81846" w:rsidRPr="00B83426">
        <w:rPr>
          <w:rFonts w:cs="Times New Roman"/>
          <w:sz w:val="24"/>
          <w:szCs w:val="24"/>
        </w:rPr>
        <w:t xml:space="preserve"> 2013: 29). The normalisation of harassment and other forms of GBV in such contexts is compounded by the expectation that women should try to downplay it, ignore it or meet it wi</w:t>
      </w:r>
      <w:r w:rsidR="005D720C" w:rsidRPr="00B83426">
        <w:rPr>
          <w:rFonts w:cs="Times New Roman"/>
          <w:sz w:val="24"/>
          <w:szCs w:val="24"/>
        </w:rPr>
        <w:t>th strategies such as polite</w:t>
      </w:r>
      <w:r w:rsidR="00C81846" w:rsidRPr="00B83426">
        <w:rPr>
          <w:rFonts w:cs="Times New Roman"/>
          <w:sz w:val="24"/>
          <w:szCs w:val="24"/>
        </w:rPr>
        <w:t xml:space="preserve"> dismissal or humour. </w:t>
      </w:r>
    </w:p>
    <w:p w14:paraId="080BF470" w14:textId="77777777" w:rsidR="00244927" w:rsidRPr="00B83426" w:rsidRDefault="00244927" w:rsidP="00810CC0">
      <w:pPr>
        <w:spacing w:line="240" w:lineRule="auto"/>
        <w:jc w:val="both"/>
        <w:rPr>
          <w:sz w:val="24"/>
          <w:szCs w:val="24"/>
        </w:rPr>
      </w:pPr>
      <w:r w:rsidRPr="00B83426">
        <w:rPr>
          <w:sz w:val="24"/>
          <w:szCs w:val="24"/>
        </w:rPr>
        <w:t>It is important</w:t>
      </w:r>
      <w:r w:rsidR="00873C75" w:rsidRPr="00B83426">
        <w:rPr>
          <w:sz w:val="24"/>
          <w:szCs w:val="24"/>
        </w:rPr>
        <w:t xml:space="preserve"> to</w:t>
      </w:r>
      <w:r w:rsidR="00E6218A" w:rsidRPr="00B83426">
        <w:rPr>
          <w:sz w:val="24"/>
          <w:szCs w:val="24"/>
        </w:rPr>
        <w:t xml:space="preserve"> consider the i</w:t>
      </w:r>
      <w:r w:rsidR="008E1216" w:rsidRPr="00B83426">
        <w:rPr>
          <w:sz w:val="24"/>
          <w:szCs w:val="24"/>
        </w:rPr>
        <w:t xml:space="preserve">mplications this has for women </w:t>
      </w:r>
      <w:r w:rsidR="00E6218A" w:rsidRPr="00B83426">
        <w:rPr>
          <w:sz w:val="24"/>
          <w:szCs w:val="24"/>
        </w:rPr>
        <w:t xml:space="preserve">of a range of sexualities as they </w:t>
      </w:r>
      <w:r w:rsidR="008E1216" w:rsidRPr="00B83426">
        <w:rPr>
          <w:sz w:val="24"/>
          <w:szCs w:val="24"/>
        </w:rPr>
        <w:t xml:space="preserve">use, move through and occupy public spaces that are highly (hetero)sexualised and where a degree of unwanted attention or harassment is normalised and expected. </w:t>
      </w:r>
      <w:r w:rsidRPr="00B83426">
        <w:rPr>
          <w:sz w:val="24"/>
          <w:szCs w:val="24"/>
        </w:rPr>
        <w:t xml:space="preserve">Whilst the perceived confinement of risk to particular spaces or venues comes with its own consequences (for example in terms of limiting women’s ability to feel that they can move freely through public space), the normalisation of GBV across the NTE – and perhaps more widely – is an issue of </w:t>
      </w:r>
      <w:r w:rsidR="00873C75" w:rsidRPr="00B83426">
        <w:rPr>
          <w:sz w:val="24"/>
          <w:szCs w:val="24"/>
        </w:rPr>
        <w:t xml:space="preserve">even </w:t>
      </w:r>
      <w:r w:rsidRPr="00B83426">
        <w:rPr>
          <w:sz w:val="24"/>
          <w:szCs w:val="24"/>
        </w:rPr>
        <w:t xml:space="preserve">greater significance. The labelling of </w:t>
      </w:r>
      <w:r w:rsidR="00873C75" w:rsidRPr="00B83426">
        <w:rPr>
          <w:sz w:val="24"/>
          <w:szCs w:val="24"/>
        </w:rPr>
        <w:t>being stared at, groped or harassed</w:t>
      </w:r>
      <w:r w:rsidRPr="00B83426">
        <w:rPr>
          <w:sz w:val="24"/>
          <w:szCs w:val="24"/>
        </w:rPr>
        <w:t xml:space="preserve"> as ‘everyday’ or </w:t>
      </w:r>
      <w:r w:rsidR="002B45E1" w:rsidRPr="00B83426">
        <w:rPr>
          <w:sz w:val="24"/>
          <w:szCs w:val="24"/>
        </w:rPr>
        <w:t xml:space="preserve">expected may help to legitimise </w:t>
      </w:r>
      <w:r w:rsidRPr="00B83426">
        <w:rPr>
          <w:sz w:val="24"/>
          <w:szCs w:val="24"/>
        </w:rPr>
        <w:t xml:space="preserve">a broader spectrum of GBV and reinforce the idea that women should </w:t>
      </w:r>
      <w:r w:rsidR="002B45E1" w:rsidRPr="00B83426">
        <w:rPr>
          <w:sz w:val="24"/>
          <w:szCs w:val="24"/>
        </w:rPr>
        <w:t xml:space="preserve">both </w:t>
      </w:r>
      <w:r w:rsidRPr="00B83426">
        <w:rPr>
          <w:sz w:val="24"/>
          <w:szCs w:val="24"/>
        </w:rPr>
        <w:t>expect</w:t>
      </w:r>
      <w:r w:rsidRPr="00B83426">
        <w:rPr>
          <w:i/>
          <w:sz w:val="24"/>
          <w:szCs w:val="24"/>
        </w:rPr>
        <w:t xml:space="preserve"> </w:t>
      </w:r>
      <w:r w:rsidR="00873C75" w:rsidRPr="00B83426">
        <w:rPr>
          <w:sz w:val="24"/>
          <w:szCs w:val="24"/>
        </w:rPr>
        <w:t xml:space="preserve">and accept </w:t>
      </w:r>
      <w:r w:rsidRPr="00B83426">
        <w:rPr>
          <w:sz w:val="24"/>
          <w:szCs w:val="24"/>
        </w:rPr>
        <w:t>GBV in their dai</w:t>
      </w:r>
      <w:r w:rsidR="002B45E1" w:rsidRPr="00B83426">
        <w:rPr>
          <w:sz w:val="24"/>
          <w:szCs w:val="24"/>
        </w:rPr>
        <w:t>ly lives</w:t>
      </w:r>
      <w:r w:rsidRPr="00B83426">
        <w:rPr>
          <w:sz w:val="24"/>
          <w:szCs w:val="24"/>
        </w:rPr>
        <w:t>.</w:t>
      </w:r>
    </w:p>
    <w:p w14:paraId="4DAD1047" w14:textId="77777777" w:rsidR="00244927" w:rsidRPr="00B83426" w:rsidRDefault="00244927" w:rsidP="00810CC0">
      <w:pPr>
        <w:spacing w:line="240" w:lineRule="auto"/>
        <w:jc w:val="both"/>
        <w:rPr>
          <w:sz w:val="24"/>
          <w:szCs w:val="24"/>
        </w:rPr>
      </w:pPr>
    </w:p>
    <w:p w14:paraId="0356585A" w14:textId="77777777" w:rsidR="00244927" w:rsidRPr="00B83426" w:rsidRDefault="00244927" w:rsidP="00810CC0">
      <w:pPr>
        <w:spacing w:line="240" w:lineRule="auto"/>
        <w:jc w:val="both"/>
        <w:rPr>
          <w:sz w:val="24"/>
          <w:szCs w:val="24"/>
        </w:rPr>
      </w:pPr>
    </w:p>
    <w:p w14:paraId="22881F08" w14:textId="77777777" w:rsidR="00244927" w:rsidRPr="00B83426" w:rsidRDefault="00244927" w:rsidP="00810CC0">
      <w:pPr>
        <w:spacing w:line="240" w:lineRule="auto"/>
        <w:jc w:val="both"/>
        <w:rPr>
          <w:sz w:val="24"/>
          <w:szCs w:val="24"/>
        </w:rPr>
      </w:pPr>
    </w:p>
    <w:p w14:paraId="5B1B416F" w14:textId="77777777" w:rsidR="006E2656" w:rsidRPr="00B83426" w:rsidRDefault="006E2656" w:rsidP="00810CC0">
      <w:pPr>
        <w:spacing w:after="0" w:line="240" w:lineRule="auto"/>
        <w:jc w:val="both"/>
        <w:rPr>
          <w:rFonts w:cs="Times New Roman"/>
          <w:sz w:val="24"/>
          <w:szCs w:val="24"/>
        </w:rPr>
      </w:pPr>
    </w:p>
    <w:p w14:paraId="3FAA1CC3" w14:textId="77777777" w:rsidR="00755AF2" w:rsidRPr="00B83426" w:rsidRDefault="00755AF2" w:rsidP="00810CC0">
      <w:pPr>
        <w:spacing w:line="240" w:lineRule="auto"/>
        <w:jc w:val="both"/>
        <w:rPr>
          <w:sz w:val="24"/>
          <w:szCs w:val="24"/>
        </w:rPr>
      </w:pPr>
    </w:p>
    <w:p w14:paraId="7C1E2BB8" w14:textId="77777777" w:rsidR="00E6218A" w:rsidRPr="00B83426" w:rsidRDefault="00E6218A" w:rsidP="00810CC0">
      <w:pPr>
        <w:spacing w:line="240" w:lineRule="auto"/>
        <w:jc w:val="both"/>
        <w:rPr>
          <w:sz w:val="24"/>
          <w:szCs w:val="24"/>
        </w:rPr>
      </w:pPr>
    </w:p>
    <w:p w14:paraId="2C802B9B" w14:textId="77777777" w:rsidR="001D17BC" w:rsidRPr="00B83426" w:rsidRDefault="00D35520" w:rsidP="00810CC0">
      <w:pPr>
        <w:autoSpaceDE w:val="0"/>
        <w:autoSpaceDN w:val="0"/>
        <w:adjustRightInd w:val="0"/>
        <w:spacing w:after="0" w:line="240" w:lineRule="auto"/>
        <w:rPr>
          <w:sz w:val="24"/>
          <w:szCs w:val="24"/>
        </w:rPr>
      </w:pPr>
      <w:r w:rsidRPr="00B83426">
        <w:rPr>
          <w:b/>
          <w:sz w:val="24"/>
          <w:szCs w:val="24"/>
        </w:rPr>
        <w:br w:type="page"/>
      </w:r>
    </w:p>
    <w:p w14:paraId="4C15933A" w14:textId="77777777" w:rsidR="00897FA9" w:rsidRPr="00B83426" w:rsidRDefault="00897FA9" w:rsidP="00810CC0">
      <w:pPr>
        <w:spacing w:line="240" w:lineRule="auto"/>
        <w:jc w:val="both"/>
        <w:rPr>
          <w:b/>
          <w:sz w:val="24"/>
          <w:szCs w:val="24"/>
        </w:rPr>
      </w:pPr>
      <w:r w:rsidRPr="00B83426">
        <w:rPr>
          <w:b/>
          <w:sz w:val="24"/>
          <w:szCs w:val="24"/>
        </w:rPr>
        <w:lastRenderedPageBreak/>
        <w:t>References</w:t>
      </w:r>
    </w:p>
    <w:p w14:paraId="72BE0191" w14:textId="50864ED9" w:rsidR="004D0DB1" w:rsidRPr="00B83426" w:rsidRDefault="004D0DB1" w:rsidP="00810CC0">
      <w:pPr>
        <w:spacing w:after="0" w:line="240" w:lineRule="auto"/>
        <w:rPr>
          <w:sz w:val="24"/>
          <w:szCs w:val="24"/>
        </w:rPr>
      </w:pPr>
      <w:proofErr w:type="spellStart"/>
      <w:r w:rsidRPr="00B83426">
        <w:rPr>
          <w:sz w:val="24"/>
          <w:szCs w:val="24"/>
        </w:rPr>
        <w:t>Anitha</w:t>
      </w:r>
      <w:proofErr w:type="spellEnd"/>
      <w:r w:rsidRPr="00B83426">
        <w:rPr>
          <w:sz w:val="24"/>
          <w:szCs w:val="24"/>
        </w:rPr>
        <w:t>, S., Jordan, A., Jameson, J., and Dav</w:t>
      </w:r>
      <w:r w:rsidR="00C02019">
        <w:rPr>
          <w:sz w:val="24"/>
          <w:szCs w:val="24"/>
        </w:rPr>
        <w:t>y, Z. (2020) ‘A balancing act: a</w:t>
      </w:r>
      <w:r w:rsidRPr="00B83426">
        <w:rPr>
          <w:sz w:val="24"/>
          <w:szCs w:val="24"/>
        </w:rPr>
        <w:t xml:space="preserve">gency and constraints in university students’ understanding of and responses to sexual violence in the night-time economy’,  </w:t>
      </w:r>
      <w:r w:rsidRPr="00B83426">
        <w:rPr>
          <w:i/>
          <w:sz w:val="24"/>
          <w:szCs w:val="24"/>
        </w:rPr>
        <w:t xml:space="preserve">Violence </w:t>
      </w:r>
      <w:r w:rsidR="00724782">
        <w:rPr>
          <w:i/>
          <w:sz w:val="24"/>
          <w:szCs w:val="24"/>
        </w:rPr>
        <w:t>Against W</w:t>
      </w:r>
      <w:r w:rsidRPr="00B83426">
        <w:rPr>
          <w:i/>
          <w:sz w:val="24"/>
          <w:szCs w:val="24"/>
        </w:rPr>
        <w:t>omen</w:t>
      </w:r>
      <w:r w:rsidRPr="00B83426">
        <w:rPr>
          <w:sz w:val="24"/>
          <w:szCs w:val="24"/>
        </w:rPr>
        <w:t>,</w:t>
      </w:r>
      <w:r w:rsidRPr="00B83426">
        <w:rPr>
          <w:rFonts w:cstheme="minorHAnsi"/>
          <w:sz w:val="24"/>
          <w:szCs w:val="24"/>
        </w:rPr>
        <w:t xml:space="preserve"> </w:t>
      </w:r>
      <w:hyperlink r:id="rId8" w:history="1">
        <w:r w:rsidRPr="00B83426">
          <w:rPr>
            <w:rStyle w:val="Hyperlink"/>
            <w:rFonts w:cstheme="minorHAnsi"/>
            <w:color w:val="006ACC"/>
            <w:sz w:val="24"/>
            <w:szCs w:val="24"/>
            <w:shd w:val="clear" w:color="auto" w:fill="FFFFFF"/>
          </w:rPr>
          <w:t>https://doi.org/10.1177/1077801220908325</w:t>
        </w:r>
      </w:hyperlink>
      <w:r w:rsidRPr="00B83426">
        <w:rPr>
          <w:rFonts w:cstheme="minorHAnsi"/>
          <w:sz w:val="24"/>
          <w:szCs w:val="24"/>
        </w:rPr>
        <w:t>.</w:t>
      </w:r>
    </w:p>
    <w:p w14:paraId="7E4F0E49" w14:textId="77777777" w:rsidR="004D0DB1" w:rsidRPr="00B83426" w:rsidRDefault="004D0DB1" w:rsidP="00810CC0">
      <w:pPr>
        <w:spacing w:after="0" w:line="240" w:lineRule="auto"/>
        <w:rPr>
          <w:sz w:val="24"/>
          <w:szCs w:val="24"/>
        </w:rPr>
      </w:pPr>
    </w:p>
    <w:p w14:paraId="39E3F50A" w14:textId="2C530C1B" w:rsidR="00897FA9" w:rsidRPr="00B83426" w:rsidRDefault="00860786" w:rsidP="00810CC0">
      <w:pPr>
        <w:spacing w:after="0" w:line="240" w:lineRule="auto"/>
        <w:rPr>
          <w:sz w:val="24"/>
          <w:szCs w:val="24"/>
        </w:rPr>
      </w:pPr>
      <w:r w:rsidRPr="00B83426">
        <w:rPr>
          <w:sz w:val="24"/>
          <w:szCs w:val="24"/>
        </w:rPr>
        <w:t>Atkinson, A.</w:t>
      </w:r>
      <w:r w:rsidR="00897FA9" w:rsidRPr="00B83426">
        <w:rPr>
          <w:sz w:val="24"/>
          <w:szCs w:val="24"/>
        </w:rPr>
        <w:t xml:space="preserve">M. and </w:t>
      </w:r>
      <w:proofErr w:type="spellStart"/>
      <w:r w:rsidR="00897FA9" w:rsidRPr="00B83426">
        <w:rPr>
          <w:sz w:val="24"/>
          <w:szCs w:val="24"/>
        </w:rPr>
        <w:t>Sumnall</w:t>
      </w:r>
      <w:proofErr w:type="spellEnd"/>
      <w:r w:rsidRPr="00B83426">
        <w:rPr>
          <w:sz w:val="24"/>
          <w:szCs w:val="24"/>
        </w:rPr>
        <w:t>, H.</w:t>
      </w:r>
      <w:r w:rsidR="00886DFB" w:rsidRPr="00B83426">
        <w:rPr>
          <w:sz w:val="24"/>
          <w:szCs w:val="24"/>
        </w:rPr>
        <w:t>R. (2016)</w:t>
      </w:r>
      <w:r w:rsidR="00897FA9" w:rsidRPr="00B83426">
        <w:rPr>
          <w:sz w:val="24"/>
          <w:szCs w:val="24"/>
        </w:rPr>
        <w:t xml:space="preserve"> </w:t>
      </w:r>
      <w:r w:rsidR="00724782">
        <w:rPr>
          <w:sz w:val="24"/>
          <w:szCs w:val="24"/>
        </w:rPr>
        <w:t>‘</w:t>
      </w:r>
      <w:r w:rsidR="00897FA9" w:rsidRPr="00B83426">
        <w:rPr>
          <w:sz w:val="24"/>
          <w:szCs w:val="24"/>
        </w:rPr>
        <w:t>‘If I don’t look</w:t>
      </w:r>
      <w:r w:rsidR="00C02019">
        <w:rPr>
          <w:sz w:val="24"/>
          <w:szCs w:val="24"/>
        </w:rPr>
        <w:t xml:space="preserve"> good, it just doesn’t go up’: a</w:t>
      </w:r>
      <w:r w:rsidR="00897FA9" w:rsidRPr="00B83426">
        <w:rPr>
          <w:sz w:val="24"/>
          <w:szCs w:val="24"/>
        </w:rPr>
        <w:t xml:space="preserve"> qualitative study of young women’s drinking cultures and practices on Social Network Sites</w:t>
      </w:r>
      <w:r w:rsidR="00724782">
        <w:rPr>
          <w:sz w:val="24"/>
          <w:szCs w:val="24"/>
        </w:rPr>
        <w:t xml:space="preserve">’, </w:t>
      </w:r>
      <w:r w:rsidR="00897FA9" w:rsidRPr="00B83426">
        <w:rPr>
          <w:i/>
          <w:sz w:val="24"/>
          <w:szCs w:val="24"/>
        </w:rPr>
        <w:t>International Journal of Drug Policy</w:t>
      </w:r>
      <w:r w:rsidR="00886DFB" w:rsidRPr="00B83426">
        <w:rPr>
          <w:sz w:val="24"/>
          <w:szCs w:val="24"/>
        </w:rPr>
        <w:t>, 38:</w:t>
      </w:r>
      <w:r w:rsidR="00897FA9" w:rsidRPr="00B83426">
        <w:rPr>
          <w:sz w:val="24"/>
          <w:szCs w:val="24"/>
        </w:rPr>
        <w:t xml:space="preserve"> 50-62.</w:t>
      </w:r>
    </w:p>
    <w:p w14:paraId="793C5779" w14:textId="77777777" w:rsidR="00886DFB" w:rsidRPr="00B83426" w:rsidRDefault="00886DFB" w:rsidP="00810CC0">
      <w:pPr>
        <w:spacing w:after="0" w:line="240" w:lineRule="auto"/>
        <w:rPr>
          <w:sz w:val="24"/>
          <w:szCs w:val="24"/>
        </w:rPr>
      </w:pPr>
    </w:p>
    <w:p w14:paraId="1AF4AACE" w14:textId="77777777" w:rsidR="00F47297" w:rsidRPr="00B83426" w:rsidRDefault="00F47297" w:rsidP="00810CC0">
      <w:pPr>
        <w:spacing w:after="0" w:line="240" w:lineRule="auto"/>
        <w:rPr>
          <w:rFonts w:cs="Times New Roman"/>
          <w:sz w:val="24"/>
          <w:szCs w:val="24"/>
        </w:rPr>
      </w:pPr>
      <w:r w:rsidRPr="00B83426">
        <w:rPr>
          <w:rFonts w:cs="Times New Roman"/>
          <w:sz w:val="24"/>
          <w:szCs w:val="24"/>
        </w:rPr>
        <w:t xml:space="preserve">Boyd, J. (2010) ‘Producing Vancouver’s (hetero)normative nightscape’, </w:t>
      </w:r>
      <w:r w:rsidRPr="00B83426">
        <w:rPr>
          <w:rFonts w:cs="Times New Roman"/>
          <w:i/>
          <w:sz w:val="24"/>
          <w:szCs w:val="24"/>
        </w:rPr>
        <w:t xml:space="preserve">Gender, Place </w:t>
      </w:r>
      <w:r w:rsidR="00096E74" w:rsidRPr="00B83426">
        <w:rPr>
          <w:rFonts w:cs="Times New Roman"/>
          <w:i/>
          <w:sz w:val="24"/>
          <w:szCs w:val="24"/>
        </w:rPr>
        <w:t>and</w:t>
      </w:r>
      <w:r w:rsidRPr="00B83426">
        <w:rPr>
          <w:rFonts w:cs="Times New Roman"/>
          <w:i/>
          <w:sz w:val="24"/>
          <w:szCs w:val="24"/>
        </w:rPr>
        <w:t xml:space="preserve"> Culture</w:t>
      </w:r>
      <w:r w:rsidRPr="00B83426">
        <w:rPr>
          <w:rFonts w:cs="Times New Roman"/>
          <w:sz w:val="24"/>
          <w:szCs w:val="24"/>
        </w:rPr>
        <w:t>, 17(2): 169-189.</w:t>
      </w:r>
    </w:p>
    <w:p w14:paraId="37495F67" w14:textId="77777777" w:rsidR="00886DFB" w:rsidRPr="00B83426" w:rsidRDefault="00886DFB" w:rsidP="00810CC0">
      <w:pPr>
        <w:spacing w:after="0" w:line="240" w:lineRule="auto"/>
        <w:rPr>
          <w:sz w:val="24"/>
          <w:szCs w:val="24"/>
        </w:rPr>
      </w:pPr>
    </w:p>
    <w:p w14:paraId="14DDBF99" w14:textId="305E2BBF" w:rsidR="00E91923" w:rsidRPr="00B83426" w:rsidRDefault="00886DFB" w:rsidP="00810CC0">
      <w:pPr>
        <w:spacing w:after="0" w:line="240" w:lineRule="auto"/>
        <w:rPr>
          <w:rFonts w:cs="Times New Roman"/>
          <w:sz w:val="24"/>
          <w:szCs w:val="24"/>
        </w:rPr>
      </w:pPr>
      <w:r w:rsidRPr="00B83426">
        <w:rPr>
          <w:rFonts w:cs="Times New Roman"/>
          <w:sz w:val="24"/>
          <w:szCs w:val="24"/>
        </w:rPr>
        <w:t>Brooks, O. (2008)</w:t>
      </w:r>
      <w:r w:rsidR="00E91923" w:rsidRPr="00B83426">
        <w:rPr>
          <w:rFonts w:cs="Times New Roman"/>
          <w:sz w:val="24"/>
          <w:szCs w:val="24"/>
        </w:rPr>
        <w:t xml:space="preserve"> </w:t>
      </w:r>
      <w:r w:rsidRPr="00B83426">
        <w:rPr>
          <w:rFonts w:cs="Times New Roman"/>
          <w:sz w:val="24"/>
          <w:szCs w:val="24"/>
        </w:rPr>
        <w:t>‘</w:t>
      </w:r>
      <w:r w:rsidR="00E91923" w:rsidRPr="00B83426">
        <w:rPr>
          <w:rFonts w:cs="Times New Roman"/>
          <w:sz w:val="24"/>
          <w:szCs w:val="24"/>
        </w:rPr>
        <w:t xml:space="preserve">Consuming alcohol in bars, pubs and clubs: </w:t>
      </w:r>
      <w:r w:rsidR="00C02019">
        <w:rPr>
          <w:rFonts w:cs="Times New Roman"/>
          <w:sz w:val="24"/>
          <w:szCs w:val="24"/>
        </w:rPr>
        <w:t>a</w:t>
      </w:r>
      <w:r w:rsidR="00E91923" w:rsidRPr="00B83426">
        <w:rPr>
          <w:rFonts w:cs="Times New Roman"/>
          <w:sz w:val="24"/>
          <w:szCs w:val="24"/>
        </w:rPr>
        <w:t xml:space="preserve"> risky freedom for young women?</w:t>
      </w:r>
      <w:r w:rsidRPr="00B83426">
        <w:rPr>
          <w:rFonts w:cs="Times New Roman"/>
          <w:sz w:val="24"/>
          <w:szCs w:val="24"/>
        </w:rPr>
        <w:t>’,</w:t>
      </w:r>
      <w:r w:rsidR="00E91923" w:rsidRPr="00B83426">
        <w:rPr>
          <w:rFonts w:cs="Times New Roman"/>
          <w:sz w:val="24"/>
          <w:szCs w:val="24"/>
        </w:rPr>
        <w:t xml:space="preserve"> </w:t>
      </w:r>
      <w:r w:rsidR="00E91923" w:rsidRPr="00B83426">
        <w:rPr>
          <w:rFonts w:cs="Times New Roman"/>
          <w:i/>
          <w:sz w:val="24"/>
          <w:szCs w:val="24"/>
        </w:rPr>
        <w:t>Annals of Leisure Research</w:t>
      </w:r>
      <w:r w:rsidRPr="00B83426">
        <w:rPr>
          <w:rFonts w:cs="Times New Roman"/>
          <w:sz w:val="24"/>
          <w:szCs w:val="24"/>
        </w:rPr>
        <w:t>, 11(3-4):</w:t>
      </w:r>
      <w:r w:rsidR="00E91923" w:rsidRPr="00B83426">
        <w:rPr>
          <w:rFonts w:cs="Times New Roman"/>
          <w:sz w:val="24"/>
          <w:szCs w:val="24"/>
        </w:rPr>
        <w:t xml:space="preserve"> 331-350.</w:t>
      </w:r>
    </w:p>
    <w:p w14:paraId="1A0C0782" w14:textId="77777777" w:rsidR="00886DFB" w:rsidRPr="00B83426" w:rsidRDefault="00886DFB" w:rsidP="00810CC0">
      <w:pPr>
        <w:spacing w:after="0" w:line="240" w:lineRule="auto"/>
        <w:rPr>
          <w:rFonts w:cs="Times New Roman"/>
          <w:sz w:val="24"/>
          <w:szCs w:val="24"/>
        </w:rPr>
      </w:pPr>
    </w:p>
    <w:p w14:paraId="5A88BF2C" w14:textId="193B3E39" w:rsidR="008B478E" w:rsidRPr="00B83426" w:rsidRDefault="008B478E" w:rsidP="00810CC0">
      <w:pPr>
        <w:spacing w:after="0" w:line="240" w:lineRule="auto"/>
        <w:rPr>
          <w:rFonts w:cs="Times New Roman"/>
          <w:sz w:val="24"/>
          <w:szCs w:val="24"/>
        </w:rPr>
      </w:pPr>
      <w:r w:rsidRPr="00B83426">
        <w:rPr>
          <w:rFonts w:cs="Times New Roman"/>
          <w:sz w:val="24"/>
          <w:szCs w:val="24"/>
        </w:rPr>
        <w:t>Buckley, C. and Fawce</w:t>
      </w:r>
      <w:r w:rsidR="00886DFB" w:rsidRPr="00B83426">
        <w:rPr>
          <w:rFonts w:cs="Times New Roman"/>
          <w:sz w:val="24"/>
          <w:szCs w:val="24"/>
        </w:rPr>
        <w:t xml:space="preserve">tt, H. (2002) </w:t>
      </w:r>
      <w:r w:rsidR="00C02019">
        <w:rPr>
          <w:rFonts w:cs="Times New Roman"/>
          <w:i/>
          <w:sz w:val="24"/>
          <w:szCs w:val="24"/>
        </w:rPr>
        <w:t>Fashioning t</w:t>
      </w:r>
      <w:r w:rsidR="00C02019" w:rsidRPr="00B83426">
        <w:rPr>
          <w:rFonts w:cs="Times New Roman"/>
          <w:i/>
          <w:sz w:val="24"/>
          <w:szCs w:val="24"/>
        </w:rPr>
        <w:t xml:space="preserve">he Feminine: </w:t>
      </w:r>
      <w:r w:rsidR="00C02019">
        <w:rPr>
          <w:rFonts w:cs="Times New Roman"/>
          <w:i/>
          <w:sz w:val="24"/>
          <w:szCs w:val="24"/>
        </w:rPr>
        <w:t>R</w:t>
      </w:r>
      <w:r w:rsidR="00C02019" w:rsidRPr="00B83426">
        <w:rPr>
          <w:rFonts w:cs="Times New Roman"/>
          <w:i/>
          <w:sz w:val="24"/>
          <w:szCs w:val="24"/>
        </w:rPr>
        <w:t>epr</w:t>
      </w:r>
      <w:r w:rsidR="00C02019">
        <w:rPr>
          <w:rFonts w:cs="Times New Roman"/>
          <w:i/>
          <w:sz w:val="24"/>
          <w:szCs w:val="24"/>
        </w:rPr>
        <w:t>esentation And Women's Fashion f</w:t>
      </w:r>
      <w:r w:rsidR="00C02019" w:rsidRPr="00B83426">
        <w:rPr>
          <w:rFonts w:cs="Times New Roman"/>
          <w:i/>
          <w:sz w:val="24"/>
          <w:szCs w:val="24"/>
        </w:rPr>
        <w:t xml:space="preserve">rom </w:t>
      </w:r>
      <w:r w:rsidR="00C02019">
        <w:rPr>
          <w:rFonts w:cs="Times New Roman"/>
          <w:i/>
          <w:sz w:val="24"/>
          <w:szCs w:val="24"/>
        </w:rPr>
        <w:t xml:space="preserve">the Fin de </w:t>
      </w:r>
      <w:proofErr w:type="spellStart"/>
      <w:r w:rsidR="00C02019">
        <w:rPr>
          <w:rFonts w:cs="Times New Roman"/>
          <w:i/>
          <w:sz w:val="24"/>
          <w:szCs w:val="24"/>
        </w:rPr>
        <w:t>Siecle</w:t>
      </w:r>
      <w:proofErr w:type="spellEnd"/>
      <w:r w:rsidR="00C02019">
        <w:rPr>
          <w:rFonts w:cs="Times New Roman"/>
          <w:i/>
          <w:sz w:val="24"/>
          <w:szCs w:val="24"/>
        </w:rPr>
        <w:t xml:space="preserve"> to t</w:t>
      </w:r>
      <w:r w:rsidR="00C02019" w:rsidRPr="00B83426">
        <w:rPr>
          <w:rFonts w:cs="Times New Roman"/>
          <w:i/>
          <w:sz w:val="24"/>
          <w:szCs w:val="24"/>
        </w:rPr>
        <w:t>he Present</w:t>
      </w:r>
      <w:r w:rsidR="00724782">
        <w:rPr>
          <w:rFonts w:cs="Times New Roman"/>
          <w:i/>
          <w:sz w:val="24"/>
          <w:szCs w:val="24"/>
        </w:rPr>
        <w:t>,</w:t>
      </w:r>
      <w:r w:rsidR="002B0EF3" w:rsidRPr="00B83426">
        <w:rPr>
          <w:rFonts w:cs="Times New Roman"/>
          <w:sz w:val="24"/>
          <w:szCs w:val="24"/>
        </w:rPr>
        <w:t xml:space="preserve"> </w:t>
      </w:r>
      <w:r w:rsidR="00886DFB" w:rsidRPr="00B83426">
        <w:rPr>
          <w:rFonts w:cs="Times New Roman"/>
          <w:sz w:val="24"/>
          <w:szCs w:val="24"/>
        </w:rPr>
        <w:t>IB</w:t>
      </w:r>
      <w:r w:rsidRPr="00B83426">
        <w:rPr>
          <w:rFonts w:cs="Times New Roman"/>
          <w:sz w:val="24"/>
          <w:szCs w:val="24"/>
        </w:rPr>
        <w:t xml:space="preserve"> Tauris.</w:t>
      </w:r>
    </w:p>
    <w:p w14:paraId="4B1AD69F" w14:textId="77777777" w:rsidR="00886DFB" w:rsidRPr="00B83426" w:rsidRDefault="00886DFB" w:rsidP="00810CC0">
      <w:pPr>
        <w:spacing w:after="0" w:line="240" w:lineRule="auto"/>
        <w:rPr>
          <w:rFonts w:cs="Times New Roman"/>
          <w:sz w:val="24"/>
          <w:szCs w:val="24"/>
        </w:rPr>
      </w:pPr>
    </w:p>
    <w:p w14:paraId="5FA87138" w14:textId="34094CE9" w:rsidR="004D763D" w:rsidRPr="00B83426" w:rsidRDefault="004D763D" w:rsidP="00810CC0">
      <w:pPr>
        <w:spacing w:after="0" w:line="240" w:lineRule="auto"/>
        <w:jc w:val="both"/>
        <w:rPr>
          <w:rFonts w:eastAsia="Calibri" w:cstheme="minorHAnsi"/>
          <w:noProof/>
          <w:sz w:val="24"/>
          <w:szCs w:val="24"/>
        </w:rPr>
      </w:pPr>
      <w:bookmarkStart w:id="1" w:name="_ENREF_6"/>
      <w:r w:rsidRPr="00B83426">
        <w:rPr>
          <w:rFonts w:eastAsia="Calibri" w:cstheme="minorHAnsi"/>
          <w:noProof/>
          <w:sz w:val="24"/>
          <w:szCs w:val="24"/>
        </w:rPr>
        <w:t xml:space="preserve">Butler, J. (1990) </w:t>
      </w:r>
      <w:r w:rsidRPr="00B83426">
        <w:rPr>
          <w:rFonts w:eastAsia="Calibri" w:cstheme="minorHAnsi"/>
          <w:i/>
          <w:noProof/>
          <w:sz w:val="24"/>
          <w:szCs w:val="24"/>
        </w:rPr>
        <w:t>Gender Trouble: Feminism and the Subversion o</w:t>
      </w:r>
      <w:r w:rsidR="00724782">
        <w:rPr>
          <w:rFonts w:eastAsia="Calibri" w:cstheme="minorHAnsi"/>
          <w:i/>
          <w:noProof/>
          <w:sz w:val="24"/>
          <w:szCs w:val="24"/>
        </w:rPr>
        <w:t xml:space="preserve">f Identity, </w:t>
      </w:r>
      <w:r w:rsidRPr="00B83426">
        <w:rPr>
          <w:rFonts w:eastAsia="Calibri" w:cstheme="minorHAnsi"/>
          <w:noProof/>
          <w:sz w:val="24"/>
          <w:szCs w:val="24"/>
        </w:rPr>
        <w:t>Routledge.</w:t>
      </w:r>
    </w:p>
    <w:bookmarkEnd w:id="1"/>
    <w:p w14:paraId="5C0C5AEB" w14:textId="77777777" w:rsidR="00886DFB" w:rsidRPr="00B83426" w:rsidRDefault="00886DFB" w:rsidP="00810CC0">
      <w:pPr>
        <w:spacing w:after="0" w:line="240" w:lineRule="auto"/>
        <w:rPr>
          <w:rFonts w:cs="Times New Roman"/>
          <w:sz w:val="24"/>
          <w:szCs w:val="24"/>
        </w:rPr>
      </w:pPr>
    </w:p>
    <w:p w14:paraId="6108C096" w14:textId="54FE014A" w:rsidR="004D0DB1" w:rsidRPr="00B83426" w:rsidRDefault="004D0DB1" w:rsidP="00810CC0">
      <w:pPr>
        <w:spacing w:after="0" w:line="240" w:lineRule="auto"/>
        <w:rPr>
          <w:rFonts w:cs="Times New Roman"/>
          <w:sz w:val="24"/>
          <w:szCs w:val="24"/>
          <w:highlight w:val="yellow"/>
        </w:rPr>
      </w:pPr>
      <w:r w:rsidRPr="00B83426">
        <w:rPr>
          <w:rFonts w:cs="Times New Roman"/>
          <w:sz w:val="24"/>
          <w:szCs w:val="24"/>
        </w:rPr>
        <w:t>Campbell, A. (2</w:t>
      </w:r>
      <w:r w:rsidR="00C02019">
        <w:rPr>
          <w:rFonts w:cs="Times New Roman"/>
          <w:sz w:val="24"/>
          <w:szCs w:val="24"/>
        </w:rPr>
        <w:t>005) ‘Keeping the ‘lady’ safe: t</w:t>
      </w:r>
      <w:r w:rsidRPr="00B83426">
        <w:rPr>
          <w:rFonts w:cs="Times New Roman"/>
          <w:sz w:val="24"/>
          <w:szCs w:val="24"/>
        </w:rPr>
        <w:t>he regulation of femininity through crime prevention literature</w:t>
      </w:r>
      <w:r w:rsidRPr="00B83426">
        <w:rPr>
          <w:rFonts w:cs="Times New Roman"/>
          <w:i/>
          <w:sz w:val="24"/>
          <w:szCs w:val="24"/>
        </w:rPr>
        <w:t>’, Critical Criminology</w:t>
      </w:r>
      <w:r w:rsidRPr="00B83426">
        <w:rPr>
          <w:rFonts w:cs="Times New Roman"/>
          <w:sz w:val="24"/>
          <w:szCs w:val="24"/>
        </w:rPr>
        <w:t>, 13(2): 119-140.</w:t>
      </w:r>
    </w:p>
    <w:p w14:paraId="27D124D1" w14:textId="77777777" w:rsidR="004D0DB1" w:rsidRPr="00B83426" w:rsidRDefault="004D0DB1" w:rsidP="00810CC0">
      <w:pPr>
        <w:spacing w:after="0" w:line="240" w:lineRule="auto"/>
        <w:rPr>
          <w:rFonts w:cs="Times New Roman"/>
          <w:sz w:val="24"/>
          <w:szCs w:val="24"/>
        </w:rPr>
      </w:pPr>
    </w:p>
    <w:p w14:paraId="1D7E361A" w14:textId="0595A6A2" w:rsidR="00897FA9" w:rsidRPr="00B83426" w:rsidRDefault="00886DFB" w:rsidP="00810CC0">
      <w:pPr>
        <w:spacing w:after="0" w:line="240" w:lineRule="auto"/>
        <w:rPr>
          <w:rFonts w:cs="Times New Roman"/>
          <w:sz w:val="24"/>
          <w:szCs w:val="24"/>
        </w:rPr>
      </w:pPr>
      <w:r w:rsidRPr="00B83426">
        <w:rPr>
          <w:rFonts w:cs="Times New Roman"/>
          <w:sz w:val="24"/>
          <w:szCs w:val="24"/>
        </w:rPr>
        <w:t>Campbell, H. (2000)</w:t>
      </w:r>
      <w:r w:rsidR="00897FA9" w:rsidRPr="00B83426">
        <w:rPr>
          <w:rFonts w:cs="Times New Roman"/>
          <w:sz w:val="24"/>
          <w:szCs w:val="24"/>
        </w:rPr>
        <w:t xml:space="preserve"> </w:t>
      </w:r>
      <w:r w:rsidRPr="00B83426">
        <w:rPr>
          <w:rFonts w:cs="Times New Roman"/>
          <w:sz w:val="24"/>
          <w:szCs w:val="24"/>
        </w:rPr>
        <w:t>‘</w:t>
      </w:r>
      <w:r w:rsidR="00C02019">
        <w:rPr>
          <w:rFonts w:cs="Times New Roman"/>
          <w:sz w:val="24"/>
          <w:szCs w:val="24"/>
        </w:rPr>
        <w:t>The glass phallus: p</w:t>
      </w:r>
      <w:r w:rsidR="00897FA9" w:rsidRPr="00B83426">
        <w:rPr>
          <w:rFonts w:cs="Times New Roman"/>
          <w:sz w:val="24"/>
          <w:szCs w:val="24"/>
        </w:rPr>
        <w:t>ub(</w:t>
      </w:r>
      <w:proofErr w:type="spellStart"/>
      <w:r w:rsidR="00897FA9" w:rsidRPr="00B83426">
        <w:rPr>
          <w:rFonts w:cs="Times New Roman"/>
          <w:sz w:val="24"/>
          <w:szCs w:val="24"/>
        </w:rPr>
        <w:t>lic</w:t>
      </w:r>
      <w:proofErr w:type="spellEnd"/>
      <w:r w:rsidR="00897FA9" w:rsidRPr="00B83426">
        <w:rPr>
          <w:rFonts w:cs="Times New Roman"/>
          <w:sz w:val="24"/>
          <w:szCs w:val="24"/>
        </w:rPr>
        <w:t>) masculinity and drinking in rural New Zealand</w:t>
      </w:r>
      <w:r w:rsidRPr="00B83426">
        <w:rPr>
          <w:rFonts w:cs="Times New Roman"/>
          <w:sz w:val="24"/>
          <w:szCs w:val="24"/>
        </w:rPr>
        <w:t>’,</w:t>
      </w:r>
      <w:r w:rsidR="00897FA9" w:rsidRPr="00B83426">
        <w:rPr>
          <w:rFonts w:cs="Times New Roman"/>
          <w:sz w:val="24"/>
          <w:szCs w:val="24"/>
        </w:rPr>
        <w:t xml:space="preserve"> </w:t>
      </w:r>
      <w:r w:rsidR="00897FA9" w:rsidRPr="00B83426">
        <w:rPr>
          <w:rFonts w:cs="Times New Roman"/>
          <w:i/>
          <w:sz w:val="24"/>
          <w:szCs w:val="24"/>
        </w:rPr>
        <w:t xml:space="preserve">Rural Sociology, </w:t>
      </w:r>
      <w:r w:rsidRPr="00B83426">
        <w:rPr>
          <w:rFonts w:cs="Times New Roman"/>
          <w:sz w:val="24"/>
          <w:szCs w:val="24"/>
        </w:rPr>
        <w:t xml:space="preserve">64(4): </w:t>
      </w:r>
      <w:r w:rsidR="00897FA9" w:rsidRPr="00B83426">
        <w:rPr>
          <w:rFonts w:cs="Times New Roman"/>
          <w:sz w:val="24"/>
          <w:szCs w:val="24"/>
        </w:rPr>
        <w:t>562-581.</w:t>
      </w:r>
    </w:p>
    <w:p w14:paraId="0DEE4490" w14:textId="77777777" w:rsidR="00886DFB" w:rsidRPr="00B83426" w:rsidRDefault="00886DFB" w:rsidP="00810CC0">
      <w:pPr>
        <w:spacing w:after="0" w:line="240" w:lineRule="auto"/>
        <w:rPr>
          <w:rFonts w:cs="Times New Roman"/>
          <w:sz w:val="24"/>
          <w:szCs w:val="24"/>
        </w:rPr>
      </w:pPr>
    </w:p>
    <w:p w14:paraId="08C8F5DF" w14:textId="3344DD5A" w:rsidR="00E91923" w:rsidRPr="00B83426" w:rsidRDefault="00E91923" w:rsidP="00810CC0">
      <w:pPr>
        <w:spacing w:after="0" w:line="240" w:lineRule="auto"/>
        <w:rPr>
          <w:rFonts w:cs="Times New Roman"/>
          <w:noProof/>
          <w:sz w:val="24"/>
          <w:szCs w:val="24"/>
        </w:rPr>
      </w:pPr>
      <w:r w:rsidRPr="00B83426">
        <w:rPr>
          <w:rFonts w:cs="Times New Roman"/>
          <w:noProof/>
          <w:sz w:val="24"/>
          <w:szCs w:val="24"/>
        </w:rPr>
        <w:t>Chatter</w:t>
      </w:r>
      <w:r w:rsidR="00886DFB" w:rsidRPr="00B83426">
        <w:rPr>
          <w:rFonts w:cs="Times New Roman"/>
          <w:noProof/>
          <w:sz w:val="24"/>
          <w:szCs w:val="24"/>
        </w:rPr>
        <w:t>ton, P. and Hollands, R. (2003)</w:t>
      </w:r>
      <w:r w:rsidRPr="00B83426">
        <w:rPr>
          <w:rFonts w:cs="Times New Roman"/>
          <w:noProof/>
          <w:sz w:val="24"/>
          <w:szCs w:val="24"/>
        </w:rPr>
        <w:t xml:space="preserve"> </w:t>
      </w:r>
      <w:r w:rsidR="00C02019">
        <w:rPr>
          <w:rFonts w:cs="Times New Roman"/>
          <w:i/>
          <w:noProof/>
          <w:sz w:val="24"/>
          <w:szCs w:val="24"/>
        </w:rPr>
        <w:t>Urban nightscapes : Youth Cultures, Pleasure S</w:t>
      </w:r>
      <w:r w:rsidRPr="00B83426">
        <w:rPr>
          <w:rFonts w:cs="Times New Roman"/>
          <w:i/>
          <w:noProof/>
          <w:sz w:val="24"/>
          <w:szCs w:val="24"/>
        </w:rPr>
        <w:t xml:space="preserve">paces and </w:t>
      </w:r>
      <w:r w:rsidR="00C02019">
        <w:rPr>
          <w:rFonts w:cs="Times New Roman"/>
          <w:i/>
          <w:noProof/>
          <w:sz w:val="24"/>
          <w:szCs w:val="24"/>
        </w:rPr>
        <w:t>Corporate P</w:t>
      </w:r>
      <w:r w:rsidRPr="00B83426">
        <w:rPr>
          <w:rFonts w:cs="Times New Roman"/>
          <w:i/>
          <w:noProof/>
          <w:sz w:val="24"/>
          <w:szCs w:val="24"/>
        </w:rPr>
        <w:t>ower</w:t>
      </w:r>
      <w:r w:rsidRPr="00B83426">
        <w:rPr>
          <w:rFonts w:cs="Times New Roman"/>
          <w:noProof/>
          <w:sz w:val="24"/>
          <w:szCs w:val="24"/>
        </w:rPr>
        <w:t>. Routledge.</w:t>
      </w:r>
    </w:p>
    <w:p w14:paraId="208D3046" w14:textId="77777777" w:rsidR="00886DFB" w:rsidRPr="00B83426" w:rsidRDefault="00886DFB" w:rsidP="00810CC0">
      <w:pPr>
        <w:spacing w:after="0" w:line="240" w:lineRule="auto"/>
        <w:rPr>
          <w:rFonts w:cs="Times New Roman"/>
          <w:sz w:val="24"/>
          <w:szCs w:val="24"/>
        </w:rPr>
      </w:pPr>
    </w:p>
    <w:p w14:paraId="6381B31C" w14:textId="77777777" w:rsidR="00E91923" w:rsidRPr="00B83426" w:rsidRDefault="00E91923" w:rsidP="00810CC0">
      <w:pPr>
        <w:spacing w:after="0" w:line="240" w:lineRule="auto"/>
        <w:rPr>
          <w:rFonts w:cs="Times New Roman"/>
          <w:noProof/>
          <w:sz w:val="24"/>
          <w:szCs w:val="24"/>
        </w:rPr>
      </w:pPr>
      <w:bookmarkStart w:id="2" w:name="_ENREF_51"/>
      <w:r w:rsidRPr="00B83426">
        <w:rPr>
          <w:rFonts w:cs="Times New Roman"/>
          <w:noProof/>
          <w:sz w:val="24"/>
          <w:szCs w:val="24"/>
        </w:rPr>
        <w:t xml:space="preserve">Cullen, F. (2011) </w:t>
      </w:r>
      <w:r w:rsidR="00886DFB" w:rsidRPr="00B83426">
        <w:rPr>
          <w:rFonts w:cs="Times New Roman"/>
          <w:noProof/>
          <w:sz w:val="24"/>
          <w:szCs w:val="24"/>
        </w:rPr>
        <w:t>‘</w:t>
      </w:r>
      <w:r w:rsidRPr="00B83426">
        <w:rPr>
          <w:rFonts w:cs="Times New Roman"/>
          <w:noProof/>
          <w:sz w:val="24"/>
          <w:szCs w:val="24"/>
        </w:rPr>
        <w:t>‘The only time I feel girly is when I go out’: Drinking stories, teenage girls, and respectable femininities</w:t>
      </w:r>
      <w:r w:rsidR="00886DFB" w:rsidRPr="00B83426">
        <w:rPr>
          <w:rFonts w:cs="Times New Roman"/>
          <w:noProof/>
          <w:sz w:val="24"/>
          <w:szCs w:val="24"/>
        </w:rPr>
        <w:t>’,</w:t>
      </w:r>
      <w:r w:rsidRPr="00B83426">
        <w:rPr>
          <w:rFonts w:cs="Times New Roman"/>
          <w:noProof/>
          <w:sz w:val="24"/>
          <w:szCs w:val="24"/>
        </w:rPr>
        <w:t xml:space="preserve"> </w:t>
      </w:r>
      <w:r w:rsidRPr="00B83426">
        <w:rPr>
          <w:rFonts w:cs="Times New Roman"/>
          <w:i/>
          <w:noProof/>
          <w:sz w:val="24"/>
          <w:szCs w:val="24"/>
        </w:rPr>
        <w:t>International Journal of Adolescence and Youth</w:t>
      </w:r>
      <w:r w:rsidR="00886DFB" w:rsidRPr="00B83426">
        <w:rPr>
          <w:rFonts w:cs="Times New Roman"/>
          <w:noProof/>
          <w:sz w:val="24"/>
          <w:szCs w:val="24"/>
        </w:rPr>
        <w:t xml:space="preserve">, 16(2): </w:t>
      </w:r>
      <w:r w:rsidRPr="00B83426">
        <w:rPr>
          <w:rFonts w:cs="Times New Roman"/>
          <w:noProof/>
          <w:sz w:val="24"/>
          <w:szCs w:val="24"/>
        </w:rPr>
        <w:t>119-138.</w:t>
      </w:r>
      <w:bookmarkEnd w:id="2"/>
    </w:p>
    <w:p w14:paraId="01C13688" w14:textId="77777777" w:rsidR="00886DFB" w:rsidRPr="00B83426" w:rsidRDefault="00886DFB" w:rsidP="00810CC0">
      <w:pPr>
        <w:spacing w:after="0" w:line="240" w:lineRule="auto"/>
        <w:rPr>
          <w:rFonts w:cs="Times New Roman"/>
          <w:noProof/>
          <w:sz w:val="24"/>
          <w:szCs w:val="24"/>
        </w:rPr>
      </w:pPr>
    </w:p>
    <w:p w14:paraId="6C55AE75" w14:textId="68505C30" w:rsidR="00E91923" w:rsidRPr="00B83426" w:rsidRDefault="00E91923" w:rsidP="00810CC0">
      <w:pPr>
        <w:pStyle w:val="NoSpacing"/>
        <w:rPr>
          <w:sz w:val="24"/>
          <w:szCs w:val="24"/>
        </w:rPr>
      </w:pPr>
      <w:proofErr w:type="spellStart"/>
      <w:r w:rsidRPr="00B83426">
        <w:rPr>
          <w:sz w:val="24"/>
          <w:szCs w:val="24"/>
        </w:rPr>
        <w:t>Fileborn</w:t>
      </w:r>
      <w:proofErr w:type="spellEnd"/>
      <w:r w:rsidRPr="00B83426">
        <w:rPr>
          <w:sz w:val="24"/>
          <w:szCs w:val="24"/>
        </w:rPr>
        <w:t>, B. (2016</w:t>
      </w:r>
      <w:r w:rsidR="00886DFB" w:rsidRPr="00B83426">
        <w:rPr>
          <w:sz w:val="24"/>
          <w:szCs w:val="24"/>
        </w:rPr>
        <w:t>)</w:t>
      </w:r>
      <w:r w:rsidRPr="00B83426">
        <w:rPr>
          <w:sz w:val="24"/>
          <w:szCs w:val="24"/>
        </w:rPr>
        <w:t xml:space="preserve"> </w:t>
      </w:r>
      <w:r w:rsidRPr="00B83426">
        <w:rPr>
          <w:i/>
          <w:sz w:val="24"/>
          <w:szCs w:val="24"/>
        </w:rPr>
        <w:t xml:space="preserve">Reclaiming the Night-Time Economy: Unwanted </w:t>
      </w:r>
      <w:r w:rsidR="00C02019">
        <w:rPr>
          <w:i/>
          <w:sz w:val="24"/>
          <w:szCs w:val="24"/>
        </w:rPr>
        <w:t>Sexual Attention i</w:t>
      </w:r>
      <w:r w:rsidR="00C02019" w:rsidRPr="00B83426">
        <w:rPr>
          <w:i/>
          <w:sz w:val="24"/>
          <w:szCs w:val="24"/>
        </w:rPr>
        <w:t xml:space="preserve">n Pubs </w:t>
      </w:r>
      <w:r w:rsidR="00C02019">
        <w:rPr>
          <w:i/>
          <w:sz w:val="24"/>
          <w:szCs w:val="24"/>
        </w:rPr>
        <w:t>a</w:t>
      </w:r>
      <w:r w:rsidR="00C02019" w:rsidRPr="00B83426">
        <w:rPr>
          <w:i/>
          <w:sz w:val="24"/>
          <w:szCs w:val="24"/>
        </w:rPr>
        <w:t>nd Clubs</w:t>
      </w:r>
      <w:r w:rsidR="00724782">
        <w:rPr>
          <w:sz w:val="24"/>
          <w:szCs w:val="24"/>
        </w:rPr>
        <w:t>,</w:t>
      </w:r>
      <w:r w:rsidRPr="00B83426">
        <w:rPr>
          <w:sz w:val="24"/>
          <w:szCs w:val="24"/>
        </w:rPr>
        <w:t xml:space="preserve"> Palgrave Macmillan. </w:t>
      </w:r>
    </w:p>
    <w:p w14:paraId="2E12C168" w14:textId="77777777" w:rsidR="00E91923" w:rsidRPr="00B83426" w:rsidRDefault="00E91923" w:rsidP="00810CC0">
      <w:pPr>
        <w:spacing w:after="0" w:line="240" w:lineRule="auto"/>
        <w:rPr>
          <w:rFonts w:cs="Times New Roman"/>
          <w:sz w:val="24"/>
          <w:szCs w:val="24"/>
        </w:rPr>
      </w:pPr>
    </w:p>
    <w:p w14:paraId="209289C6" w14:textId="77777777" w:rsidR="00897FA9" w:rsidRPr="00B83426" w:rsidRDefault="00886DFB" w:rsidP="00810CC0">
      <w:pPr>
        <w:spacing w:after="0" w:line="240" w:lineRule="auto"/>
        <w:rPr>
          <w:rFonts w:cs="Times New Roman"/>
          <w:sz w:val="24"/>
          <w:szCs w:val="24"/>
        </w:rPr>
      </w:pPr>
      <w:proofErr w:type="spellStart"/>
      <w:r w:rsidRPr="00B83426">
        <w:rPr>
          <w:rFonts w:cs="Times New Roman"/>
          <w:sz w:val="24"/>
          <w:szCs w:val="24"/>
        </w:rPr>
        <w:t>Gofton</w:t>
      </w:r>
      <w:proofErr w:type="spellEnd"/>
      <w:r w:rsidRPr="00B83426">
        <w:rPr>
          <w:rFonts w:cs="Times New Roman"/>
          <w:sz w:val="24"/>
          <w:szCs w:val="24"/>
        </w:rPr>
        <w:t>, L. (1990)</w:t>
      </w:r>
      <w:r w:rsidR="00897FA9" w:rsidRPr="00B83426">
        <w:rPr>
          <w:rFonts w:cs="Times New Roman"/>
          <w:sz w:val="24"/>
          <w:szCs w:val="24"/>
        </w:rPr>
        <w:t xml:space="preserve"> </w:t>
      </w:r>
      <w:r w:rsidRPr="00B83426">
        <w:rPr>
          <w:rFonts w:cs="Times New Roman"/>
          <w:sz w:val="24"/>
          <w:szCs w:val="24"/>
        </w:rPr>
        <w:t>‘</w:t>
      </w:r>
      <w:r w:rsidR="00897FA9" w:rsidRPr="00B83426">
        <w:rPr>
          <w:rFonts w:cs="Times New Roman"/>
          <w:sz w:val="24"/>
          <w:szCs w:val="24"/>
        </w:rPr>
        <w:t>On the town: drink and the 'new lawlessness'</w:t>
      </w:r>
      <w:r w:rsidRPr="00B83426">
        <w:rPr>
          <w:rFonts w:cs="Times New Roman"/>
          <w:sz w:val="24"/>
          <w:szCs w:val="24"/>
        </w:rPr>
        <w:t>’,</w:t>
      </w:r>
      <w:r w:rsidR="00897FA9" w:rsidRPr="00B83426">
        <w:rPr>
          <w:rFonts w:cs="Times New Roman"/>
          <w:sz w:val="24"/>
          <w:szCs w:val="24"/>
        </w:rPr>
        <w:t xml:space="preserve"> </w:t>
      </w:r>
      <w:r w:rsidR="00897FA9" w:rsidRPr="00B83426">
        <w:rPr>
          <w:rFonts w:cs="Times New Roman"/>
          <w:i/>
          <w:sz w:val="24"/>
          <w:szCs w:val="24"/>
        </w:rPr>
        <w:t>Youth and Policy</w:t>
      </w:r>
      <w:r w:rsidRPr="00B83426">
        <w:rPr>
          <w:rFonts w:cs="Times New Roman"/>
          <w:sz w:val="24"/>
          <w:szCs w:val="24"/>
        </w:rPr>
        <w:t xml:space="preserve">, 29: </w:t>
      </w:r>
      <w:r w:rsidR="00897FA9" w:rsidRPr="00B83426">
        <w:rPr>
          <w:rFonts w:cs="Times New Roman"/>
          <w:sz w:val="24"/>
          <w:szCs w:val="24"/>
        </w:rPr>
        <w:t>33-39. </w:t>
      </w:r>
    </w:p>
    <w:p w14:paraId="30BC4659" w14:textId="77777777" w:rsidR="00F219FD" w:rsidRPr="00B83426" w:rsidRDefault="00F219FD" w:rsidP="00810CC0">
      <w:pPr>
        <w:spacing w:after="0" w:line="240" w:lineRule="auto"/>
        <w:rPr>
          <w:rFonts w:cs="Times New Roman"/>
          <w:sz w:val="24"/>
          <w:szCs w:val="24"/>
        </w:rPr>
      </w:pPr>
    </w:p>
    <w:p w14:paraId="41E3A0DE" w14:textId="4B514C46" w:rsidR="00501D64" w:rsidRPr="00B83426" w:rsidRDefault="00F47297" w:rsidP="00810CC0">
      <w:pPr>
        <w:spacing w:after="0" w:line="240" w:lineRule="auto"/>
        <w:rPr>
          <w:rFonts w:cs="Times New Roman"/>
          <w:sz w:val="24"/>
          <w:szCs w:val="24"/>
        </w:rPr>
      </w:pPr>
      <w:r w:rsidRPr="00B83426">
        <w:rPr>
          <w:rFonts w:cs="Times New Roman"/>
          <w:sz w:val="24"/>
          <w:szCs w:val="24"/>
        </w:rPr>
        <w:t xml:space="preserve">Green, E. and Singleton, C. (2006) ‘Risky bodies at leisure: </w:t>
      </w:r>
      <w:r w:rsidR="00C02019">
        <w:rPr>
          <w:rFonts w:cs="Times New Roman"/>
          <w:sz w:val="24"/>
          <w:szCs w:val="24"/>
        </w:rPr>
        <w:t>y</w:t>
      </w:r>
      <w:r w:rsidRPr="00B83426">
        <w:rPr>
          <w:rFonts w:cs="Times New Roman"/>
          <w:sz w:val="24"/>
          <w:szCs w:val="24"/>
        </w:rPr>
        <w:t xml:space="preserve">oung women negotiating space and place’, </w:t>
      </w:r>
      <w:r w:rsidRPr="00B83426">
        <w:rPr>
          <w:rFonts w:cs="Times New Roman"/>
          <w:i/>
          <w:sz w:val="24"/>
          <w:szCs w:val="24"/>
        </w:rPr>
        <w:t>Sociology</w:t>
      </w:r>
      <w:r w:rsidRPr="00B83426">
        <w:rPr>
          <w:rFonts w:cs="Times New Roman"/>
          <w:sz w:val="24"/>
          <w:szCs w:val="24"/>
        </w:rPr>
        <w:t>, 40(5): 853-871.</w:t>
      </w:r>
    </w:p>
    <w:p w14:paraId="549F4B00" w14:textId="77777777" w:rsidR="00F47297" w:rsidRPr="00B83426" w:rsidRDefault="00F47297" w:rsidP="00810CC0">
      <w:pPr>
        <w:spacing w:after="0" w:line="240" w:lineRule="auto"/>
        <w:rPr>
          <w:rFonts w:cs="Times New Roman"/>
          <w:sz w:val="24"/>
          <w:szCs w:val="24"/>
        </w:rPr>
      </w:pPr>
    </w:p>
    <w:p w14:paraId="7E0D1D7B" w14:textId="5C5F9A44" w:rsidR="00501D64" w:rsidRPr="00B83426" w:rsidRDefault="00501D64" w:rsidP="00810CC0">
      <w:pPr>
        <w:spacing w:after="0" w:line="240" w:lineRule="auto"/>
        <w:rPr>
          <w:rFonts w:cs="Times New Roman"/>
          <w:sz w:val="24"/>
          <w:szCs w:val="24"/>
        </w:rPr>
      </w:pPr>
      <w:r w:rsidRPr="00B83426">
        <w:rPr>
          <w:sz w:val="24"/>
          <w:szCs w:val="24"/>
        </w:rPr>
        <w:t xml:space="preserve">Griffin, C., </w:t>
      </w:r>
      <w:proofErr w:type="spellStart"/>
      <w:r w:rsidRPr="00B83426">
        <w:rPr>
          <w:sz w:val="24"/>
          <w:szCs w:val="24"/>
        </w:rPr>
        <w:t>Bengry</w:t>
      </w:r>
      <w:proofErr w:type="spellEnd"/>
      <w:r w:rsidRPr="00B83426">
        <w:rPr>
          <w:sz w:val="24"/>
          <w:szCs w:val="24"/>
        </w:rPr>
        <w:t xml:space="preserve">-Howell, A., </w:t>
      </w:r>
      <w:proofErr w:type="spellStart"/>
      <w:r w:rsidRPr="00B83426">
        <w:rPr>
          <w:sz w:val="24"/>
          <w:szCs w:val="24"/>
        </w:rPr>
        <w:t>Hackley</w:t>
      </w:r>
      <w:proofErr w:type="spellEnd"/>
      <w:r w:rsidRPr="00B83426">
        <w:rPr>
          <w:sz w:val="24"/>
          <w:szCs w:val="24"/>
        </w:rPr>
        <w:t xml:space="preserve">, C., Mistral, W. and </w:t>
      </w:r>
      <w:proofErr w:type="spellStart"/>
      <w:r w:rsidRPr="00B83426">
        <w:rPr>
          <w:sz w:val="24"/>
          <w:szCs w:val="24"/>
        </w:rPr>
        <w:t>Szmigin</w:t>
      </w:r>
      <w:proofErr w:type="spellEnd"/>
      <w:r w:rsidRPr="00B83426">
        <w:rPr>
          <w:sz w:val="24"/>
          <w:szCs w:val="24"/>
        </w:rPr>
        <w:t xml:space="preserve">, I. (2009) </w:t>
      </w:r>
      <w:r w:rsidR="00C02019">
        <w:rPr>
          <w:sz w:val="24"/>
          <w:szCs w:val="24"/>
        </w:rPr>
        <w:t>‘'E</w:t>
      </w:r>
      <w:r w:rsidR="00C02019" w:rsidRPr="00B83426">
        <w:rPr>
          <w:sz w:val="24"/>
          <w:szCs w:val="24"/>
        </w:rPr>
        <w:t>very time I do it I annihilate myself': loss of (self-)consciousness and loss of memory in young people's drinking narratives</w:t>
      </w:r>
      <w:r w:rsidR="00C02019">
        <w:rPr>
          <w:sz w:val="24"/>
          <w:szCs w:val="24"/>
        </w:rPr>
        <w:t>’</w:t>
      </w:r>
      <w:r w:rsidR="00886DFB" w:rsidRPr="00B83426">
        <w:rPr>
          <w:sz w:val="24"/>
          <w:szCs w:val="24"/>
        </w:rPr>
        <w:t xml:space="preserve">, </w:t>
      </w:r>
      <w:r w:rsidR="00886DFB" w:rsidRPr="00B83426">
        <w:rPr>
          <w:i/>
          <w:sz w:val="24"/>
          <w:szCs w:val="24"/>
        </w:rPr>
        <w:t>Sociology</w:t>
      </w:r>
      <w:r w:rsidR="00886DFB" w:rsidRPr="00B83426">
        <w:rPr>
          <w:sz w:val="24"/>
          <w:szCs w:val="24"/>
        </w:rPr>
        <w:t xml:space="preserve">, 43(3): </w:t>
      </w:r>
      <w:r w:rsidRPr="00B83426">
        <w:rPr>
          <w:sz w:val="24"/>
          <w:szCs w:val="24"/>
        </w:rPr>
        <w:t>457-476.</w:t>
      </w:r>
    </w:p>
    <w:p w14:paraId="5830F9C2" w14:textId="77777777" w:rsidR="00EC0278" w:rsidRPr="00B83426" w:rsidRDefault="00EC0278" w:rsidP="00810CC0">
      <w:pPr>
        <w:spacing w:after="0" w:line="240" w:lineRule="auto"/>
        <w:rPr>
          <w:rFonts w:cs="Times New Roman"/>
          <w:sz w:val="24"/>
          <w:szCs w:val="24"/>
        </w:rPr>
      </w:pPr>
      <w:bookmarkStart w:id="3" w:name="_ENREF_101"/>
    </w:p>
    <w:p w14:paraId="69EA6DE7" w14:textId="0A40CC46" w:rsidR="00EC0278" w:rsidRPr="00B83426" w:rsidRDefault="00EC0278" w:rsidP="00810CC0">
      <w:pPr>
        <w:spacing w:after="0" w:line="240" w:lineRule="auto"/>
        <w:rPr>
          <w:rFonts w:cs="Times New Roman"/>
          <w:sz w:val="24"/>
          <w:szCs w:val="24"/>
        </w:rPr>
      </w:pPr>
      <w:r w:rsidRPr="00B83426">
        <w:rPr>
          <w:rFonts w:cs="Times New Roman"/>
          <w:sz w:val="24"/>
          <w:szCs w:val="24"/>
        </w:rPr>
        <w:lastRenderedPageBreak/>
        <w:t xml:space="preserve">Guise, </w:t>
      </w:r>
      <w:r w:rsidR="00860786" w:rsidRPr="00B83426">
        <w:rPr>
          <w:rFonts w:cs="Times New Roman"/>
          <w:sz w:val="24"/>
          <w:szCs w:val="24"/>
        </w:rPr>
        <w:t>J.</w:t>
      </w:r>
      <w:r w:rsidR="00886DFB" w:rsidRPr="00B83426">
        <w:rPr>
          <w:rFonts w:cs="Times New Roman"/>
          <w:sz w:val="24"/>
          <w:szCs w:val="24"/>
        </w:rPr>
        <w:t xml:space="preserve">M.F. and Gill, </w:t>
      </w:r>
      <w:r w:rsidR="00860786" w:rsidRPr="00B83426">
        <w:rPr>
          <w:rFonts w:cs="Times New Roman"/>
          <w:sz w:val="24"/>
          <w:szCs w:val="24"/>
        </w:rPr>
        <w:t>J.</w:t>
      </w:r>
      <w:r w:rsidR="00886DFB" w:rsidRPr="00B83426">
        <w:rPr>
          <w:rFonts w:cs="Times New Roman"/>
          <w:sz w:val="24"/>
          <w:szCs w:val="24"/>
        </w:rPr>
        <w:t>S. (2007)</w:t>
      </w:r>
      <w:r w:rsidRPr="00B83426">
        <w:rPr>
          <w:rFonts w:cs="Times New Roman"/>
          <w:sz w:val="24"/>
          <w:szCs w:val="24"/>
        </w:rPr>
        <w:t xml:space="preserve"> </w:t>
      </w:r>
      <w:r w:rsidR="00886DFB" w:rsidRPr="00B83426">
        <w:rPr>
          <w:rFonts w:cs="Times New Roman"/>
          <w:sz w:val="24"/>
          <w:szCs w:val="24"/>
        </w:rPr>
        <w:t>‘</w:t>
      </w:r>
      <w:r w:rsidRPr="00B83426">
        <w:rPr>
          <w:rFonts w:cs="Times New Roman"/>
          <w:sz w:val="24"/>
          <w:szCs w:val="24"/>
        </w:rPr>
        <w:t xml:space="preserve">‘Binge drinking? It's good, it's harmless fun’: </w:t>
      </w:r>
      <w:r w:rsidR="00C02019">
        <w:rPr>
          <w:rFonts w:cs="Times New Roman"/>
          <w:sz w:val="24"/>
          <w:szCs w:val="24"/>
        </w:rPr>
        <w:t>a</w:t>
      </w:r>
      <w:r w:rsidRPr="00B83426">
        <w:rPr>
          <w:rFonts w:cs="Times New Roman"/>
          <w:sz w:val="24"/>
          <w:szCs w:val="24"/>
        </w:rPr>
        <w:t xml:space="preserve"> discourse analysis of accounts of female und</w:t>
      </w:r>
      <w:r w:rsidR="00886DFB" w:rsidRPr="00B83426">
        <w:rPr>
          <w:rFonts w:cs="Times New Roman"/>
          <w:sz w:val="24"/>
          <w:szCs w:val="24"/>
        </w:rPr>
        <w:t>ergraduate drinking in Scotland’,</w:t>
      </w:r>
      <w:r w:rsidRPr="00B83426">
        <w:rPr>
          <w:rFonts w:cs="Times New Roman"/>
          <w:sz w:val="24"/>
          <w:szCs w:val="24"/>
        </w:rPr>
        <w:t xml:space="preserve"> </w:t>
      </w:r>
      <w:r w:rsidRPr="00B83426">
        <w:rPr>
          <w:rFonts w:cs="Times New Roman"/>
          <w:i/>
          <w:sz w:val="24"/>
          <w:szCs w:val="24"/>
        </w:rPr>
        <w:t>Health Education Research</w:t>
      </w:r>
      <w:r w:rsidR="00886DFB" w:rsidRPr="00B83426">
        <w:rPr>
          <w:rFonts w:cs="Times New Roman"/>
          <w:sz w:val="24"/>
          <w:szCs w:val="24"/>
        </w:rPr>
        <w:t xml:space="preserve">, 22(6): </w:t>
      </w:r>
      <w:r w:rsidRPr="00B83426">
        <w:rPr>
          <w:rFonts w:cs="Times New Roman"/>
          <w:sz w:val="24"/>
          <w:szCs w:val="24"/>
        </w:rPr>
        <w:t>895-906.</w:t>
      </w:r>
    </w:p>
    <w:p w14:paraId="61871C5F" w14:textId="77777777" w:rsidR="00B3322D" w:rsidRPr="00B83426" w:rsidRDefault="00B3322D" w:rsidP="00810CC0">
      <w:pPr>
        <w:spacing w:after="0" w:line="240" w:lineRule="auto"/>
        <w:rPr>
          <w:rFonts w:cs="Times New Roman"/>
          <w:sz w:val="24"/>
          <w:szCs w:val="24"/>
        </w:rPr>
      </w:pPr>
    </w:p>
    <w:p w14:paraId="1758401B" w14:textId="13B7A162" w:rsidR="00B3322D" w:rsidRPr="00B83426" w:rsidRDefault="00B3322D" w:rsidP="00810CC0">
      <w:pPr>
        <w:spacing w:after="0" w:line="240" w:lineRule="auto"/>
        <w:rPr>
          <w:rFonts w:cs="Times New Roman"/>
          <w:sz w:val="24"/>
          <w:szCs w:val="24"/>
          <w:highlight w:val="yellow"/>
        </w:rPr>
      </w:pPr>
      <w:proofErr w:type="spellStart"/>
      <w:r w:rsidRPr="00B83426">
        <w:rPr>
          <w:rFonts w:cs="Times New Roman"/>
          <w:sz w:val="24"/>
          <w:szCs w:val="24"/>
        </w:rPr>
        <w:t>Gunby</w:t>
      </w:r>
      <w:proofErr w:type="spellEnd"/>
      <w:r w:rsidRPr="00B83426">
        <w:rPr>
          <w:rFonts w:cs="Times New Roman"/>
          <w:sz w:val="24"/>
          <w:szCs w:val="24"/>
        </w:rPr>
        <w:t>, C., Carline, A., T</w:t>
      </w:r>
      <w:r w:rsidR="00096E74" w:rsidRPr="00B83426">
        <w:rPr>
          <w:rFonts w:cs="Times New Roman"/>
          <w:sz w:val="24"/>
          <w:szCs w:val="24"/>
        </w:rPr>
        <w:t>aylor, S., and</w:t>
      </w:r>
      <w:r w:rsidR="00886DFB" w:rsidRPr="00B83426">
        <w:rPr>
          <w:rFonts w:cs="Times New Roman"/>
          <w:sz w:val="24"/>
          <w:szCs w:val="24"/>
        </w:rPr>
        <w:t xml:space="preserve"> Gosling, H. (2020)</w:t>
      </w:r>
      <w:r w:rsidRPr="00B83426">
        <w:rPr>
          <w:rFonts w:cs="Times New Roman"/>
          <w:sz w:val="24"/>
          <w:szCs w:val="24"/>
        </w:rPr>
        <w:t xml:space="preserve"> </w:t>
      </w:r>
      <w:r w:rsidR="00886DFB" w:rsidRPr="00B83426">
        <w:rPr>
          <w:rFonts w:cs="Times New Roman"/>
          <w:sz w:val="24"/>
          <w:szCs w:val="24"/>
        </w:rPr>
        <w:t>‘</w:t>
      </w:r>
      <w:r w:rsidR="00C02019">
        <w:rPr>
          <w:rFonts w:cs="Times New Roman"/>
          <w:sz w:val="24"/>
          <w:szCs w:val="24"/>
        </w:rPr>
        <w:t>U</w:t>
      </w:r>
      <w:r w:rsidR="00C02019" w:rsidRPr="00B83426">
        <w:rPr>
          <w:rFonts w:cs="Times New Roman"/>
          <w:sz w:val="24"/>
          <w:szCs w:val="24"/>
        </w:rPr>
        <w:t>n</w:t>
      </w:r>
      <w:r w:rsidR="00C02019">
        <w:rPr>
          <w:rFonts w:cs="Times New Roman"/>
          <w:sz w:val="24"/>
          <w:szCs w:val="24"/>
        </w:rPr>
        <w:t>wanted sexual attention in the Night-Time E</w:t>
      </w:r>
      <w:r w:rsidR="00C02019" w:rsidRPr="00B83426">
        <w:rPr>
          <w:rFonts w:cs="Times New Roman"/>
          <w:sz w:val="24"/>
          <w:szCs w:val="24"/>
        </w:rPr>
        <w:t xml:space="preserve">conomy: </w:t>
      </w:r>
      <w:proofErr w:type="spellStart"/>
      <w:r w:rsidR="00C02019" w:rsidRPr="00B83426">
        <w:rPr>
          <w:rFonts w:cs="Times New Roman"/>
          <w:sz w:val="24"/>
          <w:szCs w:val="24"/>
        </w:rPr>
        <w:t>behaviors</w:t>
      </w:r>
      <w:proofErr w:type="spellEnd"/>
      <w:r w:rsidR="00C02019" w:rsidRPr="00B83426">
        <w:rPr>
          <w:rFonts w:cs="Times New Roman"/>
          <w:sz w:val="24"/>
          <w:szCs w:val="24"/>
        </w:rPr>
        <w:t>, safety strategies, and conceptualizing “feisty femininity</w:t>
      </w:r>
      <w:r w:rsidR="00886DFB" w:rsidRPr="00B83426">
        <w:rPr>
          <w:rFonts w:cs="Times New Roman"/>
          <w:sz w:val="24"/>
          <w:szCs w:val="24"/>
        </w:rPr>
        <w:t xml:space="preserve">”’, </w:t>
      </w:r>
      <w:r w:rsidR="00886DFB" w:rsidRPr="00B83426">
        <w:rPr>
          <w:rFonts w:cs="Times New Roman"/>
          <w:i/>
          <w:sz w:val="24"/>
          <w:szCs w:val="24"/>
        </w:rPr>
        <w:t>Feminist Criminology</w:t>
      </w:r>
      <w:r w:rsidR="00886DFB" w:rsidRPr="00B83426">
        <w:rPr>
          <w:rFonts w:cs="Times New Roman"/>
          <w:sz w:val="24"/>
          <w:szCs w:val="24"/>
        </w:rPr>
        <w:t>, 15(1):</w:t>
      </w:r>
      <w:r w:rsidRPr="00B83426">
        <w:rPr>
          <w:rFonts w:cs="Times New Roman"/>
          <w:sz w:val="24"/>
          <w:szCs w:val="24"/>
        </w:rPr>
        <w:t xml:space="preserve"> 24-46.</w:t>
      </w:r>
    </w:p>
    <w:p w14:paraId="2FA00C40" w14:textId="77777777" w:rsidR="00EC0278" w:rsidRPr="00B83426" w:rsidRDefault="00EC0278" w:rsidP="00810CC0">
      <w:pPr>
        <w:spacing w:after="0" w:line="240" w:lineRule="auto"/>
        <w:rPr>
          <w:rFonts w:cs="Times New Roman"/>
          <w:sz w:val="24"/>
          <w:szCs w:val="24"/>
        </w:rPr>
      </w:pPr>
    </w:p>
    <w:p w14:paraId="2A02AED2" w14:textId="1A3797BC" w:rsidR="00EC0278" w:rsidRPr="00B83426" w:rsidRDefault="00EC0278" w:rsidP="00810CC0">
      <w:pPr>
        <w:spacing w:after="0" w:line="240" w:lineRule="auto"/>
        <w:rPr>
          <w:rFonts w:cs="Times New Roman"/>
          <w:sz w:val="24"/>
          <w:szCs w:val="24"/>
        </w:rPr>
      </w:pPr>
      <w:r w:rsidRPr="00B83426">
        <w:rPr>
          <w:rFonts w:cs="Times New Roman"/>
          <w:sz w:val="24"/>
          <w:szCs w:val="24"/>
        </w:rPr>
        <w:t xml:space="preserve">Hayward, K. and Hobbs, D. (2007) </w:t>
      </w:r>
      <w:r w:rsidR="00886DFB" w:rsidRPr="00B83426">
        <w:rPr>
          <w:rFonts w:cs="Times New Roman"/>
          <w:sz w:val="24"/>
          <w:szCs w:val="24"/>
        </w:rPr>
        <w:t>‘</w:t>
      </w:r>
      <w:r w:rsidRPr="00B83426">
        <w:rPr>
          <w:rFonts w:cs="Times New Roman"/>
          <w:sz w:val="24"/>
          <w:szCs w:val="24"/>
        </w:rPr>
        <w:t xml:space="preserve">Beyond the binge in ‘Booze Britain’: </w:t>
      </w:r>
      <w:r w:rsidR="00C02019">
        <w:rPr>
          <w:rFonts w:cs="Times New Roman"/>
          <w:sz w:val="24"/>
          <w:szCs w:val="24"/>
        </w:rPr>
        <w:t>m</w:t>
      </w:r>
      <w:r w:rsidRPr="00B83426">
        <w:rPr>
          <w:rFonts w:cs="Times New Roman"/>
          <w:sz w:val="24"/>
          <w:szCs w:val="24"/>
        </w:rPr>
        <w:t xml:space="preserve">arket-led </w:t>
      </w:r>
      <w:proofErr w:type="spellStart"/>
      <w:r w:rsidRPr="00B83426">
        <w:rPr>
          <w:rFonts w:cs="Times New Roman"/>
          <w:sz w:val="24"/>
          <w:szCs w:val="24"/>
        </w:rPr>
        <w:t>liminalization</w:t>
      </w:r>
      <w:proofErr w:type="spellEnd"/>
      <w:r w:rsidRPr="00B83426">
        <w:rPr>
          <w:rFonts w:cs="Times New Roman"/>
          <w:sz w:val="24"/>
          <w:szCs w:val="24"/>
        </w:rPr>
        <w:t xml:space="preserve"> and the spectacle of binge drinking</w:t>
      </w:r>
      <w:r w:rsidR="00724782">
        <w:rPr>
          <w:rFonts w:cs="Times New Roman"/>
          <w:sz w:val="24"/>
          <w:szCs w:val="24"/>
        </w:rPr>
        <w:t xml:space="preserve">’, </w:t>
      </w:r>
      <w:r w:rsidRPr="00B83426">
        <w:rPr>
          <w:rFonts w:cs="Times New Roman"/>
          <w:i/>
          <w:sz w:val="24"/>
          <w:szCs w:val="24"/>
        </w:rPr>
        <w:t>The British Journal of Sociology</w:t>
      </w:r>
      <w:r w:rsidRPr="00B83426">
        <w:rPr>
          <w:rFonts w:cs="Times New Roman"/>
          <w:sz w:val="24"/>
          <w:szCs w:val="24"/>
        </w:rPr>
        <w:t>, 58(3)</w:t>
      </w:r>
      <w:r w:rsidR="00886DFB" w:rsidRPr="00B83426">
        <w:rPr>
          <w:rFonts w:cs="Times New Roman"/>
          <w:sz w:val="24"/>
          <w:szCs w:val="24"/>
        </w:rPr>
        <w:t xml:space="preserve">: </w:t>
      </w:r>
      <w:r w:rsidRPr="00B83426">
        <w:rPr>
          <w:rFonts w:cs="Times New Roman"/>
          <w:sz w:val="24"/>
          <w:szCs w:val="24"/>
        </w:rPr>
        <w:t>437-456.</w:t>
      </w:r>
      <w:bookmarkEnd w:id="3"/>
    </w:p>
    <w:p w14:paraId="43F97146" w14:textId="77777777" w:rsidR="000762B3" w:rsidRPr="00B83426" w:rsidRDefault="000762B3" w:rsidP="00810CC0">
      <w:pPr>
        <w:spacing w:after="0" w:line="240" w:lineRule="auto"/>
        <w:rPr>
          <w:rFonts w:cs="Times New Roman"/>
          <w:sz w:val="24"/>
          <w:szCs w:val="24"/>
        </w:rPr>
      </w:pPr>
    </w:p>
    <w:p w14:paraId="537B731B" w14:textId="2FA4AF06" w:rsidR="004D763D" w:rsidRPr="00B83426" w:rsidRDefault="004D763D" w:rsidP="00810CC0">
      <w:pPr>
        <w:spacing w:after="0" w:line="240" w:lineRule="auto"/>
        <w:jc w:val="both"/>
        <w:rPr>
          <w:rFonts w:eastAsia="Calibri" w:cstheme="minorHAnsi"/>
          <w:noProof/>
          <w:sz w:val="24"/>
          <w:szCs w:val="24"/>
        </w:rPr>
      </w:pPr>
      <w:bookmarkStart w:id="4" w:name="_ENREF_18"/>
      <w:r w:rsidRPr="00B83426">
        <w:rPr>
          <w:rFonts w:eastAsia="Calibri" w:cstheme="minorHAnsi"/>
          <w:noProof/>
          <w:sz w:val="24"/>
          <w:szCs w:val="24"/>
        </w:rPr>
        <w:t xml:space="preserve">Hollands, R. </w:t>
      </w:r>
      <w:r w:rsidR="00096E74" w:rsidRPr="00B83426">
        <w:rPr>
          <w:rFonts w:eastAsia="Calibri" w:cstheme="minorHAnsi"/>
          <w:noProof/>
          <w:sz w:val="24"/>
          <w:szCs w:val="24"/>
        </w:rPr>
        <w:t>and</w:t>
      </w:r>
      <w:r w:rsidRPr="00B83426">
        <w:rPr>
          <w:rFonts w:eastAsia="Calibri" w:cstheme="minorHAnsi"/>
          <w:noProof/>
          <w:sz w:val="24"/>
          <w:szCs w:val="24"/>
        </w:rPr>
        <w:t xml:space="preserve"> Chatterton, P. (2002) 'Changing </w:t>
      </w:r>
      <w:r w:rsidR="00C02019" w:rsidRPr="00B83426">
        <w:rPr>
          <w:rFonts w:eastAsia="Calibri" w:cstheme="minorHAnsi"/>
          <w:noProof/>
          <w:sz w:val="24"/>
          <w:szCs w:val="24"/>
        </w:rPr>
        <w:t>times for an old industrial city: hard times, hedonism and corporate power</w:t>
      </w:r>
      <w:r w:rsidR="00C02019">
        <w:rPr>
          <w:rFonts w:eastAsia="Calibri" w:cstheme="minorHAnsi"/>
          <w:noProof/>
          <w:sz w:val="24"/>
          <w:szCs w:val="24"/>
        </w:rPr>
        <w:t xml:space="preserve"> in Newcastle's n</w:t>
      </w:r>
      <w:r w:rsidRPr="00B83426">
        <w:rPr>
          <w:rFonts w:eastAsia="Calibri" w:cstheme="minorHAnsi"/>
          <w:noProof/>
          <w:sz w:val="24"/>
          <w:szCs w:val="24"/>
        </w:rPr>
        <w:t>ightlife'</w:t>
      </w:r>
      <w:r w:rsidR="00724782">
        <w:rPr>
          <w:rFonts w:eastAsia="Calibri" w:cstheme="minorHAnsi"/>
          <w:noProof/>
          <w:sz w:val="24"/>
          <w:szCs w:val="24"/>
        </w:rPr>
        <w:t>,</w:t>
      </w:r>
      <w:r w:rsidRPr="00B83426">
        <w:rPr>
          <w:rFonts w:eastAsia="Calibri" w:cstheme="minorHAnsi"/>
          <w:noProof/>
          <w:sz w:val="24"/>
          <w:szCs w:val="24"/>
        </w:rPr>
        <w:t xml:space="preserve"> </w:t>
      </w:r>
      <w:r w:rsidRPr="00B83426">
        <w:rPr>
          <w:rFonts w:eastAsia="Calibri" w:cstheme="minorHAnsi"/>
          <w:i/>
          <w:noProof/>
          <w:sz w:val="24"/>
          <w:szCs w:val="24"/>
        </w:rPr>
        <w:t>City,</w:t>
      </w:r>
      <w:r w:rsidRPr="00B83426">
        <w:rPr>
          <w:rFonts w:eastAsia="Calibri" w:cstheme="minorHAnsi"/>
          <w:noProof/>
          <w:sz w:val="24"/>
          <w:szCs w:val="24"/>
        </w:rPr>
        <w:t xml:space="preserve"> </w:t>
      </w:r>
      <w:r w:rsidRPr="00724782">
        <w:rPr>
          <w:rFonts w:eastAsia="Calibri" w:cstheme="minorHAnsi"/>
          <w:noProof/>
          <w:sz w:val="24"/>
          <w:szCs w:val="24"/>
        </w:rPr>
        <w:t>6</w:t>
      </w:r>
      <w:r w:rsidR="00724782" w:rsidRPr="00724782">
        <w:rPr>
          <w:rFonts w:eastAsia="Calibri" w:cstheme="minorHAnsi"/>
          <w:noProof/>
          <w:sz w:val="24"/>
          <w:szCs w:val="24"/>
        </w:rPr>
        <w:t>(3</w:t>
      </w:r>
      <w:r w:rsidR="00724782">
        <w:rPr>
          <w:rFonts w:eastAsia="Calibri" w:cstheme="minorHAnsi"/>
          <w:noProof/>
          <w:sz w:val="24"/>
          <w:szCs w:val="24"/>
        </w:rPr>
        <w:t>):</w:t>
      </w:r>
      <w:r w:rsidRPr="00B83426">
        <w:rPr>
          <w:rFonts w:eastAsia="Calibri" w:cstheme="minorHAnsi"/>
          <w:noProof/>
          <w:sz w:val="24"/>
          <w:szCs w:val="24"/>
        </w:rPr>
        <w:t>291-315.</w:t>
      </w:r>
    </w:p>
    <w:bookmarkEnd w:id="4"/>
    <w:p w14:paraId="41FBA322" w14:textId="77777777" w:rsidR="004D763D" w:rsidRPr="00B83426" w:rsidRDefault="004D763D" w:rsidP="00810CC0">
      <w:pPr>
        <w:spacing w:after="0" w:line="240" w:lineRule="auto"/>
        <w:jc w:val="both"/>
        <w:rPr>
          <w:rFonts w:eastAsia="Calibri" w:cstheme="minorHAnsi"/>
          <w:noProof/>
          <w:sz w:val="24"/>
          <w:szCs w:val="24"/>
        </w:rPr>
      </w:pPr>
    </w:p>
    <w:p w14:paraId="6DAE1E66" w14:textId="14C80300" w:rsidR="004D763D" w:rsidRPr="00B83426" w:rsidRDefault="004D763D" w:rsidP="00810CC0">
      <w:pPr>
        <w:spacing w:after="0" w:line="240" w:lineRule="auto"/>
        <w:jc w:val="both"/>
        <w:rPr>
          <w:rFonts w:eastAsia="Calibri" w:cstheme="minorHAnsi"/>
          <w:noProof/>
          <w:sz w:val="24"/>
          <w:szCs w:val="24"/>
        </w:rPr>
      </w:pPr>
      <w:bookmarkStart w:id="5" w:name="_ENREF_19"/>
      <w:r w:rsidRPr="00B83426">
        <w:rPr>
          <w:rFonts w:eastAsia="Calibri" w:cstheme="minorHAnsi"/>
          <w:noProof/>
          <w:sz w:val="24"/>
          <w:szCs w:val="24"/>
        </w:rPr>
        <w:t xml:space="preserve">Holt, M. </w:t>
      </w:r>
      <w:r w:rsidR="00096E74" w:rsidRPr="00B83426">
        <w:rPr>
          <w:rFonts w:eastAsia="Calibri" w:cstheme="minorHAnsi"/>
          <w:noProof/>
          <w:sz w:val="24"/>
          <w:szCs w:val="24"/>
        </w:rPr>
        <w:t>and</w:t>
      </w:r>
      <w:r w:rsidRPr="00B83426">
        <w:rPr>
          <w:rFonts w:eastAsia="Calibri" w:cstheme="minorHAnsi"/>
          <w:noProof/>
          <w:sz w:val="24"/>
          <w:szCs w:val="24"/>
        </w:rPr>
        <w:t xml:space="preserve"> Griffin, C. (2005) 'Students </w:t>
      </w:r>
      <w:r w:rsidR="00C02019" w:rsidRPr="00C02019">
        <w:rPr>
          <w:rFonts w:eastAsia="Calibri" w:cstheme="minorHAnsi"/>
          <w:noProof/>
          <w:sz w:val="24"/>
          <w:szCs w:val="24"/>
        </w:rPr>
        <w:t>versus locals: young adults' constructions of the working class other</w:t>
      </w:r>
      <w:r w:rsidR="00724782">
        <w:rPr>
          <w:rFonts w:eastAsia="Calibri" w:cstheme="minorHAnsi"/>
          <w:noProof/>
          <w:sz w:val="24"/>
          <w:szCs w:val="24"/>
        </w:rPr>
        <w:t xml:space="preserve">', </w:t>
      </w:r>
      <w:r w:rsidRPr="00B83426">
        <w:rPr>
          <w:rFonts w:eastAsia="Calibri" w:cstheme="minorHAnsi"/>
          <w:i/>
          <w:noProof/>
          <w:sz w:val="24"/>
          <w:szCs w:val="24"/>
        </w:rPr>
        <w:t>British Journal of Social Psychology,</w:t>
      </w:r>
      <w:r w:rsidR="00724782">
        <w:rPr>
          <w:rFonts w:eastAsia="Calibri" w:cstheme="minorHAnsi"/>
          <w:noProof/>
          <w:sz w:val="24"/>
          <w:szCs w:val="24"/>
        </w:rPr>
        <w:t xml:space="preserve"> 44: </w:t>
      </w:r>
      <w:r w:rsidRPr="00B83426">
        <w:rPr>
          <w:rFonts w:eastAsia="Calibri" w:cstheme="minorHAnsi"/>
          <w:noProof/>
          <w:sz w:val="24"/>
          <w:szCs w:val="24"/>
        </w:rPr>
        <w:t>241-267.</w:t>
      </w:r>
    </w:p>
    <w:bookmarkEnd w:id="5"/>
    <w:p w14:paraId="4BD12118" w14:textId="77777777" w:rsidR="004D763D" w:rsidRPr="00B83426" w:rsidRDefault="004D763D" w:rsidP="00810CC0">
      <w:pPr>
        <w:spacing w:after="0" w:line="240" w:lineRule="auto"/>
        <w:rPr>
          <w:rFonts w:cs="Times New Roman"/>
          <w:sz w:val="24"/>
          <w:szCs w:val="24"/>
        </w:rPr>
      </w:pPr>
    </w:p>
    <w:p w14:paraId="30EF813E" w14:textId="47B134E4" w:rsidR="005D296C" w:rsidRPr="00B83426" w:rsidRDefault="005D296C" w:rsidP="00810CC0">
      <w:pPr>
        <w:spacing w:after="0" w:line="240" w:lineRule="auto"/>
        <w:rPr>
          <w:rFonts w:cs="Times New Roman"/>
          <w:sz w:val="24"/>
          <w:szCs w:val="24"/>
        </w:rPr>
      </w:pPr>
      <w:r w:rsidRPr="00B83426">
        <w:rPr>
          <w:rFonts w:cs="Times New Roman"/>
          <w:sz w:val="24"/>
          <w:szCs w:val="24"/>
        </w:rPr>
        <w:t xml:space="preserve">Howson, A. (2005) </w:t>
      </w:r>
      <w:r w:rsidRPr="00B83426">
        <w:rPr>
          <w:rFonts w:cs="Times New Roman"/>
          <w:i/>
          <w:sz w:val="24"/>
          <w:szCs w:val="24"/>
        </w:rPr>
        <w:t>Embodying Gender</w:t>
      </w:r>
      <w:r w:rsidR="00724782">
        <w:rPr>
          <w:rFonts w:cs="Times New Roman"/>
          <w:sz w:val="24"/>
          <w:szCs w:val="24"/>
        </w:rPr>
        <w:t>,</w:t>
      </w:r>
      <w:r w:rsidR="00F7397D" w:rsidRPr="00B83426">
        <w:rPr>
          <w:rFonts w:cs="Times New Roman"/>
          <w:sz w:val="24"/>
          <w:szCs w:val="24"/>
        </w:rPr>
        <w:t xml:space="preserve"> </w:t>
      </w:r>
      <w:r w:rsidRPr="00B83426">
        <w:rPr>
          <w:rFonts w:cs="Times New Roman"/>
          <w:sz w:val="24"/>
          <w:szCs w:val="24"/>
        </w:rPr>
        <w:t>SAGE Publications.</w:t>
      </w:r>
    </w:p>
    <w:p w14:paraId="6F3DF419" w14:textId="77777777" w:rsidR="005D296C" w:rsidRPr="00B83426" w:rsidRDefault="005D296C" w:rsidP="00810CC0">
      <w:pPr>
        <w:spacing w:after="0" w:line="240" w:lineRule="auto"/>
        <w:rPr>
          <w:rFonts w:cs="Times New Roman"/>
          <w:sz w:val="24"/>
          <w:szCs w:val="24"/>
        </w:rPr>
      </w:pPr>
    </w:p>
    <w:p w14:paraId="36CA5559" w14:textId="6C374887" w:rsidR="005D296C" w:rsidRPr="00B83426" w:rsidRDefault="00886DFB" w:rsidP="00810CC0">
      <w:pPr>
        <w:spacing w:after="0" w:line="240" w:lineRule="auto"/>
        <w:rPr>
          <w:rFonts w:cs="Times New Roman"/>
          <w:sz w:val="24"/>
          <w:szCs w:val="24"/>
        </w:rPr>
      </w:pPr>
      <w:r w:rsidRPr="00B83426">
        <w:rPr>
          <w:rFonts w:cs="Times New Roman"/>
          <w:sz w:val="24"/>
          <w:szCs w:val="24"/>
        </w:rPr>
        <w:t>Hutton, F. (2006)</w:t>
      </w:r>
      <w:r w:rsidR="00E91923" w:rsidRPr="00B83426">
        <w:rPr>
          <w:rFonts w:cs="Times New Roman"/>
          <w:sz w:val="24"/>
          <w:szCs w:val="24"/>
        </w:rPr>
        <w:t xml:space="preserve"> </w:t>
      </w:r>
      <w:r w:rsidR="00E91923" w:rsidRPr="00B83426">
        <w:rPr>
          <w:rFonts w:cs="Times New Roman"/>
          <w:i/>
          <w:sz w:val="24"/>
          <w:szCs w:val="24"/>
        </w:rPr>
        <w:t xml:space="preserve">Risky </w:t>
      </w:r>
      <w:r w:rsidR="00C02019">
        <w:rPr>
          <w:rFonts w:cs="Times New Roman"/>
          <w:i/>
          <w:sz w:val="24"/>
          <w:szCs w:val="24"/>
        </w:rPr>
        <w:t>P</w:t>
      </w:r>
      <w:r w:rsidR="00E91923" w:rsidRPr="00B83426">
        <w:rPr>
          <w:rFonts w:cs="Times New Roman"/>
          <w:i/>
          <w:sz w:val="24"/>
          <w:szCs w:val="24"/>
        </w:rPr>
        <w:t xml:space="preserve">leasures? Club </w:t>
      </w:r>
      <w:r w:rsidR="00C02019">
        <w:rPr>
          <w:rFonts w:cs="Times New Roman"/>
          <w:i/>
          <w:sz w:val="24"/>
          <w:szCs w:val="24"/>
        </w:rPr>
        <w:t>Cultures and Feminine I</w:t>
      </w:r>
      <w:r w:rsidR="00E91923" w:rsidRPr="00B83426">
        <w:rPr>
          <w:rFonts w:cs="Times New Roman"/>
          <w:i/>
          <w:sz w:val="24"/>
          <w:szCs w:val="24"/>
        </w:rPr>
        <w:t>dentities</w:t>
      </w:r>
      <w:r w:rsidR="00724782">
        <w:rPr>
          <w:rFonts w:cs="Times New Roman"/>
          <w:sz w:val="24"/>
          <w:szCs w:val="24"/>
        </w:rPr>
        <w:t>,</w:t>
      </w:r>
      <w:r w:rsidR="00E91923" w:rsidRPr="00B83426">
        <w:rPr>
          <w:rFonts w:cs="Times New Roman"/>
          <w:sz w:val="24"/>
          <w:szCs w:val="24"/>
        </w:rPr>
        <w:t xml:space="preserve"> </w:t>
      </w:r>
      <w:proofErr w:type="spellStart"/>
      <w:r w:rsidR="00E91923" w:rsidRPr="00B83426">
        <w:rPr>
          <w:rFonts w:cs="Times New Roman"/>
          <w:sz w:val="24"/>
          <w:szCs w:val="24"/>
        </w:rPr>
        <w:t>Ashgate</w:t>
      </w:r>
      <w:proofErr w:type="spellEnd"/>
      <w:r w:rsidR="00E91923" w:rsidRPr="00B83426">
        <w:rPr>
          <w:rFonts w:cs="Times New Roman"/>
          <w:sz w:val="24"/>
          <w:szCs w:val="24"/>
        </w:rPr>
        <w:t>.</w:t>
      </w:r>
    </w:p>
    <w:p w14:paraId="0B391153" w14:textId="77777777" w:rsidR="005D296C" w:rsidRPr="00B83426" w:rsidRDefault="005D296C" w:rsidP="00810CC0">
      <w:pPr>
        <w:spacing w:after="0" w:line="240" w:lineRule="auto"/>
        <w:rPr>
          <w:rFonts w:cs="Times New Roman"/>
          <w:sz w:val="24"/>
          <w:szCs w:val="24"/>
        </w:rPr>
      </w:pPr>
    </w:p>
    <w:p w14:paraId="275A5666" w14:textId="7E871333" w:rsidR="00E91923" w:rsidRPr="00B83426" w:rsidRDefault="00E91923" w:rsidP="00810CC0">
      <w:pPr>
        <w:spacing w:after="0" w:line="240" w:lineRule="auto"/>
        <w:rPr>
          <w:rFonts w:cs="Times New Roman"/>
          <w:sz w:val="24"/>
          <w:szCs w:val="24"/>
        </w:rPr>
      </w:pPr>
      <w:r w:rsidRPr="00B83426">
        <w:rPr>
          <w:rFonts w:cs="Times New Roman"/>
          <w:sz w:val="24"/>
          <w:szCs w:val="24"/>
        </w:rPr>
        <w:t>Jacks</w:t>
      </w:r>
      <w:r w:rsidR="00724782">
        <w:rPr>
          <w:rFonts w:cs="Times New Roman"/>
          <w:sz w:val="24"/>
          <w:szCs w:val="24"/>
        </w:rPr>
        <w:t>on, C.</w:t>
      </w:r>
      <w:r w:rsidR="00C02019">
        <w:rPr>
          <w:rFonts w:cs="Times New Roman"/>
          <w:sz w:val="24"/>
          <w:szCs w:val="24"/>
        </w:rPr>
        <w:t xml:space="preserve"> and </w:t>
      </w:r>
      <w:proofErr w:type="spellStart"/>
      <w:r w:rsidR="00C02019">
        <w:rPr>
          <w:rFonts w:cs="Times New Roman"/>
          <w:sz w:val="24"/>
          <w:szCs w:val="24"/>
        </w:rPr>
        <w:t>Tinkler</w:t>
      </w:r>
      <w:proofErr w:type="spellEnd"/>
      <w:r w:rsidR="00C02019">
        <w:rPr>
          <w:rFonts w:cs="Times New Roman"/>
          <w:sz w:val="24"/>
          <w:szCs w:val="24"/>
        </w:rPr>
        <w:t>, P. (2007) ‘‘</w:t>
      </w:r>
      <w:proofErr w:type="spellStart"/>
      <w:r w:rsidR="00C02019">
        <w:rPr>
          <w:rFonts w:cs="Times New Roman"/>
          <w:sz w:val="24"/>
          <w:szCs w:val="24"/>
        </w:rPr>
        <w:t>Ladettes</w:t>
      </w:r>
      <w:proofErr w:type="spellEnd"/>
      <w:r w:rsidR="00C02019">
        <w:rPr>
          <w:rFonts w:cs="Times New Roman"/>
          <w:sz w:val="24"/>
          <w:szCs w:val="24"/>
        </w:rPr>
        <w:t>’ and ‘modern girls’: ‘t</w:t>
      </w:r>
      <w:r w:rsidRPr="00B83426">
        <w:rPr>
          <w:rFonts w:cs="Times New Roman"/>
          <w:sz w:val="24"/>
          <w:szCs w:val="24"/>
        </w:rPr>
        <w:t>roublesome’ young femininities</w:t>
      </w:r>
      <w:r w:rsidR="00886DFB" w:rsidRPr="00B83426">
        <w:rPr>
          <w:rFonts w:cs="Times New Roman"/>
          <w:sz w:val="24"/>
          <w:szCs w:val="24"/>
        </w:rPr>
        <w:t>’,</w:t>
      </w:r>
      <w:r w:rsidRPr="00B83426">
        <w:rPr>
          <w:rFonts w:cs="Times New Roman"/>
          <w:sz w:val="24"/>
          <w:szCs w:val="24"/>
        </w:rPr>
        <w:t> </w:t>
      </w:r>
      <w:r w:rsidRPr="00724782">
        <w:rPr>
          <w:rFonts w:cs="Times New Roman"/>
          <w:i/>
          <w:sz w:val="24"/>
          <w:szCs w:val="24"/>
        </w:rPr>
        <w:t>The Sociological Review</w:t>
      </w:r>
      <w:r w:rsidRPr="00B83426">
        <w:rPr>
          <w:rFonts w:cs="Times New Roman"/>
          <w:sz w:val="24"/>
          <w:szCs w:val="24"/>
        </w:rPr>
        <w:t>, 55(2)</w:t>
      </w:r>
      <w:r w:rsidR="00886DFB" w:rsidRPr="00B83426">
        <w:rPr>
          <w:rFonts w:cs="Times New Roman"/>
          <w:sz w:val="24"/>
          <w:szCs w:val="24"/>
        </w:rPr>
        <w:t xml:space="preserve">: </w:t>
      </w:r>
      <w:r w:rsidRPr="00B83426">
        <w:rPr>
          <w:rFonts w:cs="Times New Roman"/>
          <w:sz w:val="24"/>
          <w:szCs w:val="24"/>
        </w:rPr>
        <w:t>251-272.</w:t>
      </w:r>
    </w:p>
    <w:p w14:paraId="4FB15834" w14:textId="77777777" w:rsidR="00E91923" w:rsidRPr="00B83426" w:rsidRDefault="00E91923" w:rsidP="00810CC0">
      <w:pPr>
        <w:spacing w:after="0" w:line="240" w:lineRule="auto"/>
        <w:rPr>
          <w:rFonts w:cs="Times New Roman"/>
          <w:sz w:val="24"/>
          <w:szCs w:val="24"/>
        </w:rPr>
      </w:pPr>
    </w:p>
    <w:p w14:paraId="619191DD" w14:textId="26A2EE46" w:rsidR="00EC0278" w:rsidRPr="00B83426" w:rsidRDefault="00EC0278" w:rsidP="00810CC0">
      <w:pPr>
        <w:spacing w:after="0" w:line="240" w:lineRule="auto"/>
        <w:rPr>
          <w:rFonts w:cs="Times New Roman"/>
          <w:sz w:val="24"/>
          <w:szCs w:val="24"/>
        </w:rPr>
      </w:pPr>
      <w:r w:rsidRPr="00B83426">
        <w:rPr>
          <w:rFonts w:cs="Times New Roman"/>
          <w:sz w:val="24"/>
          <w:szCs w:val="24"/>
        </w:rPr>
        <w:t xml:space="preserve">Jayne, M., Valentine, G. and Holloway, S. L. (2011) </w:t>
      </w:r>
      <w:r w:rsidRPr="00B83426">
        <w:rPr>
          <w:rFonts w:cs="Times New Roman"/>
          <w:i/>
          <w:sz w:val="24"/>
          <w:szCs w:val="24"/>
        </w:rPr>
        <w:t xml:space="preserve">Alcohol, </w:t>
      </w:r>
      <w:r w:rsidR="00C02019">
        <w:rPr>
          <w:rFonts w:cs="Times New Roman"/>
          <w:i/>
          <w:sz w:val="24"/>
          <w:szCs w:val="24"/>
        </w:rPr>
        <w:t>Drinking and Drunkenness: (Dis)orderly S</w:t>
      </w:r>
      <w:r w:rsidRPr="00B83426">
        <w:rPr>
          <w:rFonts w:cs="Times New Roman"/>
          <w:i/>
          <w:sz w:val="24"/>
          <w:szCs w:val="24"/>
        </w:rPr>
        <w:t>paces</w:t>
      </w:r>
      <w:r w:rsidR="00724782">
        <w:rPr>
          <w:rFonts w:cs="Times New Roman"/>
          <w:i/>
          <w:sz w:val="24"/>
          <w:szCs w:val="24"/>
        </w:rPr>
        <w:t>,</w:t>
      </w:r>
      <w:r w:rsidR="002B0EF3" w:rsidRPr="00B83426">
        <w:rPr>
          <w:rFonts w:cs="Times New Roman"/>
          <w:sz w:val="24"/>
          <w:szCs w:val="24"/>
        </w:rPr>
        <w:t xml:space="preserve"> </w:t>
      </w:r>
      <w:proofErr w:type="spellStart"/>
      <w:r w:rsidR="002B0EF3" w:rsidRPr="00B83426">
        <w:rPr>
          <w:rFonts w:cs="Times New Roman"/>
          <w:sz w:val="24"/>
          <w:szCs w:val="24"/>
        </w:rPr>
        <w:t>Ashgate</w:t>
      </w:r>
      <w:proofErr w:type="spellEnd"/>
      <w:r w:rsidRPr="00B83426">
        <w:rPr>
          <w:rFonts w:cs="Times New Roman"/>
          <w:sz w:val="24"/>
          <w:szCs w:val="24"/>
        </w:rPr>
        <w:t xml:space="preserve">. </w:t>
      </w:r>
    </w:p>
    <w:p w14:paraId="2895B65C" w14:textId="77777777" w:rsidR="008B478E" w:rsidRPr="00B83426" w:rsidRDefault="008B478E" w:rsidP="00810CC0">
      <w:pPr>
        <w:spacing w:after="0" w:line="240" w:lineRule="auto"/>
        <w:rPr>
          <w:rFonts w:cs="Times New Roman"/>
          <w:sz w:val="24"/>
          <w:szCs w:val="24"/>
        </w:rPr>
      </w:pPr>
    </w:p>
    <w:p w14:paraId="1281B08E" w14:textId="2D5BC31D" w:rsidR="008B478E" w:rsidRPr="00B83426" w:rsidRDefault="00860786" w:rsidP="00810CC0">
      <w:pPr>
        <w:spacing w:after="0" w:line="240" w:lineRule="auto"/>
        <w:rPr>
          <w:rFonts w:cs="Arial"/>
          <w:sz w:val="24"/>
          <w:szCs w:val="24"/>
          <w:shd w:val="clear" w:color="auto" w:fill="FFFFFF"/>
        </w:rPr>
      </w:pPr>
      <w:proofErr w:type="spellStart"/>
      <w:r w:rsidRPr="00B83426">
        <w:rPr>
          <w:rFonts w:cs="Arial"/>
          <w:sz w:val="24"/>
          <w:szCs w:val="24"/>
          <w:shd w:val="clear" w:color="auto" w:fill="FFFFFF"/>
        </w:rPr>
        <w:t>Kavanaugh</w:t>
      </w:r>
      <w:proofErr w:type="spellEnd"/>
      <w:r w:rsidRPr="00B83426">
        <w:rPr>
          <w:rFonts w:cs="Arial"/>
          <w:sz w:val="24"/>
          <w:szCs w:val="24"/>
          <w:shd w:val="clear" w:color="auto" w:fill="FFFFFF"/>
        </w:rPr>
        <w:t>, P.</w:t>
      </w:r>
      <w:r w:rsidR="008B478E" w:rsidRPr="00B83426">
        <w:rPr>
          <w:rFonts w:cs="Arial"/>
          <w:sz w:val="24"/>
          <w:szCs w:val="24"/>
          <w:shd w:val="clear" w:color="auto" w:fill="FFFFFF"/>
        </w:rPr>
        <w:t xml:space="preserve">R. (2013) </w:t>
      </w:r>
      <w:r w:rsidR="00886DFB" w:rsidRPr="00B83426">
        <w:rPr>
          <w:rFonts w:cs="Arial"/>
          <w:sz w:val="24"/>
          <w:szCs w:val="24"/>
          <w:shd w:val="clear" w:color="auto" w:fill="FFFFFF"/>
        </w:rPr>
        <w:t>‘</w:t>
      </w:r>
      <w:r w:rsidR="008B478E" w:rsidRPr="00B83426">
        <w:rPr>
          <w:rFonts w:cs="Arial"/>
          <w:sz w:val="24"/>
          <w:szCs w:val="24"/>
          <w:shd w:val="clear" w:color="auto" w:fill="FFFFFF"/>
        </w:rPr>
        <w:t>The</w:t>
      </w:r>
      <w:r w:rsidR="00C02019">
        <w:rPr>
          <w:rFonts w:cs="Arial"/>
          <w:sz w:val="24"/>
          <w:szCs w:val="24"/>
          <w:shd w:val="clear" w:color="auto" w:fill="FFFFFF"/>
        </w:rPr>
        <w:t xml:space="preserve"> continuum of sexual violence: w</w:t>
      </w:r>
      <w:r w:rsidR="008B478E" w:rsidRPr="00B83426">
        <w:rPr>
          <w:rFonts w:cs="Arial"/>
          <w:sz w:val="24"/>
          <w:szCs w:val="24"/>
          <w:shd w:val="clear" w:color="auto" w:fill="FFFFFF"/>
        </w:rPr>
        <w:t>omen’s accounts of victimization in urban nightlife</w:t>
      </w:r>
      <w:r w:rsidR="00886DFB" w:rsidRPr="00B83426">
        <w:rPr>
          <w:rFonts w:cs="Arial"/>
          <w:sz w:val="24"/>
          <w:szCs w:val="24"/>
          <w:shd w:val="clear" w:color="auto" w:fill="FFFFFF"/>
        </w:rPr>
        <w:t>’,</w:t>
      </w:r>
      <w:r w:rsidR="008B478E" w:rsidRPr="00B83426">
        <w:rPr>
          <w:rFonts w:cs="Arial"/>
          <w:sz w:val="24"/>
          <w:szCs w:val="24"/>
          <w:shd w:val="clear" w:color="auto" w:fill="FFFFFF"/>
        </w:rPr>
        <w:t xml:space="preserve"> </w:t>
      </w:r>
      <w:r w:rsidR="008B478E" w:rsidRPr="00B83426">
        <w:rPr>
          <w:rFonts w:cs="Arial"/>
          <w:i/>
          <w:sz w:val="24"/>
          <w:szCs w:val="24"/>
          <w:shd w:val="clear" w:color="auto" w:fill="FFFFFF"/>
        </w:rPr>
        <w:t>Feminist Criminology</w:t>
      </w:r>
      <w:r w:rsidR="00886DFB" w:rsidRPr="00B83426">
        <w:rPr>
          <w:rFonts w:cs="Arial"/>
          <w:sz w:val="24"/>
          <w:szCs w:val="24"/>
          <w:shd w:val="clear" w:color="auto" w:fill="FFFFFF"/>
        </w:rPr>
        <w:t xml:space="preserve">, 8(1): </w:t>
      </w:r>
      <w:r w:rsidR="008B478E" w:rsidRPr="00B83426">
        <w:rPr>
          <w:rFonts w:cs="Arial"/>
          <w:sz w:val="24"/>
          <w:szCs w:val="24"/>
          <w:shd w:val="clear" w:color="auto" w:fill="FFFFFF"/>
        </w:rPr>
        <w:t>20-39.</w:t>
      </w:r>
    </w:p>
    <w:p w14:paraId="145EF5DB" w14:textId="77777777" w:rsidR="008B478E" w:rsidRPr="00B83426" w:rsidRDefault="008B478E" w:rsidP="00810CC0">
      <w:pPr>
        <w:spacing w:after="0" w:line="240" w:lineRule="auto"/>
        <w:rPr>
          <w:rFonts w:cs="Arial"/>
          <w:sz w:val="24"/>
          <w:szCs w:val="24"/>
          <w:highlight w:val="yellow"/>
          <w:shd w:val="clear" w:color="auto" w:fill="FFFFFF"/>
        </w:rPr>
      </w:pPr>
    </w:p>
    <w:p w14:paraId="1A0A83DD" w14:textId="331F5984" w:rsidR="00544593" w:rsidRPr="00B83426" w:rsidRDefault="00544593" w:rsidP="00810CC0">
      <w:pPr>
        <w:spacing w:after="0" w:line="240" w:lineRule="auto"/>
        <w:rPr>
          <w:rFonts w:cs="Times New Roman"/>
          <w:sz w:val="24"/>
          <w:szCs w:val="24"/>
        </w:rPr>
      </w:pPr>
      <w:proofErr w:type="spellStart"/>
      <w:r w:rsidRPr="00B83426">
        <w:rPr>
          <w:rFonts w:cs="Times New Roman"/>
          <w:sz w:val="24"/>
          <w:szCs w:val="24"/>
        </w:rPr>
        <w:t>Leyshon</w:t>
      </w:r>
      <w:proofErr w:type="spellEnd"/>
      <w:r w:rsidRPr="00B83426">
        <w:rPr>
          <w:rFonts w:cs="Times New Roman"/>
          <w:sz w:val="24"/>
          <w:szCs w:val="24"/>
        </w:rPr>
        <w:t xml:space="preserve">, M. (2008) </w:t>
      </w:r>
      <w:r w:rsidR="00886DFB" w:rsidRPr="00B83426">
        <w:rPr>
          <w:rFonts w:cs="Times New Roman"/>
          <w:sz w:val="24"/>
          <w:szCs w:val="24"/>
        </w:rPr>
        <w:t>‘</w:t>
      </w:r>
      <w:r w:rsidRPr="00B83426">
        <w:rPr>
          <w:rFonts w:cs="Times New Roman"/>
          <w:sz w:val="24"/>
          <w:szCs w:val="24"/>
        </w:rPr>
        <w:t xml:space="preserve">‘We’re stuck in the corner’: </w:t>
      </w:r>
      <w:r w:rsidR="00C02019">
        <w:rPr>
          <w:rFonts w:cs="Times New Roman"/>
          <w:sz w:val="24"/>
          <w:szCs w:val="24"/>
        </w:rPr>
        <w:t>y</w:t>
      </w:r>
      <w:r w:rsidRPr="00B83426">
        <w:rPr>
          <w:rFonts w:cs="Times New Roman"/>
          <w:sz w:val="24"/>
          <w:szCs w:val="24"/>
        </w:rPr>
        <w:t>oung women, embodiment and drinking in the countryside</w:t>
      </w:r>
      <w:r w:rsidR="00886DFB" w:rsidRPr="00B83426">
        <w:rPr>
          <w:rFonts w:cs="Times New Roman"/>
          <w:sz w:val="24"/>
          <w:szCs w:val="24"/>
        </w:rPr>
        <w:t>’,</w:t>
      </w:r>
      <w:r w:rsidRPr="00B83426">
        <w:rPr>
          <w:rFonts w:cs="Times New Roman"/>
          <w:sz w:val="24"/>
          <w:szCs w:val="24"/>
        </w:rPr>
        <w:t xml:space="preserve"> </w:t>
      </w:r>
      <w:r w:rsidRPr="00B83426">
        <w:rPr>
          <w:rFonts w:cs="Times New Roman"/>
          <w:i/>
          <w:sz w:val="24"/>
          <w:szCs w:val="24"/>
        </w:rPr>
        <w:t>Drugs: Education, Prevention, and Policy</w:t>
      </w:r>
      <w:r w:rsidR="00886DFB" w:rsidRPr="00B83426">
        <w:rPr>
          <w:rFonts w:cs="Times New Roman"/>
          <w:sz w:val="24"/>
          <w:szCs w:val="24"/>
        </w:rPr>
        <w:t xml:space="preserve">, 15(3): </w:t>
      </w:r>
      <w:r w:rsidRPr="00B83426">
        <w:rPr>
          <w:rFonts w:cs="Times New Roman"/>
          <w:sz w:val="24"/>
          <w:szCs w:val="24"/>
        </w:rPr>
        <w:t>267-289.</w:t>
      </w:r>
    </w:p>
    <w:p w14:paraId="20717CB2" w14:textId="77777777" w:rsidR="004045DE" w:rsidRPr="00B83426" w:rsidRDefault="004045DE" w:rsidP="00810CC0">
      <w:pPr>
        <w:spacing w:after="0" w:line="240" w:lineRule="auto"/>
        <w:rPr>
          <w:rFonts w:cs="Times New Roman"/>
          <w:sz w:val="24"/>
          <w:szCs w:val="24"/>
        </w:rPr>
      </w:pPr>
    </w:p>
    <w:p w14:paraId="3CC9701D" w14:textId="2460C2DD" w:rsidR="004045DE" w:rsidRPr="00B83426" w:rsidRDefault="004045DE" w:rsidP="00810CC0">
      <w:pPr>
        <w:spacing w:after="0" w:line="240" w:lineRule="auto"/>
        <w:rPr>
          <w:rFonts w:cs="Times New Roman"/>
          <w:sz w:val="24"/>
          <w:szCs w:val="24"/>
        </w:rPr>
      </w:pPr>
      <w:r w:rsidRPr="00B83426">
        <w:rPr>
          <w:rFonts w:cs="Times New Roman"/>
          <w:sz w:val="24"/>
          <w:szCs w:val="24"/>
        </w:rPr>
        <w:t xml:space="preserve">Lindsay, J. (2006) ‘A big night out in Melbourne: </w:t>
      </w:r>
      <w:r w:rsidR="00C02019">
        <w:rPr>
          <w:rFonts w:cs="Times New Roman"/>
          <w:sz w:val="24"/>
          <w:szCs w:val="24"/>
        </w:rPr>
        <w:t>d</w:t>
      </w:r>
      <w:r w:rsidRPr="00B83426">
        <w:rPr>
          <w:rFonts w:cs="Times New Roman"/>
          <w:sz w:val="24"/>
          <w:szCs w:val="24"/>
        </w:rPr>
        <w:t xml:space="preserve">rinking as an enactment of class and gender’, </w:t>
      </w:r>
      <w:r w:rsidRPr="00B83426">
        <w:rPr>
          <w:rFonts w:cs="Times New Roman"/>
          <w:i/>
          <w:sz w:val="24"/>
          <w:szCs w:val="24"/>
        </w:rPr>
        <w:t>Contemporary Drug Problems</w:t>
      </w:r>
      <w:r w:rsidRPr="00B83426">
        <w:rPr>
          <w:rFonts w:cs="Times New Roman"/>
          <w:sz w:val="24"/>
          <w:szCs w:val="24"/>
        </w:rPr>
        <w:t>, 33(1): 29-61.</w:t>
      </w:r>
    </w:p>
    <w:p w14:paraId="16DECBE6" w14:textId="77777777" w:rsidR="004045DE" w:rsidRPr="00B83426" w:rsidRDefault="004045DE" w:rsidP="00810CC0">
      <w:pPr>
        <w:spacing w:after="0" w:line="240" w:lineRule="auto"/>
        <w:rPr>
          <w:rFonts w:cs="Times New Roman"/>
          <w:sz w:val="24"/>
          <w:szCs w:val="24"/>
          <w:highlight w:val="yellow"/>
        </w:rPr>
      </w:pPr>
    </w:p>
    <w:p w14:paraId="7C40F557" w14:textId="77777777" w:rsidR="00E91923" w:rsidRPr="00B83426" w:rsidRDefault="00860786" w:rsidP="00810CC0">
      <w:pPr>
        <w:spacing w:after="0" w:line="240" w:lineRule="auto"/>
        <w:rPr>
          <w:sz w:val="24"/>
          <w:szCs w:val="24"/>
        </w:rPr>
      </w:pPr>
      <w:r w:rsidRPr="00B83426">
        <w:rPr>
          <w:sz w:val="24"/>
          <w:szCs w:val="24"/>
        </w:rPr>
        <w:t xml:space="preserve">Lyons, A.C. and </w:t>
      </w:r>
      <w:proofErr w:type="spellStart"/>
      <w:r w:rsidRPr="00B83426">
        <w:rPr>
          <w:sz w:val="24"/>
          <w:szCs w:val="24"/>
        </w:rPr>
        <w:t>Willott</w:t>
      </w:r>
      <w:proofErr w:type="spellEnd"/>
      <w:r w:rsidRPr="00B83426">
        <w:rPr>
          <w:sz w:val="24"/>
          <w:szCs w:val="24"/>
        </w:rPr>
        <w:t>, S.</w:t>
      </w:r>
      <w:r w:rsidR="00E91923" w:rsidRPr="00B83426">
        <w:rPr>
          <w:sz w:val="24"/>
          <w:szCs w:val="24"/>
        </w:rPr>
        <w:t xml:space="preserve">A. (2008) </w:t>
      </w:r>
      <w:r w:rsidR="00886DFB" w:rsidRPr="00B83426">
        <w:rPr>
          <w:sz w:val="24"/>
          <w:szCs w:val="24"/>
        </w:rPr>
        <w:t>‘</w:t>
      </w:r>
      <w:r w:rsidR="00E91923" w:rsidRPr="00B83426">
        <w:rPr>
          <w:sz w:val="24"/>
          <w:szCs w:val="24"/>
        </w:rPr>
        <w:t>Alcohol consumption, gender identities and women's changing social positions</w:t>
      </w:r>
      <w:r w:rsidR="00886DFB" w:rsidRPr="00B83426">
        <w:rPr>
          <w:sz w:val="24"/>
          <w:szCs w:val="24"/>
        </w:rPr>
        <w:t>’,</w:t>
      </w:r>
      <w:r w:rsidR="00E91923" w:rsidRPr="00B83426">
        <w:rPr>
          <w:sz w:val="24"/>
          <w:szCs w:val="24"/>
        </w:rPr>
        <w:t xml:space="preserve"> </w:t>
      </w:r>
      <w:r w:rsidR="00E91923" w:rsidRPr="00B83426">
        <w:rPr>
          <w:i/>
          <w:sz w:val="24"/>
          <w:szCs w:val="24"/>
        </w:rPr>
        <w:t>Sex Roles</w:t>
      </w:r>
      <w:r w:rsidR="00E91923" w:rsidRPr="00B83426">
        <w:rPr>
          <w:sz w:val="24"/>
          <w:szCs w:val="24"/>
        </w:rPr>
        <w:t>, 59(9-10)</w:t>
      </w:r>
      <w:r w:rsidR="00886DFB" w:rsidRPr="00B83426">
        <w:rPr>
          <w:sz w:val="24"/>
          <w:szCs w:val="24"/>
        </w:rPr>
        <w:t xml:space="preserve">: </w:t>
      </w:r>
      <w:r w:rsidR="00E91923" w:rsidRPr="00B83426">
        <w:rPr>
          <w:sz w:val="24"/>
          <w:szCs w:val="24"/>
        </w:rPr>
        <w:t>694-712.</w:t>
      </w:r>
    </w:p>
    <w:p w14:paraId="6311130C" w14:textId="77777777" w:rsidR="005C4672" w:rsidRPr="00B83426" w:rsidRDefault="005C4672" w:rsidP="00810CC0">
      <w:pPr>
        <w:spacing w:after="0" w:line="240" w:lineRule="auto"/>
        <w:rPr>
          <w:sz w:val="24"/>
          <w:szCs w:val="24"/>
        </w:rPr>
      </w:pPr>
    </w:p>
    <w:p w14:paraId="2114AAB9" w14:textId="14C7A478" w:rsidR="005C4672" w:rsidRPr="00B83426" w:rsidRDefault="00C02019" w:rsidP="00810CC0">
      <w:pPr>
        <w:spacing w:after="0" w:line="240" w:lineRule="auto"/>
        <w:rPr>
          <w:sz w:val="24"/>
          <w:szCs w:val="24"/>
        </w:rPr>
      </w:pPr>
      <w:r>
        <w:rPr>
          <w:sz w:val="24"/>
          <w:szCs w:val="24"/>
        </w:rPr>
        <w:t>Mason, G. (2001) ‘Body Maps: envisaging homophobia, violence and s</w:t>
      </w:r>
      <w:r w:rsidR="005C4672" w:rsidRPr="00B83426">
        <w:rPr>
          <w:sz w:val="24"/>
          <w:szCs w:val="24"/>
        </w:rPr>
        <w:t xml:space="preserve">afety’, </w:t>
      </w:r>
      <w:r w:rsidR="005C4672" w:rsidRPr="00B83426">
        <w:rPr>
          <w:i/>
          <w:sz w:val="24"/>
          <w:szCs w:val="24"/>
        </w:rPr>
        <w:t xml:space="preserve">Social </w:t>
      </w:r>
      <w:r w:rsidR="00096E74" w:rsidRPr="00B83426">
        <w:rPr>
          <w:i/>
          <w:sz w:val="24"/>
          <w:szCs w:val="24"/>
        </w:rPr>
        <w:t>and</w:t>
      </w:r>
      <w:r w:rsidR="005C4672" w:rsidRPr="00B83426">
        <w:rPr>
          <w:i/>
          <w:sz w:val="24"/>
          <w:szCs w:val="24"/>
        </w:rPr>
        <w:t xml:space="preserve"> Legal Studies</w:t>
      </w:r>
      <w:r w:rsidR="00724782">
        <w:rPr>
          <w:sz w:val="24"/>
          <w:szCs w:val="24"/>
        </w:rPr>
        <w:t xml:space="preserve">, </w:t>
      </w:r>
      <w:r w:rsidR="005C4672" w:rsidRPr="00B83426">
        <w:rPr>
          <w:sz w:val="24"/>
          <w:szCs w:val="24"/>
        </w:rPr>
        <w:t>10(1): 23–44.</w:t>
      </w:r>
    </w:p>
    <w:p w14:paraId="30E63C3F" w14:textId="77777777" w:rsidR="006E2656" w:rsidRPr="00B83426" w:rsidRDefault="006E2656" w:rsidP="00810CC0">
      <w:pPr>
        <w:spacing w:after="0" w:line="240" w:lineRule="auto"/>
        <w:rPr>
          <w:sz w:val="24"/>
          <w:szCs w:val="24"/>
        </w:rPr>
      </w:pPr>
    </w:p>
    <w:p w14:paraId="0BA209D7" w14:textId="3C59DE90" w:rsidR="0066718B" w:rsidRPr="00B83426" w:rsidRDefault="00724782" w:rsidP="00810CC0">
      <w:pPr>
        <w:spacing w:after="0" w:line="240" w:lineRule="auto"/>
        <w:rPr>
          <w:sz w:val="24"/>
          <w:szCs w:val="24"/>
        </w:rPr>
      </w:pPr>
      <w:proofErr w:type="spellStart"/>
      <w:r>
        <w:rPr>
          <w:sz w:val="24"/>
          <w:szCs w:val="24"/>
        </w:rPr>
        <w:t>Nayak</w:t>
      </w:r>
      <w:proofErr w:type="spellEnd"/>
      <w:r>
        <w:rPr>
          <w:sz w:val="24"/>
          <w:szCs w:val="24"/>
        </w:rPr>
        <w:t>, A. (2003) ‘</w:t>
      </w:r>
      <w:r w:rsidR="004D763D" w:rsidRPr="00B83426">
        <w:rPr>
          <w:sz w:val="24"/>
          <w:szCs w:val="24"/>
        </w:rPr>
        <w:t>Last</w:t>
      </w:r>
      <w:r w:rsidR="00C02019">
        <w:rPr>
          <w:sz w:val="24"/>
          <w:szCs w:val="24"/>
        </w:rPr>
        <w:t xml:space="preserve"> of the 'Real Geordies'? White masculinities and the s</w:t>
      </w:r>
      <w:r w:rsidR="004D763D" w:rsidRPr="00B83426">
        <w:rPr>
          <w:sz w:val="24"/>
          <w:szCs w:val="24"/>
        </w:rPr>
        <w:t xml:space="preserve">ubcultural </w:t>
      </w:r>
      <w:r w:rsidR="00C02019">
        <w:rPr>
          <w:sz w:val="24"/>
          <w:szCs w:val="24"/>
        </w:rPr>
        <w:t>response to d</w:t>
      </w:r>
      <w:r>
        <w:rPr>
          <w:sz w:val="24"/>
          <w:szCs w:val="24"/>
        </w:rPr>
        <w:t>eindustrialisation’,</w:t>
      </w:r>
      <w:r w:rsidR="004D763D" w:rsidRPr="00B83426">
        <w:rPr>
          <w:sz w:val="24"/>
          <w:szCs w:val="24"/>
        </w:rPr>
        <w:t xml:space="preserve"> </w:t>
      </w:r>
      <w:r w:rsidR="004D763D" w:rsidRPr="00B83426">
        <w:rPr>
          <w:i/>
          <w:sz w:val="24"/>
          <w:szCs w:val="24"/>
        </w:rPr>
        <w:t>Environment and Planning D: Society and Space</w:t>
      </w:r>
      <w:r w:rsidR="004D763D" w:rsidRPr="00B83426">
        <w:rPr>
          <w:sz w:val="24"/>
          <w:szCs w:val="24"/>
        </w:rPr>
        <w:t>, 21(1): 7-25.</w:t>
      </w:r>
    </w:p>
    <w:p w14:paraId="6260457C" w14:textId="77777777" w:rsidR="004D763D" w:rsidRPr="00B83426" w:rsidRDefault="004D763D" w:rsidP="00810CC0">
      <w:pPr>
        <w:spacing w:after="0" w:line="240" w:lineRule="auto"/>
        <w:rPr>
          <w:rFonts w:cs="Times New Roman"/>
          <w:sz w:val="24"/>
          <w:szCs w:val="24"/>
        </w:rPr>
      </w:pPr>
    </w:p>
    <w:p w14:paraId="225691B9" w14:textId="77777777" w:rsidR="0066718B" w:rsidRPr="00B83426" w:rsidRDefault="00886DFB" w:rsidP="00810CC0">
      <w:pPr>
        <w:spacing w:after="0" w:line="240" w:lineRule="auto"/>
        <w:rPr>
          <w:rFonts w:cs="Arial"/>
          <w:sz w:val="24"/>
          <w:szCs w:val="24"/>
          <w:shd w:val="clear" w:color="auto" w:fill="FFFFFF"/>
        </w:rPr>
      </w:pPr>
      <w:r w:rsidRPr="00B83426">
        <w:rPr>
          <w:rFonts w:cs="Arial"/>
          <w:sz w:val="24"/>
          <w:szCs w:val="24"/>
          <w:shd w:val="clear" w:color="auto" w:fill="FFFFFF"/>
        </w:rPr>
        <w:lastRenderedPageBreak/>
        <w:t>Nicholls, E. (2017)</w:t>
      </w:r>
      <w:r w:rsidR="0066718B" w:rsidRPr="00B83426">
        <w:rPr>
          <w:rFonts w:cs="Arial"/>
          <w:sz w:val="24"/>
          <w:szCs w:val="24"/>
          <w:shd w:val="clear" w:color="auto" w:fill="FFFFFF"/>
        </w:rPr>
        <w:t xml:space="preserve"> </w:t>
      </w:r>
      <w:r w:rsidRPr="00B83426">
        <w:rPr>
          <w:rFonts w:cs="Arial"/>
          <w:sz w:val="24"/>
          <w:szCs w:val="24"/>
          <w:shd w:val="clear" w:color="auto" w:fill="FFFFFF"/>
        </w:rPr>
        <w:t>‘</w:t>
      </w:r>
      <w:r w:rsidR="0066718B" w:rsidRPr="00B83426">
        <w:rPr>
          <w:rFonts w:cs="Arial"/>
          <w:sz w:val="24"/>
          <w:szCs w:val="24"/>
          <w:shd w:val="clear" w:color="auto" w:fill="FFFFFF"/>
        </w:rPr>
        <w:t xml:space="preserve">‘Dulling it down a bit’: managing visibility, sexualities and risk in the Night </w:t>
      </w:r>
      <w:r w:rsidRPr="00B83426">
        <w:rPr>
          <w:rFonts w:cs="Arial"/>
          <w:sz w:val="24"/>
          <w:szCs w:val="24"/>
          <w:shd w:val="clear" w:color="auto" w:fill="FFFFFF"/>
        </w:rPr>
        <w:t>Time Economy in Newcastle, UK’,</w:t>
      </w:r>
      <w:r w:rsidR="0066718B" w:rsidRPr="00B83426">
        <w:rPr>
          <w:rFonts w:cs="Arial"/>
          <w:sz w:val="24"/>
          <w:szCs w:val="24"/>
          <w:shd w:val="clear" w:color="auto" w:fill="FFFFFF"/>
        </w:rPr>
        <w:t xml:space="preserve"> </w:t>
      </w:r>
      <w:r w:rsidR="0066718B" w:rsidRPr="00B83426">
        <w:rPr>
          <w:rStyle w:val="il"/>
          <w:rFonts w:cs="Arial"/>
          <w:i/>
          <w:iCs/>
          <w:sz w:val="24"/>
          <w:szCs w:val="24"/>
          <w:shd w:val="clear" w:color="auto" w:fill="FFFFFF"/>
        </w:rPr>
        <w:t>Gender</w:t>
      </w:r>
      <w:r w:rsidR="0066718B" w:rsidRPr="00B83426">
        <w:rPr>
          <w:rFonts w:cs="Arial"/>
          <w:i/>
          <w:iCs/>
          <w:sz w:val="24"/>
          <w:szCs w:val="24"/>
          <w:shd w:val="clear" w:color="auto" w:fill="FFFFFF"/>
        </w:rPr>
        <w:t>,</w:t>
      </w:r>
      <w:r w:rsidR="0066718B" w:rsidRPr="00B83426">
        <w:rPr>
          <w:rStyle w:val="apple-converted-space"/>
          <w:rFonts w:cs="Arial"/>
          <w:i/>
          <w:iCs/>
          <w:sz w:val="24"/>
          <w:szCs w:val="24"/>
          <w:shd w:val="clear" w:color="auto" w:fill="FFFFFF"/>
        </w:rPr>
        <w:t> </w:t>
      </w:r>
      <w:r w:rsidR="0066718B" w:rsidRPr="00B83426">
        <w:rPr>
          <w:rStyle w:val="il"/>
          <w:rFonts w:cs="Arial"/>
          <w:i/>
          <w:iCs/>
          <w:sz w:val="24"/>
          <w:szCs w:val="24"/>
          <w:shd w:val="clear" w:color="auto" w:fill="FFFFFF"/>
        </w:rPr>
        <w:t>Place</w:t>
      </w:r>
      <w:r w:rsidR="0066718B" w:rsidRPr="00B83426">
        <w:rPr>
          <w:rStyle w:val="apple-converted-space"/>
          <w:rFonts w:cs="Arial"/>
          <w:i/>
          <w:iCs/>
          <w:sz w:val="24"/>
          <w:szCs w:val="24"/>
          <w:shd w:val="clear" w:color="auto" w:fill="FFFFFF"/>
        </w:rPr>
        <w:t> </w:t>
      </w:r>
      <w:r w:rsidR="00096E74" w:rsidRPr="00B83426">
        <w:rPr>
          <w:rFonts w:cs="Arial"/>
          <w:i/>
          <w:iCs/>
          <w:sz w:val="24"/>
          <w:szCs w:val="24"/>
          <w:shd w:val="clear" w:color="auto" w:fill="FFFFFF"/>
        </w:rPr>
        <w:t>and</w:t>
      </w:r>
      <w:r w:rsidR="0066718B" w:rsidRPr="00B83426">
        <w:rPr>
          <w:rFonts w:cs="Arial"/>
          <w:i/>
          <w:iCs/>
          <w:sz w:val="24"/>
          <w:szCs w:val="24"/>
          <w:shd w:val="clear" w:color="auto" w:fill="FFFFFF"/>
        </w:rPr>
        <w:t xml:space="preserve"> Culture</w:t>
      </w:r>
      <w:r w:rsidRPr="00B83426">
        <w:rPr>
          <w:rFonts w:cs="Arial"/>
          <w:sz w:val="24"/>
          <w:szCs w:val="24"/>
          <w:shd w:val="clear" w:color="auto" w:fill="FFFFFF"/>
        </w:rPr>
        <w:t xml:space="preserve">, 24(2): </w:t>
      </w:r>
      <w:r w:rsidR="0066718B" w:rsidRPr="00B83426">
        <w:rPr>
          <w:rFonts w:cs="Arial"/>
          <w:sz w:val="24"/>
          <w:szCs w:val="24"/>
          <w:shd w:val="clear" w:color="auto" w:fill="FFFFFF"/>
        </w:rPr>
        <w:t xml:space="preserve">260-73. </w:t>
      </w:r>
    </w:p>
    <w:p w14:paraId="6E211A5B" w14:textId="77777777" w:rsidR="005D296C" w:rsidRPr="00B83426" w:rsidRDefault="005D296C" w:rsidP="00810CC0">
      <w:pPr>
        <w:spacing w:after="0" w:line="240" w:lineRule="auto"/>
        <w:rPr>
          <w:rFonts w:cs="Arial"/>
          <w:sz w:val="24"/>
          <w:szCs w:val="24"/>
          <w:shd w:val="clear" w:color="auto" w:fill="FFFFFF"/>
        </w:rPr>
      </w:pPr>
    </w:p>
    <w:p w14:paraId="06FCFF16" w14:textId="77777777" w:rsidR="005D296C" w:rsidRPr="00B83426" w:rsidRDefault="005D296C" w:rsidP="00810CC0">
      <w:pPr>
        <w:spacing w:after="0" w:line="240" w:lineRule="auto"/>
        <w:rPr>
          <w:rStyle w:val="Hyperlink"/>
          <w:rFonts w:cs="Arial"/>
          <w:color w:val="auto"/>
          <w:sz w:val="24"/>
          <w:szCs w:val="24"/>
          <w:u w:val="none"/>
          <w:shd w:val="clear" w:color="auto" w:fill="FFFFFF"/>
        </w:rPr>
      </w:pPr>
      <w:r w:rsidRPr="00B83426">
        <w:rPr>
          <w:rFonts w:cs="Arial"/>
          <w:sz w:val="24"/>
          <w:szCs w:val="24"/>
          <w:shd w:val="clear" w:color="auto" w:fill="FFFFFF"/>
        </w:rPr>
        <w:t>Nicholls, E. (2019)</w:t>
      </w:r>
      <w:r w:rsidR="00F47297" w:rsidRPr="00B83426">
        <w:rPr>
          <w:sz w:val="24"/>
          <w:szCs w:val="24"/>
        </w:rPr>
        <w:t xml:space="preserve"> </w:t>
      </w:r>
      <w:r w:rsidR="00F47297" w:rsidRPr="00B83426">
        <w:rPr>
          <w:rFonts w:cs="Arial"/>
          <w:i/>
          <w:sz w:val="24"/>
          <w:szCs w:val="24"/>
          <w:shd w:val="clear" w:color="auto" w:fill="FFFFFF"/>
        </w:rPr>
        <w:t>Negotiating Femininities in the Neoliberal Night-Time Economy: Too Much of a Girl?</w:t>
      </w:r>
      <w:r w:rsidR="00F7397D" w:rsidRPr="00B83426">
        <w:rPr>
          <w:rFonts w:cs="Arial"/>
          <w:i/>
          <w:sz w:val="24"/>
          <w:szCs w:val="24"/>
          <w:shd w:val="clear" w:color="auto" w:fill="FFFFFF"/>
        </w:rPr>
        <w:t xml:space="preserve"> </w:t>
      </w:r>
      <w:r w:rsidR="00F7397D" w:rsidRPr="00B83426">
        <w:rPr>
          <w:rFonts w:cs="Arial"/>
          <w:sz w:val="24"/>
          <w:szCs w:val="24"/>
          <w:shd w:val="clear" w:color="auto" w:fill="FFFFFF"/>
        </w:rPr>
        <w:t xml:space="preserve">Palgrave Macmillan. </w:t>
      </w:r>
    </w:p>
    <w:p w14:paraId="32D2A35E" w14:textId="77777777" w:rsidR="008D0BF3" w:rsidRPr="00B83426" w:rsidRDefault="008D0BF3" w:rsidP="00810CC0">
      <w:pPr>
        <w:spacing w:after="0" w:line="240" w:lineRule="auto"/>
        <w:rPr>
          <w:rFonts w:cs="Times New Roman"/>
          <w:sz w:val="24"/>
          <w:szCs w:val="24"/>
        </w:rPr>
      </w:pPr>
    </w:p>
    <w:p w14:paraId="55D225B6" w14:textId="45F9699D" w:rsidR="008D0BF3" w:rsidRPr="00B83426" w:rsidRDefault="00860786" w:rsidP="00810CC0">
      <w:pPr>
        <w:spacing w:after="0" w:line="240" w:lineRule="auto"/>
        <w:rPr>
          <w:rFonts w:cs="Times New Roman"/>
          <w:sz w:val="24"/>
          <w:szCs w:val="24"/>
        </w:rPr>
      </w:pPr>
      <w:r w:rsidRPr="00B83426">
        <w:rPr>
          <w:rFonts w:cs="Times New Roman"/>
          <w:sz w:val="24"/>
          <w:szCs w:val="24"/>
        </w:rPr>
        <w:t>Peralta, R.</w:t>
      </w:r>
      <w:r w:rsidR="008D0BF3" w:rsidRPr="00B83426">
        <w:rPr>
          <w:rFonts w:cs="Times New Roman"/>
          <w:sz w:val="24"/>
          <w:szCs w:val="24"/>
        </w:rPr>
        <w:t xml:space="preserve">L. (2008) </w:t>
      </w:r>
      <w:r w:rsidR="00886DFB" w:rsidRPr="00B83426">
        <w:rPr>
          <w:rFonts w:cs="Times New Roman"/>
          <w:sz w:val="24"/>
          <w:szCs w:val="24"/>
        </w:rPr>
        <w:t>‘</w:t>
      </w:r>
      <w:r w:rsidR="008D0BF3" w:rsidRPr="00B83426">
        <w:rPr>
          <w:rFonts w:cs="Times New Roman"/>
          <w:sz w:val="24"/>
          <w:szCs w:val="24"/>
        </w:rPr>
        <w:t xml:space="preserve">“Alcohol allows you to not be yourself”: </w:t>
      </w:r>
      <w:r w:rsidR="00C02019">
        <w:rPr>
          <w:rFonts w:cs="Times New Roman"/>
          <w:sz w:val="24"/>
          <w:szCs w:val="24"/>
        </w:rPr>
        <w:t>t</w:t>
      </w:r>
      <w:r w:rsidR="008D0BF3" w:rsidRPr="00B83426">
        <w:rPr>
          <w:rFonts w:cs="Times New Roman"/>
          <w:sz w:val="24"/>
          <w:szCs w:val="24"/>
        </w:rPr>
        <w:t>oward a structured understanding of alcohol use and gender difference among gay, lesbian, and heterosexual youth</w:t>
      </w:r>
      <w:r w:rsidR="00886DFB" w:rsidRPr="00B83426">
        <w:rPr>
          <w:rFonts w:cs="Times New Roman"/>
          <w:sz w:val="24"/>
          <w:szCs w:val="24"/>
        </w:rPr>
        <w:t>’,</w:t>
      </w:r>
      <w:r w:rsidR="008D0BF3" w:rsidRPr="00B83426">
        <w:rPr>
          <w:rFonts w:cs="Times New Roman"/>
          <w:sz w:val="24"/>
          <w:szCs w:val="24"/>
        </w:rPr>
        <w:t xml:space="preserve"> </w:t>
      </w:r>
      <w:r w:rsidR="008D0BF3" w:rsidRPr="00B83426">
        <w:rPr>
          <w:rFonts w:cs="Times New Roman"/>
          <w:i/>
          <w:sz w:val="24"/>
          <w:szCs w:val="24"/>
        </w:rPr>
        <w:t>Journal of Drug Issues</w:t>
      </w:r>
      <w:r w:rsidR="00886DFB" w:rsidRPr="00B83426">
        <w:rPr>
          <w:rFonts w:cs="Times New Roman"/>
          <w:sz w:val="24"/>
          <w:szCs w:val="24"/>
        </w:rPr>
        <w:t xml:space="preserve">, 38(2): </w:t>
      </w:r>
      <w:r w:rsidR="008D0BF3" w:rsidRPr="00B83426">
        <w:rPr>
          <w:rFonts w:cs="Times New Roman"/>
          <w:sz w:val="24"/>
          <w:szCs w:val="24"/>
        </w:rPr>
        <w:t>373-399.</w:t>
      </w:r>
    </w:p>
    <w:p w14:paraId="79FDABC7" w14:textId="77777777" w:rsidR="00EC0278" w:rsidRPr="00B83426" w:rsidRDefault="00EC0278" w:rsidP="00810CC0">
      <w:pPr>
        <w:spacing w:after="0" w:line="240" w:lineRule="auto"/>
        <w:rPr>
          <w:rFonts w:cs="Times New Roman"/>
          <w:sz w:val="24"/>
          <w:szCs w:val="24"/>
        </w:rPr>
      </w:pPr>
    </w:p>
    <w:p w14:paraId="13B3EA61" w14:textId="77777777" w:rsidR="004D0DB1" w:rsidRPr="00B83426" w:rsidRDefault="004D0DB1" w:rsidP="00810CC0">
      <w:pPr>
        <w:autoSpaceDE w:val="0"/>
        <w:autoSpaceDN w:val="0"/>
        <w:adjustRightInd w:val="0"/>
        <w:spacing w:after="0" w:line="240" w:lineRule="auto"/>
        <w:rPr>
          <w:rFonts w:cs="Times New Roman"/>
          <w:sz w:val="24"/>
          <w:szCs w:val="24"/>
        </w:rPr>
      </w:pPr>
      <w:r w:rsidRPr="00B83426">
        <w:rPr>
          <w:rFonts w:cs="Times New Roman"/>
          <w:sz w:val="24"/>
          <w:szCs w:val="24"/>
        </w:rPr>
        <w:t xml:space="preserve">Shaw, R. (2010) ‘Neoliberal subjectivities and the development of the Night-Time Economy in British cities’, </w:t>
      </w:r>
      <w:r w:rsidRPr="00B83426">
        <w:rPr>
          <w:rFonts w:cs="Times New Roman"/>
          <w:i/>
          <w:sz w:val="24"/>
          <w:szCs w:val="24"/>
        </w:rPr>
        <w:t xml:space="preserve">Geography Compass, </w:t>
      </w:r>
      <w:r w:rsidRPr="00B83426">
        <w:rPr>
          <w:rFonts w:cs="Times New Roman"/>
          <w:sz w:val="24"/>
          <w:szCs w:val="24"/>
        </w:rPr>
        <w:t>4(7): 893-903.</w:t>
      </w:r>
    </w:p>
    <w:p w14:paraId="78335317" w14:textId="77777777" w:rsidR="004D763D" w:rsidRPr="00B83426" w:rsidRDefault="004D763D" w:rsidP="00810CC0">
      <w:pPr>
        <w:spacing w:after="0" w:line="240" w:lineRule="auto"/>
        <w:rPr>
          <w:rFonts w:cs="Times New Roman"/>
          <w:sz w:val="24"/>
          <w:szCs w:val="24"/>
        </w:rPr>
      </w:pPr>
    </w:p>
    <w:p w14:paraId="6407A0F9" w14:textId="20DA620E" w:rsidR="004D763D" w:rsidRPr="00B83426" w:rsidRDefault="00724782" w:rsidP="00810CC0">
      <w:pPr>
        <w:spacing w:after="0" w:line="240" w:lineRule="auto"/>
        <w:jc w:val="both"/>
        <w:rPr>
          <w:rFonts w:eastAsia="Calibri" w:cstheme="minorHAnsi"/>
          <w:noProof/>
          <w:sz w:val="24"/>
          <w:szCs w:val="24"/>
        </w:rPr>
      </w:pPr>
      <w:bookmarkStart w:id="6" w:name="_ENREF_42"/>
      <w:r>
        <w:rPr>
          <w:rFonts w:eastAsia="Calibri" w:cstheme="minorHAnsi"/>
          <w:noProof/>
          <w:sz w:val="24"/>
          <w:szCs w:val="24"/>
        </w:rPr>
        <w:t>Sheard, L. (2011) ‘</w:t>
      </w:r>
      <w:r w:rsidR="004D763D" w:rsidRPr="00B83426">
        <w:rPr>
          <w:rFonts w:eastAsia="Calibri" w:cstheme="minorHAnsi"/>
          <w:noProof/>
          <w:sz w:val="24"/>
          <w:szCs w:val="24"/>
        </w:rPr>
        <w:t xml:space="preserve">‘Anything </w:t>
      </w:r>
      <w:r w:rsidR="00C02019" w:rsidRPr="00B83426">
        <w:rPr>
          <w:rFonts w:eastAsia="Calibri" w:cstheme="minorHAnsi"/>
          <w:noProof/>
          <w:sz w:val="24"/>
          <w:szCs w:val="24"/>
        </w:rPr>
        <w:t>could have happened’: w</w:t>
      </w:r>
      <w:r w:rsidR="00C02019">
        <w:rPr>
          <w:rFonts w:eastAsia="Calibri" w:cstheme="minorHAnsi"/>
          <w:noProof/>
          <w:sz w:val="24"/>
          <w:szCs w:val="24"/>
        </w:rPr>
        <w:t>omen, the Night-Time E</w:t>
      </w:r>
      <w:r w:rsidR="00C02019" w:rsidRPr="00B83426">
        <w:rPr>
          <w:rFonts w:eastAsia="Calibri" w:cstheme="minorHAnsi"/>
          <w:noProof/>
          <w:sz w:val="24"/>
          <w:szCs w:val="24"/>
        </w:rPr>
        <w:t>conomy, alcohol and drink spiking</w:t>
      </w:r>
      <w:r>
        <w:rPr>
          <w:rFonts w:eastAsia="Calibri" w:cstheme="minorHAnsi"/>
          <w:noProof/>
          <w:sz w:val="24"/>
          <w:szCs w:val="24"/>
        </w:rPr>
        <w:t>’,</w:t>
      </w:r>
      <w:r w:rsidR="004D763D" w:rsidRPr="00B83426">
        <w:rPr>
          <w:rFonts w:eastAsia="Calibri" w:cstheme="minorHAnsi"/>
          <w:noProof/>
          <w:sz w:val="24"/>
          <w:szCs w:val="24"/>
        </w:rPr>
        <w:t xml:space="preserve"> </w:t>
      </w:r>
      <w:r w:rsidR="004D763D" w:rsidRPr="00B83426">
        <w:rPr>
          <w:rFonts w:eastAsia="Calibri" w:cstheme="minorHAnsi"/>
          <w:i/>
          <w:noProof/>
          <w:sz w:val="24"/>
          <w:szCs w:val="24"/>
        </w:rPr>
        <w:t>Sociology,</w:t>
      </w:r>
      <w:r w:rsidR="004D763D" w:rsidRPr="00B83426">
        <w:rPr>
          <w:rFonts w:eastAsia="Calibri" w:cstheme="minorHAnsi"/>
          <w:noProof/>
          <w:sz w:val="24"/>
          <w:szCs w:val="24"/>
        </w:rPr>
        <w:t xml:space="preserve"> </w:t>
      </w:r>
      <w:r w:rsidR="004D763D" w:rsidRPr="001679B5">
        <w:rPr>
          <w:rFonts w:eastAsia="Calibri" w:cstheme="minorHAnsi"/>
          <w:noProof/>
          <w:sz w:val="24"/>
          <w:szCs w:val="24"/>
        </w:rPr>
        <w:t>45</w:t>
      </w:r>
      <w:r w:rsidR="001679B5" w:rsidRPr="001679B5">
        <w:rPr>
          <w:rFonts w:eastAsia="Calibri" w:cstheme="minorHAnsi"/>
          <w:noProof/>
          <w:sz w:val="24"/>
          <w:szCs w:val="24"/>
        </w:rPr>
        <w:t>(</w:t>
      </w:r>
      <w:r w:rsidR="004D763D" w:rsidRPr="001679B5">
        <w:rPr>
          <w:rFonts w:eastAsia="Calibri" w:cstheme="minorHAnsi"/>
          <w:noProof/>
          <w:sz w:val="24"/>
          <w:szCs w:val="24"/>
        </w:rPr>
        <w:t>4</w:t>
      </w:r>
      <w:r w:rsidR="001679B5" w:rsidRPr="001679B5">
        <w:rPr>
          <w:rFonts w:eastAsia="Calibri" w:cstheme="minorHAnsi"/>
          <w:noProof/>
          <w:sz w:val="24"/>
          <w:szCs w:val="24"/>
        </w:rPr>
        <w:t>):</w:t>
      </w:r>
      <w:r w:rsidR="004D763D" w:rsidRPr="001679B5">
        <w:rPr>
          <w:rFonts w:eastAsia="Calibri" w:cstheme="minorHAnsi"/>
          <w:noProof/>
          <w:sz w:val="24"/>
          <w:szCs w:val="24"/>
        </w:rPr>
        <w:t xml:space="preserve"> 619</w:t>
      </w:r>
      <w:r w:rsidR="004D763D" w:rsidRPr="00B83426">
        <w:rPr>
          <w:rFonts w:eastAsia="Calibri" w:cstheme="minorHAnsi"/>
          <w:noProof/>
          <w:sz w:val="24"/>
          <w:szCs w:val="24"/>
        </w:rPr>
        <w:t>-633.</w:t>
      </w:r>
    </w:p>
    <w:bookmarkEnd w:id="6"/>
    <w:p w14:paraId="13B767F8" w14:textId="77777777" w:rsidR="00813923" w:rsidRPr="00B83426" w:rsidRDefault="00813923" w:rsidP="00810CC0">
      <w:pPr>
        <w:spacing w:after="0" w:line="240" w:lineRule="auto"/>
        <w:rPr>
          <w:rFonts w:cs="Times New Roman"/>
          <w:sz w:val="24"/>
          <w:szCs w:val="24"/>
        </w:rPr>
      </w:pPr>
    </w:p>
    <w:p w14:paraId="7E1C6411" w14:textId="27A75596" w:rsidR="00FA76B9" w:rsidRPr="00B83426" w:rsidRDefault="001679B5" w:rsidP="00810CC0">
      <w:pPr>
        <w:spacing w:after="0" w:line="240" w:lineRule="auto"/>
        <w:rPr>
          <w:rFonts w:cs="Times New Roman"/>
          <w:sz w:val="24"/>
          <w:szCs w:val="24"/>
        </w:rPr>
      </w:pPr>
      <w:r>
        <w:rPr>
          <w:rFonts w:cs="Times New Roman"/>
          <w:sz w:val="24"/>
          <w:szCs w:val="24"/>
        </w:rPr>
        <w:t>Smith, O. (2014)</w:t>
      </w:r>
      <w:r w:rsidR="00FA76B9" w:rsidRPr="00B83426">
        <w:rPr>
          <w:rFonts w:cs="Times New Roman"/>
          <w:sz w:val="24"/>
          <w:szCs w:val="24"/>
        </w:rPr>
        <w:t xml:space="preserve"> </w:t>
      </w:r>
      <w:r w:rsidR="00FA76B9" w:rsidRPr="00B83426">
        <w:rPr>
          <w:rFonts w:cs="Times New Roman"/>
          <w:i/>
          <w:sz w:val="24"/>
          <w:szCs w:val="24"/>
        </w:rPr>
        <w:t xml:space="preserve">Contemporary </w:t>
      </w:r>
      <w:r w:rsidR="00C02019">
        <w:rPr>
          <w:rFonts w:cs="Times New Roman"/>
          <w:i/>
          <w:sz w:val="24"/>
          <w:szCs w:val="24"/>
        </w:rPr>
        <w:t>A</w:t>
      </w:r>
      <w:r w:rsidR="00FA76B9" w:rsidRPr="00B83426">
        <w:rPr>
          <w:rFonts w:cs="Times New Roman"/>
          <w:i/>
          <w:sz w:val="24"/>
          <w:szCs w:val="24"/>
        </w:rPr>
        <w:t>dulthood and the Night-Time Economy</w:t>
      </w:r>
      <w:r w:rsidR="00724782">
        <w:rPr>
          <w:rFonts w:cs="Times New Roman"/>
          <w:i/>
          <w:sz w:val="24"/>
          <w:szCs w:val="24"/>
        </w:rPr>
        <w:t>,</w:t>
      </w:r>
      <w:r w:rsidR="00FA76B9" w:rsidRPr="00B83426">
        <w:rPr>
          <w:rFonts w:cs="Times New Roman"/>
          <w:sz w:val="24"/>
          <w:szCs w:val="24"/>
        </w:rPr>
        <w:t xml:space="preserve"> Palgrave Macmillan. </w:t>
      </w:r>
    </w:p>
    <w:p w14:paraId="2237CB40" w14:textId="77777777" w:rsidR="003E77E7" w:rsidRPr="00B83426" w:rsidRDefault="003E77E7" w:rsidP="00810CC0">
      <w:pPr>
        <w:spacing w:after="0" w:line="240" w:lineRule="auto"/>
        <w:rPr>
          <w:rFonts w:cs="Times New Roman"/>
          <w:sz w:val="24"/>
          <w:szCs w:val="24"/>
        </w:rPr>
      </w:pPr>
    </w:p>
    <w:p w14:paraId="517D1F74" w14:textId="77777777" w:rsidR="0066718B" w:rsidRPr="00B83426" w:rsidRDefault="00860786" w:rsidP="00810CC0">
      <w:pPr>
        <w:spacing w:after="0" w:line="240" w:lineRule="auto"/>
        <w:rPr>
          <w:rFonts w:cs="Times New Roman"/>
          <w:sz w:val="24"/>
          <w:szCs w:val="24"/>
        </w:rPr>
      </w:pPr>
      <w:r w:rsidRPr="00B83426">
        <w:rPr>
          <w:rFonts w:cs="Times New Roman"/>
          <w:sz w:val="24"/>
          <w:szCs w:val="24"/>
        </w:rPr>
        <w:t>Tan, Q.</w:t>
      </w:r>
      <w:r w:rsidR="00886DFB" w:rsidRPr="00B83426">
        <w:rPr>
          <w:rFonts w:cs="Times New Roman"/>
          <w:sz w:val="24"/>
          <w:szCs w:val="24"/>
        </w:rPr>
        <w:t>H. (2014) ‘Postfeminist possibilities: unpacking t</w:t>
      </w:r>
      <w:r w:rsidR="00096E74" w:rsidRPr="00B83426">
        <w:rPr>
          <w:rFonts w:cs="Times New Roman"/>
          <w:sz w:val="24"/>
          <w:szCs w:val="24"/>
        </w:rPr>
        <w:t xml:space="preserve">he paradoxical performances of </w:t>
      </w:r>
      <w:proofErr w:type="spellStart"/>
      <w:r w:rsidR="00096E74" w:rsidRPr="00B83426">
        <w:rPr>
          <w:rFonts w:cs="Times New Roman"/>
          <w:sz w:val="24"/>
          <w:szCs w:val="24"/>
        </w:rPr>
        <w:t>h</w:t>
      </w:r>
      <w:r w:rsidR="00886DFB" w:rsidRPr="00B83426">
        <w:rPr>
          <w:rFonts w:cs="Times New Roman"/>
          <w:sz w:val="24"/>
          <w:szCs w:val="24"/>
        </w:rPr>
        <w:t>eterosexualized</w:t>
      </w:r>
      <w:proofErr w:type="spellEnd"/>
      <w:r w:rsidR="00886DFB" w:rsidRPr="00B83426">
        <w:rPr>
          <w:rFonts w:cs="Times New Roman"/>
          <w:sz w:val="24"/>
          <w:szCs w:val="24"/>
        </w:rPr>
        <w:t xml:space="preserve"> femininity in club spaces’, </w:t>
      </w:r>
      <w:r w:rsidR="00886DFB" w:rsidRPr="00B83426">
        <w:rPr>
          <w:rFonts w:cs="Times New Roman"/>
          <w:i/>
          <w:sz w:val="24"/>
          <w:szCs w:val="24"/>
        </w:rPr>
        <w:t xml:space="preserve">Social </w:t>
      </w:r>
      <w:r w:rsidR="00096E74" w:rsidRPr="00B83426">
        <w:rPr>
          <w:rFonts w:cs="Times New Roman"/>
          <w:i/>
          <w:sz w:val="24"/>
          <w:szCs w:val="24"/>
        </w:rPr>
        <w:t>and</w:t>
      </w:r>
      <w:r w:rsidR="00886DFB" w:rsidRPr="00B83426">
        <w:rPr>
          <w:rFonts w:cs="Times New Roman"/>
          <w:i/>
          <w:sz w:val="24"/>
          <w:szCs w:val="24"/>
        </w:rPr>
        <w:t xml:space="preserve"> Cultural Geography</w:t>
      </w:r>
      <w:r w:rsidR="00886DFB" w:rsidRPr="00B83426">
        <w:rPr>
          <w:rFonts w:cs="Times New Roman"/>
          <w:sz w:val="24"/>
          <w:szCs w:val="24"/>
        </w:rPr>
        <w:t>, 15(1): 23-48.</w:t>
      </w:r>
    </w:p>
    <w:p w14:paraId="482C90BD" w14:textId="77777777" w:rsidR="00886DFB" w:rsidRPr="00B83426" w:rsidRDefault="00886DFB" w:rsidP="00810CC0">
      <w:pPr>
        <w:spacing w:after="0" w:line="240" w:lineRule="auto"/>
        <w:rPr>
          <w:rFonts w:cs="Times New Roman"/>
          <w:sz w:val="24"/>
          <w:szCs w:val="24"/>
        </w:rPr>
      </w:pPr>
    </w:p>
    <w:p w14:paraId="70B97634" w14:textId="1D1BCC6A" w:rsidR="0066718B" w:rsidRDefault="0066718B" w:rsidP="00810CC0">
      <w:pPr>
        <w:spacing w:after="0" w:line="240" w:lineRule="auto"/>
        <w:rPr>
          <w:sz w:val="24"/>
          <w:szCs w:val="24"/>
        </w:rPr>
      </w:pPr>
      <w:proofErr w:type="spellStart"/>
      <w:r w:rsidRPr="00B83426">
        <w:rPr>
          <w:sz w:val="24"/>
          <w:szCs w:val="24"/>
        </w:rPr>
        <w:t>Tinkler</w:t>
      </w:r>
      <w:proofErr w:type="spellEnd"/>
      <w:r w:rsidRPr="00B83426">
        <w:rPr>
          <w:sz w:val="24"/>
          <w:szCs w:val="24"/>
        </w:rPr>
        <w:t>, J.</w:t>
      </w:r>
      <w:r w:rsidR="00860786" w:rsidRPr="00B83426">
        <w:rPr>
          <w:sz w:val="24"/>
          <w:szCs w:val="24"/>
        </w:rPr>
        <w:t>E., Becker, S. and Clayton, K.</w:t>
      </w:r>
      <w:r w:rsidRPr="00B83426">
        <w:rPr>
          <w:sz w:val="24"/>
          <w:szCs w:val="24"/>
        </w:rPr>
        <w:t xml:space="preserve">A. (2018) </w:t>
      </w:r>
      <w:r w:rsidR="00886DFB" w:rsidRPr="00B83426">
        <w:rPr>
          <w:sz w:val="24"/>
          <w:szCs w:val="24"/>
        </w:rPr>
        <w:t>‘</w:t>
      </w:r>
      <w:r w:rsidRPr="00B83426">
        <w:rPr>
          <w:sz w:val="24"/>
          <w:szCs w:val="24"/>
        </w:rPr>
        <w:t xml:space="preserve">“Kind of natural, kind of wrong”: </w:t>
      </w:r>
      <w:r w:rsidR="00C02019">
        <w:rPr>
          <w:sz w:val="24"/>
          <w:szCs w:val="24"/>
        </w:rPr>
        <w:t>y</w:t>
      </w:r>
      <w:r w:rsidRPr="00B83426">
        <w:rPr>
          <w:sz w:val="24"/>
          <w:szCs w:val="24"/>
        </w:rPr>
        <w:t>oung people’s beliefs about the morality, legality and normalcy of sexual aggressio</w:t>
      </w:r>
      <w:r w:rsidR="00886DFB" w:rsidRPr="00B83426">
        <w:rPr>
          <w:sz w:val="24"/>
          <w:szCs w:val="24"/>
        </w:rPr>
        <w:t xml:space="preserve">n in public drinking settings’, </w:t>
      </w:r>
      <w:r w:rsidRPr="00B83426">
        <w:rPr>
          <w:i/>
          <w:sz w:val="24"/>
          <w:szCs w:val="24"/>
        </w:rPr>
        <w:t xml:space="preserve">Law </w:t>
      </w:r>
      <w:r w:rsidR="00096E74" w:rsidRPr="00B83426">
        <w:rPr>
          <w:i/>
          <w:sz w:val="24"/>
          <w:szCs w:val="24"/>
        </w:rPr>
        <w:t>and</w:t>
      </w:r>
      <w:r w:rsidRPr="00B83426">
        <w:rPr>
          <w:i/>
          <w:sz w:val="24"/>
          <w:szCs w:val="24"/>
        </w:rPr>
        <w:t xml:space="preserve"> Social Inquiry</w:t>
      </w:r>
      <w:r w:rsidR="00886DFB" w:rsidRPr="00B83426">
        <w:rPr>
          <w:sz w:val="24"/>
          <w:szCs w:val="24"/>
        </w:rPr>
        <w:t xml:space="preserve">, 43(1): </w:t>
      </w:r>
      <w:r w:rsidRPr="00B83426">
        <w:rPr>
          <w:sz w:val="24"/>
          <w:szCs w:val="24"/>
        </w:rPr>
        <w:t>28-57.</w:t>
      </w:r>
    </w:p>
    <w:p w14:paraId="0C9B2262" w14:textId="23E08951" w:rsidR="001679B5" w:rsidRDefault="001679B5" w:rsidP="00810CC0">
      <w:pPr>
        <w:spacing w:after="0" w:line="240" w:lineRule="auto"/>
        <w:rPr>
          <w:sz w:val="24"/>
          <w:szCs w:val="24"/>
        </w:rPr>
      </w:pPr>
    </w:p>
    <w:p w14:paraId="7800A3EA" w14:textId="4D909801" w:rsidR="001679B5" w:rsidRPr="00B83426" w:rsidRDefault="001679B5" w:rsidP="00810CC0">
      <w:pPr>
        <w:spacing w:after="0" w:line="240" w:lineRule="auto"/>
        <w:rPr>
          <w:sz w:val="24"/>
          <w:szCs w:val="24"/>
        </w:rPr>
      </w:pPr>
      <w:r>
        <w:rPr>
          <w:sz w:val="24"/>
          <w:szCs w:val="24"/>
        </w:rPr>
        <w:t>Tyler, I. (2008) ‘</w:t>
      </w:r>
      <w:r w:rsidR="00C02019">
        <w:rPr>
          <w:sz w:val="24"/>
          <w:szCs w:val="24"/>
        </w:rPr>
        <w:t>Chav mum chav s</w:t>
      </w:r>
      <w:r>
        <w:rPr>
          <w:sz w:val="24"/>
          <w:szCs w:val="24"/>
        </w:rPr>
        <w:t>cum’</w:t>
      </w:r>
      <w:r w:rsidRPr="001679B5">
        <w:rPr>
          <w:sz w:val="24"/>
          <w:szCs w:val="24"/>
        </w:rPr>
        <w:t xml:space="preserve">, </w:t>
      </w:r>
      <w:r w:rsidRPr="001679B5">
        <w:rPr>
          <w:i/>
          <w:sz w:val="24"/>
          <w:szCs w:val="24"/>
        </w:rPr>
        <w:t>Feminist Media Studies</w:t>
      </w:r>
      <w:r>
        <w:rPr>
          <w:sz w:val="24"/>
          <w:szCs w:val="24"/>
        </w:rPr>
        <w:t>, 8(</w:t>
      </w:r>
      <w:r w:rsidRPr="001679B5">
        <w:rPr>
          <w:sz w:val="24"/>
          <w:szCs w:val="24"/>
        </w:rPr>
        <w:t>1</w:t>
      </w:r>
      <w:r>
        <w:rPr>
          <w:sz w:val="24"/>
          <w:szCs w:val="24"/>
        </w:rPr>
        <w:t>):</w:t>
      </w:r>
      <w:r w:rsidRPr="001679B5">
        <w:rPr>
          <w:sz w:val="24"/>
          <w:szCs w:val="24"/>
        </w:rPr>
        <w:t xml:space="preserve"> 17-34</w:t>
      </w:r>
      <w:r>
        <w:rPr>
          <w:sz w:val="24"/>
          <w:szCs w:val="24"/>
        </w:rPr>
        <w:t>.</w:t>
      </w:r>
    </w:p>
    <w:p w14:paraId="15F8970A" w14:textId="671E1AFD" w:rsidR="00E91923" w:rsidRPr="00B83426" w:rsidRDefault="00E91923" w:rsidP="00810CC0">
      <w:pPr>
        <w:spacing w:before="240" w:after="0" w:line="240" w:lineRule="auto"/>
        <w:rPr>
          <w:rFonts w:cs="Times New Roman"/>
          <w:sz w:val="24"/>
          <w:szCs w:val="24"/>
        </w:rPr>
      </w:pPr>
      <w:proofErr w:type="spellStart"/>
      <w:r w:rsidRPr="00B83426">
        <w:rPr>
          <w:rFonts w:cs="Times New Roman"/>
          <w:sz w:val="24"/>
          <w:szCs w:val="24"/>
        </w:rPr>
        <w:t>Waitt</w:t>
      </w:r>
      <w:proofErr w:type="spellEnd"/>
      <w:r w:rsidRPr="00B83426">
        <w:rPr>
          <w:rFonts w:cs="Times New Roman"/>
          <w:sz w:val="24"/>
          <w:szCs w:val="24"/>
        </w:rPr>
        <w:t xml:space="preserve">, G., Jessop, </w:t>
      </w:r>
      <w:r w:rsidR="00886DFB" w:rsidRPr="00B83426">
        <w:rPr>
          <w:rFonts w:cs="Times New Roman"/>
          <w:sz w:val="24"/>
          <w:szCs w:val="24"/>
        </w:rPr>
        <w:t>L. and Gorman-Murray, A. (2011)</w:t>
      </w:r>
      <w:r w:rsidRPr="00B83426">
        <w:rPr>
          <w:rFonts w:cs="Times New Roman"/>
          <w:sz w:val="24"/>
          <w:szCs w:val="24"/>
        </w:rPr>
        <w:t xml:space="preserve"> </w:t>
      </w:r>
      <w:r w:rsidR="00886DFB" w:rsidRPr="00B83426">
        <w:rPr>
          <w:rFonts w:cs="Times New Roman"/>
          <w:sz w:val="24"/>
          <w:szCs w:val="24"/>
        </w:rPr>
        <w:t>‘</w:t>
      </w:r>
      <w:r w:rsidRPr="00B83426">
        <w:rPr>
          <w:rFonts w:cs="Times New Roman"/>
          <w:sz w:val="24"/>
          <w:szCs w:val="24"/>
        </w:rPr>
        <w:t xml:space="preserve">‘The guys in </w:t>
      </w:r>
      <w:r w:rsidR="00C02019">
        <w:rPr>
          <w:rFonts w:cs="Times New Roman"/>
          <w:sz w:val="24"/>
          <w:szCs w:val="24"/>
        </w:rPr>
        <w:t>there just expect to be laid’: e</w:t>
      </w:r>
      <w:r w:rsidRPr="00B83426">
        <w:rPr>
          <w:rFonts w:cs="Times New Roman"/>
          <w:sz w:val="24"/>
          <w:szCs w:val="24"/>
        </w:rPr>
        <w:t>mbodied and gendered socio-spatial practices of a ‘night out’ in Wollongong, Australia</w:t>
      </w:r>
      <w:r w:rsidR="00886DFB" w:rsidRPr="00B83426">
        <w:rPr>
          <w:rFonts w:cs="Times New Roman"/>
          <w:sz w:val="24"/>
          <w:szCs w:val="24"/>
        </w:rPr>
        <w:t>’,</w:t>
      </w:r>
      <w:r w:rsidRPr="00B83426">
        <w:rPr>
          <w:rFonts w:cs="Times New Roman"/>
          <w:sz w:val="24"/>
          <w:szCs w:val="24"/>
        </w:rPr>
        <w:t xml:space="preserve"> </w:t>
      </w:r>
      <w:r w:rsidRPr="00B83426">
        <w:rPr>
          <w:rFonts w:cs="Times New Roman"/>
          <w:i/>
          <w:sz w:val="24"/>
          <w:szCs w:val="24"/>
        </w:rPr>
        <w:t xml:space="preserve">Gender, Place </w:t>
      </w:r>
      <w:r w:rsidR="00096E74" w:rsidRPr="00B83426">
        <w:rPr>
          <w:rFonts w:cs="Times New Roman"/>
          <w:i/>
          <w:sz w:val="24"/>
          <w:szCs w:val="24"/>
        </w:rPr>
        <w:t>and</w:t>
      </w:r>
      <w:r w:rsidRPr="00B83426">
        <w:rPr>
          <w:rFonts w:cs="Times New Roman"/>
          <w:i/>
          <w:sz w:val="24"/>
          <w:szCs w:val="24"/>
        </w:rPr>
        <w:t xml:space="preserve"> Culture</w:t>
      </w:r>
      <w:r w:rsidR="00886DFB" w:rsidRPr="00B83426">
        <w:rPr>
          <w:rFonts w:cs="Times New Roman"/>
          <w:sz w:val="24"/>
          <w:szCs w:val="24"/>
        </w:rPr>
        <w:t xml:space="preserve">, 18(2): </w:t>
      </w:r>
      <w:r w:rsidRPr="00B83426">
        <w:rPr>
          <w:rFonts w:cs="Times New Roman"/>
          <w:sz w:val="24"/>
          <w:szCs w:val="24"/>
        </w:rPr>
        <w:t>255-275.</w:t>
      </w:r>
    </w:p>
    <w:p w14:paraId="7CC70EB4" w14:textId="77777777" w:rsidR="00897FA9" w:rsidRPr="00B83426" w:rsidRDefault="00897FA9" w:rsidP="00810CC0">
      <w:pPr>
        <w:spacing w:after="0" w:line="240" w:lineRule="auto"/>
        <w:jc w:val="both"/>
        <w:rPr>
          <w:sz w:val="24"/>
          <w:szCs w:val="24"/>
        </w:rPr>
      </w:pPr>
    </w:p>
    <w:p w14:paraId="7B8C18CE" w14:textId="3884582F" w:rsidR="00F47297" w:rsidRPr="00B83426" w:rsidRDefault="00F47297" w:rsidP="00810CC0">
      <w:pPr>
        <w:spacing w:after="0" w:line="240" w:lineRule="auto"/>
        <w:rPr>
          <w:sz w:val="24"/>
          <w:szCs w:val="24"/>
        </w:rPr>
      </w:pPr>
      <w:r w:rsidRPr="00B83426">
        <w:rPr>
          <w:sz w:val="24"/>
          <w:szCs w:val="24"/>
        </w:rPr>
        <w:t>Wattis, L., Green E. and Radford, J. (2011) ‘Women students’ perceptions of crime and safety: Negotiating fear and risk in an Eng</w:t>
      </w:r>
      <w:r w:rsidR="00724782">
        <w:rPr>
          <w:sz w:val="24"/>
          <w:szCs w:val="24"/>
        </w:rPr>
        <w:t xml:space="preserve">lish post-industrial landscape’, </w:t>
      </w:r>
      <w:r w:rsidRPr="00B83426">
        <w:rPr>
          <w:i/>
          <w:sz w:val="24"/>
          <w:szCs w:val="24"/>
        </w:rPr>
        <w:t xml:space="preserve">Gender, Place </w:t>
      </w:r>
      <w:r w:rsidR="00096E74" w:rsidRPr="00B83426">
        <w:rPr>
          <w:i/>
          <w:sz w:val="24"/>
          <w:szCs w:val="24"/>
        </w:rPr>
        <w:t>and</w:t>
      </w:r>
      <w:r w:rsidRPr="00B83426">
        <w:rPr>
          <w:i/>
          <w:sz w:val="24"/>
          <w:szCs w:val="24"/>
        </w:rPr>
        <w:t xml:space="preserve"> Culture, </w:t>
      </w:r>
      <w:r w:rsidRPr="00B83426">
        <w:rPr>
          <w:sz w:val="24"/>
          <w:szCs w:val="24"/>
        </w:rPr>
        <w:t>18(6): 749-767.</w:t>
      </w:r>
    </w:p>
    <w:p w14:paraId="48A09C22" w14:textId="77777777" w:rsidR="005E1B1D" w:rsidRPr="00B83426" w:rsidRDefault="005E1B1D" w:rsidP="00810CC0">
      <w:pPr>
        <w:spacing w:after="0" w:line="240" w:lineRule="auto"/>
        <w:jc w:val="both"/>
        <w:rPr>
          <w:sz w:val="24"/>
          <w:szCs w:val="24"/>
        </w:rPr>
      </w:pPr>
      <w:r w:rsidRPr="00B83426">
        <w:rPr>
          <w:sz w:val="24"/>
          <w:szCs w:val="24"/>
        </w:rPr>
        <w:t xml:space="preserve"> </w:t>
      </w:r>
    </w:p>
    <w:p w14:paraId="5492A396" w14:textId="77777777" w:rsidR="001360E5" w:rsidRPr="00B83426" w:rsidRDefault="001360E5" w:rsidP="00810CC0">
      <w:pPr>
        <w:spacing w:after="0" w:line="240" w:lineRule="auto"/>
        <w:jc w:val="both"/>
        <w:rPr>
          <w:sz w:val="24"/>
          <w:szCs w:val="24"/>
        </w:rPr>
      </w:pPr>
    </w:p>
    <w:sectPr w:rsidR="001360E5" w:rsidRPr="00B83426">
      <w:footerReference w:type="default" r:id="rId9"/>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02818" w16cex:dateUtc="2021-01-18T04:30:00Z"/>
  <w16cex:commentExtensible w16cex:durableId="23B02AC9" w16cex:dateUtc="2021-01-18T04:42:00Z"/>
  <w16cex:commentExtensible w16cex:durableId="23CFD525" w16cex:dateUtc="2021-02-11T05:09:00Z"/>
  <w16cex:commentExtensible w16cex:durableId="23B02CDF" w16cex:dateUtc="2021-01-18T04: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E1FBB64" w16cid:durableId="23B02818"/>
  <w16cid:commentId w16cid:paraId="6F3A31B0" w16cid:durableId="23B02AC9"/>
  <w16cid:commentId w16cid:paraId="3612B875" w16cid:durableId="23CFD525"/>
  <w16cid:commentId w16cid:paraId="756EB226" w16cid:durableId="23B02CD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B3AFA2" w14:textId="77777777" w:rsidR="00763515" w:rsidRDefault="00763515" w:rsidP="00544593">
      <w:pPr>
        <w:spacing w:after="0" w:line="240" w:lineRule="auto"/>
      </w:pPr>
      <w:r>
        <w:separator/>
      </w:r>
    </w:p>
  </w:endnote>
  <w:endnote w:type="continuationSeparator" w:id="0">
    <w:p w14:paraId="27A5CABE" w14:textId="77777777" w:rsidR="00763515" w:rsidRDefault="00763515" w:rsidP="00544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0137265"/>
      <w:docPartObj>
        <w:docPartGallery w:val="Page Numbers (Bottom of Page)"/>
        <w:docPartUnique/>
      </w:docPartObj>
    </w:sdtPr>
    <w:sdtEndPr>
      <w:rPr>
        <w:noProof/>
      </w:rPr>
    </w:sdtEndPr>
    <w:sdtContent>
      <w:p w14:paraId="7DE7CD3C" w14:textId="539FD060" w:rsidR="00501D64" w:rsidRDefault="00501D64">
        <w:pPr>
          <w:pStyle w:val="Footer"/>
          <w:jc w:val="right"/>
        </w:pPr>
        <w:r>
          <w:fldChar w:fldCharType="begin"/>
        </w:r>
        <w:r>
          <w:instrText xml:space="preserve"> PAGE   \* MERGEFORMAT </w:instrText>
        </w:r>
        <w:r>
          <w:fldChar w:fldCharType="separate"/>
        </w:r>
        <w:r w:rsidR="004411DE">
          <w:rPr>
            <w:noProof/>
          </w:rPr>
          <w:t>10</w:t>
        </w:r>
        <w:r>
          <w:rPr>
            <w:noProof/>
          </w:rPr>
          <w:fldChar w:fldCharType="end"/>
        </w:r>
      </w:p>
    </w:sdtContent>
  </w:sdt>
  <w:p w14:paraId="40B9671D" w14:textId="77777777" w:rsidR="00501D64" w:rsidRDefault="00501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E9C8A7" w14:textId="77777777" w:rsidR="00763515" w:rsidRDefault="00763515" w:rsidP="00544593">
      <w:pPr>
        <w:spacing w:after="0" w:line="240" w:lineRule="auto"/>
      </w:pPr>
      <w:r>
        <w:separator/>
      </w:r>
    </w:p>
  </w:footnote>
  <w:footnote w:type="continuationSeparator" w:id="0">
    <w:p w14:paraId="4E19A341" w14:textId="77777777" w:rsidR="00763515" w:rsidRDefault="00763515" w:rsidP="00544593">
      <w:pPr>
        <w:spacing w:after="0" w:line="240" w:lineRule="auto"/>
      </w:pPr>
      <w:r>
        <w:continuationSeparator/>
      </w:r>
    </w:p>
  </w:footnote>
  <w:footnote w:id="1">
    <w:p w14:paraId="46D88D81" w14:textId="77777777" w:rsidR="00544593" w:rsidRDefault="00544593">
      <w:pPr>
        <w:pStyle w:val="FootnoteText"/>
      </w:pPr>
      <w:r>
        <w:rPr>
          <w:rStyle w:val="FootnoteReference"/>
        </w:rPr>
        <w:footnoteRef/>
      </w:r>
      <w:r>
        <w:t xml:space="preserve"> See, for example, </w:t>
      </w:r>
      <w:proofErr w:type="spellStart"/>
      <w:r>
        <w:t>Leyshon</w:t>
      </w:r>
      <w:proofErr w:type="spellEnd"/>
      <w:r>
        <w:t xml:space="preserve"> (2008) on women’s differing experiences in rural pubs in the UK </w:t>
      </w:r>
    </w:p>
  </w:footnote>
  <w:footnote w:id="2">
    <w:p w14:paraId="21B6EFF4" w14:textId="4A198BF1" w:rsidR="009C7F22" w:rsidRDefault="009C7F22">
      <w:pPr>
        <w:pStyle w:val="FootnoteText"/>
      </w:pPr>
      <w:r>
        <w:rPr>
          <w:rStyle w:val="FootnoteReference"/>
        </w:rPr>
        <w:footnoteRef/>
      </w:r>
      <w:r>
        <w:t xml:space="preserve"> ‘</w:t>
      </w:r>
      <w:proofErr w:type="spellStart"/>
      <w:r>
        <w:t>Chavvy</w:t>
      </w:r>
      <w:proofErr w:type="spellEnd"/>
      <w:r>
        <w:t xml:space="preserve">’ derives from the British term ‘chav’, a </w:t>
      </w:r>
      <w:r w:rsidRPr="009C7F22">
        <w:t>pejorative</w:t>
      </w:r>
      <w:r>
        <w:t xml:space="preserve"> term used to describe </w:t>
      </w:r>
      <w:r w:rsidR="001679B5">
        <w:t>or insult the (white) working-class (Tyler, 2008)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B43C0"/>
    <w:multiLevelType w:val="hybridMultilevel"/>
    <w:tmpl w:val="BE0C5614"/>
    <w:lvl w:ilvl="0" w:tplc="BC8CF606">
      <w:start w:val="1"/>
      <w:numFmt w:val="bullet"/>
      <w:lvlText w:val=""/>
      <w:lvlJc w:val="left"/>
      <w:pPr>
        <w:tabs>
          <w:tab w:val="num" w:pos="720"/>
        </w:tabs>
        <w:ind w:left="720" w:hanging="360"/>
      </w:pPr>
      <w:rPr>
        <w:rFonts w:ascii="Wingdings 2" w:hAnsi="Wingdings 2" w:hint="default"/>
      </w:rPr>
    </w:lvl>
    <w:lvl w:ilvl="1" w:tplc="C654079E" w:tentative="1">
      <w:start w:val="1"/>
      <w:numFmt w:val="bullet"/>
      <w:lvlText w:val=""/>
      <w:lvlJc w:val="left"/>
      <w:pPr>
        <w:tabs>
          <w:tab w:val="num" w:pos="1440"/>
        </w:tabs>
        <w:ind w:left="1440" w:hanging="360"/>
      </w:pPr>
      <w:rPr>
        <w:rFonts w:ascii="Wingdings 2" w:hAnsi="Wingdings 2" w:hint="default"/>
      </w:rPr>
    </w:lvl>
    <w:lvl w:ilvl="2" w:tplc="84F09062" w:tentative="1">
      <w:start w:val="1"/>
      <w:numFmt w:val="bullet"/>
      <w:lvlText w:val=""/>
      <w:lvlJc w:val="left"/>
      <w:pPr>
        <w:tabs>
          <w:tab w:val="num" w:pos="2160"/>
        </w:tabs>
        <w:ind w:left="2160" w:hanging="360"/>
      </w:pPr>
      <w:rPr>
        <w:rFonts w:ascii="Wingdings 2" w:hAnsi="Wingdings 2" w:hint="default"/>
      </w:rPr>
    </w:lvl>
    <w:lvl w:ilvl="3" w:tplc="A36A9BAA" w:tentative="1">
      <w:start w:val="1"/>
      <w:numFmt w:val="bullet"/>
      <w:lvlText w:val=""/>
      <w:lvlJc w:val="left"/>
      <w:pPr>
        <w:tabs>
          <w:tab w:val="num" w:pos="2880"/>
        </w:tabs>
        <w:ind w:left="2880" w:hanging="360"/>
      </w:pPr>
      <w:rPr>
        <w:rFonts w:ascii="Wingdings 2" w:hAnsi="Wingdings 2" w:hint="default"/>
      </w:rPr>
    </w:lvl>
    <w:lvl w:ilvl="4" w:tplc="41F6ECFC" w:tentative="1">
      <w:start w:val="1"/>
      <w:numFmt w:val="bullet"/>
      <w:lvlText w:val=""/>
      <w:lvlJc w:val="left"/>
      <w:pPr>
        <w:tabs>
          <w:tab w:val="num" w:pos="3600"/>
        </w:tabs>
        <w:ind w:left="3600" w:hanging="360"/>
      </w:pPr>
      <w:rPr>
        <w:rFonts w:ascii="Wingdings 2" w:hAnsi="Wingdings 2" w:hint="default"/>
      </w:rPr>
    </w:lvl>
    <w:lvl w:ilvl="5" w:tplc="2CC4ADF4" w:tentative="1">
      <w:start w:val="1"/>
      <w:numFmt w:val="bullet"/>
      <w:lvlText w:val=""/>
      <w:lvlJc w:val="left"/>
      <w:pPr>
        <w:tabs>
          <w:tab w:val="num" w:pos="4320"/>
        </w:tabs>
        <w:ind w:left="4320" w:hanging="360"/>
      </w:pPr>
      <w:rPr>
        <w:rFonts w:ascii="Wingdings 2" w:hAnsi="Wingdings 2" w:hint="default"/>
      </w:rPr>
    </w:lvl>
    <w:lvl w:ilvl="6" w:tplc="06CC21EC" w:tentative="1">
      <w:start w:val="1"/>
      <w:numFmt w:val="bullet"/>
      <w:lvlText w:val=""/>
      <w:lvlJc w:val="left"/>
      <w:pPr>
        <w:tabs>
          <w:tab w:val="num" w:pos="5040"/>
        </w:tabs>
        <w:ind w:left="5040" w:hanging="360"/>
      </w:pPr>
      <w:rPr>
        <w:rFonts w:ascii="Wingdings 2" w:hAnsi="Wingdings 2" w:hint="default"/>
      </w:rPr>
    </w:lvl>
    <w:lvl w:ilvl="7" w:tplc="9C5E2ADA" w:tentative="1">
      <w:start w:val="1"/>
      <w:numFmt w:val="bullet"/>
      <w:lvlText w:val=""/>
      <w:lvlJc w:val="left"/>
      <w:pPr>
        <w:tabs>
          <w:tab w:val="num" w:pos="5760"/>
        </w:tabs>
        <w:ind w:left="5760" w:hanging="360"/>
      </w:pPr>
      <w:rPr>
        <w:rFonts w:ascii="Wingdings 2" w:hAnsi="Wingdings 2" w:hint="default"/>
      </w:rPr>
    </w:lvl>
    <w:lvl w:ilvl="8" w:tplc="5F2A50A4" w:tentative="1">
      <w:start w:val="1"/>
      <w:numFmt w:val="bullet"/>
      <w:lvlText w:val=""/>
      <w:lvlJc w:val="left"/>
      <w:pPr>
        <w:tabs>
          <w:tab w:val="num" w:pos="6480"/>
        </w:tabs>
        <w:ind w:left="6480" w:hanging="360"/>
      </w:pPr>
      <w:rPr>
        <w:rFonts w:ascii="Wingdings 2" w:hAnsi="Wingdings 2" w:hint="default"/>
      </w:rPr>
    </w:lvl>
  </w:abstractNum>
  <w:abstractNum w:abstractNumId="1" w15:restartNumberingAfterBreak="0">
    <w:nsid w:val="40E004FE"/>
    <w:multiLevelType w:val="hybridMultilevel"/>
    <w:tmpl w:val="7A72E8EE"/>
    <w:lvl w:ilvl="0" w:tplc="8A3C8672">
      <w:start w:val="1"/>
      <w:numFmt w:val="bullet"/>
      <w:lvlText w:val=""/>
      <w:lvlJc w:val="left"/>
      <w:pPr>
        <w:tabs>
          <w:tab w:val="num" w:pos="720"/>
        </w:tabs>
        <w:ind w:left="720" w:hanging="360"/>
      </w:pPr>
      <w:rPr>
        <w:rFonts w:ascii="Wingdings 2" w:hAnsi="Wingdings 2" w:hint="default"/>
      </w:rPr>
    </w:lvl>
    <w:lvl w:ilvl="1" w:tplc="466863F0" w:tentative="1">
      <w:start w:val="1"/>
      <w:numFmt w:val="bullet"/>
      <w:lvlText w:val=""/>
      <w:lvlJc w:val="left"/>
      <w:pPr>
        <w:tabs>
          <w:tab w:val="num" w:pos="1440"/>
        </w:tabs>
        <w:ind w:left="1440" w:hanging="360"/>
      </w:pPr>
      <w:rPr>
        <w:rFonts w:ascii="Wingdings 2" w:hAnsi="Wingdings 2" w:hint="default"/>
      </w:rPr>
    </w:lvl>
    <w:lvl w:ilvl="2" w:tplc="74869710" w:tentative="1">
      <w:start w:val="1"/>
      <w:numFmt w:val="bullet"/>
      <w:lvlText w:val=""/>
      <w:lvlJc w:val="left"/>
      <w:pPr>
        <w:tabs>
          <w:tab w:val="num" w:pos="2160"/>
        </w:tabs>
        <w:ind w:left="2160" w:hanging="360"/>
      </w:pPr>
      <w:rPr>
        <w:rFonts w:ascii="Wingdings 2" w:hAnsi="Wingdings 2" w:hint="default"/>
      </w:rPr>
    </w:lvl>
    <w:lvl w:ilvl="3" w:tplc="CC0C688E" w:tentative="1">
      <w:start w:val="1"/>
      <w:numFmt w:val="bullet"/>
      <w:lvlText w:val=""/>
      <w:lvlJc w:val="left"/>
      <w:pPr>
        <w:tabs>
          <w:tab w:val="num" w:pos="2880"/>
        </w:tabs>
        <w:ind w:left="2880" w:hanging="360"/>
      </w:pPr>
      <w:rPr>
        <w:rFonts w:ascii="Wingdings 2" w:hAnsi="Wingdings 2" w:hint="default"/>
      </w:rPr>
    </w:lvl>
    <w:lvl w:ilvl="4" w:tplc="8ABCCECE" w:tentative="1">
      <w:start w:val="1"/>
      <w:numFmt w:val="bullet"/>
      <w:lvlText w:val=""/>
      <w:lvlJc w:val="left"/>
      <w:pPr>
        <w:tabs>
          <w:tab w:val="num" w:pos="3600"/>
        </w:tabs>
        <w:ind w:left="3600" w:hanging="360"/>
      </w:pPr>
      <w:rPr>
        <w:rFonts w:ascii="Wingdings 2" w:hAnsi="Wingdings 2" w:hint="default"/>
      </w:rPr>
    </w:lvl>
    <w:lvl w:ilvl="5" w:tplc="5B82F61C" w:tentative="1">
      <w:start w:val="1"/>
      <w:numFmt w:val="bullet"/>
      <w:lvlText w:val=""/>
      <w:lvlJc w:val="left"/>
      <w:pPr>
        <w:tabs>
          <w:tab w:val="num" w:pos="4320"/>
        </w:tabs>
        <w:ind w:left="4320" w:hanging="360"/>
      </w:pPr>
      <w:rPr>
        <w:rFonts w:ascii="Wingdings 2" w:hAnsi="Wingdings 2" w:hint="default"/>
      </w:rPr>
    </w:lvl>
    <w:lvl w:ilvl="6" w:tplc="1F600A84" w:tentative="1">
      <w:start w:val="1"/>
      <w:numFmt w:val="bullet"/>
      <w:lvlText w:val=""/>
      <w:lvlJc w:val="left"/>
      <w:pPr>
        <w:tabs>
          <w:tab w:val="num" w:pos="5040"/>
        </w:tabs>
        <w:ind w:left="5040" w:hanging="360"/>
      </w:pPr>
      <w:rPr>
        <w:rFonts w:ascii="Wingdings 2" w:hAnsi="Wingdings 2" w:hint="default"/>
      </w:rPr>
    </w:lvl>
    <w:lvl w:ilvl="7" w:tplc="EA06A04A" w:tentative="1">
      <w:start w:val="1"/>
      <w:numFmt w:val="bullet"/>
      <w:lvlText w:val=""/>
      <w:lvlJc w:val="left"/>
      <w:pPr>
        <w:tabs>
          <w:tab w:val="num" w:pos="5760"/>
        </w:tabs>
        <w:ind w:left="5760" w:hanging="360"/>
      </w:pPr>
      <w:rPr>
        <w:rFonts w:ascii="Wingdings 2" w:hAnsi="Wingdings 2" w:hint="default"/>
      </w:rPr>
    </w:lvl>
    <w:lvl w:ilvl="8" w:tplc="C0900C70" w:tentative="1">
      <w:start w:val="1"/>
      <w:numFmt w:val="bullet"/>
      <w:lvlText w:val=""/>
      <w:lvlJc w:val="left"/>
      <w:pPr>
        <w:tabs>
          <w:tab w:val="num" w:pos="6480"/>
        </w:tabs>
        <w:ind w:left="6480" w:hanging="360"/>
      </w:pPr>
      <w:rPr>
        <w:rFonts w:ascii="Wingdings 2" w:hAnsi="Wingdings 2" w:hint="default"/>
      </w:rPr>
    </w:lvl>
  </w:abstractNum>
  <w:abstractNum w:abstractNumId="2" w15:restartNumberingAfterBreak="0">
    <w:nsid w:val="5F841F67"/>
    <w:multiLevelType w:val="hybridMultilevel"/>
    <w:tmpl w:val="B5E8F374"/>
    <w:lvl w:ilvl="0" w:tplc="46164304">
      <w:start w:val="1"/>
      <w:numFmt w:val="bullet"/>
      <w:lvlText w:val=""/>
      <w:lvlJc w:val="left"/>
      <w:pPr>
        <w:tabs>
          <w:tab w:val="num" w:pos="720"/>
        </w:tabs>
        <w:ind w:left="720" w:hanging="360"/>
      </w:pPr>
      <w:rPr>
        <w:rFonts w:ascii="Wingdings 2" w:hAnsi="Wingdings 2" w:hint="default"/>
      </w:rPr>
    </w:lvl>
    <w:lvl w:ilvl="1" w:tplc="56207F46" w:tentative="1">
      <w:start w:val="1"/>
      <w:numFmt w:val="bullet"/>
      <w:lvlText w:val=""/>
      <w:lvlJc w:val="left"/>
      <w:pPr>
        <w:tabs>
          <w:tab w:val="num" w:pos="1440"/>
        </w:tabs>
        <w:ind w:left="1440" w:hanging="360"/>
      </w:pPr>
      <w:rPr>
        <w:rFonts w:ascii="Wingdings 2" w:hAnsi="Wingdings 2" w:hint="default"/>
      </w:rPr>
    </w:lvl>
    <w:lvl w:ilvl="2" w:tplc="34564A92" w:tentative="1">
      <w:start w:val="1"/>
      <w:numFmt w:val="bullet"/>
      <w:lvlText w:val=""/>
      <w:lvlJc w:val="left"/>
      <w:pPr>
        <w:tabs>
          <w:tab w:val="num" w:pos="2160"/>
        </w:tabs>
        <w:ind w:left="2160" w:hanging="360"/>
      </w:pPr>
      <w:rPr>
        <w:rFonts w:ascii="Wingdings 2" w:hAnsi="Wingdings 2" w:hint="default"/>
      </w:rPr>
    </w:lvl>
    <w:lvl w:ilvl="3" w:tplc="571ADF9E" w:tentative="1">
      <w:start w:val="1"/>
      <w:numFmt w:val="bullet"/>
      <w:lvlText w:val=""/>
      <w:lvlJc w:val="left"/>
      <w:pPr>
        <w:tabs>
          <w:tab w:val="num" w:pos="2880"/>
        </w:tabs>
        <w:ind w:left="2880" w:hanging="360"/>
      </w:pPr>
      <w:rPr>
        <w:rFonts w:ascii="Wingdings 2" w:hAnsi="Wingdings 2" w:hint="default"/>
      </w:rPr>
    </w:lvl>
    <w:lvl w:ilvl="4" w:tplc="47CA9C2A" w:tentative="1">
      <w:start w:val="1"/>
      <w:numFmt w:val="bullet"/>
      <w:lvlText w:val=""/>
      <w:lvlJc w:val="left"/>
      <w:pPr>
        <w:tabs>
          <w:tab w:val="num" w:pos="3600"/>
        </w:tabs>
        <w:ind w:left="3600" w:hanging="360"/>
      </w:pPr>
      <w:rPr>
        <w:rFonts w:ascii="Wingdings 2" w:hAnsi="Wingdings 2" w:hint="default"/>
      </w:rPr>
    </w:lvl>
    <w:lvl w:ilvl="5" w:tplc="662E8FEA" w:tentative="1">
      <w:start w:val="1"/>
      <w:numFmt w:val="bullet"/>
      <w:lvlText w:val=""/>
      <w:lvlJc w:val="left"/>
      <w:pPr>
        <w:tabs>
          <w:tab w:val="num" w:pos="4320"/>
        </w:tabs>
        <w:ind w:left="4320" w:hanging="360"/>
      </w:pPr>
      <w:rPr>
        <w:rFonts w:ascii="Wingdings 2" w:hAnsi="Wingdings 2" w:hint="default"/>
      </w:rPr>
    </w:lvl>
    <w:lvl w:ilvl="6" w:tplc="73FE61CC" w:tentative="1">
      <w:start w:val="1"/>
      <w:numFmt w:val="bullet"/>
      <w:lvlText w:val=""/>
      <w:lvlJc w:val="left"/>
      <w:pPr>
        <w:tabs>
          <w:tab w:val="num" w:pos="5040"/>
        </w:tabs>
        <w:ind w:left="5040" w:hanging="360"/>
      </w:pPr>
      <w:rPr>
        <w:rFonts w:ascii="Wingdings 2" w:hAnsi="Wingdings 2" w:hint="default"/>
      </w:rPr>
    </w:lvl>
    <w:lvl w:ilvl="7" w:tplc="6074C17E" w:tentative="1">
      <w:start w:val="1"/>
      <w:numFmt w:val="bullet"/>
      <w:lvlText w:val=""/>
      <w:lvlJc w:val="left"/>
      <w:pPr>
        <w:tabs>
          <w:tab w:val="num" w:pos="5760"/>
        </w:tabs>
        <w:ind w:left="5760" w:hanging="360"/>
      </w:pPr>
      <w:rPr>
        <w:rFonts w:ascii="Wingdings 2" w:hAnsi="Wingdings 2" w:hint="default"/>
      </w:rPr>
    </w:lvl>
    <w:lvl w:ilvl="8" w:tplc="90382DA4" w:tentative="1">
      <w:start w:val="1"/>
      <w:numFmt w:val="bullet"/>
      <w:lvlText w:val=""/>
      <w:lvlJc w:val="left"/>
      <w:pPr>
        <w:tabs>
          <w:tab w:val="num" w:pos="6480"/>
        </w:tabs>
        <w:ind w:left="6480" w:hanging="360"/>
      </w:pPr>
      <w:rPr>
        <w:rFonts w:ascii="Wingdings 2" w:hAnsi="Wingdings 2"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2AA"/>
    <w:rsid w:val="000027A4"/>
    <w:rsid w:val="000752BE"/>
    <w:rsid w:val="000762B3"/>
    <w:rsid w:val="000774BD"/>
    <w:rsid w:val="00096E74"/>
    <w:rsid w:val="000D0E67"/>
    <w:rsid w:val="0010284E"/>
    <w:rsid w:val="00107C5D"/>
    <w:rsid w:val="00111E53"/>
    <w:rsid w:val="00130270"/>
    <w:rsid w:val="00134D51"/>
    <w:rsid w:val="001360E5"/>
    <w:rsid w:val="00143F89"/>
    <w:rsid w:val="00150083"/>
    <w:rsid w:val="001679B5"/>
    <w:rsid w:val="00190E75"/>
    <w:rsid w:val="00196838"/>
    <w:rsid w:val="001D17BC"/>
    <w:rsid w:val="002126D4"/>
    <w:rsid w:val="00215953"/>
    <w:rsid w:val="0023377C"/>
    <w:rsid w:val="00244927"/>
    <w:rsid w:val="00260E88"/>
    <w:rsid w:val="002803D7"/>
    <w:rsid w:val="002868CA"/>
    <w:rsid w:val="002B0EF3"/>
    <w:rsid w:val="002B45E1"/>
    <w:rsid w:val="00324DC1"/>
    <w:rsid w:val="003419B1"/>
    <w:rsid w:val="00343D6B"/>
    <w:rsid w:val="003E77E7"/>
    <w:rsid w:val="004045DE"/>
    <w:rsid w:val="004062AA"/>
    <w:rsid w:val="0042631D"/>
    <w:rsid w:val="004411DE"/>
    <w:rsid w:val="00487A37"/>
    <w:rsid w:val="004C05FF"/>
    <w:rsid w:val="004D0DB1"/>
    <w:rsid w:val="004D763D"/>
    <w:rsid w:val="00501D64"/>
    <w:rsid w:val="00544593"/>
    <w:rsid w:val="005B2048"/>
    <w:rsid w:val="005C4672"/>
    <w:rsid w:val="005C6DA8"/>
    <w:rsid w:val="005D296C"/>
    <w:rsid w:val="005D720C"/>
    <w:rsid w:val="005E1B1D"/>
    <w:rsid w:val="00647ACA"/>
    <w:rsid w:val="006517A7"/>
    <w:rsid w:val="0066718B"/>
    <w:rsid w:val="00681DE2"/>
    <w:rsid w:val="00682CE0"/>
    <w:rsid w:val="006C1A3D"/>
    <w:rsid w:val="006D65AB"/>
    <w:rsid w:val="006E2656"/>
    <w:rsid w:val="006F4AD4"/>
    <w:rsid w:val="00724782"/>
    <w:rsid w:val="00755AF2"/>
    <w:rsid w:val="00763515"/>
    <w:rsid w:val="007A4FA3"/>
    <w:rsid w:val="007B558B"/>
    <w:rsid w:val="007E3C75"/>
    <w:rsid w:val="007F0ADC"/>
    <w:rsid w:val="00810CC0"/>
    <w:rsid w:val="00813923"/>
    <w:rsid w:val="00860786"/>
    <w:rsid w:val="00873C75"/>
    <w:rsid w:val="008747ED"/>
    <w:rsid w:val="00875766"/>
    <w:rsid w:val="00886DFB"/>
    <w:rsid w:val="00897FA9"/>
    <w:rsid w:val="008B478E"/>
    <w:rsid w:val="008C4991"/>
    <w:rsid w:val="008D0BF3"/>
    <w:rsid w:val="008E1216"/>
    <w:rsid w:val="00994BDF"/>
    <w:rsid w:val="009B07B4"/>
    <w:rsid w:val="009C7F22"/>
    <w:rsid w:val="009E15FE"/>
    <w:rsid w:val="009E400F"/>
    <w:rsid w:val="009F22A9"/>
    <w:rsid w:val="00A40A51"/>
    <w:rsid w:val="00A83F02"/>
    <w:rsid w:val="00AC4710"/>
    <w:rsid w:val="00AF31D9"/>
    <w:rsid w:val="00B3322D"/>
    <w:rsid w:val="00B83426"/>
    <w:rsid w:val="00BA5EA5"/>
    <w:rsid w:val="00C012F6"/>
    <w:rsid w:val="00C02019"/>
    <w:rsid w:val="00C045DA"/>
    <w:rsid w:val="00C121A2"/>
    <w:rsid w:val="00C20665"/>
    <w:rsid w:val="00C30B33"/>
    <w:rsid w:val="00C42CEB"/>
    <w:rsid w:val="00C51A4A"/>
    <w:rsid w:val="00C81846"/>
    <w:rsid w:val="00C87235"/>
    <w:rsid w:val="00C94060"/>
    <w:rsid w:val="00CC64F8"/>
    <w:rsid w:val="00CD5349"/>
    <w:rsid w:val="00D17C99"/>
    <w:rsid w:val="00D27D65"/>
    <w:rsid w:val="00D35520"/>
    <w:rsid w:val="00D61A5D"/>
    <w:rsid w:val="00D7128A"/>
    <w:rsid w:val="00D86A43"/>
    <w:rsid w:val="00DB0CD7"/>
    <w:rsid w:val="00E5511C"/>
    <w:rsid w:val="00E6218A"/>
    <w:rsid w:val="00E81517"/>
    <w:rsid w:val="00E91923"/>
    <w:rsid w:val="00EC0278"/>
    <w:rsid w:val="00ED1BF9"/>
    <w:rsid w:val="00F219FD"/>
    <w:rsid w:val="00F33DAB"/>
    <w:rsid w:val="00F47297"/>
    <w:rsid w:val="00F7397D"/>
    <w:rsid w:val="00F96C86"/>
    <w:rsid w:val="00FA0DA1"/>
    <w:rsid w:val="00FA76B9"/>
    <w:rsid w:val="00FF1B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6C97B"/>
  <w15:chartTrackingRefBased/>
  <w15:docId w15:val="{511EA85D-DA0A-4CC4-9336-403100677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97FA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897FA9"/>
    <w:rPr>
      <w:color w:val="0563C1" w:themeColor="hyperlink"/>
      <w:u w:val="single"/>
    </w:rPr>
  </w:style>
  <w:style w:type="paragraph" w:styleId="NoSpacing">
    <w:name w:val="No Spacing"/>
    <w:uiPriority w:val="1"/>
    <w:qFormat/>
    <w:rsid w:val="00E91923"/>
    <w:pPr>
      <w:spacing w:after="0" w:line="240" w:lineRule="auto"/>
    </w:pPr>
  </w:style>
  <w:style w:type="paragraph" w:styleId="FootnoteText">
    <w:name w:val="footnote text"/>
    <w:basedOn w:val="Normal"/>
    <w:link w:val="FootnoteTextChar"/>
    <w:uiPriority w:val="99"/>
    <w:semiHidden/>
    <w:unhideWhenUsed/>
    <w:rsid w:val="0054459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44593"/>
    <w:rPr>
      <w:sz w:val="20"/>
      <w:szCs w:val="20"/>
    </w:rPr>
  </w:style>
  <w:style w:type="character" w:styleId="FootnoteReference">
    <w:name w:val="footnote reference"/>
    <w:basedOn w:val="DefaultParagraphFont"/>
    <w:uiPriority w:val="99"/>
    <w:semiHidden/>
    <w:unhideWhenUsed/>
    <w:rsid w:val="00544593"/>
    <w:rPr>
      <w:vertAlign w:val="superscript"/>
    </w:rPr>
  </w:style>
  <w:style w:type="character" w:customStyle="1" w:styleId="apple-converted-space">
    <w:name w:val="apple-converted-space"/>
    <w:rsid w:val="0066718B"/>
  </w:style>
  <w:style w:type="character" w:customStyle="1" w:styleId="il">
    <w:name w:val="il"/>
    <w:rsid w:val="0066718B"/>
  </w:style>
  <w:style w:type="paragraph" w:styleId="Header">
    <w:name w:val="header"/>
    <w:basedOn w:val="Normal"/>
    <w:link w:val="HeaderChar"/>
    <w:uiPriority w:val="99"/>
    <w:unhideWhenUsed/>
    <w:rsid w:val="00501D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1D64"/>
  </w:style>
  <w:style w:type="paragraph" w:styleId="Footer">
    <w:name w:val="footer"/>
    <w:basedOn w:val="Normal"/>
    <w:link w:val="FooterChar"/>
    <w:uiPriority w:val="99"/>
    <w:unhideWhenUsed/>
    <w:rsid w:val="00501D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1D64"/>
  </w:style>
  <w:style w:type="character" w:styleId="CommentReference">
    <w:name w:val="annotation reference"/>
    <w:basedOn w:val="DefaultParagraphFont"/>
    <w:uiPriority w:val="99"/>
    <w:semiHidden/>
    <w:unhideWhenUsed/>
    <w:rsid w:val="006517A7"/>
    <w:rPr>
      <w:sz w:val="16"/>
      <w:szCs w:val="16"/>
    </w:rPr>
  </w:style>
  <w:style w:type="paragraph" w:styleId="CommentText">
    <w:name w:val="annotation text"/>
    <w:basedOn w:val="Normal"/>
    <w:link w:val="CommentTextChar"/>
    <w:uiPriority w:val="99"/>
    <w:semiHidden/>
    <w:unhideWhenUsed/>
    <w:rsid w:val="006517A7"/>
    <w:pPr>
      <w:spacing w:after="200"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semiHidden/>
    <w:rsid w:val="006517A7"/>
    <w:rPr>
      <w:rFonts w:ascii="Times New Roman" w:hAnsi="Times New Roman"/>
      <w:sz w:val="20"/>
      <w:szCs w:val="20"/>
    </w:rPr>
  </w:style>
  <w:style w:type="paragraph" w:styleId="BalloonText">
    <w:name w:val="Balloon Text"/>
    <w:basedOn w:val="Normal"/>
    <w:link w:val="BalloonTextChar"/>
    <w:uiPriority w:val="99"/>
    <w:semiHidden/>
    <w:unhideWhenUsed/>
    <w:rsid w:val="006517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17A7"/>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2126D4"/>
    <w:pPr>
      <w:spacing w:after="160"/>
    </w:pPr>
    <w:rPr>
      <w:rFonts w:asciiTheme="minorHAnsi" w:hAnsiTheme="minorHAnsi"/>
      <w:b/>
      <w:bCs/>
    </w:rPr>
  </w:style>
  <w:style w:type="character" w:customStyle="1" w:styleId="CommentSubjectChar">
    <w:name w:val="Comment Subject Char"/>
    <w:basedOn w:val="CommentTextChar"/>
    <w:link w:val="CommentSubject"/>
    <w:uiPriority w:val="99"/>
    <w:semiHidden/>
    <w:rsid w:val="002126D4"/>
    <w:rPr>
      <w:rFonts w:ascii="Times New Roman" w:hAnsi="Times New Roman"/>
      <w:b/>
      <w:bCs/>
      <w:sz w:val="20"/>
      <w:szCs w:val="20"/>
    </w:rPr>
  </w:style>
  <w:style w:type="paragraph" w:styleId="EndnoteText">
    <w:name w:val="endnote text"/>
    <w:basedOn w:val="Normal"/>
    <w:link w:val="EndnoteTextChar"/>
    <w:uiPriority w:val="99"/>
    <w:semiHidden/>
    <w:unhideWhenUsed/>
    <w:rsid w:val="009C7F2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C7F22"/>
    <w:rPr>
      <w:sz w:val="20"/>
      <w:szCs w:val="20"/>
    </w:rPr>
  </w:style>
  <w:style w:type="character" w:styleId="EndnoteReference">
    <w:name w:val="endnote reference"/>
    <w:basedOn w:val="DefaultParagraphFont"/>
    <w:uiPriority w:val="99"/>
    <w:semiHidden/>
    <w:unhideWhenUsed/>
    <w:rsid w:val="009C7F22"/>
    <w:rPr>
      <w:vertAlign w:val="superscript"/>
    </w:rPr>
  </w:style>
  <w:style w:type="character" w:styleId="FollowedHyperlink">
    <w:name w:val="FollowedHyperlink"/>
    <w:basedOn w:val="DefaultParagraphFont"/>
    <w:uiPriority w:val="99"/>
    <w:semiHidden/>
    <w:unhideWhenUsed/>
    <w:rsid w:val="0072478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182101">
      <w:bodyDiv w:val="1"/>
      <w:marLeft w:val="0"/>
      <w:marRight w:val="0"/>
      <w:marTop w:val="0"/>
      <w:marBottom w:val="0"/>
      <w:divBdr>
        <w:top w:val="none" w:sz="0" w:space="0" w:color="auto"/>
        <w:left w:val="none" w:sz="0" w:space="0" w:color="auto"/>
        <w:bottom w:val="none" w:sz="0" w:space="0" w:color="auto"/>
        <w:right w:val="none" w:sz="0" w:space="0" w:color="auto"/>
      </w:divBdr>
      <w:divsChild>
        <w:div w:id="269557625">
          <w:marLeft w:val="288"/>
          <w:marRight w:val="0"/>
          <w:marTop w:val="240"/>
          <w:marBottom w:val="0"/>
          <w:divBdr>
            <w:top w:val="none" w:sz="0" w:space="0" w:color="auto"/>
            <w:left w:val="none" w:sz="0" w:space="0" w:color="auto"/>
            <w:bottom w:val="none" w:sz="0" w:space="0" w:color="auto"/>
            <w:right w:val="none" w:sz="0" w:space="0" w:color="auto"/>
          </w:divBdr>
        </w:div>
        <w:div w:id="2107072895">
          <w:marLeft w:val="288"/>
          <w:marRight w:val="0"/>
          <w:marTop w:val="240"/>
          <w:marBottom w:val="0"/>
          <w:divBdr>
            <w:top w:val="none" w:sz="0" w:space="0" w:color="auto"/>
            <w:left w:val="none" w:sz="0" w:space="0" w:color="auto"/>
            <w:bottom w:val="none" w:sz="0" w:space="0" w:color="auto"/>
            <w:right w:val="none" w:sz="0" w:space="0" w:color="auto"/>
          </w:divBdr>
        </w:div>
        <w:div w:id="1559855032">
          <w:marLeft w:val="288"/>
          <w:marRight w:val="0"/>
          <w:marTop w:val="240"/>
          <w:marBottom w:val="0"/>
          <w:divBdr>
            <w:top w:val="none" w:sz="0" w:space="0" w:color="auto"/>
            <w:left w:val="none" w:sz="0" w:space="0" w:color="auto"/>
            <w:bottom w:val="none" w:sz="0" w:space="0" w:color="auto"/>
            <w:right w:val="none" w:sz="0" w:space="0" w:color="auto"/>
          </w:divBdr>
        </w:div>
        <w:div w:id="707877473">
          <w:marLeft w:val="288"/>
          <w:marRight w:val="0"/>
          <w:marTop w:val="240"/>
          <w:marBottom w:val="0"/>
          <w:divBdr>
            <w:top w:val="none" w:sz="0" w:space="0" w:color="auto"/>
            <w:left w:val="none" w:sz="0" w:space="0" w:color="auto"/>
            <w:bottom w:val="none" w:sz="0" w:space="0" w:color="auto"/>
            <w:right w:val="none" w:sz="0" w:space="0" w:color="auto"/>
          </w:divBdr>
        </w:div>
        <w:div w:id="553808651">
          <w:marLeft w:val="288"/>
          <w:marRight w:val="0"/>
          <w:marTop w:val="240"/>
          <w:marBottom w:val="0"/>
          <w:divBdr>
            <w:top w:val="none" w:sz="0" w:space="0" w:color="auto"/>
            <w:left w:val="none" w:sz="0" w:space="0" w:color="auto"/>
            <w:bottom w:val="none" w:sz="0" w:space="0" w:color="auto"/>
            <w:right w:val="none" w:sz="0" w:space="0" w:color="auto"/>
          </w:divBdr>
        </w:div>
        <w:div w:id="2076974696">
          <w:marLeft w:val="288"/>
          <w:marRight w:val="0"/>
          <w:marTop w:val="240"/>
          <w:marBottom w:val="0"/>
          <w:divBdr>
            <w:top w:val="none" w:sz="0" w:space="0" w:color="auto"/>
            <w:left w:val="none" w:sz="0" w:space="0" w:color="auto"/>
            <w:bottom w:val="none" w:sz="0" w:space="0" w:color="auto"/>
            <w:right w:val="none" w:sz="0" w:space="0" w:color="auto"/>
          </w:divBdr>
        </w:div>
      </w:divsChild>
    </w:div>
    <w:div w:id="286930831">
      <w:bodyDiv w:val="1"/>
      <w:marLeft w:val="0"/>
      <w:marRight w:val="0"/>
      <w:marTop w:val="0"/>
      <w:marBottom w:val="0"/>
      <w:divBdr>
        <w:top w:val="none" w:sz="0" w:space="0" w:color="auto"/>
        <w:left w:val="none" w:sz="0" w:space="0" w:color="auto"/>
        <w:bottom w:val="none" w:sz="0" w:space="0" w:color="auto"/>
        <w:right w:val="none" w:sz="0" w:space="0" w:color="auto"/>
      </w:divBdr>
    </w:div>
    <w:div w:id="877087413">
      <w:bodyDiv w:val="1"/>
      <w:marLeft w:val="0"/>
      <w:marRight w:val="0"/>
      <w:marTop w:val="0"/>
      <w:marBottom w:val="0"/>
      <w:divBdr>
        <w:top w:val="none" w:sz="0" w:space="0" w:color="auto"/>
        <w:left w:val="none" w:sz="0" w:space="0" w:color="auto"/>
        <w:bottom w:val="none" w:sz="0" w:space="0" w:color="auto"/>
        <w:right w:val="none" w:sz="0" w:space="0" w:color="auto"/>
      </w:divBdr>
    </w:div>
    <w:div w:id="1194029808">
      <w:bodyDiv w:val="1"/>
      <w:marLeft w:val="0"/>
      <w:marRight w:val="0"/>
      <w:marTop w:val="0"/>
      <w:marBottom w:val="0"/>
      <w:divBdr>
        <w:top w:val="none" w:sz="0" w:space="0" w:color="auto"/>
        <w:left w:val="none" w:sz="0" w:space="0" w:color="auto"/>
        <w:bottom w:val="none" w:sz="0" w:space="0" w:color="auto"/>
        <w:right w:val="none" w:sz="0" w:space="0" w:color="auto"/>
      </w:divBdr>
      <w:divsChild>
        <w:div w:id="579369527">
          <w:marLeft w:val="288"/>
          <w:marRight w:val="0"/>
          <w:marTop w:val="240"/>
          <w:marBottom w:val="0"/>
          <w:divBdr>
            <w:top w:val="none" w:sz="0" w:space="0" w:color="auto"/>
            <w:left w:val="none" w:sz="0" w:space="0" w:color="auto"/>
            <w:bottom w:val="none" w:sz="0" w:space="0" w:color="auto"/>
            <w:right w:val="none" w:sz="0" w:space="0" w:color="auto"/>
          </w:divBdr>
        </w:div>
      </w:divsChild>
    </w:div>
    <w:div w:id="1864130359">
      <w:bodyDiv w:val="1"/>
      <w:marLeft w:val="0"/>
      <w:marRight w:val="0"/>
      <w:marTop w:val="0"/>
      <w:marBottom w:val="0"/>
      <w:divBdr>
        <w:top w:val="none" w:sz="0" w:space="0" w:color="auto"/>
        <w:left w:val="none" w:sz="0" w:space="0" w:color="auto"/>
        <w:bottom w:val="none" w:sz="0" w:space="0" w:color="auto"/>
        <w:right w:val="none" w:sz="0" w:space="0" w:color="auto"/>
      </w:divBdr>
      <w:divsChild>
        <w:div w:id="659963898">
          <w:marLeft w:val="288"/>
          <w:marRight w:val="0"/>
          <w:marTop w:val="240"/>
          <w:marBottom w:val="0"/>
          <w:divBdr>
            <w:top w:val="none" w:sz="0" w:space="0" w:color="auto"/>
            <w:left w:val="none" w:sz="0" w:space="0" w:color="auto"/>
            <w:bottom w:val="none" w:sz="0" w:space="0" w:color="auto"/>
            <w:right w:val="none" w:sz="0" w:space="0" w:color="auto"/>
          </w:divBdr>
        </w:div>
      </w:divsChild>
    </w:div>
    <w:div w:id="1925916404">
      <w:bodyDiv w:val="1"/>
      <w:marLeft w:val="0"/>
      <w:marRight w:val="0"/>
      <w:marTop w:val="0"/>
      <w:marBottom w:val="0"/>
      <w:divBdr>
        <w:top w:val="none" w:sz="0" w:space="0" w:color="auto"/>
        <w:left w:val="none" w:sz="0" w:space="0" w:color="auto"/>
        <w:bottom w:val="none" w:sz="0" w:space="0" w:color="auto"/>
        <w:right w:val="none" w:sz="0" w:space="0" w:color="auto"/>
      </w:divBdr>
    </w:div>
    <w:div w:id="1949238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77/1077801220908325" TargetMode="Externa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9A44EA-3B75-4CA0-B77F-F29662DD6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5697</Words>
  <Characters>32478</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Nicholls</dc:creator>
  <cp:keywords/>
  <dc:description/>
  <cp:lastModifiedBy>Emily Nicholls</cp:lastModifiedBy>
  <cp:revision>6</cp:revision>
  <dcterms:created xsi:type="dcterms:W3CDTF">2021-03-08T14:23:00Z</dcterms:created>
  <dcterms:modified xsi:type="dcterms:W3CDTF">2021-03-08T15:09:00Z</dcterms:modified>
</cp:coreProperties>
</file>