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E9" w:rsidRDefault="006B01F0" w:rsidP="00A07624">
      <w:pPr>
        <w:spacing w:line="360" w:lineRule="auto"/>
        <w:jc w:val="both"/>
        <w:rPr>
          <w:rFonts w:ascii="Times New Roman" w:hAnsi="Times New Roman"/>
          <w:b/>
          <w:sz w:val="24"/>
          <w:szCs w:val="24"/>
        </w:rPr>
      </w:pPr>
      <w:r>
        <w:rPr>
          <w:rFonts w:ascii="Times New Roman" w:hAnsi="Times New Roman"/>
          <w:b/>
          <w:sz w:val="24"/>
          <w:szCs w:val="24"/>
        </w:rPr>
        <w:t>Abstract</w:t>
      </w:r>
    </w:p>
    <w:p w:rsidR="006210D5" w:rsidRPr="006210D5" w:rsidRDefault="006B01F0" w:rsidP="00A07624">
      <w:pPr>
        <w:spacing w:line="360" w:lineRule="auto"/>
        <w:jc w:val="both"/>
        <w:rPr>
          <w:rFonts w:ascii="Times New Roman" w:eastAsiaTheme="minorHAnsi" w:hAnsi="Times New Roman" w:cstheme="minorBidi"/>
          <w:sz w:val="24"/>
          <w:szCs w:val="24"/>
        </w:rPr>
      </w:pPr>
      <w:r w:rsidRPr="00F6543A">
        <w:rPr>
          <w:rFonts w:ascii="Times New Roman" w:hAnsi="Times New Roman"/>
          <w:sz w:val="24"/>
          <w:szCs w:val="24"/>
        </w:rPr>
        <w:t>Environmental Impact Assessment (</w:t>
      </w:r>
      <w:r w:rsidR="00143C68" w:rsidRPr="00F6543A">
        <w:rPr>
          <w:rFonts w:ascii="Times New Roman" w:hAnsi="Times New Roman"/>
          <w:sz w:val="24"/>
          <w:szCs w:val="24"/>
        </w:rPr>
        <w:t>EIA</w:t>
      </w:r>
      <w:r w:rsidRPr="00F6543A">
        <w:rPr>
          <w:rFonts w:ascii="Times New Roman" w:hAnsi="Times New Roman"/>
          <w:sz w:val="24"/>
          <w:szCs w:val="24"/>
        </w:rPr>
        <w:t>)</w:t>
      </w:r>
      <w:r w:rsidR="00143C68" w:rsidRPr="00F6543A">
        <w:rPr>
          <w:rFonts w:ascii="Times New Roman" w:hAnsi="Times New Roman"/>
          <w:sz w:val="24"/>
          <w:szCs w:val="24"/>
        </w:rPr>
        <w:t xml:space="preserve"> in Namibia w</w:t>
      </w:r>
      <w:r w:rsidR="0013224B" w:rsidRPr="00F6543A">
        <w:rPr>
          <w:rFonts w:ascii="Times New Roman" w:hAnsi="Times New Roman"/>
          <w:sz w:val="24"/>
          <w:szCs w:val="24"/>
        </w:rPr>
        <w:t xml:space="preserve">as formally introduced in 2007. However, </w:t>
      </w:r>
      <w:r w:rsidR="00143C68" w:rsidRPr="00F6543A">
        <w:rPr>
          <w:rFonts w:ascii="Times New Roman" w:hAnsi="Times New Roman"/>
          <w:sz w:val="24"/>
          <w:szCs w:val="24"/>
        </w:rPr>
        <w:t>little EIA related research has been undertaken and the system has not been</w:t>
      </w:r>
      <w:r w:rsidRPr="00F6543A">
        <w:rPr>
          <w:rFonts w:ascii="Times New Roman" w:hAnsi="Times New Roman"/>
          <w:sz w:val="24"/>
          <w:szCs w:val="24"/>
        </w:rPr>
        <w:t xml:space="preserve"> formally</w:t>
      </w:r>
      <w:r w:rsidR="00143C68" w:rsidRPr="00F6543A">
        <w:rPr>
          <w:rFonts w:ascii="Times New Roman" w:hAnsi="Times New Roman"/>
          <w:sz w:val="24"/>
          <w:szCs w:val="24"/>
        </w:rPr>
        <w:t xml:space="preserve"> reviewed. This </w:t>
      </w:r>
      <w:r w:rsidR="008964F2" w:rsidRPr="00F6543A">
        <w:rPr>
          <w:rFonts w:ascii="Times New Roman" w:hAnsi="Times New Roman"/>
          <w:sz w:val="24"/>
          <w:szCs w:val="24"/>
        </w:rPr>
        <w:t xml:space="preserve">paper </w:t>
      </w:r>
      <w:r w:rsidRPr="00F6543A">
        <w:rPr>
          <w:rFonts w:ascii="Times New Roman" w:hAnsi="Times New Roman"/>
          <w:sz w:val="24"/>
          <w:szCs w:val="24"/>
        </w:rPr>
        <w:t xml:space="preserve">evaluates </w:t>
      </w:r>
      <w:r w:rsidR="008964F2" w:rsidRPr="00F6543A">
        <w:rPr>
          <w:rFonts w:ascii="Times New Roman" w:hAnsi="Times New Roman"/>
          <w:sz w:val="24"/>
          <w:szCs w:val="24"/>
        </w:rPr>
        <w:t>the performance</w:t>
      </w:r>
      <w:r w:rsidR="002F1367">
        <w:rPr>
          <w:rFonts w:ascii="Times New Roman" w:hAnsi="Times New Roman"/>
          <w:sz w:val="24"/>
          <w:szCs w:val="24"/>
        </w:rPr>
        <w:t xml:space="preserve"> and effectiveness</w:t>
      </w:r>
      <w:r w:rsidR="008964F2" w:rsidRPr="00F6543A">
        <w:rPr>
          <w:rFonts w:ascii="Times New Roman" w:hAnsi="Times New Roman"/>
          <w:sz w:val="24"/>
          <w:szCs w:val="24"/>
        </w:rPr>
        <w:t xml:space="preserve"> of the </w:t>
      </w:r>
      <w:r w:rsidR="0013224B" w:rsidRPr="00F6543A">
        <w:rPr>
          <w:rFonts w:ascii="Times New Roman" w:hAnsi="Times New Roman"/>
          <w:sz w:val="24"/>
          <w:szCs w:val="24"/>
        </w:rPr>
        <w:t>EIA</w:t>
      </w:r>
      <w:r w:rsidR="008964F2" w:rsidRPr="00F6543A">
        <w:rPr>
          <w:rFonts w:ascii="Times New Roman" w:hAnsi="Times New Roman"/>
          <w:sz w:val="24"/>
          <w:szCs w:val="24"/>
        </w:rPr>
        <w:t xml:space="preserve"> system in Namibia. The criteria used for the evaluation </w:t>
      </w:r>
      <w:r w:rsidR="00EE49DA" w:rsidRPr="00F6543A">
        <w:rPr>
          <w:rFonts w:ascii="Times New Roman" w:hAnsi="Times New Roman"/>
          <w:sz w:val="24"/>
          <w:szCs w:val="24"/>
        </w:rPr>
        <w:t>were</w:t>
      </w:r>
      <w:r w:rsidR="008964F2" w:rsidRPr="00F6543A">
        <w:rPr>
          <w:rFonts w:ascii="Times New Roman" w:hAnsi="Times New Roman"/>
          <w:sz w:val="24"/>
          <w:szCs w:val="24"/>
        </w:rPr>
        <w:t xml:space="preserve"> </w:t>
      </w:r>
      <w:r w:rsidR="00EE49DA" w:rsidRPr="00F6543A">
        <w:rPr>
          <w:rFonts w:ascii="Times New Roman" w:hAnsi="Times New Roman"/>
          <w:sz w:val="24"/>
          <w:szCs w:val="24"/>
        </w:rPr>
        <w:t>obtained</w:t>
      </w:r>
      <w:r w:rsidR="008964F2" w:rsidRPr="00F6543A">
        <w:rPr>
          <w:rFonts w:ascii="Times New Roman" w:hAnsi="Times New Roman"/>
          <w:sz w:val="24"/>
          <w:szCs w:val="24"/>
        </w:rPr>
        <w:t xml:space="preserve"> from </w:t>
      </w:r>
      <w:r w:rsidR="00EE49DA" w:rsidRPr="00F6543A">
        <w:rPr>
          <w:rFonts w:ascii="Times New Roman" w:hAnsi="Times New Roman"/>
          <w:sz w:val="24"/>
          <w:szCs w:val="24"/>
        </w:rPr>
        <w:t>several</w:t>
      </w:r>
      <w:r w:rsidR="008964F2" w:rsidRPr="00F6543A">
        <w:rPr>
          <w:rFonts w:ascii="Times New Roman" w:hAnsi="Times New Roman"/>
          <w:sz w:val="24"/>
          <w:szCs w:val="24"/>
        </w:rPr>
        <w:t xml:space="preserve"> sources in the literature and based on legal, </w:t>
      </w:r>
      <w:r w:rsidR="00EE49DA" w:rsidRPr="00F6543A">
        <w:rPr>
          <w:rFonts w:ascii="Times New Roman" w:hAnsi="Times New Roman"/>
          <w:sz w:val="24"/>
          <w:szCs w:val="24"/>
        </w:rPr>
        <w:t>administrative</w:t>
      </w:r>
      <w:r w:rsidR="008964F2" w:rsidRPr="00F6543A">
        <w:rPr>
          <w:rFonts w:ascii="Times New Roman" w:hAnsi="Times New Roman"/>
          <w:sz w:val="24"/>
          <w:szCs w:val="24"/>
        </w:rPr>
        <w:t xml:space="preserve">, and procedural frameworks. </w:t>
      </w:r>
      <w:r w:rsidR="002E02B1" w:rsidRPr="00F6543A">
        <w:rPr>
          <w:rFonts w:ascii="Times New Roman" w:hAnsi="Times New Roman"/>
          <w:sz w:val="24"/>
          <w:szCs w:val="24"/>
        </w:rPr>
        <w:t>Data w</w:t>
      </w:r>
      <w:r w:rsidR="004E0344">
        <w:rPr>
          <w:rFonts w:ascii="Times New Roman" w:hAnsi="Times New Roman"/>
          <w:sz w:val="24"/>
          <w:szCs w:val="24"/>
        </w:rPr>
        <w:t>ere</w:t>
      </w:r>
      <w:r w:rsidR="002E02B1" w:rsidRPr="00F6543A">
        <w:rPr>
          <w:rFonts w:ascii="Times New Roman" w:hAnsi="Times New Roman"/>
          <w:sz w:val="24"/>
          <w:szCs w:val="24"/>
        </w:rPr>
        <w:t xml:space="preserve"> collected </w:t>
      </w:r>
      <w:r w:rsidR="00E6405C" w:rsidRPr="00F6543A">
        <w:rPr>
          <w:rFonts w:ascii="Times New Roman" w:hAnsi="Times New Roman"/>
          <w:sz w:val="24"/>
          <w:szCs w:val="24"/>
        </w:rPr>
        <w:t>through</w:t>
      </w:r>
      <w:r w:rsidR="002E02B1" w:rsidRPr="00F6543A">
        <w:rPr>
          <w:rFonts w:ascii="Times New Roman" w:hAnsi="Times New Roman"/>
          <w:sz w:val="24"/>
          <w:szCs w:val="24"/>
        </w:rPr>
        <w:t xml:space="preserve"> literature review, document analysis, and semi-structured interviews. </w:t>
      </w:r>
      <w:r w:rsidR="008964F2" w:rsidRPr="00F6543A">
        <w:rPr>
          <w:rFonts w:ascii="Times New Roman" w:hAnsi="Times New Roman"/>
          <w:sz w:val="24"/>
          <w:szCs w:val="24"/>
        </w:rPr>
        <w:t xml:space="preserve">The study </w:t>
      </w:r>
      <w:r w:rsidR="00EE49DA" w:rsidRPr="00F6543A">
        <w:rPr>
          <w:rFonts w:ascii="Times New Roman" w:hAnsi="Times New Roman"/>
          <w:sz w:val="24"/>
          <w:szCs w:val="24"/>
        </w:rPr>
        <w:t>reveal</w:t>
      </w:r>
      <w:r w:rsidR="00AD001A" w:rsidRPr="00F6543A">
        <w:rPr>
          <w:rFonts w:ascii="Times New Roman" w:hAnsi="Times New Roman"/>
          <w:sz w:val="24"/>
          <w:szCs w:val="24"/>
        </w:rPr>
        <w:t>ed</w:t>
      </w:r>
      <w:r w:rsidR="008964F2" w:rsidRPr="00F6543A">
        <w:rPr>
          <w:rFonts w:ascii="Times New Roman" w:hAnsi="Times New Roman"/>
          <w:sz w:val="24"/>
          <w:szCs w:val="24"/>
        </w:rPr>
        <w:t xml:space="preserve"> that Namibia </w:t>
      </w:r>
      <w:r w:rsidR="00314E21">
        <w:rPr>
          <w:rFonts w:ascii="Times New Roman" w:hAnsi="Times New Roman"/>
          <w:sz w:val="24"/>
          <w:szCs w:val="24"/>
        </w:rPr>
        <w:t xml:space="preserve">has a functional </w:t>
      </w:r>
      <w:r w:rsidR="008964F2" w:rsidRPr="00F6543A">
        <w:rPr>
          <w:rFonts w:ascii="Times New Roman" w:hAnsi="Times New Roman"/>
          <w:sz w:val="24"/>
          <w:szCs w:val="24"/>
        </w:rPr>
        <w:t>EIA system based on</w:t>
      </w:r>
      <w:r w:rsidR="002F1367">
        <w:rPr>
          <w:rFonts w:ascii="Times New Roman" w:hAnsi="Times New Roman"/>
          <w:sz w:val="24"/>
          <w:szCs w:val="24"/>
        </w:rPr>
        <w:t xml:space="preserve"> </w:t>
      </w:r>
      <w:r w:rsidR="00F16BF5">
        <w:rPr>
          <w:rFonts w:ascii="Times New Roman" w:hAnsi="Times New Roman"/>
          <w:sz w:val="24"/>
          <w:szCs w:val="24"/>
        </w:rPr>
        <w:t>fairly good legislation</w:t>
      </w:r>
      <w:r w:rsidR="00677A7B">
        <w:rPr>
          <w:rFonts w:ascii="Times New Roman" w:hAnsi="Times New Roman"/>
          <w:sz w:val="24"/>
          <w:szCs w:val="24"/>
        </w:rPr>
        <w:t>, institutional arrangements</w:t>
      </w:r>
      <w:r w:rsidR="00340518">
        <w:rPr>
          <w:rFonts w:ascii="Times New Roman" w:hAnsi="Times New Roman"/>
          <w:sz w:val="24"/>
          <w:szCs w:val="24"/>
        </w:rPr>
        <w:t xml:space="preserve"> and</w:t>
      </w:r>
      <w:r w:rsidR="00314E21">
        <w:rPr>
          <w:rFonts w:ascii="Times New Roman" w:hAnsi="Times New Roman"/>
          <w:sz w:val="24"/>
          <w:szCs w:val="24"/>
        </w:rPr>
        <w:t xml:space="preserve"> </w:t>
      </w:r>
      <w:r w:rsidR="004E0344">
        <w:rPr>
          <w:rFonts w:ascii="Times New Roman" w:hAnsi="Times New Roman"/>
          <w:sz w:val="24"/>
          <w:szCs w:val="24"/>
        </w:rPr>
        <w:t xml:space="preserve">a </w:t>
      </w:r>
      <w:r w:rsidR="00677A7B">
        <w:rPr>
          <w:rFonts w:ascii="Times New Roman" w:hAnsi="Times New Roman"/>
          <w:sz w:val="24"/>
          <w:szCs w:val="24"/>
        </w:rPr>
        <w:t xml:space="preserve">well outlined </w:t>
      </w:r>
      <w:r w:rsidR="00314E21">
        <w:rPr>
          <w:rFonts w:ascii="Times New Roman" w:hAnsi="Times New Roman"/>
          <w:sz w:val="24"/>
          <w:szCs w:val="24"/>
        </w:rPr>
        <w:t xml:space="preserve">EIA </w:t>
      </w:r>
      <w:r w:rsidR="00677A7B">
        <w:rPr>
          <w:rFonts w:ascii="Times New Roman" w:hAnsi="Times New Roman"/>
          <w:sz w:val="24"/>
          <w:szCs w:val="24"/>
        </w:rPr>
        <w:t>process.</w:t>
      </w:r>
      <w:r w:rsidR="00314E21">
        <w:rPr>
          <w:rFonts w:ascii="Times New Roman" w:hAnsi="Times New Roman"/>
          <w:sz w:val="24"/>
          <w:szCs w:val="24"/>
        </w:rPr>
        <w:t xml:space="preserve"> A</w:t>
      </w:r>
      <w:r w:rsidR="008964F2" w:rsidRPr="00F6543A">
        <w:rPr>
          <w:rFonts w:ascii="Times New Roman" w:hAnsi="Times New Roman"/>
          <w:sz w:val="24"/>
          <w:szCs w:val="24"/>
        </w:rPr>
        <w:t xml:space="preserve">nalysis of the legislation and </w:t>
      </w:r>
      <w:r w:rsidR="00EE49DA" w:rsidRPr="00F6543A">
        <w:rPr>
          <w:rFonts w:ascii="Times New Roman" w:hAnsi="Times New Roman"/>
          <w:sz w:val="24"/>
          <w:szCs w:val="24"/>
        </w:rPr>
        <w:t>administrative</w:t>
      </w:r>
      <w:r w:rsidR="008964F2" w:rsidRPr="00F6543A">
        <w:rPr>
          <w:rFonts w:ascii="Times New Roman" w:hAnsi="Times New Roman"/>
          <w:sz w:val="24"/>
          <w:szCs w:val="24"/>
        </w:rPr>
        <w:t xml:space="preserve"> </w:t>
      </w:r>
      <w:r w:rsidR="00314E21">
        <w:rPr>
          <w:rFonts w:ascii="Times New Roman" w:hAnsi="Times New Roman"/>
          <w:sz w:val="24"/>
          <w:szCs w:val="24"/>
        </w:rPr>
        <w:t>frameworks</w:t>
      </w:r>
      <w:r w:rsidRPr="00F6543A">
        <w:rPr>
          <w:rFonts w:ascii="Times New Roman" w:hAnsi="Times New Roman"/>
          <w:sz w:val="24"/>
          <w:szCs w:val="24"/>
        </w:rPr>
        <w:t xml:space="preserve"> </w:t>
      </w:r>
      <w:r w:rsidR="00340518">
        <w:rPr>
          <w:rFonts w:ascii="Times New Roman" w:hAnsi="Times New Roman"/>
          <w:sz w:val="24"/>
          <w:szCs w:val="24"/>
        </w:rPr>
        <w:t>nevertheless highlighted</w:t>
      </w:r>
      <w:r w:rsidR="00340518" w:rsidRPr="00F6543A">
        <w:rPr>
          <w:rFonts w:ascii="Times New Roman" w:hAnsi="Times New Roman"/>
          <w:sz w:val="24"/>
          <w:szCs w:val="24"/>
        </w:rPr>
        <w:t xml:space="preserve"> </w:t>
      </w:r>
      <w:r w:rsidR="00003494">
        <w:rPr>
          <w:rFonts w:ascii="Times New Roman" w:hAnsi="Times New Roman"/>
          <w:sz w:val="24"/>
          <w:szCs w:val="24"/>
        </w:rPr>
        <w:t xml:space="preserve">several </w:t>
      </w:r>
      <w:r w:rsidR="008964F2" w:rsidRPr="00F6543A">
        <w:rPr>
          <w:rFonts w:ascii="Times New Roman" w:hAnsi="Times New Roman"/>
          <w:sz w:val="24"/>
          <w:szCs w:val="24"/>
        </w:rPr>
        <w:t>weakness</w:t>
      </w:r>
      <w:r w:rsidR="002E02B1" w:rsidRPr="00F6543A">
        <w:rPr>
          <w:rFonts w:ascii="Times New Roman" w:hAnsi="Times New Roman"/>
          <w:sz w:val="24"/>
          <w:szCs w:val="24"/>
        </w:rPr>
        <w:t xml:space="preserve">es </w:t>
      </w:r>
      <w:r w:rsidR="0013224B" w:rsidRPr="00F6543A">
        <w:rPr>
          <w:rFonts w:ascii="Times New Roman" w:hAnsi="Times New Roman"/>
          <w:sz w:val="24"/>
          <w:szCs w:val="24"/>
        </w:rPr>
        <w:t xml:space="preserve">including </w:t>
      </w:r>
      <w:r w:rsidR="009B3D41">
        <w:rPr>
          <w:rFonts w:ascii="Times New Roman" w:hAnsi="Times New Roman"/>
          <w:sz w:val="24"/>
          <w:szCs w:val="24"/>
        </w:rPr>
        <w:t xml:space="preserve">a </w:t>
      </w:r>
      <w:r w:rsidR="002E02B1" w:rsidRPr="00F6543A">
        <w:rPr>
          <w:rFonts w:ascii="Times New Roman" w:hAnsi="Times New Roman"/>
          <w:sz w:val="24"/>
          <w:szCs w:val="24"/>
        </w:rPr>
        <w:t xml:space="preserve">lack of </w:t>
      </w:r>
      <w:r w:rsidR="00003494">
        <w:rPr>
          <w:rFonts w:ascii="Times New Roman" w:hAnsi="Times New Roman"/>
          <w:sz w:val="24"/>
          <w:szCs w:val="24"/>
        </w:rPr>
        <w:t xml:space="preserve">coherence in the legislation and </w:t>
      </w:r>
      <w:r w:rsidR="00314E21">
        <w:rPr>
          <w:rFonts w:ascii="Times New Roman" w:hAnsi="Times New Roman"/>
          <w:sz w:val="24"/>
          <w:szCs w:val="24"/>
        </w:rPr>
        <w:t>poor</w:t>
      </w:r>
      <w:r w:rsidR="00003494">
        <w:rPr>
          <w:rFonts w:ascii="Times New Roman" w:hAnsi="Times New Roman"/>
          <w:sz w:val="24"/>
          <w:szCs w:val="24"/>
        </w:rPr>
        <w:t xml:space="preserve"> implementation. </w:t>
      </w:r>
      <w:r w:rsidR="00340518">
        <w:rPr>
          <w:rFonts w:ascii="Times New Roman" w:hAnsi="Times New Roman"/>
          <w:sz w:val="24"/>
          <w:szCs w:val="24"/>
        </w:rPr>
        <w:t>Further</w:t>
      </w:r>
      <w:r w:rsidR="00003494">
        <w:rPr>
          <w:rFonts w:ascii="Times New Roman" w:hAnsi="Times New Roman"/>
          <w:sz w:val="24"/>
          <w:szCs w:val="24"/>
        </w:rPr>
        <w:t xml:space="preserve"> </w:t>
      </w:r>
      <w:r w:rsidR="004E0344">
        <w:rPr>
          <w:rFonts w:ascii="Times New Roman" w:hAnsi="Times New Roman"/>
          <w:sz w:val="24"/>
          <w:szCs w:val="24"/>
        </w:rPr>
        <w:t xml:space="preserve">weaknesses </w:t>
      </w:r>
      <w:r w:rsidR="00003494">
        <w:rPr>
          <w:rFonts w:ascii="Times New Roman" w:hAnsi="Times New Roman"/>
          <w:sz w:val="24"/>
          <w:szCs w:val="24"/>
        </w:rPr>
        <w:t>include</w:t>
      </w:r>
      <w:r w:rsidR="00314E21">
        <w:rPr>
          <w:rFonts w:ascii="Times New Roman" w:hAnsi="Times New Roman"/>
          <w:sz w:val="24"/>
          <w:szCs w:val="24"/>
        </w:rPr>
        <w:t xml:space="preserve">d </w:t>
      </w:r>
      <w:r w:rsidR="009B3D41">
        <w:rPr>
          <w:rFonts w:ascii="Times New Roman" w:hAnsi="Times New Roman"/>
          <w:sz w:val="24"/>
          <w:szCs w:val="24"/>
        </w:rPr>
        <w:t xml:space="preserve">a </w:t>
      </w:r>
      <w:r w:rsidR="00314E21">
        <w:rPr>
          <w:rFonts w:ascii="Times New Roman" w:hAnsi="Times New Roman"/>
          <w:sz w:val="24"/>
          <w:szCs w:val="24"/>
        </w:rPr>
        <w:t xml:space="preserve">lack of </w:t>
      </w:r>
      <w:r w:rsidR="00677A7B">
        <w:rPr>
          <w:rFonts w:ascii="Times New Roman" w:hAnsi="Times New Roman"/>
          <w:sz w:val="24"/>
          <w:szCs w:val="24"/>
        </w:rPr>
        <w:t xml:space="preserve">monitoring and </w:t>
      </w:r>
      <w:r w:rsidR="00314E21">
        <w:rPr>
          <w:rFonts w:ascii="Times New Roman" w:hAnsi="Times New Roman"/>
          <w:sz w:val="24"/>
          <w:szCs w:val="24"/>
        </w:rPr>
        <w:t>enforcement</w:t>
      </w:r>
      <w:r w:rsidR="00677A7B">
        <w:rPr>
          <w:rFonts w:ascii="Times New Roman" w:hAnsi="Times New Roman"/>
          <w:sz w:val="24"/>
          <w:szCs w:val="24"/>
        </w:rPr>
        <w:t xml:space="preserve"> capacity</w:t>
      </w:r>
      <w:r w:rsidR="00314E21">
        <w:rPr>
          <w:rFonts w:ascii="Times New Roman" w:hAnsi="Times New Roman"/>
          <w:sz w:val="24"/>
          <w:szCs w:val="24"/>
        </w:rPr>
        <w:t xml:space="preserve">, weak </w:t>
      </w:r>
      <w:r w:rsidR="002F1367">
        <w:rPr>
          <w:rFonts w:ascii="Times New Roman" w:hAnsi="Times New Roman"/>
          <w:sz w:val="24"/>
          <w:szCs w:val="24"/>
        </w:rPr>
        <w:t>communication</w:t>
      </w:r>
      <w:r w:rsidR="00677A7B">
        <w:rPr>
          <w:rFonts w:ascii="Times New Roman" w:hAnsi="Times New Roman"/>
          <w:sz w:val="24"/>
          <w:szCs w:val="24"/>
        </w:rPr>
        <w:t xml:space="preserve"> and information sharing</w:t>
      </w:r>
      <w:r w:rsidR="00314E21">
        <w:rPr>
          <w:rFonts w:ascii="Times New Roman" w:hAnsi="Times New Roman"/>
          <w:sz w:val="24"/>
          <w:szCs w:val="24"/>
        </w:rPr>
        <w:t>,</w:t>
      </w:r>
      <w:r w:rsidR="00003494">
        <w:rPr>
          <w:rFonts w:ascii="Times New Roman" w:hAnsi="Times New Roman"/>
          <w:sz w:val="24"/>
          <w:szCs w:val="24"/>
        </w:rPr>
        <w:t xml:space="preserve"> </w:t>
      </w:r>
      <w:r w:rsidR="00314E21">
        <w:rPr>
          <w:rFonts w:ascii="Times New Roman" w:hAnsi="Times New Roman"/>
          <w:sz w:val="24"/>
          <w:szCs w:val="24"/>
        </w:rPr>
        <w:t>inadequate</w:t>
      </w:r>
      <w:r w:rsidR="000807D6" w:rsidRPr="00F6543A">
        <w:rPr>
          <w:rFonts w:ascii="Times New Roman" w:hAnsi="Times New Roman"/>
          <w:sz w:val="24"/>
          <w:szCs w:val="24"/>
        </w:rPr>
        <w:t xml:space="preserve"> financial and human resource</w:t>
      </w:r>
      <w:r w:rsidR="00314E21">
        <w:rPr>
          <w:rFonts w:ascii="Times New Roman" w:hAnsi="Times New Roman"/>
          <w:sz w:val="24"/>
          <w:szCs w:val="24"/>
        </w:rPr>
        <w:t xml:space="preserve">s, and </w:t>
      </w:r>
      <w:r w:rsidR="00677A7B">
        <w:rPr>
          <w:rFonts w:ascii="Times New Roman" w:hAnsi="Times New Roman"/>
          <w:sz w:val="24"/>
          <w:szCs w:val="24"/>
        </w:rPr>
        <w:t xml:space="preserve">inappropriate public consultation approaches. It was found that EIA is slowly being accepted in Namibia and it has </w:t>
      </w:r>
      <w:r w:rsidR="00397A7C">
        <w:rPr>
          <w:rFonts w:ascii="Times New Roman" w:hAnsi="Times New Roman"/>
          <w:sz w:val="24"/>
          <w:szCs w:val="24"/>
        </w:rPr>
        <w:t xml:space="preserve">a </w:t>
      </w:r>
      <w:r w:rsidR="00677A7B">
        <w:rPr>
          <w:rFonts w:ascii="Times New Roman" w:hAnsi="Times New Roman"/>
          <w:sz w:val="24"/>
          <w:szCs w:val="24"/>
        </w:rPr>
        <w:t>prevent</w:t>
      </w:r>
      <w:r w:rsidR="000D3BC8">
        <w:rPr>
          <w:rFonts w:ascii="Times New Roman" w:hAnsi="Times New Roman"/>
          <w:sz w:val="24"/>
          <w:szCs w:val="24"/>
        </w:rPr>
        <w:t>ative effect</w:t>
      </w:r>
      <w:r w:rsidR="00677A7B">
        <w:rPr>
          <w:rFonts w:ascii="Times New Roman" w:hAnsi="Times New Roman"/>
          <w:sz w:val="24"/>
          <w:szCs w:val="24"/>
        </w:rPr>
        <w:t xml:space="preserve"> on proposed developments. The study recommends an </w:t>
      </w:r>
      <w:r w:rsidR="00314E21">
        <w:rPr>
          <w:rFonts w:ascii="Times New Roman" w:hAnsi="Times New Roman"/>
          <w:sz w:val="24"/>
          <w:szCs w:val="24"/>
        </w:rPr>
        <w:t xml:space="preserve">urgent </w:t>
      </w:r>
      <w:r w:rsidR="00E6405C" w:rsidRPr="00F6543A">
        <w:rPr>
          <w:rFonts w:ascii="Times New Roman" w:hAnsi="Times New Roman"/>
          <w:sz w:val="24"/>
          <w:szCs w:val="24"/>
        </w:rPr>
        <w:t xml:space="preserve">need to </w:t>
      </w:r>
      <w:r w:rsidR="00314E21">
        <w:rPr>
          <w:rFonts w:ascii="Times New Roman" w:hAnsi="Times New Roman"/>
          <w:sz w:val="24"/>
          <w:szCs w:val="24"/>
        </w:rPr>
        <w:t>complete</w:t>
      </w:r>
      <w:r w:rsidR="000807D6" w:rsidRPr="00F6543A">
        <w:rPr>
          <w:rFonts w:ascii="Times New Roman" w:hAnsi="Times New Roman"/>
          <w:sz w:val="24"/>
          <w:szCs w:val="24"/>
        </w:rPr>
        <w:t xml:space="preserve"> </w:t>
      </w:r>
      <w:r>
        <w:rPr>
          <w:rFonts w:ascii="Times New Roman" w:hAnsi="Times New Roman"/>
          <w:sz w:val="24"/>
          <w:szCs w:val="24"/>
        </w:rPr>
        <w:t xml:space="preserve">the ongoing </w:t>
      </w:r>
      <w:r w:rsidR="000807D6" w:rsidRPr="00F6543A">
        <w:rPr>
          <w:rFonts w:ascii="Times New Roman" w:hAnsi="Times New Roman"/>
          <w:sz w:val="24"/>
          <w:szCs w:val="24"/>
        </w:rPr>
        <w:t>legislati</w:t>
      </w:r>
      <w:r>
        <w:rPr>
          <w:rFonts w:ascii="Times New Roman" w:hAnsi="Times New Roman"/>
          <w:sz w:val="24"/>
          <w:szCs w:val="24"/>
        </w:rPr>
        <w:t>ve reform</w:t>
      </w:r>
      <w:r w:rsidR="004B1897">
        <w:rPr>
          <w:rFonts w:ascii="Times New Roman" w:hAnsi="Times New Roman"/>
          <w:sz w:val="24"/>
          <w:szCs w:val="24"/>
        </w:rPr>
        <w:t xml:space="preserve"> to close existing gaps </w:t>
      </w:r>
      <w:r w:rsidR="002D5A31" w:rsidRPr="00F6543A">
        <w:rPr>
          <w:rFonts w:ascii="Times New Roman" w:hAnsi="Times New Roman"/>
          <w:sz w:val="24"/>
          <w:szCs w:val="24"/>
        </w:rPr>
        <w:t xml:space="preserve">and </w:t>
      </w:r>
      <w:r w:rsidR="002F1367">
        <w:rPr>
          <w:rFonts w:ascii="Times New Roman" w:hAnsi="Times New Roman"/>
          <w:sz w:val="24"/>
          <w:szCs w:val="24"/>
        </w:rPr>
        <w:t xml:space="preserve">to </w:t>
      </w:r>
      <w:r w:rsidR="004B1897">
        <w:rPr>
          <w:rFonts w:ascii="Times New Roman" w:hAnsi="Times New Roman"/>
          <w:sz w:val="24"/>
          <w:szCs w:val="24"/>
        </w:rPr>
        <w:t>improve the performance of the</w:t>
      </w:r>
      <w:r w:rsidR="002F1367">
        <w:rPr>
          <w:rFonts w:ascii="Times New Roman" w:hAnsi="Times New Roman"/>
          <w:sz w:val="24"/>
          <w:szCs w:val="24"/>
        </w:rPr>
        <w:t xml:space="preserve"> EIA system. </w:t>
      </w:r>
    </w:p>
    <w:p w:rsidR="00F6543A" w:rsidRDefault="00F6543A" w:rsidP="00A07624">
      <w:pPr>
        <w:autoSpaceDE w:val="0"/>
        <w:autoSpaceDN w:val="0"/>
        <w:adjustRightInd w:val="0"/>
        <w:spacing w:after="0" w:line="360" w:lineRule="auto"/>
        <w:rPr>
          <w:rFonts w:ascii="Times New Roman" w:hAnsi="Times New Roman"/>
          <w:sz w:val="24"/>
          <w:szCs w:val="24"/>
        </w:rPr>
      </w:pPr>
    </w:p>
    <w:p w:rsidR="002D5A31" w:rsidRDefault="006B01F0" w:rsidP="00A07624">
      <w:pPr>
        <w:spacing w:line="360" w:lineRule="auto"/>
        <w:jc w:val="both"/>
        <w:rPr>
          <w:rFonts w:ascii="Times New Roman" w:hAnsi="Times New Roman"/>
          <w:sz w:val="24"/>
          <w:szCs w:val="24"/>
        </w:rPr>
      </w:pPr>
      <w:r w:rsidRPr="00AA53E8">
        <w:rPr>
          <w:rFonts w:ascii="Times New Roman" w:hAnsi="Times New Roman"/>
          <w:i/>
          <w:sz w:val="24"/>
          <w:szCs w:val="24"/>
        </w:rPr>
        <w:t>Keywords</w:t>
      </w:r>
      <w:r>
        <w:rPr>
          <w:rFonts w:ascii="Times New Roman" w:hAnsi="Times New Roman"/>
          <w:sz w:val="24"/>
          <w:szCs w:val="24"/>
        </w:rPr>
        <w:t>:</w:t>
      </w:r>
      <w:r w:rsidR="00693A9D">
        <w:rPr>
          <w:rFonts w:ascii="Times New Roman" w:hAnsi="Times New Roman"/>
          <w:sz w:val="24"/>
          <w:szCs w:val="24"/>
        </w:rPr>
        <w:t xml:space="preserve"> </w:t>
      </w:r>
      <w:r w:rsidR="007C73CE">
        <w:rPr>
          <w:rFonts w:ascii="Times New Roman" w:hAnsi="Times New Roman"/>
          <w:sz w:val="24"/>
          <w:szCs w:val="24"/>
        </w:rPr>
        <w:t>performance; effectiveness; EIA system;</w:t>
      </w:r>
      <w:r>
        <w:rPr>
          <w:rFonts w:ascii="Times New Roman" w:hAnsi="Times New Roman"/>
          <w:sz w:val="24"/>
          <w:szCs w:val="24"/>
        </w:rPr>
        <w:t xml:space="preserve"> Namibia.</w:t>
      </w:r>
    </w:p>
    <w:p w:rsidR="00F85169" w:rsidRPr="00EE49DA" w:rsidRDefault="00F85169" w:rsidP="00A07624">
      <w:pPr>
        <w:spacing w:line="360" w:lineRule="auto"/>
        <w:jc w:val="both"/>
        <w:rPr>
          <w:rFonts w:ascii="Times New Roman" w:hAnsi="Times New Roman"/>
          <w:sz w:val="24"/>
          <w:szCs w:val="24"/>
        </w:rPr>
      </w:pPr>
    </w:p>
    <w:p w:rsidR="001C1D3A" w:rsidRDefault="006B01F0" w:rsidP="00A07624">
      <w:pPr>
        <w:pStyle w:val="ListParagraph"/>
        <w:numPr>
          <w:ilvl w:val="0"/>
          <w:numId w:val="17"/>
        </w:numPr>
        <w:spacing w:line="360" w:lineRule="auto"/>
        <w:jc w:val="both"/>
        <w:rPr>
          <w:rFonts w:ascii="Times New Roman" w:hAnsi="Times New Roman"/>
          <w:b/>
          <w:sz w:val="24"/>
          <w:szCs w:val="24"/>
        </w:rPr>
      </w:pPr>
      <w:r w:rsidRPr="00716625">
        <w:rPr>
          <w:rFonts w:ascii="Times New Roman" w:hAnsi="Times New Roman"/>
          <w:b/>
          <w:sz w:val="24"/>
          <w:szCs w:val="24"/>
        </w:rPr>
        <w:t xml:space="preserve">Introduction  </w:t>
      </w:r>
    </w:p>
    <w:p w:rsidR="00A07624" w:rsidRDefault="006B01F0" w:rsidP="00A07624">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The </w:t>
      </w:r>
      <w:r w:rsidR="00340518" w:rsidRPr="00F6543A">
        <w:rPr>
          <w:rFonts w:ascii="Times New Roman" w:hAnsi="Times New Roman"/>
          <w:sz w:val="24"/>
          <w:szCs w:val="24"/>
        </w:rPr>
        <w:t xml:space="preserve">Environmental Impact Assessment </w:t>
      </w:r>
      <w:r w:rsidR="00340518">
        <w:rPr>
          <w:rFonts w:ascii="Times New Roman" w:hAnsi="Times New Roman"/>
          <w:sz w:val="24"/>
          <w:szCs w:val="24"/>
        </w:rPr>
        <w:t>(</w:t>
      </w:r>
      <w:r>
        <w:rPr>
          <w:rFonts w:ascii="Times New Roman" w:hAnsi="Times New Roman"/>
          <w:sz w:val="24"/>
          <w:szCs w:val="24"/>
        </w:rPr>
        <w:t>EIA</w:t>
      </w:r>
      <w:r w:rsidR="00340518">
        <w:rPr>
          <w:rFonts w:ascii="Times New Roman" w:hAnsi="Times New Roman"/>
          <w:sz w:val="24"/>
          <w:szCs w:val="24"/>
        </w:rPr>
        <w:t>)</w:t>
      </w:r>
      <w:r w:rsidR="009655B4">
        <w:rPr>
          <w:rFonts w:ascii="Times New Roman" w:hAnsi="Times New Roman"/>
          <w:sz w:val="24"/>
          <w:szCs w:val="24"/>
        </w:rPr>
        <w:t xml:space="preserve"> process </w:t>
      </w:r>
      <w:r w:rsidR="009655B4" w:rsidRPr="00D60DCA">
        <w:rPr>
          <w:rFonts w:ascii="Times New Roman" w:hAnsi="Times New Roman"/>
          <w:sz w:val="24"/>
          <w:szCs w:val="24"/>
        </w:rPr>
        <w:t>o</w:t>
      </w:r>
      <w:r w:rsidR="009655B4">
        <w:rPr>
          <w:rFonts w:ascii="Times New Roman" w:hAnsi="Times New Roman"/>
          <w:sz w:val="24"/>
          <w:szCs w:val="24"/>
        </w:rPr>
        <w:t xml:space="preserve">riginated </w:t>
      </w:r>
      <w:r w:rsidR="009655B4" w:rsidRPr="00D60DCA">
        <w:rPr>
          <w:rFonts w:ascii="Times New Roman" w:hAnsi="Times New Roman"/>
          <w:sz w:val="24"/>
          <w:szCs w:val="24"/>
        </w:rPr>
        <w:t>in the late 1960s</w:t>
      </w:r>
      <w:r w:rsidR="00F85169">
        <w:rPr>
          <w:rFonts w:ascii="Times New Roman" w:hAnsi="Times New Roman"/>
          <w:sz w:val="24"/>
          <w:szCs w:val="24"/>
        </w:rPr>
        <w:t>.</w:t>
      </w:r>
      <w:r w:rsidR="009655B4" w:rsidRPr="00D60DCA">
        <w:rPr>
          <w:rFonts w:ascii="Times New Roman" w:hAnsi="Times New Roman"/>
          <w:sz w:val="24"/>
          <w:szCs w:val="24"/>
        </w:rPr>
        <w:t xml:space="preserve"> </w:t>
      </w:r>
      <w:r w:rsidR="00F85169">
        <w:rPr>
          <w:rFonts w:ascii="Times New Roman" w:hAnsi="Times New Roman"/>
          <w:sz w:val="24"/>
          <w:szCs w:val="24"/>
        </w:rPr>
        <w:t>It</w:t>
      </w:r>
      <w:r w:rsidR="009655B4">
        <w:rPr>
          <w:rFonts w:ascii="Times New Roman" w:hAnsi="Times New Roman"/>
          <w:sz w:val="24"/>
          <w:szCs w:val="24"/>
        </w:rPr>
        <w:t xml:space="preserve"> is now </w:t>
      </w:r>
      <w:r w:rsidR="009655B4" w:rsidRPr="00D60DCA">
        <w:rPr>
          <w:rFonts w:ascii="Times New Roman" w:hAnsi="Times New Roman"/>
          <w:sz w:val="24"/>
          <w:szCs w:val="24"/>
        </w:rPr>
        <w:t xml:space="preserve">adopted extensively </w:t>
      </w:r>
      <w:r w:rsidR="009655B4">
        <w:rPr>
          <w:rFonts w:ascii="Times New Roman" w:hAnsi="Times New Roman"/>
          <w:sz w:val="24"/>
          <w:szCs w:val="24"/>
        </w:rPr>
        <w:t xml:space="preserve">and legislated in </w:t>
      </w:r>
      <w:r w:rsidR="00782DBE">
        <w:rPr>
          <w:rFonts w:ascii="Times New Roman" w:hAnsi="Times New Roman"/>
          <w:sz w:val="24"/>
          <w:szCs w:val="24"/>
        </w:rPr>
        <w:t xml:space="preserve">over 100 countries worldwide </w:t>
      </w:r>
      <w:r w:rsidR="00782DBE">
        <w:rPr>
          <w:rFonts w:ascii="Times New Roman" w:hAnsi="Times New Roman"/>
          <w:sz w:val="24"/>
          <w:szCs w:val="24"/>
        </w:rPr>
        <w:fldChar w:fldCharType="begin" w:fldLock="1"/>
      </w:r>
      <w:r w:rsidR="00782DBE">
        <w:rPr>
          <w:rFonts w:ascii="Times New Roman" w:hAnsi="Times New Roman"/>
          <w:sz w:val="24"/>
          <w:szCs w:val="24"/>
        </w:rPr>
        <w:instrText>ADDIN CSL_CITATION {"citationItems":[{"id":"ITEM-1","itemData":{"DOI":"10.1080/14615517.2012.661557","ISBN":"1461-5517","ISSN":"14615517","abstract":"This paper reviews progress in environmental impact assessment (EIA) over the last 40 years, with particular emphasis on the last 15–20 years, and poses the question: is EIA ready to meet future challenges? The first part of the paper briefly examines the spread of EIA around the world, recent trends in the uptake of EIA, and the continuing emergence of variants of impact assessment. The second part of the paper concentrates on current issues in EIA, under three broad headings: theory and EIA, practice issues and EIA effectiveness. An important thread running through the second part of the paper is how discussions about EIA theory, a feature of the last 15 years, are affecting the different areas of EIA practice and evaluation.","author":[{"dropping-particle":"","family":"Morgan","given":"Richard K.","non-dropping-particle":"","parse-names":false,"suffix":""}],"container-title":"Impact Assessment and Project Appraisal","id":"ITEM-1","issued":{"date-parts":[["2012"]]},"title":"Environmental impact assessment: The state of the art","type":"article"},"uris":["http://www.mendeley.com/documents/?uuid=578a5416-7b10-3a27-a685-5c614255a7eb"]},{"id":"ITEM-2","itemData":{"DOI":"10.1016/j.envsci.2017.01.003","ISSN":"18736416","abstract":"Environmental Impact Assessment (EIA) is an important tool to help decision-makers balance the environmental impacts of a proposed built development with its potential economic benefits. Used in most countries across the globe, EIA commonly includes an ecological component (Ecological Impact Assessment, or EcIA). However, despite considerable changes in relevant legislation, policy and guidance, there has been no recent review of UK EcIA chapter content, with the latest review having been published in 2000. This study attempts to determine the procedural effectiveness of EcIA chapters over time by comparing a new review of 112 English EcIA chapters from 2000 onwards with earlier reviews. This was achieved through the novel use of inferential statistics, an approach previously lacking in the EIA and EcIA review literature. The limitations and advantages of the use of quantitative methods are discussed. In general, there has been an improvement in the information content of EcIA chapters over time, for example in the percentage of EcIA chapters stating the size of the development and estimating the likely effectiveness of proposed mitigation measures. However, the earlier reviews highlighted such severe information deficiencies that the progress seen in the post-2000 EcIA chapter review still leaves considerable scope for improvement. Changes in the EU's EIA Directive in force since May 2014 (and to be transposed into Member State legislation by May 2017) have the potential to encourage the use of inferential statistics in EIA and EcIA review: the requirement for Member States to provide central access to EIA information should enable representative samples to be analysed.","author":[{"dropping-particle":"","family":"Drayson","given":"Katherine","non-dropping-particle":"","parse-names":false,"suffix":""},{"dropping-particle":"","family":"Wood","given":"Graham","non-dropping-particle":"","parse-names":false,"suffix":""},{"dropping-particle":"","family":"Thompson","given":"Stewart","non-dropping-particle":"","parse-names":false,"suffix":""}],"container-title":"Environmental Science and Policy","id":"ITEM-2","issued":{"date-parts":[["2017"]]},"title":"An evaluation of ecological impact assessment procedural effectiveness over time","type":"article-journal"},"uris":["http://www.mendeley.com/documents/?uuid=1004cbf0-97fe-3964-8dc7-cec99d041c70"]}],"mendeley":{"formattedCitation":"(Drayson et al., 2017; Morgan, 2012)","plainTextFormattedCitation":"(Drayson et al., 2017; Morgan, 2012)","previouslyFormattedCitation":"(Drayson et al., 2017; Morgan, 2012)"},"properties":{"noteIndex":0},"schema":"https://github.com/citation-style-language/schema/raw/master/csl-citation.json"}</w:instrText>
      </w:r>
      <w:r w:rsidR="00782DBE">
        <w:rPr>
          <w:rFonts w:ascii="Times New Roman" w:hAnsi="Times New Roman"/>
          <w:sz w:val="24"/>
          <w:szCs w:val="24"/>
        </w:rPr>
        <w:fldChar w:fldCharType="separate"/>
      </w:r>
      <w:r w:rsidR="00782DBE" w:rsidRPr="00782DBE">
        <w:rPr>
          <w:rFonts w:ascii="Times New Roman" w:hAnsi="Times New Roman"/>
          <w:noProof/>
          <w:sz w:val="24"/>
          <w:szCs w:val="24"/>
        </w:rPr>
        <w:t>(Drayson et al., 2017; Morgan, 2012)</w:t>
      </w:r>
      <w:r w:rsidR="00782DBE">
        <w:rPr>
          <w:rFonts w:ascii="Times New Roman" w:hAnsi="Times New Roman"/>
          <w:sz w:val="24"/>
          <w:szCs w:val="24"/>
        </w:rPr>
        <w:fldChar w:fldCharType="end"/>
      </w:r>
      <w:r w:rsidR="009655B4">
        <w:rPr>
          <w:rFonts w:ascii="Times New Roman" w:hAnsi="Times New Roman"/>
          <w:sz w:val="24"/>
          <w:szCs w:val="24"/>
        </w:rPr>
        <w:t xml:space="preserve">. According to </w:t>
      </w:r>
      <w:r w:rsidR="00081DFA">
        <w:rPr>
          <w:rFonts w:ascii="Times New Roman" w:hAnsi="Times New Roman"/>
          <w:sz w:val="24"/>
          <w:szCs w:val="24"/>
        </w:rPr>
        <w:fldChar w:fldCharType="begin" w:fldLock="1"/>
      </w:r>
      <w:r w:rsidR="00AD7C25">
        <w:rPr>
          <w:rFonts w:ascii="Times New Roman" w:hAnsi="Times New Roman"/>
          <w:sz w:val="24"/>
          <w:szCs w:val="24"/>
        </w:rPr>
        <w:instrText>ADDIN CSL_CITATION {"citationItems":[{"id":"ITEM-1","itemData":{"abstract":"Reviews of earlier editions 'This book should join a limited number of publications that provide the essential first stages on a rapid EIA learning curve… Well written and referenced and should provide an invaluable introduction to EIA for a wide range of people including students, practitioners, developers and decision makers.' Environmental Assessment. 'This book gives the student a good introduction to the history and evolution of environmental impact assessment. It covers the existing legislation well and provides interesting case studies and examples along the way to keep the reader interested… Many local authorities when faced with their first EIA would welcome such a review.' Built Environment. Introduction to environmental impact assessment: 3rd edition","author":[{"dropping-particle":"","family":"Glasson, John, Therivel, Riki, Chadwick","given":"Andrew","non-dropping-particle":"","parse-names":false,"suffix":""}],"edition":"Third","id":"ITEM-1","issued":{"date-parts":[["2012"]]},"publisher":"Routledge","publisher-place":"London and New York","title":"Introduction to Environmental Impact Assessment","type":"book"},"uris":["http://www.mendeley.com/documents/?uuid=39851cb0-057c-3e2f-be25-64576322e1b2"]}],"mendeley":{"formattedCitation":"(Glasson, John, Therivel, Riki, Chadwick, 2012)","manualFormatting":"Glasson et al., (2012)","plainTextFormattedCitation":"(Glasson, John, Therivel, Riki, Chadwick, 2012)","previouslyFormattedCitation":"(Glasson, John, Therivel, Riki, Chadwick, 2012)"},"properties":{"noteIndex":0},"schema":"https://github.com/citation-style-language/schema/raw/master/csl-citation.json"}</w:instrText>
      </w:r>
      <w:r w:rsidR="00081DFA">
        <w:rPr>
          <w:rFonts w:ascii="Times New Roman" w:hAnsi="Times New Roman"/>
          <w:sz w:val="24"/>
          <w:szCs w:val="24"/>
        </w:rPr>
        <w:fldChar w:fldCharType="separate"/>
      </w:r>
      <w:r w:rsidR="00853DEE">
        <w:rPr>
          <w:rFonts w:ascii="Times New Roman" w:hAnsi="Times New Roman"/>
          <w:noProof/>
          <w:sz w:val="24"/>
          <w:szCs w:val="24"/>
        </w:rPr>
        <w:t>Glasson</w:t>
      </w:r>
      <w:r w:rsidR="00081DFA">
        <w:rPr>
          <w:rFonts w:ascii="Times New Roman" w:hAnsi="Times New Roman"/>
          <w:noProof/>
          <w:sz w:val="24"/>
          <w:szCs w:val="24"/>
        </w:rPr>
        <w:t xml:space="preserve"> et al.</w:t>
      </w:r>
      <w:r w:rsidR="00081DFA" w:rsidRPr="00081DFA">
        <w:rPr>
          <w:rFonts w:ascii="Times New Roman" w:hAnsi="Times New Roman"/>
          <w:noProof/>
          <w:sz w:val="24"/>
          <w:szCs w:val="24"/>
        </w:rPr>
        <w:t xml:space="preserve">, </w:t>
      </w:r>
      <w:r w:rsidR="00081DFA">
        <w:rPr>
          <w:rFonts w:ascii="Times New Roman" w:hAnsi="Times New Roman"/>
          <w:noProof/>
          <w:sz w:val="24"/>
          <w:szCs w:val="24"/>
        </w:rPr>
        <w:t>(</w:t>
      </w:r>
      <w:r w:rsidR="00081DFA" w:rsidRPr="00081DFA">
        <w:rPr>
          <w:rFonts w:ascii="Times New Roman" w:hAnsi="Times New Roman"/>
          <w:noProof/>
          <w:sz w:val="24"/>
          <w:szCs w:val="24"/>
        </w:rPr>
        <w:t>2012)</w:t>
      </w:r>
      <w:r w:rsidR="00081DFA">
        <w:rPr>
          <w:rFonts w:ascii="Times New Roman" w:hAnsi="Times New Roman"/>
          <w:sz w:val="24"/>
          <w:szCs w:val="24"/>
        </w:rPr>
        <w:fldChar w:fldCharType="end"/>
      </w:r>
      <w:r w:rsidR="00C43FE9">
        <w:rPr>
          <w:rFonts w:ascii="Times New Roman" w:hAnsi="Times New Roman"/>
          <w:sz w:val="24"/>
          <w:szCs w:val="24"/>
        </w:rPr>
        <w:t>,</w:t>
      </w:r>
      <w:r w:rsidR="00081DFA">
        <w:rPr>
          <w:rFonts w:ascii="Times New Roman" w:hAnsi="Times New Roman"/>
          <w:sz w:val="24"/>
          <w:szCs w:val="24"/>
        </w:rPr>
        <w:t xml:space="preserve"> </w:t>
      </w:r>
      <w:r w:rsidR="009655B4">
        <w:rPr>
          <w:rFonts w:ascii="Times New Roman" w:hAnsi="Times New Roman"/>
          <w:sz w:val="24"/>
          <w:szCs w:val="24"/>
        </w:rPr>
        <w:t xml:space="preserve">EIA aims to identify potential environmental impacts of </w:t>
      </w:r>
      <w:r w:rsidR="00130BD0">
        <w:rPr>
          <w:rFonts w:ascii="Times New Roman" w:hAnsi="Times New Roman"/>
          <w:sz w:val="24"/>
          <w:szCs w:val="24"/>
        </w:rPr>
        <w:t xml:space="preserve">activities </w:t>
      </w:r>
      <w:r w:rsidR="009655B4">
        <w:rPr>
          <w:rFonts w:ascii="Times New Roman" w:hAnsi="Times New Roman"/>
          <w:sz w:val="24"/>
          <w:szCs w:val="24"/>
        </w:rPr>
        <w:t>and assess different options prior to a decision</w:t>
      </w:r>
      <w:r w:rsidR="00AD001A">
        <w:rPr>
          <w:rFonts w:ascii="Times New Roman" w:hAnsi="Times New Roman"/>
          <w:sz w:val="24"/>
          <w:szCs w:val="24"/>
        </w:rPr>
        <w:t xml:space="preserve"> </w:t>
      </w:r>
      <w:r w:rsidR="009655B4">
        <w:rPr>
          <w:rFonts w:ascii="Times New Roman" w:hAnsi="Times New Roman"/>
          <w:sz w:val="24"/>
          <w:szCs w:val="24"/>
        </w:rPr>
        <w:t xml:space="preserve">to accept or reject </w:t>
      </w:r>
      <w:r w:rsidR="00E6405C">
        <w:rPr>
          <w:rFonts w:ascii="Times New Roman" w:hAnsi="Times New Roman"/>
          <w:sz w:val="24"/>
          <w:szCs w:val="24"/>
        </w:rPr>
        <w:t xml:space="preserve">a </w:t>
      </w:r>
      <w:r w:rsidR="009655B4">
        <w:rPr>
          <w:rFonts w:ascii="Times New Roman" w:hAnsi="Times New Roman"/>
          <w:sz w:val="24"/>
          <w:szCs w:val="24"/>
        </w:rPr>
        <w:t xml:space="preserve">proposed development. The EIA system </w:t>
      </w:r>
      <w:r w:rsidR="00DE7895">
        <w:rPr>
          <w:rFonts w:ascii="Times New Roman" w:hAnsi="Times New Roman"/>
          <w:sz w:val="24"/>
          <w:szCs w:val="24"/>
        </w:rPr>
        <w:t>is framed by</w:t>
      </w:r>
      <w:r w:rsidR="009655B4" w:rsidRPr="00D60DCA">
        <w:rPr>
          <w:rFonts w:ascii="Times New Roman" w:hAnsi="Times New Roman"/>
          <w:sz w:val="24"/>
          <w:szCs w:val="24"/>
        </w:rPr>
        <w:t xml:space="preserve"> basic pr</w:t>
      </w:r>
      <w:r w:rsidR="009655B4">
        <w:rPr>
          <w:rFonts w:ascii="Times New Roman" w:hAnsi="Times New Roman"/>
          <w:sz w:val="24"/>
          <w:szCs w:val="24"/>
        </w:rPr>
        <w:t xml:space="preserve">inciples of environmental protection and sustainable development and reflects common </w:t>
      </w:r>
      <w:r w:rsidR="009655B4" w:rsidRPr="00D60DCA">
        <w:rPr>
          <w:rFonts w:ascii="Times New Roman" w:hAnsi="Times New Roman"/>
          <w:sz w:val="24"/>
          <w:szCs w:val="24"/>
        </w:rPr>
        <w:t xml:space="preserve">approaches to similar </w:t>
      </w:r>
      <w:r w:rsidR="009655B4">
        <w:rPr>
          <w:rFonts w:ascii="Times New Roman" w:hAnsi="Times New Roman"/>
          <w:sz w:val="24"/>
          <w:szCs w:val="24"/>
        </w:rPr>
        <w:t>challenges</w:t>
      </w:r>
      <w:r w:rsidR="009504C7">
        <w:rPr>
          <w:rFonts w:ascii="Times New Roman" w:hAnsi="Times New Roman"/>
          <w:sz w:val="24"/>
          <w:szCs w:val="24"/>
        </w:rPr>
        <w:t xml:space="preserve"> </w:t>
      </w:r>
      <w:r w:rsidR="00782DBE">
        <w:rPr>
          <w:rFonts w:ascii="Times New Roman" w:hAnsi="Times New Roman"/>
          <w:sz w:val="24"/>
          <w:szCs w:val="24"/>
        </w:rPr>
        <w:fldChar w:fldCharType="begin" w:fldLock="1"/>
      </w:r>
      <w:r w:rsidR="00782DBE">
        <w:rPr>
          <w:rFonts w:ascii="Times New Roman" w:hAnsi="Times New Roman"/>
          <w:sz w:val="24"/>
          <w:szCs w:val="24"/>
        </w:rPr>
        <w:instrText>ADDIN CSL_CITATION {"citationItems":[{"id":"ITEM-1","itemData":{"DOI":"10.1016/j.eiar.2010.10.002","ISBN":"01959255","ISSN":"01959255","abstract":"This paper reviews and compares the condition of the environmental impact assessment (EIA) system in three countries in the East Africa region: Kenya, Rwanda and Tanzania. The criteria used for the evaluation and the comparison of each system are based on the elements of the legal, administrative and procedural frameworks, as well as the context in which they operate. These criteria are adapted from the evaluation and quality control criteria derived from a number of literature sources. The study reveals that the EIA systems of Kenya and Tanzania are at a similar stage in their development. The two countries, the first to introduce the EIA concept into their jurisdiction in this part of Africa, therefore have more experience than Rwanda in the practice of environmental impact assessment, where the legislation and process requires more time to mature both from the governmental and societal perspective. The analysis of the administrative and procedural frameworks highlights the weakness in the autonomy of the competent authority, in all three countries. Finally a major finding of this study is that the contextual set up i.e. the socio-economic and political situation plays an important role in the performance of an EIA system. The context in developing countries is very different from developed countries where the EIA concept originates. Interpreting EIA conditions in countries like Kenya, Rwanda and Tanzania requires that the analysis for determining the effectiveness of their systems should be undertaken within a relevant framework, taking into account the specific requirements of those countries. © 2010 Elsevier Inc.","author":[{"dropping-particle":"","family":"Marara","given":"Madeleine","non-dropping-particle":"","parse-names":false,"suffix":""},{"dropping-particle":"","family":"Okello","given":"Nick","non-dropping-particle":"","parse-names":false,"suffix":""},{"dropping-particle":"","family":"Kuhanwa","given":"Zainab","non-dropping-particle":"","parse-names":false,"suffix":""},{"dropping-particle":"","family":"Douven","given":"Wim","non-dropping-particle":"","parse-names":false,"suffix":""},{"dropping-particle":"","family":"Beevers","given":"Lindsay","non-dropping-particle":"","parse-names":false,"suffix":""},{"dropping-particle":"","family":"Leentvaar","given":"Jan","non-dropping-particle":"","parse-names":false,"suffix":""}],"container-title":"Environmental Impact Assessment Review","id":"ITEM-1","issued":{"date-parts":[["2011"]]},"title":"The importance of context in delivering effective EIA: Case studies from East Africa","type":"article-journal"},"uris":["http://www.mendeley.com/documents/?uuid=ccab9da8-9357-39c8-9038-19036df74373"]}],"mendeley":{"formattedCitation":"(Marara et al., 2011)","plainTextFormattedCitation":"(Marara et al., 2011)","previouslyFormattedCitation":"(Marara et al., 2011)"},"properties":{"noteIndex":0},"schema":"https://github.com/citation-style-language/schema/raw/master/csl-citation.json"}</w:instrText>
      </w:r>
      <w:r w:rsidR="00782DBE">
        <w:rPr>
          <w:rFonts w:ascii="Times New Roman" w:hAnsi="Times New Roman"/>
          <w:sz w:val="24"/>
          <w:szCs w:val="24"/>
        </w:rPr>
        <w:fldChar w:fldCharType="separate"/>
      </w:r>
      <w:r w:rsidR="00782DBE" w:rsidRPr="00782DBE">
        <w:rPr>
          <w:rFonts w:ascii="Times New Roman" w:hAnsi="Times New Roman"/>
          <w:noProof/>
          <w:sz w:val="24"/>
          <w:szCs w:val="24"/>
        </w:rPr>
        <w:t>(Marara et al., 2011)</w:t>
      </w:r>
      <w:r w:rsidR="00782DBE">
        <w:rPr>
          <w:rFonts w:ascii="Times New Roman" w:hAnsi="Times New Roman"/>
          <w:sz w:val="24"/>
          <w:szCs w:val="24"/>
        </w:rPr>
        <w:fldChar w:fldCharType="end"/>
      </w:r>
      <w:r w:rsidR="00782DBE">
        <w:rPr>
          <w:rFonts w:ascii="Times New Roman" w:hAnsi="Times New Roman"/>
          <w:sz w:val="24"/>
          <w:szCs w:val="24"/>
        </w:rPr>
        <w:t>.</w:t>
      </w:r>
      <w:r w:rsidR="00F85169">
        <w:rPr>
          <w:rFonts w:ascii="Times New Roman" w:hAnsi="Times New Roman"/>
          <w:sz w:val="24"/>
          <w:szCs w:val="24"/>
        </w:rPr>
        <w:t xml:space="preserve"> Although EIA in developing countries is also based on the same set of principles, its implementation often falls</w:t>
      </w:r>
      <w:r w:rsidR="00896A6E">
        <w:rPr>
          <w:rFonts w:ascii="Times New Roman" w:hAnsi="Times New Roman"/>
          <w:sz w:val="24"/>
          <w:szCs w:val="24"/>
        </w:rPr>
        <w:t xml:space="preserve"> short of international practices </w:t>
      </w:r>
      <w:r w:rsidR="00821F6A">
        <w:rPr>
          <w:rFonts w:ascii="Times New Roman" w:hAnsi="Times New Roman"/>
          <w:sz w:val="24"/>
          <w:szCs w:val="24"/>
        </w:rPr>
        <w:fldChar w:fldCharType="begin" w:fldLock="1"/>
      </w:r>
      <w:r w:rsidR="00821F6A">
        <w:rPr>
          <w:rFonts w:ascii="Times New Roman" w:hAnsi="Times New Roman"/>
          <w:sz w:val="24"/>
          <w:szCs w:val="24"/>
        </w:rPr>
        <w:instrText>ADDIN CSL_CITATION {"citationItems":[{"id":"ITEM-1","itemData":{"DOI":"10.4236/jep.2017.85040","ISSN":"2152-2197","abstract":"This article provides a comparative overview of environmental impact assessment (EIA) in Mozambique, Tanzania, Kenya, South Africa, Angola, and the European Union (EU). EIA “systemic measure” and “foundation measure” criteria are used to evaluate and compare the performance of each system. In contrast to the EU, EIA must be carried out by registered experts in the African countries. In Tanzania, Mozambique and South Africa public consultation is mandatory during scoping. In Kenya and Tanzania the EIA study should contain measures to prevent health hazards, to ensure employee safety, and for emergency management. EIA system monitoring is required in Kenya, Tanzania, Mozambique, and in the EU, but not in South Africa and Angola. Financial issues, insufficient qualified personnel, and an increasing number of EIA applications undermine the capacity of competent authorities to adequately monitor these EIA systems. Consequently, training programmes increase effectiveness of EIA implementation is a common request. The African countries reviewed here have adopted EIA and integrated EIA systems into public policy despite the constraints they face. As they continue to gain experience in EIA and to revise their EIA systems, they are moving towards a more flexible system with greater public involvement and robust arrangements and practices.","author":[{"dropping-particle":"","family":"Rebelo","given":"Cristina","non-dropping-particle":"","parse-names":false,"suffix":""},{"dropping-particle":"","family":"Guerreiro","given":"José","non-dropping-particle":"","parse-names":false,"suffix":""}],"container-title":"Journal of Environmental Protection","id":"ITEM-1","issue":"05","issued":{"date-parts":[["2017"]]},"page":"603-636","title":"Comparative Evaluation of the EIA Systems in Kenya, Tanzania, Mozambique, South Africa, Angola, and the European Union","type":"article-journal","volume":"08"},"uris":["http://www.mendeley.com/documents/?uuid=30218df4-1c2d-41b7-a5a0-93569796cf1d"]}],"mendeley":{"formattedCitation":"(Rebelo &amp; Guerreiro, 2017)","plainTextFormattedCitation":"(Rebelo &amp; Guerreiro, 2017)","previouslyFormattedCitation":"(Rebelo &amp; Guerreiro, 2017)"},"properties":{"noteIndex":0},"schema":"https://github.com/citation-style-language/schema/raw/master/csl-citation.json"}</w:instrText>
      </w:r>
      <w:r w:rsidR="00821F6A">
        <w:rPr>
          <w:rFonts w:ascii="Times New Roman" w:hAnsi="Times New Roman"/>
          <w:sz w:val="24"/>
          <w:szCs w:val="24"/>
        </w:rPr>
        <w:fldChar w:fldCharType="separate"/>
      </w:r>
      <w:r w:rsidR="00821F6A" w:rsidRPr="001A108A">
        <w:rPr>
          <w:rFonts w:ascii="Times New Roman" w:hAnsi="Times New Roman"/>
          <w:noProof/>
          <w:sz w:val="24"/>
          <w:szCs w:val="24"/>
        </w:rPr>
        <w:t>(Rebelo &amp; Guerreiro, 2017)</w:t>
      </w:r>
      <w:r w:rsidR="00821F6A">
        <w:rPr>
          <w:rFonts w:ascii="Times New Roman" w:hAnsi="Times New Roman"/>
          <w:sz w:val="24"/>
          <w:szCs w:val="24"/>
        </w:rPr>
        <w:fldChar w:fldCharType="end"/>
      </w:r>
      <w:r w:rsidR="00821F6A">
        <w:rPr>
          <w:rFonts w:ascii="Times New Roman" w:hAnsi="Times New Roman"/>
          <w:sz w:val="24"/>
          <w:szCs w:val="24"/>
        </w:rPr>
        <w:t xml:space="preserve">. </w:t>
      </w:r>
      <w:r w:rsidR="009655B4">
        <w:rPr>
          <w:rFonts w:ascii="Times New Roman" w:hAnsi="Times New Roman"/>
          <w:sz w:val="24"/>
          <w:szCs w:val="24"/>
        </w:rPr>
        <w:t xml:space="preserve">Experience </w:t>
      </w:r>
      <w:r w:rsidR="00DE7895">
        <w:rPr>
          <w:rFonts w:ascii="Times New Roman" w:hAnsi="Times New Roman"/>
          <w:sz w:val="24"/>
          <w:szCs w:val="24"/>
        </w:rPr>
        <w:t xml:space="preserve">to date </w:t>
      </w:r>
      <w:r w:rsidR="009655B4">
        <w:rPr>
          <w:rFonts w:ascii="Times New Roman" w:hAnsi="Times New Roman"/>
          <w:sz w:val="24"/>
          <w:szCs w:val="24"/>
        </w:rPr>
        <w:t xml:space="preserve">shows that the establishment of EIA in developing countries </w:t>
      </w:r>
      <w:r w:rsidR="00EE369A">
        <w:rPr>
          <w:rFonts w:ascii="Times New Roman" w:hAnsi="Times New Roman"/>
          <w:sz w:val="24"/>
          <w:szCs w:val="24"/>
        </w:rPr>
        <w:t>was</w:t>
      </w:r>
      <w:r w:rsidR="009655B4">
        <w:rPr>
          <w:rFonts w:ascii="Times New Roman" w:hAnsi="Times New Roman"/>
          <w:sz w:val="24"/>
          <w:szCs w:val="24"/>
        </w:rPr>
        <w:t xml:space="preserve"> often a result of a response to a disaster or funding requirements by international donor institutions. </w:t>
      </w:r>
      <w:r w:rsidR="00782DBE">
        <w:rPr>
          <w:rFonts w:ascii="Times New Roman" w:hAnsi="Times New Roman"/>
          <w:sz w:val="24"/>
          <w:szCs w:val="24"/>
        </w:rPr>
        <w:fldChar w:fldCharType="begin" w:fldLock="1"/>
      </w:r>
      <w:r w:rsidR="00782DBE">
        <w:rPr>
          <w:rFonts w:ascii="Times New Roman" w:hAnsi="Times New Roman"/>
          <w:sz w:val="24"/>
          <w:szCs w:val="24"/>
        </w:rPr>
        <w:instrText>ADDIN CSL_CITATION {"citationItems":[{"id":"ITEM-1","itemData":{"DOI":"10.1016/j.eiar.2010.10.002","ISBN":"01959255","ISSN":"01959255","abstract":"This paper reviews and compares the condition of the environmental impact assessment (EIA) system in three countries in the East Africa region: Kenya, Rwanda and Tanzania. The criteria used for the evaluation and the comparison of each system are based on the elements of the legal, administrative and procedural frameworks, as well as the context in which they operate. These criteria are adapted from the evaluation and quality control criteria derived from a number of literature sources. The study reveals that the EIA systems of Kenya and Tanzania are at a similar stage in their development. The two countries, the first to introduce the EIA concept into their jurisdiction in this part of Africa, therefore have more experience than Rwanda in the practice of environmental impact assessment, where the legislation and process requires more time to mature both from the governmental and societal perspective. The analysis of the administrative and procedural frameworks highlights the weakness in the autonomy of the competent authority, in all three countries. Finally a major finding of this study is that the contextual set up i.e. the socio-economic and political situation plays an important role in the performance of an EIA system. The context in developing countries is very different from developed countries where the EIA concept originates. Interpreting EIA conditions in countries like Kenya, Rwanda and Tanzania requires that the analysis for determining the effectiveness of their systems should be undertaken within a relevant framework, taking into account the specific requirements of those countries. © 2010 Elsevier Inc.","author":[{"dropping-particle":"","family":"Marara","given":"Madeleine","non-dropping-particle":"","parse-names":false,"suffix":""},{"dropping-particle":"","family":"Okello","given":"Nick","non-dropping-particle":"","parse-names":false,"suffix":""},{"dropping-particle":"","family":"Kuhanwa","given":"Zainab","non-dropping-particle":"","parse-names":false,"suffix":""},{"dropping-particle":"","family":"Douven","given":"Wim","non-dropping-particle":"","parse-names":false,"suffix":""},{"dropping-particle":"","family":"Beevers","given":"Lindsay","non-dropping-particle":"","parse-names":false,"suffix":""},{"dropping-particle":"","family":"Leentvaar","given":"Jan","non-dropping-particle":"","parse-names":false,"suffix":""}],"container-title":"Environmental Impact Assessment Review","id":"ITEM-1","issued":{"date-parts":[["2011"]]},"title":"The importance of context in delivering effective EIA: Case studies from East Africa","type":"article-journal"},"uris":["http://www.mendeley.com/documents/?uuid=ccab9da8-9357-39c8-9038-19036df74373"]}],"mendeley":{"formattedCitation":"(Marara et al., 2011)","manualFormatting":"Marara et al., (2011)","plainTextFormattedCitation":"(Marara et al., 2011)","previouslyFormattedCitation":"(Marara et al., 2011)"},"properties":{"noteIndex":0},"schema":"https://github.com/citation-style-language/schema/raw/master/csl-citation.json"}</w:instrText>
      </w:r>
      <w:r w:rsidR="00782DBE">
        <w:rPr>
          <w:rFonts w:ascii="Times New Roman" w:hAnsi="Times New Roman"/>
          <w:sz w:val="24"/>
          <w:szCs w:val="24"/>
        </w:rPr>
        <w:fldChar w:fldCharType="separate"/>
      </w:r>
      <w:r w:rsidR="00782DBE" w:rsidRPr="00782DBE">
        <w:rPr>
          <w:rFonts w:ascii="Times New Roman" w:hAnsi="Times New Roman"/>
          <w:noProof/>
          <w:sz w:val="24"/>
          <w:szCs w:val="24"/>
        </w:rPr>
        <w:t xml:space="preserve">Marara et al. </w:t>
      </w:r>
      <w:r w:rsidR="00782DBE">
        <w:rPr>
          <w:rFonts w:ascii="Times New Roman" w:hAnsi="Times New Roman"/>
          <w:noProof/>
          <w:sz w:val="24"/>
          <w:szCs w:val="24"/>
        </w:rPr>
        <w:t>(</w:t>
      </w:r>
      <w:r w:rsidR="00782DBE" w:rsidRPr="00782DBE">
        <w:rPr>
          <w:rFonts w:ascii="Times New Roman" w:hAnsi="Times New Roman"/>
          <w:noProof/>
          <w:sz w:val="24"/>
          <w:szCs w:val="24"/>
        </w:rPr>
        <w:t>2011)</w:t>
      </w:r>
      <w:r w:rsidR="00782DBE">
        <w:rPr>
          <w:rFonts w:ascii="Times New Roman" w:hAnsi="Times New Roman"/>
          <w:sz w:val="24"/>
          <w:szCs w:val="24"/>
        </w:rPr>
        <w:fldChar w:fldCharType="end"/>
      </w:r>
      <w:r w:rsidR="00782DBE">
        <w:rPr>
          <w:rFonts w:ascii="Times New Roman" w:hAnsi="Times New Roman"/>
          <w:sz w:val="24"/>
          <w:szCs w:val="24"/>
        </w:rPr>
        <w:t xml:space="preserve"> </w:t>
      </w:r>
      <w:r w:rsidR="008E40E4">
        <w:rPr>
          <w:rFonts w:ascii="Times New Roman" w:hAnsi="Times New Roman"/>
          <w:sz w:val="24"/>
          <w:szCs w:val="24"/>
        </w:rPr>
        <w:lastRenderedPageBreak/>
        <w:t>emphasized that many developing countrie</w:t>
      </w:r>
      <w:r w:rsidR="003453B5">
        <w:rPr>
          <w:rFonts w:ascii="Times New Roman" w:hAnsi="Times New Roman"/>
          <w:sz w:val="24"/>
          <w:szCs w:val="24"/>
        </w:rPr>
        <w:t>s mimicked western EIA system</w:t>
      </w:r>
      <w:r w:rsidR="00E6405C">
        <w:rPr>
          <w:rFonts w:ascii="Times New Roman" w:hAnsi="Times New Roman"/>
          <w:sz w:val="24"/>
          <w:szCs w:val="24"/>
        </w:rPr>
        <w:t>s</w:t>
      </w:r>
      <w:r w:rsidR="003453B5">
        <w:rPr>
          <w:rFonts w:ascii="Times New Roman" w:hAnsi="Times New Roman"/>
          <w:sz w:val="24"/>
          <w:szCs w:val="24"/>
        </w:rPr>
        <w:t xml:space="preserve"> without</w:t>
      </w:r>
      <w:r w:rsidR="008E40E4">
        <w:rPr>
          <w:rFonts w:ascii="Times New Roman" w:hAnsi="Times New Roman"/>
          <w:sz w:val="24"/>
          <w:szCs w:val="24"/>
        </w:rPr>
        <w:t xml:space="preserve"> consideration of </w:t>
      </w:r>
      <w:r w:rsidR="00EE369A">
        <w:rPr>
          <w:rFonts w:ascii="Times New Roman" w:hAnsi="Times New Roman"/>
          <w:sz w:val="24"/>
          <w:szCs w:val="24"/>
        </w:rPr>
        <w:t>local</w:t>
      </w:r>
      <w:r w:rsidR="008E40E4">
        <w:rPr>
          <w:rFonts w:ascii="Times New Roman" w:hAnsi="Times New Roman"/>
          <w:sz w:val="24"/>
          <w:szCs w:val="24"/>
        </w:rPr>
        <w:t xml:space="preserve"> politics and context. </w:t>
      </w:r>
    </w:p>
    <w:p w:rsidR="00A07624" w:rsidRDefault="00A07624" w:rsidP="00A07624">
      <w:pPr>
        <w:pStyle w:val="ListParagraph"/>
        <w:spacing w:line="360" w:lineRule="auto"/>
        <w:ind w:left="0"/>
        <w:jc w:val="both"/>
        <w:rPr>
          <w:rFonts w:ascii="Times New Roman" w:hAnsi="Times New Roman"/>
          <w:sz w:val="24"/>
          <w:szCs w:val="24"/>
        </w:rPr>
      </w:pPr>
    </w:p>
    <w:p w:rsidR="00144AAF" w:rsidRDefault="006B01F0" w:rsidP="00144AAF">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While other countries in the world introduced </w:t>
      </w:r>
      <w:r w:rsidR="00A40FFC">
        <w:rPr>
          <w:rFonts w:ascii="Times New Roman" w:hAnsi="Times New Roman"/>
          <w:sz w:val="24"/>
          <w:szCs w:val="24"/>
        </w:rPr>
        <w:t xml:space="preserve">the </w:t>
      </w:r>
      <w:r>
        <w:rPr>
          <w:rFonts w:ascii="Times New Roman" w:hAnsi="Times New Roman"/>
          <w:sz w:val="24"/>
          <w:szCs w:val="24"/>
        </w:rPr>
        <w:t>EIA system as far back as the 1970s, EIA systems in sub-Saharan Africa are relatively new, being established largely in the 1990s. In Southern Africa, South Africa and Zimbabwe saw the introduction of EIA in 1997, followed closely by Mozambique and Angola in 1998</w:t>
      </w:r>
      <w:sdt>
        <w:sdtPr>
          <w:rPr>
            <w:rFonts w:ascii="Times New Roman" w:hAnsi="Times New Roman"/>
            <w:sz w:val="24"/>
            <w:szCs w:val="24"/>
          </w:rPr>
          <w:id w:val="-101187507"/>
          <w:citation/>
        </w:sdtPr>
        <w:sdtEndPr/>
        <w:sdtContent>
          <w:r>
            <w:rPr>
              <w:rFonts w:ascii="Times New Roman" w:hAnsi="Times New Roman"/>
              <w:sz w:val="24"/>
              <w:szCs w:val="24"/>
            </w:rPr>
            <w:fldChar w:fldCharType="begin"/>
          </w:r>
          <w:r>
            <w:rPr>
              <w:rFonts w:ascii="Times New Roman" w:hAnsi="Times New Roman"/>
              <w:sz w:val="24"/>
              <w:szCs w:val="24"/>
            </w:rPr>
            <w:instrText xml:space="preserve">CITATION Auc09 \l 1033 </w:instrText>
          </w:r>
          <w:r>
            <w:rPr>
              <w:rFonts w:ascii="Times New Roman" w:hAnsi="Times New Roman"/>
              <w:sz w:val="24"/>
              <w:szCs w:val="24"/>
            </w:rPr>
            <w:fldChar w:fldCharType="separate"/>
          </w:r>
          <w:r>
            <w:rPr>
              <w:rFonts w:ascii="Times New Roman" w:hAnsi="Times New Roman"/>
              <w:noProof/>
              <w:sz w:val="24"/>
              <w:szCs w:val="24"/>
            </w:rPr>
            <w:t xml:space="preserve"> </w:t>
          </w:r>
          <w:r w:rsidRPr="00B36747">
            <w:rPr>
              <w:rFonts w:ascii="Times New Roman" w:hAnsi="Times New Roman"/>
              <w:noProof/>
              <w:sz w:val="24"/>
              <w:szCs w:val="24"/>
            </w:rPr>
            <w:t>(Aucamp, 2009)</w:t>
          </w:r>
          <w:r>
            <w:rPr>
              <w:rFonts w:ascii="Times New Roman" w:hAnsi="Times New Roman"/>
              <w:sz w:val="24"/>
              <w:szCs w:val="24"/>
            </w:rPr>
            <w:fldChar w:fldCharType="end"/>
          </w:r>
        </w:sdtContent>
      </w:sdt>
      <w:r>
        <w:rPr>
          <w:rFonts w:ascii="Times New Roman" w:hAnsi="Times New Roman"/>
          <w:sz w:val="24"/>
          <w:szCs w:val="24"/>
        </w:rPr>
        <w:t xml:space="preserve">. Literature shows that the quality of EIA, its implementation, and performance differ based on the governance system and the context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{"citationItems":[{"id":"ITEM-1","itemData":{"DOI":"10.1016/j.eiar.2010.10.002","ISBN":"01959255","ISSN":"01959255","abstract":"This paper reviews and compares the condition of the environmental impact assessment (EIA) system in three countries in the East Africa region: Kenya, Rwanda and Tanzania. The criteria used for the evaluation and the comparison of each system are based on the elements of the legal, administrative and procedural frameworks, as well as the context in which they operate. These criteria are adapted from the evaluation and quality control criteria derived from a number of literature sources. The study reveals that the EIA systems of Kenya and Tanzania are at a similar stage in their development. The two countries, the first to introduce the EIA concept into their jurisdiction in this part of Africa, therefore have more experience than Rwanda in the practice of environmental impact assessment, where the legislation and process requires more time to mature both from the governmental and societal perspective. The analysis of the administrative and procedural frameworks highlights the weakness in the autonomy of the competent authority, in all three countries. Finally a major finding of this study is that the contextual set up i.e. the socio-economic and political situation plays an important role in the performance of an EIA system. The context in developing countries is very different from developed countries where the EIA concept originates. Interpreting EIA conditions in countries like Kenya, Rwanda and Tanzania requires that the analysis for determining the effectiveness of their systems should be undertaken within a relevant framework, taking into account the specific requirements of those countries. © 2010 Elsevier Inc.","author":[{"dropping-particle":"","family":"Marara","given":"Madeleine","non-dropping-particle":"","parse-names":false,"suffix":""},{"dropping-particle":"","family":"Okello","given":"Nick","non-dropping-particle":"","parse-names":false,"suffix":""},{"dropping-particle":"","family":"Kuhanwa","given":"Zainab","non-dropping-particle":"","parse-names":false,"suffix":""},{"dropping-particle":"","family":"Douven","given":"Wim","non-dropping-particle":"","parse-names":false,"suffix":""},{"dropping-particle":"","family":"Beevers","given":"Lindsay","non-dropping-particle":"","parse-names":false,"suffix":""},{"dropping-particle":"","family":"Leentvaar","given":"Jan","non-dropping-particle":"","parse-names":false,"suffix":""}],"container-title":"Environmental Impact Assessment Review","id":"ITEM-1","issued":{"date-parts":[["2011"]]},"title":"The importance of context in delivering effective EIA: Case studies from East Africa","type":"article-journal"},"uris":["http://www.mendeley.com/documents/?uuid=ccab9da8-9357-39c8-9038-19036df74373"]},{"id":"ITEM-2","itemData":{"DOI":"10.1016/j.eiar.2017.11.001","ISSN":"01959255","author":[{"dropping-particle":"","family":"Kolhoff","given":"Arend J.","non-dropping-particle":"","parse-names":false,"suffix":""},{"dropping-particle":"","family":"Driessen","given":"Peter P.J.","non-dropping-particle":"","parse-names":false,"suffix":""},{"dropping-particle":"","family":"Runhaar","given":"Hens A.C.","non-dropping-particle":"","parse-names":false,"suffix":""}],"container-title":"Environmental Impact Assessment Review","id":"ITEM-2","issue":"April 2016","issued":{"date-parts":[["2018"]]},"page":"98-108","title":"Overcoming low EIA performance - A diagnostic tool for the deliberate development of EIA system capacities in low and middle income countries","type":"article-journal","volume":"68"},"uris":["http://www.mendeley.com/documents/?uuid=f2be404e-df3e-4085-aa29-1aa8894d0c71"]},{"id":"ITEM-3","itemData":{"DOI":"10.1016/j.eiar.2016.02.001","ISSN":"01959255","abstract":"This paper aims to find ways to streamline the Environmental Impact Assessment (EIA) system in Thailand to increase its effectiveness by comparative analysis with China and Japan. This study is mainly focused on review, update and comparison of EIA systems between these three countries. It is intended to clarify fundamental information of the EIA systems and characteristics of the key elements of EIA processes (screening, consideration of alternatives, prediction or evaluation of impact, and public participation). Moreover, the number of the EIA projects that have been implemented in all the provinces in Thailand are presented. The results identified the similarities and differences of the EIA processes among the three aforementioned countries. The type of EIA report used in Thailand, unlike those in China and Japan, is an Environmental and Health Impact Assessment (EHIA), which is concerned with the health and environmental impacts that could occur from the project. In addition, EIA reports in Thailand are made available to the public online and the shortcomings of the process have details of barriers resulting from the projects to help future projects with reconsideration and improvements. In this study, it is pointed out that Thai's EIA system still lacks local EIA authority which needs to be empowered by implementing a set of laws or ordinance.","author":[{"dropping-particle":"","family":"Suwanteep","given":"Kultip","non-dropping-particle":"","parse-names":false,"suffix":""},{"dropping-particle":"","family":"Murayama","given":"Takehiko","non-dropping-particle":"","parse-names":false,"suffix":""},{"dropping-particle":"","family":"Nishikizawa","given":"Shigeo","non-dropping-particle":"","parse-names":false,"suffix":""}],"container-title":"Environmental Impact Assessment Review","id":"ITEM-3","issued":{"date-parts":[["2016"]]},"title":"Environmental impact assessment system in Thailand and its comparison with those in China and Japan","type":"article-journal"},"uris":["http://www.mendeley.com/documents/?uuid=f22ea30a-b8e2-32d9-a2f2-8ecb86e05428"]}],"mendeley":{"formattedCitation":"(Kolhoff et al., 2018; Marara et al., 2011; Suwanteep et al., 2016)","plainTextFormattedCitation":"(Kolhoff et al., 2018; Marara et al., 2011; Suwanteep et al., 2016)","previouslyFormattedCitation":"(Kolhoff et al., 2018; Marara et al., 2011; Suwanteep et al., 2016)"},"properties":{"noteIndex":0},"schema":"https://github.com/citation-style-language/schema/raw/master/csl-citation.json"}</w:instrText>
      </w:r>
      <w:r>
        <w:rPr>
          <w:rFonts w:ascii="Times New Roman" w:hAnsi="Times New Roman"/>
          <w:sz w:val="24"/>
          <w:szCs w:val="24"/>
        </w:rPr>
        <w:fldChar w:fldCharType="separate"/>
      </w:r>
      <w:r w:rsidRPr="00782DBE">
        <w:rPr>
          <w:rFonts w:ascii="Times New Roman" w:hAnsi="Times New Roman"/>
          <w:noProof/>
          <w:sz w:val="24"/>
          <w:szCs w:val="24"/>
        </w:rPr>
        <w:t>(Kolhoff et al., 2018; Suwanteep et al., 2016)</w:t>
      </w:r>
      <w:r>
        <w:rPr>
          <w:rFonts w:ascii="Times New Roman" w:hAnsi="Times New Roman"/>
          <w:sz w:val="24"/>
          <w:szCs w:val="24"/>
        </w:rPr>
        <w:fldChar w:fldCharType="end"/>
      </w:r>
      <w:r>
        <w:rPr>
          <w:rFonts w:ascii="Times New Roman" w:hAnsi="Times New Roman"/>
          <w:sz w:val="24"/>
          <w:szCs w:val="24"/>
        </w:rPr>
        <w:t xml:space="preserve">. It is, </w:t>
      </w:r>
      <w:r w:rsidR="004E0344">
        <w:rPr>
          <w:rFonts w:ascii="Times New Roman" w:hAnsi="Times New Roman"/>
          <w:sz w:val="24"/>
          <w:szCs w:val="24"/>
        </w:rPr>
        <w:t>therefore</w:t>
      </w:r>
      <w:r w:rsidR="00A40FFC">
        <w:rPr>
          <w:rFonts w:ascii="Times New Roman" w:hAnsi="Times New Roman"/>
          <w:sz w:val="24"/>
          <w:szCs w:val="24"/>
        </w:rPr>
        <w:t>,</w:t>
      </w:r>
      <w:r w:rsidR="004E0344">
        <w:rPr>
          <w:rFonts w:ascii="Times New Roman" w:hAnsi="Times New Roman"/>
          <w:sz w:val="24"/>
          <w:szCs w:val="24"/>
        </w:rPr>
        <w:t xml:space="preserve"> </w:t>
      </w:r>
      <w:r>
        <w:rPr>
          <w:rFonts w:ascii="Times New Roman" w:hAnsi="Times New Roman"/>
          <w:sz w:val="24"/>
          <w:szCs w:val="24"/>
        </w:rPr>
        <w:t xml:space="preserve">necessary that an EIA system is reviewed periodically in response to the dynamics of governance and context in a country. Several EIA evaluation studies have been undertaken for countries in the Middle East and North Africa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{"citationItems":[{"id":"ITEM-1","itemData":{"DOI":"10.1016/S0195-9255(02)00004-5","ISBN":"0195-9255","ISSN":"01959255","abstract":"This article reviews and compares the performance of environmental impact assessment (EIA) systems in three jurisdictions in the Middle East and North Africa region: Egypt, Turkey (Middle East) and Tunisia (North Africa). The EIA systems of these three jurisdictions are at a similar stage of development, with those of Turkey and Tunisia being the first to be introduced. EIA 'systemic measure' and 'foundation measure' criteria are used to evaluate the performance of each of the systems and to compare them. These criteria are partially based on evaluation and quality control criteria derived from a number of literature sources. The paper identifies similarities and differences in the performance of the three EIA systems and in the attempts undertaken by each of the three jurisdictions to strengthen their respective EIA systems. Recommended measures to increase the effectiveness of each of the EIA systems are also identified. © 2002 Elsevier Science Inc. All rights reserved.","author":[{"dropping-particle":"","family":"Ahmad","given":"Balsam","non-dropping-particle":"","parse-names":false,"suffix":""},{"dropping-particle":"","family":"Wood","given":"Christopher","non-dropping-particle":"","parse-names":false,"suffix":""}],"container-title":"Environmental Impact Assessment Review","id":"ITEM-1","issue":"22","issued":{"date-parts":[["2002"]]},"page":"213-234","title":"A comparative evaluation of the EIA systems in Egypt, Turkey and Tunisia","type":"article-journal"},"uris":["http://www.mendeley.com/documents/?uuid=2d9d7b64-a2bb-3608-9fd3-821146217e35"]}],"mendeley":{"formattedCitation":"(Ahmad &amp; Wood, 2002a)","manualFormatting":"(Ahmad &amp; Wood, 2002)","plainTextFormattedCitation":"(Ahmad &amp; Wood, 2002a)","previouslyFormattedCitation":"(Ahmad &amp; Wood, 2002a)"},"properties":{"noteIndex":0},"schema":"https://github.com/citation-style-language/schema/raw/master/csl-citation.json"}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(Ahmad &amp; Wood, 2002</w:t>
      </w:r>
      <w:r w:rsidRPr="008B4843">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East Africa (Marara et al., 2011), and South Africa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{"citationItems":[{"id":"ITEM-1","itemData":{"DOI":"10.3828/idpr.25.3.5","ISSN":"14746743","abstract":"Developing country environmental impact assessment (EIA) dates back to the mid-1970s and, although it varies signircantly from country to country, its performance generally falls far behind that of EIA in developed countries. It is crucial that this performance be improved in order to help to protect the environment of three-quarters of the world's land area. This paper reviews developing country EIA against a set of robust evaluation criteria to determine its strengths and weaknesses. The criteria relate to legal basis; coverage; consideration of alternatives; screening; scoping; EIA report preparation; EIA report review; decision making; impact monitoring; mitigation; consultation and participation; system monitoring; costs and benerts; and strategic environmental assessment (SEA). Developing country EIA meets few of the 14 evaluation criteria, and recommendations relating to each are advanced. Urgent generic issues relating to training and capacity building, di? usion of EIA experience, donor policy and political will also need to be addressed if EIA is to fulfil its potential.","author":[{"dropping-particle":"","family":"Wood","given":"Christopher","non-dropping-particle":"","parse-names":false,"suffix":""}],"container-title":"International Development Planning Review","id":"ITEM-1","issue":"3","issued":{"date-parts":[["2003"]]},"page":"301-321","title":"Environmental impact assessment in developing countries","type":"article-journal","volume":"25"},"uris":["http://www.mendeley.com/documents/?uuid=d55bf5b5-ded3-41ce-bf1f-3ca5746bf365"]}],"mendeley":{"formattedCitation":"(Wood, 2003)","plainTextFormattedCitation":"(Wood, 2003)","previouslyFormattedCitation":"(Wood, 2003)"},"properties":{"noteIndex":0},"schema":"https://github.com/citation-style-language/schema/raw/master/csl-citation.json"}</w:instrText>
      </w:r>
      <w:r>
        <w:rPr>
          <w:rFonts w:ascii="Times New Roman" w:hAnsi="Times New Roman"/>
          <w:sz w:val="24"/>
          <w:szCs w:val="24"/>
        </w:rPr>
        <w:fldChar w:fldCharType="separate"/>
      </w:r>
      <w:r w:rsidRPr="001A108A">
        <w:rPr>
          <w:rFonts w:ascii="Times New Roman" w:hAnsi="Times New Roman"/>
          <w:noProof/>
          <w:sz w:val="24"/>
          <w:szCs w:val="24"/>
        </w:rPr>
        <w:t>(Wood, 2003)</w:t>
      </w:r>
      <w:r>
        <w:rPr>
          <w:rFonts w:ascii="Times New Roman" w:hAnsi="Times New Roman"/>
          <w:sz w:val="24"/>
          <w:szCs w:val="24"/>
        </w:rPr>
        <w:fldChar w:fldCharType="end"/>
      </w:r>
      <w:r>
        <w:rPr>
          <w:rFonts w:ascii="Times New Roman" w:hAnsi="Times New Roman"/>
          <w:sz w:val="24"/>
          <w:szCs w:val="24"/>
        </w:rPr>
        <w:t xml:space="preserve">. More recently </w:t>
      </w:r>
      <w:r>
        <w:rPr>
          <w:rFonts w:ascii="Times New Roman" w:hAnsi="Times New Roman"/>
          <w:noProof/>
          <w:sz w:val="24"/>
          <w:szCs w:val="24"/>
        </w:rPr>
        <w:t>Rebelo and Guerreiro</w:t>
      </w:r>
      <w:r w:rsidRPr="001A108A">
        <w:rPr>
          <w:rFonts w:ascii="Times New Roman" w:hAnsi="Times New Roman"/>
          <w:noProof/>
          <w:sz w:val="24"/>
          <w:szCs w:val="24"/>
        </w:rPr>
        <w:t xml:space="preserve"> </w:t>
      </w:r>
      <w:r>
        <w:rPr>
          <w:rFonts w:ascii="Times New Roman" w:hAnsi="Times New Roman"/>
          <w:noProof/>
          <w:sz w:val="24"/>
          <w:szCs w:val="24"/>
        </w:rPr>
        <w:t>(</w:t>
      </w:r>
      <w:r w:rsidRPr="001A108A">
        <w:rPr>
          <w:rFonts w:ascii="Times New Roman" w:hAnsi="Times New Roman"/>
          <w:noProof/>
          <w:sz w:val="24"/>
          <w:szCs w:val="24"/>
        </w:rPr>
        <w:t>2017</w:t>
      </w:r>
      <w:r>
        <w:rPr>
          <w:rFonts w:ascii="Times New Roman" w:hAnsi="Times New Roman"/>
          <w:noProof/>
          <w:sz w:val="24"/>
          <w:szCs w:val="24"/>
        </w:rPr>
        <w:t>)</w:t>
      </w:r>
      <w:r>
        <w:rPr>
          <w:rFonts w:ascii="Times New Roman" w:hAnsi="Times New Roman"/>
          <w:sz w:val="24"/>
          <w:szCs w:val="24"/>
        </w:rPr>
        <w:t xml:space="preserve"> evaluated and compared EIA performance in </w:t>
      </w:r>
      <w:r w:rsidRPr="00E204F3">
        <w:rPr>
          <w:rFonts w:ascii="Times New Roman" w:hAnsi="Times New Roman"/>
          <w:sz w:val="24"/>
          <w:szCs w:val="24"/>
        </w:rPr>
        <w:t xml:space="preserve">Angola, Kenya, Tanzania, South Africa, Mozambique, and </w:t>
      </w:r>
      <w:r>
        <w:rPr>
          <w:rFonts w:ascii="Times New Roman" w:hAnsi="Times New Roman"/>
          <w:sz w:val="24"/>
          <w:szCs w:val="24"/>
        </w:rPr>
        <w:t xml:space="preserve">the European Union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{"citationItems":[{"id":"ITEM-1","itemData":{"DOI":"10.4236/jep.2017.85040","ISSN":"2152-2197","abstract":"This article provides a comparative overview of environmental impact assessment (EIA) in Mozambique, Tanzania, Kenya, South Africa, Angola, and the European Union (EU). EIA “systemic measure” and “foundation measure” criteria are used to evaluate and compare the performance of each system. In contrast to the EU, EIA must be carried out by registered experts in the African countries. In Tanzania, Mozambique and South Africa public consultation is mandatory during scoping. In Kenya and Tanzania the EIA study should contain measures to prevent health hazards, to ensure employee safety, and for emergency management. EIA system monitoring is required in Kenya, Tanzania, Mozambique, and in the EU, but not in South Africa and Angola. Financial issues, insufficient qualified personnel, and an increasing number of EIA applications undermine the capacity of competent authorities to adequately monitor these EIA systems. Consequently, training programmes increase effectiveness of EIA implementation is a common request. The African countries reviewed here have adopted EIA and integrated EIA systems into public policy despite the constraints they face. As they continue to gain experience in EIA and to revise their EIA systems, they are moving towards a more flexible system with greater public involvement and robust arrangements and practices.","author":[{"dropping-particle":"","family":"Rebelo","given":"Cristina","non-dropping-particle":"","parse-names":false,"suffix":""},{"dropping-particle":"","family":"Guerreiro","given":"José","non-dropping-particle":"","parse-names":false,"suffix":""}],"container-title":"Journal of Environmental Protection","id":"ITEM-1","issue":"05","issued":{"date-parts":[["2017"]]},"page":"603-636","title":"Comparative Evaluation of the EIA Systems in Kenya, Tanzania, Mozambique, South Africa, Angola, and the European Union","type":"article-journal","volume":"08"},"uris":["http://www.mendeley.com/documents/?uuid=30218df4-1c2d-41b7-a5a0-93569796cf1d"]}],"mendeley":{"formattedCitation":"(Rebelo &amp; Guerreiro, 2017)","plainTextFormattedCitation":"(Rebelo &amp; Guerreiro, 2017)","previouslyFormattedCitation":"(Rebelo &amp; Guerreiro, 2017)"},"properties":{"noteIndex":0},"schema":"https://github.com/citation-style-language/schema/raw/master/csl-citation.json"}</w:instrText>
      </w:r>
      <w:r>
        <w:rPr>
          <w:rFonts w:ascii="Times New Roman" w:hAnsi="Times New Roman"/>
          <w:sz w:val="24"/>
          <w:szCs w:val="24"/>
        </w:rPr>
        <w:fldChar w:fldCharType="separate"/>
      </w:r>
      <w:r w:rsidRPr="001A108A">
        <w:rPr>
          <w:rFonts w:ascii="Times New Roman" w:hAnsi="Times New Roman"/>
          <w:noProof/>
          <w:sz w:val="24"/>
          <w:szCs w:val="24"/>
        </w:rPr>
        <w:t>(Rebelo &amp; Guerreiro, 2017)</w:t>
      </w:r>
      <w:r>
        <w:rPr>
          <w:rFonts w:ascii="Times New Roman" w:hAnsi="Times New Roman"/>
          <w:sz w:val="24"/>
          <w:szCs w:val="24"/>
        </w:rPr>
        <w:fldChar w:fldCharType="end"/>
      </w:r>
      <w:r>
        <w:rPr>
          <w:rFonts w:ascii="Times New Roman" w:hAnsi="Times New Roman"/>
          <w:sz w:val="24"/>
          <w:szCs w:val="24"/>
        </w:rPr>
        <w:t xml:space="preserve">. Some of the shortcomings found in developing countries include </w:t>
      </w:r>
      <w:r w:rsidRPr="00D60DCA">
        <w:rPr>
          <w:rFonts w:ascii="Times New Roman" w:hAnsi="Times New Roman"/>
          <w:sz w:val="24"/>
          <w:szCs w:val="24"/>
        </w:rPr>
        <w:t>insufficient consideration of impacts</w:t>
      </w:r>
      <w:r w:rsidR="00C43FE9">
        <w:rPr>
          <w:rFonts w:ascii="Times New Roman" w:hAnsi="Times New Roman"/>
          <w:sz w:val="24"/>
          <w:szCs w:val="24"/>
        </w:rPr>
        <w:t xml:space="preserve"> and</w:t>
      </w:r>
      <w:r w:rsidRPr="00D60DCA">
        <w:rPr>
          <w:rFonts w:ascii="Times New Roman" w:hAnsi="Times New Roman"/>
          <w:sz w:val="24"/>
          <w:szCs w:val="24"/>
        </w:rPr>
        <w:t xml:space="preserve"> alternatives, and </w:t>
      </w:r>
      <w:r>
        <w:rPr>
          <w:rFonts w:ascii="Times New Roman" w:hAnsi="Times New Roman"/>
          <w:sz w:val="24"/>
          <w:szCs w:val="24"/>
        </w:rPr>
        <w:t xml:space="preserve">lack of </w:t>
      </w:r>
      <w:r w:rsidRPr="00D60DCA">
        <w:rPr>
          <w:rFonts w:ascii="Times New Roman" w:hAnsi="Times New Roman"/>
          <w:sz w:val="24"/>
          <w:szCs w:val="24"/>
        </w:rPr>
        <w:t>public participation</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{"citationItems":[{"id":"ITEM-1","itemData":{"DOI":"10.3828/idpr.25.3.5","ISSN":"14746743","abstract":"Developing country environmental impact assessment (EIA) dates back to the mid-1970s and, although it varies signircantly from country to country, its performance generally falls far behind that of EIA in developed countries. It is crucial that this performance be improved in order to help to protect the environment of three-quarters of the world's land area. This paper reviews developing country EIA against a set of robust evaluation criteria to determine its strengths and weaknesses. The criteria relate to legal basis; coverage; consideration of alternatives; screening; scoping; EIA report preparation; EIA report review; decision making; impact monitoring; mitigation; consultation and participation; system monitoring; costs and benerts; and strategic environmental assessment (SEA). Developing country EIA meets few of the 14 evaluation criteria, and recommendations relating to each are advanced. Urgent generic issues relating to training and capacity building, di? usion of EIA experience, donor policy and political will also need to be addressed if EIA is to fulfil its potential.","author":[{"dropping-particle":"","family":"Wood","given":"Christopher","non-dropping-particle":"","parse-names":false,"suffix":""}],"container-title":"International Development Planning Review","id":"ITEM-1","issue":"3","issued":{"date-parts":[["2003"]]},"page":"301-321","title":"Environmental impact assessment in developing countries","type":"article-journal","volume":"25"},"uris":["http://www.mendeley.com/documents/?uuid=d55bf5b5-ded3-41ce-bf1f-3ca5746bf365"]},{"id":"ITEM-2","itemData":{"DOI":"10.1016/j.eiar.2015.04.001","ISBN":"0195-9255","ISSN":"01959255","abstract":"The Environmental Impact Assessment (EIA) Directive first entered into force in the United States in 1969, and began to be implemented in many other countries by 1990. The first Environmental Impact Assessment (EIA) Directive in Turkey was published on February 7, 1993, under the Environmental Law No. 2872. The EIA Directive was revised seven times on June 23, 1997, June 6, 2002, December 16, 2003, July 17, 2008, October 3, 2013, and November 25, 2014. Several amendments were made during this process. The first EIA Directive dated 1993 was narrow in scope and its procedure was long, while the amendments in 2003, 2008, 2013, and 2014 widened the scope of the EIA, and shortened the EIA assessment procedures. In this study, the amendments to the Turkish EIA Directive were analysed, and their effect on the number of EIA decisions made was addressed. It was concluded that the uncertainties in EIA procedures were removed, procedures were shortened, and as a result, the number of EIA decisions increased thanks to the revisions made in line with harmonisation with European Union (EU) acquis.","author":[{"dropping-particle":"","family":"Bilgin","given":"Ayla","non-dropping-particle":"","parse-names":false,"suffix":""}],"container-title":"Environmental Impact Assessment Review","id":"ITEM-2","issued":{"date-parts":[["2015"]]},"title":"Analysis of the Environmental Impact Assessment (EIA) Directive and the EIA decision in Turkey","type":"article-journal"},"uris":["http://www.mendeley.com/documents/?uuid=fe9bd0bf-7aa7-32c9-b7be-ded7e090da84"]},{"id":"ITEM-3","itemData":{"DOI":"10.1016/j.envsci.2018.02.008","ISSN":"18736416","abstract":"In Turkey, as a developing country, environmental impact assessment (EIA) is a critical key for environmental protection. EIA is not regulated in Turkey by means of law, but through a decree put into force on the basis of the relevant provision of the Environmental Law. The Environmental Impact Assessment (EIA) System, which embodies the “prevention principle” of the environmental law, is an important tool for environmental protection. This tool has a private importance for Turkey since it is a developing country, and it entered the Turkish law in 1983 with the Environmental Law. Besides, the EIA Regulation, which shows the application principles, became effective in 1993. Because Turkey is a candidate for European Union (EU), the EIA Regulation has been changed due to the EU compliance procedure, and its latest version became valid in 2014. This study aims to emphasize The EIA system in Turkey to supervise the efficiency of this procedure and point the success level. According to the methods, firstly In the introduction part, general EIA concept, its importance, and some notations are mentioned. Following that, the legislation, which builds the EIA system, has been analyzed starting from the 1982 Turkish Constitution. Then, the legislation rules are explained due to the basic steps of the EIA procedure and analysed court decisions. In order to shed light upon the application, the EIA final decisions given until today, the results, and their distributions to the industries are assessed.","author":[{"dropping-particle":"","family":"Elvan","given":"Osman Devrim","non-dropping-particle":"","parse-names":false,"suffix":""}],"container-title":"Environmental Science and Policy","id":"ITEM-3","issue":"March","issued":{"date-parts":[["2018"]]},"page":"1-6","publisher":"Elsevier","title":"Analysis of environmental impact assessment practices and legislation in turkey","type":"article-journal","volume":"84"},"uris":["http://www.mendeley.com/documents/?uuid=ef29ad78-cbc7-4547-b415-d3cd9d9e59d2"]}],"mendeley":{"formattedCitation":"(Bilgin, 2015; Elvan, 2018; Wood, 2003)","plainTextFormattedCitation":"(Bilgin, 2015; Elvan, 2018; Wood, 2003)","previouslyFormattedCitation":"(Bilgin, 2015; Elvan, 2018; Wood, 2003)"},"properties":{"noteIndex":0},"schema":"https://github.com/citation-style-language/schema/raw/master/csl-citation.json"}</w:instrText>
      </w:r>
      <w:r>
        <w:rPr>
          <w:rFonts w:ascii="Times New Roman" w:hAnsi="Times New Roman"/>
          <w:sz w:val="24"/>
          <w:szCs w:val="24"/>
        </w:rPr>
        <w:fldChar w:fldCharType="separate"/>
      </w:r>
      <w:r w:rsidR="00F13286">
        <w:rPr>
          <w:rFonts w:ascii="Times New Roman" w:hAnsi="Times New Roman"/>
          <w:noProof/>
          <w:sz w:val="24"/>
          <w:szCs w:val="24"/>
        </w:rPr>
        <w:t>(</w:t>
      </w:r>
      <w:r w:rsidRPr="001A108A">
        <w:rPr>
          <w:rFonts w:ascii="Times New Roman" w:hAnsi="Times New Roman"/>
          <w:noProof/>
          <w:sz w:val="24"/>
          <w:szCs w:val="24"/>
        </w:rPr>
        <w:t>Elvan, 2018; Wood, 2003)</w:t>
      </w:r>
      <w:r>
        <w:rPr>
          <w:rFonts w:ascii="Times New Roman" w:hAnsi="Times New Roman"/>
          <w:sz w:val="24"/>
          <w:szCs w:val="24"/>
        </w:rPr>
        <w:fldChar w:fldCharType="end"/>
      </w:r>
      <w:r>
        <w:rPr>
          <w:rFonts w:ascii="Times New Roman" w:hAnsi="Times New Roman"/>
          <w:sz w:val="24"/>
          <w:szCs w:val="24"/>
        </w:rPr>
        <w:t xml:space="preserve">. </w:t>
      </w:r>
    </w:p>
    <w:p w:rsidR="00144AAF" w:rsidRDefault="006B01F0" w:rsidP="00144AAF">
      <w:pPr>
        <w:spacing w:line="360" w:lineRule="auto"/>
        <w:jc w:val="both"/>
        <w:rPr>
          <w:rFonts w:ascii="Times New Roman" w:hAnsi="Times New Roman"/>
          <w:sz w:val="24"/>
          <w:szCs w:val="24"/>
        </w:rPr>
      </w:pPr>
      <w:r>
        <w:rPr>
          <w:rFonts w:ascii="Times New Roman" w:hAnsi="Times New Roman"/>
          <w:sz w:val="24"/>
          <w:szCs w:val="24"/>
        </w:rPr>
        <w:t xml:space="preserve">EIA in Namibia was introduced in 2007 through the promulgation of the Environmental Management Act (EMA, No. 7, 2007) (GRN, 2007). It was later followed by the EIA Regulations in Notice No 30, 2012 (GRN, 2012). Although the system has been in place for about a decade, no formal system </w:t>
      </w:r>
      <w:r w:rsidR="004E0344">
        <w:rPr>
          <w:rFonts w:ascii="Times New Roman" w:hAnsi="Times New Roman"/>
          <w:sz w:val="24"/>
          <w:szCs w:val="24"/>
        </w:rPr>
        <w:t xml:space="preserve">review and </w:t>
      </w:r>
      <w:r>
        <w:rPr>
          <w:rFonts w:ascii="Times New Roman" w:hAnsi="Times New Roman"/>
          <w:sz w:val="24"/>
          <w:szCs w:val="24"/>
        </w:rPr>
        <w:t xml:space="preserve">monitoring </w:t>
      </w:r>
      <w:r w:rsidR="004E0344">
        <w:rPr>
          <w:rFonts w:ascii="Times New Roman" w:hAnsi="Times New Roman"/>
          <w:sz w:val="24"/>
          <w:szCs w:val="24"/>
        </w:rPr>
        <w:t>ha</w:t>
      </w:r>
      <w:r w:rsidR="00A40FFC">
        <w:rPr>
          <w:rFonts w:ascii="Times New Roman" w:hAnsi="Times New Roman"/>
          <w:sz w:val="24"/>
          <w:szCs w:val="24"/>
        </w:rPr>
        <w:t>ve</w:t>
      </w:r>
      <w:r w:rsidR="004E0344">
        <w:rPr>
          <w:rFonts w:ascii="Times New Roman" w:hAnsi="Times New Roman"/>
          <w:sz w:val="24"/>
          <w:szCs w:val="24"/>
        </w:rPr>
        <w:t xml:space="preserve"> been </w:t>
      </w:r>
      <w:r>
        <w:rPr>
          <w:rFonts w:ascii="Times New Roman" w:hAnsi="Times New Roman"/>
          <w:sz w:val="24"/>
          <w:szCs w:val="24"/>
        </w:rPr>
        <w:t>undertaken to date.</w:t>
      </w:r>
      <w:r w:rsidRPr="00D52BC4">
        <w:rPr>
          <w:rFonts w:ascii="Times New Roman" w:hAnsi="Times New Roman"/>
          <w:sz w:val="24"/>
          <w:szCs w:val="24"/>
        </w:rPr>
        <w:t xml:space="preserve"> </w:t>
      </w:r>
      <w:r>
        <w:rPr>
          <w:rFonts w:ascii="Times New Roman" w:hAnsi="Times New Roman"/>
          <w:sz w:val="24"/>
          <w:szCs w:val="24"/>
        </w:rPr>
        <w:t xml:space="preserve">The Government of Namibia </w:t>
      </w:r>
      <w:r w:rsidR="00D02A03">
        <w:rPr>
          <w:rFonts w:ascii="Times New Roman" w:hAnsi="Times New Roman"/>
          <w:sz w:val="24"/>
          <w:szCs w:val="24"/>
        </w:rPr>
        <w:t xml:space="preserve">recently completed </w:t>
      </w:r>
      <w:r>
        <w:rPr>
          <w:rFonts w:ascii="Times New Roman" w:hAnsi="Times New Roman"/>
          <w:sz w:val="24"/>
          <w:szCs w:val="24"/>
        </w:rPr>
        <w:t>a consultation process for reviewing and amending EIA legislation</w:t>
      </w:r>
      <w:r w:rsidR="00D02A03">
        <w:rPr>
          <w:rFonts w:ascii="Times New Roman" w:hAnsi="Times New Roman"/>
          <w:sz w:val="24"/>
          <w:szCs w:val="24"/>
        </w:rPr>
        <w:t>.</w:t>
      </w:r>
      <w:r>
        <w:rPr>
          <w:rFonts w:ascii="Times New Roman" w:hAnsi="Times New Roman"/>
          <w:sz w:val="24"/>
          <w:szCs w:val="24"/>
        </w:rPr>
        <w:t xml:space="preserve"> </w:t>
      </w:r>
      <w:r w:rsidR="00D02A03">
        <w:rPr>
          <w:rFonts w:ascii="Times New Roman" w:hAnsi="Times New Roman"/>
          <w:sz w:val="24"/>
          <w:szCs w:val="24"/>
        </w:rPr>
        <w:t>T</w:t>
      </w:r>
      <w:r>
        <w:rPr>
          <w:rFonts w:ascii="Times New Roman" w:hAnsi="Times New Roman"/>
          <w:sz w:val="24"/>
          <w:szCs w:val="24"/>
        </w:rPr>
        <w:t xml:space="preserve">his study is therefore timely in bringing useful evidence </w:t>
      </w:r>
      <w:r w:rsidR="00D02A03">
        <w:rPr>
          <w:rFonts w:ascii="Times New Roman" w:hAnsi="Times New Roman"/>
          <w:sz w:val="24"/>
          <w:szCs w:val="24"/>
        </w:rPr>
        <w:t xml:space="preserve">grounded in the perceptions of different key stakeholder groups, </w:t>
      </w:r>
      <w:r>
        <w:rPr>
          <w:rFonts w:ascii="Times New Roman" w:hAnsi="Times New Roman"/>
          <w:sz w:val="24"/>
          <w:szCs w:val="24"/>
        </w:rPr>
        <w:t xml:space="preserve">on the functioning and implementation </w:t>
      </w:r>
      <w:r w:rsidR="00D02A03">
        <w:rPr>
          <w:rFonts w:ascii="Times New Roman" w:hAnsi="Times New Roman"/>
          <w:sz w:val="24"/>
          <w:szCs w:val="24"/>
        </w:rPr>
        <w:t>gaps in</w:t>
      </w:r>
      <w:r>
        <w:rPr>
          <w:rFonts w:ascii="Times New Roman" w:hAnsi="Times New Roman"/>
          <w:sz w:val="24"/>
          <w:szCs w:val="24"/>
        </w:rPr>
        <w:t xml:space="preserve"> the EIA legislation, </w:t>
      </w:r>
      <w:r w:rsidR="00D02A03">
        <w:rPr>
          <w:rFonts w:ascii="Times New Roman" w:hAnsi="Times New Roman"/>
          <w:sz w:val="24"/>
          <w:szCs w:val="24"/>
        </w:rPr>
        <w:t xml:space="preserve">which can now be used to develop appropriate guidelines, once the legislation is promulgated. </w:t>
      </w:r>
      <w:r>
        <w:rPr>
          <w:rFonts w:ascii="Times New Roman" w:hAnsi="Times New Roman"/>
          <w:sz w:val="24"/>
          <w:szCs w:val="24"/>
        </w:rPr>
        <w:t>At an institutional level, system review and monitoring is a critical step in obtaining feedback and a means of improving processes and mechanisms</w:t>
      </w:r>
      <w:r w:rsidR="00315B7C">
        <w:rPr>
          <w:rFonts w:ascii="Times New Roman" w:hAnsi="Times New Roman"/>
          <w:sz w:val="24"/>
          <w:szCs w:val="24"/>
        </w:rPr>
        <w:t xml:space="preserve"> and there is</w:t>
      </w:r>
      <w:r>
        <w:rPr>
          <w:rFonts w:ascii="Times New Roman" w:hAnsi="Times New Roman"/>
          <w:sz w:val="24"/>
          <w:szCs w:val="24"/>
        </w:rPr>
        <w:t xml:space="preserve"> also limited research </w:t>
      </w:r>
      <w:r w:rsidR="00315B7C">
        <w:rPr>
          <w:rFonts w:ascii="Times New Roman" w:hAnsi="Times New Roman"/>
          <w:sz w:val="24"/>
          <w:szCs w:val="24"/>
        </w:rPr>
        <w:t xml:space="preserve">in that area. </w:t>
      </w:r>
      <w:r>
        <w:rPr>
          <w:rFonts w:ascii="Times New Roman" w:hAnsi="Times New Roman"/>
          <w:sz w:val="24"/>
          <w:szCs w:val="24"/>
        </w:rPr>
        <w:t>Th</w:t>
      </w:r>
      <w:r w:rsidR="00A40FFC">
        <w:rPr>
          <w:rFonts w:ascii="Times New Roman" w:hAnsi="Times New Roman"/>
          <w:sz w:val="24"/>
          <w:szCs w:val="24"/>
        </w:rPr>
        <w:t>e</w:t>
      </w:r>
      <w:r>
        <w:rPr>
          <w:rFonts w:ascii="Times New Roman" w:hAnsi="Times New Roman"/>
          <w:sz w:val="24"/>
          <w:szCs w:val="24"/>
        </w:rPr>
        <w:t xml:space="preserve"> aim of this study is </w:t>
      </w:r>
      <w:r w:rsidR="004E0344">
        <w:rPr>
          <w:rFonts w:ascii="Times New Roman" w:hAnsi="Times New Roman"/>
          <w:sz w:val="24"/>
          <w:szCs w:val="24"/>
        </w:rPr>
        <w:t xml:space="preserve">therefore </w:t>
      </w:r>
      <w:r>
        <w:rPr>
          <w:rFonts w:ascii="Times New Roman" w:hAnsi="Times New Roman"/>
          <w:sz w:val="24"/>
          <w:szCs w:val="24"/>
        </w:rPr>
        <w:t>to review the procedural performance</w:t>
      </w:r>
      <w:r w:rsidR="00941AAE">
        <w:rPr>
          <w:rFonts w:ascii="Times New Roman" w:hAnsi="Times New Roman"/>
          <w:sz w:val="24"/>
          <w:szCs w:val="24"/>
        </w:rPr>
        <w:t xml:space="preserve"> and effectiveness</w:t>
      </w:r>
      <w:r>
        <w:rPr>
          <w:rFonts w:ascii="Times New Roman" w:hAnsi="Times New Roman"/>
          <w:sz w:val="24"/>
          <w:szCs w:val="24"/>
        </w:rPr>
        <w:t xml:space="preserve"> of the Namibia EIA system. It answers two questions: (a) </w:t>
      </w:r>
      <w:r w:rsidR="004362D4">
        <w:rPr>
          <w:rFonts w:ascii="Times New Roman" w:hAnsi="Times New Roman"/>
          <w:sz w:val="24"/>
          <w:szCs w:val="24"/>
        </w:rPr>
        <w:t>what</w:t>
      </w:r>
      <w:r>
        <w:rPr>
          <w:rFonts w:ascii="Times New Roman" w:hAnsi="Times New Roman"/>
          <w:sz w:val="24"/>
          <w:szCs w:val="24"/>
        </w:rPr>
        <w:t xml:space="preserve"> is the current practice of EIA in Namibia and to what extent does </w:t>
      </w:r>
      <w:r w:rsidR="00C34EE3">
        <w:rPr>
          <w:rFonts w:ascii="Times New Roman" w:hAnsi="Times New Roman"/>
          <w:sz w:val="24"/>
          <w:szCs w:val="24"/>
        </w:rPr>
        <w:t>the EIA system</w:t>
      </w:r>
      <w:r>
        <w:rPr>
          <w:rFonts w:ascii="Times New Roman" w:hAnsi="Times New Roman"/>
          <w:sz w:val="24"/>
          <w:szCs w:val="24"/>
        </w:rPr>
        <w:t xml:space="preserve"> conform to international best practice</w:t>
      </w:r>
      <w:r w:rsidR="00C34EE3">
        <w:rPr>
          <w:rFonts w:ascii="Times New Roman" w:hAnsi="Times New Roman"/>
          <w:sz w:val="24"/>
          <w:szCs w:val="24"/>
        </w:rPr>
        <w:t>s and incorporate emerging environmental issues</w:t>
      </w:r>
      <w:r>
        <w:rPr>
          <w:rFonts w:ascii="Times New Roman" w:hAnsi="Times New Roman"/>
          <w:sz w:val="24"/>
          <w:szCs w:val="24"/>
        </w:rPr>
        <w:t xml:space="preserve">? </w:t>
      </w:r>
      <w:r w:rsidR="004362D4">
        <w:rPr>
          <w:rFonts w:ascii="Times New Roman" w:hAnsi="Times New Roman"/>
          <w:sz w:val="24"/>
          <w:szCs w:val="24"/>
        </w:rPr>
        <w:t>And</w:t>
      </w:r>
      <w:r>
        <w:rPr>
          <w:rFonts w:ascii="Times New Roman" w:hAnsi="Times New Roman"/>
          <w:sz w:val="24"/>
          <w:szCs w:val="24"/>
        </w:rPr>
        <w:t xml:space="preserve"> (b) </w:t>
      </w:r>
      <w:r w:rsidR="004362D4">
        <w:rPr>
          <w:rFonts w:ascii="Times New Roman" w:hAnsi="Times New Roman"/>
          <w:sz w:val="24"/>
          <w:szCs w:val="24"/>
        </w:rPr>
        <w:t>what</w:t>
      </w:r>
      <w:r>
        <w:rPr>
          <w:rFonts w:ascii="Times New Roman" w:hAnsi="Times New Roman"/>
          <w:sz w:val="24"/>
          <w:szCs w:val="24"/>
        </w:rPr>
        <w:t xml:space="preserve"> are the strength</w:t>
      </w:r>
      <w:r w:rsidR="00C43FE9">
        <w:rPr>
          <w:rFonts w:ascii="Times New Roman" w:hAnsi="Times New Roman"/>
          <w:sz w:val="24"/>
          <w:szCs w:val="24"/>
        </w:rPr>
        <w:t>s</w:t>
      </w:r>
      <w:r>
        <w:rPr>
          <w:rFonts w:ascii="Times New Roman" w:hAnsi="Times New Roman"/>
          <w:sz w:val="24"/>
          <w:szCs w:val="24"/>
        </w:rPr>
        <w:t xml:space="preserve"> and weaknesses in the implementation of </w:t>
      </w:r>
      <w:r w:rsidR="004E0344">
        <w:rPr>
          <w:rFonts w:ascii="Times New Roman" w:hAnsi="Times New Roman"/>
          <w:sz w:val="24"/>
          <w:szCs w:val="24"/>
        </w:rPr>
        <w:t xml:space="preserve">the </w:t>
      </w:r>
      <w:r>
        <w:rPr>
          <w:rFonts w:ascii="Times New Roman" w:hAnsi="Times New Roman"/>
          <w:sz w:val="24"/>
          <w:szCs w:val="24"/>
        </w:rPr>
        <w:t xml:space="preserve">EIA system in Namibia? </w:t>
      </w:r>
    </w:p>
    <w:p w:rsidR="00E560E9" w:rsidRPr="007B58C2" w:rsidRDefault="006B01F0" w:rsidP="007B58C2">
      <w:pPr>
        <w:pStyle w:val="ListParagraph"/>
        <w:numPr>
          <w:ilvl w:val="0"/>
          <w:numId w:val="17"/>
        </w:numPr>
        <w:spacing w:line="360" w:lineRule="auto"/>
        <w:jc w:val="both"/>
        <w:rPr>
          <w:rFonts w:ascii="Times New Roman" w:hAnsi="Times New Roman"/>
          <w:b/>
          <w:sz w:val="24"/>
          <w:szCs w:val="24"/>
        </w:rPr>
      </w:pPr>
      <w:r>
        <w:rPr>
          <w:rFonts w:ascii="Times New Roman" w:hAnsi="Times New Roman"/>
          <w:b/>
          <w:sz w:val="24"/>
          <w:szCs w:val="24"/>
        </w:rPr>
        <w:lastRenderedPageBreak/>
        <w:t>Evaluation criteria</w:t>
      </w:r>
    </w:p>
    <w:p w:rsidR="00137A11" w:rsidRDefault="006B01F0" w:rsidP="00A07624">
      <w:pPr>
        <w:pStyle w:val="ListParagraph"/>
        <w:spacing w:before="240" w:line="360" w:lineRule="auto"/>
        <w:ind w:left="0"/>
        <w:jc w:val="both"/>
        <w:rPr>
          <w:rFonts w:ascii="Times New Roman" w:hAnsi="Times New Roman"/>
          <w:sz w:val="24"/>
          <w:szCs w:val="24"/>
        </w:rPr>
      </w:pPr>
      <w:r>
        <w:rPr>
          <w:rFonts w:ascii="Times New Roman" w:hAnsi="Times New Roman"/>
          <w:sz w:val="24"/>
          <w:szCs w:val="24"/>
        </w:rPr>
        <w:t>The evaluation criteria for the analysis of the EIA system of Namibia</w:t>
      </w:r>
      <w:r w:rsidR="00340518">
        <w:rPr>
          <w:rFonts w:ascii="Times New Roman" w:hAnsi="Times New Roman"/>
          <w:sz w:val="24"/>
          <w:szCs w:val="24"/>
        </w:rPr>
        <w:t xml:space="preserve"> used in this study </w:t>
      </w:r>
      <w:r w:rsidR="005B4CE6">
        <w:rPr>
          <w:rFonts w:ascii="Times New Roman" w:hAnsi="Times New Roman"/>
          <w:sz w:val="24"/>
          <w:szCs w:val="24"/>
        </w:rPr>
        <w:t>(Figure</w:t>
      </w:r>
      <w:r w:rsidR="00C43FE9">
        <w:rPr>
          <w:rFonts w:ascii="Times New Roman" w:hAnsi="Times New Roman"/>
          <w:sz w:val="24"/>
          <w:szCs w:val="24"/>
        </w:rPr>
        <w:t xml:space="preserve"> 1) were</w:t>
      </w:r>
      <w:r w:rsidR="00340518">
        <w:rPr>
          <w:rFonts w:ascii="Times New Roman" w:hAnsi="Times New Roman"/>
          <w:sz w:val="24"/>
          <w:szCs w:val="24"/>
        </w:rPr>
        <w:t xml:space="preserve"> designed according to </w:t>
      </w:r>
      <w:r>
        <w:rPr>
          <w:rFonts w:ascii="Times New Roman" w:hAnsi="Times New Roman"/>
          <w:sz w:val="24"/>
          <w:szCs w:val="24"/>
        </w:rPr>
        <w:t>Ahmad and Wood (2002), Wood (2003) and Fuller (1999). Ahmad and Wood's (2002) and Wood</w:t>
      </w:r>
      <w:r w:rsidR="004572C0">
        <w:rPr>
          <w:rFonts w:ascii="Times New Roman" w:hAnsi="Times New Roman"/>
          <w:sz w:val="24"/>
          <w:szCs w:val="24"/>
        </w:rPr>
        <w:t>’s</w:t>
      </w:r>
      <w:r w:rsidR="00340518">
        <w:rPr>
          <w:rFonts w:ascii="Times New Roman" w:hAnsi="Times New Roman"/>
          <w:sz w:val="24"/>
          <w:szCs w:val="24"/>
        </w:rPr>
        <w:t xml:space="preserve"> (2003) model comprise</w:t>
      </w:r>
      <w:r>
        <w:rPr>
          <w:rFonts w:ascii="Times New Roman" w:hAnsi="Times New Roman"/>
          <w:sz w:val="24"/>
          <w:szCs w:val="24"/>
        </w:rPr>
        <w:t xml:space="preserve"> criteria to measure the conformance and performance of the EIA system</w:t>
      </w:r>
      <w:r w:rsidR="00340518">
        <w:rPr>
          <w:rFonts w:ascii="Times New Roman" w:hAnsi="Times New Roman"/>
          <w:sz w:val="24"/>
          <w:szCs w:val="24"/>
        </w:rPr>
        <w:t>,</w:t>
      </w:r>
      <w:r>
        <w:rPr>
          <w:rFonts w:ascii="Times New Roman" w:hAnsi="Times New Roman"/>
          <w:sz w:val="24"/>
          <w:szCs w:val="24"/>
        </w:rPr>
        <w:t xml:space="preserve"> while Fuller’s (1999) model adds structure by grouping the criteria into systemic and foundational measures. S</w:t>
      </w:r>
      <w:r w:rsidRPr="00866E95">
        <w:rPr>
          <w:rFonts w:ascii="Times New Roman" w:hAnsi="Times New Roman"/>
          <w:sz w:val="24"/>
          <w:szCs w:val="24"/>
        </w:rPr>
        <w:t xml:space="preserve">ystemic measures </w:t>
      </w:r>
      <w:r>
        <w:rPr>
          <w:rFonts w:ascii="Times New Roman" w:hAnsi="Times New Roman"/>
          <w:sz w:val="24"/>
          <w:szCs w:val="24"/>
        </w:rPr>
        <w:t>consist of</w:t>
      </w:r>
      <w:r w:rsidRPr="00866E95">
        <w:rPr>
          <w:rFonts w:ascii="Times New Roman" w:hAnsi="Times New Roman"/>
          <w:sz w:val="24"/>
          <w:szCs w:val="24"/>
        </w:rPr>
        <w:t xml:space="preserve"> features of EIA designed to deliver quality assurance in practice and admi</w:t>
      </w:r>
      <w:r>
        <w:rPr>
          <w:rFonts w:ascii="Times New Roman" w:hAnsi="Times New Roman"/>
          <w:sz w:val="24"/>
          <w:szCs w:val="24"/>
        </w:rPr>
        <w:t>nistration including the</w:t>
      </w:r>
      <w:r w:rsidRPr="00866E95">
        <w:rPr>
          <w:rFonts w:ascii="Times New Roman" w:hAnsi="Times New Roman"/>
          <w:sz w:val="24"/>
          <w:szCs w:val="24"/>
        </w:rPr>
        <w:t xml:space="preserve"> </w:t>
      </w:r>
      <w:r>
        <w:rPr>
          <w:rFonts w:ascii="Times New Roman" w:hAnsi="Times New Roman"/>
          <w:sz w:val="24"/>
          <w:szCs w:val="24"/>
        </w:rPr>
        <w:t>legal, administrative, and procedural frameworks,</w:t>
      </w:r>
      <w:r w:rsidRPr="00866E95">
        <w:rPr>
          <w:rFonts w:ascii="Times New Roman" w:hAnsi="Times New Roman"/>
          <w:sz w:val="24"/>
          <w:szCs w:val="24"/>
        </w:rPr>
        <w:t xml:space="preserve"> </w:t>
      </w:r>
      <w:r>
        <w:rPr>
          <w:rFonts w:ascii="Times New Roman" w:hAnsi="Times New Roman"/>
          <w:sz w:val="24"/>
          <w:szCs w:val="24"/>
        </w:rPr>
        <w:t>while f</w:t>
      </w:r>
      <w:r w:rsidRPr="00866E95">
        <w:rPr>
          <w:rFonts w:ascii="Times New Roman" w:hAnsi="Times New Roman"/>
          <w:sz w:val="24"/>
          <w:szCs w:val="24"/>
        </w:rPr>
        <w:t>oundation</w:t>
      </w:r>
      <w:r w:rsidR="00C43FE9">
        <w:rPr>
          <w:rFonts w:ascii="Times New Roman" w:hAnsi="Times New Roman"/>
          <w:sz w:val="24"/>
          <w:szCs w:val="24"/>
        </w:rPr>
        <w:t xml:space="preserve">al </w:t>
      </w:r>
      <w:r w:rsidRPr="00866E95">
        <w:rPr>
          <w:rFonts w:ascii="Times New Roman" w:hAnsi="Times New Roman"/>
          <w:sz w:val="24"/>
          <w:szCs w:val="24"/>
        </w:rPr>
        <w:t xml:space="preserve">measures </w:t>
      </w:r>
      <w:r>
        <w:rPr>
          <w:rFonts w:ascii="Times New Roman" w:hAnsi="Times New Roman"/>
          <w:sz w:val="24"/>
          <w:szCs w:val="24"/>
        </w:rPr>
        <w:t>consider</w:t>
      </w:r>
      <w:r w:rsidRPr="00866E95">
        <w:rPr>
          <w:rFonts w:ascii="Times New Roman" w:hAnsi="Times New Roman"/>
          <w:sz w:val="24"/>
          <w:szCs w:val="24"/>
        </w:rPr>
        <w:t xml:space="preserve"> actions to improve the effectiveness of </w:t>
      </w:r>
      <w:r w:rsidR="00A40FFC">
        <w:rPr>
          <w:rFonts w:ascii="Times New Roman" w:hAnsi="Times New Roman"/>
          <w:sz w:val="24"/>
          <w:szCs w:val="24"/>
        </w:rPr>
        <w:t xml:space="preserve">the </w:t>
      </w:r>
      <w:r w:rsidRPr="00866E95">
        <w:rPr>
          <w:rFonts w:ascii="Times New Roman" w:hAnsi="Times New Roman"/>
          <w:sz w:val="24"/>
          <w:szCs w:val="24"/>
        </w:rPr>
        <w:t xml:space="preserve">EIA system including </w:t>
      </w:r>
      <w:r w:rsidRPr="00D53802">
        <w:rPr>
          <w:rFonts w:ascii="Times New Roman" w:hAnsi="Times New Roman"/>
          <w:sz w:val="24"/>
          <w:szCs w:val="24"/>
        </w:rPr>
        <w:t>the existen</w:t>
      </w:r>
      <w:r>
        <w:rPr>
          <w:rFonts w:ascii="Times New Roman" w:hAnsi="Times New Roman"/>
          <w:sz w:val="24"/>
          <w:szCs w:val="24"/>
        </w:rPr>
        <w:t xml:space="preserve">ce of EIA guidelines, training opportunities, </w:t>
      </w:r>
      <w:r w:rsidRPr="00D53802">
        <w:rPr>
          <w:rFonts w:ascii="Times New Roman" w:hAnsi="Times New Roman"/>
          <w:sz w:val="24"/>
          <w:szCs w:val="24"/>
        </w:rPr>
        <w:t xml:space="preserve">and </w:t>
      </w:r>
      <w:r>
        <w:rPr>
          <w:rFonts w:ascii="Times New Roman" w:hAnsi="Times New Roman"/>
          <w:sz w:val="24"/>
          <w:szCs w:val="24"/>
        </w:rPr>
        <w:t>the certification of professionals</w:t>
      </w:r>
      <w:r w:rsidRPr="00D53802">
        <w:rPr>
          <w:rFonts w:ascii="Times New Roman" w:hAnsi="Times New Roman"/>
          <w:sz w:val="24"/>
          <w:szCs w:val="24"/>
        </w:rPr>
        <w:t>.</w:t>
      </w:r>
      <w:r>
        <w:rPr>
          <w:rFonts w:ascii="Times New Roman" w:hAnsi="Times New Roman"/>
          <w:sz w:val="24"/>
          <w:szCs w:val="24"/>
        </w:rPr>
        <w:t xml:space="preserve"> Th</w:t>
      </w:r>
      <w:r w:rsidR="00340518">
        <w:rPr>
          <w:rFonts w:ascii="Times New Roman" w:hAnsi="Times New Roman"/>
          <w:sz w:val="24"/>
          <w:szCs w:val="24"/>
        </w:rPr>
        <w:t>ese evaluation criteria</w:t>
      </w:r>
      <w:r>
        <w:rPr>
          <w:rFonts w:ascii="Times New Roman" w:hAnsi="Times New Roman"/>
          <w:sz w:val="24"/>
          <w:szCs w:val="24"/>
        </w:rPr>
        <w:t xml:space="preserve"> focus on the requirements and operation of the EIA system at a national level. </w:t>
      </w:r>
    </w:p>
    <w:p w:rsidR="00FD534F" w:rsidRPr="00462D82" w:rsidRDefault="006B01F0" w:rsidP="00FD534F">
      <w:pPr>
        <w:autoSpaceDE w:val="0"/>
        <w:autoSpaceDN w:val="0"/>
        <w:adjustRightInd w:val="0"/>
        <w:spacing w:after="0" w:line="360" w:lineRule="auto"/>
        <w:rPr>
          <w:rFonts w:ascii="Times New Roman" w:hAnsi="Times New Roman"/>
          <w:sz w:val="24"/>
          <w:szCs w:val="24"/>
        </w:rPr>
      </w:pPr>
      <w:r>
        <w:rPr>
          <w:rFonts w:ascii="Times New Roman" w:hAnsi="Times New Roman"/>
          <w:b/>
          <w:sz w:val="24"/>
          <w:szCs w:val="24"/>
        </w:rPr>
        <w:t>Figure</w:t>
      </w:r>
      <w:r w:rsidRPr="00462D82">
        <w:rPr>
          <w:rFonts w:ascii="Times New Roman" w:hAnsi="Times New Roman"/>
          <w:b/>
          <w:sz w:val="24"/>
          <w:szCs w:val="24"/>
        </w:rPr>
        <w:t xml:space="preserve"> 1</w:t>
      </w:r>
      <w:r w:rsidRPr="00462D82">
        <w:rPr>
          <w:rFonts w:ascii="Times New Roman" w:hAnsi="Times New Roman"/>
          <w:sz w:val="24"/>
          <w:szCs w:val="24"/>
        </w:rPr>
        <w:t xml:space="preserve">: EIA evaluation criteria (adapted from Ahmad &amp; Wood, 2002; </w:t>
      </w:r>
      <w:r>
        <w:rPr>
          <w:rFonts w:ascii="Times New Roman" w:hAnsi="Times New Roman"/>
          <w:sz w:val="24"/>
          <w:szCs w:val="24"/>
        </w:rPr>
        <w:t xml:space="preserve">Wood, 2003; </w:t>
      </w:r>
      <w:r w:rsidRPr="00462D82">
        <w:rPr>
          <w:rFonts w:ascii="Times New Roman" w:hAnsi="Times New Roman"/>
          <w:sz w:val="24"/>
          <w:szCs w:val="24"/>
        </w:rPr>
        <w:t>Fuller, 1999)</w:t>
      </w:r>
    </w:p>
    <w:tbl>
      <w:tblPr>
        <w:tblW w:w="960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0"/>
      </w:tblGrid>
      <w:tr w:rsidR="00F80076" w:rsidTr="00D23BAB">
        <w:trPr>
          <w:trHeight w:val="400"/>
        </w:trPr>
        <w:tc>
          <w:tcPr>
            <w:tcW w:w="9600" w:type="dxa"/>
            <w:tcBorders>
              <w:bottom w:val="single" w:sz="4" w:space="0" w:color="auto"/>
            </w:tcBorders>
          </w:tcPr>
          <w:p w:rsidR="00FD534F" w:rsidRPr="00152898" w:rsidRDefault="006B01F0" w:rsidP="00D23BAB">
            <w:pPr>
              <w:autoSpaceDE w:val="0"/>
              <w:autoSpaceDN w:val="0"/>
              <w:adjustRightInd w:val="0"/>
              <w:spacing w:after="0" w:line="240" w:lineRule="auto"/>
              <w:ind w:left="60"/>
              <w:rPr>
                <w:rFonts w:ascii="Times New Roman" w:hAnsi="Times New Roman"/>
                <w:b/>
                <w:sz w:val="20"/>
                <w:szCs w:val="20"/>
              </w:rPr>
            </w:pPr>
            <w:r w:rsidRPr="00152898">
              <w:rPr>
                <w:rFonts w:ascii="Times New Roman" w:hAnsi="Times New Roman"/>
                <w:b/>
                <w:sz w:val="20"/>
                <w:szCs w:val="20"/>
              </w:rPr>
              <w:t>Systemic measures</w:t>
            </w:r>
          </w:p>
          <w:p w:rsidR="00FD534F" w:rsidRDefault="006B01F0" w:rsidP="00D23BAB">
            <w:pPr>
              <w:autoSpaceDE w:val="0"/>
              <w:autoSpaceDN w:val="0"/>
              <w:adjustRightInd w:val="0"/>
              <w:spacing w:after="0" w:line="240" w:lineRule="auto"/>
              <w:ind w:left="60"/>
              <w:rPr>
                <w:rFonts w:ascii="Times New Roman" w:hAnsi="Times New Roman"/>
                <w:b/>
                <w:sz w:val="20"/>
                <w:szCs w:val="20"/>
              </w:rPr>
            </w:pPr>
            <w:r w:rsidRPr="00152898">
              <w:rPr>
                <w:rFonts w:ascii="Times New Roman" w:hAnsi="Times New Roman"/>
                <w:sz w:val="20"/>
                <w:szCs w:val="20"/>
              </w:rPr>
              <w:t>(1</w:t>
            </w:r>
            <w:r w:rsidRPr="00152898">
              <w:rPr>
                <w:rFonts w:ascii="Times New Roman" w:hAnsi="Times New Roman"/>
                <w:i/>
                <w:sz w:val="20"/>
                <w:szCs w:val="20"/>
              </w:rPr>
              <w:t>) EIA legislation</w:t>
            </w:r>
          </w:p>
        </w:tc>
      </w:tr>
      <w:tr w:rsidR="00F80076" w:rsidTr="00D23BAB">
        <w:trPr>
          <w:trHeight w:val="900"/>
        </w:trPr>
        <w:tc>
          <w:tcPr>
            <w:tcW w:w="9600" w:type="dxa"/>
            <w:tcBorders>
              <w:bottom w:val="single" w:sz="4" w:space="0" w:color="auto"/>
            </w:tcBorders>
          </w:tcPr>
          <w:p w:rsidR="00FD534F" w:rsidRPr="00152898" w:rsidRDefault="006B01F0" w:rsidP="00D23BAB">
            <w:pPr>
              <w:autoSpaceDE w:val="0"/>
              <w:autoSpaceDN w:val="0"/>
              <w:adjustRightInd w:val="0"/>
              <w:spacing w:after="0" w:line="240" w:lineRule="auto"/>
              <w:ind w:left="60"/>
              <w:rPr>
                <w:rFonts w:ascii="Times New Roman" w:hAnsi="Times New Roman"/>
                <w:sz w:val="20"/>
                <w:szCs w:val="20"/>
              </w:rPr>
            </w:pPr>
            <w:r w:rsidRPr="00152898">
              <w:rPr>
                <w:rFonts w:ascii="Times New Roman" w:hAnsi="Times New Roman"/>
                <w:sz w:val="20"/>
                <w:szCs w:val="20"/>
              </w:rPr>
              <w:t>1.1 Legal provisions for EIA</w:t>
            </w:r>
          </w:p>
          <w:p w:rsidR="00FD534F" w:rsidRPr="00152898" w:rsidRDefault="006B01F0" w:rsidP="00D23BAB">
            <w:pPr>
              <w:autoSpaceDE w:val="0"/>
              <w:autoSpaceDN w:val="0"/>
              <w:adjustRightInd w:val="0"/>
              <w:spacing w:after="0" w:line="240" w:lineRule="auto"/>
              <w:ind w:left="60"/>
              <w:rPr>
                <w:rFonts w:ascii="Times New Roman" w:hAnsi="Times New Roman"/>
                <w:sz w:val="20"/>
                <w:szCs w:val="20"/>
              </w:rPr>
            </w:pPr>
            <w:r w:rsidRPr="00152898">
              <w:rPr>
                <w:rFonts w:ascii="Times New Roman" w:hAnsi="Times New Roman"/>
                <w:sz w:val="20"/>
                <w:szCs w:val="20"/>
              </w:rPr>
              <w:t>1.2 Provisions for appeal by the developer or the public against decisions</w:t>
            </w:r>
          </w:p>
          <w:p w:rsidR="00FD534F" w:rsidRPr="00152898" w:rsidRDefault="006B01F0" w:rsidP="00D23BAB">
            <w:pPr>
              <w:autoSpaceDE w:val="0"/>
              <w:autoSpaceDN w:val="0"/>
              <w:adjustRightInd w:val="0"/>
              <w:spacing w:after="0" w:line="240" w:lineRule="auto"/>
              <w:ind w:left="60"/>
              <w:rPr>
                <w:rFonts w:ascii="Times New Roman" w:hAnsi="Times New Roman"/>
                <w:sz w:val="20"/>
                <w:szCs w:val="20"/>
              </w:rPr>
            </w:pPr>
            <w:r w:rsidRPr="00152898">
              <w:rPr>
                <w:rFonts w:ascii="Times New Roman" w:hAnsi="Times New Roman"/>
                <w:sz w:val="20"/>
                <w:szCs w:val="20"/>
              </w:rPr>
              <w:t>1.3 Legal specification of time limits</w:t>
            </w:r>
          </w:p>
          <w:p w:rsidR="00FD534F" w:rsidRPr="002638E3" w:rsidRDefault="006B01F0" w:rsidP="00D23BAB">
            <w:pPr>
              <w:autoSpaceDE w:val="0"/>
              <w:autoSpaceDN w:val="0"/>
              <w:adjustRightInd w:val="0"/>
              <w:spacing w:after="0" w:line="240" w:lineRule="auto"/>
              <w:ind w:left="60"/>
              <w:rPr>
                <w:rFonts w:ascii="Times New Roman" w:hAnsi="Times New Roman"/>
                <w:sz w:val="20"/>
                <w:szCs w:val="20"/>
              </w:rPr>
            </w:pPr>
            <w:r>
              <w:rPr>
                <w:rFonts w:ascii="Times New Roman" w:hAnsi="Times New Roman"/>
                <w:sz w:val="20"/>
                <w:szCs w:val="20"/>
              </w:rPr>
              <w:t>1.4 Formal provisions for SEA</w:t>
            </w:r>
          </w:p>
        </w:tc>
      </w:tr>
      <w:tr w:rsidR="00F80076" w:rsidTr="00D23BAB">
        <w:trPr>
          <w:trHeight w:val="375"/>
        </w:trPr>
        <w:tc>
          <w:tcPr>
            <w:tcW w:w="9600" w:type="dxa"/>
            <w:tcBorders>
              <w:bottom w:val="single" w:sz="4" w:space="0" w:color="auto"/>
            </w:tcBorders>
          </w:tcPr>
          <w:p w:rsidR="00FD534F" w:rsidRPr="00152898" w:rsidRDefault="006B01F0" w:rsidP="00D23BAB">
            <w:pPr>
              <w:autoSpaceDE w:val="0"/>
              <w:autoSpaceDN w:val="0"/>
              <w:adjustRightInd w:val="0"/>
              <w:spacing w:after="0" w:line="240" w:lineRule="auto"/>
              <w:ind w:left="60"/>
              <w:rPr>
                <w:rFonts w:ascii="Times New Roman" w:hAnsi="Times New Roman"/>
                <w:sz w:val="20"/>
                <w:szCs w:val="20"/>
              </w:rPr>
            </w:pPr>
            <w:r w:rsidRPr="00152898">
              <w:rPr>
                <w:rFonts w:ascii="Times New Roman" w:hAnsi="Times New Roman"/>
                <w:sz w:val="20"/>
                <w:szCs w:val="20"/>
              </w:rPr>
              <w:t xml:space="preserve">(2) </w:t>
            </w:r>
            <w:r w:rsidRPr="00152898">
              <w:rPr>
                <w:rFonts w:ascii="Times New Roman" w:hAnsi="Times New Roman"/>
                <w:i/>
                <w:sz w:val="20"/>
                <w:szCs w:val="20"/>
              </w:rPr>
              <w:t>EIA administration</w:t>
            </w:r>
          </w:p>
        </w:tc>
      </w:tr>
      <w:tr w:rsidR="00F80076" w:rsidTr="00D23BAB">
        <w:trPr>
          <w:trHeight w:val="870"/>
        </w:trPr>
        <w:tc>
          <w:tcPr>
            <w:tcW w:w="9600" w:type="dxa"/>
          </w:tcPr>
          <w:p w:rsidR="00FD534F" w:rsidRPr="00152898" w:rsidRDefault="006B01F0" w:rsidP="00D23BAB">
            <w:pPr>
              <w:autoSpaceDE w:val="0"/>
              <w:autoSpaceDN w:val="0"/>
              <w:adjustRightInd w:val="0"/>
              <w:spacing w:after="0" w:line="240" w:lineRule="auto"/>
              <w:ind w:left="60"/>
              <w:rPr>
                <w:rFonts w:ascii="Times New Roman" w:hAnsi="Times New Roman"/>
                <w:sz w:val="20"/>
                <w:szCs w:val="20"/>
              </w:rPr>
            </w:pPr>
            <w:r w:rsidRPr="00152898">
              <w:rPr>
                <w:rFonts w:ascii="Times New Roman" w:hAnsi="Times New Roman"/>
                <w:sz w:val="20"/>
                <w:szCs w:val="20"/>
              </w:rPr>
              <w:t>2.1 Competent authority for EIA and determination of environmental acceptability</w:t>
            </w:r>
          </w:p>
          <w:p w:rsidR="00FD534F" w:rsidRPr="00152898" w:rsidRDefault="006B01F0" w:rsidP="00D23BAB">
            <w:pPr>
              <w:autoSpaceDE w:val="0"/>
              <w:autoSpaceDN w:val="0"/>
              <w:adjustRightInd w:val="0"/>
              <w:spacing w:after="0" w:line="240" w:lineRule="auto"/>
              <w:ind w:left="60"/>
              <w:rPr>
                <w:rFonts w:ascii="Times New Roman" w:hAnsi="Times New Roman"/>
                <w:sz w:val="20"/>
                <w:szCs w:val="20"/>
              </w:rPr>
            </w:pPr>
            <w:r w:rsidRPr="00152898">
              <w:rPr>
                <w:rFonts w:ascii="Times New Roman" w:hAnsi="Times New Roman"/>
                <w:sz w:val="20"/>
                <w:szCs w:val="20"/>
              </w:rPr>
              <w:t>2.2 Review body for EIA</w:t>
            </w:r>
          </w:p>
          <w:p w:rsidR="00FD534F" w:rsidRPr="00152898" w:rsidRDefault="006B01F0" w:rsidP="00D23BAB">
            <w:pPr>
              <w:autoSpaceDE w:val="0"/>
              <w:autoSpaceDN w:val="0"/>
              <w:adjustRightInd w:val="0"/>
              <w:spacing w:after="0" w:line="240" w:lineRule="auto"/>
              <w:ind w:left="60"/>
              <w:rPr>
                <w:rFonts w:ascii="Times New Roman" w:hAnsi="Times New Roman"/>
                <w:sz w:val="20"/>
                <w:szCs w:val="20"/>
              </w:rPr>
            </w:pPr>
            <w:r w:rsidRPr="00152898">
              <w:rPr>
                <w:rFonts w:ascii="Times New Roman" w:hAnsi="Times New Roman"/>
                <w:sz w:val="20"/>
                <w:szCs w:val="20"/>
              </w:rPr>
              <w:t>2.3 Specification of sectoral authorities’ responsibilities</w:t>
            </w:r>
            <w:r w:rsidRPr="000D5D87">
              <w:rPr>
                <w:rFonts w:ascii="Times New Roman" w:hAnsi="Times New Roman"/>
                <w:sz w:val="20"/>
                <w:szCs w:val="20"/>
              </w:rPr>
              <w:t xml:space="preserve"> </w:t>
            </w:r>
            <w:r>
              <w:rPr>
                <w:rFonts w:ascii="Times New Roman" w:hAnsi="Times New Roman"/>
                <w:sz w:val="20"/>
                <w:szCs w:val="20"/>
              </w:rPr>
              <w:t>&amp; coordination</w:t>
            </w:r>
            <w:r w:rsidRPr="00152898">
              <w:rPr>
                <w:rFonts w:ascii="Times New Roman" w:hAnsi="Times New Roman"/>
                <w:sz w:val="20"/>
                <w:szCs w:val="20"/>
              </w:rPr>
              <w:t xml:space="preserve"> with other planning control bodies</w:t>
            </w:r>
            <w:r>
              <w:rPr>
                <w:rFonts w:ascii="Times New Roman" w:hAnsi="Times New Roman"/>
                <w:sz w:val="20"/>
                <w:szCs w:val="20"/>
              </w:rPr>
              <w:t>.</w:t>
            </w:r>
          </w:p>
        </w:tc>
      </w:tr>
      <w:tr w:rsidR="00F80076" w:rsidTr="00D23BAB">
        <w:trPr>
          <w:trHeight w:val="270"/>
        </w:trPr>
        <w:tc>
          <w:tcPr>
            <w:tcW w:w="9600" w:type="dxa"/>
          </w:tcPr>
          <w:p w:rsidR="00FD534F" w:rsidRPr="00152898" w:rsidRDefault="006B01F0" w:rsidP="00D23BAB">
            <w:pPr>
              <w:autoSpaceDE w:val="0"/>
              <w:autoSpaceDN w:val="0"/>
              <w:adjustRightInd w:val="0"/>
              <w:spacing w:after="0" w:line="240" w:lineRule="auto"/>
              <w:ind w:left="60"/>
              <w:rPr>
                <w:rFonts w:ascii="Times New Roman" w:hAnsi="Times New Roman"/>
                <w:sz w:val="20"/>
                <w:szCs w:val="20"/>
              </w:rPr>
            </w:pPr>
            <w:r w:rsidRPr="00152898">
              <w:rPr>
                <w:rFonts w:ascii="Times New Roman" w:hAnsi="Times New Roman"/>
                <w:sz w:val="20"/>
                <w:szCs w:val="20"/>
              </w:rPr>
              <w:t xml:space="preserve">(3) </w:t>
            </w:r>
            <w:r w:rsidRPr="00152898">
              <w:rPr>
                <w:rFonts w:ascii="Times New Roman" w:hAnsi="Times New Roman"/>
                <w:i/>
                <w:sz w:val="20"/>
                <w:szCs w:val="20"/>
              </w:rPr>
              <w:t>EIA process</w:t>
            </w:r>
          </w:p>
        </w:tc>
      </w:tr>
      <w:tr w:rsidR="00F80076" w:rsidTr="00D23BAB">
        <w:trPr>
          <w:trHeight w:val="2985"/>
        </w:trPr>
        <w:tc>
          <w:tcPr>
            <w:tcW w:w="9600" w:type="dxa"/>
            <w:tcBorders>
              <w:bottom w:val="single" w:sz="4" w:space="0" w:color="auto"/>
            </w:tcBorders>
          </w:tcPr>
          <w:p w:rsidR="00FD534F" w:rsidRPr="00152898" w:rsidRDefault="006B01F0" w:rsidP="00D23BAB">
            <w:pPr>
              <w:autoSpaceDE w:val="0"/>
              <w:autoSpaceDN w:val="0"/>
              <w:adjustRightInd w:val="0"/>
              <w:spacing w:after="0" w:line="240" w:lineRule="auto"/>
              <w:ind w:left="60"/>
              <w:rPr>
                <w:rFonts w:ascii="Times New Roman" w:hAnsi="Times New Roman"/>
                <w:sz w:val="20"/>
                <w:szCs w:val="20"/>
              </w:rPr>
            </w:pPr>
            <w:r w:rsidRPr="00152898">
              <w:rPr>
                <w:rFonts w:ascii="Times New Roman" w:hAnsi="Times New Roman"/>
                <w:sz w:val="20"/>
                <w:szCs w:val="20"/>
              </w:rPr>
              <w:t>3.1 Specified screening categories</w:t>
            </w:r>
          </w:p>
          <w:p w:rsidR="00FD534F" w:rsidRPr="00152898" w:rsidRDefault="006B01F0" w:rsidP="00D23BAB">
            <w:pPr>
              <w:autoSpaceDE w:val="0"/>
              <w:autoSpaceDN w:val="0"/>
              <w:adjustRightInd w:val="0"/>
              <w:spacing w:after="0" w:line="240" w:lineRule="auto"/>
              <w:ind w:left="60"/>
              <w:rPr>
                <w:rFonts w:ascii="Times New Roman" w:hAnsi="Times New Roman"/>
                <w:sz w:val="20"/>
                <w:szCs w:val="20"/>
              </w:rPr>
            </w:pPr>
            <w:r w:rsidRPr="00152898">
              <w:rPr>
                <w:rFonts w:ascii="Times New Roman" w:hAnsi="Times New Roman"/>
                <w:sz w:val="20"/>
                <w:szCs w:val="20"/>
              </w:rPr>
              <w:t>3.2 Systematic screening approach</w:t>
            </w:r>
          </w:p>
          <w:p w:rsidR="00FD534F" w:rsidRPr="00152898" w:rsidRDefault="006B01F0" w:rsidP="00D23BAB">
            <w:pPr>
              <w:autoSpaceDE w:val="0"/>
              <w:autoSpaceDN w:val="0"/>
              <w:adjustRightInd w:val="0"/>
              <w:spacing w:after="0" w:line="240" w:lineRule="auto"/>
              <w:ind w:left="60"/>
              <w:rPr>
                <w:rFonts w:ascii="Times New Roman" w:hAnsi="Times New Roman"/>
                <w:sz w:val="20"/>
                <w:szCs w:val="20"/>
              </w:rPr>
            </w:pPr>
            <w:r w:rsidRPr="00152898">
              <w:rPr>
                <w:rFonts w:ascii="Times New Roman" w:hAnsi="Times New Roman"/>
                <w:sz w:val="20"/>
                <w:szCs w:val="20"/>
              </w:rPr>
              <w:t>3.3 Systematic scoping approach</w:t>
            </w:r>
          </w:p>
          <w:p w:rsidR="00FD534F" w:rsidRPr="00152898" w:rsidRDefault="006B01F0" w:rsidP="00D23BAB">
            <w:pPr>
              <w:autoSpaceDE w:val="0"/>
              <w:autoSpaceDN w:val="0"/>
              <w:adjustRightInd w:val="0"/>
              <w:spacing w:after="0" w:line="240" w:lineRule="auto"/>
              <w:ind w:left="60"/>
              <w:rPr>
                <w:rFonts w:ascii="Times New Roman" w:hAnsi="Times New Roman"/>
                <w:sz w:val="20"/>
                <w:szCs w:val="20"/>
              </w:rPr>
            </w:pPr>
            <w:r w:rsidRPr="00152898">
              <w:rPr>
                <w:rFonts w:ascii="Times New Roman" w:hAnsi="Times New Roman"/>
                <w:sz w:val="20"/>
                <w:szCs w:val="20"/>
              </w:rPr>
              <w:t>3.4 Requirement to consider alternatives</w:t>
            </w:r>
          </w:p>
          <w:p w:rsidR="00FD534F" w:rsidRPr="00152898" w:rsidRDefault="006B01F0" w:rsidP="00D23BAB">
            <w:pPr>
              <w:autoSpaceDE w:val="0"/>
              <w:autoSpaceDN w:val="0"/>
              <w:adjustRightInd w:val="0"/>
              <w:spacing w:after="0" w:line="240" w:lineRule="auto"/>
              <w:ind w:left="60"/>
              <w:rPr>
                <w:rFonts w:ascii="Times New Roman" w:hAnsi="Times New Roman"/>
                <w:sz w:val="20"/>
                <w:szCs w:val="20"/>
              </w:rPr>
            </w:pPr>
            <w:r w:rsidRPr="00152898">
              <w:rPr>
                <w:rFonts w:ascii="Times New Roman" w:hAnsi="Times New Roman"/>
                <w:sz w:val="20"/>
                <w:szCs w:val="20"/>
              </w:rPr>
              <w:t>3.5 Specified EIA report content</w:t>
            </w:r>
          </w:p>
          <w:p w:rsidR="00FD534F" w:rsidRPr="00152898" w:rsidRDefault="006B01F0" w:rsidP="00D23BAB">
            <w:pPr>
              <w:autoSpaceDE w:val="0"/>
              <w:autoSpaceDN w:val="0"/>
              <w:adjustRightInd w:val="0"/>
              <w:spacing w:after="0" w:line="240" w:lineRule="auto"/>
              <w:ind w:left="60"/>
              <w:rPr>
                <w:rFonts w:ascii="Times New Roman" w:hAnsi="Times New Roman"/>
                <w:sz w:val="20"/>
                <w:szCs w:val="20"/>
              </w:rPr>
            </w:pPr>
            <w:r w:rsidRPr="00152898">
              <w:rPr>
                <w:rFonts w:ascii="Times New Roman" w:hAnsi="Times New Roman"/>
                <w:sz w:val="20"/>
                <w:szCs w:val="20"/>
              </w:rPr>
              <w:t>3.6 Systematic EIA report review approach</w:t>
            </w:r>
          </w:p>
          <w:p w:rsidR="00FD534F" w:rsidRPr="00152898" w:rsidRDefault="006B01F0" w:rsidP="00D23BAB">
            <w:pPr>
              <w:autoSpaceDE w:val="0"/>
              <w:autoSpaceDN w:val="0"/>
              <w:adjustRightInd w:val="0"/>
              <w:spacing w:after="0" w:line="240" w:lineRule="auto"/>
              <w:ind w:left="60"/>
              <w:rPr>
                <w:rFonts w:ascii="Times New Roman" w:hAnsi="Times New Roman"/>
                <w:sz w:val="20"/>
                <w:szCs w:val="20"/>
              </w:rPr>
            </w:pPr>
            <w:r w:rsidRPr="00152898">
              <w:rPr>
                <w:rFonts w:ascii="Times New Roman" w:hAnsi="Times New Roman"/>
                <w:sz w:val="20"/>
                <w:szCs w:val="20"/>
              </w:rPr>
              <w:t xml:space="preserve">3.7 Provisions for public participation </w:t>
            </w:r>
          </w:p>
          <w:p w:rsidR="00FD534F" w:rsidRPr="00152898" w:rsidRDefault="006B01F0" w:rsidP="00D23BAB">
            <w:pPr>
              <w:autoSpaceDE w:val="0"/>
              <w:autoSpaceDN w:val="0"/>
              <w:adjustRightInd w:val="0"/>
              <w:spacing w:after="0" w:line="240" w:lineRule="auto"/>
              <w:ind w:left="60"/>
              <w:rPr>
                <w:rFonts w:ascii="Times New Roman" w:hAnsi="Times New Roman"/>
                <w:sz w:val="20"/>
                <w:szCs w:val="20"/>
              </w:rPr>
            </w:pPr>
            <w:r w:rsidRPr="00152898">
              <w:rPr>
                <w:rFonts w:ascii="Times New Roman" w:hAnsi="Times New Roman"/>
                <w:sz w:val="20"/>
                <w:szCs w:val="20"/>
              </w:rPr>
              <w:t>3.8 Systematic decision-making approach</w:t>
            </w:r>
          </w:p>
          <w:p w:rsidR="00FD534F" w:rsidRPr="00152898" w:rsidRDefault="006B01F0" w:rsidP="00D23BAB">
            <w:pPr>
              <w:autoSpaceDE w:val="0"/>
              <w:autoSpaceDN w:val="0"/>
              <w:adjustRightInd w:val="0"/>
              <w:spacing w:after="0" w:line="240" w:lineRule="auto"/>
              <w:ind w:left="60"/>
              <w:rPr>
                <w:rFonts w:ascii="Times New Roman" w:hAnsi="Times New Roman"/>
                <w:sz w:val="20"/>
                <w:szCs w:val="20"/>
              </w:rPr>
            </w:pPr>
            <w:r w:rsidRPr="00152898">
              <w:rPr>
                <w:rFonts w:ascii="Times New Roman" w:hAnsi="Times New Roman"/>
                <w:sz w:val="20"/>
                <w:szCs w:val="20"/>
              </w:rPr>
              <w:t>3.9 Requirement for environmental management plans</w:t>
            </w:r>
          </w:p>
          <w:p w:rsidR="00FD534F" w:rsidRPr="00152898" w:rsidRDefault="006B01F0" w:rsidP="00D23BAB">
            <w:pPr>
              <w:autoSpaceDE w:val="0"/>
              <w:autoSpaceDN w:val="0"/>
              <w:adjustRightInd w:val="0"/>
              <w:spacing w:after="0" w:line="240" w:lineRule="auto"/>
              <w:ind w:left="60"/>
              <w:rPr>
                <w:rFonts w:ascii="Times New Roman" w:hAnsi="Times New Roman"/>
                <w:sz w:val="20"/>
                <w:szCs w:val="20"/>
              </w:rPr>
            </w:pPr>
            <w:r w:rsidRPr="00152898">
              <w:rPr>
                <w:rFonts w:ascii="Times New Roman" w:hAnsi="Times New Roman"/>
                <w:sz w:val="20"/>
                <w:szCs w:val="20"/>
              </w:rPr>
              <w:t>3.10 Requirement for mitigation of impacts</w:t>
            </w:r>
          </w:p>
          <w:p w:rsidR="00FD534F" w:rsidRPr="00152898" w:rsidRDefault="006B01F0" w:rsidP="00D23BAB">
            <w:pPr>
              <w:autoSpaceDE w:val="0"/>
              <w:autoSpaceDN w:val="0"/>
              <w:adjustRightInd w:val="0"/>
              <w:spacing w:after="0" w:line="240" w:lineRule="auto"/>
              <w:ind w:left="60"/>
              <w:rPr>
                <w:rFonts w:ascii="Times New Roman" w:hAnsi="Times New Roman"/>
                <w:sz w:val="20"/>
                <w:szCs w:val="20"/>
              </w:rPr>
            </w:pPr>
            <w:r w:rsidRPr="00152898">
              <w:rPr>
                <w:rFonts w:ascii="Times New Roman" w:hAnsi="Times New Roman"/>
                <w:sz w:val="20"/>
                <w:szCs w:val="20"/>
              </w:rPr>
              <w:t>3.11 Requirement for impact monitoring</w:t>
            </w:r>
          </w:p>
          <w:p w:rsidR="00FD534F" w:rsidRPr="00152898" w:rsidRDefault="006B01F0" w:rsidP="00D23BAB">
            <w:pPr>
              <w:autoSpaceDE w:val="0"/>
              <w:autoSpaceDN w:val="0"/>
              <w:adjustRightInd w:val="0"/>
              <w:spacing w:after="0" w:line="240" w:lineRule="auto"/>
              <w:ind w:left="60"/>
              <w:rPr>
                <w:rFonts w:ascii="Times New Roman" w:hAnsi="Times New Roman"/>
                <w:sz w:val="20"/>
                <w:szCs w:val="20"/>
              </w:rPr>
            </w:pPr>
            <w:r w:rsidRPr="00152898">
              <w:rPr>
                <w:rFonts w:ascii="Times New Roman" w:hAnsi="Times New Roman"/>
                <w:sz w:val="20"/>
                <w:szCs w:val="20"/>
              </w:rPr>
              <w:t>3.12 Experience of SEA</w:t>
            </w:r>
          </w:p>
          <w:p w:rsidR="00FD534F" w:rsidRPr="00152898" w:rsidRDefault="006B01F0" w:rsidP="00D23BAB">
            <w:pPr>
              <w:autoSpaceDE w:val="0"/>
              <w:autoSpaceDN w:val="0"/>
              <w:adjustRightInd w:val="0"/>
              <w:spacing w:after="0" w:line="240" w:lineRule="auto"/>
              <w:ind w:left="60"/>
              <w:rPr>
                <w:rFonts w:ascii="Times New Roman" w:hAnsi="Times New Roman"/>
                <w:sz w:val="20"/>
                <w:szCs w:val="20"/>
              </w:rPr>
            </w:pPr>
            <w:r>
              <w:rPr>
                <w:rFonts w:ascii="Times New Roman" w:hAnsi="Times New Roman"/>
                <w:sz w:val="20"/>
                <w:szCs w:val="20"/>
              </w:rPr>
              <w:t>3.13 Time and cost of EIA</w:t>
            </w:r>
          </w:p>
        </w:tc>
      </w:tr>
      <w:tr w:rsidR="00F80076" w:rsidTr="00D23BAB">
        <w:trPr>
          <w:trHeight w:val="160"/>
        </w:trPr>
        <w:tc>
          <w:tcPr>
            <w:tcW w:w="9600" w:type="dxa"/>
            <w:tcBorders>
              <w:bottom w:val="single" w:sz="4" w:space="0" w:color="auto"/>
            </w:tcBorders>
          </w:tcPr>
          <w:p w:rsidR="00FD534F" w:rsidRDefault="00FD534F" w:rsidP="00D23BAB">
            <w:pPr>
              <w:autoSpaceDE w:val="0"/>
              <w:autoSpaceDN w:val="0"/>
              <w:adjustRightInd w:val="0"/>
              <w:spacing w:after="0" w:line="240" w:lineRule="auto"/>
              <w:rPr>
                <w:rFonts w:ascii="Times New Roman" w:hAnsi="Times New Roman"/>
                <w:b/>
                <w:sz w:val="20"/>
                <w:szCs w:val="20"/>
              </w:rPr>
            </w:pPr>
          </w:p>
          <w:p w:rsidR="00FD534F" w:rsidRPr="00152898" w:rsidRDefault="006B01F0" w:rsidP="00D23BAB">
            <w:pPr>
              <w:autoSpaceDE w:val="0"/>
              <w:autoSpaceDN w:val="0"/>
              <w:adjustRightInd w:val="0"/>
              <w:spacing w:after="0" w:line="240" w:lineRule="auto"/>
              <w:ind w:left="60"/>
              <w:rPr>
                <w:rFonts w:ascii="Times New Roman" w:hAnsi="Times New Roman"/>
                <w:sz w:val="20"/>
                <w:szCs w:val="20"/>
              </w:rPr>
            </w:pPr>
            <w:r w:rsidRPr="00152898">
              <w:rPr>
                <w:rFonts w:ascii="Times New Roman" w:hAnsi="Times New Roman"/>
                <w:b/>
                <w:sz w:val="20"/>
                <w:szCs w:val="20"/>
              </w:rPr>
              <w:t>Foundation</w:t>
            </w:r>
            <w:r w:rsidR="001C4915">
              <w:rPr>
                <w:rFonts w:ascii="Times New Roman" w:hAnsi="Times New Roman"/>
                <w:b/>
                <w:sz w:val="20"/>
                <w:szCs w:val="20"/>
              </w:rPr>
              <w:t>al</w:t>
            </w:r>
            <w:r w:rsidRPr="00152898">
              <w:rPr>
                <w:rFonts w:ascii="Times New Roman" w:hAnsi="Times New Roman"/>
                <w:b/>
                <w:sz w:val="20"/>
                <w:szCs w:val="20"/>
              </w:rPr>
              <w:t xml:space="preserve"> measures</w:t>
            </w:r>
          </w:p>
        </w:tc>
      </w:tr>
      <w:tr w:rsidR="00F80076" w:rsidTr="00D23BAB">
        <w:trPr>
          <w:trHeight w:val="975"/>
        </w:trPr>
        <w:tc>
          <w:tcPr>
            <w:tcW w:w="9600" w:type="dxa"/>
            <w:tcBorders>
              <w:bottom w:val="single" w:sz="4" w:space="0" w:color="auto"/>
            </w:tcBorders>
          </w:tcPr>
          <w:p w:rsidR="00FD534F" w:rsidRPr="00152898" w:rsidRDefault="006B01F0" w:rsidP="00D23BAB">
            <w:pPr>
              <w:autoSpaceDE w:val="0"/>
              <w:autoSpaceDN w:val="0"/>
              <w:adjustRightInd w:val="0"/>
              <w:spacing w:after="0" w:line="240" w:lineRule="auto"/>
              <w:ind w:left="60"/>
              <w:rPr>
                <w:rFonts w:ascii="Times New Roman" w:hAnsi="Times New Roman"/>
                <w:sz w:val="20"/>
                <w:szCs w:val="20"/>
              </w:rPr>
            </w:pPr>
            <w:r w:rsidRPr="00152898">
              <w:rPr>
                <w:rFonts w:ascii="Times New Roman" w:hAnsi="Times New Roman"/>
                <w:sz w:val="20"/>
                <w:szCs w:val="20"/>
              </w:rPr>
              <w:t>(1) Existence of gen</w:t>
            </w:r>
            <w:r>
              <w:rPr>
                <w:rFonts w:ascii="Times New Roman" w:hAnsi="Times New Roman"/>
                <w:sz w:val="20"/>
                <w:szCs w:val="20"/>
              </w:rPr>
              <w:t>eral and/or specific guidelines</w:t>
            </w:r>
          </w:p>
          <w:p w:rsidR="00FD534F" w:rsidRPr="00152898" w:rsidRDefault="006B01F0" w:rsidP="00D23BAB">
            <w:pPr>
              <w:autoSpaceDE w:val="0"/>
              <w:autoSpaceDN w:val="0"/>
              <w:adjustRightInd w:val="0"/>
              <w:spacing w:after="0" w:line="240" w:lineRule="auto"/>
              <w:ind w:left="60"/>
              <w:rPr>
                <w:rFonts w:ascii="Times New Roman" w:hAnsi="Times New Roman"/>
                <w:sz w:val="20"/>
                <w:szCs w:val="20"/>
              </w:rPr>
            </w:pPr>
            <w:r w:rsidRPr="00152898">
              <w:rPr>
                <w:rFonts w:ascii="Times New Roman" w:hAnsi="Times New Roman"/>
                <w:sz w:val="20"/>
                <w:szCs w:val="20"/>
              </w:rPr>
              <w:t>(2) EIA system implementation monitoring</w:t>
            </w:r>
          </w:p>
          <w:p w:rsidR="00FD534F" w:rsidRDefault="006B01F0" w:rsidP="00D23BAB">
            <w:pPr>
              <w:autoSpaceDE w:val="0"/>
              <w:autoSpaceDN w:val="0"/>
              <w:adjustRightInd w:val="0"/>
              <w:spacing w:after="0" w:line="240" w:lineRule="auto"/>
              <w:ind w:left="60"/>
              <w:rPr>
                <w:rFonts w:ascii="Times New Roman" w:hAnsi="Times New Roman"/>
                <w:sz w:val="20"/>
                <w:szCs w:val="20"/>
              </w:rPr>
            </w:pPr>
            <w:r w:rsidRPr="00152898">
              <w:rPr>
                <w:rFonts w:ascii="Times New Roman" w:hAnsi="Times New Roman"/>
                <w:sz w:val="20"/>
                <w:szCs w:val="20"/>
              </w:rPr>
              <w:t xml:space="preserve">(3) Expertise in conducting EIA </w:t>
            </w:r>
          </w:p>
          <w:p w:rsidR="00FD534F" w:rsidRPr="00152898" w:rsidRDefault="006B01F0" w:rsidP="00D23BAB">
            <w:pPr>
              <w:autoSpaceDE w:val="0"/>
              <w:autoSpaceDN w:val="0"/>
              <w:adjustRightInd w:val="0"/>
              <w:spacing w:after="0" w:line="240" w:lineRule="auto"/>
              <w:ind w:left="60"/>
              <w:rPr>
                <w:rFonts w:ascii="Times New Roman" w:hAnsi="Times New Roman"/>
                <w:b/>
                <w:sz w:val="20"/>
                <w:szCs w:val="20"/>
              </w:rPr>
            </w:pPr>
            <w:r>
              <w:rPr>
                <w:rFonts w:ascii="Times New Roman" w:hAnsi="Times New Roman"/>
                <w:sz w:val="20"/>
                <w:szCs w:val="20"/>
              </w:rPr>
              <w:t>(4) Training and Capacity building</w:t>
            </w:r>
          </w:p>
        </w:tc>
      </w:tr>
    </w:tbl>
    <w:p w:rsidR="007A15A2" w:rsidRDefault="006B01F0" w:rsidP="007A15A2">
      <w:pPr>
        <w:pStyle w:val="ListParagraph"/>
        <w:spacing w:before="240" w:line="360" w:lineRule="auto"/>
        <w:ind w:left="0"/>
        <w:jc w:val="both"/>
        <w:rPr>
          <w:rFonts w:ascii="Times New Roman" w:hAnsi="Times New Roman"/>
          <w:sz w:val="24"/>
          <w:szCs w:val="24"/>
        </w:rPr>
      </w:pPr>
      <w:r>
        <w:rPr>
          <w:rFonts w:ascii="Times New Roman" w:hAnsi="Times New Roman"/>
          <w:sz w:val="24"/>
          <w:szCs w:val="24"/>
        </w:rPr>
        <w:lastRenderedPageBreak/>
        <w:t>L</w:t>
      </w:r>
      <w:r w:rsidR="00D23BAB">
        <w:rPr>
          <w:rFonts w:ascii="Times New Roman" w:hAnsi="Times New Roman"/>
          <w:sz w:val="24"/>
          <w:szCs w:val="24"/>
        </w:rPr>
        <w:t xml:space="preserve">iterature review, document analysis, and semi-structured interviews </w:t>
      </w:r>
      <w:r w:rsidR="00D23BAB" w:rsidRPr="005005DA">
        <w:rPr>
          <w:rFonts w:ascii="Times New Roman" w:hAnsi="Times New Roman"/>
          <w:sz w:val="24"/>
          <w:szCs w:val="24"/>
        </w:rPr>
        <w:t>w</w:t>
      </w:r>
      <w:r>
        <w:rPr>
          <w:rFonts w:ascii="Times New Roman" w:hAnsi="Times New Roman"/>
          <w:sz w:val="24"/>
          <w:szCs w:val="24"/>
        </w:rPr>
        <w:t>ere</w:t>
      </w:r>
      <w:r w:rsidR="00D23BAB">
        <w:rPr>
          <w:rFonts w:ascii="Times New Roman" w:hAnsi="Times New Roman"/>
          <w:sz w:val="24"/>
          <w:szCs w:val="24"/>
        </w:rPr>
        <w:t xml:space="preserve"> used in this study. </w:t>
      </w:r>
      <w:r w:rsidR="00D23BAB" w:rsidRPr="00245425">
        <w:rPr>
          <w:rFonts w:ascii="Times New Roman" w:hAnsi="Times New Roman"/>
          <w:sz w:val="24"/>
          <w:szCs w:val="24"/>
        </w:rPr>
        <w:t>Data collection began with an ini</w:t>
      </w:r>
      <w:r w:rsidR="00D23BAB">
        <w:rPr>
          <w:rFonts w:ascii="Times New Roman" w:hAnsi="Times New Roman"/>
          <w:sz w:val="24"/>
          <w:szCs w:val="24"/>
        </w:rPr>
        <w:t xml:space="preserve">tial review of the literature and </w:t>
      </w:r>
      <w:r w:rsidR="00D23BAB" w:rsidRPr="00245425">
        <w:rPr>
          <w:rFonts w:ascii="Times New Roman" w:hAnsi="Times New Roman"/>
          <w:sz w:val="24"/>
          <w:szCs w:val="24"/>
        </w:rPr>
        <w:t xml:space="preserve">analysis of EIA policy and guidance documentation. The information was used to explore the EIA process and guide the composition of interview questions. Semi-structured interviews were conducted with </w:t>
      </w:r>
      <w:r w:rsidR="00D23BAB">
        <w:rPr>
          <w:rFonts w:ascii="Times New Roman" w:hAnsi="Times New Roman"/>
          <w:sz w:val="24"/>
          <w:szCs w:val="24"/>
        </w:rPr>
        <w:t xml:space="preserve">a sample of 25 experts. </w:t>
      </w:r>
      <w:r w:rsidR="00D23BAB" w:rsidRPr="00245425">
        <w:rPr>
          <w:rFonts w:ascii="Times New Roman" w:hAnsi="Times New Roman"/>
          <w:sz w:val="24"/>
          <w:szCs w:val="24"/>
        </w:rPr>
        <w:t xml:space="preserve">Interviewees were recruited by convenience and snowball sampling with a focus on obtaining a range of opinions from experts with </w:t>
      </w:r>
      <w:r w:rsidR="00D23BAB">
        <w:rPr>
          <w:rFonts w:ascii="Times New Roman" w:hAnsi="Times New Roman"/>
          <w:sz w:val="24"/>
          <w:szCs w:val="24"/>
        </w:rPr>
        <w:t xml:space="preserve">the most </w:t>
      </w:r>
      <w:r w:rsidR="00D23BAB" w:rsidRPr="00245425">
        <w:rPr>
          <w:rFonts w:ascii="Times New Roman" w:hAnsi="Times New Roman"/>
          <w:sz w:val="24"/>
          <w:szCs w:val="24"/>
        </w:rPr>
        <w:t>experience in EIA</w:t>
      </w:r>
      <w:r w:rsidR="00B06332">
        <w:rPr>
          <w:rFonts w:ascii="Times New Roman" w:hAnsi="Times New Roman"/>
          <w:sz w:val="24"/>
          <w:szCs w:val="24"/>
        </w:rPr>
        <w:t xml:space="preserve"> and representatives of the five</w:t>
      </w:r>
      <w:r w:rsidR="00D23BAB">
        <w:rPr>
          <w:rFonts w:ascii="Times New Roman" w:hAnsi="Times New Roman"/>
          <w:sz w:val="24"/>
          <w:szCs w:val="24"/>
        </w:rPr>
        <w:t xml:space="preserve"> </w:t>
      </w:r>
      <w:r>
        <w:rPr>
          <w:rFonts w:ascii="Times New Roman" w:hAnsi="Times New Roman"/>
          <w:sz w:val="24"/>
          <w:szCs w:val="24"/>
        </w:rPr>
        <w:t xml:space="preserve">main </w:t>
      </w:r>
      <w:r w:rsidR="00D23BAB">
        <w:rPr>
          <w:rFonts w:ascii="Times New Roman" w:hAnsi="Times New Roman"/>
          <w:sz w:val="24"/>
          <w:szCs w:val="24"/>
        </w:rPr>
        <w:t>actor groups: Academi</w:t>
      </w:r>
      <w:r w:rsidR="005475BF">
        <w:rPr>
          <w:rFonts w:ascii="Times New Roman" w:hAnsi="Times New Roman"/>
          <w:sz w:val="24"/>
          <w:szCs w:val="24"/>
        </w:rPr>
        <w:t>a</w:t>
      </w:r>
      <w:r w:rsidR="00D23BAB">
        <w:rPr>
          <w:rFonts w:ascii="Times New Roman" w:hAnsi="Times New Roman"/>
          <w:sz w:val="24"/>
          <w:szCs w:val="24"/>
        </w:rPr>
        <w:t xml:space="preserve">, </w:t>
      </w:r>
      <w:r w:rsidR="00492965">
        <w:rPr>
          <w:rFonts w:ascii="Times New Roman" w:hAnsi="Times New Roman"/>
          <w:sz w:val="24"/>
          <w:szCs w:val="24"/>
        </w:rPr>
        <w:t>Non-governmental Organization (</w:t>
      </w:r>
      <w:r w:rsidR="00D23BAB">
        <w:rPr>
          <w:rFonts w:ascii="Times New Roman" w:hAnsi="Times New Roman"/>
          <w:sz w:val="24"/>
          <w:szCs w:val="24"/>
        </w:rPr>
        <w:t>NGO</w:t>
      </w:r>
      <w:r w:rsidR="00492965">
        <w:rPr>
          <w:rFonts w:ascii="Times New Roman" w:hAnsi="Times New Roman"/>
          <w:sz w:val="24"/>
          <w:szCs w:val="24"/>
        </w:rPr>
        <w:t>)</w:t>
      </w:r>
      <w:r w:rsidR="00D23BAB">
        <w:rPr>
          <w:rFonts w:ascii="Times New Roman" w:hAnsi="Times New Roman"/>
          <w:sz w:val="24"/>
          <w:szCs w:val="24"/>
        </w:rPr>
        <w:t xml:space="preserve">, </w:t>
      </w:r>
      <w:r>
        <w:rPr>
          <w:rFonts w:ascii="Times New Roman" w:hAnsi="Times New Roman"/>
          <w:sz w:val="24"/>
          <w:szCs w:val="24"/>
        </w:rPr>
        <w:t>C</w:t>
      </w:r>
      <w:r w:rsidR="00B06332">
        <w:rPr>
          <w:rFonts w:ascii="Times New Roman" w:hAnsi="Times New Roman"/>
          <w:sz w:val="24"/>
          <w:szCs w:val="24"/>
        </w:rPr>
        <w:t>onsultant</w:t>
      </w:r>
      <w:r>
        <w:rPr>
          <w:rFonts w:ascii="Times New Roman" w:hAnsi="Times New Roman"/>
          <w:sz w:val="24"/>
          <w:szCs w:val="24"/>
        </w:rPr>
        <w:t>s, L</w:t>
      </w:r>
      <w:r w:rsidR="005475BF">
        <w:rPr>
          <w:rFonts w:ascii="Times New Roman" w:hAnsi="Times New Roman"/>
          <w:sz w:val="24"/>
          <w:szCs w:val="24"/>
        </w:rPr>
        <w:t xml:space="preserve">ocal </w:t>
      </w:r>
      <w:r w:rsidR="00397A7C">
        <w:rPr>
          <w:rFonts w:ascii="Times New Roman" w:hAnsi="Times New Roman"/>
          <w:sz w:val="24"/>
          <w:szCs w:val="24"/>
        </w:rPr>
        <w:t>A</w:t>
      </w:r>
      <w:r w:rsidR="005475BF">
        <w:rPr>
          <w:rFonts w:ascii="Times New Roman" w:hAnsi="Times New Roman"/>
          <w:sz w:val="24"/>
          <w:szCs w:val="24"/>
        </w:rPr>
        <w:t>uthorities</w:t>
      </w:r>
      <w:r>
        <w:rPr>
          <w:rFonts w:ascii="Times New Roman" w:hAnsi="Times New Roman"/>
          <w:sz w:val="24"/>
          <w:szCs w:val="24"/>
        </w:rPr>
        <w:t>, G</w:t>
      </w:r>
      <w:r w:rsidR="00D23BAB">
        <w:rPr>
          <w:rFonts w:ascii="Times New Roman" w:hAnsi="Times New Roman"/>
          <w:sz w:val="24"/>
          <w:szCs w:val="24"/>
        </w:rPr>
        <w:t>overnment</w:t>
      </w:r>
      <w:r>
        <w:rPr>
          <w:rFonts w:ascii="Times New Roman" w:hAnsi="Times New Roman"/>
          <w:sz w:val="24"/>
          <w:szCs w:val="24"/>
        </w:rPr>
        <w:t xml:space="preserve"> and P</w:t>
      </w:r>
      <w:r w:rsidR="00492965">
        <w:rPr>
          <w:rFonts w:ascii="Times New Roman" w:hAnsi="Times New Roman"/>
          <w:sz w:val="24"/>
          <w:szCs w:val="24"/>
        </w:rPr>
        <w:t xml:space="preserve">rivate organization. </w:t>
      </w:r>
      <w:r w:rsidR="00D23BAB">
        <w:rPr>
          <w:rFonts w:ascii="Times New Roman" w:hAnsi="Times New Roman"/>
          <w:sz w:val="24"/>
          <w:szCs w:val="24"/>
        </w:rPr>
        <w:t xml:space="preserve">A minimum of </w:t>
      </w:r>
      <w:r w:rsidR="00315B7C">
        <w:rPr>
          <w:rFonts w:ascii="Times New Roman" w:hAnsi="Times New Roman"/>
          <w:sz w:val="24"/>
          <w:szCs w:val="24"/>
        </w:rPr>
        <w:t>two</w:t>
      </w:r>
      <w:r w:rsidR="00D23BAB">
        <w:rPr>
          <w:rFonts w:ascii="Times New Roman" w:hAnsi="Times New Roman"/>
          <w:sz w:val="24"/>
          <w:szCs w:val="24"/>
        </w:rPr>
        <w:t xml:space="preserve"> representatives was targeted per group. Due to a limited number of experts in Namibia, the sample of 25 </w:t>
      </w:r>
      <w:r w:rsidR="00315B7C">
        <w:rPr>
          <w:rFonts w:ascii="Times New Roman" w:hAnsi="Times New Roman"/>
          <w:sz w:val="24"/>
          <w:szCs w:val="24"/>
        </w:rPr>
        <w:t>was</w:t>
      </w:r>
      <w:r w:rsidR="00D23BAB">
        <w:rPr>
          <w:rFonts w:ascii="Times New Roman" w:hAnsi="Times New Roman"/>
          <w:sz w:val="24"/>
          <w:szCs w:val="24"/>
        </w:rPr>
        <w:t xml:space="preserve"> considered to be adequately representative of all the key EIA actors nationally. </w:t>
      </w:r>
      <w:r w:rsidR="00D23BAB" w:rsidRPr="00245425">
        <w:rPr>
          <w:rFonts w:ascii="Times New Roman" w:hAnsi="Times New Roman"/>
          <w:sz w:val="24"/>
          <w:szCs w:val="24"/>
        </w:rPr>
        <w:t xml:space="preserve">A detailed profile of interviewees is not provided here </w:t>
      </w:r>
      <w:r w:rsidR="003331C8">
        <w:rPr>
          <w:rFonts w:ascii="Times New Roman" w:hAnsi="Times New Roman"/>
          <w:sz w:val="24"/>
          <w:szCs w:val="24"/>
        </w:rPr>
        <w:t xml:space="preserve">as </w:t>
      </w:r>
      <w:r w:rsidR="00D23BAB" w:rsidRPr="00245425">
        <w:rPr>
          <w:rFonts w:ascii="Times New Roman" w:hAnsi="Times New Roman"/>
          <w:sz w:val="24"/>
          <w:szCs w:val="24"/>
        </w:rPr>
        <w:t xml:space="preserve">per </w:t>
      </w:r>
      <w:r w:rsidR="003331C8">
        <w:rPr>
          <w:rFonts w:ascii="Times New Roman" w:hAnsi="Times New Roman"/>
          <w:sz w:val="24"/>
          <w:szCs w:val="24"/>
        </w:rPr>
        <w:t xml:space="preserve">the </w:t>
      </w:r>
      <w:r>
        <w:rPr>
          <w:rFonts w:ascii="Times New Roman" w:hAnsi="Times New Roman"/>
          <w:sz w:val="24"/>
          <w:szCs w:val="24"/>
        </w:rPr>
        <w:t>agreements made with participants</w:t>
      </w:r>
      <w:r w:rsidR="00D23BAB" w:rsidRPr="00245425">
        <w:rPr>
          <w:rFonts w:ascii="Times New Roman" w:hAnsi="Times New Roman"/>
          <w:sz w:val="24"/>
          <w:szCs w:val="24"/>
        </w:rPr>
        <w:t xml:space="preserve"> in the ethical </w:t>
      </w:r>
      <w:r>
        <w:rPr>
          <w:rFonts w:ascii="Times New Roman" w:hAnsi="Times New Roman"/>
          <w:sz w:val="24"/>
          <w:szCs w:val="24"/>
        </w:rPr>
        <w:t>conditions for this research</w:t>
      </w:r>
      <w:r w:rsidR="00D23BAB">
        <w:rPr>
          <w:rFonts w:ascii="Times New Roman" w:hAnsi="Times New Roman"/>
          <w:sz w:val="24"/>
          <w:szCs w:val="24"/>
        </w:rPr>
        <w:t>, but the final sample comprised</w:t>
      </w:r>
      <w:r w:rsidR="00D23BAB" w:rsidRPr="00245425">
        <w:rPr>
          <w:rFonts w:ascii="Times New Roman" w:hAnsi="Times New Roman"/>
          <w:sz w:val="24"/>
          <w:szCs w:val="24"/>
        </w:rPr>
        <w:t xml:space="preserve"> </w:t>
      </w:r>
      <w:r w:rsidR="00D23BAB">
        <w:rPr>
          <w:rFonts w:ascii="Times New Roman" w:hAnsi="Times New Roman"/>
          <w:sz w:val="24"/>
          <w:szCs w:val="24"/>
        </w:rPr>
        <w:t xml:space="preserve">the following: </w:t>
      </w:r>
      <w:r w:rsidR="00D54DEE">
        <w:rPr>
          <w:rFonts w:ascii="Times New Roman" w:hAnsi="Times New Roman"/>
          <w:sz w:val="24"/>
          <w:szCs w:val="24"/>
        </w:rPr>
        <w:t>Government</w:t>
      </w:r>
      <w:r w:rsidR="00492965">
        <w:rPr>
          <w:rFonts w:ascii="Times New Roman" w:hAnsi="Times New Roman"/>
          <w:sz w:val="24"/>
          <w:szCs w:val="24"/>
        </w:rPr>
        <w:t xml:space="preserve"> (with</w:t>
      </w:r>
      <w:r w:rsidR="00D54DEE">
        <w:rPr>
          <w:rFonts w:ascii="Times New Roman" w:hAnsi="Times New Roman"/>
          <w:sz w:val="24"/>
          <w:szCs w:val="24"/>
        </w:rPr>
        <w:t xml:space="preserve"> three representatives from the </w:t>
      </w:r>
      <w:r w:rsidR="00D23BAB">
        <w:rPr>
          <w:rFonts w:ascii="Times New Roman" w:hAnsi="Times New Roman"/>
          <w:sz w:val="24"/>
          <w:szCs w:val="24"/>
        </w:rPr>
        <w:t>Departmen</w:t>
      </w:r>
      <w:r w:rsidR="00A16E29">
        <w:rPr>
          <w:rFonts w:ascii="Times New Roman" w:hAnsi="Times New Roman"/>
          <w:sz w:val="24"/>
          <w:szCs w:val="24"/>
        </w:rPr>
        <w:t xml:space="preserve">t of Environmental Affairs </w:t>
      </w:r>
      <w:r w:rsidR="00492965">
        <w:rPr>
          <w:rFonts w:ascii="Times New Roman" w:hAnsi="Times New Roman"/>
          <w:sz w:val="24"/>
          <w:szCs w:val="24"/>
        </w:rPr>
        <w:t>and</w:t>
      </w:r>
      <w:r w:rsidR="00D23BAB">
        <w:rPr>
          <w:rFonts w:ascii="Times New Roman" w:hAnsi="Times New Roman"/>
          <w:sz w:val="24"/>
          <w:szCs w:val="24"/>
        </w:rPr>
        <w:t xml:space="preserve"> </w:t>
      </w:r>
      <w:r w:rsidR="00D54DEE">
        <w:rPr>
          <w:rFonts w:ascii="Times New Roman" w:hAnsi="Times New Roman"/>
          <w:sz w:val="24"/>
          <w:szCs w:val="24"/>
        </w:rPr>
        <w:t>five</w:t>
      </w:r>
      <w:r w:rsidR="00A16E29">
        <w:rPr>
          <w:rFonts w:ascii="Times New Roman" w:hAnsi="Times New Roman"/>
          <w:sz w:val="24"/>
          <w:szCs w:val="24"/>
        </w:rPr>
        <w:t xml:space="preserve"> from </w:t>
      </w:r>
      <w:r>
        <w:rPr>
          <w:rFonts w:ascii="Times New Roman" w:hAnsi="Times New Roman"/>
          <w:sz w:val="24"/>
          <w:szCs w:val="24"/>
        </w:rPr>
        <w:t xml:space="preserve">the </w:t>
      </w:r>
      <w:r w:rsidR="00A16E29">
        <w:rPr>
          <w:rFonts w:ascii="Times New Roman" w:hAnsi="Times New Roman"/>
          <w:sz w:val="24"/>
          <w:szCs w:val="24"/>
        </w:rPr>
        <w:t>c</w:t>
      </w:r>
      <w:r w:rsidR="00D23BAB">
        <w:rPr>
          <w:rFonts w:ascii="Times New Roman" w:hAnsi="Times New Roman"/>
          <w:sz w:val="24"/>
          <w:szCs w:val="24"/>
        </w:rPr>
        <w:t>o</w:t>
      </w:r>
      <w:r w:rsidR="00A16E29">
        <w:rPr>
          <w:rFonts w:ascii="Times New Roman" w:hAnsi="Times New Roman"/>
          <w:sz w:val="24"/>
          <w:szCs w:val="24"/>
        </w:rPr>
        <w:t>mpetent authorities</w:t>
      </w:r>
      <w:r w:rsidR="00B06332">
        <w:rPr>
          <w:rFonts w:ascii="Times New Roman" w:hAnsi="Times New Roman"/>
          <w:sz w:val="24"/>
          <w:szCs w:val="24"/>
        </w:rPr>
        <w:t>)</w:t>
      </w:r>
      <w:r w:rsidR="005475BF">
        <w:rPr>
          <w:rFonts w:ascii="Times New Roman" w:hAnsi="Times New Roman"/>
          <w:sz w:val="24"/>
          <w:szCs w:val="24"/>
        </w:rPr>
        <w:t xml:space="preserve">; two </w:t>
      </w:r>
      <w:r w:rsidR="00B06332">
        <w:rPr>
          <w:rFonts w:ascii="Times New Roman" w:hAnsi="Times New Roman"/>
          <w:sz w:val="24"/>
          <w:szCs w:val="24"/>
        </w:rPr>
        <w:t xml:space="preserve">from the </w:t>
      </w:r>
      <w:r w:rsidR="00492965">
        <w:rPr>
          <w:rFonts w:ascii="Times New Roman" w:hAnsi="Times New Roman"/>
          <w:sz w:val="24"/>
          <w:szCs w:val="24"/>
        </w:rPr>
        <w:t xml:space="preserve">private </w:t>
      </w:r>
      <w:r w:rsidR="005B4CE6">
        <w:rPr>
          <w:rFonts w:ascii="Times New Roman" w:hAnsi="Times New Roman"/>
          <w:sz w:val="24"/>
          <w:szCs w:val="24"/>
        </w:rPr>
        <w:t>institutions</w:t>
      </w:r>
      <w:r w:rsidR="005475BF">
        <w:rPr>
          <w:rFonts w:ascii="Times New Roman" w:hAnsi="Times New Roman"/>
          <w:sz w:val="24"/>
          <w:szCs w:val="24"/>
        </w:rPr>
        <w:t xml:space="preserve">; </w:t>
      </w:r>
      <w:r w:rsidR="00492965">
        <w:rPr>
          <w:rFonts w:ascii="Times New Roman" w:hAnsi="Times New Roman"/>
          <w:sz w:val="24"/>
          <w:szCs w:val="24"/>
        </w:rPr>
        <w:t>two l</w:t>
      </w:r>
      <w:r w:rsidR="00B06332">
        <w:rPr>
          <w:rFonts w:ascii="Times New Roman" w:hAnsi="Times New Roman"/>
          <w:sz w:val="24"/>
          <w:szCs w:val="24"/>
        </w:rPr>
        <w:t>ocal a</w:t>
      </w:r>
      <w:r w:rsidR="005475BF">
        <w:rPr>
          <w:rFonts w:ascii="Times New Roman" w:hAnsi="Times New Roman"/>
          <w:sz w:val="24"/>
          <w:szCs w:val="24"/>
        </w:rPr>
        <w:t>uthorit</w:t>
      </w:r>
      <w:r w:rsidR="00492965">
        <w:rPr>
          <w:rFonts w:ascii="Times New Roman" w:hAnsi="Times New Roman"/>
          <w:sz w:val="24"/>
          <w:szCs w:val="24"/>
        </w:rPr>
        <w:t>ies;</w:t>
      </w:r>
      <w:r w:rsidR="005475BF">
        <w:rPr>
          <w:rFonts w:ascii="Times New Roman" w:hAnsi="Times New Roman"/>
          <w:sz w:val="24"/>
          <w:szCs w:val="24"/>
        </w:rPr>
        <w:t xml:space="preserve"> </w:t>
      </w:r>
      <w:r w:rsidR="00492965">
        <w:rPr>
          <w:rFonts w:ascii="Times New Roman" w:hAnsi="Times New Roman"/>
          <w:sz w:val="24"/>
          <w:szCs w:val="24"/>
        </w:rPr>
        <w:t>eight environmental c</w:t>
      </w:r>
      <w:r w:rsidR="005475BF">
        <w:rPr>
          <w:rFonts w:ascii="Times New Roman" w:hAnsi="Times New Roman"/>
          <w:sz w:val="24"/>
          <w:szCs w:val="24"/>
        </w:rPr>
        <w:t>onsultant</w:t>
      </w:r>
      <w:r w:rsidR="00492965">
        <w:rPr>
          <w:rFonts w:ascii="Times New Roman" w:hAnsi="Times New Roman"/>
          <w:sz w:val="24"/>
          <w:szCs w:val="24"/>
        </w:rPr>
        <w:t xml:space="preserve">s; two </w:t>
      </w:r>
      <w:r w:rsidR="00B06332">
        <w:rPr>
          <w:rFonts w:ascii="Times New Roman" w:hAnsi="Times New Roman"/>
          <w:sz w:val="24"/>
          <w:szCs w:val="24"/>
        </w:rPr>
        <w:t>a</w:t>
      </w:r>
      <w:r w:rsidR="00A915A3">
        <w:rPr>
          <w:rFonts w:ascii="Times New Roman" w:hAnsi="Times New Roman"/>
          <w:sz w:val="24"/>
          <w:szCs w:val="24"/>
        </w:rPr>
        <w:t>cademics</w:t>
      </w:r>
      <w:r w:rsidR="005475BF">
        <w:rPr>
          <w:rFonts w:ascii="Times New Roman" w:hAnsi="Times New Roman"/>
          <w:sz w:val="24"/>
          <w:szCs w:val="24"/>
        </w:rPr>
        <w:t>;</w:t>
      </w:r>
      <w:r w:rsidR="00D23BAB">
        <w:rPr>
          <w:rFonts w:ascii="Times New Roman" w:hAnsi="Times New Roman"/>
          <w:sz w:val="24"/>
          <w:szCs w:val="24"/>
        </w:rPr>
        <w:t xml:space="preserve"> and </w:t>
      </w:r>
      <w:r w:rsidR="00782F93">
        <w:rPr>
          <w:rFonts w:ascii="Times New Roman" w:hAnsi="Times New Roman"/>
          <w:sz w:val="24"/>
          <w:szCs w:val="24"/>
        </w:rPr>
        <w:t xml:space="preserve">two </w:t>
      </w:r>
      <w:r w:rsidR="00A915A3">
        <w:rPr>
          <w:rFonts w:ascii="Times New Roman" w:hAnsi="Times New Roman"/>
          <w:sz w:val="24"/>
          <w:szCs w:val="24"/>
        </w:rPr>
        <w:t>NGO representatives</w:t>
      </w:r>
      <w:r w:rsidR="00D23BAB">
        <w:rPr>
          <w:rFonts w:ascii="Times New Roman" w:hAnsi="Times New Roman"/>
          <w:sz w:val="24"/>
          <w:szCs w:val="24"/>
        </w:rPr>
        <w:t xml:space="preserve">. All interviewees had </w:t>
      </w:r>
      <w:r w:rsidR="00D23BAB" w:rsidRPr="00245425">
        <w:rPr>
          <w:rFonts w:ascii="Times New Roman" w:hAnsi="Times New Roman"/>
          <w:sz w:val="24"/>
          <w:szCs w:val="24"/>
        </w:rPr>
        <w:t>at least 5</w:t>
      </w:r>
      <w:r w:rsidR="00D23BAB">
        <w:rPr>
          <w:rFonts w:ascii="Times New Roman" w:hAnsi="Times New Roman"/>
          <w:sz w:val="24"/>
          <w:szCs w:val="24"/>
        </w:rPr>
        <w:t xml:space="preserve"> </w:t>
      </w:r>
      <w:r w:rsidR="00D23BAB" w:rsidRPr="00245425">
        <w:rPr>
          <w:rFonts w:ascii="Times New Roman" w:hAnsi="Times New Roman"/>
          <w:sz w:val="24"/>
          <w:szCs w:val="24"/>
        </w:rPr>
        <w:t xml:space="preserve">years </w:t>
      </w:r>
      <w:r w:rsidR="00D23BAB">
        <w:rPr>
          <w:rFonts w:ascii="Times New Roman" w:hAnsi="Times New Roman"/>
          <w:sz w:val="24"/>
          <w:szCs w:val="24"/>
        </w:rPr>
        <w:t xml:space="preserve">of </w:t>
      </w:r>
      <w:r w:rsidR="00D23BAB" w:rsidRPr="00245425">
        <w:rPr>
          <w:rFonts w:ascii="Times New Roman" w:hAnsi="Times New Roman"/>
          <w:sz w:val="24"/>
          <w:szCs w:val="24"/>
        </w:rPr>
        <w:t>experience in EIA.</w:t>
      </w:r>
      <w:r w:rsidR="00D23BAB">
        <w:rPr>
          <w:rFonts w:ascii="Times New Roman" w:hAnsi="Times New Roman"/>
          <w:sz w:val="24"/>
          <w:szCs w:val="24"/>
        </w:rPr>
        <w:t xml:space="preserve"> </w:t>
      </w:r>
      <w:r w:rsidR="008F786F">
        <w:rPr>
          <w:rFonts w:ascii="Times New Roman" w:hAnsi="Times New Roman"/>
          <w:sz w:val="24"/>
          <w:szCs w:val="24"/>
        </w:rPr>
        <w:t>A pilot interview was first undertaken with five experts, and c</w:t>
      </w:r>
      <w:r>
        <w:rPr>
          <w:rFonts w:ascii="Times New Roman" w:hAnsi="Times New Roman"/>
          <w:sz w:val="24"/>
          <w:szCs w:val="24"/>
        </w:rPr>
        <w:t>hanges were made to the question</w:t>
      </w:r>
      <w:r w:rsidR="008F786F">
        <w:rPr>
          <w:rFonts w:ascii="Times New Roman" w:hAnsi="Times New Roman"/>
          <w:sz w:val="24"/>
          <w:szCs w:val="24"/>
        </w:rPr>
        <w:t xml:space="preserve">s as suggested. </w:t>
      </w:r>
      <w:r>
        <w:rPr>
          <w:rFonts w:ascii="Times New Roman" w:hAnsi="Times New Roman"/>
          <w:sz w:val="24"/>
          <w:szCs w:val="24"/>
        </w:rPr>
        <w:t>Q</w:t>
      </w:r>
      <w:r w:rsidR="00D23BAB">
        <w:rPr>
          <w:rFonts w:ascii="Times New Roman" w:hAnsi="Times New Roman"/>
          <w:sz w:val="24"/>
          <w:szCs w:val="24"/>
        </w:rPr>
        <w:t xml:space="preserve">uestions were technical and EIA specific, therefore the </w:t>
      </w:r>
      <w:r>
        <w:rPr>
          <w:rFonts w:ascii="Times New Roman" w:hAnsi="Times New Roman"/>
          <w:sz w:val="24"/>
          <w:szCs w:val="24"/>
        </w:rPr>
        <w:t xml:space="preserve">general </w:t>
      </w:r>
      <w:r w:rsidR="00D23BAB">
        <w:rPr>
          <w:rFonts w:ascii="Times New Roman" w:hAnsi="Times New Roman"/>
          <w:sz w:val="24"/>
          <w:szCs w:val="24"/>
        </w:rPr>
        <w:t xml:space="preserve">public was not included in the interviews. </w:t>
      </w:r>
      <w:r w:rsidR="00D23BAB" w:rsidRPr="00245425">
        <w:rPr>
          <w:rFonts w:ascii="Times New Roman" w:hAnsi="Times New Roman"/>
          <w:sz w:val="24"/>
          <w:szCs w:val="24"/>
        </w:rPr>
        <w:t>Additional probing questions were posed to stimulate further and detailed discussion</w:t>
      </w:r>
      <w:r w:rsidR="00D23BAB">
        <w:rPr>
          <w:rFonts w:ascii="Times New Roman" w:hAnsi="Times New Roman"/>
          <w:sz w:val="24"/>
          <w:szCs w:val="24"/>
        </w:rPr>
        <w:t>s</w:t>
      </w:r>
      <w:r w:rsidR="00D23BAB" w:rsidRPr="00245425">
        <w:rPr>
          <w:rFonts w:ascii="Times New Roman" w:hAnsi="Times New Roman"/>
          <w:sz w:val="24"/>
          <w:szCs w:val="24"/>
        </w:rPr>
        <w:t xml:space="preserve"> (</w:t>
      </w:r>
      <w:r w:rsidR="00D23BAB" w:rsidRPr="00504A20">
        <w:rPr>
          <w:rFonts w:ascii="Times New Roman" w:hAnsi="Times New Roman"/>
          <w:sz w:val="24"/>
          <w:szCs w:val="24"/>
        </w:rPr>
        <w:t>Sau</w:t>
      </w:r>
      <w:r w:rsidR="00D23BAB" w:rsidRPr="00245425">
        <w:rPr>
          <w:rFonts w:ascii="Times New Roman" w:hAnsi="Times New Roman"/>
          <w:sz w:val="24"/>
          <w:szCs w:val="24"/>
        </w:rPr>
        <w:t>nders</w:t>
      </w:r>
      <w:r w:rsidR="00D23BAB">
        <w:rPr>
          <w:rFonts w:ascii="Times New Roman" w:hAnsi="Times New Roman"/>
          <w:sz w:val="24"/>
          <w:szCs w:val="24"/>
        </w:rPr>
        <w:t xml:space="preserve"> </w:t>
      </w:r>
      <w:r w:rsidR="00D23BAB" w:rsidRPr="00245425">
        <w:rPr>
          <w:rFonts w:ascii="Times New Roman" w:hAnsi="Times New Roman"/>
          <w:sz w:val="24"/>
          <w:szCs w:val="24"/>
        </w:rPr>
        <w:t xml:space="preserve">et al., 2009). </w:t>
      </w:r>
      <w:r w:rsidR="006A60DB">
        <w:rPr>
          <w:rFonts w:ascii="Times New Roman" w:hAnsi="Times New Roman"/>
          <w:sz w:val="24"/>
          <w:szCs w:val="24"/>
        </w:rPr>
        <w:t>Interview t</w:t>
      </w:r>
      <w:r w:rsidR="00D23BAB">
        <w:rPr>
          <w:rFonts w:ascii="Times New Roman" w:hAnsi="Times New Roman"/>
          <w:sz w:val="24"/>
          <w:szCs w:val="24"/>
        </w:rPr>
        <w:t xml:space="preserve">ranscripts were analyzed </w:t>
      </w:r>
      <w:r w:rsidR="00D23BAB" w:rsidRPr="00245425">
        <w:rPr>
          <w:rFonts w:ascii="Times New Roman" w:hAnsi="Times New Roman"/>
          <w:sz w:val="24"/>
          <w:szCs w:val="24"/>
        </w:rPr>
        <w:t>using a deductive approach based on the research questions and occurring themes</w:t>
      </w:r>
      <w:r w:rsidR="00D23BAB">
        <w:rPr>
          <w:rFonts w:ascii="Times New Roman" w:hAnsi="Times New Roman"/>
          <w:sz w:val="24"/>
          <w:szCs w:val="24"/>
        </w:rPr>
        <w:t xml:space="preserve"> </w:t>
      </w:r>
      <w:r w:rsidR="00D23BAB" w:rsidRPr="00245425">
        <w:rPr>
          <w:rFonts w:ascii="Times New Roman" w:hAnsi="Times New Roman"/>
          <w:sz w:val="24"/>
          <w:szCs w:val="24"/>
        </w:rPr>
        <w:t xml:space="preserve">fitting the evaluation criteria. </w:t>
      </w:r>
      <w:r w:rsidR="00D23BAB">
        <w:rPr>
          <w:rFonts w:ascii="Times New Roman" w:hAnsi="Times New Roman"/>
          <w:sz w:val="24"/>
          <w:szCs w:val="24"/>
        </w:rPr>
        <w:t xml:space="preserve">Interviewees’ views are presented in the results </w:t>
      </w:r>
      <w:r w:rsidR="00DF3591">
        <w:rPr>
          <w:rFonts w:ascii="Times New Roman" w:hAnsi="Times New Roman"/>
          <w:sz w:val="24"/>
          <w:szCs w:val="24"/>
        </w:rPr>
        <w:t>(T</w:t>
      </w:r>
      <w:r w:rsidRPr="00DF3591">
        <w:rPr>
          <w:rFonts w:ascii="Times New Roman" w:hAnsi="Times New Roman"/>
          <w:sz w:val="24"/>
          <w:szCs w:val="24"/>
        </w:rPr>
        <w:t>able</w:t>
      </w:r>
      <w:r w:rsidR="00DF3591">
        <w:rPr>
          <w:rFonts w:ascii="Times New Roman" w:hAnsi="Times New Roman"/>
          <w:sz w:val="24"/>
          <w:szCs w:val="24"/>
        </w:rPr>
        <w:t xml:space="preserve"> 1</w:t>
      </w:r>
      <w:r>
        <w:rPr>
          <w:rFonts w:ascii="Times New Roman" w:hAnsi="Times New Roman"/>
          <w:sz w:val="24"/>
          <w:szCs w:val="24"/>
        </w:rPr>
        <w:t xml:space="preserve">) </w:t>
      </w:r>
      <w:r w:rsidR="000654F3">
        <w:rPr>
          <w:rFonts w:ascii="Times New Roman" w:hAnsi="Times New Roman"/>
          <w:sz w:val="24"/>
          <w:szCs w:val="24"/>
        </w:rPr>
        <w:t xml:space="preserve">and in text </w:t>
      </w:r>
      <w:bookmarkStart w:id="0" w:name="_GoBack"/>
      <w:bookmarkEnd w:id="0"/>
      <w:r w:rsidR="00D23BAB">
        <w:rPr>
          <w:rFonts w:ascii="Times New Roman" w:hAnsi="Times New Roman"/>
          <w:sz w:val="24"/>
          <w:szCs w:val="24"/>
        </w:rPr>
        <w:t>using code names to preserve anonymity</w:t>
      </w:r>
      <w:r w:rsidR="00D23BAB" w:rsidRPr="00245425">
        <w:rPr>
          <w:rFonts w:ascii="Times New Roman" w:hAnsi="Times New Roman"/>
          <w:sz w:val="24"/>
          <w:szCs w:val="24"/>
        </w:rPr>
        <w:t>.</w:t>
      </w:r>
      <w:r w:rsidR="00D23BAB" w:rsidRPr="006C64A0">
        <w:rPr>
          <w:rFonts w:ascii="Times New Roman" w:hAnsi="Times New Roman"/>
          <w:sz w:val="24"/>
          <w:szCs w:val="24"/>
        </w:rPr>
        <w:t xml:space="preserve"> </w:t>
      </w:r>
    </w:p>
    <w:p w:rsidR="00FD534F" w:rsidRDefault="00FD534F" w:rsidP="007A15A2">
      <w:pPr>
        <w:pStyle w:val="ListParagraph"/>
        <w:spacing w:before="240" w:line="360" w:lineRule="auto"/>
        <w:ind w:left="0"/>
        <w:jc w:val="both"/>
        <w:rPr>
          <w:rFonts w:ascii="Times New Roman" w:hAnsi="Times New Roman"/>
          <w:sz w:val="24"/>
          <w:szCs w:val="24"/>
        </w:rPr>
      </w:pPr>
    </w:p>
    <w:p w:rsidR="00E560E9" w:rsidRDefault="006B01F0" w:rsidP="00504A20">
      <w:pPr>
        <w:pStyle w:val="ListParagraph"/>
        <w:numPr>
          <w:ilvl w:val="0"/>
          <w:numId w:val="17"/>
        </w:numPr>
        <w:spacing w:line="360" w:lineRule="auto"/>
        <w:jc w:val="both"/>
        <w:rPr>
          <w:rFonts w:ascii="Times New Roman" w:hAnsi="Times New Roman"/>
          <w:b/>
          <w:sz w:val="24"/>
          <w:szCs w:val="24"/>
        </w:rPr>
      </w:pPr>
      <w:r w:rsidRPr="00D105F9">
        <w:rPr>
          <w:rFonts w:ascii="Times New Roman" w:hAnsi="Times New Roman"/>
          <w:b/>
          <w:sz w:val="24"/>
          <w:szCs w:val="24"/>
        </w:rPr>
        <w:t>Results</w:t>
      </w:r>
    </w:p>
    <w:p w:rsidR="00583CF5" w:rsidRDefault="006B01F0" w:rsidP="007C60BD">
      <w:pPr>
        <w:pStyle w:val="ListParagraph"/>
        <w:spacing w:before="240" w:line="360" w:lineRule="auto"/>
        <w:ind w:left="0"/>
        <w:jc w:val="both"/>
        <w:rPr>
          <w:rFonts w:ascii="Times New Roman" w:hAnsi="Times New Roman"/>
          <w:sz w:val="24"/>
          <w:szCs w:val="24"/>
        </w:rPr>
      </w:pPr>
      <w:r>
        <w:rPr>
          <w:rFonts w:ascii="Times New Roman" w:hAnsi="Times New Roman"/>
          <w:sz w:val="24"/>
          <w:szCs w:val="24"/>
        </w:rPr>
        <w:t xml:space="preserve">In </w:t>
      </w:r>
      <w:r w:rsidRPr="007A0FDB">
        <w:rPr>
          <w:rFonts w:ascii="Times New Roman" w:hAnsi="Times New Roman"/>
          <w:sz w:val="24"/>
          <w:szCs w:val="24"/>
        </w:rPr>
        <w:t>this section, the performance of the Namibia EIA system is reviewed</w:t>
      </w:r>
      <w:r w:rsidR="00AE6D0D">
        <w:rPr>
          <w:rFonts w:ascii="Times New Roman" w:hAnsi="Times New Roman"/>
          <w:sz w:val="24"/>
          <w:szCs w:val="24"/>
        </w:rPr>
        <w:t xml:space="preserve">. </w:t>
      </w:r>
      <w:r w:rsidR="00A40FFC">
        <w:rPr>
          <w:rFonts w:ascii="Times New Roman" w:hAnsi="Times New Roman"/>
          <w:sz w:val="24"/>
          <w:szCs w:val="24"/>
        </w:rPr>
        <w:t>Following</w:t>
      </w:r>
      <w:r>
        <w:rPr>
          <w:rFonts w:ascii="Times New Roman" w:hAnsi="Times New Roman"/>
          <w:sz w:val="24"/>
          <w:szCs w:val="24"/>
        </w:rPr>
        <w:t xml:space="preserve"> evidence obtained from document analysis and</w:t>
      </w:r>
      <w:r w:rsidR="00F13286">
        <w:rPr>
          <w:rFonts w:ascii="Times New Roman" w:hAnsi="Times New Roman"/>
          <w:sz w:val="24"/>
          <w:szCs w:val="24"/>
        </w:rPr>
        <w:t xml:space="preserve"> interviews, criteria in Table 1</w:t>
      </w:r>
      <w:r>
        <w:rPr>
          <w:rFonts w:ascii="Times New Roman" w:hAnsi="Times New Roman"/>
          <w:sz w:val="24"/>
          <w:szCs w:val="24"/>
        </w:rPr>
        <w:t xml:space="preserve"> were classified as fully met when substantive evidence </w:t>
      </w:r>
      <w:r w:rsidR="00315B7C">
        <w:rPr>
          <w:rFonts w:ascii="Times New Roman" w:hAnsi="Times New Roman"/>
          <w:sz w:val="24"/>
          <w:szCs w:val="24"/>
        </w:rPr>
        <w:t>was</w:t>
      </w:r>
      <w:r>
        <w:rPr>
          <w:rFonts w:ascii="Times New Roman" w:hAnsi="Times New Roman"/>
          <w:sz w:val="24"/>
          <w:szCs w:val="24"/>
        </w:rPr>
        <w:t xml:space="preserve"> found; partially met when only some evidence </w:t>
      </w:r>
      <w:r w:rsidR="00315B7C">
        <w:rPr>
          <w:rFonts w:ascii="Times New Roman" w:hAnsi="Times New Roman"/>
          <w:sz w:val="24"/>
          <w:szCs w:val="24"/>
        </w:rPr>
        <w:t>was</w:t>
      </w:r>
      <w:r>
        <w:rPr>
          <w:rFonts w:ascii="Times New Roman" w:hAnsi="Times New Roman"/>
          <w:sz w:val="24"/>
          <w:szCs w:val="24"/>
        </w:rPr>
        <w:t xml:space="preserve"> found and not met when no evidence </w:t>
      </w:r>
      <w:r w:rsidR="00315B7C">
        <w:rPr>
          <w:rFonts w:ascii="Times New Roman" w:hAnsi="Times New Roman"/>
          <w:sz w:val="24"/>
          <w:szCs w:val="24"/>
        </w:rPr>
        <w:t>was</w:t>
      </w:r>
      <w:r>
        <w:rPr>
          <w:rFonts w:ascii="Times New Roman" w:hAnsi="Times New Roman"/>
          <w:sz w:val="24"/>
          <w:szCs w:val="24"/>
        </w:rPr>
        <w:t xml:space="preserve"> found. Overall, results</w:t>
      </w:r>
      <w:r w:rsidR="009655B4">
        <w:rPr>
          <w:rFonts w:ascii="Times New Roman" w:hAnsi="Times New Roman"/>
          <w:sz w:val="24"/>
          <w:szCs w:val="24"/>
        </w:rPr>
        <w:t xml:space="preserve"> </w:t>
      </w:r>
      <w:r w:rsidR="00C2694B">
        <w:rPr>
          <w:rFonts w:ascii="Times New Roman" w:hAnsi="Times New Roman"/>
          <w:sz w:val="24"/>
          <w:szCs w:val="24"/>
        </w:rPr>
        <w:t>show</w:t>
      </w:r>
      <w:r w:rsidR="00497425">
        <w:rPr>
          <w:rFonts w:ascii="Times New Roman" w:hAnsi="Times New Roman"/>
          <w:sz w:val="24"/>
          <w:szCs w:val="24"/>
        </w:rPr>
        <w:t xml:space="preserve"> that 68</w:t>
      </w:r>
      <w:r w:rsidR="009655B4">
        <w:rPr>
          <w:rFonts w:ascii="Times New Roman" w:hAnsi="Times New Roman"/>
          <w:sz w:val="24"/>
          <w:szCs w:val="24"/>
        </w:rPr>
        <w:t xml:space="preserve">% </w:t>
      </w:r>
      <w:r w:rsidR="00AE6D0D">
        <w:rPr>
          <w:rFonts w:ascii="Times New Roman" w:hAnsi="Times New Roman"/>
          <w:sz w:val="24"/>
          <w:szCs w:val="24"/>
        </w:rPr>
        <w:t xml:space="preserve">(n=15) </w:t>
      </w:r>
      <w:r w:rsidR="009655B4">
        <w:rPr>
          <w:rFonts w:ascii="Times New Roman" w:hAnsi="Times New Roman"/>
          <w:sz w:val="24"/>
          <w:szCs w:val="24"/>
        </w:rPr>
        <w:t>of the evaluation criteria are partially met</w:t>
      </w:r>
      <w:r w:rsidR="00CC4D20">
        <w:rPr>
          <w:rFonts w:ascii="Times New Roman" w:hAnsi="Times New Roman"/>
          <w:sz w:val="24"/>
          <w:szCs w:val="24"/>
        </w:rPr>
        <w:t>; 31% (</w:t>
      </w:r>
      <w:r w:rsidR="00AE6D0D">
        <w:rPr>
          <w:rFonts w:ascii="Times New Roman" w:hAnsi="Times New Roman"/>
          <w:sz w:val="24"/>
          <w:szCs w:val="24"/>
        </w:rPr>
        <w:t>n=</w:t>
      </w:r>
      <w:r>
        <w:rPr>
          <w:rFonts w:ascii="Times New Roman" w:hAnsi="Times New Roman"/>
          <w:sz w:val="24"/>
          <w:szCs w:val="24"/>
        </w:rPr>
        <w:t>5)</w:t>
      </w:r>
      <w:r w:rsidR="00497425">
        <w:rPr>
          <w:rFonts w:ascii="Times New Roman" w:hAnsi="Times New Roman"/>
          <w:sz w:val="24"/>
          <w:szCs w:val="24"/>
        </w:rPr>
        <w:t xml:space="preserve"> are</w:t>
      </w:r>
      <w:r w:rsidR="009655B4">
        <w:rPr>
          <w:rFonts w:ascii="Times New Roman" w:hAnsi="Times New Roman"/>
          <w:sz w:val="24"/>
          <w:szCs w:val="24"/>
        </w:rPr>
        <w:t xml:space="preserve"> not met and no</w:t>
      </w:r>
      <w:r w:rsidR="00497425">
        <w:rPr>
          <w:rFonts w:ascii="Times New Roman" w:hAnsi="Times New Roman"/>
          <w:sz w:val="24"/>
          <w:szCs w:val="24"/>
        </w:rPr>
        <w:t>ne of the</w:t>
      </w:r>
      <w:r w:rsidR="009655B4">
        <w:rPr>
          <w:rFonts w:ascii="Times New Roman" w:hAnsi="Times New Roman"/>
          <w:sz w:val="24"/>
          <w:szCs w:val="24"/>
        </w:rPr>
        <w:t xml:space="preserve"> criteria is </w:t>
      </w:r>
      <w:r w:rsidR="00497425">
        <w:rPr>
          <w:rFonts w:ascii="Times New Roman" w:hAnsi="Times New Roman"/>
          <w:sz w:val="24"/>
          <w:szCs w:val="24"/>
        </w:rPr>
        <w:t xml:space="preserve">considered </w:t>
      </w:r>
      <w:r w:rsidR="009655B4">
        <w:rPr>
          <w:rFonts w:ascii="Times New Roman" w:hAnsi="Times New Roman"/>
          <w:sz w:val="24"/>
          <w:szCs w:val="24"/>
        </w:rPr>
        <w:t>fully met (</w:t>
      </w:r>
      <w:r w:rsidR="00C2694B">
        <w:rPr>
          <w:rFonts w:ascii="Times New Roman" w:hAnsi="Times New Roman"/>
          <w:sz w:val="24"/>
          <w:szCs w:val="24"/>
        </w:rPr>
        <w:t>T</w:t>
      </w:r>
      <w:r w:rsidR="009655B4">
        <w:rPr>
          <w:rFonts w:ascii="Times New Roman" w:hAnsi="Times New Roman"/>
          <w:sz w:val="24"/>
          <w:szCs w:val="24"/>
        </w:rPr>
        <w:t>abl</w:t>
      </w:r>
      <w:r w:rsidR="00F13286">
        <w:rPr>
          <w:rFonts w:ascii="Times New Roman" w:hAnsi="Times New Roman"/>
          <w:sz w:val="24"/>
          <w:szCs w:val="24"/>
        </w:rPr>
        <w:t>e 1</w:t>
      </w:r>
      <w:r w:rsidR="009655B4">
        <w:rPr>
          <w:rFonts w:ascii="Times New Roman" w:hAnsi="Times New Roman"/>
          <w:sz w:val="24"/>
          <w:szCs w:val="24"/>
        </w:rPr>
        <w:t xml:space="preserve">). </w:t>
      </w:r>
    </w:p>
    <w:p w:rsidR="00510AC8" w:rsidRDefault="00510AC8" w:rsidP="00504A20">
      <w:pPr>
        <w:pStyle w:val="ListParagraph"/>
        <w:spacing w:line="360" w:lineRule="auto"/>
        <w:ind w:left="0"/>
        <w:jc w:val="both"/>
        <w:rPr>
          <w:rFonts w:ascii="Times New Roman" w:hAnsi="Times New Roman"/>
          <w:sz w:val="24"/>
          <w:szCs w:val="24"/>
        </w:rPr>
      </w:pPr>
    </w:p>
    <w:p w:rsidR="007C60BD" w:rsidRDefault="007C60BD" w:rsidP="00504A20">
      <w:pPr>
        <w:pStyle w:val="ListParagraph"/>
        <w:spacing w:line="360" w:lineRule="auto"/>
        <w:ind w:left="0"/>
        <w:jc w:val="both"/>
        <w:rPr>
          <w:rFonts w:ascii="Times New Roman" w:hAnsi="Times New Roman"/>
          <w:sz w:val="24"/>
          <w:szCs w:val="24"/>
        </w:rPr>
      </w:pPr>
    </w:p>
    <w:p w:rsidR="00BB09AF" w:rsidRPr="007B58C2" w:rsidRDefault="006B01F0" w:rsidP="007B58C2">
      <w:pPr>
        <w:pStyle w:val="CommentText"/>
        <w:numPr>
          <w:ilvl w:val="1"/>
          <w:numId w:val="17"/>
        </w:numPr>
        <w:spacing w:line="360" w:lineRule="auto"/>
        <w:jc w:val="both"/>
        <w:rPr>
          <w:rFonts w:ascii="Times New Roman" w:hAnsi="Times New Roman"/>
          <w:b/>
          <w:sz w:val="24"/>
          <w:szCs w:val="24"/>
        </w:rPr>
      </w:pPr>
      <w:r w:rsidRPr="007B58C2">
        <w:rPr>
          <w:rFonts w:ascii="Times New Roman" w:hAnsi="Times New Roman"/>
          <w:b/>
          <w:sz w:val="24"/>
          <w:szCs w:val="24"/>
        </w:rPr>
        <w:lastRenderedPageBreak/>
        <w:t>Legislative framework for EIA</w:t>
      </w:r>
    </w:p>
    <w:p w:rsidR="008901E0" w:rsidRDefault="006B01F0" w:rsidP="00504A20">
      <w:pPr>
        <w:pStyle w:val="CommentText"/>
        <w:spacing w:line="360" w:lineRule="auto"/>
        <w:jc w:val="both"/>
        <w:rPr>
          <w:rFonts w:ascii="Times New Roman" w:hAnsi="Times New Roman"/>
          <w:sz w:val="24"/>
          <w:szCs w:val="24"/>
        </w:rPr>
      </w:pPr>
      <w:r w:rsidRPr="00BB09AF">
        <w:rPr>
          <w:rFonts w:ascii="Times New Roman" w:hAnsi="Times New Roman"/>
          <w:sz w:val="24"/>
          <w:szCs w:val="24"/>
        </w:rPr>
        <w:t>The constitution of</w:t>
      </w:r>
      <w:r w:rsidR="000011F3">
        <w:rPr>
          <w:rFonts w:ascii="Times New Roman" w:hAnsi="Times New Roman"/>
          <w:sz w:val="24"/>
          <w:szCs w:val="24"/>
        </w:rPr>
        <w:t xml:space="preserve"> Namibia article 95(l) requires the state to govern the environment for the wellbeing of the people</w:t>
      </w:r>
      <w:r w:rsidR="006637D0">
        <w:rPr>
          <w:rFonts w:ascii="Times New Roman" w:hAnsi="Times New Roman"/>
          <w:sz w:val="24"/>
          <w:szCs w:val="24"/>
        </w:rPr>
        <w:t>,</w:t>
      </w:r>
      <w:r w:rsidR="000011F3">
        <w:rPr>
          <w:rFonts w:ascii="Times New Roman" w:hAnsi="Times New Roman"/>
          <w:sz w:val="24"/>
          <w:szCs w:val="24"/>
        </w:rPr>
        <w:t xml:space="preserve"> </w:t>
      </w:r>
      <w:r w:rsidR="006637D0">
        <w:rPr>
          <w:rFonts w:ascii="Times New Roman" w:hAnsi="Times New Roman"/>
          <w:sz w:val="24"/>
          <w:szCs w:val="24"/>
        </w:rPr>
        <w:t>noting</w:t>
      </w:r>
      <w:r w:rsidR="00AE6D0D">
        <w:rPr>
          <w:rFonts w:ascii="Times New Roman" w:hAnsi="Times New Roman"/>
          <w:sz w:val="24"/>
          <w:szCs w:val="24"/>
        </w:rPr>
        <w:t xml:space="preserve"> that</w:t>
      </w:r>
      <w:r w:rsidRPr="00BB09AF">
        <w:rPr>
          <w:rFonts w:ascii="Times New Roman" w:hAnsi="Times New Roman"/>
          <w:sz w:val="24"/>
          <w:szCs w:val="24"/>
        </w:rPr>
        <w:t xml:space="preserve">: </w:t>
      </w:r>
      <w:r w:rsidRPr="00BB09AF">
        <w:rPr>
          <w:rFonts w:ascii="Times New Roman" w:hAnsi="Times New Roman"/>
          <w:i/>
          <w:sz w:val="24"/>
          <w:szCs w:val="24"/>
        </w:rPr>
        <w:t xml:space="preserve">“The state shall actively promote and maintain the welfare of the people by </w:t>
      </w:r>
      <w:r w:rsidR="00F32F87">
        <w:rPr>
          <w:rFonts w:ascii="Times New Roman" w:hAnsi="Times New Roman"/>
          <w:i/>
          <w:sz w:val="24"/>
          <w:szCs w:val="24"/>
        </w:rPr>
        <w:t xml:space="preserve">adopting policies aimed at the </w:t>
      </w:r>
      <w:r w:rsidRPr="00BB09AF">
        <w:rPr>
          <w:rFonts w:ascii="Times New Roman" w:hAnsi="Times New Roman"/>
          <w:i/>
          <w:sz w:val="24"/>
          <w:szCs w:val="24"/>
        </w:rPr>
        <w:t>maintenance of ecosystems, essential ecological processes</w:t>
      </w:r>
      <w:r w:rsidR="00C4521A" w:rsidRPr="00C4521A">
        <w:rPr>
          <w:rFonts w:ascii="Times New Roman" w:hAnsi="Times New Roman"/>
          <w:i/>
          <w:sz w:val="24"/>
          <w:szCs w:val="24"/>
        </w:rPr>
        <w:t xml:space="preserve"> </w:t>
      </w:r>
      <w:r w:rsidR="00C4521A" w:rsidRPr="00BB09AF">
        <w:rPr>
          <w:rFonts w:ascii="Times New Roman" w:hAnsi="Times New Roman"/>
          <w:i/>
          <w:sz w:val="24"/>
          <w:szCs w:val="24"/>
        </w:rPr>
        <w:t xml:space="preserve">and biological diversity of </w:t>
      </w:r>
      <w:r w:rsidR="0029385B" w:rsidRPr="00BB09AF">
        <w:rPr>
          <w:rFonts w:ascii="Times New Roman" w:hAnsi="Times New Roman"/>
          <w:i/>
          <w:sz w:val="24"/>
          <w:szCs w:val="24"/>
        </w:rPr>
        <w:t>Namibia”</w:t>
      </w:r>
      <w:r w:rsidRPr="00BB09AF">
        <w:rPr>
          <w:rFonts w:ascii="Times New Roman" w:hAnsi="Times New Roman"/>
          <w:sz w:val="24"/>
          <w:szCs w:val="24"/>
        </w:rPr>
        <w:t xml:space="preserve"> (GRN, 1990).</w:t>
      </w:r>
      <w:r w:rsidR="008B3342" w:rsidRPr="00BB09AF">
        <w:rPr>
          <w:rFonts w:ascii="Times New Roman" w:hAnsi="Times New Roman"/>
          <w:sz w:val="24"/>
          <w:szCs w:val="24"/>
        </w:rPr>
        <w:t xml:space="preserve"> T</w:t>
      </w:r>
      <w:r w:rsidR="00A862EC">
        <w:rPr>
          <w:rFonts w:ascii="Times New Roman" w:hAnsi="Times New Roman"/>
          <w:sz w:val="24"/>
          <w:szCs w:val="24"/>
        </w:rPr>
        <w:t xml:space="preserve">he Ministry of Environment and </w:t>
      </w:r>
      <w:r w:rsidRPr="00BB09AF">
        <w:rPr>
          <w:rFonts w:ascii="Times New Roman" w:hAnsi="Times New Roman"/>
          <w:sz w:val="24"/>
          <w:szCs w:val="24"/>
        </w:rPr>
        <w:t xml:space="preserve">Tourism (MET) was established to </w:t>
      </w:r>
      <w:r w:rsidR="008B3342" w:rsidRPr="00BB09AF">
        <w:rPr>
          <w:rFonts w:ascii="Times New Roman" w:hAnsi="Times New Roman"/>
          <w:sz w:val="24"/>
          <w:szCs w:val="24"/>
        </w:rPr>
        <w:t>promote</w:t>
      </w:r>
      <w:r w:rsidRPr="00BB09AF">
        <w:rPr>
          <w:rFonts w:ascii="Times New Roman" w:hAnsi="Times New Roman"/>
          <w:sz w:val="24"/>
          <w:szCs w:val="24"/>
        </w:rPr>
        <w:t xml:space="preserve"> </w:t>
      </w:r>
      <w:r w:rsidR="008B3342" w:rsidRPr="00BB09AF">
        <w:rPr>
          <w:rFonts w:ascii="Times New Roman" w:hAnsi="Times New Roman"/>
          <w:sz w:val="24"/>
          <w:szCs w:val="24"/>
        </w:rPr>
        <w:t>article 95 with provisions on environmental assessment and management</w:t>
      </w:r>
      <w:r w:rsidR="005D1450" w:rsidRPr="00BB09AF">
        <w:rPr>
          <w:rFonts w:ascii="Times New Roman" w:hAnsi="Times New Roman"/>
          <w:sz w:val="24"/>
          <w:szCs w:val="24"/>
        </w:rPr>
        <w:t xml:space="preserve"> as well as the implementation of multilateral environmental agreements</w:t>
      </w:r>
      <w:r w:rsidR="008B3342" w:rsidRPr="00BB09AF">
        <w:rPr>
          <w:rFonts w:ascii="Times New Roman" w:hAnsi="Times New Roman"/>
          <w:sz w:val="24"/>
          <w:szCs w:val="24"/>
        </w:rPr>
        <w:t xml:space="preserve">. </w:t>
      </w:r>
      <w:r w:rsidR="005D1450" w:rsidRPr="00BB09AF">
        <w:rPr>
          <w:rFonts w:ascii="Times New Roman" w:hAnsi="Times New Roman"/>
          <w:sz w:val="24"/>
          <w:szCs w:val="24"/>
        </w:rPr>
        <w:t xml:space="preserve">In 1991, </w:t>
      </w:r>
      <w:r w:rsidR="00A862EC">
        <w:rPr>
          <w:rFonts w:ascii="Times New Roman" w:hAnsi="Times New Roman"/>
          <w:sz w:val="24"/>
          <w:szCs w:val="24"/>
        </w:rPr>
        <w:t>MET</w:t>
      </w:r>
      <w:r w:rsidRPr="00BB09AF">
        <w:rPr>
          <w:rFonts w:ascii="Times New Roman" w:hAnsi="Times New Roman"/>
          <w:sz w:val="24"/>
          <w:szCs w:val="24"/>
        </w:rPr>
        <w:t xml:space="preserve"> initiated an extensive inter-sectoral dialogue on environmental management</w:t>
      </w:r>
      <w:r w:rsidR="005D1450" w:rsidRPr="00BB09AF">
        <w:rPr>
          <w:rFonts w:ascii="Times New Roman" w:hAnsi="Times New Roman"/>
          <w:sz w:val="24"/>
          <w:szCs w:val="24"/>
        </w:rPr>
        <w:t xml:space="preserve">, </w:t>
      </w:r>
      <w:r w:rsidR="006637D0">
        <w:rPr>
          <w:rFonts w:ascii="Times New Roman" w:hAnsi="Times New Roman"/>
          <w:sz w:val="24"/>
          <w:szCs w:val="24"/>
        </w:rPr>
        <w:t>which</w:t>
      </w:r>
      <w:r w:rsidR="005D1450" w:rsidRPr="00BB09AF">
        <w:rPr>
          <w:rFonts w:ascii="Times New Roman" w:hAnsi="Times New Roman"/>
          <w:sz w:val="24"/>
          <w:szCs w:val="24"/>
        </w:rPr>
        <w:t xml:space="preserve"> led to the Namibia </w:t>
      </w:r>
      <w:r w:rsidRPr="00BB09AF">
        <w:rPr>
          <w:rFonts w:ascii="Times New Roman" w:hAnsi="Times New Roman"/>
          <w:sz w:val="24"/>
          <w:szCs w:val="24"/>
        </w:rPr>
        <w:t>Green Plan</w:t>
      </w:r>
      <w:r w:rsidR="00315B7C">
        <w:rPr>
          <w:rFonts w:ascii="Times New Roman" w:hAnsi="Times New Roman"/>
          <w:sz w:val="24"/>
          <w:szCs w:val="24"/>
        </w:rPr>
        <w:t xml:space="preserve"> which was </w:t>
      </w:r>
      <w:r w:rsidR="005D1450" w:rsidRPr="00BB09AF">
        <w:rPr>
          <w:rFonts w:ascii="Times New Roman" w:hAnsi="Times New Roman"/>
          <w:sz w:val="24"/>
          <w:szCs w:val="24"/>
        </w:rPr>
        <w:t xml:space="preserve">at the Rio </w:t>
      </w:r>
      <w:r w:rsidR="006637D0">
        <w:rPr>
          <w:rFonts w:ascii="Times New Roman" w:hAnsi="Times New Roman"/>
          <w:sz w:val="24"/>
          <w:szCs w:val="24"/>
        </w:rPr>
        <w:t>E</w:t>
      </w:r>
      <w:r w:rsidR="005D1450" w:rsidRPr="00BB09AF">
        <w:rPr>
          <w:rFonts w:ascii="Times New Roman" w:hAnsi="Times New Roman"/>
          <w:sz w:val="24"/>
          <w:szCs w:val="24"/>
        </w:rPr>
        <w:t xml:space="preserve">arth </w:t>
      </w:r>
      <w:r w:rsidR="00AE6D0D">
        <w:rPr>
          <w:rFonts w:ascii="Times New Roman" w:hAnsi="Times New Roman"/>
          <w:sz w:val="24"/>
          <w:szCs w:val="24"/>
        </w:rPr>
        <w:t>S</w:t>
      </w:r>
      <w:r w:rsidR="005D1450" w:rsidRPr="00BB09AF">
        <w:rPr>
          <w:rFonts w:ascii="Times New Roman" w:hAnsi="Times New Roman"/>
          <w:sz w:val="24"/>
          <w:szCs w:val="24"/>
        </w:rPr>
        <w:t>ummit in 1992</w:t>
      </w:r>
      <w:r w:rsidR="00315B7C">
        <w:rPr>
          <w:rFonts w:ascii="Times New Roman" w:hAnsi="Times New Roman"/>
          <w:sz w:val="24"/>
          <w:szCs w:val="24"/>
        </w:rPr>
        <w:t xml:space="preserve">. In 2020, </w:t>
      </w:r>
      <w:r w:rsidR="00A862EC">
        <w:rPr>
          <w:rFonts w:ascii="Times New Roman" w:hAnsi="Times New Roman"/>
          <w:sz w:val="24"/>
          <w:szCs w:val="24"/>
        </w:rPr>
        <w:t>MET was recently renamed the Ministry of Environment, Forestry</w:t>
      </w:r>
      <w:r w:rsidR="00CC4D20">
        <w:rPr>
          <w:rFonts w:ascii="Times New Roman" w:hAnsi="Times New Roman"/>
          <w:sz w:val="24"/>
          <w:szCs w:val="24"/>
        </w:rPr>
        <w:t xml:space="preserve"> and Tourism</w:t>
      </w:r>
      <w:r w:rsidR="00A862EC">
        <w:rPr>
          <w:rFonts w:ascii="Times New Roman" w:hAnsi="Times New Roman"/>
          <w:sz w:val="24"/>
          <w:szCs w:val="24"/>
        </w:rPr>
        <w:t xml:space="preserve"> (</w:t>
      </w:r>
      <w:r w:rsidR="00CC4D20">
        <w:rPr>
          <w:rFonts w:ascii="Times New Roman" w:hAnsi="Times New Roman"/>
          <w:sz w:val="24"/>
          <w:szCs w:val="24"/>
        </w:rPr>
        <w:t>MEFT</w:t>
      </w:r>
      <w:r w:rsidR="00A862EC">
        <w:rPr>
          <w:rFonts w:ascii="Times New Roman" w:hAnsi="Times New Roman"/>
          <w:sz w:val="24"/>
          <w:szCs w:val="24"/>
        </w:rPr>
        <w:t>)</w:t>
      </w:r>
      <w:r w:rsidR="00CC4D20">
        <w:rPr>
          <w:rFonts w:ascii="Times New Roman" w:hAnsi="Times New Roman"/>
          <w:sz w:val="24"/>
          <w:szCs w:val="24"/>
        </w:rPr>
        <w:t xml:space="preserve">, and </w:t>
      </w:r>
      <w:r w:rsidR="006E576C">
        <w:rPr>
          <w:rFonts w:ascii="Times New Roman" w:hAnsi="Times New Roman"/>
          <w:sz w:val="24"/>
          <w:szCs w:val="24"/>
        </w:rPr>
        <w:t xml:space="preserve">it </w:t>
      </w:r>
      <w:r w:rsidR="003D55A0">
        <w:rPr>
          <w:rFonts w:ascii="Times New Roman" w:hAnsi="Times New Roman"/>
          <w:sz w:val="24"/>
          <w:szCs w:val="24"/>
        </w:rPr>
        <w:t xml:space="preserve">is </w:t>
      </w:r>
      <w:r w:rsidR="00CC4D20">
        <w:rPr>
          <w:rFonts w:ascii="Times New Roman" w:hAnsi="Times New Roman"/>
          <w:sz w:val="24"/>
          <w:szCs w:val="24"/>
        </w:rPr>
        <w:t xml:space="preserve">referred to as such </w:t>
      </w:r>
      <w:r w:rsidR="006E576C">
        <w:rPr>
          <w:rFonts w:ascii="Times New Roman" w:hAnsi="Times New Roman"/>
          <w:sz w:val="24"/>
          <w:szCs w:val="24"/>
        </w:rPr>
        <w:t xml:space="preserve">henceforth </w:t>
      </w:r>
      <w:r w:rsidR="00CC4D20">
        <w:rPr>
          <w:rFonts w:ascii="Times New Roman" w:hAnsi="Times New Roman"/>
          <w:sz w:val="24"/>
          <w:szCs w:val="24"/>
        </w:rPr>
        <w:t>in this paper</w:t>
      </w:r>
      <w:r w:rsidR="00A862EC">
        <w:rPr>
          <w:rFonts w:ascii="Times New Roman" w:hAnsi="Times New Roman"/>
          <w:sz w:val="24"/>
          <w:szCs w:val="24"/>
        </w:rPr>
        <w:t xml:space="preserve">. </w:t>
      </w:r>
      <w:r w:rsidR="009707D5">
        <w:rPr>
          <w:rFonts w:ascii="Times New Roman" w:hAnsi="Times New Roman"/>
          <w:sz w:val="24"/>
          <w:szCs w:val="24"/>
        </w:rPr>
        <w:t>Consequently</w:t>
      </w:r>
      <w:r w:rsidR="000011F3">
        <w:rPr>
          <w:rFonts w:ascii="Times New Roman" w:hAnsi="Times New Roman"/>
          <w:sz w:val="24"/>
          <w:szCs w:val="24"/>
        </w:rPr>
        <w:t xml:space="preserve">, </w:t>
      </w:r>
      <w:r w:rsidRPr="00BB09AF">
        <w:rPr>
          <w:rFonts w:ascii="Times New Roman" w:hAnsi="Times New Roman"/>
          <w:sz w:val="24"/>
          <w:szCs w:val="24"/>
        </w:rPr>
        <w:t xml:space="preserve">EIA </w:t>
      </w:r>
      <w:r w:rsidR="005D1450" w:rsidRPr="00BB09AF">
        <w:rPr>
          <w:rFonts w:ascii="Times New Roman" w:hAnsi="Times New Roman"/>
          <w:sz w:val="24"/>
          <w:szCs w:val="24"/>
        </w:rPr>
        <w:t xml:space="preserve">was accepted </w:t>
      </w:r>
      <w:r w:rsidRPr="00BB09AF">
        <w:rPr>
          <w:rFonts w:ascii="Times New Roman" w:hAnsi="Times New Roman"/>
          <w:sz w:val="24"/>
          <w:szCs w:val="24"/>
        </w:rPr>
        <w:t>as an environmenta</w:t>
      </w:r>
      <w:r w:rsidR="005D1450" w:rsidRPr="00BB09AF">
        <w:rPr>
          <w:rFonts w:ascii="Times New Roman" w:hAnsi="Times New Roman"/>
          <w:sz w:val="24"/>
          <w:szCs w:val="24"/>
        </w:rPr>
        <w:t>l gov</w:t>
      </w:r>
      <w:r w:rsidR="000011F3">
        <w:rPr>
          <w:rFonts w:ascii="Times New Roman" w:hAnsi="Times New Roman"/>
          <w:sz w:val="24"/>
          <w:szCs w:val="24"/>
        </w:rPr>
        <w:t>ernance tool, and t</w:t>
      </w:r>
      <w:r w:rsidR="005D1450" w:rsidRPr="00BB09AF">
        <w:rPr>
          <w:rFonts w:ascii="Times New Roman" w:hAnsi="Times New Roman"/>
          <w:sz w:val="24"/>
          <w:szCs w:val="24"/>
        </w:rPr>
        <w:t xml:space="preserve">he </w:t>
      </w:r>
      <w:r w:rsidRPr="00BB09AF">
        <w:rPr>
          <w:rFonts w:ascii="Times New Roman" w:hAnsi="Times New Roman"/>
          <w:sz w:val="24"/>
          <w:szCs w:val="24"/>
        </w:rPr>
        <w:t xml:space="preserve">first Environmental </w:t>
      </w:r>
      <w:r w:rsidR="009707D5">
        <w:rPr>
          <w:rFonts w:ascii="Times New Roman" w:hAnsi="Times New Roman"/>
          <w:sz w:val="24"/>
          <w:szCs w:val="24"/>
        </w:rPr>
        <w:t>P</w:t>
      </w:r>
      <w:r w:rsidR="009707D5" w:rsidRPr="00BB09AF">
        <w:rPr>
          <w:rFonts w:ascii="Times New Roman" w:hAnsi="Times New Roman"/>
          <w:sz w:val="24"/>
          <w:szCs w:val="24"/>
        </w:rPr>
        <w:t xml:space="preserve">olicy </w:t>
      </w:r>
      <w:r w:rsidRPr="00BB09AF">
        <w:rPr>
          <w:rFonts w:ascii="Times New Roman" w:hAnsi="Times New Roman"/>
          <w:sz w:val="24"/>
          <w:szCs w:val="24"/>
        </w:rPr>
        <w:t>was enacted</w:t>
      </w:r>
      <w:r w:rsidR="000011F3">
        <w:rPr>
          <w:rFonts w:ascii="Times New Roman" w:hAnsi="Times New Roman"/>
          <w:sz w:val="24"/>
          <w:szCs w:val="24"/>
        </w:rPr>
        <w:t xml:space="preserve"> in 1994. This was</w:t>
      </w:r>
      <w:r w:rsidR="005D1450" w:rsidRPr="00BB09AF">
        <w:rPr>
          <w:rFonts w:ascii="Times New Roman" w:hAnsi="Times New Roman"/>
          <w:sz w:val="24"/>
          <w:szCs w:val="24"/>
        </w:rPr>
        <w:t xml:space="preserve"> followed by </w:t>
      </w:r>
      <w:r w:rsidRPr="00BB09AF">
        <w:rPr>
          <w:rFonts w:ascii="Times New Roman" w:hAnsi="Times New Roman"/>
          <w:sz w:val="24"/>
          <w:szCs w:val="24"/>
        </w:rPr>
        <w:t>the promulgation of the Env</w:t>
      </w:r>
      <w:r w:rsidR="00B846ED">
        <w:rPr>
          <w:rFonts w:ascii="Times New Roman" w:hAnsi="Times New Roman"/>
          <w:sz w:val="24"/>
          <w:szCs w:val="24"/>
        </w:rPr>
        <w:t xml:space="preserve">ironmental Management Act (EMA, </w:t>
      </w:r>
      <w:r w:rsidRPr="00BB09AF">
        <w:rPr>
          <w:rFonts w:ascii="Times New Roman" w:hAnsi="Times New Roman"/>
          <w:sz w:val="24"/>
          <w:szCs w:val="24"/>
        </w:rPr>
        <w:t xml:space="preserve">No. 7 of 2007) and the enabling EIA Regulations </w:t>
      </w:r>
      <w:r w:rsidR="00B846ED">
        <w:rPr>
          <w:rFonts w:ascii="Times New Roman" w:hAnsi="Times New Roman"/>
          <w:sz w:val="24"/>
          <w:szCs w:val="24"/>
        </w:rPr>
        <w:t>(</w:t>
      </w:r>
      <w:r w:rsidRPr="00BB09AF">
        <w:rPr>
          <w:rFonts w:ascii="Times New Roman" w:hAnsi="Times New Roman"/>
          <w:sz w:val="24"/>
          <w:szCs w:val="24"/>
        </w:rPr>
        <w:t xml:space="preserve">No. </w:t>
      </w:r>
      <w:r w:rsidR="00B846ED">
        <w:rPr>
          <w:rFonts w:ascii="Times New Roman" w:hAnsi="Times New Roman"/>
          <w:sz w:val="24"/>
          <w:szCs w:val="24"/>
        </w:rPr>
        <w:t>30 of 2012).</w:t>
      </w:r>
      <w:r w:rsidRPr="00BB09AF">
        <w:rPr>
          <w:rFonts w:ascii="Times New Roman" w:hAnsi="Times New Roman"/>
          <w:sz w:val="24"/>
          <w:szCs w:val="24"/>
        </w:rPr>
        <w:t xml:space="preserve"> </w:t>
      </w:r>
      <w:r w:rsidR="00E560E9" w:rsidRPr="00BB09AF">
        <w:rPr>
          <w:rFonts w:ascii="Times New Roman" w:hAnsi="Times New Roman"/>
          <w:sz w:val="24"/>
          <w:szCs w:val="24"/>
        </w:rPr>
        <w:t xml:space="preserve">The </w:t>
      </w:r>
      <w:r w:rsidR="005D1450" w:rsidRPr="00BB09AF">
        <w:rPr>
          <w:rFonts w:ascii="Times New Roman" w:hAnsi="Times New Roman"/>
          <w:sz w:val="24"/>
          <w:szCs w:val="24"/>
        </w:rPr>
        <w:t xml:space="preserve">EIA </w:t>
      </w:r>
      <w:r w:rsidR="00E560E9" w:rsidRPr="00BB09AF">
        <w:rPr>
          <w:rFonts w:ascii="Times New Roman" w:hAnsi="Times New Roman"/>
          <w:sz w:val="24"/>
          <w:szCs w:val="24"/>
        </w:rPr>
        <w:t xml:space="preserve">legislation applies to new projects as well as to the renovation or expansion of existing development. </w:t>
      </w:r>
    </w:p>
    <w:p w:rsidR="00FA59EB" w:rsidRDefault="006B01F0" w:rsidP="00FA59EB">
      <w:pPr>
        <w:pStyle w:val="CommentText"/>
        <w:shd w:val="clear" w:color="auto" w:fill="FFFFFF"/>
        <w:spacing w:line="360" w:lineRule="auto"/>
        <w:jc w:val="both"/>
        <w:rPr>
          <w:rFonts w:ascii="Times New Roman" w:hAnsi="Times New Roman"/>
          <w:sz w:val="24"/>
          <w:szCs w:val="24"/>
        </w:rPr>
      </w:pPr>
      <w:r>
        <w:rPr>
          <w:rFonts w:ascii="Times New Roman" w:hAnsi="Times New Roman"/>
          <w:sz w:val="24"/>
          <w:szCs w:val="24"/>
        </w:rPr>
        <w:t>EIA regulations require t</w:t>
      </w:r>
      <w:r w:rsidR="00E560E9">
        <w:rPr>
          <w:rFonts w:ascii="Times New Roman" w:hAnsi="Times New Roman"/>
          <w:sz w:val="24"/>
          <w:szCs w:val="24"/>
        </w:rPr>
        <w:t xml:space="preserve">he developer </w:t>
      </w:r>
      <w:r w:rsidR="00A40FFC">
        <w:rPr>
          <w:rFonts w:ascii="Times New Roman" w:hAnsi="Times New Roman"/>
          <w:sz w:val="24"/>
          <w:szCs w:val="24"/>
        </w:rPr>
        <w:t xml:space="preserve">to </w:t>
      </w:r>
      <w:r w:rsidR="00D1404C">
        <w:rPr>
          <w:rFonts w:ascii="Times New Roman" w:hAnsi="Times New Roman"/>
          <w:sz w:val="24"/>
          <w:szCs w:val="24"/>
        </w:rPr>
        <w:t xml:space="preserve">appoint an independent environmental consultant and to ensure compliance </w:t>
      </w:r>
      <w:r w:rsidR="00A40FFC">
        <w:rPr>
          <w:rFonts w:ascii="Times New Roman" w:hAnsi="Times New Roman"/>
          <w:sz w:val="24"/>
          <w:szCs w:val="24"/>
        </w:rPr>
        <w:t>with</w:t>
      </w:r>
      <w:r w:rsidR="00D1404C">
        <w:rPr>
          <w:rFonts w:ascii="Times New Roman" w:hAnsi="Times New Roman"/>
          <w:sz w:val="24"/>
          <w:szCs w:val="24"/>
        </w:rPr>
        <w:t xml:space="preserve"> all the statutory requirements of the EIA process</w:t>
      </w:r>
      <w:r w:rsidR="00492965">
        <w:rPr>
          <w:rFonts w:ascii="Times New Roman" w:hAnsi="Times New Roman"/>
          <w:sz w:val="24"/>
          <w:szCs w:val="24"/>
        </w:rPr>
        <w:t xml:space="preserve"> before</w:t>
      </w:r>
      <w:r w:rsidR="00E560E9">
        <w:rPr>
          <w:rFonts w:ascii="Times New Roman" w:hAnsi="Times New Roman"/>
          <w:sz w:val="24"/>
          <w:szCs w:val="24"/>
        </w:rPr>
        <w:t xml:space="preserve"> commencing </w:t>
      </w:r>
      <w:r w:rsidR="00613A66">
        <w:rPr>
          <w:rFonts w:ascii="Times New Roman" w:hAnsi="Times New Roman"/>
          <w:sz w:val="24"/>
          <w:szCs w:val="24"/>
        </w:rPr>
        <w:t xml:space="preserve">a </w:t>
      </w:r>
      <w:r w:rsidR="00E560E9">
        <w:rPr>
          <w:rFonts w:ascii="Times New Roman" w:hAnsi="Times New Roman"/>
          <w:sz w:val="24"/>
          <w:szCs w:val="24"/>
        </w:rPr>
        <w:t xml:space="preserve">development activity. </w:t>
      </w:r>
      <w:r>
        <w:rPr>
          <w:rFonts w:ascii="Times New Roman" w:hAnsi="Times New Roman"/>
          <w:sz w:val="24"/>
          <w:szCs w:val="24"/>
        </w:rPr>
        <w:t xml:space="preserve">The EMA (2007) specifies the steps of the EIA process, and associated time limits and institutional responsibilities. </w:t>
      </w:r>
    </w:p>
    <w:p w:rsidR="00FA59EB" w:rsidRDefault="006B01F0" w:rsidP="00FA59EB">
      <w:pPr>
        <w:pStyle w:val="CommentText"/>
        <w:shd w:val="clear" w:color="auto" w:fill="FFFFFF"/>
        <w:spacing w:line="360" w:lineRule="auto"/>
        <w:jc w:val="both"/>
        <w:rPr>
          <w:rFonts w:ascii="Times New Roman" w:hAnsi="Times New Roman"/>
          <w:sz w:val="24"/>
          <w:szCs w:val="24"/>
        </w:rPr>
      </w:pPr>
      <w:r>
        <w:rPr>
          <w:rFonts w:ascii="Times New Roman" w:hAnsi="Times New Roman"/>
          <w:sz w:val="24"/>
          <w:szCs w:val="24"/>
        </w:rPr>
        <w:t xml:space="preserve">Section 27 of the EMA (2007) consists of a prescribed </w:t>
      </w:r>
      <w:r w:rsidRPr="005201DC">
        <w:rPr>
          <w:rFonts w:ascii="Times New Roman" w:hAnsi="Times New Roman"/>
          <w:sz w:val="24"/>
          <w:szCs w:val="24"/>
        </w:rPr>
        <w:t xml:space="preserve">list </w:t>
      </w:r>
      <w:r>
        <w:rPr>
          <w:rFonts w:ascii="Times New Roman" w:hAnsi="Times New Roman"/>
          <w:sz w:val="24"/>
          <w:szCs w:val="24"/>
        </w:rPr>
        <w:t xml:space="preserve">of 65 activities that are subject to EIA and likely to cause adverse environmental and social impacts </w:t>
      </w:r>
      <w:r w:rsidR="00A40FFC">
        <w:rPr>
          <w:rFonts w:ascii="Times New Roman" w:hAnsi="Times New Roman"/>
          <w:sz w:val="24"/>
          <w:szCs w:val="24"/>
        </w:rPr>
        <w:t>on</w:t>
      </w:r>
      <w:r>
        <w:rPr>
          <w:rFonts w:ascii="Times New Roman" w:hAnsi="Times New Roman"/>
          <w:sz w:val="24"/>
          <w:szCs w:val="24"/>
        </w:rPr>
        <w:t xml:space="preserve"> the environment. Some of the activities on the list include infrastructure development and construction, water </w:t>
      </w:r>
      <w:r w:rsidR="00C43FE9">
        <w:rPr>
          <w:rFonts w:ascii="Times New Roman" w:hAnsi="Times New Roman"/>
          <w:sz w:val="24"/>
          <w:szCs w:val="24"/>
        </w:rPr>
        <w:t>extraction</w:t>
      </w:r>
      <w:r>
        <w:rPr>
          <w:rFonts w:ascii="Times New Roman" w:hAnsi="Times New Roman"/>
          <w:sz w:val="24"/>
          <w:szCs w:val="24"/>
        </w:rPr>
        <w:t xml:space="preserve">, mining and agricultural activities. </w:t>
      </w:r>
      <w:r w:rsidR="00F42468">
        <w:rPr>
          <w:rFonts w:ascii="Times New Roman" w:hAnsi="Times New Roman"/>
          <w:sz w:val="24"/>
          <w:szCs w:val="24"/>
        </w:rPr>
        <w:t>According to interviewees</w:t>
      </w:r>
      <w:r>
        <w:rPr>
          <w:rFonts w:ascii="Times New Roman" w:hAnsi="Times New Roman"/>
          <w:sz w:val="24"/>
          <w:szCs w:val="24"/>
        </w:rPr>
        <w:t>,</w:t>
      </w:r>
      <w:r w:rsidR="00F42468">
        <w:rPr>
          <w:rFonts w:ascii="Times New Roman" w:hAnsi="Times New Roman"/>
          <w:sz w:val="24"/>
          <w:szCs w:val="24"/>
        </w:rPr>
        <w:t xml:space="preserve"> the list of activities need</w:t>
      </w:r>
      <w:r w:rsidR="00A40FFC">
        <w:rPr>
          <w:rFonts w:ascii="Times New Roman" w:hAnsi="Times New Roman"/>
          <w:sz w:val="24"/>
          <w:szCs w:val="24"/>
        </w:rPr>
        <w:t>s</w:t>
      </w:r>
      <w:r w:rsidR="00F42468">
        <w:rPr>
          <w:rFonts w:ascii="Times New Roman" w:hAnsi="Times New Roman"/>
          <w:sz w:val="24"/>
          <w:szCs w:val="24"/>
        </w:rPr>
        <w:t xml:space="preserve"> amendment, as some potential</w:t>
      </w:r>
      <w:r>
        <w:rPr>
          <w:rFonts w:ascii="Times New Roman" w:hAnsi="Times New Roman"/>
          <w:sz w:val="24"/>
          <w:szCs w:val="24"/>
        </w:rPr>
        <w:t xml:space="preserve"> high impact activities including fisheries and sand mining are</w:t>
      </w:r>
      <w:r w:rsidR="00510AC8">
        <w:rPr>
          <w:rFonts w:ascii="Times New Roman" w:hAnsi="Times New Roman"/>
          <w:sz w:val="24"/>
          <w:szCs w:val="24"/>
        </w:rPr>
        <w:t xml:space="preserve"> currently</w:t>
      </w:r>
      <w:r>
        <w:rPr>
          <w:rFonts w:ascii="Times New Roman" w:hAnsi="Times New Roman"/>
          <w:sz w:val="24"/>
          <w:szCs w:val="24"/>
        </w:rPr>
        <w:t xml:space="preserve"> omitted. </w:t>
      </w:r>
    </w:p>
    <w:p w:rsidR="00FA59EB" w:rsidRDefault="006B01F0" w:rsidP="00504A20">
      <w:pPr>
        <w:pStyle w:val="CommentText"/>
        <w:shd w:val="clear" w:color="auto" w:fill="FFFFFF"/>
        <w:spacing w:line="360" w:lineRule="auto"/>
        <w:jc w:val="both"/>
        <w:rPr>
          <w:rFonts w:ascii="Times New Roman" w:hAnsi="Times New Roman"/>
          <w:sz w:val="24"/>
          <w:szCs w:val="24"/>
        </w:rPr>
      </w:pPr>
      <w:r w:rsidRPr="009C4D05">
        <w:rPr>
          <w:rFonts w:ascii="Times New Roman" w:hAnsi="Times New Roman"/>
          <w:sz w:val="24"/>
          <w:szCs w:val="24"/>
        </w:rPr>
        <w:t xml:space="preserve">A </w:t>
      </w:r>
      <w:r>
        <w:rPr>
          <w:rFonts w:ascii="Times New Roman" w:hAnsi="Times New Roman"/>
          <w:sz w:val="24"/>
          <w:szCs w:val="24"/>
        </w:rPr>
        <w:t>senior</w:t>
      </w:r>
      <w:r w:rsidRPr="009C4D05">
        <w:rPr>
          <w:rFonts w:ascii="Times New Roman" w:hAnsi="Times New Roman"/>
          <w:sz w:val="24"/>
          <w:szCs w:val="24"/>
        </w:rPr>
        <w:t xml:space="preserve"> </w:t>
      </w:r>
      <w:r>
        <w:rPr>
          <w:rFonts w:ascii="Times New Roman" w:hAnsi="Times New Roman"/>
          <w:sz w:val="24"/>
          <w:szCs w:val="24"/>
        </w:rPr>
        <w:t xml:space="preserve">government </w:t>
      </w:r>
      <w:r w:rsidRPr="009C4D05">
        <w:rPr>
          <w:rFonts w:ascii="Times New Roman" w:hAnsi="Times New Roman"/>
          <w:sz w:val="24"/>
          <w:szCs w:val="24"/>
        </w:rPr>
        <w:t>scientist</w:t>
      </w:r>
      <w:r>
        <w:rPr>
          <w:rFonts w:ascii="Times New Roman" w:hAnsi="Times New Roman"/>
          <w:sz w:val="24"/>
          <w:szCs w:val="24"/>
        </w:rPr>
        <w:t xml:space="preserve"> highlighted </w:t>
      </w:r>
      <w:r w:rsidRPr="009C4D05">
        <w:rPr>
          <w:rFonts w:ascii="Times New Roman" w:hAnsi="Times New Roman"/>
          <w:sz w:val="24"/>
          <w:szCs w:val="24"/>
        </w:rPr>
        <w:t>that</w:t>
      </w:r>
      <w:r>
        <w:rPr>
          <w:rFonts w:ascii="Times New Roman" w:hAnsi="Times New Roman"/>
          <w:sz w:val="24"/>
          <w:szCs w:val="24"/>
        </w:rPr>
        <w:t xml:space="preserve"> current loopholes in the EIA list result from </w:t>
      </w:r>
      <w:r w:rsidR="00A40FFC">
        <w:rPr>
          <w:rFonts w:ascii="Times New Roman" w:hAnsi="Times New Roman"/>
          <w:sz w:val="24"/>
          <w:szCs w:val="24"/>
        </w:rPr>
        <w:t xml:space="preserve">a </w:t>
      </w:r>
      <w:r w:rsidR="00510AC8">
        <w:rPr>
          <w:rFonts w:ascii="Times New Roman" w:hAnsi="Times New Roman"/>
          <w:sz w:val="24"/>
          <w:szCs w:val="24"/>
        </w:rPr>
        <w:t xml:space="preserve">lack of consultation, </w:t>
      </w:r>
      <w:r>
        <w:rPr>
          <w:rFonts w:ascii="Times New Roman" w:hAnsi="Times New Roman"/>
          <w:sz w:val="24"/>
          <w:szCs w:val="24"/>
        </w:rPr>
        <w:t xml:space="preserve">stakeholder engagement and consensus </w:t>
      </w:r>
      <w:r w:rsidR="00510AC8">
        <w:rPr>
          <w:rFonts w:ascii="Times New Roman" w:hAnsi="Times New Roman"/>
          <w:sz w:val="24"/>
          <w:szCs w:val="24"/>
        </w:rPr>
        <w:t>stemming back to the</w:t>
      </w:r>
      <w:r>
        <w:rPr>
          <w:rFonts w:ascii="Times New Roman" w:hAnsi="Times New Roman"/>
          <w:sz w:val="24"/>
          <w:szCs w:val="24"/>
        </w:rPr>
        <w:t xml:space="preserve"> initial drafting of the EIA legislation in early 2000. Interviewees pointed out that disagreement</w:t>
      </w:r>
      <w:r w:rsidR="00510AC8">
        <w:rPr>
          <w:rFonts w:ascii="Times New Roman" w:hAnsi="Times New Roman"/>
          <w:sz w:val="24"/>
          <w:szCs w:val="24"/>
        </w:rPr>
        <w:t>s</w:t>
      </w:r>
      <w:r>
        <w:rPr>
          <w:rFonts w:ascii="Times New Roman" w:hAnsi="Times New Roman"/>
          <w:sz w:val="24"/>
          <w:szCs w:val="24"/>
        </w:rPr>
        <w:t xml:space="preserve"> result</w:t>
      </w:r>
      <w:r w:rsidR="00510AC8">
        <w:rPr>
          <w:rFonts w:ascii="Times New Roman" w:hAnsi="Times New Roman"/>
          <w:sz w:val="24"/>
          <w:szCs w:val="24"/>
        </w:rPr>
        <w:t>ed</w:t>
      </w:r>
      <w:r>
        <w:rPr>
          <w:rFonts w:ascii="Times New Roman" w:hAnsi="Times New Roman"/>
          <w:sz w:val="24"/>
          <w:szCs w:val="24"/>
        </w:rPr>
        <w:t xml:space="preserve"> </w:t>
      </w:r>
      <w:r w:rsidR="00510AC8">
        <w:rPr>
          <w:rFonts w:ascii="Times New Roman" w:hAnsi="Times New Roman"/>
          <w:sz w:val="24"/>
          <w:szCs w:val="24"/>
        </w:rPr>
        <w:t>from</w:t>
      </w:r>
      <w:r>
        <w:rPr>
          <w:rFonts w:ascii="Times New Roman" w:hAnsi="Times New Roman"/>
          <w:sz w:val="24"/>
          <w:szCs w:val="24"/>
        </w:rPr>
        <w:t xml:space="preserve"> inter-ministerial conflict and </w:t>
      </w:r>
      <w:r w:rsidR="00510AC8">
        <w:rPr>
          <w:rFonts w:ascii="Times New Roman" w:hAnsi="Times New Roman"/>
          <w:sz w:val="24"/>
          <w:szCs w:val="24"/>
        </w:rPr>
        <w:t>different groups jostling for power.</w:t>
      </w:r>
      <w:r>
        <w:rPr>
          <w:rFonts w:ascii="Times New Roman" w:hAnsi="Times New Roman"/>
          <w:sz w:val="24"/>
          <w:szCs w:val="24"/>
        </w:rPr>
        <w:t xml:space="preserve"> An NGO expert specifically pointed out that critical elements including activity categories and threshold</w:t>
      </w:r>
      <w:r w:rsidR="00510AC8">
        <w:rPr>
          <w:rFonts w:ascii="Times New Roman" w:hAnsi="Times New Roman"/>
          <w:sz w:val="24"/>
          <w:szCs w:val="24"/>
        </w:rPr>
        <w:t>s</w:t>
      </w:r>
      <w:r>
        <w:rPr>
          <w:rFonts w:ascii="Times New Roman" w:hAnsi="Times New Roman"/>
          <w:sz w:val="24"/>
          <w:szCs w:val="24"/>
        </w:rPr>
        <w:t xml:space="preserve">, provision of SEA requirements in the regulations, </w:t>
      </w:r>
      <w:r w:rsidR="00510AC8">
        <w:rPr>
          <w:rFonts w:ascii="Times New Roman" w:hAnsi="Times New Roman"/>
          <w:sz w:val="24"/>
          <w:szCs w:val="24"/>
        </w:rPr>
        <w:t xml:space="preserve">and </w:t>
      </w:r>
      <w:r>
        <w:rPr>
          <w:rFonts w:ascii="Times New Roman" w:hAnsi="Times New Roman"/>
          <w:sz w:val="24"/>
          <w:szCs w:val="24"/>
        </w:rPr>
        <w:t xml:space="preserve">the </w:t>
      </w:r>
      <w:r w:rsidR="00510AC8">
        <w:rPr>
          <w:rFonts w:ascii="Times New Roman" w:hAnsi="Times New Roman"/>
          <w:sz w:val="24"/>
          <w:szCs w:val="24"/>
        </w:rPr>
        <w:t xml:space="preserve">clearly defined </w:t>
      </w:r>
      <w:r>
        <w:rPr>
          <w:rFonts w:ascii="Times New Roman" w:hAnsi="Times New Roman"/>
          <w:sz w:val="24"/>
          <w:szCs w:val="24"/>
        </w:rPr>
        <w:t xml:space="preserve">role of the Sustainable Development </w:t>
      </w:r>
      <w:r>
        <w:rPr>
          <w:rFonts w:ascii="Times New Roman" w:hAnsi="Times New Roman"/>
          <w:sz w:val="24"/>
          <w:szCs w:val="24"/>
        </w:rPr>
        <w:lastRenderedPageBreak/>
        <w:t>Advisory Committee in review and decision</w:t>
      </w:r>
      <w:r w:rsidR="00A40FFC">
        <w:rPr>
          <w:rFonts w:ascii="Times New Roman" w:hAnsi="Times New Roman"/>
          <w:sz w:val="24"/>
          <w:szCs w:val="24"/>
        </w:rPr>
        <w:t>-</w:t>
      </w:r>
      <w:r>
        <w:rPr>
          <w:rFonts w:ascii="Times New Roman" w:hAnsi="Times New Roman"/>
          <w:sz w:val="24"/>
          <w:szCs w:val="24"/>
        </w:rPr>
        <w:t xml:space="preserve">making process </w:t>
      </w:r>
      <w:r w:rsidR="00510AC8">
        <w:rPr>
          <w:rFonts w:ascii="Times New Roman" w:hAnsi="Times New Roman"/>
          <w:sz w:val="24"/>
          <w:szCs w:val="24"/>
        </w:rPr>
        <w:t xml:space="preserve">were outlined </w:t>
      </w:r>
      <w:r>
        <w:rPr>
          <w:rFonts w:ascii="Times New Roman" w:hAnsi="Times New Roman"/>
          <w:sz w:val="24"/>
          <w:szCs w:val="24"/>
        </w:rPr>
        <w:t>in the draft Environmental Management Bill in 2003, but were omitted in the final EMA promulgated in 2007. The current legislation now ha</w:t>
      </w:r>
      <w:r w:rsidR="00A40FFC">
        <w:rPr>
          <w:rFonts w:ascii="Times New Roman" w:hAnsi="Times New Roman"/>
          <w:sz w:val="24"/>
          <w:szCs w:val="24"/>
        </w:rPr>
        <w:t>s</w:t>
      </w:r>
      <w:r>
        <w:rPr>
          <w:rFonts w:ascii="Times New Roman" w:hAnsi="Times New Roman"/>
          <w:sz w:val="24"/>
          <w:szCs w:val="24"/>
        </w:rPr>
        <w:t xml:space="preserve"> several gr</w:t>
      </w:r>
      <w:r w:rsidR="00A40FFC">
        <w:rPr>
          <w:rFonts w:ascii="Times New Roman" w:hAnsi="Times New Roman"/>
          <w:sz w:val="24"/>
          <w:szCs w:val="24"/>
        </w:rPr>
        <w:t>e</w:t>
      </w:r>
      <w:r>
        <w:rPr>
          <w:rFonts w:ascii="Times New Roman" w:hAnsi="Times New Roman"/>
          <w:sz w:val="24"/>
          <w:szCs w:val="24"/>
        </w:rPr>
        <w:t xml:space="preserve">y areas leading to </w:t>
      </w:r>
      <w:r w:rsidR="00A40FFC">
        <w:rPr>
          <w:rFonts w:ascii="Times New Roman" w:hAnsi="Times New Roman"/>
          <w:sz w:val="24"/>
          <w:szCs w:val="24"/>
        </w:rPr>
        <w:t xml:space="preserve">a </w:t>
      </w:r>
      <w:r>
        <w:rPr>
          <w:rFonts w:ascii="Times New Roman" w:hAnsi="Times New Roman"/>
          <w:sz w:val="24"/>
          <w:szCs w:val="24"/>
        </w:rPr>
        <w:t xml:space="preserve">lack of coherence between the Act and the regulations. </w:t>
      </w:r>
    </w:p>
    <w:p w:rsidR="00FA02FE" w:rsidRDefault="006B01F0" w:rsidP="007020C3">
      <w:pPr>
        <w:spacing w:line="360" w:lineRule="auto"/>
        <w:jc w:val="both"/>
        <w:rPr>
          <w:rFonts w:ascii="Times New Roman" w:hAnsi="Times New Roman"/>
          <w:sz w:val="24"/>
          <w:szCs w:val="24"/>
        </w:rPr>
      </w:pPr>
      <w:r>
        <w:rPr>
          <w:rFonts w:ascii="Times New Roman" w:hAnsi="Times New Roman"/>
          <w:sz w:val="24"/>
          <w:szCs w:val="24"/>
        </w:rPr>
        <w:t xml:space="preserve">One of the legislative strengths in the Namibia EIA system is </w:t>
      </w:r>
      <w:r w:rsidR="00A40FFC">
        <w:rPr>
          <w:rFonts w:ascii="Times New Roman" w:hAnsi="Times New Roman"/>
          <w:sz w:val="24"/>
          <w:szCs w:val="24"/>
        </w:rPr>
        <w:t xml:space="preserve">the </w:t>
      </w:r>
      <w:r w:rsidR="00786FD4">
        <w:rPr>
          <w:rFonts w:ascii="Times New Roman" w:hAnsi="Times New Roman"/>
          <w:sz w:val="24"/>
          <w:szCs w:val="24"/>
        </w:rPr>
        <w:t xml:space="preserve">provision to appeal. According to </w:t>
      </w:r>
      <w:r>
        <w:rPr>
          <w:rFonts w:ascii="Times New Roman" w:hAnsi="Times New Roman"/>
          <w:sz w:val="24"/>
          <w:szCs w:val="24"/>
        </w:rPr>
        <w:t xml:space="preserve">section 50 of the EMA, any person aggrieved by the decision on EIA applications has the right to appeal to the minister or high court 14 days after a decision is made (GRN, 2007). </w:t>
      </w:r>
      <w:r w:rsidR="00786FD4">
        <w:rPr>
          <w:rFonts w:ascii="Times New Roman" w:hAnsi="Times New Roman"/>
          <w:sz w:val="24"/>
          <w:szCs w:val="24"/>
        </w:rPr>
        <w:t xml:space="preserve">While it is a strength, interviewees indicated that a </w:t>
      </w:r>
      <w:r w:rsidR="00B45EF0">
        <w:rPr>
          <w:rFonts w:ascii="Times New Roman" w:hAnsi="Times New Roman"/>
          <w:sz w:val="24"/>
          <w:szCs w:val="24"/>
        </w:rPr>
        <w:t xml:space="preserve">14-day period </w:t>
      </w:r>
      <w:r>
        <w:rPr>
          <w:rFonts w:ascii="Times New Roman" w:hAnsi="Times New Roman"/>
          <w:sz w:val="24"/>
          <w:szCs w:val="24"/>
        </w:rPr>
        <w:t xml:space="preserve">is too little, as the appeal process requires </w:t>
      </w:r>
      <w:r w:rsidR="00A40FFC">
        <w:rPr>
          <w:rFonts w:ascii="Times New Roman" w:hAnsi="Times New Roman"/>
          <w:sz w:val="24"/>
          <w:szCs w:val="24"/>
        </w:rPr>
        <w:t xml:space="preserve">the </w:t>
      </w:r>
      <w:r>
        <w:rPr>
          <w:rFonts w:ascii="Times New Roman" w:hAnsi="Times New Roman"/>
          <w:sz w:val="24"/>
          <w:szCs w:val="24"/>
        </w:rPr>
        <w:t>gathering of evidence</w:t>
      </w:r>
      <w:r w:rsidR="00786FD4">
        <w:rPr>
          <w:rFonts w:ascii="Times New Roman" w:hAnsi="Times New Roman"/>
          <w:sz w:val="24"/>
          <w:szCs w:val="24"/>
        </w:rPr>
        <w:t xml:space="preserve"> and communication with stakeholders or support groups</w:t>
      </w:r>
      <w:r w:rsidR="00B45EF0">
        <w:rPr>
          <w:rFonts w:ascii="Times New Roman" w:hAnsi="Times New Roman"/>
          <w:sz w:val="24"/>
          <w:szCs w:val="24"/>
        </w:rPr>
        <w:t>, all of which ta</w:t>
      </w:r>
      <w:r w:rsidR="00C43FE9">
        <w:rPr>
          <w:rFonts w:ascii="Times New Roman" w:hAnsi="Times New Roman"/>
          <w:sz w:val="24"/>
          <w:szCs w:val="24"/>
        </w:rPr>
        <w:t>k</w:t>
      </w:r>
      <w:r w:rsidR="00B45EF0">
        <w:rPr>
          <w:rFonts w:ascii="Times New Roman" w:hAnsi="Times New Roman"/>
          <w:sz w:val="24"/>
          <w:szCs w:val="24"/>
        </w:rPr>
        <w:t>e time</w:t>
      </w:r>
      <w:r>
        <w:rPr>
          <w:rFonts w:ascii="Times New Roman" w:hAnsi="Times New Roman"/>
          <w:sz w:val="24"/>
          <w:szCs w:val="24"/>
        </w:rPr>
        <w:t xml:space="preserve">. Another challenge is that the appeal application can only be submitted to </w:t>
      </w:r>
      <w:r w:rsidR="00A40FFC">
        <w:rPr>
          <w:rFonts w:ascii="Times New Roman" w:hAnsi="Times New Roman"/>
          <w:sz w:val="24"/>
          <w:szCs w:val="24"/>
        </w:rPr>
        <w:t xml:space="preserve">the </w:t>
      </w:r>
      <w:r>
        <w:rPr>
          <w:rFonts w:ascii="Times New Roman" w:hAnsi="Times New Roman"/>
          <w:sz w:val="24"/>
          <w:szCs w:val="24"/>
        </w:rPr>
        <w:t>office of the commissioner</w:t>
      </w:r>
      <w:r w:rsidR="00B45EF0">
        <w:rPr>
          <w:rFonts w:ascii="Times New Roman" w:hAnsi="Times New Roman"/>
          <w:sz w:val="24"/>
          <w:szCs w:val="24"/>
        </w:rPr>
        <w:t>,</w:t>
      </w:r>
      <w:r>
        <w:rPr>
          <w:rFonts w:ascii="Times New Roman" w:hAnsi="Times New Roman"/>
          <w:sz w:val="24"/>
          <w:szCs w:val="24"/>
        </w:rPr>
        <w:t xml:space="preserve"> which is only stationed in the capital city of Windhoek. </w:t>
      </w:r>
    </w:p>
    <w:p w:rsidR="007020C3" w:rsidRDefault="006B01F0" w:rsidP="005005DA">
      <w:pPr>
        <w:pStyle w:val="CommentText"/>
        <w:shd w:val="clear" w:color="auto" w:fill="FFFFFF"/>
        <w:spacing w:line="360" w:lineRule="auto"/>
        <w:jc w:val="both"/>
      </w:pPr>
      <w:r>
        <w:rPr>
          <w:rFonts w:ascii="Times New Roman" w:hAnsi="Times New Roman"/>
          <w:sz w:val="24"/>
          <w:szCs w:val="24"/>
        </w:rPr>
        <w:t xml:space="preserve">Another important provision in the EIA legislation </w:t>
      </w:r>
      <w:r w:rsidR="00B45EF0">
        <w:rPr>
          <w:rFonts w:ascii="Times New Roman" w:hAnsi="Times New Roman"/>
          <w:sz w:val="24"/>
          <w:szCs w:val="24"/>
        </w:rPr>
        <w:t>relates to</w:t>
      </w:r>
      <w:r>
        <w:rPr>
          <w:rFonts w:ascii="Times New Roman" w:hAnsi="Times New Roman"/>
          <w:sz w:val="24"/>
          <w:szCs w:val="24"/>
        </w:rPr>
        <w:t xml:space="preserve"> timelines. The regulations clearly indicate that upon receipt of the application, the environmental commissioner should acknowledge the EIA application and notify the proponent within three days. Within seven days the </w:t>
      </w:r>
      <w:r w:rsidR="00B45EF0">
        <w:rPr>
          <w:rFonts w:ascii="Times New Roman" w:hAnsi="Times New Roman"/>
          <w:sz w:val="24"/>
          <w:szCs w:val="24"/>
        </w:rPr>
        <w:t xml:space="preserve">environmental commissioner should review the EIA report. </w:t>
      </w:r>
      <w:r>
        <w:rPr>
          <w:rFonts w:ascii="Times New Roman" w:hAnsi="Times New Roman"/>
          <w:sz w:val="24"/>
          <w:szCs w:val="24"/>
        </w:rPr>
        <w:t>No definite timeline is indicated for decision making; the EMA only stipulates that decision making should be undertaken “</w:t>
      </w:r>
      <w:r w:rsidRPr="009B6541">
        <w:rPr>
          <w:rFonts w:ascii="Times New Roman" w:hAnsi="Times New Roman"/>
          <w:i/>
          <w:sz w:val="24"/>
          <w:szCs w:val="24"/>
        </w:rPr>
        <w:t>within a reasonable time</w:t>
      </w:r>
      <w:r>
        <w:rPr>
          <w:rFonts w:ascii="Times New Roman" w:hAnsi="Times New Roman"/>
          <w:sz w:val="24"/>
          <w:szCs w:val="24"/>
        </w:rPr>
        <w:t>” (GRN, 2007).</w:t>
      </w:r>
    </w:p>
    <w:p w:rsidR="00D1404C" w:rsidRDefault="006B01F0" w:rsidP="007F6C9C">
      <w:pPr>
        <w:pStyle w:val="CommentText"/>
        <w:shd w:val="clear" w:color="auto" w:fill="FFFFFF"/>
        <w:spacing w:line="360" w:lineRule="auto"/>
        <w:jc w:val="both"/>
        <w:rPr>
          <w:rFonts w:ascii="Times New Roman" w:hAnsi="Times New Roman"/>
          <w:sz w:val="24"/>
          <w:szCs w:val="24"/>
        </w:rPr>
      </w:pPr>
      <w:r>
        <w:rPr>
          <w:rFonts w:ascii="Times New Roman" w:hAnsi="Times New Roman"/>
          <w:sz w:val="24"/>
          <w:szCs w:val="24"/>
        </w:rPr>
        <w:t xml:space="preserve">All </w:t>
      </w:r>
      <w:r w:rsidR="006637D0">
        <w:rPr>
          <w:rFonts w:ascii="Times New Roman" w:hAnsi="Times New Roman"/>
          <w:sz w:val="24"/>
          <w:szCs w:val="24"/>
        </w:rPr>
        <w:t>i</w:t>
      </w:r>
      <w:r>
        <w:rPr>
          <w:rFonts w:ascii="Times New Roman" w:hAnsi="Times New Roman"/>
          <w:sz w:val="24"/>
          <w:szCs w:val="24"/>
        </w:rPr>
        <w:t>nterviewed expert</w:t>
      </w:r>
      <w:r w:rsidR="009707D5">
        <w:rPr>
          <w:rFonts w:ascii="Times New Roman" w:hAnsi="Times New Roman"/>
          <w:sz w:val="24"/>
          <w:szCs w:val="24"/>
        </w:rPr>
        <w:t>s</w:t>
      </w:r>
      <w:r>
        <w:rPr>
          <w:rFonts w:ascii="Times New Roman" w:hAnsi="Times New Roman"/>
          <w:sz w:val="24"/>
          <w:szCs w:val="24"/>
        </w:rPr>
        <w:t xml:space="preserve"> agreed that the EIA system in Namibia is based on clear legal provisions. </w:t>
      </w:r>
      <w:r w:rsidR="00A74D42">
        <w:rPr>
          <w:rFonts w:ascii="Times New Roman" w:hAnsi="Times New Roman"/>
          <w:sz w:val="24"/>
          <w:szCs w:val="24"/>
        </w:rPr>
        <w:t>Ho</w:t>
      </w:r>
      <w:r w:rsidR="00B45EF0">
        <w:rPr>
          <w:rFonts w:ascii="Times New Roman" w:hAnsi="Times New Roman"/>
          <w:sz w:val="24"/>
          <w:szCs w:val="24"/>
        </w:rPr>
        <w:t>wever, there were reservations about</w:t>
      </w:r>
      <w:r w:rsidR="00A74D42">
        <w:rPr>
          <w:rFonts w:ascii="Times New Roman" w:hAnsi="Times New Roman"/>
          <w:sz w:val="24"/>
          <w:szCs w:val="24"/>
        </w:rPr>
        <w:t xml:space="preserve"> the implementation of the legislation, with experts indicating a need to strengthen some areas and identifying the need to create enablers for effective implementation.</w:t>
      </w:r>
    </w:p>
    <w:p w:rsidR="00A74D42" w:rsidRDefault="006B01F0" w:rsidP="00A74D42">
      <w:pPr>
        <w:pStyle w:val="CommentText"/>
        <w:shd w:val="clear" w:color="auto" w:fill="FFFFFF"/>
        <w:spacing w:line="360" w:lineRule="auto"/>
        <w:jc w:val="both"/>
        <w:rPr>
          <w:rFonts w:ascii="Times New Roman" w:hAnsi="Times New Roman"/>
          <w:sz w:val="24"/>
          <w:szCs w:val="24"/>
        </w:rPr>
      </w:pPr>
      <w:r>
        <w:rPr>
          <w:rFonts w:ascii="Times New Roman" w:hAnsi="Times New Roman"/>
          <w:sz w:val="24"/>
          <w:szCs w:val="24"/>
        </w:rPr>
        <w:t>One of the weaknes</w:t>
      </w:r>
      <w:r w:rsidR="00A40FFC">
        <w:rPr>
          <w:rFonts w:ascii="Times New Roman" w:hAnsi="Times New Roman"/>
          <w:sz w:val="24"/>
          <w:szCs w:val="24"/>
        </w:rPr>
        <w:t>se</w:t>
      </w:r>
      <w:r>
        <w:rPr>
          <w:rFonts w:ascii="Times New Roman" w:hAnsi="Times New Roman"/>
          <w:sz w:val="24"/>
          <w:szCs w:val="24"/>
        </w:rPr>
        <w:t>s</w:t>
      </w:r>
      <w:r w:rsidR="00CB58BF">
        <w:rPr>
          <w:rFonts w:ascii="Times New Roman" w:hAnsi="Times New Roman"/>
          <w:sz w:val="24"/>
          <w:szCs w:val="24"/>
        </w:rPr>
        <w:t xml:space="preserve"> in the regulation</w:t>
      </w:r>
      <w:r>
        <w:rPr>
          <w:rFonts w:ascii="Times New Roman" w:hAnsi="Times New Roman"/>
          <w:sz w:val="24"/>
          <w:szCs w:val="24"/>
        </w:rPr>
        <w:t xml:space="preserve"> is the inconsistent use of terms and concepts in the </w:t>
      </w:r>
      <w:r w:rsidR="00B45EF0">
        <w:rPr>
          <w:rFonts w:ascii="Times New Roman" w:hAnsi="Times New Roman"/>
          <w:sz w:val="24"/>
          <w:szCs w:val="24"/>
        </w:rPr>
        <w:t>EMA</w:t>
      </w:r>
      <w:r w:rsidR="00CB58BF">
        <w:rPr>
          <w:rFonts w:ascii="Times New Roman" w:hAnsi="Times New Roman"/>
          <w:sz w:val="24"/>
          <w:szCs w:val="24"/>
        </w:rPr>
        <w:t xml:space="preserve"> and the regulation</w:t>
      </w:r>
      <w:r w:rsidR="00B45EF0">
        <w:rPr>
          <w:rFonts w:ascii="Times New Roman" w:hAnsi="Times New Roman"/>
          <w:sz w:val="24"/>
          <w:szCs w:val="24"/>
        </w:rPr>
        <w:t>s</w:t>
      </w:r>
      <w:r w:rsidR="00CB58BF">
        <w:rPr>
          <w:rFonts w:ascii="Times New Roman" w:hAnsi="Times New Roman"/>
          <w:sz w:val="24"/>
          <w:szCs w:val="24"/>
        </w:rPr>
        <w:t xml:space="preserve">. </w:t>
      </w:r>
      <w:r>
        <w:rPr>
          <w:rFonts w:ascii="Times New Roman" w:hAnsi="Times New Roman"/>
          <w:sz w:val="24"/>
          <w:szCs w:val="24"/>
        </w:rPr>
        <w:t xml:space="preserve">Specific reference was </w:t>
      </w:r>
      <w:r w:rsidR="00CB58BF">
        <w:rPr>
          <w:rFonts w:ascii="Times New Roman" w:hAnsi="Times New Roman"/>
          <w:sz w:val="24"/>
          <w:szCs w:val="24"/>
        </w:rPr>
        <w:t xml:space="preserve">also </w:t>
      </w:r>
      <w:r>
        <w:rPr>
          <w:rFonts w:ascii="Times New Roman" w:hAnsi="Times New Roman"/>
          <w:sz w:val="24"/>
          <w:szCs w:val="24"/>
        </w:rPr>
        <w:t xml:space="preserve">made </w:t>
      </w:r>
      <w:r w:rsidR="0089356F">
        <w:rPr>
          <w:rFonts w:ascii="Times New Roman" w:hAnsi="Times New Roman"/>
          <w:sz w:val="24"/>
          <w:szCs w:val="24"/>
        </w:rPr>
        <w:t>to</w:t>
      </w:r>
      <w:r>
        <w:rPr>
          <w:rFonts w:ascii="Times New Roman" w:hAnsi="Times New Roman"/>
          <w:sz w:val="24"/>
          <w:szCs w:val="24"/>
        </w:rPr>
        <w:t xml:space="preserve"> </w:t>
      </w:r>
      <w:r w:rsidR="00B45EF0">
        <w:rPr>
          <w:rFonts w:ascii="Times New Roman" w:hAnsi="Times New Roman"/>
          <w:sz w:val="24"/>
          <w:szCs w:val="24"/>
        </w:rPr>
        <w:t>a</w:t>
      </w:r>
      <w:r w:rsidR="00A40FFC">
        <w:rPr>
          <w:rFonts w:ascii="Times New Roman" w:hAnsi="Times New Roman"/>
          <w:sz w:val="24"/>
          <w:szCs w:val="24"/>
        </w:rPr>
        <w:t xml:space="preserve"> </w:t>
      </w:r>
      <w:r>
        <w:rPr>
          <w:rFonts w:ascii="Times New Roman" w:hAnsi="Times New Roman"/>
          <w:sz w:val="24"/>
          <w:szCs w:val="24"/>
        </w:rPr>
        <w:t>lack of</w:t>
      </w:r>
      <w:r w:rsidRPr="009C4D05">
        <w:rPr>
          <w:rFonts w:ascii="Times New Roman" w:hAnsi="Times New Roman"/>
          <w:sz w:val="24"/>
          <w:szCs w:val="24"/>
        </w:rPr>
        <w:t xml:space="preserve"> </w:t>
      </w:r>
      <w:r>
        <w:rPr>
          <w:rFonts w:ascii="Times New Roman" w:hAnsi="Times New Roman"/>
          <w:sz w:val="24"/>
          <w:szCs w:val="24"/>
        </w:rPr>
        <w:t xml:space="preserve">appropriate </w:t>
      </w:r>
      <w:r w:rsidRPr="009C4D05">
        <w:rPr>
          <w:rFonts w:ascii="Times New Roman" w:hAnsi="Times New Roman"/>
          <w:sz w:val="24"/>
          <w:szCs w:val="24"/>
        </w:rPr>
        <w:t>definition</w:t>
      </w:r>
      <w:r>
        <w:rPr>
          <w:rFonts w:ascii="Times New Roman" w:hAnsi="Times New Roman"/>
          <w:sz w:val="24"/>
          <w:szCs w:val="24"/>
        </w:rPr>
        <w:t>s of key terms in the regulations</w:t>
      </w:r>
      <w:r w:rsidR="00CB58BF">
        <w:rPr>
          <w:rFonts w:ascii="Times New Roman" w:hAnsi="Times New Roman"/>
          <w:sz w:val="24"/>
          <w:szCs w:val="24"/>
        </w:rPr>
        <w:t>. Terms such as</w:t>
      </w:r>
      <w:r>
        <w:rPr>
          <w:rFonts w:ascii="Times New Roman" w:hAnsi="Times New Roman"/>
          <w:sz w:val="24"/>
          <w:szCs w:val="24"/>
        </w:rPr>
        <w:t xml:space="preserve"> </w:t>
      </w:r>
      <w:r w:rsidRPr="009C4D05">
        <w:rPr>
          <w:rFonts w:ascii="Times New Roman" w:hAnsi="Times New Roman"/>
          <w:sz w:val="24"/>
          <w:szCs w:val="24"/>
        </w:rPr>
        <w:t>public participation and public consultation are used interchangeably</w:t>
      </w:r>
      <w:r w:rsidR="00CB58BF">
        <w:rPr>
          <w:rFonts w:ascii="Times New Roman" w:hAnsi="Times New Roman"/>
          <w:sz w:val="24"/>
          <w:szCs w:val="24"/>
        </w:rPr>
        <w:t xml:space="preserve"> and not clearly defined.</w:t>
      </w:r>
      <w:r w:rsidRPr="009C4D05">
        <w:rPr>
          <w:rFonts w:ascii="Times New Roman" w:hAnsi="Times New Roman"/>
          <w:sz w:val="24"/>
          <w:szCs w:val="24"/>
        </w:rPr>
        <w:t xml:space="preserve"> </w:t>
      </w:r>
      <w:r>
        <w:rPr>
          <w:rFonts w:ascii="Times New Roman" w:hAnsi="Times New Roman"/>
          <w:sz w:val="24"/>
          <w:szCs w:val="24"/>
        </w:rPr>
        <w:t>An expert from DEA confirmed the</w:t>
      </w:r>
      <w:r w:rsidR="00B45EF0">
        <w:rPr>
          <w:rFonts w:ascii="Times New Roman" w:hAnsi="Times New Roman"/>
          <w:sz w:val="24"/>
          <w:szCs w:val="24"/>
        </w:rPr>
        <w:t>se</w:t>
      </w:r>
      <w:r>
        <w:rPr>
          <w:rFonts w:ascii="Times New Roman" w:hAnsi="Times New Roman"/>
          <w:sz w:val="24"/>
          <w:szCs w:val="24"/>
        </w:rPr>
        <w:t xml:space="preserve"> problems </w:t>
      </w:r>
      <w:r w:rsidR="00B45EF0">
        <w:rPr>
          <w:rFonts w:ascii="Times New Roman" w:hAnsi="Times New Roman"/>
          <w:sz w:val="24"/>
          <w:szCs w:val="24"/>
        </w:rPr>
        <w:t>and noted</w:t>
      </w:r>
      <w:r>
        <w:rPr>
          <w:rFonts w:ascii="Times New Roman" w:hAnsi="Times New Roman"/>
          <w:sz w:val="24"/>
          <w:szCs w:val="24"/>
        </w:rPr>
        <w:t xml:space="preserve"> </w:t>
      </w:r>
      <w:r w:rsidR="00B45EF0">
        <w:rPr>
          <w:rFonts w:ascii="Times New Roman" w:hAnsi="Times New Roman"/>
          <w:sz w:val="24"/>
          <w:szCs w:val="24"/>
        </w:rPr>
        <w:t xml:space="preserve">that they contribute to </w:t>
      </w:r>
      <w:r>
        <w:rPr>
          <w:rFonts w:ascii="Times New Roman" w:hAnsi="Times New Roman"/>
          <w:sz w:val="24"/>
          <w:szCs w:val="24"/>
        </w:rPr>
        <w:t xml:space="preserve">non-compliance, stating </w:t>
      </w:r>
      <w:r>
        <w:rPr>
          <w:rFonts w:ascii="Times New Roman" w:hAnsi="Times New Roman"/>
          <w:i/>
          <w:sz w:val="24"/>
          <w:szCs w:val="24"/>
        </w:rPr>
        <w:t>“</w:t>
      </w:r>
      <w:r w:rsidRPr="00C62611">
        <w:rPr>
          <w:rFonts w:ascii="Times New Roman" w:hAnsi="Times New Roman"/>
          <w:i/>
          <w:sz w:val="24"/>
          <w:szCs w:val="24"/>
        </w:rPr>
        <w:t xml:space="preserve">it becomes difficult to </w:t>
      </w:r>
      <w:r>
        <w:rPr>
          <w:rFonts w:ascii="Times New Roman" w:hAnsi="Times New Roman"/>
          <w:i/>
          <w:sz w:val="24"/>
          <w:szCs w:val="24"/>
        </w:rPr>
        <w:t>enforce</w:t>
      </w:r>
      <w:r w:rsidRPr="00C62611">
        <w:rPr>
          <w:rFonts w:ascii="Times New Roman" w:hAnsi="Times New Roman"/>
          <w:i/>
          <w:sz w:val="24"/>
          <w:szCs w:val="24"/>
        </w:rPr>
        <w:t xml:space="preserve"> the legislation and to deal with </w:t>
      </w:r>
      <w:r>
        <w:rPr>
          <w:rFonts w:ascii="Times New Roman" w:hAnsi="Times New Roman"/>
          <w:i/>
          <w:sz w:val="24"/>
          <w:szCs w:val="24"/>
        </w:rPr>
        <w:t xml:space="preserve">offenders as the court ask </w:t>
      </w:r>
      <w:r w:rsidR="00CB58BF">
        <w:rPr>
          <w:rFonts w:ascii="Times New Roman" w:hAnsi="Times New Roman"/>
          <w:i/>
          <w:sz w:val="24"/>
          <w:szCs w:val="24"/>
        </w:rPr>
        <w:t>about</w:t>
      </w:r>
      <w:r w:rsidR="00B45EF0">
        <w:rPr>
          <w:rFonts w:ascii="Times New Roman" w:hAnsi="Times New Roman"/>
          <w:i/>
          <w:sz w:val="24"/>
          <w:szCs w:val="24"/>
        </w:rPr>
        <w:t xml:space="preserve"> the requirement for EIA.</w:t>
      </w:r>
      <w:r>
        <w:rPr>
          <w:rFonts w:ascii="Times New Roman" w:hAnsi="Times New Roman"/>
          <w:i/>
          <w:sz w:val="24"/>
          <w:szCs w:val="24"/>
        </w:rPr>
        <w:t xml:space="preserve"> </w:t>
      </w:r>
      <w:r w:rsidR="00B45EF0">
        <w:rPr>
          <w:rFonts w:ascii="Times New Roman" w:hAnsi="Times New Roman"/>
          <w:i/>
          <w:sz w:val="24"/>
          <w:szCs w:val="24"/>
        </w:rPr>
        <w:t>F</w:t>
      </w:r>
      <w:r w:rsidR="00CB58BF">
        <w:rPr>
          <w:rFonts w:ascii="Times New Roman" w:hAnsi="Times New Roman"/>
          <w:i/>
          <w:sz w:val="24"/>
          <w:szCs w:val="24"/>
        </w:rPr>
        <w:t>or example</w:t>
      </w:r>
      <w:r w:rsidR="00A40FFC">
        <w:rPr>
          <w:rFonts w:ascii="Times New Roman" w:hAnsi="Times New Roman"/>
          <w:i/>
          <w:sz w:val="24"/>
          <w:szCs w:val="24"/>
        </w:rPr>
        <w:t>,</w:t>
      </w:r>
      <w:r w:rsidR="00CB58BF">
        <w:rPr>
          <w:rFonts w:ascii="Times New Roman" w:hAnsi="Times New Roman"/>
          <w:i/>
          <w:sz w:val="24"/>
          <w:szCs w:val="24"/>
        </w:rPr>
        <w:t xml:space="preserve"> the court can ask if the requirement is </w:t>
      </w:r>
      <w:r>
        <w:rPr>
          <w:rFonts w:ascii="Times New Roman" w:hAnsi="Times New Roman"/>
          <w:i/>
          <w:sz w:val="24"/>
          <w:szCs w:val="24"/>
        </w:rPr>
        <w:t xml:space="preserve">public participation or public consultation?” </w:t>
      </w:r>
      <w:r w:rsidRPr="009C4D05">
        <w:rPr>
          <w:rFonts w:ascii="Times New Roman" w:hAnsi="Times New Roman"/>
          <w:sz w:val="24"/>
          <w:szCs w:val="24"/>
        </w:rPr>
        <w:t>(Exp_GovRS1)</w:t>
      </w:r>
      <w:r>
        <w:rPr>
          <w:rFonts w:ascii="Times New Roman" w:hAnsi="Times New Roman"/>
          <w:sz w:val="24"/>
          <w:szCs w:val="24"/>
        </w:rPr>
        <w:t>.</w:t>
      </w:r>
    </w:p>
    <w:p w:rsidR="00A74D42" w:rsidRDefault="006B01F0" w:rsidP="00A40FFC">
      <w:pPr>
        <w:pStyle w:val="CommentText"/>
        <w:spacing w:line="360" w:lineRule="auto"/>
        <w:jc w:val="both"/>
        <w:rPr>
          <w:rFonts w:ascii="Times New Roman" w:hAnsi="Times New Roman"/>
          <w:sz w:val="24"/>
          <w:szCs w:val="24"/>
        </w:rPr>
      </w:pPr>
      <w:r>
        <w:rPr>
          <w:rFonts w:ascii="Times New Roman" w:hAnsi="Times New Roman"/>
          <w:sz w:val="24"/>
          <w:szCs w:val="24"/>
        </w:rPr>
        <w:lastRenderedPageBreak/>
        <w:t xml:space="preserve">Other legislative weaknesses stated during interviews included </w:t>
      </w:r>
      <w:r w:rsidR="00A40FFC">
        <w:rPr>
          <w:rFonts w:ascii="Times New Roman" w:hAnsi="Times New Roman"/>
          <w:sz w:val="24"/>
          <w:szCs w:val="24"/>
        </w:rPr>
        <w:t xml:space="preserve">a </w:t>
      </w:r>
      <w:r>
        <w:rPr>
          <w:rFonts w:ascii="Times New Roman" w:hAnsi="Times New Roman"/>
          <w:sz w:val="24"/>
          <w:szCs w:val="24"/>
        </w:rPr>
        <w:t xml:space="preserve">lack of </w:t>
      </w:r>
      <w:r w:rsidR="003A240C">
        <w:rPr>
          <w:rFonts w:ascii="Times New Roman" w:hAnsi="Times New Roman"/>
          <w:sz w:val="24"/>
          <w:szCs w:val="24"/>
        </w:rPr>
        <w:t xml:space="preserve">requirements for </w:t>
      </w:r>
      <w:r>
        <w:rPr>
          <w:rFonts w:ascii="Times New Roman" w:hAnsi="Times New Roman"/>
          <w:sz w:val="24"/>
          <w:szCs w:val="24"/>
        </w:rPr>
        <w:t xml:space="preserve">impact monitoring and </w:t>
      </w:r>
      <w:r w:rsidR="003A240C">
        <w:rPr>
          <w:rFonts w:ascii="Times New Roman" w:hAnsi="Times New Roman"/>
          <w:sz w:val="24"/>
          <w:szCs w:val="24"/>
        </w:rPr>
        <w:t xml:space="preserve">strategy on </w:t>
      </w:r>
      <w:r>
        <w:rPr>
          <w:rFonts w:ascii="Times New Roman" w:hAnsi="Times New Roman"/>
          <w:sz w:val="24"/>
          <w:szCs w:val="24"/>
        </w:rPr>
        <w:t>enforcement</w:t>
      </w:r>
      <w:r w:rsidR="003A240C">
        <w:rPr>
          <w:rFonts w:ascii="Times New Roman" w:hAnsi="Times New Roman"/>
          <w:sz w:val="24"/>
          <w:szCs w:val="24"/>
        </w:rPr>
        <w:t xml:space="preserve">, lack of personnel including </w:t>
      </w:r>
      <w:r>
        <w:rPr>
          <w:rFonts w:ascii="Times New Roman" w:hAnsi="Times New Roman"/>
          <w:sz w:val="24"/>
          <w:szCs w:val="24"/>
        </w:rPr>
        <w:t>environmental inspec</w:t>
      </w:r>
      <w:r w:rsidR="00B45EF0">
        <w:rPr>
          <w:rFonts w:ascii="Times New Roman" w:hAnsi="Times New Roman"/>
          <w:sz w:val="24"/>
          <w:szCs w:val="24"/>
        </w:rPr>
        <w:t>tors and environmental officers and</w:t>
      </w:r>
      <w:r>
        <w:rPr>
          <w:rFonts w:ascii="Times New Roman" w:hAnsi="Times New Roman"/>
          <w:sz w:val="24"/>
          <w:szCs w:val="24"/>
        </w:rPr>
        <w:t xml:space="preserve"> lack of </w:t>
      </w:r>
      <w:r w:rsidR="003A240C">
        <w:rPr>
          <w:rFonts w:ascii="Times New Roman" w:hAnsi="Times New Roman"/>
          <w:sz w:val="24"/>
          <w:szCs w:val="24"/>
        </w:rPr>
        <w:t xml:space="preserve">requirements for </w:t>
      </w:r>
      <w:r>
        <w:rPr>
          <w:rFonts w:ascii="Times New Roman" w:hAnsi="Times New Roman"/>
          <w:sz w:val="24"/>
          <w:szCs w:val="24"/>
        </w:rPr>
        <w:t xml:space="preserve">strategic </w:t>
      </w:r>
      <w:r w:rsidR="009A35AF">
        <w:rPr>
          <w:rFonts w:ascii="Times New Roman" w:hAnsi="Times New Roman"/>
          <w:sz w:val="24"/>
          <w:szCs w:val="24"/>
        </w:rPr>
        <w:t>assessment</w:t>
      </w:r>
      <w:r>
        <w:rPr>
          <w:rFonts w:ascii="Times New Roman" w:hAnsi="Times New Roman"/>
          <w:sz w:val="24"/>
          <w:szCs w:val="24"/>
        </w:rPr>
        <w:t xml:space="preserve">. </w:t>
      </w:r>
      <w:r w:rsidR="003A240C">
        <w:rPr>
          <w:rFonts w:ascii="Times New Roman" w:hAnsi="Times New Roman"/>
          <w:sz w:val="24"/>
          <w:szCs w:val="24"/>
        </w:rPr>
        <w:t xml:space="preserve">Interviewees pointed out </w:t>
      </w:r>
      <w:r>
        <w:rPr>
          <w:rFonts w:ascii="Times New Roman" w:hAnsi="Times New Roman"/>
          <w:sz w:val="24"/>
          <w:szCs w:val="24"/>
        </w:rPr>
        <w:t xml:space="preserve">that EIA fines and penalties are diminutive and cannot deter contravention of the EIA law. According to the EMA (2007), a person who commits an offence in terms </w:t>
      </w:r>
      <w:r w:rsidRPr="007428FB">
        <w:rPr>
          <w:rFonts w:ascii="Times New Roman" w:hAnsi="Times New Roman"/>
          <w:sz w:val="24"/>
          <w:szCs w:val="24"/>
        </w:rPr>
        <w:t>of</w:t>
      </w:r>
      <w:r>
        <w:rPr>
          <w:rFonts w:ascii="Times New Roman" w:hAnsi="Times New Roman"/>
          <w:sz w:val="24"/>
          <w:szCs w:val="24"/>
        </w:rPr>
        <w:t xml:space="preserve"> the EIA regulation is liable to a fine of </w:t>
      </w:r>
      <w:r w:rsidR="0029385B">
        <w:rPr>
          <w:rFonts w:ascii="Times New Roman" w:hAnsi="Times New Roman"/>
          <w:sz w:val="24"/>
          <w:szCs w:val="24"/>
        </w:rPr>
        <w:t>N$ 100,000 (USD 6715.72 on 15</w:t>
      </w:r>
      <w:r w:rsidR="00D076D4">
        <w:rPr>
          <w:rFonts w:ascii="Times New Roman" w:hAnsi="Times New Roman"/>
          <w:sz w:val="24"/>
          <w:szCs w:val="24"/>
        </w:rPr>
        <w:t>/08</w:t>
      </w:r>
      <w:r w:rsidR="00E43533">
        <w:rPr>
          <w:rFonts w:ascii="Times New Roman" w:hAnsi="Times New Roman"/>
          <w:sz w:val="24"/>
          <w:szCs w:val="24"/>
        </w:rPr>
        <w:t>/</w:t>
      </w:r>
      <w:r>
        <w:rPr>
          <w:rFonts w:ascii="Times New Roman" w:hAnsi="Times New Roman"/>
          <w:sz w:val="24"/>
          <w:szCs w:val="24"/>
        </w:rPr>
        <w:t xml:space="preserve">2021) or imprisonment of a period not exceeding 10 years, or both. Interviewees </w:t>
      </w:r>
      <w:r w:rsidR="003A240C">
        <w:rPr>
          <w:rFonts w:ascii="Times New Roman" w:hAnsi="Times New Roman"/>
          <w:sz w:val="24"/>
          <w:szCs w:val="24"/>
        </w:rPr>
        <w:t xml:space="preserve">also </w:t>
      </w:r>
      <w:r>
        <w:rPr>
          <w:rFonts w:ascii="Times New Roman" w:hAnsi="Times New Roman"/>
          <w:sz w:val="24"/>
          <w:szCs w:val="24"/>
        </w:rPr>
        <w:t xml:space="preserve">noted that fines are only on paper and rarely imposed, but when enforced, developers tend to </w:t>
      </w:r>
      <w:r w:rsidR="003A240C">
        <w:rPr>
          <w:rFonts w:ascii="Times New Roman" w:hAnsi="Times New Roman"/>
          <w:sz w:val="24"/>
          <w:szCs w:val="24"/>
        </w:rPr>
        <w:t xml:space="preserve">win court cases on </w:t>
      </w:r>
      <w:r w:rsidR="00A40FFC">
        <w:rPr>
          <w:rFonts w:ascii="Times New Roman" w:hAnsi="Times New Roman"/>
          <w:sz w:val="24"/>
          <w:szCs w:val="24"/>
        </w:rPr>
        <w:t xml:space="preserve">an </w:t>
      </w:r>
      <w:r>
        <w:rPr>
          <w:rFonts w:ascii="Times New Roman" w:hAnsi="Times New Roman"/>
          <w:sz w:val="24"/>
          <w:szCs w:val="24"/>
        </w:rPr>
        <w:t xml:space="preserve">appeal </w:t>
      </w:r>
      <w:r w:rsidR="003A240C">
        <w:rPr>
          <w:rFonts w:ascii="Times New Roman" w:hAnsi="Times New Roman"/>
          <w:sz w:val="24"/>
          <w:szCs w:val="24"/>
        </w:rPr>
        <w:t xml:space="preserve">basis </w:t>
      </w:r>
      <w:r>
        <w:rPr>
          <w:rFonts w:ascii="Times New Roman" w:hAnsi="Times New Roman"/>
          <w:sz w:val="24"/>
          <w:szCs w:val="24"/>
        </w:rPr>
        <w:t xml:space="preserve">due to several loopholes in the legislation. </w:t>
      </w:r>
    </w:p>
    <w:p w:rsidR="00A74D42" w:rsidRDefault="006B01F0" w:rsidP="00A74D42">
      <w:pPr>
        <w:pStyle w:val="CommentText"/>
        <w:spacing w:line="360" w:lineRule="auto"/>
        <w:jc w:val="both"/>
        <w:rPr>
          <w:rFonts w:ascii="Times New Roman" w:hAnsi="Times New Roman"/>
          <w:sz w:val="24"/>
          <w:szCs w:val="24"/>
        </w:rPr>
      </w:pPr>
      <w:r>
        <w:rPr>
          <w:rFonts w:ascii="Times New Roman" w:hAnsi="Times New Roman"/>
          <w:sz w:val="24"/>
          <w:szCs w:val="24"/>
        </w:rPr>
        <w:t>Another notable weakness in the system is a lack of sector guidelines on activities requiring EIA. No sector guideline</w:t>
      </w:r>
      <w:r w:rsidR="000E3F17">
        <w:rPr>
          <w:rFonts w:ascii="Times New Roman" w:hAnsi="Times New Roman"/>
          <w:sz w:val="24"/>
          <w:szCs w:val="24"/>
        </w:rPr>
        <w:t>s</w:t>
      </w:r>
      <w:r>
        <w:rPr>
          <w:rFonts w:ascii="Times New Roman" w:hAnsi="Times New Roman"/>
          <w:sz w:val="24"/>
          <w:szCs w:val="24"/>
        </w:rPr>
        <w:t xml:space="preserve"> exist and therefore</w:t>
      </w:r>
      <w:r w:rsidR="000E3F17">
        <w:rPr>
          <w:rFonts w:ascii="Times New Roman" w:hAnsi="Times New Roman"/>
          <w:sz w:val="24"/>
          <w:szCs w:val="24"/>
        </w:rPr>
        <w:t xml:space="preserve"> assessments of similar projects are undertaken differently</w:t>
      </w:r>
      <w:r>
        <w:rPr>
          <w:rFonts w:ascii="Times New Roman" w:hAnsi="Times New Roman"/>
          <w:sz w:val="24"/>
          <w:szCs w:val="24"/>
        </w:rPr>
        <w:t xml:space="preserve">. A senior expert from </w:t>
      </w:r>
      <w:r w:rsidR="000E3F17">
        <w:rPr>
          <w:rFonts w:ascii="Times New Roman" w:hAnsi="Times New Roman"/>
          <w:sz w:val="24"/>
          <w:szCs w:val="24"/>
        </w:rPr>
        <w:t>an</w:t>
      </w:r>
      <w:r>
        <w:rPr>
          <w:rFonts w:ascii="Times New Roman" w:hAnsi="Times New Roman"/>
          <w:sz w:val="24"/>
          <w:szCs w:val="24"/>
        </w:rPr>
        <w:t xml:space="preserve"> NGO suggested that common </w:t>
      </w:r>
      <w:r w:rsidR="000E3F17">
        <w:rPr>
          <w:rFonts w:ascii="Times New Roman" w:hAnsi="Times New Roman"/>
          <w:sz w:val="24"/>
          <w:szCs w:val="24"/>
        </w:rPr>
        <w:t>developments</w:t>
      </w:r>
      <w:r>
        <w:rPr>
          <w:rFonts w:ascii="Times New Roman" w:hAnsi="Times New Roman"/>
          <w:sz w:val="24"/>
          <w:szCs w:val="24"/>
        </w:rPr>
        <w:t xml:space="preserve"> such as fuel stations, shopping malls should have </w:t>
      </w:r>
      <w:r w:rsidR="000E3F17">
        <w:rPr>
          <w:rFonts w:ascii="Times New Roman" w:hAnsi="Times New Roman"/>
          <w:sz w:val="24"/>
          <w:szCs w:val="24"/>
        </w:rPr>
        <w:t xml:space="preserve">specific </w:t>
      </w:r>
      <w:r>
        <w:rPr>
          <w:rFonts w:ascii="Times New Roman" w:hAnsi="Times New Roman"/>
          <w:sz w:val="24"/>
          <w:szCs w:val="24"/>
        </w:rPr>
        <w:t xml:space="preserve">guidelines and be obliged to adopt </w:t>
      </w:r>
      <w:r w:rsidR="00A40FFC">
        <w:rPr>
          <w:rFonts w:ascii="Times New Roman" w:hAnsi="Times New Roman"/>
          <w:sz w:val="24"/>
          <w:szCs w:val="24"/>
        </w:rPr>
        <w:t xml:space="preserve">the </w:t>
      </w:r>
      <w:r>
        <w:rPr>
          <w:rFonts w:ascii="Times New Roman" w:hAnsi="Times New Roman"/>
          <w:sz w:val="24"/>
          <w:szCs w:val="24"/>
        </w:rPr>
        <w:t xml:space="preserve">same environmental </w:t>
      </w:r>
      <w:r w:rsidR="000E3F17">
        <w:rPr>
          <w:rFonts w:ascii="Times New Roman" w:hAnsi="Times New Roman"/>
          <w:sz w:val="24"/>
          <w:szCs w:val="24"/>
        </w:rPr>
        <w:t xml:space="preserve">management </w:t>
      </w:r>
      <w:r>
        <w:rPr>
          <w:rFonts w:ascii="Times New Roman" w:hAnsi="Times New Roman"/>
          <w:sz w:val="24"/>
          <w:szCs w:val="24"/>
        </w:rPr>
        <w:t>plans.</w:t>
      </w:r>
    </w:p>
    <w:p w:rsidR="005005DA" w:rsidRDefault="006B01F0" w:rsidP="00AC4B18">
      <w:pPr>
        <w:spacing w:line="360" w:lineRule="auto"/>
        <w:jc w:val="both"/>
        <w:rPr>
          <w:rFonts w:ascii="Times New Roman" w:hAnsi="Times New Roman"/>
          <w:sz w:val="24"/>
          <w:szCs w:val="24"/>
        </w:rPr>
      </w:pPr>
      <w:r>
        <w:rPr>
          <w:rFonts w:ascii="Times New Roman" w:hAnsi="Times New Roman"/>
          <w:sz w:val="24"/>
          <w:szCs w:val="24"/>
        </w:rPr>
        <w:t>Another</w:t>
      </w:r>
      <w:r w:rsidR="00D23BAB">
        <w:rPr>
          <w:rFonts w:ascii="Times New Roman" w:hAnsi="Times New Roman"/>
          <w:sz w:val="24"/>
          <w:szCs w:val="24"/>
        </w:rPr>
        <w:t xml:space="preserve"> gap in the EIA regulations is that there </w:t>
      </w:r>
      <w:r w:rsidR="0029385B">
        <w:rPr>
          <w:rFonts w:ascii="Times New Roman" w:hAnsi="Times New Roman"/>
          <w:sz w:val="24"/>
          <w:szCs w:val="24"/>
        </w:rPr>
        <w:t>are</w:t>
      </w:r>
      <w:r w:rsidR="00D23BAB">
        <w:rPr>
          <w:rFonts w:ascii="Times New Roman" w:hAnsi="Times New Roman"/>
          <w:sz w:val="24"/>
          <w:szCs w:val="24"/>
        </w:rPr>
        <w:t xml:space="preserve"> no clear provision</w:t>
      </w:r>
      <w:r>
        <w:rPr>
          <w:rFonts w:ascii="Times New Roman" w:hAnsi="Times New Roman"/>
          <w:sz w:val="24"/>
          <w:szCs w:val="24"/>
        </w:rPr>
        <w:t>s</w:t>
      </w:r>
      <w:r w:rsidR="00E43533">
        <w:rPr>
          <w:rFonts w:ascii="Times New Roman" w:hAnsi="Times New Roman"/>
          <w:sz w:val="24"/>
          <w:szCs w:val="24"/>
        </w:rPr>
        <w:t xml:space="preserve"> for Interested and Affected P</w:t>
      </w:r>
      <w:r w:rsidR="00D23BAB">
        <w:rPr>
          <w:rFonts w:ascii="Times New Roman" w:hAnsi="Times New Roman"/>
          <w:sz w:val="24"/>
          <w:szCs w:val="24"/>
        </w:rPr>
        <w:t>arties</w:t>
      </w:r>
      <w:r w:rsidR="00E43533">
        <w:rPr>
          <w:rFonts w:ascii="Times New Roman" w:hAnsi="Times New Roman"/>
          <w:sz w:val="24"/>
          <w:szCs w:val="24"/>
        </w:rPr>
        <w:t xml:space="preserve"> (IAP)</w:t>
      </w:r>
      <w:r w:rsidR="00D23BAB">
        <w:rPr>
          <w:rFonts w:ascii="Times New Roman" w:hAnsi="Times New Roman"/>
          <w:sz w:val="24"/>
          <w:szCs w:val="24"/>
        </w:rPr>
        <w:t xml:space="preserve"> or the public to be informed of the decision made on a proposed project. According to Regulation </w:t>
      </w:r>
      <w:r w:rsidR="00D23BAB" w:rsidRPr="00C57788">
        <w:rPr>
          <w:rFonts w:ascii="Times New Roman" w:hAnsi="Times New Roman"/>
          <w:sz w:val="24"/>
          <w:szCs w:val="24"/>
        </w:rPr>
        <w:t>18</w:t>
      </w:r>
      <w:r w:rsidR="00D23BAB">
        <w:rPr>
          <w:rFonts w:ascii="Times New Roman" w:hAnsi="Times New Roman"/>
          <w:sz w:val="24"/>
          <w:szCs w:val="24"/>
        </w:rPr>
        <w:t xml:space="preserve">, the </w:t>
      </w:r>
      <w:r>
        <w:rPr>
          <w:rFonts w:ascii="Times New Roman" w:hAnsi="Times New Roman"/>
          <w:sz w:val="24"/>
          <w:szCs w:val="24"/>
        </w:rPr>
        <w:t>environmental commissioner</w:t>
      </w:r>
      <w:r w:rsidR="00D23BAB">
        <w:rPr>
          <w:rFonts w:ascii="Times New Roman" w:hAnsi="Times New Roman"/>
          <w:sz w:val="24"/>
          <w:szCs w:val="24"/>
        </w:rPr>
        <w:t xml:space="preserve"> is only required to inform the developer o</w:t>
      </w:r>
      <w:r w:rsidR="00A40FFC">
        <w:rPr>
          <w:rFonts w:ascii="Times New Roman" w:hAnsi="Times New Roman"/>
          <w:sz w:val="24"/>
          <w:szCs w:val="24"/>
        </w:rPr>
        <w:t>f</w:t>
      </w:r>
      <w:r w:rsidR="00D23BAB">
        <w:rPr>
          <w:rFonts w:ascii="Times New Roman" w:hAnsi="Times New Roman"/>
          <w:sz w:val="24"/>
          <w:szCs w:val="24"/>
        </w:rPr>
        <w:t xml:space="preserve"> the decision. A local authority expert stated there is a need for an </w:t>
      </w:r>
      <w:r w:rsidR="00C9483B">
        <w:rPr>
          <w:rFonts w:ascii="Times New Roman" w:hAnsi="Times New Roman"/>
          <w:sz w:val="24"/>
          <w:szCs w:val="24"/>
        </w:rPr>
        <w:t xml:space="preserve">open online </w:t>
      </w:r>
      <w:r w:rsidR="00D23BAB">
        <w:rPr>
          <w:rFonts w:ascii="Times New Roman" w:hAnsi="Times New Roman"/>
          <w:sz w:val="24"/>
          <w:szCs w:val="24"/>
        </w:rPr>
        <w:t xml:space="preserve">database </w:t>
      </w:r>
      <w:r w:rsidR="00C9483B">
        <w:rPr>
          <w:rFonts w:ascii="Times New Roman" w:hAnsi="Times New Roman"/>
          <w:sz w:val="24"/>
          <w:szCs w:val="24"/>
        </w:rPr>
        <w:t xml:space="preserve">where the DEA </w:t>
      </w:r>
      <w:r w:rsidR="00D23BAB">
        <w:rPr>
          <w:rFonts w:ascii="Times New Roman" w:hAnsi="Times New Roman"/>
          <w:sz w:val="24"/>
          <w:szCs w:val="24"/>
        </w:rPr>
        <w:t>share</w:t>
      </w:r>
      <w:r w:rsidR="00C9483B">
        <w:rPr>
          <w:rFonts w:ascii="Times New Roman" w:hAnsi="Times New Roman"/>
          <w:sz w:val="24"/>
          <w:szCs w:val="24"/>
        </w:rPr>
        <w:t xml:space="preserve"> with the public</w:t>
      </w:r>
      <w:r w:rsidR="00D23BAB">
        <w:rPr>
          <w:rFonts w:ascii="Times New Roman" w:hAnsi="Times New Roman"/>
          <w:sz w:val="24"/>
          <w:szCs w:val="24"/>
        </w:rPr>
        <w:t xml:space="preserve"> information on EIA application</w:t>
      </w:r>
      <w:r w:rsidR="00C9483B">
        <w:rPr>
          <w:rFonts w:ascii="Times New Roman" w:hAnsi="Times New Roman"/>
          <w:sz w:val="24"/>
          <w:szCs w:val="24"/>
        </w:rPr>
        <w:t xml:space="preserve">s and </w:t>
      </w:r>
      <w:r w:rsidR="00D23BAB">
        <w:rPr>
          <w:rFonts w:ascii="Times New Roman" w:hAnsi="Times New Roman"/>
          <w:sz w:val="24"/>
          <w:szCs w:val="24"/>
        </w:rPr>
        <w:t>decision</w:t>
      </w:r>
      <w:r w:rsidR="00C9483B">
        <w:rPr>
          <w:rFonts w:ascii="Times New Roman" w:hAnsi="Times New Roman"/>
          <w:sz w:val="24"/>
          <w:szCs w:val="24"/>
        </w:rPr>
        <w:t xml:space="preserve">s taken on the projects, adding that such can contribute to the </w:t>
      </w:r>
      <w:r w:rsidR="0029385B">
        <w:rPr>
          <w:rFonts w:ascii="Times New Roman" w:hAnsi="Times New Roman"/>
          <w:sz w:val="24"/>
          <w:szCs w:val="24"/>
        </w:rPr>
        <w:t>transparency</w:t>
      </w:r>
      <w:r w:rsidR="00C9483B">
        <w:rPr>
          <w:rFonts w:ascii="Times New Roman" w:hAnsi="Times New Roman"/>
          <w:sz w:val="24"/>
          <w:szCs w:val="24"/>
        </w:rPr>
        <w:t xml:space="preserve"> of the appeal process</w:t>
      </w:r>
      <w:r w:rsidR="00D23BAB">
        <w:rPr>
          <w:rFonts w:ascii="Times New Roman" w:hAnsi="Times New Roman"/>
          <w:sz w:val="24"/>
          <w:szCs w:val="24"/>
        </w:rPr>
        <w:t xml:space="preserve">. </w:t>
      </w:r>
      <w:r w:rsidR="00C9483B">
        <w:rPr>
          <w:rFonts w:ascii="Times New Roman" w:hAnsi="Times New Roman"/>
          <w:sz w:val="24"/>
          <w:szCs w:val="24"/>
        </w:rPr>
        <w:t>Other i</w:t>
      </w:r>
      <w:r w:rsidR="00D23BAB">
        <w:rPr>
          <w:rFonts w:ascii="Times New Roman" w:hAnsi="Times New Roman"/>
          <w:sz w:val="24"/>
          <w:szCs w:val="24"/>
        </w:rPr>
        <w:t xml:space="preserve">nterviewees </w:t>
      </w:r>
      <w:r w:rsidR="00C9483B">
        <w:rPr>
          <w:rFonts w:ascii="Times New Roman" w:hAnsi="Times New Roman"/>
          <w:sz w:val="24"/>
          <w:szCs w:val="24"/>
        </w:rPr>
        <w:t>also</w:t>
      </w:r>
      <w:r w:rsidR="00D23BAB">
        <w:rPr>
          <w:rFonts w:ascii="Times New Roman" w:hAnsi="Times New Roman"/>
          <w:sz w:val="24"/>
          <w:szCs w:val="24"/>
        </w:rPr>
        <w:t xml:space="preserve"> indicated that the public relies on media reports or leaked information from </w:t>
      </w:r>
      <w:r w:rsidR="00C9483B">
        <w:rPr>
          <w:rFonts w:ascii="Times New Roman" w:hAnsi="Times New Roman"/>
          <w:sz w:val="24"/>
          <w:szCs w:val="24"/>
        </w:rPr>
        <w:t xml:space="preserve">the </w:t>
      </w:r>
      <w:r w:rsidR="00D23BAB">
        <w:rPr>
          <w:rFonts w:ascii="Times New Roman" w:hAnsi="Times New Roman"/>
          <w:sz w:val="24"/>
          <w:szCs w:val="24"/>
        </w:rPr>
        <w:t>DEA to learn of EIA decisions.</w:t>
      </w:r>
      <w:r w:rsidR="00D23BAB" w:rsidRPr="00D1404C">
        <w:rPr>
          <w:rFonts w:ascii="Times New Roman" w:hAnsi="Times New Roman"/>
          <w:sz w:val="24"/>
          <w:szCs w:val="24"/>
        </w:rPr>
        <w:t xml:space="preserve"> </w:t>
      </w:r>
      <w:r w:rsidR="00D23BAB">
        <w:rPr>
          <w:rFonts w:ascii="Times New Roman" w:hAnsi="Times New Roman"/>
          <w:sz w:val="24"/>
          <w:szCs w:val="24"/>
        </w:rPr>
        <w:t xml:space="preserve">Given the </w:t>
      </w:r>
      <w:r w:rsidR="00AC4B18">
        <w:rPr>
          <w:rFonts w:ascii="Times New Roman" w:hAnsi="Times New Roman"/>
          <w:sz w:val="24"/>
          <w:szCs w:val="24"/>
        </w:rPr>
        <w:t xml:space="preserve">different weaknesses and </w:t>
      </w:r>
      <w:r w:rsidR="0029385B">
        <w:rPr>
          <w:rFonts w:ascii="Times New Roman" w:hAnsi="Times New Roman"/>
          <w:sz w:val="24"/>
          <w:szCs w:val="24"/>
        </w:rPr>
        <w:t>strengths</w:t>
      </w:r>
      <w:r w:rsidR="00AC4B18">
        <w:rPr>
          <w:rFonts w:ascii="Times New Roman" w:hAnsi="Times New Roman"/>
          <w:sz w:val="24"/>
          <w:szCs w:val="24"/>
        </w:rPr>
        <w:t xml:space="preserve"> found in the legislative frameworks, this criterion is rated as partially met</w:t>
      </w:r>
      <w:r w:rsidR="00D23BAB">
        <w:rPr>
          <w:rFonts w:ascii="Times New Roman" w:hAnsi="Times New Roman"/>
          <w:sz w:val="24"/>
          <w:szCs w:val="24"/>
        </w:rPr>
        <w:t xml:space="preserve"> (Table </w:t>
      </w:r>
      <w:r w:rsidR="00F13286">
        <w:rPr>
          <w:rFonts w:ascii="Times New Roman" w:hAnsi="Times New Roman"/>
          <w:sz w:val="24"/>
          <w:szCs w:val="24"/>
        </w:rPr>
        <w:t>1</w:t>
      </w:r>
      <w:r w:rsidR="00D23BAB">
        <w:rPr>
          <w:rFonts w:ascii="Times New Roman" w:hAnsi="Times New Roman"/>
          <w:sz w:val="24"/>
          <w:szCs w:val="24"/>
        </w:rPr>
        <w:t>).</w:t>
      </w:r>
      <w:r w:rsidR="00D23BAB" w:rsidRPr="00BF4221">
        <w:rPr>
          <w:rFonts w:ascii="Times New Roman" w:hAnsi="Times New Roman"/>
          <w:sz w:val="24"/>
          <w:szCs w:val="24"/>
        </w:rPr>
        <w:t xml:space="preserve"> </w:t>
      </w:r>
    </w:p>
    <w:p w:rsidR="005005DA" w:rsidRPr="004F576B" w:rsidRDefault="005005DA" w:rsidP="00504A20">
      <w:pPr>
        <w:spacing w:line="360" w:lineRule="auto"/>
        <w:jc w:val="both"/>
        <w:rPr>
          <w:rFonts w:ascii="Times New Roman" w:hAnsi="Times New Roman"/>
          <w:sz w:val="24"/>
          <w:szCs w:val="24"/>
        </w:rPr>
      </w:pPr>
    </w:p>
    <w:p w:rsidR="00E560E9" w:rsidRPr="00B320D1" w:rsidRDefault="006B01F0" w:rsidP="007B58C2">
      <w:pPr>
        <w:pStyle w:val="CommentText"/>
        <w:numPr>
          <w:ilvl w:val="1"/>
          <w:numId w:val="17"/>
        </w:numPr>
        <w:spacing w:line="360" w:lineRule="auto"/>
        <w:jc w:val="both"/>
        <w:rPr>
          <w:rFonts w:ascii="Times New Roman" w:hAnsi="Times New Roman"/>
          <w:b/>
          <w:sz w:val="24"/>
          <w:szCs w:val="24"/>
        </w:rPr>
      </w:pPr>
      <w:r w:rsidRPr="00B320D1">
        <w:rPr>
          <w:rFonts w:ascii="Times New Roman" w:hAnsi="Times New Roman"/>
          <w:b/>
          <w:sz w:val="24"/>
          <w:szCs w:val="24"/>
        </w:rPr>
        <w:t xml:space="preserve">EIA Administration </w:t>
      </w:r>
    </w:p>
    <w:p w:rsidR="00F6300B" w:rsidRPr="00786FD4" w:rsidRDefault="006B01F0" w:rsidP="00F6300B">
      <w:pPr>
        <w:spacing w:line="360" w:lineRule="auto"/>
        <w:jc w:val="both"/>
        <w:rPr>
          <w:rFonts w:ascii="Times New Roman" w:hAnsi="Times New Roman"/>
          <w:sz w:val="24"/>
          <w:szCs w:val="24"/>
        </w:rPr>
      </w:pPr>
      <w:r w:rsidRPr="000921BE">
        <w:rPr>
          <w:rFonts w:ascii="Times New Roman" w:hAnsi="Times New Roman"/>
          <w:sz w:val="24"/>
          <w:szCs w:val="24"/>
        </w:rPr>
        <w:t xml:space="preserve">The </w:t>
      </w:r>
      <w:r w:rsidR="00E22F43">
        <w:rPr>
          <w:rFonts w:ascii="Times New Roman" w:hAnsi="Times New Roman"/>
          <w:sz w:val="24"/>
          <w:szCs w:val="24"/>
        </w:rPr>
        <w:t>Environmental Management A</w:t>
      </w:r>
      <w:r w:rsidR="00EC70D4">
        <w:rPr>
          <w:rFonts w:ascii="Times New Roman" w:hAnsi="Times New Roman"/>
          <w:sz w:val="24"/>
          <w:szCs w:val="24"/>
        </w:rPr>
        <w:t>ct (2007) designate</w:t>
      </w:r>
      <w:r w:rsidR="00604555">
        <w:rPr>
          <w:rFonts w:ascii="Times New Roman" w:hAnsi="Times New Roman"/>
          <w:sz w:val="24"/>
          <w:szCs w:val="24"/>
        </w:rPr>
        <w:t>d</w:t>
      </w:r>
      <w:r w:rsidR="0081317B">
        <w:rPr>
          <w:rFonts w:ascii="Times New Roman" w:hAnsi="Times New Roman"/>
          <w:sz w:val="24"/>
          <w:szCs w:val="24"/>
        </w:rPr>
        <w:t xml:space="preserve"> the DEA</w:t>
      </w:r>
      <w:r w:rsidR="002B1DC0">
        <w:rPr>
          <w:rFonts w:ascii="Times New Roman" w:hAnsi="Times New Roman"/>
          <w:sz w:val="24"/>
          <w:szCs w:val="24"/>
        </w:rPr>
        <w:t xml:space="preserve"> </w:t>
      </w:r>
      <w:r w:rsidRPr="000921BE">
        <w:rPr>
          <w:rFonts w:ascii="Times New Roman" w:hAnsi="Times New Roman"/>
          <w:sz w:val="24"/>
          <w:szCs w:val="24"/>
        </w:rPr>
        <w:t xml:space="preserve">under the </w:t>
      </w:r>
      <w:r w:rsidR="0081317B">
        <w:rPr>
          <w:rFonts w:ascii="Times New Roman" w:hAnsi="Times New Roman"/>
          <w:sz w:val="24"/>
          <w:szCs w:val="24"/>
        </w:rPr>
        <w:t>MEFT</w:t>
      </w:r>
      <w:r>
        <w:rPr>
          <w:rFonts w:ascii="Times New Roman" w:hAnsi="Times New Roman"/>
          <w:sz w:val="24"/>
          <w:szCs w:val="24"/>
        </w:rPr>
        <w:t xml:space="preserve"> as the sole regulatory authority in charge of supervising and authorizing EIA applications</w:t>
      </w:r>
      <w:r w:rsidR="002B1DC0">
        <w:rPr>
          <w:rFonts w:ascii="Times New Roman" w:hAnsi="Times New Roman"/>
          <w:sz w:val="24"/>
          <w:szCs w:val="24"/>
        </w:rPr>
        <w:t xml:space="preserve"> in Namibia</w:t>
      </w:r>
      <w:r w:rsidRPr="000921BE">
        <w:rPr>
          <w:rFonts w:ascii="Times New Roman" w:hAnsi="Times New Roman"/>
          <w:sz w:val="24"/>
          <w:szCs w:val="24"/>
        </w:rPr>
        <w:t xml:space="preserve">. </w:t>
      </w:r>
      <w:r>
        <w:rPr>
          <w:rFonts w:ascii="Times New Roman" w:hAnsi="Times New Roman"/>
          <w:sz w:val="24"/>
          <w:szCs w:val="24"/>
        </w:rPr>
        <w:t xml:space="preserve">The </w:t>
      </w:r>
      <w:r w:rsidR="002B1DC0">
        <w:rPr>
          <w:rFonts w:ascii="Times New Roman" w:hAnsi="Times New Roman"/>
          <w:sz w:val="24"/>
          <w:szCs w:val="24"/>
        </w:rPr>
        <w:t>DEA</w:t>
      </w:r>
      <w:r>
        <w:rPr>
          <w:rFonts w:ascii="Times New Roman" w:hAnsi="Times New Roman"/>
          <w:sz w:val="24"/>
          <w:szCs w:val="24"/>
        </w:rPr>
        <w:t xml:space="preserve"> was established in 1990 and </w:t>
      </w:r>
      <w:r w:rsidRPr="000921BE">
        <w:rPr>
          <w:rFonts w:ascii="Times New Roman" w:hAnsi="Times New Roman"/>
          <w:sz w:val="24"/>
          <w:szCs w:val="24"/>
        </w:rPr>
        <w:t>is headquartered in Windhoek</w:t>
      </w:r>
      <w:r w:rsidR="002B1DC0">
        <w:rPr>
          <w:rFonts w:ascii="Times New Roman" w:hAnsi="Times New Roman"/>
          <w:sz w:val="24"/>
          <w:szCs w:val="24"/>
        </w:rPr>
        <w:t>.</w:t>
      </w:r>
      <w:r w:rsidRPr="00F6300B">
        <w:rPr>
          <w:rFonts w:ascii="Times New Roman" w:hAnsi="Times New Roman"/>
          <w:sz w:val="24"/>
          <w:szCs w:val="24"/>
        </w:rPr>
        <w:t xml:space="preserve"> </w:t>
      </w:r>
      <w:r w:rsidR="003B59DB">
        <w:rPr>
          <w:rFonts w:ascii="Times New Roman" w:hAnsi="Times New Roman"/>
          <w:sz w:val="24"/>
          <w:szCs w:val="24"/>
        </w:rPr>
        <w:t xml:space="preserve">No DEA </w:t>
      </w:r>
      <w:r w:rsidR="0029385B">
        <w:rPr>
          <w:rFonts w:ascii="Times New Roman" w:hAnsi="Times New Roman"/>
          <w:sz w:val="24"/>
          <w:szCs w:val="24"/>
        </w:rPr>
        <w:t>regional</w:t>
      </w:r>
      <w:r w:rsidR="003B59DB">
        <w:rPr>
          <w:rFonts w:ascii="Times New Roman" w:hAnsi="Times New Roman"/>
          <w:sz w:val="24"/>
          <w:szCs w:val="24"/>
        </w:rPr>
        <w:t xml:space="preserve"> offices exist. </w:t>
      </w:r>
      <w:r w:rsidRPr="00066858">
        <w:rPr>
          <w:rFonts w:ascii="Times New Roman" w:hAnsi="Times New Roman"/>
          <w:sz w:val="24"/>
          <w:szCs w:val="24"/>
        </w:rPr>
        <w:t>Interviewees pointed out the lack of decentralization as a weakness in EIA administration.</w:t>
      </w:r>
    </w:p>
    <w:p w:rsidR="00F6300B" w:rsidRDefault="006B01F0" w:rsidP="00F6300B">
      <w:pPr>
        <w:spacing w:line="360" w:lineRule="auto"/>
        <w:jc w:val="both"/>
        <w:rPr>
          <w:rFonts w:ascii="Times New Roman" w:hAnsi="Times New Roman"/>
          <w:sz w:val="24"/>
          <w:szCs w:val="24"/>
        </w:rPr>
      </w:pPr>
      <w:r>
        <w:rPr>
          <w:rFonts w:ascii="Times New Roman" w:hAnsi="Times New Roman"/>
          <w:sz w:val="24"/>
          <w:szCs w:val="24"/>
        </w:rPr>
        <w:lastRenderedPageBreak/>
        <w:t xml:space="preserve">The </w:t>
      </w:r>
      <w:r w:rsidRPr="006A60DB">
        <w:rPr>
          <w:rFonts w:ascii="Times New Roman" w:hAnsi="Times New Roman"/>
          <w:sz w:val="24"/>
          <w:szCs w:val="24"/>
        </w:rPr>
        <w:t>DEA</w:t>
      </w:r>
      <w:r w:rsidR="009655B4" w:rsidRPr="006A60DB">
        <w:rPr>
          <w:rFonts w:ascii="Times New Roman" w:hAnsi="Times New Roman"/>
          <w:sz w:val="24"/>
          <w:szCs w:val="24"/>
        </w:rPr>
        <w:t xml:space="preserve"> is responsible </w:t>
      </w:r>
      <w:r w:rsidR="00CC75F8" w:rsidRPr="006A60DB">
        <w:rPr>
          <w:rFonts w:ascii="Times New Roman" w:hAnsi="Times New Roman"/>
          <w:sz w:val="24"/>
          <w:szCs w:val="24"/>
        </w:rPr>
        <w:t>for</w:t>
      </w:r>
      <w:r w:rsidR="007F6C9C" w:rsidRPr="006A60DB">
        <w:rPr>
          <w:rFonts w:ascii="Times New Roman" w:hAnsi="Times New Roman"/>
          <w:sz w:val="24"/>
          <w:szCs w:val="24"/>
        </w:rPr>
        <w:t xml:space="preserve"> EIA review and</w:t>
      </w:r>
      <w:r w:rsidR="00CC75F8" w:rsidRPr="006A60DB">
        <w:rPr>
          <w:rFonts w:ascii="Times New Roman" w:hAnsi="Times New Roman"/>
          <w:sz w:val="24"/>
          <w:szCs w:val="24"/>
        </w:rPr>
        <w:t xml:space="preserve"> </w:t>
      </w:r>
      <w:r w:rsidR="007F6C9C" w:rsidRPr="006A60DB">
        <w:rPr>
          <w:rFonts w:ascii="Times New Roman" w:hAnsi="Times New Roman"/>
          <w:sz w:val="24"/>
          <w:szCs w:val="24"/>
        </w:rPr>
        <w:t xml:space="preserve">authorization. </w:t>
      </w:r>
      <w:r w:rsidR="009655B4" w:rsidRPr="006A60DB">
        <w:rPr>
          <w:rFonts w:ascii="Times New Roman" w:hAnsi="Times New Roman"/>
          <w:sz w:val="24"/>
          <w:szCs w:val="24"/>
        </w:rPr>
        <w:t xml:space="preserve">The </w:t>
      </w:r>
      <w:r w:rsidR="00BB2729">
        <w:rPr>
          <w:rFonts w:ascii="Times New Roman" w:hAnsi="Times New Roman"/>
          <w:sz w:val="24"/>
          <w:szCs w:val="24"/>
        </w:rPr>
        <w:t>e</w:t>
      </w:r>
      <w:r w:rsidR="007B104F" w:rsidRPr="006A60DB">
        <w:rPr>
          <w:rFonts w:ascii="Times New Roman" w:hAnsi="Times New Roman"/>
          <w:sz w:val="24"/>
          <w:szCs w:val="24"/>
        </w:rPr>
        <w:t xml:space="preserve">nvironmental </w:t>
      </w:r>
      <w:r w:rsidR="00BB2729">
        <w:rPr>
          <w:rFonts w:ascii="Times New Roman" w:hAnsi="Times New Roman"/>
          <w:sz w:val="24"/>
          <w:szCs w:val="24"/>
        </w:rPr>
        <w:t>c</w:t>
      </w:r>
      <w:r w:rsidR="007B104F" w:rsidRPr="006A60DB">
        <w:rPr>
          <w:rFonts w:ascii="Times New Roman" w:hAnsi="Times New Roman"/>
          <w:sz w:val="24"/>
          <w:szCs w:val="24"/>
        </w:rPr>
        <w:t>ommissioner</w:t>
      </w:r>
      <w:r w:rsidR="009655B4" w:rsidRPr="006A60DB">
        <w:rPr>
          <w:rFonts w:ascii="Times New Roman" w:hAnsi="Times New Roman"/>
          <w:sz w:val="24"/>
          <w:szCs w:val="24"/>
        </w:rPr>
        <w:t xml:space="preserve"> is the head of the DEA and was first appointed in 2012</w:t>
      </w:r>
      <w:r w:rsidR="0065094F" w:rsidRPr="006A60DB">
        <w:rPr>
          <w:rFonts w:ascii="Times New Roman" w:hAnsi="Times New Roman"/>
          <w:sz w:val="24"/>
          <w:szCs w:val="24"/>
        </w:rPr>
        <w:t xml:space="preserve">. The </w:t>
      </w:r>
      <w:r w:rsidR="00BB2729">
        <w:rPr>
          <w:rFonts w:ascii="Times New Roman" w:hAnsi="Times New Roman"/>
          <w:sz w:val="24"/>
          <w:szCs w:val="24"/>
        </w:rPr>
        <w:t>environmental commissioner</w:t>
      </w:r>
      <w:r w:rsidR="00BB2729" w:rsidRPr="006A60DB">
        <w:rPr>
          <w:rFonts w:ascii="Times New Roman" w:hAnsi="Times New Roman"/>
          <w:sz w:val="24"/>
          <w:szCs w:val="24"/>
        </w:rPr>
        <w:t xml:space="preserve"> </w:t>
      </w:r>
      <w:r w:rsidR="0065094F" w:rsidRPr="006A60DB">
        <w:rPr>
          <w:rFonts w:ascii="Times New Roman" w:hAnsi="Times New Roman"/>
          <w:sz w:val="24"/>
          <w:szCs w:val="24"/>
        </w:rPr>
        <w:t>is responsible for all environmental decisions</w:t>
      </w:r>
      <w:r w:rsidR="00605D39" w:rsidRPr="006A60DB">
        <w:rPr>
          <w:rFonts w:ascii="Times New Roman" w:hAnsi="Times New Roman"/>
          <w:sz w:val="24"/>
          <w:szCs w:val="24"/>
        </w:rPr>
        <w:t xml:space="preserve"> and </w:t>
      </w:r>
      <w:r>
        <w:rPr>
          <w:rFonts w:ascii="Times New Roman" w:hAnsi="Times New Roman"/>
          <w:sz w:val="24"/>
          <w:szCs w:val="24"/>
        </w:rPr>
        <w:t xml:space="preserve">their </w:t>
      </w:r>
      <w:r w:rsidR="00605D39" w:rsidRPr="006A60DB">
        <w:rPr>
          <w:rFonts w:ascii="Times New Roman" w:hAnsi="Times New Roman"/>
          <w:sz w:val="24"/>
          <w:szCs w:val="24"/>
        </w:rPr>
        <w:t>authorization</w:t>
      </w:r>
      <w:r>
        <w:rPr>
          <w:rFonts w:ascii="Times New Roman" w:hAnsi="Times New Roman"/>
          <w:sz w:val="24"/>
          <w:szCs w:val="24"/>
        </w:rPr>
        <w:t xml:space="preserve"> in Namibia</w:t>
      </w:r>
      <w:r w:rsidR="00605D39" w:rsidRPr="006A60DB">
        <w:rPr>
          <w:rFonts w:ascii="Times New Roman" w:hAnsi="Times New Roman"/>
          <w:sz w:val="24"/>
          <w:szCs w:val="24"/>
        </w:rPr>
        <w:t xml:space="preserve">. </w:t>
      </w:r>
      <w:r w:rsidRPr="00BA40EE">
        <w:rPr>
          <w:rFonts w:ascii="Times New Roman" w:hAnsi="Times New Roman"/>
          <w:sz w:val="24"/>
          <w:szCs w:val="24"/>
        </w:rPr>
        <w:t>Interviewed</w:t>
      </w:r>
      <w:r>
        <w:rPr>
          <w:rFonts w:ascii="Times New Roman" w:hAnsi="Times New Roman"/>
          <w:sz w:val="24"/>
          <w:szCs w:val="24"/>
        </w:rPr>
        <w:t xml:space="preserve"> experts criticized the</w:t>
      </w:r>
      <w:r w:rsidRPr="00BA40EE">
        <w:rPr>
          <w:rFonts w:ascii="Times New Roman" w:hAnsi="Times New Roman"/>
          <w:sz w:val="24"/>
          <w:szCs w:val="24"/>
        </w:rPr>
        <w:t xml:space="preserve"> practice, indicating that EIA decision</w:t>
      </w:r>
      <w:r w:rsidR="00A40FFC">
        <w:rPr>
          <w:rFonts w:ascii="Times New Roman" w:hAnsi="Times New Roman"/>
          <w:sz w:val="24"/>
          <w:szCs w:val="24"/>
        </w:rPr>
        <w:t>s</w:t>
      </w:r>
      <w:r w:rsidRPr="00BA40EE">
        <w:rPr>
          <w:rFonts w:ascii="Times New Roman" w:hAnsi="Times New Roman"/>
          <w:sz w:val="24"/>
          <w:szCs w:val="24"/>
        </w:rPr>
        <w:t xml:space="preserve"> are the foundation of national development and therefore </w:t>
      </w:r>
      <w:r>
        <w:rPr>
          <w:rFonts w:ascii="Times New Roman" w:hAnsi="Times New Roman"/>
          <w:sz w:val="24"/>
          <w:szCs w:val="24"/>
        </w:rPr>
        <w:t>should not</w:t>
      </w:r>
      <w:r w:rsidRPr="00BA40EE">
        <w:rPr>
          <w:rFonts w:ascii="Times New Roman" w:hAnsi="Times New Roman"/>
          <w:sz w:val="24"/>
          <w:szCs w:val="24"/>
        </w:rPr>
        <w:t xml:space="preserve"> be left to an individual. Experts from </w:t>
      </w:r>
      <w:r w:rsidR="00397A7C">
        <w:rPr>
          <w:rFonts w:ascii="Times New Roman" w:hAnsi="Times New Roman"/>
          <w:sz w:val="24"/>
          <w:szCs w:val="24"/>
        </w:rPr>
        <w:t xml:space="preserve">the </w:t>
      </w:r>
      <w:r w:rsidRPr="00BA40EE">
        <w:rPr>
          <w:rFonts w:ascii="Times New Roman" w:hAnsi="Times New Roman"/>
          <w:sz w:val="24"/>
          <w:szCs w:val="24"/>
        </w:rPr>
        <w:t>government further indicated that the concentration of</w:t>
      </w:r>
      <w:r>
        <w:rPr>
          <w:rFonts w:ascii="Times New Roman" w:hAnsi="Times New Roman"/>
          <w:sz w:val="24"/>
          <w:szCs w:val="24"/>
        </w:rPr>
        <w:t xml:space="preserve"> power in the position of the environmental commissioner</w:t>
      </w:r>
      <w:r w:rsidRPr="00BA40EE">
        <w:rPr>
          <w:rFonts w:ascii="Times New Roman" w:hAnsi="Times New Roman"/>
          <w:sz w:val="24"/>
          <w:szCs w:val="24"/>
        </w:rPr>
        <w:t xml:space="preserve"> renders it vulnerable to power</w:t>
      </w:r>
      <w:r>
        <w:rPr>
          <w:rFonts w:ascii="Times New Roman" w:hAnsi="Times New Roman"/>
          <w:sz w:val="24"/>
          <w:szCs w:val="24"/>
        </w:rPr>
        <w:t xml:space="preserve"> abuse</w:t>
      </w:r>
      <w:r w:rsidRPr="00BA40EE">
        <w:rPr>
          <w:rFonts w:ascii="Times New Roman" w:hAnsi="Times New Roman"/>
          <w:sz w:val="24"/>
          <w:szCs w:val="24"/>
        </w:rPr>
        <w:t xml:space="preserve"> and influence from </w:t>
      </w:r>
      <w:r>
        <w:rPr>
          <w:rFonts w:ascii="Times New Roman" w:hAnsi="Times New Roman"/>
          <w:sz w:val="24"/>
          <w:szCs w:val="24"/>
        </w:rPr>
        <w:t>other</w:t>
      </w:r>
      <w:r w:rsidRPr="00BA40EE">
        <w:rPr>
          <w:rFonts w:ascii="Times New Roman" w:hAnsi="Times New Roman"/>
          <w:sz w:val="24"/>
          <w:szCs w:val="24"/>
        </w:rPr>
        <w:t xml:space="preserve"> individuals. Interviewees further condemned the decision</w:t>
      </w:r>
      <w:r w:rsidR="00397A7C">
        <w:rPr>
          <w:rFonts w:ascii="Times New Roman" w:hAnsi="Times New Roman"/>
          <w:sz w:val="24"/>
          <w:szCs w:val="24"/>
        </w:rPr>
        <w:t>-</w:t>
      </w:r>
      <w:r w:rsidRPr="00BA40EE">
        <w:rPr>
          <w:rFonts w:ascii="Times New Roman" w:hAnsi="Times New Roman"/>
          <w:sz w:val="24"/>
          <w:szCs w:val="24"/>
        </w:rPr>
        <w:t>making process stating that it lacks transparency and is prone to corruption and bribery.</w:t>
      </w:r>
    </w:p>
    <w:p w:rsidR="00BB2729" w:rsidRDefault="006B01F0" w:rsidP="00605D39">
      <w:pPr>
        <w:spacing w:line="360" w:lineRule="auto"/>
        <w:jc w:val="both"/>
        <w:rPr>
          <w:rFonts w:ascii="Times New Roman" w:hAnsi="Times New Roman"/>
          <w:sz w:val="24"/>
          <w:szCs w:val="24"/>
        </w:rPr>
      </w:pPr>
      <w:r>
        <w:rPr>
          <w:rFonts w:ascii="Times New Roman" w:hAnsi="Times New Roman"/>
          <w:sz w:val="24"/>
          <w:szCs w:val="24"/>
        </w:rPr>
        <w:t xml:space="preserve">Government ministries in charge of natural resources </w:t>
      </w:r>
      <w:r w:rsidRPr="000921BE">
        <w:rPr>
          <w:rFonts w:ascii="Times New Roman" w:hAnsi="Times New Roman"/>
          <w:sz w:val="24"/>
          <w:szCs w:val="24"/>
        </w:rPr>
        <w:t xml:space="preserve">are </w:t>
      </w:r>
      <w:r>
        <w:rPr>
          <w:rFonts w:ascii="Times New Roman" w:hAnsi="Times New Roman"/>
          <w:sz w:val="24"/>
          <w:szCs w:val="24"/>
        </w:rPr>
        <w:t xml:space="preserve">designated as competent authorities. </w:t>
      </w:r>
      <w:r w:rsidR="009655B4" w:rsidRPr="006A60DB">
        <w:rPr>
          <w:rFonts w:ascii="Times New Roman" w:hAnsi="Times New Roman"/>
          <w:sz w:val="24"/>
          <w:szCs w:val="24"/>
        </w:rPr>
        <w:t>A</w:t>
      </w:r>
      <w:r w:rsidR="00C57788" w:rsidRPr="006A60DB">
        <w:rPr>
          <w:rFonts w:ascii="Times New Roman" w:hAnsi="Times New Roman"/>
          <w:sz w:val="24"/>
          <w:szCs w:val="24"/>
        </w:rPr>
        <w:t xml:space="preserve">ccording </w:t>
      </w:r>
      <w:r w:rsidR="007B104F" w:rsidRPr="006A60DB">
        <w:rPr>
          <w:rFonts w:ascii="Times New Roman" w:hAnsi="Times New Roman"/>
          <w:sz w:val="24"/>
          <w:szCs w:val="24"/>
        </w:rPr>
        <w:t xml:space="preserve">to </w:t>
      </w:r>
      <w:r w:rsidR="00C57788" w:rsidRPr="006A60DB">
        <w:rPr>
          <w:rFonts w:ascii="Times New Roman" w:hAnsi="Times New Roman"/>
          <w:sz w:val="24"/>
          <w:szCs w:val="24"/>
        </w:rPr>
        <w:t>local authority expert</w:t>
      </w:r>
      <w:r w:rsidR="007B104F" w:rsidRPr="006A60DB">
        <w:rPr>
          <w:rFonts w:ascii="Times New Roman" w:hAnsi="Times New Roman"/>
          <w:sz w:val="24"/>
          <w:szCs w:val="24"/>
        </w:rPr>
        <w:t>s</w:t>
      </w:r>
      <w:r w:rsidR="00C57788" w:rsidRPr="006A60DB">
        <w:rPr>
          <w:rFonts w:ascii="Times New Roman" w:hAnsi="Times New Roman"/>
          <w:sz w:val="24"/>
          <w:szCs w:val="24"/>
        </w:rPr>
        <w:t xml:space="preserve">, </w:t>
      </w:r>
      <w:r w:rsidR="00A40FFC">
        <w:rPr>
          <w:rFonts w:ascii="Times New Roman" w:hAnsi="Times New Roman"/>
          <w:sz w:val="24"/>
          <w:szCs w:val="24"/>
        </w:rPr>
        <w:t xml:space="preserve">there is limited communication and information </w:t>
      </w:r>
      <w:r w:rsidR="00D1404C">
        <w:rPr>
          <w:rFonts w:ascii="Times New Roman" w:hAnsi="Times New Roman"/>
          <w:sz w:val="24"/>
          <w:szCs w:val="24"/>
        </w:rPr>
        <w:t xml:space="preserve">sharing </w:t>
      </w:r>
      <w:r w:rsidR="00BA6DEC">
        <w:rPr>
          <w:rFonts w:ascii="Times New Roman" w:hAnsi="Times New Roman"/>
          <w:sz w:val="24"/>
          <w:szCs w:val="24"/>
        </w:rPr>
        <w:t>between the</w:t>
      </w:r>
      <w:r w:rsidR="00A40FFC">
        <w:rPr>
          <w:rFonts w:ascii="Times New Roman" w:hAnsi="Times New Roman"/>
          <w:sz w:val="24"/>
          <w:szCs w:val="24"/>
        </w:rPr>
        <w:t xml:space="preserve"> DEA office,</w:t>
      </w:r>
      <w:r w:rsidR="00BA6DEC">
        <w:rPr>
          <w:rFonts w:ascii="Times New Roman" w:hAnsi="Times New Roman"/>
          <w:sz w:val="24"/>
          <w:szCs w:val="24"/>
        </w:rPr>
        <w:t xml:space="preserve"> local authorit</w:t>
      </w:r>
      <w:r>
        <w:rPr>
          <w:rFonts w:ascii="Times New Roman" w:hAnsi="Times New Roman"/>
          <w:sz w:val="24"/>
          <w:szCs w:val="24"/>
        </w:rPr>
        <w:t>y</w:t>
      </w:r>
      <w:r w:rsidR="00BA6DEC">
        <w:rPr>
          <w:rFonts w:ascii="Times New Roman" w:hAnsi="Times New Roman"/>
          <w:sz w:val="24"/>
          <w:szCs w:val="24"/>
        </w:rPr>
        <w:t xml:space="preserve"> offices</w:t>
      </w:r>
      <w:r>
        <w:rPr>
          <w:rFonts w:ascii="Times New Roman" w:hAnsi="Times New Roman"/>
          <w:sz w:val="24"/>
          <w:szCs w:val="24"/>
        </w:rPr>
        <w:t xml:space="preserve"> and the competent authorities</w:t>
      </w:r>
      <w:r w:rsidR="009655B4" w:rsidRPr="006A60DB">
        <w:rPr>
          <w:rFonts w:ascii="Times New Roman" w:hAnsi="Times New Roman"/>
          <w:sz w:val="24"/>
          <w:szCs w:val="24"/>
        </w:rPr>
        <w:t xml:space="preserve">. </w:t>
      </w:r>
      <w:r>
        <w:rPr>
          <w:rFonts w:ascii="Times New Roman" w:hAnsi="Times New Roman"/>
          <w:sz w:val="24"/>
          <w:szCs w:val="24"/>
        </w:rPr>
        <w:t>Interviewees from the competent authorities expressed concerns indicating that the current practice leaves EIA</w:t>
      </w:r>
      <w:r w:rsidRPr="00E910A1">
        <w:rPr>
          <w:rFonts w:ascii="Times New Roman" w:hAnsi="Times New Roman"/>
          <w:sz w:val="24"/>
          <w:szCs w:val="24"/>
        </w:rPr>
        <w:t xml:space="preserve"> </w:t>
      </w:r>
      <w:r>
        <w:rPr>
          <w:rFonts w:ascii="Times New Roman" w:hAnsi="Times New Roman"/>
          <w:sz w:val="24"/>
          <w:szCs w:val="24"/>
        </w:rPr>
        <w:t xml:space="preserve">administration in the hands of the DEA alone. </w:t>
      </w:r>
      <w:r w:rsidRPr="00BA40EE">
        <w:rPr>
          <w:rFonts w:ascii="Times New Roman" w:hAnsi="Times New Roman"/>
          <w:sz w:val="24"/>
          <w:szCs w:val="24"/>
        </w:rPr>
        <w:t xml:space="preserve">A senior scientist </w:t>
      </w:r>
      <w:r>
        <w:rPr>
          <w:rFonts w:ascii="Times New Roman" w:hAnsi="Times New Roman"/>
          <w:sz w:val="24"/>
          <w:szCs w:val="24"/>
        </w:rPr>
        <w:t xml:space="preserve">also </w:t>
      </w:r>
      <w:r w:rsidRPr="00BA40EE">
        <w:rPr>
          <w:rFonts w:ascii="Times New Roman" w:hAnsi="Times New Roman"/>
          <w:sz w:val="24"/>
          <w:szCs w:val="24"/>
        </w:rPr>
        <w:t>lamented that</w:t>
      </w:r>
      <w:r>
        <w:rPr>
          <w:rFonts w:ascii="Times New Roman" w:hAnsi="Times New Roman"/>
          <w:sz w:val="24"/>
          <w:szCs w:val="24"/>
        </w:rPr>
        <w:t>:</w:t>
      </w:r>
      <w:r w:rsidRPr="00BA40EE">
        <w:rPr>
          <w:rFonts w:ascii="Times New Roman" w:hAnsi="Times New Roman"/>
          <w:sz w:val="24"/>
          <w:szCs w:val="24"/>
        </w:rPr>
        <w:t xml:space="preserve"> </w:t>
      </w:r>
      <w:r w:rsidRPr="00BA40EE">
        <w:rPr>
          <w:rFonts w:ascii="Times New Roman" w:hAnsi="Times New Roman"/>
          <w:i/>
          <w:sz w:val="24"/>
          <w:szCs w:val="24"/>
        </w:rPr>
        <w:t>“at the end of the day everything goes to MEFT and some of us can only advise</w:t>
      </w:r>
      <w:r>
        <w:rPr>
          <w:rFonts w:ascii="Times New Roman" w:hAnsi="Times New Roman"/>
          <w:i/>
          <w:sz w:val="24"/>
          <w:szCs w:val="24"/>
        </w:rPr>
        <w:t>.</w:t>
      </w:r>
      <w:r w:rsidRPr="00BA40EE">
        <w:rPr>
          <w:rFonts w:ascii="Times New Roman" w:hAnsi="Times New Roman"/>
          <w:i/>
          <w:sz w:val="24"/>
          <w:szCs w:val="24"/>
        </w:rPr>
        <w:t xml:space="preserve"> I tend to feel it’s not necessarily a good way of laying things to have all the power in one person, in this instance the commissioner</w:t>
      </w:r>
      <w:r>
        <w:rPr>
          <w:rFonts w:ascii="Times New Roman" w:hAnsi="Times New Roman"/>
          <w:i/>
          <w:sz w:val="24"/>
          <w:szCs w:val="24"/>
        </w:rPr>
        <w:t>,</w:t>
      </w:r>
      <w:r w:rsidRPr="00BA40EE">
        <w:rPr>
          <w:rFonts w:ascii="Times New Roman" w:hAnsi="Times New Roman"/>
          <w:i/>
          <w:sz w:val="24"/>
          <w:szCs w:val="24"/>
        </w:rPr>
        <w:t xml:space="preserve"> while excluding scientist</w:t>
      </w:r>
      <w:r>
        <w:rPr>
          <w:rFonts w:ascii="Times New Roman" w:hAnsi="Times New Roman"/>
          <w:i/>
          <w:sz w:val="24"/>
          <w:szCs w:val="24"/>
        </w:rPr>
        <w:t>s</w:t>
      </w:r>
      <w:r w:rsidRPr="00BA40EE">
        <w:rPr>
          <w:rFonts w:ascii="Times New Roman" w:hAnsi="Times New Roman"/>
          <w:i/>
          <w:sz w:val="24"/>
          <w:szCs w:val="24"/>
        </w:rPr>
        <w:t xml:space="preserve"> and field experts” </w:t>
      </w:r>
      <w:r w:rsidRPr="00BA40EE">
        <w:rPr>
          <w:rFonts w:ascii="Times New Roman" w:hAnsi="Times New Roman"/>
          <w:sz w:val="24"/>
          <w:szCs w:val="24"/>
        </w:rPr>
        <w:t xml:space="preserve">(Exp_GovSS1). </w:t>
      </w:r>
    </w:p>
    <w:p w:rsidR="00C56C2A" w:rsidRDefault="006B01F0" w:rsidP="00504A20">
      <w:pPr>
        <w:pStyle w:val="NormalWeb"/>
        <w:shd w:val="clear" w:color="auto" w:fill="FFFFFF"/>
        <w:spacing w:after="150" w:line="360" w:lineRule="auto"/>
        <w:jc w:val="both"/>
      </w:pPr>
      <w:r>
        <w:t>O</w:t>
      </w:r>
      <w:r w:rsidR="00BB159E">
        <w:t xml:space="preserve">ther </w:t>
      </w:r>
      <w:r w:rsidRPr="006D7DF6">
        <w:t>weaknesses</w:t>
      </w:r>
      <w:r>
        <w:t xml:space="preserve"> </w:t>
      </w:r>
      <w:r w:rsidR="00BB159E">
        <w:t xml:space="preserve">in the administration of EIA in Namibia </w:t>
      </w:r>
      <w:r w:rsidR="00C43FE9">
        <w:t>are</w:t>
      </w:r>
      <w:r w:rsidR="00BB159E">
        <w:t xml:space="preserve"> </w:t>
      </w:r>
      <w:r>
        <w:t>the limited capacity and</w:t>
      </w:r>
      <w:r w:rsidR="00BB159E">
        <w:t xml:space="preserve"> inadequate skills and expertise to manage EIAs. DEA officials indicated that the EIA administration is demanding, and as a result</w:t>
      </w:r>
      <w:r w:rsidR="00A40FFC">
        <w:t>,</w:t>
      </w:r>
      <w:r w:rsidR="00BB159E">
        <w:t xml:space="preserve"> there is high staff turnover</w:t>
      </w:r>
      <w:r w:rsidR="00982D4B" w:rsidRPr="006A60DB">
        <w:t xml:space="preserve">. </w:t>
      </w:r>
      <w:r w:rsidR="0065094F" w:rsidRPr="006A60DB">
        <w:t xml:space="preserve">Other </w:t>
      </w:r>
      <w:r w:rsidR="00BB769E">
        <w:t>shortcomings</w:t>
      </w:r>
      <w:r w:rsidR="00BB769E" w:rsidRPr="006A60DB">
        <w:t xml:space="preserve"> </w:t>
      </w:r>
      <w:r w:rsidR="0065094F" w:rsidRPr="006A60DB">
        <w:t xml:space="preserve">in </w:t>
      </w:r>
      <w:r w:rsidR="00BB769E">
        <w:t xml:space="preserve">the </w:t>
      </w:r>
      <w:r w:rsidR="0065094F" w:rsidRPr="006A60DB">
        <w:t xml:space="preserve">EIA administration include </w:t>
      </w:r>
      <w:r w:rsidR="00BA6DEC">
        <w:t>lack of financial resources</w:t>
      </w:r>
      <w:r w:rsidRPr="00D23BAB">
        <w:t xml:space="preserve"> </w:t>
      </w:r>
      <w:r>
        <w:t>and lack of vehicles to undertake project inspections</w:t>
      </w:r>
      <w:r w:rsidR="0065094F" w:rsidRPr="006A60DB">
        <w:t xml:space="preserve">. </w:t>
      </w:r>
    </w:p>
    <w:p w:rsidR="00BB159E" w:rsidRDefault="006B01F0" w:rsidP="00BB159E">
      <w:pPr>
        <w:pStyle w:val="NormalWeb"/>
        <w:shd w:val="clear" w:color="auto" w:fill="FFFFFF"/>
        <w:spacing w:after="150" w:line="360" w:lineRule="auto"/>
        <w:jc w:val="both"/>
      </w:pPr>
      <w:r>
        <w:t>Interviewed</w:t>
      </w:r>
      <w:r w:rsidRPr="004F3CE2">
        <w:t xml:space="preserve"> officials revealed that the </w:t>
      </w:r>
      <w:r>
        <w:t xml:space="preserve">position of </w:t>
      </w:r>
      <w:r w:rsidRPr="004F3CE2">
        <w:t xml:space="preserve">DEA under a government ministry </w:t>
      </w:r>
      <w:r>
        <w:t xml:space="preserve">is a constraint to effective EIA management. Experts perceived that the current institutional arrangements lack </w:t>
      </w:r>
      <w:r w:rsidR="00397A7C">
        <w:t xml:space="preserve">the </w:t>
      </w:r>
      <w:r>
        <w:t xml:space="preserve">independence and autonomy to authorize EIA applications without government interference and political pressures. The DEA may also be faced with issues of conflict of interest and self-regulation when EIA applications are tabled from the mother ministry (MEFT). </w:t>
      </w:r>
    </w:p>
    <w:p w:rsidR="00BB159E" w:rsidRPr="006A60DB" w:rsidRDefault="006B01F0" w:rsidP="00504A20">
      <w:pPr>
        <w:pStyle w:val="NormalWeb"/>
        <w:shd w:val="clear" w:color="auto" w:fill="FFFFFF"/>
        <w:spacing w:after="150" w:line="360" w:lineRule="auto"/>
        <w:jc w:val="both"/>
      </w:pPr>
      <w:r>
        <w:t>Interviewed environmental consultants bemoaned that the EIA administration is unfair</w:t>
      </w:r>
      <w:r w:rsidR="00AC4B18">
        <w:t>,</w:t>
      </w:r>
      <w:r>
        <w:t xml:space="preserve"> citing that some of the DEA staff own environmental consultin</w:t>
      </w:r>
      <w:r w:rsidR="00786FD4">
        <w:t>g firms, and therefore compete</w:t>
      </w:r>
      <w:r>
        <w:t xml:space="preserve"> with the practitioners during tender applications. </w:t>
      </w:r>
      <w:r w:rsidR="00AC4B18">
        <w:t>The</w:t>
      </w:r>
      <w:r>
        <w:t xml:space="preserve"> environmental consultants also claim</w:t>
      </w:r>
      <w:r w:rsidR="00AC4B18">
        <w:t>ed</w:t>
      </w:r>
      <w:r>
        <w:t xml:space="preserve"> that </w:t>
      </w:r>
      <w:r w:rsidR="00AC4B18">
        <w:t xml:space="preserve">some </w:t>
      </w:r>
      <w:r>
        <w:t xml:space="preserve">DEA staff members are </w:t>
      </w:r>
      <w:r w:rsidR="00AC4B18">
        <w:t xml:space="preserve">often </w:t>
      </w:r>
      <w:r>
        <w:t xml:space="preserve">shareholders or friends to the developers, therefore increasing </w:t>
      </w:r>
      <w:r w:rsidR="00A40FFC">
        <w:t>the</w:t>
      </w:r>
      <w:r>
        <w:t xml:space="preserve"> </w:t>
      </w:r>
      <w:r>
        <w:lastRenderedPageBreak/>
        <w:t xml:space="preserve">possibility of </w:t>
      </w:r>
      <w:r w:rsidR="00397A7C">
        <w:t xml:space="preserve">a </w:t>
      </w:r>
      <w:r w:rsidR="00AC4B18">
        <w:t xml:space="preserve">conflict of interest, </w:t>
      </w:r>
      <w:r>
        <w:t>favo</w:t>
      </w:r>
      <w:r w:rsidR="00A40FFC">
        <w:t>u</w:t>
      </w:r>
      <w:r>
        <w:t>r</w:t>
      </w:r>
      <w:r w:rsidR="00AC4B18">
        <w:t>itism</w:t>
      </w:r>
      <w:r>
        <w:t xml:space="preserve"> and unethical behavio</w:t>
      </w:r>
      <w:r w:rsidR="00A40FFC">
        <w:t>u</w:t>
      </w:r>
      <w:r>
        <w:t xml:space="preserve">r during the reviewing process. </w:t>
      </w:r>
    </w:p>
    <w:p w:rsidR="00F6300B" w:rsidRPr="00D1404C" w:rsidRDefault="006B01F0" w:rsidP="00F6300B">
      <w:pPr>
        <w:spacing w:line="360" w:lineRule="auto"/>
        <w:jc w:val="both"/>
        <w:rPr>
          <w:rFonts w:ascii="Times New Roman" w:hAnsi="Times New Roman"/>
          <w:sz w:val="24"/>
          <w:szCs w:val="24"/>
        </w:rPr>
      </w:pPr>
      <w:r w:rsidRPr="00D1404C">
        <w:rPr>
          <w:rFonts w:ascii="Times New Roman" w:eastAsiaTheme="minorHAnsi" w:hAnsi="Times New Roman"/>
          <w:sz w:val="24"/>
          <w:szCs w:val="24"/>
        </w:rPr>
        <w:t>The EIA law allow</w:t>
      </w:r>
      <w:r w:rsidR="00A40FFC">
        <w:rPr>
          <w:rFonts w:ascii="Times New Roman" w:eastAsiaTheme="minorHAnsi" w:hAnsi="Times New Roman"/>
          <w:sz w:val="24"/>
          <w:szCs w:val="24"/>
        </w:rPr>
        <w:t>s</w:t>
      </w:r>
      <w:r w:rsidRPr="00D1404C">
        <w:rPr>
          <w:rFonts w:ascii="Times New Roman" w:eastAsiaTheme="minorHAnsi" w:hAnsi="Times New Roman"/>
          <w:sz w:val="24"/>
          <w:szCs w:val="24"/>
        </w:rPr>
        <w:t xml:space="preserve"> the developer to appoint</w:t>
      </w:r>
      <w:r w:rsidR="00786FD4" w:rsidRPr="00D1404C">
        <w:rPr>
          <w:rFonts w:ascii="Times New Roman" w:eastAsiaTheme="minorHAnsi" w:hAnsi="Times New Roman"/>
          <w:sz w:val="24"/>
          <w:szCs w:val="24"/>
        </w:rPr>
        <w:t xml:space="preserve"> and pay</w:t>
      </w:r>
      <w:r w:rsidRPr="00D1404C">
        <w:rPr>
          <w:rFonts w:ascii="Times New Roman" w:eastAsiaTheme="minorHAnsi" w:hAnsi="Times New Roman"/>
          <w:sz w:val="24"/>
          <w:szCs w:val="24"/>
        </w:rPr>
        <w:t xml:space="preserve"> the environmental consultant. Interviewed experts criticized that, </w:t>
      </w:r>
      <w:r w:rsidR="00AC4B18">
        <w:rPr>
          <w:rFonts w:ascii="Times New Roman" w:eastAsiaTheme="minorHAnsi" w:hAnsi="Times New Roman"/>
          <w:sz w:val="24"/>
          <w:szCs w:val="24"/>
        </w:rPr>
        <w:t xml:space="preserve">noting that </w:t>
      </w:r>
      <w:r w:rsidRPr="00D1404C">
        <w:rPr>
          <w:rFonts w:ascii="Times New Roman" w:eastAsiaTheme="minorHAnsi" w:hAnsi="Times New Roman"/>
          <w:sz w:val="24"/>
          <w:szCs w:val="24"/>
        </w:rPr>
        <w:t xml:space="preserve">this arrangement gives the developer excessive </w:t>
      </w:r>
      <w:r w:rsidRPr="00D1404C">
        <w:rPr>
          <w:rFonts w:ascii="Times New Roman" w:hAnsi="Times New Roman"/>
          <w:sz w:val="24"/>
          <w:szCs w:val="24"/>
        </w:rPr>
        <w:t>control</w:t>
      </w:r>
      <w:r w:rsidR="00786FD4" w:rsidRPr="00D1404C">
        <w:rPr>
          <w:rFonts w:ascii="Times New Roman" w:hAnsi="Times New Roman"/>
          <w:sz w:val="24"/>
          <w:szCs w:val="24"/>
        </w:rPr>
        <w:t xml:space="preserve"> over the EIA process</w:t>
      </w:r>
      <w:r w:rsidRPr="00D1404C">
        <w:rPr>
          <w:rFonts w:ascii="Times New Roman" w:hAnsi="Times New Roman"/>
          <w:sz w:val="24"/>
          <w:szCs w:val="24"/>
        </w:rPr>
        <w:t xml:space="preserve">, leaving the authorizing agency </w:t>
      </w:r>
      <w:r w:rsidR="00AC4B18">
        <w:rPr>
          <w:rFonts w:ascii="Times New Roman" w:hAnsi="Times New Roman"/>
          <w:sz w:val="24"/>
          <w:szCs w:val="24"/>
        </w:rPr>
        <w:t xml:space="preserve">with minimal power. </w:t>
      </w:r>
      <w:r w:rsidRPr="00D1404C">
        <w:rPr>
          <w:rFonts w:ascii="Times New Roman" w:hAnsi="Times New Roman"/>
          <w:sz w:val="24"/>
          <w:szCs w:val="24"/>
        </w:rPr>
        <w:t xml:space="preserve">A senior scientist perceived that the quality of </w:t>
      </w:r>
      <w:r w:rsidRPr="00D1404C">
        <w:rPr>
          <w:rFonts w:ascii="Times New Roman" w:eastAsiaTheme="minorHAnsi" w:hAnsi="Times New Roman"/>
          <w:sz w:val="24"/>
          <w:szCs w:val="24"/>
        </w:rPr>
        <w:t xml:space="preserve">EIA reports </w:t>
      </w:r>
      <w:r w:rsidR="00A40FFC">
        <w:rPr>
          <w:rFonts w:ascii="Times New Roman" w:eastAsiaTheme="minorHAnsi" w:hAnsi="Times New Roman"/>
          <w:sz w:val="24"/>
          <w:szCs w:val="24"/>
        </w:rPr>
        <w:t>is</w:t>
      </w:r>
      <w:r w:rsidRPr="00D1404C">
        <w:rPr>
          <w:rFonts w:ascii="Times New Roman" w:eastAsiaTheme="minorHAnsi" w:hAnsi="Times New Roman"/>
          <w:sz w:val="24"/>
          <w:szCs w:val="24"/>
        </w:rPr>
        <w:t xml:space="preserve"> </w:t>
      </w:r>
      <w:r w:rsidR="00AC4B18">
        <w:rPr>
          <w:rFonts w:ascii="Times New Roman" w:eastAsiaTheme="minorHAnsi" w:hAnsi="Times New Roman"/>
          <w:sz w:val="24"/>
          <w:szCs w:val="24"/>
        </w:rPr>
        <w:t>likely based on transaction</w:t>
      </w:r>
      <w:r w:rsidRPr="00D1404C">
        <w:rPr>
          <w:rFonts w:ascii="Times New Roman" w:eastAsiaTheme="minorHAnsi" w:hAnsi="Times New Roman"/>
          <w:sz w:val="24"/>
          <w:szCs w:val="24"/>
        </w:rPr>
        <w:t xml:space="preserve"> conditions </w:t>
      </w:r>
      <w:r w:rsidR="00AC4B18">
        <w:rPr>
          <w:rFonts w:ascii="Times New Roman" w:eastAsiaTheme="minorHAnsi" w:hAnsi="Times New Roman"/>
          <w:sz w:val="24"/>
          <w:szCs w:val="24"/>
        </w:rPr>
        <w:t xml:space="preserve">rather </w:t>
      </w:r>
      <w:r w:rsidRPr="00D1404C">
        <w:rPr>
          <w:rFonts w:ascii="Times New Roman" w:eastAsiaTheme="minorHAnsi" w:hAnsi="Times New Roman"/>
          <w:sz w:val="24"/>
          <w:szCs w:val="24"/>
        </w:rPr>
        <w:t>than on</w:t>
      </w:r>
      <w:r w:rsidR="00AC4B18">
        <w:rPr>
          <w:rFonts w:ascii="Times New Roman" w:eastAsiaTheme="minorHAnsi" w:hAnsi="Times New Roman"/>
          <w:sz w:val="24"/>
          <w:szCs w:val="24"/>
        </w:rPr>
        <w:t xml:space="preserve"> a true reflection</w:t>
      </w:r>
      <w:r w:rsidRPr="00D1404C">
        <w:rPr>
          <w:rFonts w:ascii="Times New Roman" w:eastAsiaTheme="minorHAnsi" w:hAnsi="Times New Roman"/>
          <w:sz w:val="24"/>
          <w:szCs w:val="24"/>
        </w:rPr>
        <w:t xml:space="preserve"> of </w:t>
      </w:r>
      <w:r w:rsidR="00AC4B18">
        <w:rPr>
          <w:rFonts w:ascii="Times New Roman" w:eastAsiaTheme="minorHAnsi" w:hAnsi="Times New Roman"/>
          <w:sz w:val="24"/>
          <w:szCs w:val="24"/>
        </w:rPr>
        <w:t xml:space="preserve">identified </w:t>
      </w:r>
      <w:r w:rsidRPr="00D1404C">
        <w:rPr>
          <w:rFonts w:ascii="Times New Roman" w:eastAsiaTheme="minorHAnsi" w:hAnsi="Times New Roman"/>
          <w:sz w:val="24"/>
          <w:szCs w:val="24"/>
        </w:rPr>
        <w:t xml:space="preserve">impacts. Interviewees suggested that an independent intermediary </w:t>
      </w:r>
      <w:r w:rsidR="00A62F8E">
        <w:rPr>
          <w:rFonts w:ascii="Times New Roman" w:eastAsiaTheme="minorHAnsi" w:hAnsi="Times New Roman"/>
          <w:sz w:val="24"/>
          <w:szCs w:val="24"/>
        </w:rPr>
        <w:t>body</w:t>
      </w:r>
      <w:r w:rsidRPr="00D1404C">
        <w:rPr>
          <w:rFonts w:ascii="Times New Roman" w:eastAsiaTheme="minorHAnsi" w:hAnsi="Times New Roman"/>
          <w:sz w:val="24"/>
          <w:szCs w:val="24"/>
        </w:rPr>
        <w:t xml:space="preserve"> should be established to handle payments of EIA services, to </w:t>
      </w:r>
      <w:r w:rsidR="00A40FFC">
        <w:rPr>
          <w:rFonts w:ascii="Times New Roman" w:eastAsiaTheme="minorHAnsi" w:hAnsi="Times New Roman"/>
          <w:sz w:val="24"/>
          <w:szCs w:val="24"/>
        </w:rPr>
        <w:t>avoid</w:t>
      </w:r>
      <w:r w:rsidRPr="00D1404C">
        <w:rPr>
          <w:rFonts w:ascii="Times New Roman" w:eastAsiaTheme="minorHAnsi" w:hAnsi="Times New Roman"/>
          <w:sz w:val="24"/>
          <w:szCs w:val="24"/>
        </w:rPr>
        <w:t xml:space="preserve"> </w:t>
      </w:r>
      <w:r w:rsidR="00AC4B18">
        <w:rPr>
          <w:rFonts w:ascii="Times New Roman" w:eastAsiaTheme="minorHAnsi" w:hAnsi="Times New Roman"/>
          <w:sz w:val="24"/>
          <w:szCs w:val="24"/>
        </w:rPr>
        <w:t xml:space="preserve">questionable </w:t>
      </w:r>
      <w:r w:rsidRPr="00D1404C">
        <w:rPr>
          <w:rFonts w:ascii="Times New Roman" w:eastAsiaTheme="minorHAnsi" w:hAnsi="Times New Roman"/>
          <w:sz w:val="24"/>
          <w:szCs w:val="24"/>
        </w:rPr>
        <w:t>relationships between the environmental consultants and the developer.</w:t>
      </w:r>
      <w:r w:rsidRPr="00D1404C">
        <w:rPr>
          <w:rFonts w:ascii="Times New Roman" w:hAnsi="Times New Roman"/>
          <w:sz w:val="24"/>
          <w:szCs w:val="24"/>
        </w:rPr>
        <w:t xml:space="preserve"> </w:t>
      </w:r>
    </w:p>
    <w:p w:rsidR="00AC4B18" w:rsidRDefault="006B01F0" w:rsidP="00F6300B">
      <w:pPr>
        <w:spacing w:line="360" w:lineRule="auto"/>
        <w:jc w:val="both"/>
        <w:rPr>
          <w:rFonts w:ascii="Times New Roman" w:hAnsi="Times New Roman"/>
          <w:sz w:val="24"/>
          <w:szCs w:val="24"/>
        </w:rPr>
      </w:pPr>
      <w:r w:rsidRPr="00066858">
        <w:rPr>
          <w:rFonts w:ascii="Times New Roman" w:hAnsi="Times New Roman"/>
          <w:sz w:val="24"/>
          <w:szCs w:val="24"/>
        </w:rPr>
        <w:t xml:space="preserve">Contrary to the </w:t>
      </w:r>
      <w:r>
        <w:rPr>
          <w:rFonts w:ascii="Times New Roman" w:hAnsi="Times New Roman"/>
          <w:sz w:val="24"/>
          <w:szCs w:val="24"/>
        </w:rPr>
        <w:t xml:space="preserve">divergent </w:t>
      </w:r>
      <w:r w:rsidRPr="00066858">
        <w:rPr>
          <w:rFonts w:ascii="Times New Roman" w:hAnsi="Times New Roman"/>
          <w:sz w:val="24"/>
          <w:szCs w:val="24"/>
        </w:rPr>
        <w:t>views of the government experts</w:t>
      </w:r>
      <w:r>
        <w:rPr>
          <w:rFonts w:ascii="Times New Roman" w:hAnsi="Times New Roman"/>
          <w:sz w:val="24"/>
          <w:szCs w:val="24"/>
        </w:rPr>
        <w:t xml:space="preserve"> on the weakness of institutional arrangements</w:t>
      </w:r>
      <w:r w:rsidRPr="00066858">
        <w:rPr>
          <w:rFonts w:ascii="Times New Roman" w:hAnsi="Times New Roman"/>
          <w:sz w:val="24"/>
          <w:szCs w:val="24"/>
        </w:rPr>
        <w:t>, local authority representatives applauded the environmental commissioner for authorizing the local and regional authorities to grant environmental certificates</w:t>
      </w:r>
      <w:r>
        <w:rPr>
          <w:rFonts w:ascii="Times New Roman" w:hAnsi="Times New Roman"/>
          <w:sz w:val="24"/>
          <w:szCs w:val="24"/>
        </w:rPr>
        <w:t xml:space="preserve"> for rezoning.</w:t>
      </w:r>
      <w:r w:rsidRPr="00066858">
        <w:rPr>
          <w:rFonts w:ascii="Times New Roman" w:hAnsi="Times New Roman"/>
          <w:sz w:val="24"/>
          <w:szCs w:val="24"/>
        </w:rPr>
        <w:t xml:space="preserve"> </w:t>
      </w:r>
      <w:r>
        <w:rPr>
          <w:rFonts w:ascii="Times New Roman" w:hAnsi="Times New Roman"/>
          <w:sz w:val="24"/>
          <w:szCs w:val="24"/>
        </w:rPr>
        <w:t>The expert noted</w:t>
      </w:r>
      <w:r w:rsidRPr="00066858">
        <w:rPr>
          <w:rFonts w:ascii="Times New Roman" w:hAnsi="Times New Roman"/>
          <w:sz w:val="24"/>
          <w:szCs w:val="24"/>
        </w:rPr>
        <w:t xml:space="preserve"> that since 2018, the municipality of the city of Windhoek and Walvis Bay </w:t>
      </w:r>
      <w:r>
        <w:rPr>
          <w:rFonts w:ascii="Times New Roman" w:hAnsi="Times New Roman"/>
          <w:sz w:val="24"/>
          <w:szCs w:val="24"/>
        </w:rPr>
        <w:t>ha</w:t>
      </w:r>
      <w:r w:rsidR="00397A7C">
        <w:rPr>
          <w:rFonts w:ascii="Times New Roman" w:hAnsi="Times New Roman"/>
          <w:sz w:val="24"/>
          <w:szCs w:val="24"/>
        </w:rPr>
        <w:t>s</w:t>
      </w:r>
      <w:r>
        <w:rPr>
          <w:rFonts w:ascii="Times New Roman" w:hAnsi="Times New Roman"/>
          <w:sz w:val="24"/>
          <w:szCs w:val="24"/>
        </w:rPr>
        <w:t xml:space="preserve"> been</w:t>
      </w:r>
      <w:r w:rsidRPr="00066858">
        <w:rPr>
          <w:rFonts w:ascii="Times New Roman" w:hAnsi="Times New Roman"/>
          <w:sz w:val="24"/>
          <w:szCs w:val="24"/>
        </w:rPr>
        <w:t xml:space="preserve"> granted </w:t>
      </w:r>
      <w:r w:rsidR="00A40FFC">
        <w:rPr>
          <w:rFonts w:ascii="Times New Roman" w:hAnsi="Times New Roman"/>
          <w:sz w:val="24"/>
          <w:szCs w:val="24"/>
        </w:rPr>
        <w:t xml:space="preserve">the </w:t>
      </w:r>
      <w:r w:rsidRPr="00066858">
        <w:rPr>
          <w:rFonts w:ascii="Times New Roman" w:hAnsi="Times New Roman"/>
          <w:sz w:val="24"/>
          <w:szCs w:val="24"/>
        </w:rPr>
        <w:t xml:space="preserve">power to authorize </w:t>
      </w:r>
      <w:r>
        <w:rPr>
          <w:rFonts w:ascii="Times New Roman" w:hAnsi="Times New Roman"/>
          <w:sz w:val="24"/>
          <w:szCs w:val="24"/>
        </w:rPr>
        <w:t xml:space="preserve">land </w:t>
      </w:r>
      <w:r w:rsidRPr="00066858">
        <w:rPr>
          <w:rFonts w:ascii="Times New Roman" w:hAnsi="Times New Roman"/>
          <w:sz w:val="24"/>
          <w:szCs w:val="24"/>
        </w:rPr>
        <w:t>rezoning</w:t>
      </w:r>
      <w:r>
        <w:rPr>
          <w:rFonts w:ascii="Times New Roman" w:hAnsi="Times New Roman"/>
          <w:sz w:val="24"/>
          <w:szCs w:val="24"/>
        </w:rPr>
        <w:t xml:space="preserve"> for several local developments. </w:t>
      </w:r>
    </w:p>
    <w:p w:rsidR="00F6300B" w:rsidRDefault="006B01F0" w:rsidP="00F6300B">
      <w:pPr>
        <w:spacing w:line="360" w:lineRule="auto"/>
        <w:jc w:val="both"/>
        <w:rPr>
          <w:rFonts w:ascii="Times New Roman" w:hAnsi="Times New Roman"/>
          <w:sz w:val="24"/>
          <w:szCs w:val="24"/>
        </w:rPr>
      </w:pPr>
      <w:r>
        <w:rPr>
          <w:rFonts w:ascii="Times New Roman" w:hAnsi="Times New Roman"/>
          <w:sz w:val="24"/>
          <w:szCs w:val="24"/>
        </w:rPr>
        <w:t>Given the</w:t>
      </w:r>
      <w:r w:rsidR="00C4521A">
        <w:rPr>
          <w:rFonts w:ascii="Times New Roman" w:hAnsi="Times New Roman"/>
          <w:sz w:val="24"/>
          <w:szCs w:val="24"/>
        </w:rPr>
        <w:t xml:space="preserve"> </w:t>
      </w:r>
      <w:r>
        <w:rPr>
          <w:rFonts w:ascii="Times New Roman" w:hAnsi="Times New Roman"/>
          <w:sz w:val="24"/>
          <w:szCs w:val="24"/>
        </w:rPr>
        <w:t>evidence</w:t>
      </w:r>
      <w:r w:rsidR="00AC4B18">
        <w:rPr>
          <w:rFonts w:ascii="Times New Roman" w:hAnsi="Times New Roman"/>
          <w:sz w:val="24"/>
          <w:szCs w:val="24"/>
        </w:rPr>
        <w:t xml:space="preserve"> of weaknesses and </w:t>
      </w:r>
      <w:r w:rsidR="0029385B">
        <w:rPr>
          <w:rFonts w:ascii="Times New Roman" w:hAnsi="Times New Roman"/>
          <w:sz w:val="24"/>
          <w:szCs w:val="24"/>
        </w:rPr>
        <w:t>strengths</w:t>
      </w:r>
      <w:r w:rsidR="00AC4B18">
        <w:rPr>
          <w:rFonts w:ascii="Times New Roman" w:hAnsi="Times New Roman"/>
          <w:sz w:val="24"/>
          <w:szCs w:val="24"/>
        </w:rPr>
        <w:t xml:space="preserve"> in administrative frameworks</w:t>
      </w:r>
      <w:r w:rsidR="00C4521A">
        <w:rPr>
          <w:rFonts w:ascii="Times New Roman" w:hAnsi="Times New Roman"/>
          <w:sz w:val="24"/>
          <w:szCs w:val="24"/>
        </w:rPr>
        <w:t>,</w:t>
      </w:r>
      <w:r>
        <w:rPr>
          <w:rFonts w:ascii="Times New Roman" w:hAnsi="Times New Roman"/>
          <w:sz w:val="24"/>
          <w:szCs w:val="24"/>
        </w:rPr>
        <w:t xml:space="preserve"> th</w:t>
      </w:r>
      <w:r w:rsidR="00AC4B18">
        <w:rPr>
          <w:rFonts w:ascii="Times New Roman" w:hAnsi="Times New Roman"/>
          <w:sz w:val="24"/>
          <w:szCs w:val="24"/>
        </w:rPr>
        <w:t>is criterion</w:t>
      </w:r>
      <w:r>
        <w:rPr>
          <w:rFonts w:ascii="Times New Roman" w:hAnsi="Times New Roman"/>
          <w:sz w:val="24"/>
          <w:szCs w:val="24"/>
        </w:rPr>
        <w:t xml:space="preserve"> </w:t>
      </w:r>
      <w:r w:rsidR="00AC4B18">
        <w:rPr>
          <w:rFonts w:ascii="Times New Roman" w:hAnsi="Times New Roman"/>
          <w:sz w:val="24"/>
          <w:szCs w:val="24"/>
        </w:rPr>
        <w:t>is</w:t>
      </w:r>
      <w:r>
        <w:rPr>
          <w:rFonts w:ascii="Times New Roman" w:hAnsi="Times New Roman"/>
          <w:sz w:val="24"/>
          <w:szCs w:val="24"/>
        </w:rPr>
        <w:t xml:space="preserve"> rated as partially met</w:t>
      </w:r>
      <w:r w:rsidR="006B7940">
        <w:rPr>
          <w:rFonts w:ascii="Times New Roman" w:hAnsi="Times New Roman"/>
          <w:sz w:val="24"/>
          <w:szCs w:val="24"/>
        </w:rPr>
        <w:t xml:space="preserve"> (</w:t>
      </w:r>
      <w:r w:rsidR="00397A7C">
        <w:rPr>
          <w:rFonts w:ascii="Times New Roman" w:hAnsi="Times New Roman"/>
          <w:sz w:val="24"/>
          <w:szCs w:val="24"/>
        </w:rPr>
        <w:t>T</w:t>
      </w:r>
      <w:r w:rsidR="00F13286">
        <w:rPr>
          <w:rFonts w:ascii="Times New Roman" w:hAnsi="Times New Roman"/>
          <w:sz w:val="24"/>
          <w:szCs w:val="24"/>
        </w:rPr>
        <w:t>able 1</w:t>
      </w:r>
      <w:r w:rsidR="006B7940">
        <w:rPr>
          <w:rFonts w:ascii="Times New Roman" w:hAnsi="Times New Roman"/>
          <w:sz w:val="24"/>
          <w:szCs w:val="24"/>
        </w:rPr>
        <w:t>)</w:t>
      </w:r>
      <w:r>
        <w:rPr>
          <w:rFonts w:ascii="Times New Roman" w:hAnsi="Times New Roman"/>
          <w:sz w:val="24"/>
          <w:szCs w:val="24"/>
        </w:rPr>
        <w:t>.</w:t>
      </w:r>
    </w:p>
    <w:p w:rsidR="00504A20" w:rsidRDefault="00504A20" w:rsidP="00504A20">
      <w:pPr>
        <w:pStyle w:val="NormalWeb"/>
        <w:shd w:val="clear" w:color="auto" w:fill="FFFFFF"/>
        <w:spacing w:after="150" w:line="360" w:lineRule="auto"/>
        <w:jc w:val="both"/>
      </w:pPr>
    </w:p>
    <w:p w:rsidR="00E560E9" w:rsidRPr="009F59E4" w:rsidRDefault="006B01F0" w:rsidP="007B58C2">
      <w:pPr>
        <w:pStyle w:val="Default"/>
        <w:numPr>
          <w:ilvl w:val="1"/>
          <w:numId w:val="17"/>
        </w:numPr>
        <w:spacing w:line="360" w:lineRule="auto"/>
        <w:jc w:val="both"/>
        <w:rPr>
          <w:rFonts w:ascii="Times New Roman" w:hAnsi="Times New Roman" w:cs="Times New Roman"/>
          <w:b/>
          <w:color w:val="auto"/>
        </w:rPr>
      </w:pPr>
      <w:r w:rsidRPr="009F59E4">
        <w:rPr>
          <w:rFonts w:ascii="Times New Roman" w:hAnsi="Times New Roman" w:cs="Times New Roman"/>
          <w:b/>
          <w:color w:val="auto"/>
        </w:rPr>
        <w:t>E</w:t>
      </w:r>
      <w:r w:rsidR="00391DAE">
        <w:rPr>
          <w:rFonts w:ascii="Times New Roman" w:hAnsi="Times New Roman" w:cs="Times New Roman"/>
          <w:b/>
          <w:color w:val="auto"/>
        </w:rPr>
        <w:t>IA process</w:t>
      </w:r>
    </w:p>
    <w:p w:rsidR="00907A66" w:rsidRDefault="006B01F0" w:rsidP="00504A20">
      <w:pPr>
        <w:pStyle w:val="Default"/>
        <w:spacing w:line="360" w:lineRule="auto"/>
        <w:jc w:val="both"/>
        <w:rPr>
          <w:rFonts w:ascii="Times New Roman" w:hAnsi="Times New Roman" w:cs="Times New Roman"/>
        </w:rPr>
      </w:pPr>
      <w:r>
        <w:rPr>
          <w:rFonts w:ascii="Times New Roman" w:hAnsi="Times New Roman" w:cs="Times New Roman"/>
        </w:rPr>
        <w:t xml:space="preserve">The </w:t>
      </w:r>
      <w:r w:rsidR="006A60DB">
        <w:rPr>
          <w:rFonts w:ascii="Times New Roman" w:hAnsi="Times New Roman" w:cs="Times New Roman"/>
        </w:rPr>
        <w:t xml:space="preserve">EIA process in Namibia involves four </w:t>
      </w:r>
      <w:r w:rsidR="006B7940">
        <w:rPr>
          <w:rFonts w:ascii="Times New Roman" w:hAnsi="Times New Roman" w:cs="Times New Roman"/>
        </w:rPr>
        <w:t>main</w:t>
      </w:r>
      <w:r w:rsidR="006A60DB">
        <w:rPr>
          <w:rFonts w:ascii="Times New Roman" w:hAnsi="Times New Roman" w:cs="Times New Roman"/>
        </w:rPr>
        <w:t xml:space="preserve"> steps</w:t>
      </w:r>
      <w:r w:rsidR="006B7940">
        <w:rPr>
          <w:rFonts w:ascii="Times New Roman" w:hAnsi="Times New Roman" w:cs="Times New Roman"/>
        </w:rPr>
        <w:t>:</w:t>
      </w:r>
      <w:r w:rsidR="006A60DB">
        <w:rPr>
          <w:rFonts w:ascii="Times New Roman" w:hAnsi="Times New Roman" w:cs="Times New Roman"/>
        </w:rPr>
        <w:t xml:space="preserve"> (a) screening</w:t>
      </w:r>
      <w:r w:rsidR="006B7940">
        <w:rPr>
          <w:rFonts w:ascii="Times New Roman" w:hAnsi="Times New Roman" w:cs="Times New Roman"/>
        </w:rPr>
        <w:t>,</w:t>
      </w:r>
      <w:r w:rsidR="006A60DB">
        <w:rPr>
          <w:rFonts w:ascii="Times New Roman" w:hAnsi="Times New Roman" w:cs="Times New Roman"/>
        </w:rPr>
        <w:t xml:space="preserve"> (b) </w:t>
      </w:r>
      <w:r w:rsidR="006B7940">
        <w:rPr>
          <w:rFonts w:ascii="Times New Roman" w:hAnsi="Times New Roman" w:cs="Times New Roman"/>
        </w:rPr>
        <w:t xml:space="preserve">scoping and </w:t>
      </w:r>
      <w:r w:rsidR="006A60DB">
        <w:rPr>
          <w:rFonts w:ascii="Times New Roman" w:hAnsi="Times New Roman" w:cs="Times New Roman"/>
        </w:rPr>
        <w:t xml:space="preserve">preparation of the EIA report, (c) review and decision making and (d) </w:t>
      </w:r>
      <w:r>
        <w:rPr>
          <w:rFonts w:ascii="Times New Roman" w:hAnsi="Times New Roman" w:cs="Times New Roman"/>
        </w:rPr>
        <w:t>m</w:t>
      </w:r>
      <w:r w:rsidR="00604555">
        <w:rPr>
          <w:rFonts w:ascii="Times New Roman" w:hAnsi="Times New Roman" w:cs="Times New Roman"/>
        </w:rPr>
        <w:t>onitoring</w:t>
      </w:r>
      <w:r w:rsidR="00397A7C">
        <w:rPr>
          <w:rFonts w:ascii="Times New Roman" w:hAnsi="Times New Roman" w:cs="Times New Roman"/>
        </w:rPr>
        <w:t xml:space="preserve"> and auditing.</w:t>
      </w:r>
      <w:r w:rsidR="006A60DB">
        <w:rPr>
          <w:rFonts w:ascii="Times New Roman" w:hAnsi="Times New Roman" w:cs="Times New Roman"/>
        </w:rPr>
        <w:t xml:space="preserve"> </w:t>
      </w:r>
      <w:r w:rsidR="00F13286">
        <w:rPr>
          <w:rFonts w:ascii="Times New Roman" w:hAnsi="Times New Roman" w:cs="Times New Roman"/>
        </w:rPr>
        <w:t>These are shown in Figure 2</w:t>
      </w:r>
      <w:r w:rsidR="006B7940">
        <w:rPr>
          <w:rFonts w:ascii="Times New Roman" w:hAnsi="Times New Roman" w:cs="Times New Roman"/>
        </w:rPr>
        <w:t xml:space="preserve">. </w:t>
      </w:r>
    </w:p>
    <w:p w:rsidR="001A5AD6" w:rsidRDefault="001A5AD6" w:rsidP="001A5AD6">
      <w:pPr>
        <w:pStyle w:val="Default"/>
        <w:spacing w:line="480" w:lineRule="auto"/>
        <w:jc w:val="both"/>
        <w:rPr>
          <w:rFonts w:ascii="Times New Roman" w:hAnsi="Times New Roman" w:cs="Times New Roman"/>
          <w:shd w:val="clear" w:color="auto" w:fill="FFFFFF"/>
        </w:rPr>
      </w:pPr>
    </w:p>
    <w:p w:rsidR="001A5AD6" w:rsidRDefault="00D076D4" w:rsidP="001A5AD6">
      <w:pPr>
        <w:pStyle w:val="Default"/>
        <w:spacing w:line="480" w:lineRule="auto"/>
        <w:jc w:val="both"/>
        <w:rPr>
          <w:rFonts w:ascii="Times New Roman" w:hAnsi="Times New Roman" w:cs="Times New Roman"/>
          <w:shd w:val="clear" w:color="auto" w:fill="FFFFFF"/>
        </w:rPr>
      </w:pPr>
      <w:r>
        <w:rPr>
          <w:noProof/>
        </w:rPr>
        <w:lastRenderedPageBreak/>
        <w:drawing>
          <wp:inline distT="0" distB="0" distL="0" distR="0" wp14:anchorId="36D8D02E" wp14:editId="36B73321">
            <wp:extent cx="5681345" cy="46890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stretch>
                      <a:fillRect/>
                    </a:stretch>
                  </pic:blipFill>
                  <pic:spPr>
                    <a:xfrm>
                      <a:off x="0" y="0"/>
                      <a:ext cx="5681345" cy="4689043"/>
                    </a:xfrm>
                    <a:prstGeom prst="rect">
                      <a:avLst/>
                    </a:prstGeom>
                  </pic:spPr>
                </pic:pic>
              </a:graphicData>
            </a:graphic>
          </wp:inline>
        </w:drawing>
      </w:r>
    </w:p>
    <w:p w:rsidR="001A5AD6" w:rsidRPr="001A5AD6" w:rsidRDefault="006B01F0" w:rsidP="001A5AD6">
      <w:pPr>
        <w:pStyle w:val="CommentText"/>
        <w:spacing w:line="360" w:lineRule="auto"/>
        <w:jc w:val="both"/>
        <w:rPr>
          <w:rFonts w:ascii="Times New Roman" w:hAnsi="Times New Roman"/>
          <w:sz w:val="24"/>
          <w:szCs w:val="24"/>
        </w:rPr>
      </w:pPr>
      <w:r w:rsidRPr="00E94C46">
        <w:rPr>
          <w:rFonts w:ascii="Times New Roman" w:hAnsi="Times New Roman"/>
          <w:b/>
          <w:sz w:val="24"/>
          <w:szCs w:val="24"/>
        </w:rPr>
        <w:t xml:space="preserve">Figure </w:t>
      </w:r>
      <w:r w:rsidR="004901D4">
        <w:rPr>
          <w:rFonts w:ascii="Times New Roman" w:hAnsi="Times New Roman"/>
          <w:b/>
          <w:sz w:val="24"/>
          <w:szCs w:val="24"/>
        </w:rPr>
        <w:t>2</w:t>
      </w:r>
      <w:r w:rsidRPr="00E94C46">
        <w:rPr>
          <w:rFonts w:ascii="Times New Roman" w:hAnsi="Times New Roman"/>
          <w:b/>
          <w:sz w:val="24"/>
          <w:szCs w:val="24"/>
        </w:rPr>
        <w:t>:</w:t>
      </w:r>
      <w:r w:rsidRPr="001254F9">
        <w:rPr>
          <w:rFonts w:ascii="Times New Roman" w:hAnsi="Times New Roman"/>
          <w:sz w:val="24"/>
          <w:szCs w:val="24"/>
        </w:rPr>
        <w:t xml:space="preserve"> The EIA process of Namibia (</w:t>
      </w:r>
      <w:r>
        <w:rPr>
          <w:rFonts w:ascii="Times New Roman" w:hAnsi="Times New Roman"/>
          <w:sz w:val="24"/>
          <w:szCs w:val="24"/>
        </w:rPr>
        <w:t>redrawn from MEFT</w:t>
      </w:r>
      <w:r w:rsidRPr="001254F9">
        <w:rPr>
          <w:rFonts w:ascii="Times New Roman" w:hAnsi="Times New Roman"/>
          <w:sz w:val="24"/>
          <w:szCs w:val="24"/>
        </w:rPr>
        <w:t>, 2018)</w:t>
      </w:r>
    </w:p>
    <w:p w:rsidR="006B7940" w:rsidRDefault="006B7940" w:rsidP="00504A20">
      <w:pPr>
        <w:pStyle w:val="Default"/>
        <w:spacing w:line="360" w:lineRule="auto"/>
        <w:jc w:val="both"/>
        <w:rPr>
          <w:rFonts w:ascii="Times New Roman" w:hAnsi="Times New Roman" w:cs="Times New Roman"/>
          <w:shd w:val="clear" w:color="auto" w:fill="FFFFFF"/>
        </w:rPr>
      </w:pPr>
    </w:p>
    <w:p w:rsidR="00B05944" w:rsidRPr="00B320D1" w:rsidRDefault="006B01F0" w:rsidP="007B58C2">
      <w:pPr>
        <w:pStyle w:val="ListParagraph"/>
        <w:numPr>
          <w:ilvl w:val="2"/>
          <w:numId w:val="17"/>
        </w:numPr>
        <w:spacing w:line="360" w:lineRule="auto"/>
        <w:jc w:val="both"/>
        <w:rPr>
          <w:rFonts w:ascii="Times New Roman" w:hAnsi="Times New Roman"/>
          <w:b/>
          <w:sz w:val="24"/>
          <w:szCs w:val="24"/>
        </w:rPr>
      </w:pPr>
      <w:r w:rsidRPr="00B320D1">
        <w:rPr>
          <w:rFonts w:ascii="Times New Roman" w:hAnsi="Times New Roman"/>
          <w:b/>
          <w:sz w:val="24"/>
          <w:szCs w:val="24"/>
        </w:rPr>
        <w:t>Screening</w:t>
      </w:r>
    </w:p>
    <w:p w:rsidR="00B05944" w:rsidRDefault="006B01F0" w:rsidP="00504A20">
      <w:pPr>
        <w:pStyle w:val="ListParagraph"/>
        <w:spacing w:line="360" w:lineRule="auto"/>
        <w:ind w:left="0"/>
        <w:jc w:val="both"/>
        <w:rPr>
          <w:rFonts w:ascii="Times New Roman" w:hAnsi="Times New Roman"/>
          <w:sz w:val="24"/>
          <w:szCs w:val="24"/>
        </w:rPr>
      </w:pPr>
      <w:r w:rsidRPr="004F4163">
        <w:rPr>
          <w:rFonts w:ascii="Times New Roman" w:hAnsi="Times New Roman"/>
          <w:sz w:val="24"/>
          <w:szCs w:val="24"/>
        </w:rPr>
        <w:t xml:space="preserve">The screening process ensures that only projects </w:t>
      </w:r>
      <w:r w:rsidR="009706B9" w:rsidRPr="004F4163">
        <w:rPr>
          <w:rFonts w:ascii="Times New Roman" w:hAnsi="Times New Roman"/>
          <w:sz w:val="24"/>
          <w:szCs w:val="24"/>
        </w:rPr>
        <w:t xml:space="preserve">with </w:t>
      </w:r>
      <w:r w:rsidR="009706B9">
        <w:rPr>
          <w:rFonts w:ascii="Times New Roman" w:hAnsi="Times New Roman"/>
          <w:sz w:val="24"/>
          <w:szCs w:val="24"/>
        </w:rPr>
        <w:t xml:space="preserve">potentially </w:t>
      </w:r>
      <w:r w:rsidRPr="004F4163">
        <w:rPr>
          <w:rFonts w:ascii="Times New Roman" w:hAnsi="Times New Roman"/>
          <w:sz w:val="24"/>
          <w:szCs w:val="24"/>
        </w:rPr>
        <w:t>significant impacts are assessed</w:t>
      </w:r>
      <w:r>
        <w:rPr>
          <w:rFonts w:ascii="Times New Roman" w:hAnsi="Times New Roman"/>
          <w:sz w:val="24"/>
          <w:szCs w:val="24"/>
        </w:rPr>
        <w:t>. T</w:t>
      </w:r>
      <w:r w:rsidRPr="004F4163">
        <w:rPr>
          <w:rFonts w:ascii="Times New Roman" w:hAnsi="Times New Roman"/>
          <w:sz w:val="24"/>
          <w:szCs w:val="24"/>
        </w:rPr>
        <w:t xml:space="preserve">he responsibility </w:t>
      </w:r>
      <w:r>
        <w:rPr>
          <w:rFonts w:ascii="Times New Roman" w:hAnsi="Times New Roman"/>
          <w:sz w:val="24"/>
          <w:szCs w:val="24"/>
        </w:rPr>
        <w:t xml:space="preserve">of screening projects lies </w:t>
      </w:r>
      <w:r w:rsidRPr="004F4163">
        <w:rPr>
          <w:rFonts w:ascii="Times New Roman" w:hAnsi="Times New Roman"/>
          <w:sz w:val="24"/>
          <w:szCs w:val="24"/>
        </w:rPr>
        <w:t>with the DEA. A hybrid approach is used with a combination of a discretionary list, case</w:t>
      </w:r>
      <w:r>
        <w:rPr>
          <w:rFonts w:ascii="Times New Roman" w:hAnsi="Times New Roman"/>
          <w:sz w:val="24"/>
          <w:szCs w:val="24"/>
        </w:rPr>
        <w:t>-</w:t>
      </w:r>
      <w:r w:rsidRPr="004F4163">
        <w:rPr>
          <w:rFonts w:ascii="Times New Roman" w:hAnsi="Times New Roman"/>
          <w:sz w:val="24"/>
          <w:szCs w:val="24"/>
        </w:rPr>
        <w:t>by</w:t>
      </w:r>
      <w:r>
        <w:rPr>
          <w:rFonts w:ascii="Times New Roman" w:hAnsi="Times New Roman"/>
          <w:sz w:val="24"/>
          <w:szCs w:val="24"/>
        </w:rPr>
        <w:t>-</w:t>
      </w:r>
      <w:r w:rsidRPr="004F4163">
        <w:rPr>
          <w:rFonts w:ascii="Times New Roman" w:hAnsi="Times New Roman"/>
          <w:sz w:val="24"/>
          <w:szCs w:val="24"/>
        </w:rPr>
        <w:t>case examination and threshold</w:t>
      </w:r>
      <w:r>
        <w:rPr>
          <w:rFonts w:ascii="Times New Roman" w:hAnsi="Times New Roman"/>
          <w:sz w:val="24"/>
          <w:szCs w:val="24"/>
        </w:rPr>
        <w:t>s</w:t>
      </w:r>
      <w:r w:rsidRPr="004F4163">
        <w:rPr>
          <w:rFonts w:ascii="Times New Roman" w:hAnsi="Times New Roman"/>
          <w:sz w:val="24"/>
          <w:szCs w:val="24"/>
        </w:rPr>
        <w:t xml:space="preserve"> (GRN, 2012). No screening categories are provided in the legislation</w:t>
      </w:r>
      <w:r>
        <w:rPr>
          <w:rFonts w:ascii="Times New Roman" w:hAnsi="Times New Roman"/>
          <w:sz w:val="24"/>
          <w:szCs w:val="24"/>
        </w:rPr>
        <w:t>.</w:t>
      </w:r>
      <w:r w:rsidR="008041F3">
        <w:rPr>
          <w:rFonts w:ascii="Times New Roman" w:hAnsi="Times New Roman"/>
          <w:sz w:val="24"/>
          <w:szCs w:val="24"/>
        </w:rPr>
        <w:t xml:space="preserve"> H</w:t>
      </w:r>
      <w:r w:rsidRPr="004F4163">
        <w:rPr>
          <w:rFonts w:ascii="Times New Roman" w:hAnsi="Times New Roman"/>
          <w:sz w:val="24"/>
          <w:szCs w:val="24"/>
        </w:rPr>
        <w:t xml:space="preserve">owever, for every listed activity, the proponent should submit a screening questionnaire to the DEA. </w:t>
      </w:r>
      <w:r w:rsidR="00BB159E">
        <w:rPr>
          <w:rFonts w:ascii="Times New Roman" w:hAnsi="Times New Roman"/>
          <w:sz w:val="24"/>
          <w:szCs w:val="24"/>
        </w:rPr>
        <w:t>Since 2018, t</w:t>
      </w:r>
      <w:r>
        <w:rPr>
          <w:rFonts w:ascii="Times New Roman" w:hAnsi="Times New Roman"/>
          <w:sz w:val="24"/>
          <w:szCs w:val="24"/>
        </w:rPr>
        <w:t xml:space="preserve">he DEA has in place a screening questionnaire </w:t>
      </w:r>
      <w:r w:rsidR="00CD2A67">
        <w:rPr>
          <w:rFonts w:ascii="Times New Roman" w:hAnsi="Times New Roman"/>
          <w:sz w:val="24"/>
          <w:szCs w:val="24"/>
        </w:rPr>
        <w:t xml:space="preserve">with </w:t>
      </w:r>
      <w:r w:rsidR="00CD2A67" w:rsidRPr="0094763C">
        <w:rPr>
          <w:rFonts w:ascii="Times New Roman" w:hAnsi="Times New Roman"/>
          <w:sz w:val="24"/>
          <w:szCs w:val="24"/>
        </w:rPr>
        <w:t>approximately</w:t>
      </w:r>
      <w:r w:rsidR="0094763C">
        <w:rPr>
          <w:rFonts w:ascii="Times New Roman" w:hAnsi="Times New Roman"/>
          <w:sz w:val="24"/>
          <w:szCs w:val="24"/>
        </w:rPr>
        <w:t xml:space="preserve"> </w:t>
      </w:r>
      <w:r>
        <w:rPr>
          <w:rFonts w:ascii="Times New Roman" w:hAnsi="Times New Roman"/>
          <w:sz w:val="24"/>
          <w:szCs w:val="24"/>
        </w:rPr>
        <w:t xml:space="preserve">25 questions enquiring about information on the project description and the environment. </w:t>
      </w:r>
      <w:r w:rsidR="00BB405D">
        <w:rPr>
          <w:rFonts w:ascii="Times New Roman" w:hAnsi="Times New Roman"/>
          <w:sz w:val="24"/>
          <w:szCs w:val="24"/>
        </w:rPr>
        <w:t xml:space="preserve"> Some Government experts commended the questionnaire stating that it is comprehensive and allows the developer to provide important information for decision making. The majority of EIA consultants nevertheless criticized the screening tool, </w:t>
      </w:r>
      <w:r w:rsidR="00BB405D">
        <w:rPr>
          <w:rFonts w:ascii="Times New Roman" w:hAnsi="Times New Roman"/>
          <w:sz w:val="24"/>
          <w:szCs w:val="24"/>
        </w:rPr>
        <w:lastRenderedPageBreak/>
        <w:t>indicating that questions are too technical for community members in rural areas, as they are often not able to write and read in English.</w:t>
      </w:r>
    </w:p>
    <w:p w:rsidR="00D84313" w:rsidRPr="007D227E" w:rsidRDefault="006B01F0" w:rsidP="007D227E">
      <w:pPr>
        <w:pStyle w:val="CommentText"/>
        <w:shd w:val="clear" w:color="auto" w:fill="FFFFFF"/>
        <w:spacing w:line="360" w:lineRule="auto"/>
        <w:jc w:val="both"/>
        <w:rPr>
          <w:rFonts w:ascii="Times New Roman" w:hAnsi="Times New Roman"/>
          <w:i/>
          <w:sz w:val="24"/>
          <w:szCs w:val="24"/>
        </w:rPr>
      </w:pPr>
      <w:r>
        <w:rPr>
          <w:rFonts w:ascii="Times New Roman" w:hAnsi="Times New Roman"/>
          <w:sz w:val="24"/>
          <w:szCs w:val="24"/>
        </w:rPr>
        <w:t xml:space="preserve">The screening process is described as long, bureaucratic, and non-selective, a practice that defeats the purpose of the EIA process. A senior consultant noted that with the current screening process, a </w:t>
      </w:r>
      <w:r w:rsidRPr="00CF6D95">
        <w:rPr>
          <w:rFonts w:ascii="Times New Roman" w:hAnsi="Times New Roman"/>
          <w:sz w:val="24"/>
          <w:szCs w:val="24"/>
        </w:rPr>
        <w:t>3</w:t>
      </w:r>
      <w:r>
        <w:rPr>
          <w:rFonts w:ascii="Times New Roman" w:hAnsi="Times New Roman"/>
          <w:sz w:val="24"/>
          <w:szCs w:val="24"/>
        </w:rPr>
        <w:t xml:space="preserve"> </w:t>
      </w:r>
      <w:r w:rsidRPr="00CF6D95">
        <w:rPr>
          <w:rFonts w:ascii="Times New Roman" w:hAnsi="Times New Roman"/>
          <w:sz w:val="24"/>
          <w:szCs w:val="24"/>
        </w:rPr>
        <w:t xml:space="preserve">km road and a 1000 km </w:t>
      </w:r>
      <w:r w:rsidRPr="009C4D05">
        <w:rPr>
          <w:rFonts w:ascii="Times New Roman" w:hAnsi="Times New Roman"/>
          <w:sz w:val="24"/>
          <w:szCs w:val="24"/>
        </w:rPr>
        <w:t>dual carriageway would both require an EIA</w:t>
      </w:r>
      <w:r>
        <w:rPr>
          <w:rFonts w:ascii="Times New Roman" w:hAnsi="Times New Roman"/>
          <w:sz w:val="24"/>
          <w:szCs w:val="24"/>
        </w:rPr>
        <w:t xml:space="preserve"> and a bed and breakfast development in a rural area is subjected to identical EIA requirements as a five-star hotel in the central business district</w:t>
      </w:r>
      <w:r w:rsidRPr="00DF151F">
        <w:rPr>
          <w:rFonts w:ascii="Times New Roman" w:hAnsi="Times New Roman"/>
          <w:sz w:val="24"/>
          <w:szCs w:val="24"/>
        </w:rPr>
        <w:t xml:space="preserve"> </w:t>
      </w:r>
      <w:r>
        <w:rPr>
          <w:rFonts w:ascii="Times New Roman" w:hAnsi="Times New Roman"/>
          <w:sz w:val="24"/>
          <w:szCs w:val="24"/>
        </w:rPr>
        <w:t xml:space="preserve">(Exp_PC2). </w:t>
      </w:r>
      <w:r>
        <w:rPr>
          <w:rFonts w:ascii="Times New Roman" w:hAnsi="Times New Roman"/>
          <w:i/>
          <w:sz w:val="24"/>
          <w:szCs w:val="24"/>
        </w:rPr>
        <w:t>“O</w:t>
      </w:r>
      <w:r w:rsidRPr="00024359">
        <w:rPr>
          <w:rFonts w:ascii="Times New Roman" w:hAnsi="Times New Roman"/>
          <w:i/>
          <w:sz w:val="24"/>
          <w:szCs w:val="24"/>
        </w:rPr>
        <w:t xml:space="preserve">ne of the key challenges is that our current regulations do not have </w:t>
      </w:r>
      <w:r w:rsidRPr="00024359">
        <w:rPr>
          <w:rFonts w:ascii="Times New Roman" w:hAnsi="Times New Roman"/>
          <w:bCs/>
          <w:i/>
          <w:sz w:val="24"/>
          <w:szCs w:val="24"/>
        </w:rPr>
        <w:t>thresholds</w:t>
      </w:r>
      <w:r w:rsidRPr="00024359">
        <w:rPr>
          <w:rFonts w:ascii="Times New Roman" w:hAnsi="Times New Roman"/>
          <w:i/>
          <w:sz w:val="24"/>
          <w:szCs w:val="24"/>
        </w:rPr>
        <w:t>. If somebody wants to build a two-bedroom Bed and Breakfast in Ongha, the Act says that a person needs an EIA</w:t>
      </w:r>
      <w:r>
        <w:rPr>
          <w:rFonts w:ascii="Times New Roman" w:hAnsi="Times New Roman"/>
          <w:i/>
          <w:sz w:val="24"/>
          <w:szCs w:val="24"/>
        </w:rPr>
        <w:t xml:space="preserve">” </w:t>
      </w:r>
      <w:r w:rsidRPr="00AC57BC">
        <w:rPr>
          <w:rFonts w:ascii="Times New Roman" w:hAnsi="Times New Roman"/>
          <w:sz w:val="24"/>
          <w:szCs w:val="24"/>
        </w:rPr>
        <w:t>(Exp_PC2).</w:t>
      </w:r>
      <w:r w:rsidRPr="00024359">
        <w:rPr>
          <w:rFonts w:ascii="Times New Roman" w:hAnsi="Times New Roman"/>
          <w:i/>
          <w:sz w:val="24"/>
          <w:szCs w:val="24"/>
        </w:rPr>
        <w:t xml:space="preserve"> </w:t>
      </w:r>
    </w:p>
    <w:p w:rsidR="004165E1" w:rsidRDefault="006B01F0" w:rsidP="00504A20">
      <w:pPr>
        <w:pStyle w:val="CommentText"/>
        <w:shd w:val="clear" w:color="auto" w:fill="FFFFFF"/>
        <w:spacing w:line="360" w:lineRule="auto"/>
        <w:jc w:val="both"/>
        <w:rPr>
          <w:rFonts w:ascii="Times New Roman" w:hAnsi="Times New Roman"/>
          <w:sz w:val="24"/>
          <w:szCs w:val="24"/>
        </w:rPr>
      </w:pPr>
      <w:r>
        <w:rPr>
          <w:rFonts w:ascii="Times New Roman" w:hAnsi="Times New Roman"/>
          <w:sz w:val="24"/>
          <w:szCs w:val="24"/>
        </w:rPr>
        <w:t xml:space="preserve">A </w:t>
      </w:r>
      <w:r w:rsidR="00BB405D">
        <w:rPr>
          <w:rFonts w:ascii="Times New Roman" w:hAnsi="Times New Roman"/>
          <w:sz w:val="24"/>
          <w:szCs w:val="24"/>
        </w:rPr>
        <w:t xml:space="preserve">further </w:t>
      </w:r>
      <w:r w:rsidR="00BC4947">
        <w:rPr>
          <w:rFonts w:ascii="Times New Roman" w:hAnsi="Times New Roman"/>
          <w:sz w:val="24"/>
          <w:szCs w:val="24"/>
        </w:rPr>
        <w:t>weakness</w:t>
      </w:r>
      <w:r>
        <w:rPr>
          <w:rFonts w:ascii="Times New Roman" w:hAnsi="Times New Roman"/>
          <w:sz w:val="24"/>
          <w:szCs w:val="24"/>
        </w:rPr>
        <w:t xml:space="preserve"> in the EIA process is that l</w:t>
      </w:r>
      <w:r w:rsidR="009655B4">
        <w:rPr>
          <w:rFonts w:ascii="Times New Roman" w:hAnsi="Times New Roman"/>
          <w:sz w:val="24"/>
          <w:szCs w:val="24"/>
        </w:rPr>
        <w:t>i</w:t>
      </w:r>
      <w:r w:rsidR="00BB405D">
        <w:rPr>
          <w:rFonts w:ascii="Times New Roman" w:hAnsi="Times New Roman"/>
          <w:sz w:val="24"/>
          <w:szCs w:val="24"/>
        </w:rPr>
        <w:t>sted activities lack thresholds. O</w:t>
      </w:r>
      <w:r w:rsidR="009655B4">
        <w:rPr>
          <w:rFonts w:ascii="Times New Roman" w:hAnsi="Times New Roman"/>
          <w:sz w:val="24"/>
          <w:szCs w:val="24"/>
        </w:rPr>
        <w:t>nly three activities (bulk transportation storage and</w:t>
      </w:r>
      <w:r w:rsidR="009655B4" w:rsidRPr="007000BD">
        <w:rPr>
          <w:rFonts w:ascii="Times New Roman" w:hAnsi="Times New Roman"/>
          <w:sz w:val="24"/>
          <w:szCs w:val="24"/>
        </w:rPr>
        <w:t xml:space="preserve"> </w:t>
      </w:r>
      <w:r w:rsidR="009655B4">
        <w:rPr>
          <w:rFonts w:ascii="Times New Roman" w:hAnsi="Times New Roman"/>
          <w:sz w:val="24"/>
          <w:szCs w:val="24"/>
        </w:rPr>
        <w:t>transportation of</w:t>
      </w:r>
      <w:r w:rsidR="009655B4" w:rsidRPr="007000BD">
        <w:rPr>
          <w:rFonts w:ascii="Times New Roman" w:hAnsi="Times New Roman"/>
          <w:sz w:val="24"/>
          <w:szCs w:val="24"/>
        </w:rPr>
        <w:t xml:space="preserve"> dangerous go</w:t>
      </w:r>
      <w:r w:rsidR="009655B4">
        <w:rPr>
          <w:rFonts w:ascii="Times New Roman" w:hAnsi="Times New Roman"/>
          <w:sz w:val="24"/>
          <w:szCs w:val="24"/>
        </w:rPr>
        <w:t>ods, storage</w:t>
      </w:r>
      <w:r w:rsidR="00BB405D">
        <w:rPr>
          <w:rFonts w:ascii="Times New Roman" w:hAnsi="Times New Roman"/>
          <w:sz w:val="24"/>
          <w:szCs w:val="24"/>
        </w:rPr>
        <w:t>,</w:t>
      </w:r>
      <w:r w:rsidR="009655B4">
        <w:rPr>
          <w:rFonts w:ascii="Times New Roman" w:hAnsi="Times New Roman"/>
          <w:sz w:val="24"/>
          <w:szCs w:val="24"/>
        </w:rPr>
        <w:t xml:space="preserve"> and handling of dangerous goods and abstraction of underground water) have threshold</w:t>
      </w:r>
      <w:r>
        <w:rPr>
          <w:rFonts w:ascii="Times New Roman" w:hAnsi="Times New Roman"/>
          <w:sz w:val="24"/>
          <w:szCs w:val="24"/>
        </w:rPr>
        <w:t xml:space="preserve"> requirements</w:t>
      </w:r>
      <w:r w:rsidR="009655B4">
        <w:rPr>
          <w:rFonts w:ascii="Times New Roman" w:hAnsi="Times New Roman"/>
          <w:sz w:val="24"/>
          <w:szCs w:val="24"/>
        </w:rPr>
        <w:t xml:space="preserve">. A </w:t>
      </w:r>
      <w:r w:rsidR="009655B4" w:rsidRPr="007000BD">
        <w:rPr>
          <w:rFonts w:ascii="Times New Roman" w:hAnsi="Times New Roman"/>
          <w:sz w:val="24"/>
          <w:szCs w:val="24"/>
        </w:rPr>
        <w:t xml:space="preserve">representative of the regulatory body </w:t>
      </w:r>
      <w:r w:rsidR="009655B4">
        <w:rPr>
          <w:rFonts w:ascii="Times New Roman" w:hAnsi="Times New Roman"/>
          <w:sz w:val="24"/>
          <w:szCs w:val="24"/>
        </w:rPr>
        <w:t xml:space="preserve">described </w:t>
      </w:r>
      <w:r w:rsidR="009655B4" w:rsidRPr="007000BD">
        <w:rPr>
          <w:rFonts w:ascii="Times New Roman" w:hAnsi="Times New Roman"/>
          <w:sz w:val="24"/>
          <w:szCs w:val="24"/>
        </w:rPr>
        <w:t>the current list of activities</w:t>
      </w:r>
      <w:r w:rsidR="009655B4">
        <w:rPr>
          <w:rFonts w:ascii="Times New Roman" w:hAnsi="Times New Roman"/>
          <w:sz w:val="24"/>
          <w:szCs w:val="24"/>
        </w:rPr>
        <w:t xml:space="preserve"> </w:t>
      </w:r>
      <w:r w:rsidR="000B615E">
        <w:rPr>
          <w:rFonts w:ascii="Times New Roman" w:hAnsi="Times New Roman"/>
          <w:sz w:val="24"/>
          <w:szCs w:val="24"/>
        </w:rPr>
        <w:t>as</w:t>
      </w:r>
      <w:r w:rsidR="000B615E" w:rsidRPr="007000BD">
        <w:rPr>
          <w:rFonts w:ascii="Times New Roman" w:hAnsi="Times New Roman"/>
          <w:sz w:val="24"/>
          <w:szCs w:val="24"/>
        </w:rPr>
        <w:t xml:space="preserve"> </w:t>
      </w:r>
      <w:r w:rsidR="000B615E">
        <w:rPr>
          <w:rFonts w:ascii="Times New Roman" w:hAnsi="Times New Roman"/>
          <w:sz w:val="24"/>
          <w:szCs w:val="24"/>
        </w:rPr>
        <w:t>“</w:t>
      </w:r>
      <w:r w:rsidR="009655B4" w:rsidRPr="00BB405D">
        <w:rPr>
          <w:rFonts w:ascii="Times New Roman" w:hAnsi="Times New Roman"/>
          <w:i/>
          <w:sz w:val="24"/>
          <w:szCs w:val="24"/>
        </w:rPr>
        <w:t>one size fits all</w:t>
      </w:r>
      <w:r w:rsidR="009655B4">
        <w:rPr>
          <w:rFonts w:ascii="Times New Roman" w:hAnsi="Times New Roman"/>
          <w:sz w:val="24"/>
          <w:szCs w:val="24"/>
        </w:rPr>
        <w:t>”</w:t>
      </w:r>
      <w:r w:rsidR="00BB405D" w:rsidRPr="00BB405D">
        <w:rPr>
          <w:rFonts w:ascii="Times New Roman" w:hAnsi="Times New Roman"/>
          <w:sz w:val="24"/>
          <w:szCs w:val="24"/>
        </w:rPr>
        <w:t xml:space="preserve"> </w:t>
      </w:r>
      <w:r w:rsidR="00BB405D" w:rsidRPr="007000BD">
        <w:rPr>
          <w:rFonts w:ascii="Times New Roman" w:hAnsi="Times New Roman"/>
          <w:sz w:val="24"/>
          <w:szCs w:val="24"/>
        </w:rPr>
        <w:t>(EXP_GovRS1)</w:t>
      </w:r>
      <w:r w:rsidR="009655B4">
        <w:rPr>
          <w:rFonts w:ascii="Times New Roman" w:hAnsi="Times New Roman"/>
          <w:sz w:val="24"/>
          <w:szCs w:val="24"/>
        </w:rPr>
        <w:t xml:space="preserve">. </w:t>
      </w:r>
    </w:p>
    <w:p w:rsidR="00BB159E" w:rsidRDefault="006B01F0" w:rsidP="003E19B0">
      <w:pPr>
        <w:pStyle w:val="CommentText"/>
        <w:shd w:val="clear" w:color="auto" w:fill="FFFFFF"/>
        <w:spacing w:line="360" w:lineRule="auto"/>
        <w:jc w:val="both"/>
        <w:rPr>
          <w:rFonts w:ascii="Times New Roman" w:hAnsi="Times New Roman"/>
          <w:sz w:val="24"/>
          <w:szCs w:val="24"/>
        </w:rPr>
      </w:pPr>
      <w:r>
        <w:rPr>
          <w:rFonts w:ascii="Times New Roman" w:hAnsi="Times New Roman"/>
          <w:sz w:val="24"/>
          <w:szCs w:val="24"/>
        </w:rPr>
        <w:t>A</w:t>
      </w:r>
      <w:r w:rsidRPr="004C7DDC">
        <w:rPr>
          <w:rFonts w:ascii="Times New Roman" w:hAnsi="Times New Roman"/>
          <w:sz w:val="24"/>
          <w:szCs w:val="24"/>
        </w:rPr>
        <w:t xml:space="preserve"> s</w:t>
      </w:r>
      <w:r>
        <w:rPr>
          <w:rFonts w:ascii="Times New Roman" w:hAnsi="Times New Roman"/>
          <w:sz w:val="24"/>
          <w:szCs w:val="24"/>
        </w:rPr>
        <w:t xml:space="preserve">enior government expert noted that listing </w:t>
      </w:r>
      <w:r w:rsidRPr="004C7DDC">
        <w:rPr>
          <w:rFonts w:ascii="Times New Roman" w:hAnsi="Times New Roman"/>
          <w:sz w:val="24"/>
          <w:szCs w:val="24"/>
        </w:rPr>
        <w:t xml:space="preserve">aquaculture facilities </w:t>
      </w:r>
      <w:r>
        <w:rPr>
          <w:rFonts w:ascii="Times New Roman" w:hAnsi="Times New Roman"/>
          <w:sz w:val="24"/>
          <w:szCs w:val="24"/>
        </w:rPr>
        <w:t xml:space="preserve">as an activity requiring </w:t>
      </w:r>
      <w:r w:rsidR="00BB405D">
        <w:rPr>
          <w:rFonts w:ascii="Times New Roman" w:hAnsi="Times New Roman"/>
          <w:sz w:val="24"/>
          <w:szCs w:val="24"/>
        </w:rPr>
        <w:t xml:space="preserve">an </w:t>
      </w:r>
      <w:r>
        <w:rPr>
          <w:rFonts w:ascii="Times New Roman" w:hAnsi="Times New Roman"/>
          <w:sz w:val="24"/>
          <w:szCs w:val="24"/>
        </w:rPr>
        <w:t>EIA without specifying the size limit ha</w:t>
      </w:r>
      <w:r w:rsidR="00A40FFC">
        <w:rPr>
          <w:rFonts w:ascii="Times New Roman" w:hAnsi="Times New Roman"/>
          <w:sz w:val="24"/>
          <w:szCs w:val="24"/>
        </w:rPr>
        <w:t>s</w:t>
      </w:r>
      <w:r>
        <w:rPr>
          <w:rFonts w:ascii="Times New Roman" w:hAnsi="Times New Roman"/>
          <w:sz w:val="24"/>
          <w:szCs w:val="24"/>
        </w:rPr>
        <w:t xml:space="preserve"> </w:t>
      </w:r>
      <w:r w:rsidR="00BB405D">
        <w:rPr>
          <w:rFonts w:ascii="Times New Roman" w:hAnsi="Times New Roman"/>
          <w:sz w:val="24"/>
          <w:szCs w:val="24"/>
        </w:rPr>
        <w:t>c</w:t>
      </w:r>
      <w:r w:rsidR="00397A7C">
        <w:rPr>
          <w:rFonts w:ascii="Times New Roman" w:hAnsi="Times New Roman"/>
          <w:sz w:val="24"/>
          <w:szCs w:val="24"/>
        </w:rPr>
        <w:t xml:space="preserve">onfused </w:t>
      </w:r>
      <w:r w:rsidR="00BB405D">
        <w:rPr>
          <w:rFonts w:ascii="Times New Roman" w:hAnsi="Times New Roman"/>
          <w:sz w:val="24"/>
          <w:szCs w:val="24"/>
        </w:rPr>
        <w:t>small-</w:t>
      </w:r>
      <w:r w:rsidRPr="004C7DDC">
        <w:rPr>
          <w:rFonts w:ascii="Times New Roman" w:hAnsi="Times New Roman"/>
          <w:sz w:val="24"/>
          <w:szCs w:val="24"/>
        </w:rPr>
        <w:t>sca</w:t>
      </w:r>
      <w:r>
        <w:rPr>
          <w:rFonts w:ascii="Times New Roman" w:hAnsi="Times New Roman"/>
          <w:sz w:val="24"/>
          <w:szCs w:val="24"/>
        </w:rPr>
        <w:t>le fish farmers. The expert further condemned the system, stating that in the case of aquaculture, EIA is becoming a hurdle to development</w:t>
      </w:r>
      <w:r w:rsidR="00BB405D">
        <w:rPr>
          <w:rFonts w:ascii="Times New Roman" w:hAnsi="Times New Roman"/>
          <w:sz w:val="24"/>
          <w:szCs w:val="24"/>
        </w:rPr>
        <w:t>, improvement of livelihood</w:t>
      </w:r>
      <w:r w:rsidR="00D84313">
        <w:rPr>
          <w:rFonts w:ascii="Times New Roman" w:hAnsi="Times New Roman"/>
          <w:sz w:val="24"/>
          <w:szCs w:val="24"/>
        </w:rPr>
        <w:t xml:space="preserve"> and food security. The expert said: </w:t>
      </w:r>
      <w:r w:rsidRPr="008D737D">
        <w:rPr>
          <w:rFonts w:ascii="Times New Roman" w:hAnsi="Times New Roman"/>
          <w:i/>
          <w:sz w:val="24"/>
          <w:szCs w:val="24"/>
        </w:rPr>
        <w:t>Now</w:t>
      </w:r>
      <w:r w:rsidR="00D84313">
        <w:rPr>
          <w:rFonts w:ascii="Times New Roman" w:hAnsi="Times New Roman"/>
          <w:i/>
          <w:sz w:val="24"/>
          <w:szCs w:val="24"/>
        </w:rPr>
        <w:t>,</w:t>
      </w:r>
      <w:r w:rsidRPr="008D737D">
        <w:rPr>
          <w:rFonts w:ascii="Times New Roman" w:hAnsi="Times New Roman"/>
          <w:i/>
          <w:sz w:val="24"/>
          <w:szCs w:val="24"/>
        </w:rPr>
        <w:t xml:space="preserve"> if </w:t>
      </w:r>
      <w:r>
        <w:rPr>
          <w:rFonts w:ascii="Times New Roman" w:hAnsi="Times New Roman"/>
          <w:i/>
          <w:sz w:val="24"/>
          <w:szCs w:val="24"/>
        </w:rPr>
        <w:t xml:space="preserve">we </w:t>
      </w:r>
      <w:r w:rsidRPr="008D737D">
        <w:rPr>
          <w:rFonts w:ascii="Times New Roman" w:hAnsi="Times New Roman"/>
          <w:i/>
          <w:sz w:val="24"/>
          <w:szCs w:val="24"/>
        </w:rPr>
        <w:t xml:space="preserve">take inland/freshwater aquaculture in the north (specifically in the Oshanas), the </w:t>
      </w:r>
      <w:r w:rsidR="00D84313">
        <w:rPr>
          <w:rFonts w:ascii="Times New Roman" w:hAnsi="Times New Roman"/>
          <w:i/>
          <w:sz w:val="24"/>
          <w:szCs w:val="24"/>
        </w:rPr>
        <w:t>communities</w:t>
      </w:r>
      <w:r w:rsidRPr="008D737D">
        <w:rPr>
          <w:rFonts w:ascii="Times New Roman" w:hAnsi="Times New Roman"/>
          <w:i/>
          <w:sz w:val="24"/>
          <w:szCs w:val="24"/>
        </w:rPr>
        <w:t xml:space="preserve"> are buying fingerlings from the ministry</w:t>
      </w:r>
      <w:r>
        <w:rPr>
          <w:rFonts w:ascii="Times New Roman" w:hAnsi="Times New Roman"/>
          <w:i/>
          <w:sz w:val="24"/>
          <w:szCs w:val="24"/>
        </w:rPr>
        <w:t xml:space="preserve"> of Fisheries</w:t>
      </w:r>
      <w:r w:rsidRPr="008D737D">
        <w:rPr>
          <w:rFonts w:ascii="Times New Roman" w:hAnsi="Times New Roman"/>
          <w:i/>
          <w:sz w:val="24"/>
          <w:szCs w:val="24"/>
        </w:rPr>
        <w:t xml:space="preserve"> as small-scale farmers and now the question is, do they have to do an EIA?</w:t>
      </w:r>
      <w:r w:rsidR="00D84313">
        <w:rPr>
          <w:rFonts w:ascii="Times New Roman" w:hAnsi="Times New Roman"/>
          <w:i/>
          <w:sz w:val="24"/>
          <w:szCs w:val="24"/>
        </w:rPr>
        <w:t xml:space="preserve"> Must each farmer do an EIA?</w:t>
      </w:r>
      <w:r w:rsidRPr="008D737D">
        <w:rPr>
          <w:rFonts w:ascii="Times New Roman" w:hAnsi="Times New Roman"/>
          <w:i/>
          <w:sz w:val="24"/>
          <w:szCs w:val="24"/>
        </w:rPr>
        <w:t xml:space="preserve"> </w:t>
      </w:r>
      <w:r>
        <w:rPr>
          <w:rFonts w:ascii="Times New Roman" w:hAnsi="Times New Roman"/>
          <w:sz w:val="24"/>
          <w:szCs w:val="24"/>
        </w:rPr>
        <w:t>(ExP_Gov</w:t>
      </w:r>
      <w:r w:rsidRPr="004165E1">
        <w:rPr>
          <w:rFonts w:ascii="Times New Roman" w:hAnsi="Times New Roman"/>
          <w:sz w:val="24"/>
          <w:szCs w:val="24"/>
        </w:rPr>
        <w:t>SR3).</w:t>
      </w:r>
      <w:r w:rsidRPr="00674067">
        <w:rPr>
          <w:rFonts w:ascii="Times New Roman" w:hAnsi="Times New Roman"/>
          <w:sz w:val="24"/>
          <w:szCs w:val="24"/>
        </w:rPr>
        <w:t xml:space="preserve"> </w:t>
      </w:r>
    </w:p>
    <w:p w:rsidR="00BB159E" w:rsidRDefault="006B01F0" w:rsidP="00BB159E">
      <w:pPr>
        <w:pStyle w:val="CommentText"/>
        <w:shd w:val="clear" w:color="auto" w:fill="FFFFFF"/>
        <w:spacing w:line="360" w:lineRule="auto"/>
        <w:jc w:val="both"/>
        <w:rPr>
          <w:rFonts w:ascii="Times New Roman" w:hAnsi="Times New Roman"/>
          <w:sz w:val="24"/>
          <w:szCs w:val="24"/>
        </w:rPr>
      </w:pPr>
      <w:r>
        <w:rPr>
          <w:rFonts w:ascii="Times New Roman" w:hAnsi="Times New Roman"/>
          <w:sz w:val="24"/>
          <w:szCs w:val="24"/>
        </w:rPr>
        <w:t>The interviewed e</w:t>
      </w:r>
      <w:r w:rsidRPr="009C4D05">
        <w:rPr>
          <w:rFonts w:ascii="Times New Roman" w:hAnsi="Times New Roman"/>
          <w:sz w:val="24"/>
          <w:szCs w:val="24"/>
        </w:rPr>
        <w:t xml:space="preserve">xperts </w:t>
      </w:r>
      <w:r>
        <w:rPr>
          <w:rFonts w:ascii="Times New Roman" w:hAnsi="Times New Roman"/>
          <w:sz w:val="24"/>
          <w:szCs w:val="24"/>
        </w:rPr>
        <w:t>suggested</w:t>
      </w:r>
      <w:r w:rsidRPr="009C4D05">
        <w:rPr>
          <w:rFonts w:ascii="Times New Roman" w:hAnsi="Times New Roman"/>
          <w:sz w:val="24"/>
          <w:szCs w:val="24"/>
        </w:rPr>
        <w:t xml:space="preserve"> </w:t>
      </w:r>
      <w:r>
        <w:rPr>
          <w:rFonts w:ascii="Times New Roman" w:hAnsi="Times New Roman"/>
          <w:sz w:val="24"/>
          <w:szCs w:val="24"/>
        </w:rPr>
        <w:t xml:space="preserve">a need to develop </w:t>
      </w:r>
      <w:r w:rsidR="00D84313">
        <w:rPr>
          <w:rFonts w:ascii="Times New Roman" w:hAnsi="Times New Roman"/>
          <w:sz w:val="24"/>
          <w:szCs w:val="24"/>
        </w:rPr>
        <w:t xml:space="preserve">to: </w:t>
      </w:r>
      <w:r w:rsidR="0029385B">
        <w:rPr>
          <w:rFonts w:ascii="Times New Roman" w:hAnsi="Times New Roman"/>
          <w:sz w:val="24"/>
          <w:szCs w:val="24"/>
        </w:rPr>
        <w:t>develop</w:t>
      </w:r>
      <w:r w:rsidR="00D84313">
        <w:rPr>
          <w:rFonts w:ascii="Times New Roman" w:hAnsi="Times New Roman"/>
          <w:sz w:val="24"/>
          <w:szCs w:val="24"/>
        </w:rPr>
        <w:t xml:space="preserve"> </w:t>
      </w:r>
      <w:r>
        <w:rPr>
          <w:rFonts w:ascii="Times New Roman" w:hAnsi="Times New Roman"/>
          <w:sz w:val="24"/>
          <w:szCs w:val="24"/>
        </w:rPr>
        <w:t xml:space="preserve">an exclusive and inclusive list of projects requiring EIA, </w:t>
      </w:r>
      <w:r w:rsidR="00D84313">
        <w:rPr>
          <w:rFonts w:ascii="Times New Roman" w:hAnsi="Times New Roman"/>
          <w:sz w:val="24"/>
          <w:szCs w:val="24"/>
        </w:rPr>
        <w:t>introduce</w:t>
      </w:r>
      <w:r>
        <w:rPr>
          <w:rFonts w:ascii="Times New Roman" w:hAnsi="Times New Roman"/>
          <w:sz w:val="24"/>
          <w:szCs w:val="24"/>
        </w:rPr>
        <w:t xml:space="preserve"> screening categories and </w:t>
      </w:r>
      <w:r w:rsidR="00D84313">
        <w:rPr>
          <w:rFonts w:ascii="Times New Roman" w:hAnsi="Times New Roman"/>
          <w:sz w:val="24"/>
          <w:szCs w:val="24"/>
        </w:rPr>
        <w:t>establish</w:t>
      </w:r>
      <w:r>
        <w:rPr>
          <w:rFonts w:ascii="Times New Roman" w:hAnsi="Times New Roman"/>
          <w:sz w:val="24"/>
          <w:szCs w:val="24"/>
        </w:rPr>
        <w:t xml:space="preserve"> standard </w:t>
      </w:r>
      <w:r w:rsidR="00D84313">
        <w:rPr>
          <w:rFonts w:ascii="Times New Roman" w:hAnsi="Times New Roman"/>
          <w:sz w:val="24"/>
          <w:szCs w:val="24"/>
        </w:rPr>
        <w:t>Environmental Management P</w:t>
      </w:r>
      <w:r w:rsidRPr="004F576B">
        <w:rPr>
          <w:rFonts w:ascii="Times New Roman" w:hAnsi="Times New Roman"/>
          <w:sz w:val="24"/>
          <w:szCs w:val="24"/>
        </w:rPr>
        <w:t xml:space="preserve">lans for common </w:t>
      </w:r>
      <w:r w:rsidR="00D84313">
        <w:rPr>
          <w:rFonts w:ascii="Times New Roman" w:hAnsi="Times New Roman"/>
          <w:sz w:val="24"/>
          <w:szCs w:val="24"/>
        </w:rPr>
        <w:t>development activities</w:t>
      </w:r>
      <w:r w:rsidRPr="004F576B">
        <w:rPr>
          <w:rFonts w:ascii="Times New Roman" w:hAnsi="Times New Roman"/>
          <w:sz w:val="24"/>
          <w:szCs w:val="24"/>
        </w:rPr>
        <w:t xml:space="preserve"> </w:t>
      </w:r>
      <w:r w:rsidR="00D84313">
        <w:rPr>
          <w:rFonts w:ascii="Times New Roman" w:hAnsi="Times New Roman"/>
          <w:sz w:val="24"/>
          <w:szCs w:val="24"/>
        </w:rPr>
        <w:t>to reduce the time spent</w:t>
      </w:r>
      <w:r>
        <w:rPr>
          <w:rFonts w:ascii="Times New Roman" w:hAnsi="Times New Roman"/>
          <w:sz w:val="24"/>
          <w:szCs w:val="24"/>
        </w:rPr>
        <w:t xml:space="preserve"> on screening</w:t>
      </w:r>
      <w:r w:rsidRPr="004F576B">
        <w:rPr>
          <w:rFonts w:ascii="Times New Roman" w:hAnsi="Times New Roman"/>
          <w:sz w:val="24"/>
          <w:szCs w:val="24"/>
        </w:rPr>
        <w:t xml:space="preserve">. </w:t>
      </w:r>
    </w:p>
    <w:p w:rsidR="00B05944" w:rsidRDefault="00B05944" w:rsidP="002638E3">
      <w:pPr>
        <w:pStyle w:val="Default"/>
        <w:spacing w:line="480" w:lineRule="auto"/>
        <w:jc w:val="both"/>
        <w:rPr>
          <w:rFonts w:ascii="Times New Roman" w:hAnsi="Times New Roman" w:cs="Times New Roman"/>
          <w:shd w:val="clear" w:color="auto" w:fill="FFFFFF"/>
        </w:rPr>
      </w:pPr>
    </w:p>
    <w:p w:rsidR="001A5AD6" w:rsidRDefault="001A5AD6" w:rsidP="002638E3">
      <w:pPr>
        <w:pStyle w:val="Default"/>
        <w:spacing w:line="480" w:lineRule="auto"/>
        <w:jc w:val="both"/>
        <w:rPr>
          <w:rFonts w:ascii="Times New Roman" w:hAnsi="Times New Roman" w:cs="Times New Roman"/>
          <w:shd w:val="clear" w:color="auto" w:fill="FFFFFF"/>
        </w:rPr>
      </w:pPr>
    </w:p>
    <w:p w:rsidR="002F1367" w:rsidRDefault="002F1367" w:rsidP="007378EE">
      <w:pPr>
        <w:pStyle w:val="CommentText"/>
        <w:spacing w:line="360" w:lineRule="auto"/>
        <w:jc w:val="both"/>
        <w:rPr>
          <w:rFonts w:ascii="Times New Roman" w:hAnsi="Times New Roman"/>
          <w:sz w:val="24"/>
          <w:szCs w:val="24"/>
        </w:rPr>
      </w:pPr>
    </w:p>
    <w:p w:rsidR="007D227E" w:rsidRDefault="007D227E" w:rsidP="007378EE">
      <w:pPr>
        <w:pStyle w:val="CommentText"/>
        <w:spacing w:line="360" w:lineRule="auto"/>
        <w:jc w:val="both"/>
        <w:rPr>
          <w:rFonts w:ascii="Times New Roman" w:hAnsi="Times New Roman"/>
          <w:sz w:val="24"/>
          <w:szCs w:val="24"/>
        </w:rPr>
      </w:pPr>
    </w:p>
    <w:p w:rsidR="00E560E9" w:rsidRPr="00BB67AA" w:rsidRDefault="006B01F0" w:rsidP="007B58C2">
      <w:pPr>
        <w:pStyle w:val="ListParagraph"/>
        <w:numPr>
          <w:ilvl w:val="2"/>
          <w:numId w:val="17"/>
        </w:num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lastRenderedPageBreak/>
        <w:t>Scoping</w:t>
      </w:r>
    </w:p>
    <w:p w:rsidR="003B6DE5" w:rsidRDefault="006B01F0" w:rsidP="00504A20">
      <w:pPr>
        <w:pStyle w:val="CommentText"/>
        <w:spacing w:line="360" w:lineRule="auto"/>
        <w:jc w:val="both"/>
        <w:rPr>
          <w:rFonts w:ascii="Times New Roman" w:hAnsi="Times New Roman"/>
          <w:sz w:val="24"/>
          <w:szCs w:val="24"/>
        </w:rPr>
      </w:pPr>
      <w:r>
        <w:rPr>
          <w:rFonts w:ascii="Times New Roman" w:hAnsi="Times New Roman"/>
          <w:sz w:val="24"/>
          <w:szCs w:val="24"/>
        </w:rPr>
        <w:t xml:space="preserve">Scoping is an important stage in the EIA process </w:t>
      </w:r>
      <w:r w:rsidR="00610CDB">
        <w:rPr>
          <w:rFonts w:ascii="Times New Roman" w:hAnsi="Times New Roman"/>
          <w:sz w:val="24"/>
          <w:szCs w:val="24"/>
        </w:rPr>
        <w:t>to ensure</w:t>
      </w:r>
      <w:r>
        <w:rPr>
          <w:rFonts w:ascii="Times New Roman" w:hAnsi="Times New Roman"/>
          <w:sz w:val="24"/>
          <w:szCs w:val="24"/>
        </w:rPr>
        <w:t xml:space="preserve"> that potential significant impacts are addressed. </w:t>
      </w:r>
      <w:r w:rsidR="00D03CA4">
        <w:rPr>
          <w:rFonts w:ascii="Times New Roman" w:hAnsi="Times New Roman"/>
          <w:sz w:val="24"/>
          <w:szCs w:val="24"/>
        </w:rPr>
        <w:t>S</w:t>
      </w:r>
      <w:r>
        <w:rPr>
          <w:rFonts w:ascii="Times New Roman" w:hAnsi="Times New Roman"/>
          <w:sz w:val="24"/>
          <w:szCs w:val="24"/>
        </w:rPr>
        <w:t xml:space="preserve">coping is the responsibility of the </w:t>
      </w:r>
      <w:r w:rsidR="00BB159E">
        <w:rPr>
          <w:rFonts w:ascii="Times New Roman" w:hAnsi="Times New Roman"/>
          <w:sz w:val="24"/>
          <w:szCs w:val="24"/>
        </w:rPr>
        <w:t>e</w:t>
      </w:r>
      <w:r w:rsidR="002A03CC">
        <w:rPr>
          <w:rFonts w:ascii="Times New Roman" w:hAnsi="Times New Roman"/>
          <w:sz w:val="24"/>
          <w:szCs w:val="24"/>
        </w:rPr>
        <w:t>nvironmental consultant</w:t>
      </w:r>
      <w:r>
        <w:rPr>
          <w:rFonts w:ascii="Times New Roman" w:hAnsi="Times New Roman"/>
          <w:sz w:val="24"/>
          <w:szCs w:val="24"/>
        </w:rPr>
        <w:t xml:space="preserve"> </w:t>
      </w:r>
      <w:r w:rsidRPr="0073319A">
        <w:rPr>
          <w:rFonts w:ascii="Times New Roman" w:hAnsi="Times New Roman"/>
          <w:sz w:val="24"/>
          <w:szCs w:val="24"/>
        </w:rPr>
        <w:t xml:space="preserve">who </w:t>
      </w:r>
      <w:r>
        <w:rPr>
          <w:rFonts w:ascii="Times New Roman" w:hAnsi="Times New Roman"/>
          <w:sz w:val="24"/>
          <w:szCs w:val="24"/>
        </w:rPr>
        <w:t>asses</w:t>
      </w:r>
      <w:r w:rsidR="00A40FFC">
        <w:rPr>
          <w:rFonts w:ascii="Times New Roman" w:hAnsi="Times New Roman"/>
          <w:sz w:val="24"/>
          <w:szCs w:val="24"/>
        </w:rPr>
        <w:t>se</w:t>
      </w:r>
      <w:r>
        <w:rPr>
          <w:rFonts w:ascii="Times New Roman" w:hAnsi="Times New Roman"/>
          <w:sz w:val="24"/>
          <w:szCs w:val="24"/>
        </w:rPr>
        <w:t>s</w:t>
      </w:r>
      <w:r w:rsidRPr="0073319A">
        <w:rPr>
          <w:rFonts w:ascii="Times New Roman" w:hAnsi="Times New Roman"/>
          <w:sz w:val="24"/>
          <w:szCs w:val="24"/>
        </w:rPr>
        <w:t xml:space="preserve"> the proposed activity</w:t>
      </w:r>
      <w:r>
        <w:rPr>
          <w:rFonts w:ascii="Times New Roman" w:hAnsi="Times New Roman"/>
          <w:sz w:val="24"/>
          <w:szCs w:val="24"/>
        </w:rPr>
        <w:t xml:space="preserve"> </w:t>
      </w:r>
      <w:r w:rsidR="00C610FD">
        <w:rPr>
          <w:rFonts w:ascii="Times New Roman" w:hAnsi="Times New Roman"/>
          <w:sz w:val="24"/>
          <w:szCs w:val="24"/>
        </w:rPr>
        <w:t>on behalf of the developer.</w:t>
      </w:r>
      <w:r>
        <w:rPr>
          <w:rFonts w:ascii="Times New Roman" w:hAnsi="Times New Roman"/>
          <w:sz w:val="24"/>
          <w:szCs w:val="24"/>
        </w:rPr>
        <w:t xml:space="preserve"> </w:t>
      </w:r>
      <w:r w:rsidR="00C610FD" w:rsidRPr="00C610FD">
        <w:rPr>
          <w:rFonts w:ascii="Times New Roman" w:hAnsi="Times New Roman"/>
          <w:sz w:val="24"/>
          <w:szCs w:val="24"/>
        </w:rPr>
        <w:t xml:space="preserve">Where the proposed activity does not require </w:t>
      </w:r>
      <w:r w:rsidR="00C610FD">
        <w:rPr>
          <w:rFonts w:ascii="Times New Roman" w:hAnsi="Times New Roman"/>
          <w:sz w:val="24"/>
          <w:szCs w:val="24"/>
        </w:rPr>
        <w:t>an assessment</w:t>
      </w:r>
      <w:r w:rsidR="003F1B56">
        <w:rPr>
          <w:rFonts w:ascii="Times New Roman" w:hAnsi="Times New Roman"/>
          <w:sz w:val="24"/>
          <w:szCs w:val="24"/>
        </w:rPr>
        <w:t>,</w:t>
      </w:r>
      <w:r w:rsidR="00C610FD">
        <w:rPr>
          <w:rFonts w:ascii="Times New Roman" w:hAnsi="Times New Roman"/>
          <w:sz w:val="24"/>
          <w:szCs w:val="24"/>
        </w:rPr>
        <w:t xml:space="preserve"> the </w:t>
      </w:r>
      <w:r w:rsidR="00604555">
        <w:rPr>
          <w:rFonts w:ascii="Times New Roman" w:hAnsi="Times New Roman"/>
          <w:sz w:val="24"/>
          <w:szCs w:val="24"/>
        </w:rPr>
        <w:t>e</w:t>
      </w:r>
      <w:r w:rsidR="001D4343">
        <w:rPr>
          <w:rFonts w:ascii="Times New Roman" w:hAnsi="Times New Roman"/>
          <w:sz w:val="24"/>
          <w:szCs w:val="24"/>
        </w:rPr>
        <w:t xml:space="preserve">nvironmental </w:t>
      </w:r>
      <w:r w:rsidR="00604555">
        <w:rPr>
          <w:rFonts w:ascii="Times New Roman" w:hAnsi="Times New Roman"/>
          <w:sz w:val="24"/>
          <w:szCs w:val="24"/>
        </w:rPr>
        <w:t>c</w:t>
      </w:r>
      <w:r w:rsidR="001D4343">
        <w:rPr>
          <w:rFonts w:ascii="Times New Roman" w:hAnsi="Times New Roman"/>
          <w:sz w:val="24"/>
          <w:szCs w:val="24"/>
        </w:rPr>
        <w:t>ommissioner</w:t>
      </w:r>
      <w:r w:rsidR="00C610FD">
        <w:rPr>
          <w:rFonts w:ascii="Times New Roman" w:hAnsi="Times New Roman"/>
          <w:sz w:val="24"/>
          <w:szCs w:val="24"/>
        </w:rPr>
        <w:t xml:space="preserve"> may </w:t>
      </w:r>
      <w:r w:rsidR="00C610FD" w:rsidRPr="00C610FD">
        <w:rPr>
          <w:rFonts w:ascii="Times New Roman" w:hAnsi="Times New Roman"/>
          <w:sz w:val="24"/>
          <w:szCs w:val="24"/>
        </w:rPr>
        <w:t xml:space="preserve">grant the application and, on payment </w:t>
      </w:r>
      <w:r w:rsidR="00C610FD">
        <w:rPr>
          <w:rFonts w:ascii="Times New Roman" w:hAnsi="Times New Roman"/>
          <w:sz w:val="24"/>
          <w:szCs w:val="24"/>
        </w:rPr>
        <w:t xml:space="preserve">of the prescribed fee, issue an </w:t>
      </w:r>
      <w:r w:rsidR="00D84313">
        <w:rPr>
          <w:rFonts w:ascii="Times New Roman" w:hAnsi="Times New Roman"/>
          <w:sz w:val="24"/>
          <w:szCs w:val="24"/>
        </w:rPr>
        <w:t>E</w:t>
      </w:r>
      <w:r w:rsidR="001D4343">
        <w:rPr>
          <w:rFonts w:ascii="Times New Roman" w:hAnsi="Times New Roman"/>
          <w:sz w:val="24"/>
          <w:szCs w:val="24"/>
        </w:rPr>
        <w:t xml:space="preserve">nvironmental </w:t>
      </w:r>
      <w:r w:rsidR="00D84313">
        <w:rPr>
          <w:rFonts w:ascii="Times New Roman" w:hAnsi="Times New Roman"/>
          <w:sz w:val="24"/>
          <w:szCs w:val="24"/>
        </w:rPr>
        <w:t>C</w:t>
      </w:r>
      <w:r w:rsidR="001D4343">
        <w:rPr>
          <w:rFonts w:ascii="Times New Roman" w:hAnsi="Times New Roman"/>
          <w:sz w:val="24"/>
          <w:szCs w:val="24"/>
        </w:rPr>
        <w:t xml:space="preserve">learance </w:t>
      </w:r>
      <w:r w:rsidR="00D84313">
        <w:rPr>
          <w:rFonts w:ascii="Times New Roman" w:hAnsi="Times New Roman"/>
          <w:sz w:val="24"/>
          <w:szCs w:val="24"/>
        </w:rPr>
        <w:t>C</w:t>
      </w:r>
      <w:r w:rsidR="00BB159E">
        <w:rPr>
          <w:rFonts w:ascii="Times New Roman" w:hAnsi="Times New Roman"/>
          <w:sz w:val="24"/>
          <w:szCs w:val="24"/>
        </w:rPr>
        <w:t>ertificate</w:t>
      </w:r>
      <w:r w:rsidR="00C610FD" w:rsidRPr="00C610FD">
        <w:rPr>
          <w:rFonts w:ascii="Times New Roman" w:hAnsi="Times New Roman"/>
          <w:sz w:val="24"/>
          <w:szCs w:val="24"/>
        </w:rPr>
        <w:t xml:space="preserve"> to the proponen</w:t>
      </w:r>
      <w:r w:rsidR="00C610FD">
        <w:rPr>
          <w:rFonts w:ascii="Times New Roman" w:hAnsi="Times New Roman"/>
          <w:sz w:val="24"/>
          <w:szCs w:val="24"/>
        </w:rPr>
        <w:t>t</w:t>
      </w:r>
      <w:r w:rsidR="00610CDB">
        <w:rPr>
          <w:rFonts w:ascii="Times New Roman" w:hAnsi="Times New Roman"/>
          <w:sz w:val="24"/>
          <w:szCs w:val="24"/>
        </w:rPr>
        <w:t xml:space="preserve"> (GRN, 2012)</w:t>
      </w:r>
      <w:r w:rsidR="00C610FD">
        <w:rPr>
          <w:rFonts w:ascii="Times New Roman" w:hAnsi="Times New Roman"/>
          <w:sz w:val="24"/>
          <w:szCs w:val="24"/>
        </w:rPr>
        <w:t xml:space="preserve">. </w:t>
      </w:r>
      <w:r w:rsidR="00F75216">
        <w:rPr>
          <w:rFonts w:ascii="Times New Roman" w:hAnsi="Times New Roman"/>
          <w:sz w:val="24"/>
          <w:szCs w:val="24"/>
        </w:rPr>
        <w:t>W</w:t>
      </w:r>
      <w:r w:rsidR="00C610FD">
        <w:rPr>
          <w:rFonts w:ascii="Times New Roman" w:hAnsi="Times New Roman"/>
          <w:sz w:val="24"/>
          <w:szCs w:val="24"/>
        </w:rPr>
        <w:t xml:space="preserve">hen </w:t>
      </w:r>
      <w:r w:rsidR="00C610FD" w:rsidRPr="00C610FD">
        <w:rPr>
          <w:rFonts w:ascii="Times New Roman" w:hAnsi="Times New Roman"/>
          <w:sz w:val="24"/>
          <w:szCs w:val="24"/>
        </w:rPr>
        <w:t>the proposed activity requires an assessment</w:t>
      </w:r>
      <w:r w:rsidR="003F1B56">
        <w:rPr>
          <w:rFonts w:ascii="Times New Roman" w:hAnsi="Times New Roman"/>
          <w:sz w:val="24"/>
          <w:szCs w:val="24"/>
        </w:rPr>
        <w:t xml:space="preserve">, the </w:t>
      </w:r>
      <w:r w:rsidR="00604555">
        <w:rPr>
          <w:rFonts w:ascii="Times New Roman" w:hAnsi="Times New Roman"/>
          <w:sz w:val="24"/>
          <w:szCs w:val="24"/>
        </w:rPr>
        <w:t>e</w:t>
      </w:r>
      <w:r w:rsidR="001D4343">
        <w:rPr>
          <w:rFonts w:ascii="Times New Roman" w:hAnsi="Times New Roman"/>
          <w:sz w:val="24"/>
          <w:szCs w:val="24"/>
        </w:rPr>
        <w:t xml:space="preserve">nvironmental </w:t>
      </w:r>
      <w:r w:rsidR="00604555">
        <w:rPr>
          <w:rFonts w:ascii="Times New Roman" w:hAnsi="Times New Roman"/>
          <w:sz w:val="24"/>
          <w:szCs w:val="24"/>
        </w:rPr>
        <w:t>c</w:t>
      </w:r>
      <w:r w:rsidR="001D4343">
        <w:rPr>
          <w:rFonts w:ascii="Times New Roman" w:hAnsi="Times New Roman"/>
          <w:sz w:val="24"/>
          <w:szCs w:val="24"/>
        </w:rPr>
        <w:t xml:space="preserve">ommissioner </w:t>
      </w:r>
      <w:r w:rsidR="00C610FD">
        <w:rPr>
          <w:rFonts w:ascii="Times New Roman" w:hAnsi="Times New Roman"/>
          <w:sz w:val="24"/>
          <w:szCs w:val="24"/>
        </w:rPr>
        <w:t>determine</w:t>
      </w:r>
      <w:r w:rsidR="003F1B56">
        <w:rPr>
          <w:rFonts w:ascii="Times New Roman" w:hAnsi="Times New Roman"/>
          <w:sz w:val="24"/>
          <w:szCs w:val="24"/>
        </w:rPr>
        <w:t>s</w:t>
      </w:r>
      <w:r w:rsidR="00C610FD">
        <w:rPr>
          <w:rFonts w:ascii="Times New Roman" w:hAnsi="Times New Roman"/>
          <w:sz w:val="24"/>
          <w:szCs w:val="24"/>
        </w:rPr>
        <w:t xml:space="preserve"> </w:t>
      </w:r>
      <w:r w:rsidR="00D03CA4">
        <w:rPr>
          <w:rFonts w:ascii="Times New Roman" w:hAnsi="Times New Roman"/>
          <w:sz w:val="24"/>
          <w:szCs w:val="24"/>
        </w:rPr>
        <w:t xml:space="preserve">its </w:t>
      </w:r>
      <w:r w:rsidR="003F1B56">
        <w:rPr>
          <w:rFonts w:ascii="Times New Roman" w:hAnsi="Times New Roman"/>
          <w:sz w:val="24"/>
          <w:szCs w:val="24"/>
        </w:rPr>
        <w:t>scope,</w:t>
      </w:r>
      <w:r w:rsidR="00C610FD">
        <w:rPr>
          <w:rFonts w:ascii="Times New Roman" w:hAnsi="Times New Roman"/>
          <w:sz w:val="24"/>
          <w:szCs w:val="24"/>
        </w:rPr>
        <w:t xml:space="preserve"> </w:t>
      </w:r>
      <w:r w:rsidR="00C610FD" w:rsidRPr="00C610FD">
        <w:rPr>
          <w:rFonts w:ascii="Times New Roman" w:hAnsi="Times New Roman"/>
          <w:sz w:val="24"/>
          <w:szCs w:val="24"/>
        </w:rPr>
        <w:t xml:space="preserve">the procedures and methods, </w:t>
      </w:r>
      <w:r w:rsidR="003F1B56">
        <w:rPr>
          <w:rFonts w:ascii="Times New Roman" w:hAnsi="Times New Roman"/>
          <w:sz w:val="24"/>
          <w:szCs w:val="24"/>
        </w:rPr>
        <w:t xml:space="preserve">and </w:t>
      </w:r>
      <w:r w:rsidR="003F1B56" w:rsidRPr="003F1B56">
        <w:rPr>
          <w:rFonts w:ascii="Times New Roman" w:hAnsi="Times New Roman"/>
          <w:sz w:val="24"/>
          <w:szCs w:val="24"/>
        </w:rPr>
        <w:t xml:space="preserve">a reasonable period </w:t>
      </w:r>
      <w:r w:rsidR="0000702E">
        <w:rPr>
          <w:rFonts w:ascii="Times New Roman" w:hAnsi="Times New Roman"/>
          <w:sz w:val="24"/>
          <w:szCs w:val="24"/>
        </w:rPr>
        <w:t xml:space="preserve">for </w:t>
      </w:r>
      <w:r w:rsidR="003F1B56">
        <w:rPr>
          <w:rFonts w:ascii="Times New Roman" w:hAnsi="Times New Roman"/>
          <w:sz w:val="24"/>
          <w:szCs w:val="24"/>
        </w:rPr>
        <w:t xml:space="preserve">the assessment report </w:t>
      </w:r>
      <w:r w:rsidR="0000702E">
        <w:rPr>
          <w:rFonts w:ascii="Times New Roman" w:hAnsi="Times New Roman"/>
          <w:sz w:val="24"/>
          <w:szCs w:val="24"/>
        </w:rPr>
        <w:t>to</w:t>
      </w:r>
      <w:r w:rsidR="003F1B56">
        <w:rPr>
          <w:rFonts w:ascii="Times New Roman" w:hAnsi="Times New Roman"/>
          <w:sz w:val="24"/>
          <w:szCs w:val="24"/>
        </w:rPr>
        <w:t xml:space="preserve"> be </w:t>
      </w:r>
      <w:r w:rsidR="003F1B56" w:rsidRPr="003F1B56">
        <w:rPr>
          <w:rFonts w:ascii="Times New Roman" w:hAnsi="Times New Roman"/>
          <w:sz w:val="24"/>
          <w:szCs w:val="24"/>
        </w:rPr>
        <w:t>submitted</w:t>
      </w:r>
      <w:r w:rsidR="00610CDB">
        <w:rPr>
          <w:rFonts w:ascii="Times New Roman" w:hAnsi="Times New Roman"/>
          <w:sz w:val="24"/>
          <w:szCs w:val="24"/>
        </w:rPr>
        <w:t xml:space="preserve"> (GRN,</w:t>
      </w:r>
      <w:r w:rsidR="002D795E">
        <w:rPr>
          <w:rFonts w:ascii="Times New Roman" w:hAnsi="Times New Roman"/>
          <w:sz w:val="24"/>
          <w:szCs w:val="24"/>
        </w:rPr>
        <w:t xml:space="preserve"> </w:t>
      </w:r>
      <w:r w:rsidR="00610CDB">
        <w:rPr>
          <w:rFonts w:ascii="Times New Roman" w:hAnsi="Times New Roman"/>
          <w:sz w:val="24"/>
          <w:szCs w:val="24"/>
        </w:rPr>
        <w:t>2012)</w:t>
      </w:r>
      <w:r w:rsidR="00C610FD">
        <w:rPr>
          <w:rFonts w:ascii="Times New Roman" w:hAnsi="Times New Roman"/>
          <w:sz w:val="24"/>
          <w:szCs w:val="24"/>
        </w:rPr>
        <w:t xml:space="preserve">. </w:t>
      </w:r>
      <w:r w:rsidR="00B466D5">
        <w:rPr>
          <w:rFonts w:ascii="Times New Roman" w:hAnsi="Times New Roman"/>
          <w:sz w:val="24"/>
          <w:szCs w:val="24"/>
        </w:rPr>
        <w:t xml:space="preserve">The development of </w:t>
      </w:r>
      <w:r w:rsidR="00BB159E">
        <w:rPr>
          <w:rFonts w:ascii="Times New Roman" w:hAnsi="Times New Roman"/>
          <w:sz w:val="24"/>
          <w:szCs w:val="24"/>
        </w:rPr>
        <w:t xml:space="preserve">the </w:t>
      </w:r>
      <w:r w:rsidR="00A40FFC">
        <w:rPr>
          <w:rFonts w:ascii="Times New Roman" w:hAnsi="Times New Roman"/>
          <w:sz w:val="24"/>
          <w:szCs w:val="24"/>
        </w:rPr>
        <w:t>t</w:t>
      </w:r>
      <w:r w:rsidR="00610CDB">
        <w:rPr>
          <w:rFonts w:ascii="Times New Roman" w:hAnsi="Times New Roman"/>
          <w:sz w:val="24"/>
          <w:szCs w:val="24"/>
        </w:rPr>
        <w:t xml:space="preserve">erms of </w:t>
      </w:r>
      <w:r w:rsidR="00A40FFC">
        <w:rPr>
          <w:rFonts w:ascii="Times New Roman" w:hAnsi="Times New Roman"/>
          <w:sz w:val="24"/>
          <w:szCs w:val="24"/>
        </w:rPr>
        <w:t>reference</w:t>
      </w:r>
      <w:r w:rsidR="00610CDB">
        <w:rPr>
          <w:rFonts w:ascii="Times New Roman" w:hAnsi="Times New Roman"/>
          <w:sz w:val="24"/>
          <w:szCs w:val="24"/>
        </w:rPr>
        <w:t xml:space="preserve"> is </w:t>
      </w:r>
      <w:r w:rsidR="00A40FFC">
        <w:rPr>
          <w:rFonts w:ascii="Times New Roman" w:hAnsi="Times New Roman"/>
          <w:sz w:val="24"/>
          <w:szCs w:val="24"/>
        </w:rPr>
        <w:t>the</w:t>
      </w:r>
      <w:r w:rsidR="00BB159E">
        <w:rPr>
          <w:rFonts w:ascii="Times New Roman" w:hAnsi="Times New Roman"/>
          <w:sz w:val="24"/>
          <w:szCs w:val="24"/>
        </w:rPr>
        <w:t xml:space="preserve"> </w:t>
      </w:r>
      <w:r w:rsidR="00450BBB">
        <w:rPr>
          <w:rFonts w:ascii="Times New Roman" w:hAnsi="Times New Roman"/>
          <w:sz w:val="24"/>
          <w:szCs w:val="24"/>
        </w:rPr>
        <w:t xml:space="preserve">responsibility of </w:t>
      </w:r>
      <w:r w:rsidR="00610CDB">
        <w:rPr>
          <w:rFonts w:ascii="Times New Roman" w:hAnsi="Times New Roman"/>
          <w:sz w:val="24"/>
          <w:szCs w:val="24"/>
        </w:rPr>
        <w:t xml:space="preserve">the </w:t>
      </w:r>
      <w:r w:rsidR="00450BBB">
        <w:rPr>
          <w:rFonts w:ascii="Times New Roman" w:hAnsi="Times New Roman"/>
          <w:sz w:val="24"/>
          <w:szCs w:val="24"/>
        </w:rPr>
        <w:t xml:space="preserve">developer. Interviewed experts noted that the </w:t>
      </w:r>
      <w:r>
        <w:rPr>
          <w:rFonts w:ascii="Times New Roman" w:hAnsi="Times New Roman"/>
          <w:sz w:val="24"/>
          <w:szCs w:val="24"/>
        </w:rPr>
        <w:t>scoping stage</w:t>
      </w:r>
      <w:r w:rsidR="00450BBB">
        <w:rPr>
          <w:rFonts w:ascii="Times New Roman" w:hAnsi="Times New Roman"/>
          <w:sz w:val="24"/>
          <w:szCs w:val="24"/>
        </w:rPr>
        <w:t xml:space="preserve"> afford</w:t>
      </w:r>
      <w:r w:rsidR="00F33BCE">
        <w:rPr>
          <w:rFonts w:ascii="Times New Roman" w:hAnsi="Times New Roman"/>
          <w:sz w:val="24"/>
          <w:szCs w:val="24"/>
        </w:rPr>
        <w:t>s</w:t>
      </w:r>
      <w:r w:rsidR="00450BBB">
        <w:rPr>
          <w:rFonts w:ascii="Times New Roman" w:hAnsi="Times New Roman"/>
          <w:sz w:val="24"/>
          <w:szCs w:val="24"/>
        </w:rPr>
        <w:t xml:space="preserve"> </w:t>
      </w:r>
      <w:r w:rsidR="00F33BCE">
        <w:rPr>
          <w:rFonts w:ascii="Times New Roman" w:hAnsi="Times New Roman"/>
          <w:sz w:val="24"/>
          <w:szCs w:val="24"/>
        </w:rPr>
        <w:t>excessive</w:t>
      </w:r>
      <w:r w:rsidR="00450BBB">
        <w:rPr>
          <w:rFonts w:ascii="Times New Roman" w:hAnsi="Times New Roman"/>
          <w:sz w:val="24"/>
          <w:szCs w:val="24"/>
        </w:rPr>
        <w:t xml:space="preserve"> power to the developer, </w:t>
      </w:r>
      <w:r>
        <w:rPr>
          <w:rFonts w:ascii="Times New Roman" w:hAnsi="Times New Roman"/>
          <w:sz w:val="24"/>
          <w:szCs w:val="24"/>
        </w:rPr>
        <w:t xml:space="preserve">a practice </w:t>
      </w:r>
      <w:r w:rsidR="00B466D5">
        <w:rPr>
          <w:rFonts w:ascii="Times New Roman" w:hAnsi="Times New Roman"/>
          <w:sz w:val="24"/>
          <w:szCs w:val="24"/>
        </w:rPr>
        <w:t xml:space="preserve">perceived as </w:t>
      </w:r>
      <w:r>
        <w:rPr>
          <w:rFonts w:ascii="Times New Roman" w:hAnsi="Times New Roman"/>
          <w:sz w:val="24"/>
          <w:szCs w:val="24"/>
        </w:rPr>
        <w:t>affect</w:t>
      </w:r>
      <w:r w:rsidR="00B466D5">
        <w:rPr>
          <w:rFonts w:ascii="Times New Roman" w:hAnsi="Times New Roman"/>
          <w:sz w:val="24"/>
          <w:szCs w:val="24"/>
        </w:rPr>
        <w:t xml:space="preserve">ing </w:t>
      </w:r>
      <w:r w:rsidR="00450BBB">
        <w:rPr>
          <w:rFonts w:ascii="Times New Roman" w:hAnsi="Times New Roman"/>
          <w:sz w:val="24"/>
          <w:szCs w:val="24"/>
        </w:rPr>
        <w:t xml:space="preserve">the quality </w:t>
      </w:r>
      <w:r>
        <w:rPr>
          <w:rFonts w:ascii="Times New Roman" w:hAnsi="Times New Roman"/>
          <w:sz w:val="24"/>
          <w:szCs w:val="24"/>
        </w:rPr>
        <w:t>of the assessment</w:t>
      </w:r>
      <w:r w:rsidR="00610CDB">
        <w:rPr>
          <w:rFonts w:ascii="Times New Roman" w:hAnsi="Times New Roman"/>
          <w:sz w:val="24"/>
          <w:szCs w:val="24"/>
        </w:rPr>
        <w:t xml:space="preserve"> process</w:t>
      </w:r>
      <w:r>
        <w:rPr>
          <w:rFonts w:ascii="Times New Roman" w:hAnsi="Times New Roman"/>
          <w:sz w:val="24"/>
          <w:szCs w:val="24"/>
        </w:rPr>
        <w:t xml:space="preserve">. </w:t>
      </w:r>
    </w:p>
    <w:p w:rsidR="003B1CD2" w:rsidRDefault="006B01F0" w:rsidP="00504A20">
      <w:pPr>
        <w:pStyle w:val="CommentText"/>
        <w:spacing w:line="360" w:lineRule="auto"/>
        <w:jc w:val="both"/>
        <w:rPr>
          <w:rFonts w:ascii="Times New Roman" w:hAnsi="Times New Roman"/>
          <w:sz w:val="24"/>
          <w:szCs w:val="24"/>
        </w:rPr>
      </w:pPr>
      <w:r>
        <w:rPr>
          <w:rFonts w:ascii="Times New Roman" w:hAnsi="Times New Roman"/>
          <w:sz w:val="24"/>
          <w:szCs w:val="24"/>
        </w:rPr>
        <w:t>A s</w:t>
      </w:r>
      <w:r w:rsidR="00D84313">
        <w:rPr>
          <w:rFonts w:ascii="Times New Roman" w:hAnsi="Times New Roman"/>
          <w:sz w:val="24"/>
          <w:szCs w:val="24"/>
        </w:rPr>
        <w:t>trength in the Namibia EIA process is that p</w:t>
      </w:r>
      <w:r w:rsidR="00E560E9">
        <w:rPr>
          <w:rFonts w:ascii="Times New Roman" w:hAnsi="Times New Roman"/>
          <w:sz w:val="24"/>
          <w:szCs w:val="24"/>
        </w:rPr>
        <w:t xml:space="preserve">ublic consultation </w:t>
      </w:r>
      <w:r w:rsidR="003B6DE5">
        <w:rPr>
          <w:rFonts w:ascii="Times New Roman" w:hAnsi="Times New Roman"/>
          <w:sz w:val="24"/>
          <w:szCs w:val="24"/>
        </w:rPr>
        <w:t>is a requirement during scoping. I</w:t>
      </w:r>
      <w:r w:rsidR="006909D1">
        <w:rPr>
          <w:rFonts w:ascii="Times New Roman" w:hAnsi="Times New Roman"/>
          <w:sz w:val="24"/>
          <w:szCs w:val="24"/>
        </w:rPr>
        <w:t xml:space="preserve">n accordance with </w:t>
      </w:r>
      <w:r w:rsidR="00A40FFC">
        <w:rPr>
          <w:rFonts w:ascii="Times New Roman" w:hAnsi="Times New Roman"/>
          <w:sz w:val="24"/>
          <w:szCs w:val="24"/>
        </w:rPr>
        <w:t>r</w:t>
      </w:r>
      <w:r w:rsidR="006909D1">
        <w:rPr>
          <w:rFonts w:ascii="Times New Roman" w:hAnsi="Times New Roman"/>
          <w:sz w:val="24"/>
          <w:szCs w:val="24"/>
        </w:rPr>
        <w:t>egula</w:t>
      </w:r>
      <w:r w:rsidR="003B6DE5">
        <w:rPr>
          <w:rFonts w:ascii="Times New Roman" w:hAnsi="Times New Roman"/>
          <w:sz w:val="24"/>
          <w:szCs w:val="24"/>
        </w:rPr>
        <w:t xml:space="preserve">tion 21, the developer must </w:t>
      </w:r>
      <w:r w:rsidR="00E560E9">
        <w:rPr>
          <w:rFonts w:ascii="Times New Roman" w:hAnsi="Times New Roman"/>
          <w:sz w:val="24"/>
          <w:szCs w:val="24"/>
        </w:rPr>
        <w:t>o</w:t>
      </w:r>
      <w:r w:rsidR="00E43533">
        <w:rPr>
          <w:rFonts w:ascii="Times New Roman" w:hAnsi="Times New Roman"/>
          <w:sz w:val="24"/>
          <w:szCs w:val="24"/>
        </w:rPr>
        <w:t>pen and maintain a register of IAP</w:t>
      </w:r>
      <w:r w:rsidR="00E560E9">
        <w:rPr>
          <w:rFonts w:ascii="Times New Roman" w:hAnsi="Times New Roman"/>
          <w:sz w:val="24"/>
          <w:szCs w:val="24"/>
        </w:rPr>
        <w:t xml:space="preserve"> </w:t>
      </w:r>
      <w:r w:rsidR="003B6DE5">
        <w:rPr>
          <w:rFonts w:ascii="Times New Roman" w:hAnsi="Times New Roman"/>
          <w:sz w:val="24"/>
          <w:szCs w:val="24"/>
        </w:rPr>
        <w:t xml:space="preserve">and solicit comments from the public. </w:t>
      </w:r>
    </w:p>
    <w:p w:rsidR="006E7108" w:rsidRPr="000F5502" w:rsidRDefault="006B01F0" w:rsidP="006E7108">
      <w:pPr>
        <w:spacing w:line="360" w:lineRule="auto"/>
        <w:jc w:val="both"/>
        <w:rPr>
          <w:rFonts w:ascii="Times New Roman" w:hAnsi="Times New Roman"/>
          <w:i/>
          <w:sz w:val="24"/>
          <w:szCs w:val="24"/>
        </w:rPr>
      </w:pPr>
      <w:r w:rsidRPr="00D95021">
        <w:rPr>
          <w:rFonts w:ascii="Times New Roman" w:hAnsi="Times New Roman"/>
          <w:sz w:val="24"/>
          <w:szCs w:val="24"/>
        </w:rPr>
        <w:t>No scoping guideline</w:t>
      </w:r>
      <w:r w:rsidR="00F75216" w:rsidRPr="00D95021">
        <w:rPr>
          <w:rFonts w:ascii="Times New Roman" w:hAnsi="Times New Roman"/>
          <w:sz w:val="24"/>
          <w:szCs w:val="24"/>
        </w:rPr>
        <w:t>s</w:t>
      </w:r>
      <w:r w:rsidRPr="00D95021">
        <w:rPr>
          <w:rFonts w:ascii="Times New Roman" w:hAnsi="Times New Roman"/>
          <w:sz w:val="24"/>
          <w:szCs w:val="24"/>
        </w:rPr>
        <w:t xml:space="preserve"> </w:t>
      </w:r>
      <w:r w:rsidR="00E43533">
        <w:rPr>
          <w:rFonts w:ascii="Times New Roman" w:hAnsi="Times New Roman"/>
          <w:sz w:val="24"/>
          <w:szCs w:val="24"/>
        </w:rPr>
        <w:t>exist in the legislation. T</w:t>
      </w:r>
      <w:r w:rsidR="003B1CD2" w:rsidRPr="00D95021">
        <w:rPr>
          <w:rFonts w:ascii="Times New Roman" w:hAnsi="Times New Roman"/>
          <w:sz w:val="24"/>
          <w:szCs w:val="24"/>
        </w:rPr>
        <w:t xml:space="preserve">he outline of the scoping report is </w:t>
      </w:r>
      <w:r w:rsidR="00E43533">
        <w:rPr>
          <w:rFonts w:ascii="Times New Roman" w:hAnsi="Times New Roman"/>
          <w:sz w:val="24"/>
          <w:szCs w:val="24"/>
        </w:rPr>
        <w:t>clearly outlined in r</w:t>
      </w:r>
      <w:r w:rsidR="003B1CD2" w:rsidRPr="00D95021">
        <w:rPr>
          <w:rFonts w:ascii="Times New Roman" w:hAnsi="Times New Roman"/>
          <w:sz w:val="24"/>
          <w:szCs w:val="24"/>
        </w:rPr>
        <w:t xml:space="preserve">egulation 8. </w:t>
      </w:r>
      <w:r w:rsidR="001D4343" w:rsidRPr="00D95021">
        <w:rPr>
          <w:rFonts w:ascii="Times New Roman" w:hAnsi="Times New Roman"/>
          <w:sz w:val="24"/>
          <w:szCs w:val="24"/>
        </w:rPr>
        <w:t xml:space="preserve">According to </w:t>
      </w:r>
      <w:r w:rsidR="0056763B" w:rsidRPr="00D95021">
        <w:rPr>
          <w:rFonts w:ascii="Times New Roman" w:hAnsi="Times New Roman"/>
          <w:sz w:val="24"/>
          <w:szCs w:val="24"/>
        </w:rPr>
        <w:t>interviewees</w:t>
      </w:r>
      <w:r w:rsidR="001D4343" w:rsidRPr="00D95021">
        <w:rPr>
          <w:rFonts w:ascii="Times New Roman" w:hAnsi="Times New Roman"/>
          <w:sz w:val="24"/>
          <w:szCs w:val="24"/>
        </w:rPr>
        <w:t>, the scoping process heavily relies on</w:t>
      </w:r>
      <w:r w:rsidR="003B1CD2" w:rsidRPr="00D95021">
        <w:rPr>
          <w:rFonts w:ascii="Times New Roman" w:hAnsi="Times New Roman"/>
          <w:sz w:val="24"/>
          <w:szCs w:val="24"/>
        </w:rPr>
        <w:t xml:space="preserve"> desktop studies, and </w:t>
      </w:r>
      <w:r w:rsidR="00604555" w:rsidRPr="00D95021">
        <w:rPr>
          <w:rFonts w:ascii="Times New Roman" w:hAnsi="Times New Roman"/>
          <w:sz w:val="24"/>
          <w:szCs w:val="24"/>
        </w:rPr>
        <w:t>site</w:t>
      </w:r>
      <w:r w:rsidR="00596DBF" w:rsidRPr="00D95021">
        <w:rPr>
          <w:rFonts w:ascii="Times New Roman" w:hAnsi="Times New Roman"/>
          <w:sz w:val="24"/>
          <w:szCs w:val="24"/>
        </w:rPr>
        <w:t xml:space="preserve"> visit</w:t>
      </w:r>
      <w:r w:rsidR="00D03CA4" w:rsidRPr="00D95021">
        <w:rPr>
          <w:rFonts w:ascii="Times New Roman" w:hAnsi="Times New Roman"/>
          <w:sz w:val="24"/>
          <w:szCs w:val="24"/>
        </w:rPr>
        <w:t>s</w:t>
      </w:r>
      <w:r w:rsidR="0056763B" w:rsidRPr="00D95021">
        <w:rPr>
          <w:rFonts w:ascii="Times New Roman" w:hAnsi="Times New Roman"/>
          <w:sz w:val="24"/>
          <w:szCs w:val="24"/>
        </w:rPr>
        <w:t xml:space="preserve"> are rare</w:t>
      </w:r>
      <w:r w:rsidR="00FE4253" w:rsidRPr="00D95021">
        <w:rPr>
          <w:rFonts w:ascii="Times New Roman" w:hAnsi="Times New Roman"/>
          <w:sz w:val="24"/>
          <w:szCs w:val="24"/>
        </w:rPr>
        <w:t xml:space="preserve">. </w:t>
      </w:r>
      <w:r w:rsidR="004940B1">
        <w:rPr>
          <w:rFonts w:ascii="Times New Roman" w:hAnsi="Times New Roman"/>
          <w:sz w:val="24"/>
          <w:szCs w:val="24"/>
        </w:rPr>
        <w:t xml:space="preserve">An official from the Government lamented that as a result, scoping reports are not reflective of the actual environmental conditions, hence the low quality of EIA reports. </w:t>
      </w:r>
      <w:r w:rsidR="000F5502">
        <w:rPr>
          <w:rFonts w:ascii="Times New Roman" w:hAnsi="Times New Roman"/>
          <w:sz w:val="24"/>
          <w:szCs w:val="24"/>
        </w:rPr>
        <w:t xml:space="preserve">The majority of interviewees </w:t>
      </w:r>
      <w:r w:rsidR="004940B1">
        <w:rPr>
          <w:rFonts w:ascii="Times New Roman" w:hAnsi="Times New Roman"/>
          <w:sz w:val="24"/>
          <w:szCs w:val="24"/>
        </w:rPr>
        <w:t xml:space="preserve">also </w:t>
      </w:r>
      <w:r w:rsidR="000F5502">
        <w:rPr>
          <w:rFonts w:ascii="Times New Roman" w:hAnsi="Times New Roman"/>
          <w:sz w:val="24"/>
          <w:szCs w:val="24"/>
        </w:rPr>
        <w:t xml:space="preserve">revealed that EIA reports are written following the specified outline, however, the quality of the EIA reports is </w:t>
      </w:r>
      <w:r w:rsidR="004940B1">
        <w:rPr>
          <w:rFonts w:ascii="Times New Roman" w:hAnsi="Times New Roman"/>
          <w:sz w:val="24"/>
          <w:szCs w:val="24"/>
        </w:rPr>
        <w:t>poor</w:t>
      </w:r>
      <w:r w:rsidR="000F5502">
        <w:rPr>
          <w:rFonts w:ascii="Times New Roman" w:hAnsi="Times New Roman"/>
          <w:sz w:val="24"/>
          <w:szCs w:val="24"/>
        </w:rPr>
        <w:t xml:space="preserve">, because </w:t>
      </w:r>
      <w:r w:rsidR="004940B1">
        <w:rPr>
          <w:rFonts w:ascii="Times New Roman" w:hAnsi="Times New Roman"/>
          <w:sz w:val="24"/>
          <w:szCs w:val="24"/>
        </w:rPr>
        <w:t xml:space="preserve">of </w:t>
      </w:r>
      <w:r w:rsidR="000F5502">
        <w:rPr>
          <w:rFonts w:ascii="Times New Roman" w:hAnsi="Times New Roman"/>
          <w:sz w:val="24"/>
          <w:szCs w:val="24"/>
        </w:rPr>
        <w:t>copy</w:t>
      </w:r>
      <w:r w:rsidR="004940B1">
        <w:rPr>
          <w:rFonts w:ascii="Times New Roman" w:hAnsi="Times New Roman"/>
          <w:sz w:val="24"/>
          <w:szCs w:val="24"/>
        </w:rPr>
        <w:t>ing and pasting</w:t>
      </w:r>
      <w:r w:rsidR="000F5502">
        <w:rPr>
          <w:rFonts w:ascii="Times New Roman" w:hAnsi="Times New Roman"/>
          <w:sz w:val="24"/>
          <w:szCs w:val="24"/>
        </w:rPr>
        <w:t>.</w:t>
      </w:r>
    </w:p>
    <w:p w:rsidR="00D95021" w:rsidRPr="00141466" w:rsidRDefault="006B01F0" w:rsidP="00D95021">
      <w:pPr>
        <w:spacing w:line="360" w:lineRule="auto"/>
        <w:jc w:val="both"/>
        <w:rPr>
          <w:rFonts w:ascii="Times New Roman" w:hAnsi="Times New Roman"/>
          <w:sz w:val="24"/>
          <w:szCs w:val="24"/>
        </w:rPr>
      </w:pPr>
      <w:r>
        <w:rPr>
          <w:rFonts w:ascii="Times New Roman" w:hAnsi="Times New Roman"/>
          <w:sz w:val="24"/>
          <w:szCs w:val="24"/>
        </w:rPr>
        <w:t>Consideration of a</w:t>
      </w:r>
      <w:r w:rsidR="00D23BAB" w:rsidRPr="00D95021">
        <w:rPr>
          <w:rFonts w:ascii="Times New Roman" w:hAnsi="Times New Roman"/>
          <w:sz w:val="24"/>
          <w:szCs w:val="24"/>
        </w:rPr>
        <w:t xml:space="preserve">lternatives </w:t>
      </w:r>
      <w:r>
        <w:rPr>
          <w:rFonts w:ascii="Times New Roman" w:hAnsi="Times New Roman"/>
          <w:sz w:val="24"/>
          <w:szCs w:val="24"/>
        </w:rPr>
        <w:t xml:space="preserve">is mandatory during scoping (GRN, 2012). </w:t>
      </w:r>
      <w:r w:rsidR="00D23BAB" w:rsidRPr="00D95021">
        <w:rPr>
          <w:rFonts w:ascii="Times New Roman" w:hAnsi="Times New Roman"/>
          <w:sz w:val="24"/>
          <w:szCs w:val="24"/>
        </w:rPr>
        <w:t xml:space="preserve">Interviewed experts noted that the </w:t>
      </w:r>
      <w:r w:rsidR="00D23BAB" w:rsidRPr="00141466">
        <w:rPr>
          <w:rFonts w:ascii="Times New Roman" w:hAnsi="Times New Roman"/>
          <w:sz w:val="24"/>
          <w:szCs w:val="24"/>
        </w:rPr>
        <w:t xml:space="preserve">implementation of site alternatives is a problem because </w:t>
      </w:r>
      <w:r w:rsidR="00A40FFC">
        <w:rPr>
          <w:rFonts w:ascii="Times New Roman" w:hAnsi="Times New Roman"/>
          <w:sz w:val="24"/>
          <w:szCs w:val="24"/>
        </w:rPr>
        <w:t xml:space="preserve">the </w:t>
      </w:r>
      <w:r w:rsidR="00D23BAB" w:rsidRPr="00141466">
        <w:rPr>
          <w:rFonts w:ascii="Times New Roman" w:hAnsi="Times New Roman"/>
          <w:sz w:val="24"/>
          <w:szCs w:val="24"/>
        </w:rPr>
        <w:t xml:space="preserve">land acquisition is obtained through municipalities and traditional authorities before project inception, therefore making it difficult to consider a change of site. </w:t>
      </w:r>
    </w:p>
    <w:p w:rsidR="00462D82" w:rsidRDefault="00462D82" w:rsidP="00504A20">
      <w:pPr>
        <w:spacing w:line="360" w:lineRule="auto"/>
        <w:jc w:val="both"/>
        <w:rPr>
          <w:rFonts w:ascii="Times New Roman" w:hAnsi="Times New Roman"/>
          <w:sz w:val="24"/>
          <w:szCs w:val="24"/>
        </w:rPr>
      </w:pPr>
    </w:p>
    <w:p w:rsidR="00E560E9" w:rsidRPr="00447862" w:rsidRDefault="006B01F0" w:rsidP="007B58C2">
      <w:pPr>
        <w:pStyle w:val="ListParagraph"/>
        <w:numPr>
          <w:ilvl w:val="2"/>
          <w:numId w:val="17"/>
        </w:num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R</w:t>
      </w:r>
      <w:r w:rsidR="006A60DB">
        <w:rPr>
          <w:rFonts w:ascii="Times New Roman" w:hAnsi="Times New Roman"/>
          <w:b/>
          <w:sz w:val="24"/>
          <w:szCs w:val="24"/>
        </w:rPr>
        <w:t xml:space="preserve">eview </w:t>
      </w:r>
      <w:r w:rsidR="004940B1">
        <w:rPr>
          <w:rFonts w:ascii="Times New Roman" w:hAnsi="Times New Roman"/>
          <w:b/>
          <w:sz w:val="24"/>
          <w:szCs w:val="24"/>
        </w:rPr>
        <w:t>and</w:t>
      </w:r>
      <w:r w:rsidR="00BB159E">
        <w:rPr>
          <w:rFonts w:ascii="Times New Roman" w:hAnsi="Times New Roman"/>
          <w:b/>
          <w:sz w:val="24"/>
          <w:szCs w:val="24"/>
        </w:rPr>
        <w:t xml:space="preserve"> decision </w:t>
      </w:r>
      <w:r w:rsidR="004940B1">
        <w:rPr>
          <w:rFonts w:ascii="Times New Roman" w:hAnsi="Times New Roman"/>
          <w:b/>
          <w:sz w:val="24"/>
          <w:szCs w:val="24"/>
        </w:rPr>
        <w:t>making</w:t>
      </w:r>
    </w:p>
    <w:p w:rsidR="00F52B40" w:rsidRDefault="006B01F0" w:rsidP="005F4C21">
      <w:pPr>
        <w:pStyle w:val="NormalWeb"/>
        <w:shd w:val="clear" w:color="auto" w:fill="FFFFFF"/>
        <w:spacing w:after="150" w:line="360" w:lineRule="auto"/>
        <w:jc w:val="both"/>
      </w:pPr>
      <w:r>
        <w:t xml:space="preserve">In Namibia, </w:t>
      </w:r>
      <w:r w:rsidR="00E560E9">
        <w:t xml:space="preserve">EIA reports are publicly reviewed </w:t>
      </w:r>
      <w:r>
        <w:t xml:space="preserve">before the final report is submitted for </w:t>
      </w:r>
      <w:r w:rsidR="00CC12A9">
        <w:t xml:space="preserve">a </w:t>
      </w:r>
      <w:r w:rsidR="00282627">
        <w:t>decision</w:t>
      </w:r>
      <w:r>
        <w:t xml:space="preserve">. </w:t>
      </w:r>
      <w:r w:rsidR="00B700F4">
        <w:t xml:space="preserve">The regulation is not clear on </w:t>
      </w:r>
      <w:r w:rsidR="00CC12A9">
        <w:t xml:space="preserve">the </w:t>
      </w:r>
      <w:r>
        <w:t>review</w:t>
      </w:r>
      <w:r w:rsidR="00282627">
        <w:t xml:space="preserve"> approach </w:t>
      </w:r>
      <w:r>
        <w:t xml:space="preserve">and instrument </w:t>
      </w:r>
      <w:r w:rsidR="00282627">
        <w:t xml:space="preserve">used </w:t>
      </w:r>
      <w:r>
        <w:t>by the</w:t>
      </w:r>
      <w:r w:rsidR="00282627">
        <w:t xml:space="preserve"> DEA</w:t>
      </w:r>
      <w:r w:rsidR="00CC12A9">
        <w:t>; nor</w:t>
      </w:r>
      <w:r>
        <w:t xml:space="preserve"> on the</w:t>
      </w:r>
      <w:r w:rsidR="00B700F4">
        <w:t xml:space="preserve"> </w:t>
      </w:r>
      <w:r w:rsidR="00B700F4">
        <w:lastRenderedPageBreak/>
        <w:t xml:space="preserve">time needed for </w:t>
      </w:r>
      <w:r w:rsidR="000A4510">
        <w:t>review</w:t>
      </w:r>
      <w:r w:rsidR="00B12072">
        <w:t>. Section</w:t>
      </w:r>
      <w:r>
        <w:t xml:space="preserve"> 36 of the EMA </w:t>
      </w:r>
      <w:r w:rsidR="00BB159E">
        <w:t xml:space="preserve">vaguely </w:t>
      </w:r>
      <w:r>
        <w:t>indicat</w:t>
      </w:r>
      <w:r w:rsidR="00B12072">
        <w:t>e</w:t>
      </w:r>
      <w:r w:rsidR="008334C3">
        <w:t>s</w:t>
      </w:r>
      <w:r>
        <w:t xml:space="preserve"> </w:t>
      </w:r>
      <w:r w:rsidR="007B36A1" w:rsidRPr="007B36A1">
        <w:t>th</w:t>
      </w:r>
      <w:r w:rsidR="00BB159E">
        <w:t xml:space="preserve">at the environmental commissioner </w:t>
      </w:r>
      <w:r w:rsidR="007B36A1" w:rsidRPr="007B36A1">
        <w:t>must revi</w:t>
      </w:r>
      <w:r w:rsidR="007B36A1">
        <w:t xml:space="preserve">ew the application </w:t>
      </w:r>
      <w:r w:rsidR="00037B2B">
        <w:t>“</w:t>
      </w:r>
      <w:r w:rsidR="00B700F4" w:rsidRPr="006E054E">
        <w:rPr>
          <w:i/>
        </w:rPr>
        <w:t>within a reasonable time after the clos</w:t>
      </w:r>
      <w:r w:rsidR="00037B2B" w:rsidRPr="006E054E">
        <w:rPr>
          <w:i/>
        </w:rPr>
        <w:t>ing date</w:t>
      </w:r>
      <w:r w:rsidR="00037B2B">
        <w:t>”</w:t>
      </w:r>
      <w:r>
        <w:t xml:space="preserve"> (GRN, 2007)</w:t>
      </w:r>
      <w:r w:rsidR="006655E7">
        <w:t xml:space="preserve">. </w:t>
      </w:r>
      <w:r w:rsidR="00B12072">
        <w:t>S</w:t>
      </w:r>
      <w:r>
        <w:t>ection 45 of the EMA</w:t>
      </w:r>
      <w:r w:rsidR="00B12072">
        <w:t xml:space="preserve"> requires </w:t>
      </w:r>
      <w:r w:rsidRPr="002D2AD0">
        <w:t xml:space="preserve">the </w:t>
      </w:r>
      <w:r w:rsidR="00BB159E" w:rsidRPr="005005DA">
        <w:t>environmental commissioner</w:t>
      </w:r>
      <w:r w:rsidR="00BB159E">
        <w:t xml:space="preserve"> </w:t>
      </w:r>
      <w:r w:rsidR="00B12072">
        <w:t xml:space="preserve">to </w:t>
      </w:r>
      <w:r w:rsidR="00054A97">
        <w:t>consult</w:t>
      </w:r>
      <w:r w:rsidR="00054A97" w:rsidRPr="00054A97">
        <w:t xml:space="preserve"> </w:t>
      </w:r>
      <w:r w:rsidR="00375EEC">
        <w:t xml:space="preserve">or appoint </w:t>
      </w:r>
      <w:r w:rsidR="00054A97" w:rsidRPr="00054A97">
        <w:t xml:space="preserve">any person, institution </w:t>
      </w:r>
      <w:r w:rsidR="00B12072">
        <w:t xml:space="preserve">and to </w:t>
      </w:r>
      <w:r w:rsidR="00375EEC">
        <w:t xml:space="preserve">hold a public hearing </w:t>
      </w:r>
      <w:r w:rsidR="00054A97" w:rsidRPr="00054A97">
        <w:t xml:space="preserve">on </w:t>
      </w:r>
      <w:r w:rsidR="00375EEC">
        <w:t xml:space="preserve">the </w:t>
      </w:r>
      <w:r>
        <w:t xml:space="preserve">EIA </w:t>
      </w:r>
      <w:r w:rsidR="00375EEC">
        <w:t>application</w:t>
      </w:r>
      <w:r>
        <w:t xml:space="preserve"> under review (GRN, 2007)</w:t>
      </w:r>
      <w:r w:rsidR="00375EEC">
        <w:t>.</w:t>
      </w:r>
      <w:r w:rsidR="006C5421">
        <w:t xml:space="preserve"> </w:t>
      </w:r>
      <w:r w:rsidR="00B12072">
        <w:t>I</w:t>
      </w:r>
      <w:r>
        <w:t>n cases when</w:t>
      </w:r>
      <w:r w:rsidR="00B700F4">
        <w:t xml:space="preserve"> </w:t>
      </w:r>
      <w:r w:rsidR="00B700F4" w:rsidRPr="00FE4170">
        <w:t xml:space="preserve">technical knowledge </w:t>
      </w:r>
      <w:r>
        <w:t xml:space="preserve">is lacking </w:t>
      </w:r>
      <w:r w:rsidR="00B700F4">
        <w:t>or</w:t>
      </w:r>
      <w:r w:rsidR="00B700F4" w:rsidRPr="00FE4170">
        <w:t xml:space="preserve"> a high l</w:t>
      </w:r>
      <w:r w:rsidR="006C5421">
        <w:t>evel of objectivity is required</w:t>
      </w:r>
      <w:r w:rsidR="00B12072">
        <w:t>, the commissioner can appoint an external reviewer</w:t>
      </w:r>
      <w:r>
        <w:t xml:space="preserve"> (GRN,</w:t>
      </w:r>
      <w:r w:rsidR="00B466D5">
        <w:t xml:space="preserve"> </w:t>
      </w:r>
      <w:r>
        <w:t>2007)</w:t>
      </w:r>
      <w:r w:rsidR="006C5421">
        <w:t xml:space="preserve">. </w:t>
      </w:r>
    </w:p>
    <w:p w:rsidR="006655E7" w:rsidRDefault="006B01F0" w:rsidP="00504A20">
      <w:pPr>
        <w:spacing w:line="360" w:lineRule="auto"/>
        <w:jc w:val="both"/>
        <w:rPr>
          <w:rFonts w:ascii="Times New Roman" w:hAnsi="Times New Roman"/>
          <w:sz w:val="24"/>
          <w:szCs w:val="24"/>
        </w:rPr>
      </w:pPr>
      <w:r>
        <w:rPr>
          <w:rFonts w:ascii="Times New Roman" w:hAnsi="Times New Roman"/>
          <w:sz w:val="24"/>
          <w:szCs w:val="24"/>
        </w:rPr>
        <w:t xml:space="preserve">There </w:t>
      </w:r>
      <w:r w:rsidR="004940B1">
        <w:rPr>
          <w:rFonts w:ascii="Times New Roman" w:hAnsi="Times New Roman"/>
          <w:sz w:val="24"/>
          <w:szCs w:val="24"/>
        </w:rPr>
        <w:t>are</w:t>
      </w:r>
      <w:r w:rsidR="00B12072">
        <w:rPr>
          <w:rFonts w:ascii="Times New Roman" w:hAnsi="Times New Roman"/>
          <w:sz w:val="24"/>
          <w:szCs w:val="24"/>
        </w:rPr>
        <w:t xml:space="preserve"> </w:t>
      </w:r>
      <w:r w:rsidR="006915C8">
        <w:rPr>
          <w:rFonts w:ascii="Times New Roman" w:hAnsi="Times New Roman"/>
          <w:sz w:val="24"/>
          <w:szCs w:val="24"/>
        </w:rPr>
        <w:t>no review committee</w:t>
      </w:r>
      <w:r w:rsidR="00397A7C">
        <w:rPr>
          <w:rFonts w:ascii="Times New Roman" w:hAnsi="Times New Roman"/>
          <w:sz w:val="24"/>
          <w:szCs w:val="24"/>
        </w:rPr>
        <w:t>s</w:t>
      </w:r>
      <w:r w:rsidR="006915C8">
        <w:rPr>
          <w:rFonts w:ascii="Times New Roman" w:hAnsi="Times New Roman"/>
          <w:sz w:val="24"/>
          <w:szCs w:val="24"/>
        </w:rPr>
        <w:t xml:space="preserve"> in place</w:t>
      </w:r>
      <w:r w:rsidR="008334C3">
        <w:rPr>
          <w:rFonts w:ascii="Times New Roman" w:hAnsi="Times New Roman"/>
          <w:sz w:val="24"/>
          <w:szCs w:val="24"/>
        </w:rPr>
        <w:t>.</w:t>
      </w:r>
      <w:r w:rsidR="005F4C21">
        <w:rPr>
          <w:rFonts w:ascii="Times New Roman" w:hAnsi="Times New Roman"/>
          <w:sz w:val="24"/>
          <w:szCs w:val="24"/>
        </w:rPr>
        <w:t xml:space="preserve"> </w:t>
      </w:r>
      <w:r w:rsidR="008334C3">
        <w:rPr>
          <w:rFonts w:ascii="Times New Roman" w:hAnsi="Times New Roman"/>
          <w:sz w:val="24"/>
          <w:szCs w:val="24"/>
        </w:rPr>
        <w:t>H</w:t>
      </w:r>
      <w:r w:rsidR="005F4C21">
        <w:rPr>
          <w:rFonts w:ascii="Times New Roman" w:hAnsi="Times New Roman"/>
          <w:sz w:val="24"/>
          <w:szCs w:val="24"/>
        </w:rPr>
        <w:t>owever, t</w:t>
      </w:r>
      <w:r w:rsidR="00705892">
        <w:rPr>
          <w:rFonts w:ascii="Times New Roman" w:hAnsi="Times New Roman"/>
          <w:sz w:val="24"/>
          <w:szCs w:val="24"/>
        </w:rPr>
        <w:t>he public can comment on the draft EIA repo</w:t>
      </w:r>
      <w:r w:rsidR="005F4C21">
        <w:rPr>
          <w:rFonts w:ascii="Times New Roman" w:hAnsi="Times New Roman"/>
          <w:sz w:val="24"/>
          <w:szCs w:val="24"/>
        </w:rPr>
        <w:t>rt and the competent authorities</w:t>
      </w:r>
      <w:r w:rsidR="00705892">
        <w:rPr>
          <w:rFonts w:ascii="Times New Roman" w:hAnsi="Times New Roman"/>
          <w:sz w:val="24"/>
          <w:szCs w:val="24"/>
        </w:rPr>
        <w:t xml:space="preserve"> can provide recommendations. E</w:t>
      </w:r>
      <w:r w:rsidR="00F52B40">
        <w:rPr>
          <w:rFonts w:ascii="Times New Roman" w:hAnsi="Times New Roman"/>
          <w:sz w:val="24"/>
          <w:szCs w:val="24"/>
        </w:rPr>
        <w:t xml:space="preserve">xperts from </w:t>
      </w:r>
      <w:r w:rsidR="00705892">
        <w:rPr>
          <w:rFonts w:ascii="Times New Roman" w:hAnsi="Times New Roman"/>
          <w:sz w:val="24"/>
          <w:szCs w:val="24"/>
        </w:rPr>
        <w:t xml:space="preserve">competent authorities </w:t>
      </w:r>
      <w:r w:rsidR="00F52B40">
        <w:rPr>
          <w:rFonts w:ascii="Times New Roman" w:hAnsi="Times New Roman"/>
          <w:sz w:val="24"/>
          <w:szCs w:val="24"/>
        </w:rPr>
        <w:t>indicated that no formal a</w:t>
      </w:r>
      <w:r w:rsidR="00EA51E5">
        <w:rPr>
          <w:rFonts w:ascii="Times New Roman" w:hAnsi="Times New Roman"/>
          <w:sz w:val="24"/>
          <w:szCs w:val="24"/>
        </w:rPr>
        <w:t xml:space="preserve">ppointment </w:t>
      </w:r>
      <w:r w:rsidR="00705892">
        <w:rPr>
          <w:rFonts w:ascii="Times New Roman" w:hAnsi="Times New Roman"/>
          <w:sz w:val="24"/>
          <w:szCs w:val="24"/>
        </w:rPr>
        <w:t>or training was provided on EIA review</w:t>
      </w:r>
      <w:r w:rsidR="008334C3">
        <w:rPr>
          <w:rFonts w:ascii="Times New Roman" w:hAnsi="Times New Roman"/>
          <w:sz w:val="24"/>
          <w:szCs w:val="24"/>
        </w:rPr>
        <w:t>;</w:t>
      </w:r>
      <w:r w:rsidR="00705892">
        <w:rPr>
          <w:rFonts w:ascii="Times New Roman" w:hAnsi="Times New Roman"/>
          <w:sz w:val="24"/>
          <w:szCs w:val="24"/>
        </w:rPr>
        <w:t xml:space="preserve"> as a result</w:t>
      </w:r>
      <w:r w:rsidR="00A40FFC">
        <w:rPr>
          <w:rFonts w:ascii="Times New Roman" w:hAnsi="Times New Roman"/>
          <w:sz w:val="24"/>
          <w:szCs w:val="24"/>
        </w:rPr>
        <w:t>,</w:t>
      </w:r>
      <w:r w:rsidR="00705892">
        <w:rPr>
          <w:rFonts w:ascii="Times New Roman" w:hAnsi="Times New Roman"/>
          <w:sz w:val="24"/>
          <w:szCs w:val="24"/>
        </w:rPr>
        <w:t xml:space="preserve"> </w:t>
      </w:r>
      <w:r w:rsidR="00A40FFC">
        <w:rPr>
          <w:rFonts w:ascii="Times New Roman" w:hAnsi="Times New Roman"/>
          <w:sz w:val="24"/>
          <w:szCs w:val="24"/>
        </w:rPr>
        <w:t xml:space="preserve">the </w:t>
      </w:r>
      <w:r w:rsidR="00F52B40">
        <w:rPr>
          <w:rFonts w:ascii="Times New Roman" w:hAnsi="Times New Roman"/>
          <w:sz w:val="24"/>
          <w:szCs w:val="24"/>
        </w:rPr>
        <w:t xml:space="preserve">process is not prioritized and </w:t>
      </w:r>
      <w:r>
        <w:rPr>
          <w:rFonts w:ascii="Times New Roman" w:hAnsi="Times New Roman"/>
          <w:sz w:val="24"/>
          <w:szCs w:val="24"/>
        </w:rPr>
        <w:t>i</w:t>
      </w:r>
      <w:r w:rsidR="00F52B40">
        <w:rPr>
          <w:rFonts w:ascii="Times New Roman" w:hAnsi="Times New Roman"/>
          <w:sz w:val="24"/>
          <w:szCs w:val="24"/>
        </w:rPr>
        <w:t xml:space="preserve">s undertaken as an </w:t>
      </w:r>
      <w:r w:rsidR="00F52B40" w:rsidRPr="008D0519">
        <w:rPr>
          <w:rFonts w:ascii="Times New Roman" w:hAnsi="Times New Roman"/>
          <w:i/>
          <w:sz w:val="24"/>
          <w:szCs w:val="24"/>
        </w:rPr>
        <w:t>ad</w:t>
      </w:r>
      <w:r w:rsidR="0072376D" w:rsidRPr="008D0519">
        <w:rPr>
          <w:rFonts w:ascii="Times New Roman" w:hAnsi="Times New Roman"/>
          <w:i/>
          <w:sz w:val="24"/>
          <w:szCs w:val="24"/>
        </w:rPr>
        <w:t xml:space="preserve"> </w:t>
      </w:r>
      <w:r w:rsidR="00F52B40" w:rsidRPr="008D0519">
        <w:rPr>
          <w:rFonts w:ascii="Times New Roman" w:hAnsi="Times New Roman"/>
          <w:i/>
          <w:sz w:val="24"/>
          <w:szCs w:val="24"/>
        </w:rPr>
        <w:t>hoc</w:t>
      </w:r>
      <w:r w:rsidR="00F52B40">
        <w:rPr>
          <w:rFonts w:ascii="Times New Roman" w:hAnsi="Times New Roman"/>
          <w:sz w:val="24"/>
          <w:szCs w:val="24"/>
        </w:rPr>
        <w:t xml:space="preserve"> activity. </w:t>
      </w:r>
      <w:r w:rsidR="00705892">
        <w:rPr>
          <w:rFonts w:ascii="Times New Roman" w:hAnsi="Times New Roman"/>
          <w:sz w:val="24"/>
          <w:szCs w:val="24"/>
        </w:rPr>
        <w:t xml:space="preserve">It was </w:t>
      </w:r>
      <w:r>
        <w:rPr>
          <w:rFonts w:ascii="Times New Roman" w:hAnsi="Times New Roman"/>
          <w:sz w:val="24"/>
          <w:szCs w:val="24"/>
        </w:rPr>
        <w:t xml:space="preserve">suggested </w:t>
      </w:r>
      <w:r w:rsidR="00705892">
        <w:rPr>
          <w:rFonts w:ascii="Times New Roman" w:hAnsi="Times New Roman"/>
          <w:sz w:val="24"/>
          <w:szCs w:val="24"/>
        </w:rPr>
        <w:t xml:space="preserve">that </w:t>
      </w:r>
      <w:r>
        <w:rPr>
          <w:rFonts w:ascii="Times New Roman" w:hAnsi="Times New Roman"/>
          <w:sz w:val="24"/>
          <w:szCs w:val="24"/>
        </w:rPr>
        <w:t xml:space="preserve">an independent review committee made up of </w:t>
      </w:r>
      <w:r w:rsidR="00705892">
        <w:rPr>
          <w:rFonts w:ascii="Times New Roman" w:hAnsi="Times New Roman"/>
          <w:sz w:val="24"/>
          <w:szCs w:val="24"/>
        </w:rPr>
        <w:t xml:space="preserve">different stakeholders be established to assist the </w:t>
      </w:r>
      <w:r w:rsidR="006915C8">
        <w:rPr>
          <w:rFonts w:ascii="Times New Roman" w:hAnsi="Times New Roman"/>
          <w:sz w:val="24"/>
          <w:szCs w:val="24"/>
        </w:rPr>
        <w:t xml:space="preserve">environmental </w:t>
      </w:r>
      <w:r w:rsidR="00705892">
        <w:rPr>
          <w:rFonts w:ascii="Times New Roman" w:hAnsi="Times New Roman"/>
          <w:sz w:val="24"/>
          <w:szCs w:val="24"/>
        </w:rPr>
        <w:t>commission</w:t>
      </w:r>
      <w:r w:rsidR="006915C8">
        <w:rPr>
          <w:rFonts w:ascii="Times New Roman" w:hAnsi="Times New Roman"/>
          <w:sz w:val="24"/>
          <w:szCs w:val="24"/>
        </w:rPr>
        <w:t>er</w:t>
      </w:r>
      <w:r w:rsidR="00705892">
        <w:rPr>
          <w:rFonts w:ascii="Times New Roman" w:hAnsi="Times New Roman"/>
          <w:sz w:val="24"/>
          <w:szCs w:val="24"/>
        </w:rPr>
        <w:t xml:space="preserve"> with decision making. </w:t>
      </w:r>
    </w:p>
    <w:p w:rsidR="00BB159E" w:rsidRDefault="006B01F0" w:rsidP="00BB159E">
      <w:pPr>
        <w:spacing w:line="360" w:lineRule="auto"/>
        <w:jc w:val="both"/>
        <w:rPr>
          <w:rFonts w:ascii="Times New Roman" w:hAnsi="Times New Roman"/>
          <w:sz w:val="24"/>
          <w:szCs w:val="24"/>
        </w:rPr>
      </w:pPr>
      <w:r w:rsidRPr="00606E6B">
        <w:rPr>
          <w:rFonts w:ascii="Times New Roman" w:hAnsi="Times New Roman"/>
          <w:sz w:val="24"/>
          <w:szCs w:val="24"/>
        </w:rPr>
        <w:t>Acc</w:t>
      </w:r>
      <w:r>
        <w:rPr>
          <w:rFonts w:ascii="Times New Roman" w:hAnsi="Times New Roman"/>
          <w:sz w:val="24"/>
          <w:szCs w:val="24"/>
        </w:rPr>
        <w:t xml:space="preserve">ording to experts from the DEA, </w:t>
      </w:r>
      <w:r w:rsidR="006915C8">
        <w:rPr>
          <w:rFonts w:ascii="Times New Roman" w:hAnsi="Times New Roman"/>
          <w:sz w:val="24"/>
          <w:szCs w:val="24"/>
        </w:rPr>
        <w:t>the</w:t>
      </w:r>
      <w:r w:rsidR="00A40FFC">
        <w:rPr>
          <w:rFonts w:ascii="Times New Roman" w:hAnsi="Times New Roman"/>
          <w:sz w:val="24"/>
          <w:szCs w:val="24"/>
        </w:rPr>
        <w:t xml:space="preserve"> </w:t>
      </w:r>
      <w:r>
        <w:rPr>
          <w:rFonts w:ascii="Times New Roman" w:hAnsi="Times New Roman"/>
          <w:sz w:val="24"/>
          <w:szCs w:val="24"/>
        </w:rPr>
        <w:t>e</w:t>
      </w:r>
      <w:r w:rsidRPr="00606E6B">
        <w:rPr>
          <w:rFonts w:ascii="Times New Roman" w:hAnsi="Times New Roman"/>
          <w:sz w:val="24"/>
          <w:szCs w:val="24"/>
        </w:rPr>
        <w:t>nvironm</w:t>
      </w:r>
      <w:r>
        <w:rPr>
          <w:rFonts w:ascii="Times New Roman" w:hAnsi="Times New Roman"/>
          <w:sz w:val="24"/>
          <w:szCs w:val="24"/>
        </w:rPr>
        <w:t xml:space="preserve">ental clearance </w:t>
      </w:r>
      <w:r w:rsidR="006915C8">
        <w:rPr>
          <w:rFonts w:ascii="Times New Roman" w:hAnsi="Times New Roman"/>
          <w:sz w:val="24"/>
          <w:szCs w:val="24"/>
        </w:rPr>
        <w:t xml:space="preserve">certificate </w:t>
      </w:r>
      <w:r w:rsidRPr="00606E6B">
        <w:rPr>
          <w:rFonts w:ascii="Times New Roman" w:hAnsi="Times New Roman"/>
          <w:sz w:val="24"/>
          <w:szCs w:val="24"/>
        </w:rPr>
        <w:t>often include</w:t>
      </w:r>
      <w:r w:rsidR="006915C8">
        <w:rPr>
          <w:rFonts w:ascii="Times New Roman" w:hAnsi="Times New Roman"/>
          <w:sz w:val="24"/>
          <w:szCs w:val="24"/>
        </w:rPr>
        <w:t>s</w:t>
      </w:r>
      <w:r w:rsidRPr="00606E6B">
        <w:rPr>
          <w:rFonts w:ascii="Times New Roman" w:hAnsi="Times New Roman"/>
          <w:sz w:val="24"/>
          <w:szCs w:val="24"/>
        </w:rPr>
        <w:t xml:space="preserve"> conditions the </w:t>
      </w:r>
      <w:r>
        <w:rPr>
          <w:rFonts w:ascii="Times New Roman" w:hAnsi="Times New Roman"/>
          <w:sz w:val="24"/>
          <w:szCs w:val="24"/>
        </w:rPr>
        <w:t>developer</w:t>
      </w:r>
      <w:r w:rsidRPr="00606E6B">
        <w:rPr>
          <w:rFonts w:ascii="Times New Roman" w:hAnsi="Times New Roman"/>
          <w:sz w:val="24"/>
          <w:szCs w:val="24"/>
        </w:rPr>
        <w:t xml:space="preserve"> should </w:t>
      </w:r>
      <w:r w:rsidR="006915C8">
        <w:rPr>
          <w:rFonts w:ascii="Times New Roman" w:hAnsi="Times New Roman"/>
          <w:sz w:val="24"/>
          <w:szCs w:val="24"/>
        </w:rPr>
        <w:t>meet</w:t>
      </w:r>
      <w:r w:rsidRPr="00606E6B">
        <w:rPr>
          <w:rFonts w:ascii="Times New Roman" w:hAnsi="Times New Roman"/>
          <w:sz w:val="24"/>
          <w:szCs w:val="24"/>
        </w:rPr>
        <w:t xml:space="preserve"> during and after project implementation. </w:t>
      </w:r>
      <w:r w:rsidR="00754E23">
        <w:rPr>
          <w:rFonts w:ascii="Times New Roman" w:hAnsi="Times New Roman"/>
          <w:sz w:val="24"/>
          <w:szCs w:val="24"/>
        </w:rPr>
        <w:t>Interviewees</w:t>
      </w:r>
      <w:r>
        <w:rPr>
          <w:rFonts w:ascii="Times New Roman" w:hAnsi="Times New Roman"/>
          <w:sz w:val="24"/>
          <w:szCs w:val="24"/>
        </w:rPr>
        <w:t xml:space="preserve"> regarded</w:t>
      </w:r>
      <w:r w:rsidR="00754E23">
        <w:rPr>
          <w:rFonts w:ascii="Times New Roman" w:hAnsi="Times New Roman"/>
          <w:sz w:val="24"/>
          <w:szCs w:val="24"/>
        </w:rPr>
        <w:t xml:space="preserve"> such conditions</w:t>
      </w:r>
      <w:r>
        <w:rPr>
          <w:rFonts w:ascii="Times New Roman" w:hAnsi="Times New Roman"/>
          <w:sz w:val="24"/>
          <w:szCs w:val="24"/>
        </w:rPr>
        <w:t xml:space="preserve"> as a strength of the EIA system. </w:t>
      </w:r>
      <w:r w:rsidR="00754E23">
        <w:rPr>
          <w:rFonts w:ascii="Times New Roman" w:hAnsi="Times New Roman"/>
          <w:sz w:val="24"/>
          <w:szCs w:val="24"/>
        </w:rPr>
        <w:t>N</w:t>
      </w:r>
      <w:r>
        <w:rPr>
          <w:rFonts w:ascii="Times New Roman" w:hAnsi="Times New Roman"/>
          <w:sz w:val="24"/>
          <w:szCs w:val="24"/>
        </w:rPr>
        <w:t>on-compliance</w:t>
      </w:r>
      <w:r w:rsidRPr="00606E6B">
        <w:rPr>
          <w:rFonts w:ascii="Times New Roman" w:hAnsi="Times New Roman"/>
          <w:sz w:val="24"/>
          <w:szCs w:val="24"/>
        </w:rPr>
        <w:t xml:space="preserve"> to the conditions</w:t>
      </w:r>
      <w:r>
        <w:rPr>
          <w:rFonts w:ascii="Times New Roman" w:hAnsi="Times New Roman"/>
          <w:sz w:val="24"/>
          <w:szCs w:val="24"/>
        </w:rPr>
        <w:t xml:space="preserve"> of the environmental certificate</w:t>
      </w:r>
      <w:r w:rsidRPr="00606E6B">
        <w:rPr>
          <w:rFonts w:ascii="Times New Roman" w:hAnsi="Times New Roman"/>
          <w:sz w:val="24"/>
          <w:szCs w:val="24"/>
        </w:rPr>
        <w:t xml:space="preserve"> can </w:t>
      </w:r>
      <w:r w:rsidR="006915C8">
        <w:rPr>
          <w:rFonts w:ascii="Times New Roman" w:hAnsi="Times New Roman"/>
          <w:sz w:val="24"/>
          <w:szCs w:val="24"/>
        </w:rPr>
        <w:t>lead to fines of</w:t>
      </w:r>
      <w:r w:rsidRPr="00606E6B">
        <w:rPr>
          <w:rFonts w:ascii="Times New Roman" w:hAnsi="Times New Roman"/>
          <w:sz w:val="24"/>
          <w:szCs w:val="24"/>
        </w:rPr>
        <w:t xml:space="preserve"> an amount not exceeding N$500,000</w:t>
      </w:r>
      <w:r>
        <w:rPr>
          <w:rFonts w:ascii="Times New Roman" w:hAnsi="Times New Roman"/>
          <w:sz w:val="24"/>
          <w:szCs w:val="24"/>
        </w:rPr>
        <w:t xml:space="preserve"> (USD 33578.61 </w:t>
      </w:r>
      <w:r w:rsidR="00F13286">
        <w:rPr>
          <w:rFonts w:ascii="Times New Roman" w:hAnsi="Times New Roman"/>
          <w:sz w:val="24"/>
          <w:szCs w:val="24"/>
        </w:rPr>
        <w:t>on 15</w:t>
      </w:r>
      <w:r w:rsidR="00E43533">
        <w:rPr>
          <w:rFonts w:ascii="Times New Roman" w:hAnsi="Times New Roman"/>
          <w:sz w:val="24"/>
          <w:szCs w:val="24"/>
        </w:rPr>
        <w:t>/0</w:t>
      </w:r>
      <w:r w:rsidR="00F13286">
        <w:rPr>
          <w:rFonts w:ascii="Times New Roman" w:hAnsi="Times New Roman"/>
          <w:sz w:val="24"/>
          <w:szCs w:val="24"/>
        </w:rPr>
        <w:t>8</w:t>
      </w:r>
      <w:r w:rsidR="00E43533">
        <w:rPr>
          <w:rFonts w:ascii="Times New Roman" w:hAnsi="Times New Roman"/>
          <w:sz w:val="24"/>
          <w:szCs w:val="24"/>
        </w:rPr>
        <w:t>/2021</w:t>
      </w:r>
      <w:r>
        <w:rPr>
          <w:rFonts w:ascii="Times New Roman" w:hAnsi="Times New Roman"/>
          <w:sz w:val="24"/>
          <w:szCs w:val="24"/>
        </w:rPr>
        <w:t>)</w:t>
      </w:r>
      <w:r w:rsidR="006915C8">
        <w:rPr>
          <w:rFonts w:ascii="Times New Roman" w:hAnsi="Times New Roman"/>
          <w:sz w:val="24"/>
          <w:szCs w:val="24"/>
        </w:rPr>
        <w:t>,</w:t>
      </w:r>
      <w:r w:rsidRPr="00606E6B">
        <w:rPr>
          <w:rFonts w:ascii="Times New Roman" w:hAnsi="Times New Roman"/>
          <w:sz w:val="24"/>
          <w:szCs w:val="24"/>
        </w:rPr>
        <w:t xml:space="preserve"> imprisonment for a period not exceeding 25 years</w:t>
      </w:r>
      <w:r w:rsidR="006915C8">
        <w:rPr>
          <w:rFonts w:ascii="Times New Roman" w:hAnsi="Times New Roman"/>
          <w:sz w:val="24"/>
          <w:szCs w:val="24"/>
        </w:rPr>
        <w:t>,</w:t>
      </w:r>
      <w:r w:rsidRPr="00606E6B">
        <w:rPr>
          <w:rFonts w:ascii="Times New Roman" w:hAnsi="Times New Roman"/>
          <w:sz w:val="24"/>
          <w:szCs w:val="24"/>
        </w:rPr>
        <w:t xml:space="preserve"> or both (GRN, 2012). </w:t>
      </w:r>
    </w:p>
    <w:p w:rsidR="003E0AEF" w:rsidRPr="00181E99" w:rsidRDefault="006B01F0" w:rsidP="003E0AEF">
      <w:pPr>
        <w:spacing w:line="360" w:lineRule="auto"/>
        <w:jc w:val="both"/>
        <w:rPr>
          <w:rFonts w:ascii="Times New Roman" w:hAnsi="Times New Roman"/>
          <w:sz w:val="24"/>
          <w:szCs w:val="24"/>
        </w:rPr>
      </w:pPr>
      <w:r w:rsidRPr="00181E99">
        <w:rPr>
          <w:rFonts w:ascii="Times New Roman" w:hAnsi="Times New Roman"/>
          <w:sz w:val="24"/>
          <w:szCs w:val="24"/>
          <w:shd w:val="clear" w:color="auto" w:fill="FFFFFF"/>
        </w:rPr>
        <w:t>It is unclear as to what extent EIA findings contribute to decision making, but interviewees perceived that economic impacts such as job creation, investment opportunities, and service provision, are more highly considered in the approval of projects than environmental impacts.</w:t>
      </w:r>
    </w:p>
    <w:p w:rsidR="00BB159E" w:rsidRDefault="00BB159E" w:rsidP="00504A20">
      <w:pPr>
        <w:pStyle w:val="CommentText"/>
        <w:spacing w:before="240" w:line="360" w:lineRule="auto"/>
        <w:jc w:val="both"/>
        <w:rPr>
          <w:rFonts w:ascii="Times New Roman" w:hAnsi="Times New Roman"/>
          <w:sz w:val="24"/>
          <w:szCs w:val="24"/>
        </w:rPr>
      </w:pPr>
    </w:p>
    <w:p w:rsidR="00E560E9" w:rsidRPr="00805504" w:rsidRDefault="006B01F0" w:rsidP="007B58C2">
      <w:pPr>
        <w:pStyle w:val="ListParagraph"/>
        <w:numPr>
          <w:ilvl w:val="2"/>
          <w:numId w:val="17"/>
        </w:numPr>
        <w:autoSpaceDE w:val="0"/>
        <w:autoSpaceDN w:val="0"/>
        <w:adjustRightInd w:val="0"/>
        <w:spacing w:line="360" w:lineRule="auto"/>
        <w:rPr>
          <w:rFonts w:ascii="Times New Roman" w:hAnsi="Times New Roman"/>
          <w:b/>
          <w:sz w:val="24"/>
          <w:szCs w:val="24"/>
        </w:rPr>
      </w:pPr>
      <w:r w:rsidRPr="00805504">
        <w:rPr>
          <w:rFonts w:ascii="Times New Roman" w:hAnsi="Times New Roman"/>
          <w:b/>
          <w:sz w:val="24"/>
          <w:szCs w:val="24"/>
        </w:rPr>
        <w:t>Public</w:t>
      </w:r>
      <w:r w:rsidR="00BB09AF">
        <w:rPr>
          <w:rFonts w:ascii="Times New Roman" w:hAnsi="Times New Roman"/>
          <w:b/>
          <w:sz w:val="24"/>
          <w:szCs w:val="24"/>
        </w:rPr>
        <w:t xml:space="preserve"> participation </w:t>
      </w:r>
    </w:p>
    <w:p w:rsidR="00621371" w:rsidRDefault="006B01F0" w:rsidP="00504A20">
      <w:pPr>
        <w:pStyle w:val="CommentText"/>
        <w:spacing w:line="360" w:lineRule="auto"/>
        <w:jc w:val="both"/>
        <w:rPr>
          <w:rFonts w:ascii="Times New Roman" w:hAnsi="Times New Roman"/>
          <w:sz w:val="24"/>
          <w:szCs w:val="24"/>
        </w:rPr>
      </w:pPr>
      <w:r>
        <w:rPr>
          <w:rFonts w:ascii="Times New Roman" w:hAnsi="Times New Roman"/>
          <w:sz w:val="24"/>
          <w:szCs w:val="24"/>
        </w:rPr>
        <w:t>P</w:t>
      </w:r>
      <w:r w:rsidR="00217686">
        <w:rPr>
          <w:rFonts w:ascii="Times New Roman" w:hAnsi="Times New Roman"/>
          <w:sz w:val="24"/>
          <w:szCs w:val="24"/>
        </w:rPr>
        <w:t xml:space="preserve">ublic participation is mandatory and conducted </w:t>
      </w:r>
      <w:r w:rsidR="00F711EE">
        <w:rPr>
          <w:rFonts w:ascii="Times New Roman" w:hAnsi="Times New Roman"/>
          <w:sz w:val="24"/>
          <w:szCs w:val="24"/>
        </w:rPr>
        <w:t xml:space="preserve">at </w:t>
      </w:r>
      <w:r w:rsidR="00B73C02">
        <w:rPr>
          <w:rFonts w:ascii="Times New Roman" w:hAnsi="Times New Roman"/>
          <w:sz w:val="24"/>
          <w:szCs w:val="24"/>
        </w:rPr>
        <w:t xml:space="preserve">screening, </w:t>
      </w:r>
      <w:r w:rsidR="00F711EE">
        <w:rPr>
          <w:rFonts w:ascii="Times New Roman" w:hAnsi="Times New Roman"/>
          <w:sz w:val="24"/>
          <w:szCs w:val="24"/>
        </w:rPr>
        <w:t xml:space="preserve">scoping, </w:t>
      </w:r>
      <w:r w:rsidR="00B73C02">
        <w:rPr>
          <w:rFonts w:ascii="Times New Roman" w:hAnsi="Times New Roman"/>
          <w:sz w:val="24"/>
          <w:szCs w:val="24"/>
        </w:rPr>
        <w:t>and EIA</w:t>
      </w:r>
      <w:r w:rsidR="00F711EE">
        <w:rPr>
          <w:rFonts w:ascii="Times New Roman" w:hAnsi="Times New Roman"/>
          <w:sz w:val="24"/>
          <w:szCs w:val="24"/>
        </w:rPr>
        <w:t xml:space="preserve"> report review</w:t>
      </w:r>
      <w:r w:rsidR="00B73C02">
        <w:rPr>
          <w:rFonts w:ascii="Times New Roman" w:hAnsi="Times New Roman"/>
          <w:sz w:val="24"/>
          <w:szCs w:val="24"/>
        </w:rPr>
        <w:t xml:space="preserve">. </w:t>
      </w:r>
      <w:r w:rsidR="00217686">
        <w:rPr>
          <w:rFonts w:ascii="Times New Roman" w:hAnsi="Times New Roman"/>
          <w:sz w:val="24"/>
          <w:szCs w:val="24"/>
        </w:rPr>
        <w:t>Regulation 21 requires</w:t>
      </w:r>
      <w:r w:rsidR="00E560E9">
        <w:rPr>
          <w:rFonts w:ascii="Times New Roman" w:hAnsi="Times New Roman"/>
          <w:sz w:val="24"/>
          <w:szCs w:val="24"/>
        </w:rPr>
        <w:t xml:space="preserve"> the</w:t>
      </w:r>
      <w:r w:rsidR="00E560E9" w:rsidRPr="004760C5">
        <w:rPr>
          <w:rFonts w:ascii="Times New Roman" w:hAnsi="Times New Roman"/>
          <w:sz w:val="24"/>
          <w:szCs w:val="24"/>
        </w:rPr>
        <w:t xml:space="preserve"> proponent to </w:t>
      </w:r>
      <w:r w:rsidR="00217686">
        <w:rPr>
          <w:rFonts w:ascii="Times New Roman" w:hAnsi="Times New Roman"/>
          <w:sz w:val="24"/>
          <w:szCs w:val="24"/>
        </w:rPr>
        <w:t xml:space="preserve">notify the </w:t>
      </w:r>
      <w:r w:rsidR="00B14B5C">
        <w:rPr>
          <w:rFonts w:ascii="Times New Roman" w:hAnsi="Times New Roman"/>
          <w:sz w:val="24"/>
          <w:szCs w:val="24"/>
        </w:rPr>
        <w:t>IAP</w:t>
      </w:r>
      <w:r w:rsidR="00217686">
        <w:rPr>
          <w:rFonts w:ascii="Times New Roman" w:hAnsi="Times New Roman"/>
          <w:sz w:val="24"/>
          <w:szCs w:val="24"/>
        </w:rPr>
        <w:t xml:space="preserve"> o</w:t>
      </w:r>
      <w:r w:rsidR="00A40FFC">
        <w:rPr>
          <w:rFonts w:ascii="Times New Roman" w:hAnsi="Times New Roman"/>
          <w:sz w:val="24"/>
          <w:szCs w:val="24"/>
        </w:rPr>
        <w:t>f</w:t>
      </w:r>
      <w:r w:rsidR="00217686">
        <w:rPr>
          <w:rFonts w:ascii="Times New Roman" w:hAnsi="Times New Roman"/>
          <w:sz w:val="24"/>
          <w:szCs w:val="24"/>
        </w:rPr>
        <w:t xml:space="preserve"> the</w:t>
      </w:r>
      <w:r w:rsidR="00621039">
        <w:rPr>
          <w:rFonts w:ascii="Times New Roman" w:hAnsi="Times New Roman"/>
          <w:sz w:val="24"/>
          <w:szCs w:val="24"/>
        </w:rPr>
        <w:t>ir</w:t>
      </w:r>
      <w:r w:rsidR="00217686">
        <w:rPr>
          <w:rFonts w:ascii="Times New Roman" w:hAnsi="Times New Roman"/>
          <w:sz w:val="24"/>
          <w:szCs w:val="24"/>
        </w:rPr>
        <w:t xml:space="preserve"> intention to undertake an EIA</w:t>
      </w:r>
      <w:r w:rsidR="00E80401">
        <w:rPr>
          <w:rFonts w:ascii="Times New Roman" w:hAnsi="Times New Roman"/>
          <w:sz w:val="24"/>
          <w:szCs w:val="24"/>
        </w:rPr>
        <w:t xml:space="preserve"> for a listed activity</w:t>
      </w:r>
      <w:r w:rsidR="00F711EE">
        <w:rPr>
          <w:rFonts w:ascii="Times New Roman" w:hAnsi="Times New Roman"/>
          <w:sz w:val="24"/>
          <w:szCs w:val="24"/>
        </w:rPr>
        <w:t xml:space="preserve"> (GRN, 2012)</w:t>
      </w:r>
      <w:r w:rsidR="00217686">
        <w:rPr>
          <w:rFonts w:ascii="Times New Roman" w:hAnsi="Times New Roman"/>
          <w:sz w:val="24"/>
          <w:szCs w:val="24"/>
        </w:rPr>
        <w:t xml:space="preserve">. </w:t>
      </w:r>
      <w:r w:rsidR="00F711EE">
        <w:rPr>
          <w:rFonts w:ascii="Times New Roman" w:hAnsi="Times New Roman"/>
          <w:sz w:val="24"/>
          <w:szCs w:val="24"/>
        </w:rPr>
        <w:t>A</w:t>
      </w:r>
      <w:r w:rsidR="00217686">
        <w:rPr>
          <w:rFonts w:ascii="Times New Roman" w:hAnsi="Times New Roman"/>
          <w:sz w:val="24"/>
          <w:szCs w:val="24"/>
        </w:rPr>
        <w:t xml:space="preserve"> notice </w:t>
      </w:r>
      <w:r w:rsidR="00705892">
        <w:rPr>
          <w:rFonts w:ascii="Times New Roman" w:hAnsi="Times New Roman"/>
          <w:sz w:val="24"/>
          <w:szCs w:val="24"/>
        </w:rPr>
        <w:t xml:space="preserve">including project information and </w:t>
      </w:r>
      <w:r w:rsidR="00B14B5C">
        <w:rPr>
          <w:rFonts w:ascii="Times New Roman" w:hAnsi="Times New Roman"/>
          <w:sz w:val="24"/>
          <w:szCs w:val="24"/>
        </w:rPr>
        <w:t>a</w:t>
      </w:r>
      <w:r w:rsidR="00A40FFC">
        <w:rPr>
          <w:rFonts w:ascii="Times New Roman" w:hAnsi="Times New Roman"/>
          <w:sz w:val="24"/>
          <w:szCs w:val="24"/>
        </w:rPr>
        <w:t xml:space="preserve"> </w:t>
      </w:r>
      <w:r w:rsidR="00705892">
        <w:rPr>
          <w:rFonts w:ascii="Times New Roman" w:hAnsi="Times New Roman"/>
          <w:sz w:val="24"/>
          <w:szCs w:val="24"/>
        </w:rPr>
        <w:t xml:space="preserve">timeline for public meetings and comments </w:t>
      </w:r>
      <w:r w:rsidR="00E80401">
        <w:rPr>
          <w:rFonts w:ascii="Times New Roman" w:hAnsi="Times New Roman"/>
          <w:sz w:val="24"/>
          <w:szCs w:val="24"/>
        </w:rPr>
        <w:t>must</w:t>
      </w:r>
      <w:r w:rsidR="00217686">
        <w:rPr>
          <w:rFonts w:ascii="Times New Roman" w:hAnsi="Times New Roman"/>
          <w:sz w:val="24"/>
          <w:szCs w:val="24"/>
        </w:rPr>
        <w:t xml:space="preserve"> be placed </w:t>
      </w:r>
      <w:r w:rsidR="00E560E9">
        <w:rPr>
          <w:rFonts w:ascii="Times New Roman" w:hAnsi="Times New Roman"/>
          <w:sz w:val="24"/>
          <w:szCs w:val="24"/>
        </w:rPr>
        <w:t xml:space="preserve">once a week for two consecutive weeks in at least two newspapers circulated widely in </w:t>
      </w:r>
      <w:r w:rsidR="00217686">
        <w:rPr>
          <w:rFonts w:ascii="Times New Roman" w:hAnsi="Times New Roman"/>
          <w:sz w:val="24"/>
          <w:szCs w:val="24"/>
        </w:rPr>
        <w:t>Namibia</w:t>
      </w:r>
      <w:r w:rsidR="00F711EE">
        <w:rPr>
          <w:rFonts w:ascii="Times New Roman" w:hAnsi="Times New Roman"/>
          <w:sz w:val="24"/>
          <w:szCs w:val="24"/>
        </w:rPr>
        <w:t>.</w:t>
      </w:r>
      <w:r w:rsidR="00217686">
        <w:rPr>
          <w:rFonts w:ascii="Times New Roman" w:hAnsi="Times New Roman"/>
          <w:sz w:val="24"/>
          <w:szCs w:val="24"/>
        </w:rPr>
        <w:t xml:space="preserve"> </w:t>
      </w:r>
      <w:r w:rsidR="00705892">
        <w:rPr>
          <w:rFonts w:ascii="Times New Roman" w:hAnsi="Times New Roman"/>
          <w:sz w:val="24"/>
          <w:szCs w:val="24"/>
        </w:rPr>
        <w:t xml:space="preserve">The public is </w:t>
      </w:r>
      <w:r w:rsidR="00621039">
        <w:rPr>
          <w:rFonts w:ascii="Times New Roman" w:hAnsi="Times New Roman"/>
          <w:sz w:val="24"/>
          <w:szCs w:val="24"/>
        </w:rPr>
        <w:t>given 21 days to comment on the draft scoping or EIA report</w:t>
      </w:r>
      <w:r w:rsidR="004011C9">
        <w:rPr>
          <w:rFonts w:ascii="Times New Roman" w:hAnsi="Times New Roman"/>
          <w:sz w:val="24"/>
          <w:szCs w:val="24"/>
        </w:rPr>
        <w:t xml:space="preserve">, which should be placed at communal </w:t>
      </w:r>
      <w:r w:rsidR="008334C3">
        <w:rPr>
          <w:rFonts w:ascii="Times New Roman" w:hAnsi="Times New Roman"/>
          <w:sz w:val="24"/>
          <w:szCs w:val="24"/>
        </w:rPr>
        <w:t xml:space="preserve">areas </w:t>
      </w:r>
      <w:r w:rsidR="004B4DBD">
        <w:rPr>
          <w:rFonts w:ascii="Times New Roman" w:hAnsi="Times New Roman"/>
          <w:sz w:val="24"/>
          <w:szCs w:val="24"/>
        </w:rPr>
        <w:t xml:space="preserve">such as the library and municipal offices (GRN, 2012). </w:t>
      </w:r>
    </w:p>
    <w:p w:rsidR="004011C9" w:rsidRDefault="006B01F0" w:rsidP="00504A20">
      <w:pPr>
        <w:pStyle w:val="CommentText"/>
        <w:spacing w:line="360" w:lineRule="auto"/>
        <w:jc w:val="both"/>
        <w:rPr>
          <w:rFonts w:ascii="Times New Roman" w:hAnsi="Times New Roman"/>
          <w:sz w:val="24"/>
          <w:szCs w:val="24"/>
        </w:rPr>
      </w:pPr>
      <w:r>
        <w:rPr>
          <w:rFonts w:ascii="Times New Roman" w:hAnsi="Times New Roman"/>
          <w:sz w:val="24"/>
          <w:szCs w:val="24"/>
        </w:rPr>
        <w:lastRenderedPageBreak/>
        <w:t xml:space="preserve">Interviewees commended the </w:t>
      </w:r>
      <w:r w:rsidR="00754E23">
        <w:rPr>
          <w:rFonts w:ascii="Times New Roman" w:hAnsi="Times New Roman"/>
          <w:sz w:val="24"/>
          <w:szCs w:val="24"/>
        </w:rPr>
        <w:t>public participation</w:t>
      </w:r>
      <w:r w:rsidR="00AB6518">
        <w:rPr>
          <w:rFonts w:ascii="Times New Roman" w:hAnsi="Times New Roman"/>
          <w:sz w:val="24"/>
          <w:szCs w:val="24"/>
        </w:rPr>
        <w:t xml:space="preserve"> </w:t>
      </w:r>
      <w:r>
        <w:rPr>
          <w:rFonts w:ascii="Times New Roman" w:hAnsi="Times New Roman"/>
          <w:sz w:val="24"/>
          <w:szCs w:val="24"/>
        </w:rPr>
        <w:t>regulations but argue that</w:t>
      </w:r>
      <w:r w:rsidR="009655B4">
        <w:rPr>
          <w:rFonts w:ascii="Times New Roman" w:hAnsi="Times New Roman"/>
          <w:sz w:val="24"/>
          <w:szCs w:val="24"/>
        </w:rPr>
        <w:t xml:space="preserve"> </w:t>
      </w:r>
      <w:r>
        <w:rPr>
          <w:rFonts w:ascii="Times New Roman" w:hAnsi="Times New Roman"/>
          <w:sz w:val="24"/>
          <w:szCs w:val="24"/>
        </w:rPr>
        <w:t xml:space="preserve">sharing </w:t>
      </w:r>
      <w:r w:rsidR="00754E23">
        <w:rPr>
          <w:rFonts w:ascii="Times New Roman" w:hAnsi="Times New Roman"/>
          <w:sz w:val="24"/>
          <w:szCs w:val="24"/>
        </w:rPr>
        <w:t xml:space="preserve">of </w:t>
      </w:r>
      <w:r>
        <w:rPr>
          <w:rFonts w:ascii="Times New Roman" w:hAnsi="Times New Roman"/>
          <w:sz w:val="24"/>
          <w:szCs w:val="24"/>
        </w:rPr>
        <w:t xml:space="preserve">draft </w:t>
      </w:r>
      <w:r w:rsidR="00754E23">
        <w:rPr>
          <w:rFonts w:ascii="Times New Roman" w:hAnsi="Times New Roman"/>
          <w:sz w:val="24"/>
          <w:szCs w:val="24"/>
        </w:rPr>
        <w:t xml:space="preserve">reports </w:t>
      </w:r>
      <w:r>
        <w:rPr>
          <w:rFonts w:ascii="Times New Roman" w:hAnsi="Times New Roman"/>
          <w:sz w:val="24"/>
          <w:szCs w:val="24"/>
        </w:rPr>
        <w:t xml:space="preserve">at public places </w:t>
      </w:r>
      <w:r w:rsidR="00754E23">
        <w:rPr>
          <w:rFonts w:ascii="Times New Roman" w:hAnsi="Times New Roman"/>
          <w:sz w:val="24"/>
          <w:szCs w:val="24"/>
        </w:rPr>
        <w:t>can</w:t>
      </w:r>
      <w:r w:rsidR="009655B4">
        <w:rPr>
          <w:rFonts w:ascii="Times New Roman" w:hAnsi="Times New Roman"/>
          <w:sz w:val="24"/>
          <w:szCs w:val="24"/>
        </w:rPr>
        <w:t xml:space="preserve"> only work in urban areas </w:t>
      </w:r>
      <w:r>
        <w:rPr>
          <w:rFonts w:ascii="Times New Roman" w:hAnsi="Times New Roman"/>
          <w:sz w:val="24"/>
          <w:szCs w:val="24"/>
        </w:rPr>
        <w:t xml:space="preserve">as </w:t>
      </w:r>
      <w:r w:rsidR="009655B4">
        <w:rPr>
          <w:rFonts w:ascii="Times New Roman" w:hAnsi="Times New Roman"/>
          <w:sz w:val="24"/>
          <w:szCs w:val="24"/>
        </w:rPr>
        <w:t xml:space="preserve">many rural areas lack such infrastructure. </w:t>
      </w:r>
      <w:r>
        <w:rPr>
          <w:rFonts w:ascii="Times New Roman" w:hAnsi="Times New Roman"/>
          <w:sz w:val="24"/>
          <w:szCs w:val="24"/>
        </w:rPr>
        <w:t>P</w:t>
      </w:r>
      <w:r w:rsidR="009655B4">
        <w:rPr>
          <w:rFonts w:ascii="Times New Roman" w:hAnsi="Times New Roman"/>
          <w:sz w:val="24"/>
          <w:szCs w:val="24"/>
        </w:rPr>
        <w:t xml:space="preserve">eople in rural areas may </w:t>
      </w:r>
      <w:r w:rsidR="00B14B5C">
        <w:rPr>
          <w:rFonts w:ascii="Times New Roman" w:hAnsi="Times New Roman"/>
          <w:sz w:val="24"/>
          <w:szCs w:val="24"/>
        </w:rPr>
        <w:t>also find it</w:t>
      </w:r>
      <w:r>
        <w:rPr>
          <w:rFonts w:ascii="Times New Roman" w:hAnsi="Times New Roman"/>
          <w:sz w:val="24"/>
          <w:szCs w:val="24"/>
        </w:rPr>
        <w:t xml:space="preserve"> </w:t>
      </w:r>
      <w:r w:rsidR="009655B4">
        <w:rPr>
          <w:rFonts w:ascii="Times New Roman" w:hAnsi="Times New Roman"/>
          <w:sz w:val="24"/>
          <w:szCs w:val="24"/>
        </w:rPr>
        <w:t>difficult</w:t>
      </w:r>
      <w:r w:rsidR="00AB6518">
        <w:rPr>
          <w:rFonts w:ascii="Times New Roman" w:hAnsi="Times New Roman"/>
          <w:sz w:val="24"/>
          <w:szCs w:val="24"/>
        </w:rPr>
        <w:t xml:space="preserve"> </w:t>
      </w:r>
      <w:r w:rsidR="009655B4">
        <w:rPr>
          <w:rFonts w:ascii="Times New Roman" w:hAnsi="Times New Roman"/>
          <w:sz w:val="24"/>
          <w:szCs w:val="24"/>
        </w:rPr>
        <w:t>to</w:t>
      </w:r>
      <w:r w:rsidR="00621371">
        <w:rPr>
          <w:rFonts w:ascii="Times New Roman" w:hAnsi="Times New Roman"/>
          <w:sz w:val="24"/>
          <w:szCs w:val="24"/>
        </w:rPr>
        <w:t xml:space="preserve"> give comments or </w:t>
      </w:r>
      <w:r w:rsidR="009655B4">
        <w:rPr>
          <w:rFonts w:ascii="Times New Roman" w:hAnsi="Times New Roman"/>
          <w:sz w:val="24"/>
          <w:szCs w:val="24"/>
        </w:rPr>
        <w:t xml:space="preserve">attend public meetings </w:t>
      </w:r>
      <w:r w:rsidR="00AB6518">
        <w:rPr>
          <w:rFonts w:ascii="Times New Roman" w:hAnsi="Times New Roman"/>
          <w:sz w:val="24"/>
          <w:szCs w:val="24"/>
        </w:rPr>
        <w:t xml:space="preserve">due to </w:t>
      </w:r>
      <w:r>
        <w:rPr>
          <w:rFonts w:ascii="Times New Roman" w:hAnsi="Times New Roman"/>
          <w:sz w:val="24"/>
          <w:szCs w:val="24"/>
        </w:rPr>
        <w:t xml:space="preserve">several reasons including </w:t>
      </w:r>
      <w:r w:rsidR="009655B4">
        <w:rPr>
          <w:rFonts w:ascii="Times New Roman" w:hAnsi="Times New Roman"/>
          <w:sz w:val="24"/>
          <w:szCs w:val="24"/>
        </w:rPr>
        <w:t>long travel</w:t>
      </w:r>
      <w:r w:rsidR="000F41DE">
        <w:rPr>
          <w:rFonts w:ascii="Times New Roman" w:hAnsi="Times New Roman"/>
          <w:sz w:val="24"/>
          <w:szCs w:val="24"/>
        </w:rPr>
        <w:t>ling</w:t>
      </w:r>
      <w:r w:rsidR="00AB6518">
        <w:rPr>
          <w:rFonts w:ascii="Times New Roman" w:hAnsi="Times New Roman"/>
          <w:sz w:val="24"/>
          <w:szCs w:val="24"/>
        </w:rPr>
        <w:t xml:space="preserve"> </w:t>
      </w:r>
      <w:r w:rsidR="00B14B5C">
        <w:rPr>
          <w:rFonts w:ascii="Times New Roman" w:hAnsi="Times New Roman"/>
          <w:sz w:val="24"/>
          <w:szCs w:val="24"/>
        </w:rPr>
        <w:t xml:space="preserve">times and </w:t>
      </w:r>
      <w:r w:rsidR="00AB6518">
        <w:rPr>
          <w:rFonts w:ascii="Times New Roman" w:hAnsi="Times New Roman"/>
          <w:sz w:val="24"/>
          <w:szCs w:val="24"/>
        </w:rPr>
        <w:t>distances between villages</w:t>
      </w:r>
      <w:r w:rsidR="009655B4">
        <w:rPr>
          <w:rFonts w:ascii="Times New Roman" w:hAnsi="Times New Roman"/>
          <w:sz w:val="24"/>
          <w:szCs w:val="24"/>
        </w:rPr>
        <w:t xml:space="preserve"> and towns</w:t>
      </w:r>
      <w:r>
        <w:rPr>
          <w:rFonts w:ascii="Times New Roman" w:hAnsi="Times New Roman"/>
          <w:sz w:val="24"/>
          <w:szCs w:val="24"/>
        </w:rPr>
        <w:t xml:space="preserve">, lack of awareness </w:t>
      </w:r>
      <w:r w:rsidR="00B14B5C">
        <w:rPr>
          <w:rFonts w:ascii="Times New Roman" w:hAnsi="Times New Roman"/>
          <w:sz w:val="24"/>
          <w:szCs w:val="24"/>
        </w:rPr>
        <w:t>about</w:t>
      </w:r>
      <w:r>
        <w:rPr>
          <w:rFonts w:ascii="Times New Roman" w:hAnsi="Times New Roman"/>
          <w:sz w:val="24"/>
          <w:szCs w:val="24"/>
        </w:rPr>
        <w:t xml:space="preserve"> the right to participate</w:t>
      </w:r>
      <w:r w:rsidR="00B14B5C">
        <w:rPr>
          <w:rFonts w:ascii="Times New Roman" w:hAnsi="Times New Roman"/>
          <w:sz w:val="24"/>
          <w:szCs w:val="24"/>
        </w:rPr>
        <w:t xml:space="preserve"> in EIA, illiteracy, </w:t>
      </w:r>
      <w:r>
        <w:rPr>
          <w:rFonts w:ascii="Times New Roman" w:hAnsi="Times New Roman"/>
          <w:sz w:val="24"/>
          <w:szCs w:val="24"/>
        </w:rPr>
        <w:t>communication and language barriers as the public invitations are sen</w:t>
      </w:r>
      <w:r w:rsidR="00A40FFC">
        <w:rPr>
          <w:rFonts w:ascii="Times New Roman" w:hAnsi="Times New Roman"/>
          <w:sz w:val="24"/>
          <w:szCs w:val="24"/>
        </w:rPr>
        <w:t>t</w:t>
      </w:r>
      <w:r>
        <w:rPr>
          <w:rFonts w:ascii="Times New Roman" w:hAnsi="Times New Roman"/>
          <w:sz w:val="24"/>
          <w:szCs w:val="24"/>
        </w:rPr>
        <w:t xml:space="preserve"> out in English newspapers</w:t>
      </w:r>
      <w:r w:rsidR="009655B4">
        <w:rPr>
          <w:rFonts w:ascii="Times New Roman" w:hAnsi="Times New Roman"/>
          <w:sz w:val="24"/>
          <w:szCs w:val="24"/>
        </w:rPr>
        <w:t xml:space="preserve">. </w:t>
      </w:r>
    </w:p>
    <w:p w:rsidR="00A51C02" w:rsidRDefault="006B01F0" w:rsidP="00504A20">
      <w:pPr>
        <w:pStyle w:val="CommentText"/>
        <w:spacing w:line="360" w:lineRule="auto"/>
        <w:jc w:val="both"/>
        <w:rPr>
          <w:rFonts w:ascii="Times New Roman" w:hAnsi="Times New Roman"/>
          <w:sz w:val="24"/>
          <w:szCs w:val="24"/>
        </w:rPr>
      </w:pPr>
      <w:r>
        <w:rPr>
          <w:rFonts w:ascii="Times New Roman" w:hAnsi="Times New Roman"/>
          <w:sz w:val="24"/>
          <w:szCs w:val="24"/>
        </w:rPr>
        <w:t>Interviewees</w:t>
      </w:r>
      <w:r w:rsidR="00B14B5C">
        <w:rPr>
          <w:rFonts w:ascii="Times New Roman" w:hAnsi="Times New Roman"/>
          <w:sz w:val="24"/>
          <w:szCs w:val="24"/>
        </w:rPr>
        <w:t xml:space="preserve"> </w:t>
      </w:r>
      <w:r w:rsidR="00DB3B9F">
        <w:rPr>
          <w:rFonts w:ascii="Times New Roman" w:hAnsi="Times New Roman"/>
          <w:sz w:val="24"/>
          <w:szCs w:val="24"/>
        </w:rPr>
        <w:t xml:space="preserve">also </w:t>
      </w:r>
      <w:r w:rsidR="00B14B5C">
        <w:rPr>
          <w:rFonts w:ascii="Times New Roman" w:hAnsi="Times New Roman"/>
          <w:sz w:val="24"/>
          <w:szCs w:val="24"/>
        </w:rPr>
        <w:t xml:space="preserve">indicated that it </w:t>
      </w:r>
      <w:r w:rsidR="00D23BAB">
        <w:rPr>
          <w:rFonts w:ascii="Times New Roman" w:hAnsi="Times New Roman"/>
          <w:sz w:val="24"/>
          <w:szCs w:val="24"/>
        </w:rPr>
        <w:t xml:space="preserve">is a norm that the public is requested to register as </w:t>
      </w:r>
      <w:r w:rsidR="00B14B5C">
        <w:rPr>
          <w:rFonts w:ascii="Times New Roman" w:hAnsi="Times New Roman"/>
          <w:sz w:val="24"/>
          <w:szCs w:val="24"/>
        </w:rPr>
        <w:t>IAP</w:t>
      </w:r>
      <w:r w:rsidR="00D23BAB">
        <w:rPr>
          <w:rFonts w:ascii="Times New Roman" w:hAnsi="Times New Roman"/>
          <w:sz w:val="24"/>
          <w:szCs w:val="24"/>
        </w:rPr>
        <w:t xml:space="preserve"> and to provide comments via email. </w:t>
      </w:r>
      <w:r w:rsidR="00B14B5C">
        <w:rPr>
          <w:rFonts w:ascii="Times New Roman" w:hAnsi="Times New Roman"/>
          <w:sz w:val="24"/>
          <w:szCs w:val="24"/>
        </w:rPr>
        <w:t>The majority of i</w:t>
      </w:r>
      <w:r w:rsidR="005647A2">
        <w:rPr>
          <w:rFonts w:ascii="Times New Roman" w:hAnsi="Times New Roman"/>
          <w:sz w:val="24"/>
          <w:szCs w:val="24"/>
        </w:rPr>
        <w:t>nterviewees</w:t>
      </w:r>
      <w:r w:rsidR="00397A7C">
        <w:rPr>
          <w:rFonts w:ascii="Times New Roman" w:hAnsi="Times New Roman"/>
          <w:sz w:val="24"/>
          <w:szCs w:val="24"/>
        </w:rPr>
        <w:t>,</w:t>
      </w:r>
      <w:r w:rsidR="005647A2">
        <w:rPr>
          <w:rFonts w:ascii="Times New Roman" w:hAnsi="Times New Roman"/>
          <w:sz w:val="24"/>
          <w:szCs w:val="24"/>
        </w:rPr>
        <w:t xml:space="preserve"> </w:t>
      </w:r>
      <w:r w:rsidR="00B14B5C">
        <w:rPr>
          <w:rFonts w:ascii="Times New Roman" w:hAnsi="Times New Roman"/>
          <w:sz w:val="24"/>
          <w:szCs w:val="24"/>
        </w:rPr>
        <w:t xml:space="preserve">however, </w:t>
      </w:r>
      <w:r w:rsidR="005647A2">
        <w:rPr>
          <w:rFonts w:ascii="Times New Roman" w:hAnsi="Times New Roman"/>
          <w:sz w:val="24"/>
          <w:szCs w:val="24"/>
        </w:rPr>
        <w:t>argue</w:t>
      </w:r>
      <w:r w:rsidR="00B14B5C">
        <w:rPr>
          <w:rFonts w:ascii="Times New Roman" w:hAnsi="Times New Roman"/>
          <w:sz w:val="24"/>
          <w:szCs w:val="24"/>
        </w:rPr>
        <w:t>d</w:t>
      </w:r>
      <w:r w:rsidR="005647A2">
        <w:rPr>
          <w:rFonts w:ascii="Times New Roman" w:hAnsi="Times New Roman"/>
          <w:sz w:val="24"/>
          <w:szCs w:val="24"/>
        </w:rPr>
        <w:t xml:space="preserve"> that electronic communication </w:t>
      </w:r>
      <w:r w:rsidR="00D23BAB">
        <w:rPr>
          <w:rFonts w:ascii="Times New Roman" w:hAnsi="Times New Roman"/>
          <w:sz w:val="24"/>
          <w:szCs w:val="24"/>
        </w:rPr>
        <w:t xml:space="preserve">is inappropriate because only </w:t>
      </w:r>
      <w:r w:rsidR="00A40FFC">
        <w:rPr>
          <w:rFonts w:ascii="Times New Roman" w:hAnsi="Times New Roman"/>
          <w:sz w:val="24"/>
          <w:szCs w:val="24"/>
        </w:rPr>
        <w:t xml:space="preserve">a </w:t>
      </w:r>
      <w:r w:rsidR="00D23BAB">
        <w:rPr>
          <w:rFonts w:ascii="Times New Roman" w:hAnsi="Times New Roman"/>
          <w:sz w:val="24"/>
          <w:szCs w:val="24"/>
        </w:rPr>
        <w:t xml:space="preserve">few Namibians have access to </w:t>
      </w:r>
      <w:r w:rsidR="005647A2">
        <w:rPr>
          <w:rFonts w:ascii="Times New Roman" w:hAnsi="Times New Roman"/>
          <w:sz w:val="24"/>
          <w:szCs w:val="24"/>
        </w:rPr>
        <w:t xml:space="preserve">computers and </w:t>
      </w:r>
      <w:r w:rsidR="00A40FFC">
        <w:rPr>
          <w:rFonts w:ascii="Times New Roman" w:hAnsi="Times New Roman"/>
          <w:sz w:val="24"/>
          <w:szCs w:val="24"/>
        </w:rPr>
        <w:t xml:space="preserve">the </w:t>
      </w:r>
      <w:r w:rsidR="00D23BAB">
        <w:rPr>
          <w:rFonts w:ascii="Times New Roman" w:hAnsi="Times New Roman"/>
          <w:sz w:val="24"/>
          <w:szCs w:val="24"/>
        </w:rPr>
        <w:t>internet</w:t>
      </w:r>
      <w:r w:rsidR="00DB3B9F">
        <w:rPr>
          <w:rFonts w:ascii="Times New Roman" w:hAnsi="Times New Roman"/>
          <w:sz w:val="24"/>
          <w:szCs w:val="24"/>
        </w:rPr>
        <w:t>, particularly in remote rural areas</w:t>
      </w:r>
      <w:r w:rsidR="00D23BAB">
        <w:rPr>
          <w:rFonts w:ascii="Times New Roman" w:hAnsi="Times New Roman"/>
          <w:sz w:val="24"/>
          <w:szCs w:val="24"/>
        </w:rPr>
        <w:t xml:space="preserve">. </w:t>
      </w:r>
      <w:r w:rsidR="00DB3B9F">
        <w:rPr>
          <w:rFonts w:ascii="Times New Roman" w:hAnsi="Times New Roman"/>
          <w:sz w:val="24"/>
          <w:szCs w:val="24"/>
        </w:rPr>
        <w:t xml:space="preserve">Cultural and traditional practices, leadership hierarchies and, gender concerns are some of the components that need improved consideration during public participation processes. </w:t>
      </w:r>
      <w:r>
        <w:rPr>
          <w:rFonts w:ascii="Times New Roman" w:hAnsi="Times New Roman"/>
          <w:sz w:val="24"/>
          <w:szCs w:val="24"/>
        </w:rPr>
        <w:t>Interviewees</w:t>
      </w:r>
      <w:r w:rsidR="00DB3B9F">
        <w:rPr>
          <w:rFonts w:ascii="Times New Roman" w:hAnsi="Times New Roman"/>
          <w:sz w:val="24"/>
          <w:szCs w:val="24"/>
        </w:rPr>
        <w:t xml:space="preserve"> suggested that for participation to improve</w:t>
      </w:r>
      <w:r w:rsidR="005647A2">
        <w:rPr>
          <w:rFonts w:ascii="Times New Roman" w:hAnsi="Times New Roman"/>
          <w:sz w:val="24"/>
          <w:szCs w:val="24"/>
        </w:rPr>
        <w:t xml:space="preserve"> </w:t>
      </w:r>
      <w:r w:rsidR="00DB3B9F">
        <w:rPr>
          <w:rFonts w:ascii="Times New Roman" w:hAnsi="Times New Roman"/>
          <w:sz w:val="24"/>
          <w:szCs w:val="24"/>
        </w:rPr>
        <w:t xml:space="preserve">EIA awareness and advocacy especially in rural areas should be increased; public meetings should be advertised in local languages and on local radio; guidelines for public participation should be designed for the process to be more consistent. </w:t>
      </w:r>
    </w:p>
    <w:p w:rsidR="007D227E" w:rsidRDefault="007D227E" w:rsidP="00504A20">
      <w:pPr>
        <w:pStyle w:val="CommentText"/>
        <w:spacing w:line="360" w:lineRule="auto"/>
        <w:jc w:val="both"/>
        <w:rPr>
          <w:rFonts w:ascii="Times New Roman" w:hAnsi="Times New Roman"/>
          <w:sz w:val="24"/>
          <w:szCs w:val="24"/>
        </w:rPr>
      </w:pPr>
    </w:p>
    <w:p w:rsidR="00E560E9" w:rsidRPr="00F8572A" w:rsidRDefault="006B01F0" w:rsidP="007B58C2">
      <w:pPr>
        <w:pStyle w:val="ListParagraph"/>
        <w:numPr>
          <w:ilvl w:val="2"/>
          <w:numId w:val="17"/>
        </w:num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 xml:space="preserve">Monitoring and </w:t>
      </w:r>
      <w:r w:rsidR="00E5725A">
        <w:rPr>
          <w:rFonts w:ascii="Times New Roman" w:hAnsi="Times New Roman"/>
          <w:b/>
          <w:sz w:val="24"/>
          <w:szCs w:val="24"/>
        </w:rPr>
        <w:t>auditing</w:t>
      </w:r>
    </w:p>
    <w:p w:rsidR="00E5725A" w:rsidRPr="00E5725A" w:rsidRDefault="006B01F0" w:rsidP="00E5725A">
      <w:pPr>
        <w:autoSpaceDE w:val="0"/>
        <w:autoSpaceDN w:val="0"/>
        <w:adjustRightInd w:val="0"/>
        <w:spacing w:line="360" w:lineRule="auto"/>
        <w:jc w:val="both"/>
        <w:rPr>
          <w:rFonts w:ascii="Times New Roman" w:hAnsi="Times New Roman"/>
          <w:sz w:val="24"/>
          <w:szCs w:val="24"/>
        </w:rPr>
      </w:pPr>
      <w:r w:rsidRPr="00E5725A">
        <w:rPr>
          <w:rFonts w:ascii="Times New Roman" w:hAnsi="Times New Roman"/>
          <w:sz w:val="24"/>
          <w:szCs w:val="24"/>
        </w:rPr>
        <w:t xml:space="preserve">Monitoring and auditing </w:t>
      </w:r>
      <w:r w:rsidR="008334C3">
        <w:rPr>
          <w:rFonts w:ascii="Times New Roman" w:hAnsi="Times New Roman"/>
          <w:sz w:val="24"/>
          <w:szCs w:val="24"/>
        </w:rPr>
        <w:t>are</w:t>
      </w:r>
      <w:r w:rsidRPr="00E5725A">
        <w:rPr>
          <w:rFonts w:ascii="Times New Roman" w:hAnsi="Times New Roman"/>
          <w:sz w:val="24"/>
          <w:szCs w:val="24"/>
        </w:rPr>
        <w:t xml:space="preserve"> not legal requirement</w:t>
      </w:r>
      <w:r w:rsidR="008334C3">
        <w:rPr>
          <w:rFonts w:ascii="Times New Roman" w:hAnsi="Times New Roman"/>
          <w:sz w:val="24"/>
          <w:szCs w:val="24"/>
        </w:rPr>
        <w:t>s.</w:t>
      </w:r>
      <w:r w:rsidRPr="00E5725A">
        <w:rPr>
          <w:rFonts w:ascii="Times New Roman" w:hAnsi="Times New Roman"/>
          <w:sz w:val="24"/>
          <w:szCs w:val="24"/>
        </w:rPr>
        <w:t xml:space="preserve"> Although monitoring appears in the EIA process, </w:t>
      </w:r>
      <w:r w:rsidR="0086282E">
        <w:rPr>
          <w:rFonts w:ascii="Times New Roman" w:hAnsi="Times New Roman"/>
          <w:sz w:val="24"/>
          <w:szCs w:val="24"/>
        </w:rPr>
        <w:t xml:space="preserve">the regulations lack provisions to support the </w:t>
      </w:r>
      <w:r w:rsidR="007455F8">
        <w:rPr>
          <w:rFonts w:ascii="Times New Roman" w:hAnsi="Times New Roman"/>
          <w:sz w:val="24"/>
          <w:szCs w:val="24"/>
        </w:rPr>
        <w:t>implementation</w:t>
      </w:r>
      <w:r w:rsidR="0086282E">
        <w:rPr>
          <w:rFonts w:ascii="Times New Roman" w:hAnsi="Times New Roman"/>
          <w:sz w:val="24"/>
          <w:szCs w:val="24"/>
        </w:rPr>
        <w:t xml:space="preserve">. The EMA nevertheless contains inexplicit clauses referring to monitoring compliance in </w:t>
      </w:r>
      <w:r w:rsidRPr="00E5725A">
        <w:rPr>
          <w:rFonts w:ascii="Times New Roman" w:hAnsi="Times New Roman"/>
          <w:sz w:val="24"/>
          <w:szCs w:val="24"/>
        </w:rPr>
        <w:t xml:space="preserve">sections 4 (d); 7 (b); 17 (2) </w:t>
      </w:r>
      <w:r w:rsidR="0086282E">
        <w:rPr>
          <w:rFonts w:ascii="Times New Roman" w:hAnsi="Times New Roman"/>
          <w:sz w:val="24"/>
          <w:szCs w:val="24"/>
        </w:rPr>
        <w:t xml:space="preserve">and another vague reference to </w:t>
      </w:r>
      <w:r w:rsidR="00397A7C">
        <w:rPr>
          <w:rFonts w:ascii="Times New Roman" w:hAnsi="Times New Roman"/>
          <w:sz w:val="24"/>
          <w:szCs w:val="24"/>
        </w:rPr>
        <w:t xml:space="preserve">the </w:t>
      </w:r>
      <w:r w:rsidR="0086282E">
        <w:rPr>
          <w:rFonts w:ascii="Times New Roman" w:hAnsi="Times New Roman"/>
          <w:sz w:val="24"/>
          <w:szCs w:val="24"/>
        </w:rPr>
        <w:t xml:space="preserve">monitoring of environmental plans in sections 23(b) and 26(3). </w:t>
      </w:r>
    </w:p>
    <w:p w:rsidR="002F751E" w:rsidRDefault="006B01F0" w:rsidP="00504A2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The </w:t>
      </w:r>
      <w:r w:rsidR="007455F8">
        <w:rPr>
          <w:rFonts w:ascii="Times New Roman" w:hAnsi="Times New Roman"/>
          <w:sz w:val="24"/>
          <w:szCs w:val="24"/>
        </w:rPr>
        <w:t>Environmental</w:t>
      </w:r>
      <w:r>
        <w:rPr>
          <w:rFonts w:ascii="Times New Roman" w:hAnsi="Times New Roman"/>
          <w:sz w:val="24"/>
          <w:szCs w:val="24"/>
        </w:rPr>
        <w:t xml:space="preserve"> </w:t>
      </w:r>
      <w:r w:rsidR="009655B4">
        <w:rPr>
          <w:rFonts w:ascii="Times New Roman" w:hAnsi="Times New Roman"/>
          <w:sz w:val="24"/>
          <w:szCs w:val="24"/>
        </w:rPr>
        <w:t>M</w:t>
      </w:r>
      <w:r>
        <w:rPr>
          <w:rFonts w:ascii="Times New Roman" w:hAnsi="Times New Roman"/>
          <w:sz w:val="24"/>
          <w:szCs w:val="24"/>
        </w:rPr>
        <w:t xml:space="preserve">anagement </w:t>
      </w:r>
      <w:r w:rsidR="009655B4">
        <w:rPr>
          <w:rFonts w:ascii="Times New Roman" w:hAnsi="Times New Roman"/>
          <w:sz w:val="24"/>
          <w:szCs w:val="24"/>
        </w:rPr>
        <w:t>P</w:t>
      </w:r>
      <w:r>
        <w:rPr>
          <w:rFonts w:ascii="Times New Roman" w:hAnsi="Times New Roman"/>
          <w:sz w:val="24"/>
          <w:szCs w:val="24"/>
        </w:rPr>
        <w:t>lan (EMP)</w:t>
      </w:r>
      <w:r w:rsidR="009655B4">
        <w:rPr>
          <w:rFonts w:ascii="Times New Roman" w:hAnsi="Times New Roman"/>
          <w:sz w:val="24"/>
          <w:szCs w:val="24"/>
        </w:rPr>
        <w:t xml:space="preserve"> </w:t>
      </w:r>
      <w:r w:rsidR="00D23BAB">
        <w:rPr>
          <w:rFonts w:ascii="Times New Roman" w:hAnsi="Times New Roman"/>
          <w:sz w:val="24"/>
          <w:szCs w:val="24"/>
        </w:rPr>
        <w:t xml:space="preserve">is </w:t>
      </w:r>
      <w:r w:rsidR="009655B4">
        <w:rPr>
          <w:rFonts w:ascii="Times New Roman" w:hAnsi="Times New Roman"/>
          <w:sz w:val="24"/>
          <w:szCs w:val="24"/>
        </w:rPr>
        <w:t>a legal requirement</w:t>
      </w:r>
      <w:r w:rsidR="00E5725A">
        <w:rPr>
          <w:rFonts w:ascii="Times New Roman" w:hAnsi="Times New Roman"/>
          <w:sz w:val="24"/>
          <w:szCs w:val="24"/>
        </w:rPr>
        <w:t xml:space="preserve"> in the Namibia EIA system. </w:t>
      </w:r>
      <w:r>
        <w:rPr>
          <w:rFonts w:ascii="Times New Roman" w:hAnsi="Times New Roman"/>
          <w:sz w:val="24"/>
          <w:szCs w:val="24"/>
        </w:rPr>
        <w:t>However, n</w:t>
      </w:r>
      <w:r w:rsidR="00E560E9">
        <w:rPr>
          <w:rFonts w:ascii="Times New Roman" w:hAnsi="Times New Roman"/>
          <w:sz w:val="24"/>
          <w:szCs w:val="24"/>
        </w:rPr>
        <w:t>o spec</w:t>
      </w:r>
      <w:r w:rsidR="009655B4">
        <w:rPr>
          <w:rFonts w:ascii="Times New Roman" w:hAnsi="Times New Roman"/>
          <w:sz w:val="24"/>
          <w:szCs w:val="24"/>
        </w:rPr>
        <w:t xml:space="preserve">ifications or guidelines </w:t>
      </w:r>
      <w:r w:rsidR="00C8324B">
        <w:rPr>
          <w:rFonts w:ascii="Times New Roman" w:hAnsi="Times New Roman"/>
          <w:sz w:val="24"/>
          <w:szCs w:val="24"/>
        </w:rPr>
        <w:t xml:space="preserve">exist </w:t>
      </w:r>
      <w:r w:rsidR="009655B4">
        <w:rPr>
          <w:rFonts w:ascii="Times New Roman" w:hAnsi="Times New Roman"/>
          <w:sz w:val="24"/>
          <w:szCs w:val="24"/>
        </w:rPr>
        <w:t>on the</w:t>
      </w:r>
      <w:r w:rsidR="00E560E9">
        <w:rPr>
          <w:rFonts w:ascii="Times New Roman" w:hAnsi="Times New Roman"/>
          <w:sz w:val="24"/>
          <w:szCs w:val="24"/>
        </w:rPr>
        <w:t xml:space="preserve"> usage of the </w:t>
      </w:r>
      <w:r w:rsidR="00E5725A">
        <w:rPr>
          <w:rFonts w:ascii="Times New Roman" w:hAnsi="Times New Roman"/>
          <w:sz w:val="24"/>
          <w:szCs w:val="24"/>
        </w:rPr>
        <w:t>EMP</w:t>
      </w:r>
      <w:r w:rsidR="009655B4">
        <w:rPr>
          <w:rFonts w:ascii="Times New Roman" w:hAnsi="Times New Roman"/>
          <w:sz w:val="24"/>
          <w:szCs w:val="24"/>
        </w:rPr>
        <w:t xml:space="preserve"> </w:t>
      </w:r>
      <w:r w:rsidR="002C2B2B">
        <w:rPr>
          <w:rFonts w:ascii="Times New Roman" w:hAnsi="Times New Roman"/>
          <w:sz w:val="24"/>
          <w:szCs w:val="24"/>
        </w:rPr>
        <w:t>upon project approval</w:t>
      </w:r>
      <w:r w:rsidR="00E560E9">
        <w:rPr>
          <w:rFonts w:ascii="Times New Roman" w:hAnsi="Times New Roman"/>
          <w:sz w:val="24"/>
          <w:szCs w:val="24"/>
        </w:rPr>
        <w:t xml:space="preserve">. </w:t>
      </w:r>
      <w:r w:rsidRPr="00E5725A">
        <w:rPr>
          <w:rFonts w:ascii="Times New Roman" w:hAnsi="Times New Roman"/>
          <w:sz w:val="24"/>
          <w:szCs w:val="24"/>
        </w:rPr>
        <w:t xml:space="preserve">Interviewees noted that apart from lack of legislation, monitoring is also constrained by a lack of finances and human resource capacity. </w:t>
      </w:r>
    </w:p>
    <w:p w:rsidR="007D227E" w:rsidRDefault="007D227E" w:rsidP="00504A20">
      <w:pPr>
        <w:autoSpaceDE w:val="0"/>
        <w:autoSpaceDN w:val="0"/>
        <w:adjustRightInd w:val="0"/>
        <w:spacing w:line="360" w:lineRule="auto"/>
        <w:jc w:val="both"/>
        <w:rPr>
          <w:rFonts w:ascii="Times New Roman" w:hAnsi="Times New Roman"/>
          <w:sz w:val="24"/>
          <w:szCs w:val="24"/>
        </w:rPr>
      </w:pPr>
    </w:p>
    <w:p w:rsidR="007D227E" w:rsidRDefault="007D227E" w:rsidP="00504A20">
      <w:pPr>
        <w:autoSpaceDE w:val="0"/>
        <w:autoSpaceDN w:val="0"/>
        <w:adjustRightInd w:val="0"/>
        <w:spacing w:line="360" w:lineRule="auto"/>
        <w:jc w:val="both"/>
        <w:rPr>
          <w:rFonts w:ascii="Times New Roman" w:hAnsi="Times New Roman"/>
          <w:sz w:val="24"/>
          <w:szCs w:val="24"/>
        </w:rPr>
      </w:pPr>
    </w:p>
    <w:p w:rsidR="007D227E" w:rsidRDefault="007D227E" w:rsidP="00504A20">
      <w:pPr>
        <w:autoSpaceDE w:val="0"/>
        <w:autoSpaceDN w:val="0"/>
        <w:adjustRightInd w:val="0"/>
        <w:spacing w:line="360" w:lineRule="auto"/>
        <w:jc w:val="both"/>
        <w:rPr>
          <w:rFonts w:ascii="Times New Roman" w:hAnsi="Times New Roman"/>
          <w:sz w:val="24"/>
          <w:szCs w:val="24"/>
        </w:rPr>
      </w:pPr>
    </w:p>
    <w:p w:rsidR="00D25A02" w:rsidRPr="00E8057A" w:rsidRDefault="006B01F0" w:rsidP="007B58C2">
      <w:pPr>
        <w:pStyle w:val="ListParagraph"/>
        <w:numPr>
          <w:ilvl w:val="2"/>
          <w:numId w:val="17"/>
        </w:numPr>
        <w:spacing w:line="360" w:lineRule="auto"/>
        <w:jc w:val="both"/>
        <w:rPr>
          <w:rFonts w:ascii="Times New Roman" w:hAnsi="Times New Roman"/>
          <w:b/>
          <w:color w:val="000000"/>
          <w:sz w:val="24"/>
          <w:szCs w:val="24"/>
        </w:rPr>
      </w:pPr>
      <w:r w:rsidRPr="00E8057A">
        <w:rPr>
          <w:rFonts w:ascii="Times New Roman" w:hAnsi="Times New Roman"/>
          <w:b/>
          <w:color w:val="000000"/>
          <w:sz w:val="24"/>
          <w:szCs w:val="24"/>
        </w:rPr>
        <w:lastRenderedPageBreak/>
        <w:t>Experience of S</w:t>
      </w:r>
      <w:r w:rsidR="002D2AD0">
        <w:rPr>
          <w:rFonts w:ascii="Times New Roman" w:hAnsi="Times New Roman"/>
          <w:b/>
          <w:color w:val="000000"/>
          <w:sz w:val="24"/>
          <w:szCs w:val="24"/>
        </w:rPr>
        <w:t>trategic Environmental Assessment (S</w:t>
      </w:r>
      <w:r w:rsidRPr="00E8057A">
        <w:rPr>
          <w:rFonts w:ascii="Times New Roman" w:hAnsi="Times New Roman"/>
          <w:b/>
          <w:color w:val="000000"/>
          <w:sz w:val="24"/>
          <w:szCs w:val="24"/>
        </w:rPr>
        <w:t>EA</w:t>
      </w:r>
      <w:r w:rsidR="002D2AD0">
        <w:rPr>
          <w:rFonts w:ascii="Times New Roman" w:hAnsi="Times New Roman"/>
          <w:b/>
          <w:color w:val="000000"/>
          <w:sz w:val="24"/>
          <w:szCs w:val="24"/>
        </w:rPr>
        <w:t>)</w:t>
      </w:r>
    </w:p>
    <w:p w:rsidR="0029385B" w:rsidRDefault="006B01F0" w:rsidP="00504A20">
      <w:pPr>
        <w:pStyle w:val="ListParagraph"/>
        <w:spacing w:line="360" w:lineRule="auto"/>
        <w:ind w:left="0"/>
        <w:jc w:val="both"/>
        <w:rPr>
          <w:rFonts w:ascii="Times New Roman" w:hAnsi="Times New Roman"/>
          <w:sz w:val="24"/>
          <w:szCs w:val="24"/>
        </w:rPr>
      </w:pPr>
      <w:r w:rsidRPr="00D25A02">
        <w:rPr>
          <w:rFonts w:ascii="Times New Roman" w:hAnsi="Times New Roman"/>
          <w:sz w:val="24"/>
          <w:szCs w:val="24"/>
        </w:rPr>
        <w:t>Namibia</w:t>
      </w:r>
      <w:r w:rsidR="009E0A60">
        <w:rPr>
          <w:rFonts w:ascii="Times New Roman" w:hAnsi="Times New Roman"/>
          <w:sz w:val="24"/>
          <w:szCs w:val="24"/>
        </w:rPr>
        <w:t>’s</w:t>
      </w:r>
      <w:r w:rsidR="00E560E9" w:rsidRPr="00D25A02">
        <w:rPr>
          <w:rFonts w:ascii="Times New Roman" w:hAnsi="Times New Roman"/>
          <w:sz w:val="24"/>
          <w:szCs w:val="24"/>
        </w:rPr>
        <w:t xml:space="preserve"> EIA regulations </w:t>
      </w:r>
      <w:r w:rsidR="002E0781" w:rsidRPr="00D25A02">
        <w:rPr>
          <w:rFonts w:ascii="Times New Roman" w:hAnsi="Times New Roman"/>
          <w:sz w:val="24"/>
          <w:szCs w:val="24"/>
        </w:rPr>
        <w:t>appl</w:t>
      </w:r>
      <w:r w:rsidR="002E0781">
        <w:rPr>
          <w:rFonts w:ascii="Times New Roman" w:hAnsi="Times New Roman"/>
          <w:sz w:val="24"/>
          <w:szCs w:val="24"/>
        </w:rPr>
        <w:t>y</w:t>
      </w:r>
      <w:r w:rsidR="002E0781" w:rsidRPr="00D25A02">
        <w:rPr>
          <w:rFonts w:ascii="Times New Roman" w:hAnsi="Times New Roman"/>
          <w:sz w:val="24"/>
          <w:szCs w:val="24"/>
        </w:rPr>
        <w:t xml:space="preserve"> </w:t>
      </w:r>
      <w:r w:rsidR="00E560E9" w:rsidRPr="00D25A02">
        <w:rPr>
          <w:rFonts w:ascii="Times New Roman" w:hAnsi="Times New Roman"/>
          <w:sz w:val="24"/>
          <w:szCs w:val="24"/>
        </w:rPr>
        <w:t>to both public and private projects</w:t>
      </w:r>
      <w:r w:rsidR="00613DD3">
        <w:rPr>
          <w:rFonts w:ascii="Times New Roman" w:hAnsi="Times New Roman"/>
          <w:sz w:val="24"/>
          <w:szCs w:val="24"/>
        </w:rPr>
        <w:t>.</w:t>
      </w:r>
      <w:r w:rsidR="00E560E9" w:rsidRPr="00D25A02">
        <w:rPr>
          <w:rFonts w:ascii="Times New Roman" w:hAnsi="Times New Roman"/>
          <w:sz w:val="24"/>
          <w:szCs w:val="24"/>
        </w:rPr>
        <w:t xml:space="preserve"> </w:t>
      </w:r>
      <w:r w:rsidR="007801DB">
        <w:rPr>
          <w:rFonts w:ascii="Times New Roman" w:hAnsi="Times New Roman"/>
          <w:sz w:val="24"/>
          <w:szCs w:val="24"/>
        </w:rPr>
        <w:t xml:space="preserve">The </w:t>
      </w:r>
      <w:r w:rsidR="002D2AD0">
        <w:rPr>
          <w:rFonts w:ascii="Times New Roman" w:hAnsi="Times New Roman"/>
          <w:sz w:val="24"/>
          <w:szCs w:val="24"/>
        </w:rPr>
        <w:t xml:space="preserve">EMA (2007) vaguely </w:t>
      </w:r>
      <w:r w:rsidR="007801DB">
        <w:rPr>
          <w:rFonts w:ascii="Times New Roman" w:hAnsi="Times New Roman"/>
          <w:sz w:val="24"/>
          <w:szCs w:val="24"/>
        </w:rPr>
        <w:t>mentions SEA but no</w:t>
      </w:r>
      <w:r w:rsidRPr="00D25A02">
        <w:rPr>
          <w:rFonts w:ascii="Times New Roman" w:hAnsi="Times New Roman"/>
          <w:sz w:val="24"/>
          <w:szCs w:val="24"/>
        </w:rPr>
        <w:t xml:space="preserve"> specific clause</w:t>
      </w:r>
      <w:r w:rsidR="00E560E9" w:rsidRPr="00D25A02">
        <w:rPr>
          <w:rFonts w:ascii="Times New Roman" w:hAnsi="Times New Roman"/>
          <w:sz w:val="24"/>
          <w:szCs w:val="24"/>
        </w:rPr>
        <w:t xml:space="preserve"> </w:t>
      </w:r>
      <w:r w:rsidR="007801DB">
        <w:rPr>
          <w:rFonts w:ascii="Times New Roman" w:hAnsi="Times New Roman"/>
          <w:sz w:val="24"/>
          <w:szCs w:val="24"/>
        </w:rPr>
        <w:t>exist</w:t>
      </w:r>
      <w:r w:rsidR="00A40FFC">
        <w:rPr>
          <w:rFonts w:ascii="Times New Roman" w:hAnsi="Times New Roman"/>
          <w:sz w:val="24"/>
          <w:szCs w:val="24"/>
        </w:rPr>
        <w:t>s</w:t>
      </w:r>
      <w:r w:rsidR="007801DB">
        <w:rPr>
          <w:rFonts w:ascii="Times New Roman" w:hAnsi="Times New Roman"/>
          <w:sz w:val="24"/>
          <w:szCs w:val="24"/>
        </w:rPr>
        <w:t xml:space="preserve"> in the regulations about</w:t>
      </w:r>
      <w:r w:rsidR="002D2AD0">
        <w:rPr>
          <w:rFonts w:ascii="Times New Roman" w:hAnsi="Times New Roman"/>
          <w:sz w:val="24"/>
          <w:szCs w:val="24"/>
        </w:rPr>
        <w:t xml:space="preserve"> </w:t>
      </w:r>
      <w:r w:rsidR="0086282E">
        <w:rPr>
          <w:rFonts w:ascii="Times New Roman" w:hAnsi="Times New Roman"/>
          <w:sz w:val="24"/>
          <w:szCs w:val="24"/>
        </w:rPr>
        <w:t>SEA</w:t>
      </w:r>
      <w:r w:rsidR="007801DB">
        <w:rPr>
          <w:rFonts w:ascii="Times New Roman" w:hAnsi="Times New Roman"/>
          <w:sz w:val="24"/>
          <w:szCs w:val="24"/>
        </w:rPr>
        <w:t xml:space="preserve">. </w:t>
      </w:r>
      <w:r w:rsidR="0086282E">
        <w:rPr>
          <w:rFonts w:ascii="Times New Roman" w:hAnsi="Times New Roman"/>
          <w:sz w:val="24"/>
          <w:szCs w:val="24"/>
        </w:rPr>
        <w:t xml:space="preserve">Hence, there is limited SEA </w:t>
      </w:r>
      <w:r w:rsidR="00142376">
        <w:rPr>
          <w:rFonts w:ascii="Times New Roman" w:hAnsi="Times New Roman"/>
          <w:sz w:val="24"/>
          <w:szCs w:val="24"/>
        </w:rPr>
        <w:t xml:space="preserve">and only </w:t>
      </w:r>
      <w:r w:rsidR="00736153">
        <w:rPr>
          <w:rFonts w:ascii="Times New Roman" w:hAnsi="Times New Roman"/>
          <w:sz w:val="24"/>
          <w:szCs w:val="24"/>
        </w:rPr>
        <w:t>a handful w</w:t>
      </w:r>
      <w:r w:rsidR="00142376">
        <w:rPr>
          <w:rFonts w:ascii="Times New Roman" w:hAnsi="Times New Roman"/>
          <w:sz w:val="24"/>
          <w:szCs w:val="24"/>
        </w:rPr>
        <w:t xml:space="preserve">as </w:t>
      </w:r>
      <w:r w:rsidR="00736153">
        <w:rPr>
          <w:rFonts w:ascii="Times New Roman" w:hAnsi="Times New Roman"/>
          <w:sz w:val="24"/>
          <w:szCs w:val="24"/>
        </w:rPr>
        <w:t>undertaken between</w:t>
      </w:r>
      <w:r w:rsidR="00853DEE">
        <w:rPr>
          <w:rFonts w:ascii="Times New Roman" w:hAnsi="Times New Roman"/>
          <w:sz w:val="24"/>
          <w:szCs w:val="24"/>
        </w:rPr>
        <w:t xml:space="preserve"> 1980-1998 (Tarr &amp;</w:t>
      </w:r>
      <w:r w:rsidR="00142376">
        <w:rPr>
          <w:rFonts w:ascii="Times New Roman" w:hAnsi="Times New Roman"/>
          <w:sz w:val="24"/>
          <w:szCs w:val="24"/>
        </w:rPr>
        <w:t xml:space="preserve"> Figueira, 1999)</w:t>
      </w:r>
      <w:r w:rsidR="00495901">
        <w:rPr>
          <w:rFonts w:ascii="Times New Roman" w:hAnsi="Times New Roman"/>
          <w:sz w:val="24"/>
          <w:szCs w:val="24"/>
        </w:rPr>
        <w:t>, ten undertaken from 2008 through 2013</w:t>
      </w:r>
      <w:r w:rsidR="00495901" w:rsidRPr="00495901">
        <w:rPr>
          <w:rFonts w:ascii="Times New Roman" w:hAnsi="Times New Roman"/>
          <w:noProof/>
          <w:sz w:val="24"/>
          <w:szCs w:val="24"/>
        </w:rPr>
        <w:t xml:space="preserve"> </w:t>
      </w:r>
      <w:r w:rsidR="00495901">
        <w:rPr>
          <w:rFonts w:ascii="Times New Roman" w:hAnsi="Times New Roman"/>
          <w:noProof/>
          <w:sz w:val="24"/>
          <w:szCs w:val="24"/>
        </w:rPr>
        <w:t>(</w:t>
      </w:r>
      <w:r w:rsidR="00495901" w:rsidRPr="00BD6669">
        <w:rPr>
          <w:rFonts w:ascii="Times New Roman" w:hAnsi="Times New Roman"/>
          <w:noProof/>
          <w:sz w:val="24"/>
          <w:szCs w:val="24"/>
        </w:rPr>
        <w:t>Hipondoka et al., 2016</w:t>
      </w:r>
      <w:r w:rsidR="00495901">
        <w:rPr>
          <w:rFonts w:ascii="Times New Roman" w:hAnsi="Times New Roman"/>
          <w:noProof/>
          <w:sz w:val="24"/>
          <w:szCs w:val="24"/>
        </w:rPr>
        <w:t>)</w:t>
      </w:r>
      <w:r w:rsidR="00D705E3">
        <w:rPr>
          <w:rFonts w:ascii="Times New Roman" w:hAnsi="Times New Roman"/>
          <w:sz w:val="24"/>
          <w:szCs w:val="24"/>
        </w:rPr>
        <w:t xml:space="preserve"> and </w:t>
      </w:r>
      <w:r w:rsidR="00495901">
        <w:rPr>
          <w:rFonts w:ascii="Times New Roman" w:hAnsi="Times New Roman"/>
          <w:sz w:val="24"/>
          <w:szCs w:val="24"/>
        </w:rPr>
        <w:t>the most recent</w:t>
      </w:r>
      <w:r w:rsidR="00D705E3">
        <w:rPr>
          <w:rFonts w:ascii="Times New Roman" w:hAnsi="Times New Roman"/>
          <w:sz w:val="24"/>
          <w:szCs w:val="24"/>
        </w:rPr>
        <w:t xml:space="preserve"> </w:t>
      </w:r>
      <w:r w:rsidR="00495901">
        <w:rPr>
          <w:rFonts w:ascii="Times New Roman" w:hAnsi="Times New Roman"/>
          <w:sz w:val="24"/>
          <w:szCs w:val="24"/>
        </w:rPr>
        <w:t>SEA was carried out for the National Development Plan (NDP4) in 2015</w:t>
      </w:r>
      <w:r w:rsidR="00613DD3">
        <w:rPr>
          <w:rFonts w:ascii="Times New Roman" w:hAnsi="Times New Roman"/>
          <w:sz w:val="24"/>
          <w:szCs w:val="24"/>
        </w:rPr>
        <w:t xml:space="preserve"> </w:t>
      </w:r>
      <w:r w:rsidR="00BD6669">
        <w:rPr>
          <w:rFonts w:ascii="Times New Roman" w:hAnsi="Times New Roman"/>
          <w:sz w:val="24"/>
          <w:szCs w:val="24"/>
        </w:rPr>
        <w:fldChar w:fldCharType="begin" w:fldLock="1"/>
      </w:r>
      <w:r w:rsidR="00BD6669">
        <w:rPr>
          <w:rFonts w:ascii="Times New Roman" w:hAnsi="Times New Roman"/>
          <w:sz w:val="24"/>
          <w:szCs w:val="24"/>
        </w:rPr>
        <w:instrText>ADDIN CSL_CITATION {"citationItems":[{"id":"ITEM-1","itemData":{"DOI":"10.1080/14615517.2016.1192829","ISSN":"14615517","author":[{"dropping-particle":"","family":"Hipondoka","given":"M. H.T.","non-dropping-particle":"","parse-names":false,"suffix":""},{"dropping-particle":"","family":"Dalal-Clayton","given":"D. B.","non-dropping-particle":"","parse-names":false,"suffix":""},{"dropping-particle":"","family":"Gils","given":"H.","non-dropping-particle":"van","parse-names":false,"suffix":""}],"container-title":"Impact Assessment and Project Appraisal","id":"ITEM-1","issued":{"date-parts":[["2016"]]},"title":"Lessons learnt from voluntary strategic environmental assessments (SEAs) in Namibia","type":"article-journal"},"uris":["http://www.mendeley.com/documents/?uuid=8f4c0909-37b6-3ffc-a152-6470ad32cfce"]}],"mendeley":{"formattedCitation":"(Hipondoka et al., 2016)","plainTextFormattedCitation":"(Hipondoka et al., 2016)","previouslyFormattedCitation":"(Hipondoka et al., 2016)"},"properties":{"noteIndex":0},"schema":"https://github.com/citation-style-language/schema/raw/master/csl-citation.json"}</w:instrText>
      </w:r>
      <w:r w:rsidR="00BD6669">
        <w:rPr>
          <w:rFonts w:ascii="Times New Roman" w:hAnsi="Times New Roman"/>
          <w:sz w:val="24"/>
          <w:szCs w:val="24"/>
        </w:rPr>
        <w:fldChar w:fldCharType="separate"/>
      </w:r>
      <w:r w:rsidR="00BD6669" w:rsidRPr="00BD6669">
        <w:rPr>
          <w:rFonts w:ascii="Times New Roman" w:hAnsi="Times New Roman"/>
          <w:noProof/>
          <w:sz w:val="24"/>
          <w:szCs w:val="24"/>
        </w:rPr>
        <w:t>(</w:t>
      </w:r>
      <w:r w:rsidR="00F83382" w:rsidRPr="00BD6669">
        <w:rPr>
          <w:rFonts w:ascii="Times New Roman" w:hAnsi="Times New Roman"/>
          <w:noProof/>
          <w:sz w:val="24"/>
          <w:szCs w:val="24"/>
        </w:rPr>
        <w:t>Dalal-Clayton &amp; Tarr, 2015</w:t>
      </w:r>
      <w:r w:rsidR="00BD6669">
        <w:rPr>
          <w:rFonts w:ascii="Times New Roman" w:hAnsi="Times New Roman"/>
          <w:sz w:val="24"/>
          <w:szCs w:val="24"/>
        </w:rPr>
        <w:fldChar w:fldCharType="end"/>
      </w:r>
      <w:r w:rsidR="00BD6669">
        <w:rPr>
          <w:rFonts w:ascii="Times New Roman" w:hAnsi="Times New Roman"/>
          <w:sz w:val="24"/>
          <w:szCs w:val="24"/>
        </w:rPr>
        <w:fldChar w:fldCharType="begin" w:fldLock="1"/>
      </w:r>
      <w:r w:rsidR="00BD6669">
        <w:rPr>
          <w:rFonts w:ascii="Times New Roman" w:hAnsi="Times New Roman"/>
          <w:sz w:val="24"/>
          <w:szCs w:val="24"/>
        </w:rPr>
        <w:instrText>ADDIN CSL_CITATION {"citationItems":[{"id":"ITEM-1","itemData":{"DOI":"10.1080/14615517.2015.1063921","ISSN":"14615517","abstract":"This article describes a rapid strategic environmental assessment (SEA) of Namibia's Fourth National Development Plan (NDP4) (2012–2013 to 2016–2017). The authors believe this to be the first application of such an approach to a national development plan that typically charts a country's key over-arching development objectives and targets. It was undertaken over four weeks and involved a preparatory desk review of the objectives and implementation strategies of NDP4, Vision-2030 and key sector policies, as well as several other policies. The results were analysed during half-day, facilitated, multi-stakeholder focus sessions convened for each of five policy clusters that drive development in Namibia: land and agriculture, water, conservation and tourism, mining and industry, and fisheries. Policy performance and synergies/antagonisms within and between policies were assessed, and how policy elements might be improved to enhance synergies/reduce antagonisms and improve their contribution to sustainable development and achieve the goals of NDP4 and Vision-2030. This rapid approach to SEA offers a cost-effective alternative to conventional SEA requiring many months, a team of experts and an extensive process.","author":[{"dropping-particle":"","family":"Dalal-Clayton","given":"D. B.","non-dropping-particle":"","parse-names":false,"suffix":""},{"dropping-particle":"","family":"Tarr","given":"P.","non-dropping-particle":"","parse-names":false,"suffix":""}],"container-title":"Impact Assessment and Project Appraisal","id":"ITEM-1","issued":{"date-parts":[["2015"]]},"title":"Using rapid SEA to influence national planning in Namibia","type":"article-journal"},"uris":["http://www.mendeley.com/documents/?uuid=65e7fb0d-f9d0-3376-8401-97e258e75624"]}],"mendeley":{"formattedCitation":"(Dalal-Clayton &amp; Tarr, 2015)","plainTextFormattedCitation":"(Dalal-Clayton &amp; Tarr, 2015)","previouslyFormattedCitation":"(Dalal-Clayton &amp; Tarr, 2015)"},"properties":{"noteIndex":0},"schema":"https://github.com/citation-style-language/schema/raw/master/csl-citation.json"}</w:instrText>
      </w:r>
      <w:r w:rsidR="00BD6669">
        <w:rPr>
          <w:rFonts w:ascii="Times New Roman" w:hAnsi="Times New Roman"/>
          <w:sz w:val="24"/>
          <w:szCs w:val="24"/>
        </w:rPr>
        <w:fldChar w:fldCharType="separate"/>
      </w:r>
      <w:r w:rsidR="00BD6669" w:rsidRPr="00BD6669">
        <w:rPr>
          <w:rFonts w:ascii="Times New Roman" w:hAnsi="Times New Roman"/>
          <w:noProof/>
          <w:sz w:val="24"/>
          <w:szCs w:val="24"/>
        </w:rPr>
        <w:t>)</w:t>
      </w:r>
      <w:r w:rsidR="00BD6669">
        <w:rPr>
          <w:rFonts w:ascii="Times New Roman" w:hAnsi="Times New Roman"/>
          <w:sz w:val="24"/>
          <w:szCs w:val="24"/>
        </w:rPr>
        <w:fldChar w:fldCharType="end"/>
      </w:r>
      <w:r w:rsidR="00BD6669">
        <w:rPr>
          <w:rFonts w:ascii="Times New Roman" w:hAnsi="Times New Roman"/>
          <w:sz w:val="24"/>
          <w:szCs w:val="24"/>
        </w:rPr>
        <w:t xml:space="preserve">. </w:t>
      </w:r>
      <w:r w:rsidR="00361745">
        <w:rPr>
          <w:rFonts w:ascii="Times New Roman" w:hAnsi="Times New Roman"/>
          <w:sz w:val="24"/>
          <w:szCs w:val="24"/>
        </w:rPr>
        <w:t>The majority of interviewees suggested the inclusion of SEA requirements in the revised EIA legislation stating it can improve the effec</w:t>
      </w:r>
      <w:r w:rsidR="008334C3">
        <w:rPr>
          <w:rFonts w:ascii="Times New Roman" w:hAnsi="Times New Roman"/>
          <w:sz w:val="24"/>
          <w:szCs w:val="24"/>
        </w:rPr>
        <w:t>tiveness</w:t>
      </w:r>
      <w:r w:rsidR="00361745">
        <w:rPr>
          <w:rFonts w:ascii="Times New Roman" w:hAnsi="Times New Roman"/>
          <w:sz w:val="24"/>
          <w:szCs w:val="24"/>
        </w:rPr>
        <w:t xml:space="preserve"> of the system.</w:t>
      </w:r>
    </w:p>
    <w:p w:rsidR="00397A7C" w:rsidRPr="00361745" w:rsidRDefault="00397A7C" w:rsidP="00504A20">
      <w:pPr>
        <w:pStyle w:val="ListParagraph"/>
        <w:spacing w:line="360" w:lineRule="auto"/>
        <w:ind w:left="0"/>
        <w:jc w:val="both"/>
        <w:rPr>
          <w:rFonts w:ascii="Times New Roman" w:hAnsi="Times New Roman"/>
          <w:sz w:val="24"/>
          <w:szCs w:val="24"/>
        </w:rPr>
      </w:pPr>
    </w:p>
    <w:p w:rsidR="00E560E9" w:rsidRPr="00F92D95" w:rsidRDefault="006B01F0" w:rsidP="007B58C2">
      <w:pPr>
        <w:pStyle w:val="Default"/>
        <w:numPr>
          <w:ilvl w:val="2"/>
          <w:numId w:val="17"/>
        </w:numPr>
        <w:spacing w:line="360" w:lineRule="auto"/>
        <w:jc w:val="both"/>
        <w:rPr>
          <w:rFonts w:ascii="Times New Roman" w:hAnsi="Times New Roman" w:cs="Times New Roman"/>
          <w:b/>
          <w:color w:val="auto"/>
        </w:rPr>
      </w:pPr>
      <w:r w:rsidRPr="00F92D95">
        <w:rPr>
          <w:rFonts w:ascii="Times New Roman" w:hAnsi="Times New Roman" w:cs="Times New Roman"/>
          <w:b/>
          <w:color w:val="auto"/>
        </w:rPr>
        <w:t>Time and cost</w:t>
      </w:r>
      <w:r w:rsidR="00495901">
        <w:rPr>
          <w:rFonts w:ascii="Times New Roman" w:hAnsi="Times New Roman" w:cs="Times New Roman"/>
          <w:b/>
          <w:color w:val="auto"/>
        </w:rPr>
        <w:t>s</w:t>
      </w:r>
      <w:r w:rsidRPr="00F92D95">
        <w:rPr>
          <w:rFonts w:ascii="Times New Roman" w:hAnsi="Times New Roman" w:cs="Times New Roman"/>
          <w:b/>
          <w:color w:val="auto"/>
        </w:rPr>
        <w:t xml:space="preserve"> of EIA</w:t>
      </w:r>
    </w:p>
    <w:p w:rsidR="00495901" w:rsidRDefault="006B01F0" w:rsidP="00A17C62">
      <w:pPr>
        <w:pStyle w:val="CommentText"/>
        <w:spacing w:line="360" w:lineRule="auto"/>
        <w:jc w:val="both"/>
        <w:rPr>
          <w:rFonts w:ascii="Times New Roman" w:hAnsi="Times New Roman"/>
          <w:sz w:val="24"/>
          <w:szCs w:val="24"/>
        </w:rPr>
      </w:pPr>
      <w:r>
        <w:rPr>
          <w:rFonts w:ascii="Times New Roman" w:hAnsi="Times New Roman"/>
          <w:sz w:val="24"/>
          <w:szCs w:val="24"/>
        </w:rPr>
        <w:t xml:space="preserve">According to section 35 of the </w:t>
      </w:r>
      <w:r w:rsidR="00BF1723">
        <w:rPr>
          <w:rFonts w:ascii="Times New Roman" w:hAnsi="Times New Roman"/>
          <w:sz w:val="24"/>
          <w:szCs w:val="24"/>
        </w:rPr>
        <w:t>EMA (2007)</w:t>
      </w:r>
      <w:r>
        <w:rPr>
          <w:rFonts w:ascii="Times New Roman" w:hAnsi="Times New Roman"/>
          <w:sz w:val="24"/>
          <w:szCs w:val="24"/>
        </w:rPr>
        <w:t>, t</w:t>
      </w:r>
      <w:r w:rsidR="009655B4" w:rsidRPr="006D3B1D">
        <w:rPr>
          <w:rFonts w:ascii="Times New Roman" w:hAnsi="Times New Roman"/>
          <w:sz w:val="24"/>
          <w:szCs w:val="24"/>
        </w:rPr>
        <w:t xml:space="preserve">he </w:t>
      </w:r>
      <w:r w:rsidR="00F61D4F" w:rsidRPr="006D3B1D">
        <w:rPr>
          <w:rFonts w:ascii="Times New Roman" w:hAnsi="Times New Roman"/>
          <w:sz w:val="24"/>
          <w:szCs w:val="24"/>
        </w:rPr>
        <w:t xml:space="preserve">cost of the </w:t>
      </w:r>
      <w:r w:rsidR="009655B4" w:rsidRPr="006D3B1D">
        <w:rPr>
          <w:rFonts w:ascii="Times New Roman" w:hAnsi="Times New Roman"/>
          <w:sz w:val="24"/>
          <w:szCs w:val="24"/>
        </w:rPr>
        <w:t xml:space="preserve">EIA </w:t>
      </w:r>
      <w:r w:rsidR="00F83382">
        <w:rPr>
          <w:rFonts w:ascii="Times New Roman" w:hAnsi="Times New Roman"/>
          <w:sz w:val="24"/>
          <w:szCs w:val="24"/>
        </w:rPr>
        <w:t>service</w:t>
      </w:r>
      <w:r w:rsidR="00F83382" w:rsidRPr="006D3B1D">
        <w:rPr>
          <w:rFonts w:ascii="Times New Roman" w:hAnsi="Times New Roman"/>
          <w:sz w:val="24"/>
          <w:szCs w:val="24"/>
        </w:rPr>
        <w:t xml:space="preserve"> </w:t>
      </w:r>
      <w:r w:rsidR="009655B4" w:rsidRPr="006D3B1D">
        <w:rPr>
          <w:rFonts w:ascii="Times New Roman" w:hAnsi="Times New Roman"/>
          <w:sz w:val="24"/>
          <w:szCs w:val="24"/>
        </w:rPr>
        <w:t xml:space="preserve">is </w:t>
      </w:r>
      <w:r w:rsidR="00F61D4F" w:rsidRPr="006D3B1D">
        <w:rPr>
          <w:rFonts w:ascii="Times New Roman" w:hAnsi="Times New Roman"/>
          <w:sz w:val="24"/>
          <w:szCs w:val="24"/>
        </w:rPr>
        <w:t xml:space="preserve">the responsibility of </w:t>
      </w:r>
      <w:r w:rsidR="009655B4" w:rsidRPr="006D3B1D">
        <w:rPr>
          <w:rFonts w:ascii="Times New Roman" w:hAnsi="Times New Roman"/>
          <w:sz w:val="24"/>
          <w:szCs w:val="24"/>
        </w:rPr>
        <w:t xml:space="preserve">the </w:t>
      </w:r>
      <w:r w:rsidR="00F83382">
        <w:rPr>
          <w:rFonts w:ascii="Times New Roman" w:hAnsi="Times New Roman"/>
          <w:sz w:val="24"/>
          <w:szCs w:val="24"/>
        </w:rPr>
        <w:t>developer.</w:t>
      </w:r>
      <w:r w:rsidR="00F83382" w:rsidRPr="006D3B1D">
        <w:rPr>
          <w:rFonts w:ascii="Times New Roman" w:hAnsi="Times New Roman"/>
          <w:sz w:val="24"/>
          <w:szCs w:val="24"/>
        </w:rPr>
        <w:t xml:space="preserve"> </w:t>
      </w:r>
      <w:r w:rsidR="00200FAC" w:rsidRPr="006D3B1D">
        <w:rPr>
          <w:rFonts w:ascii="Times New Roman" w:hAnsi="Times New Roman"/>
          <w:sz w:val="24"/>
          <w:szCs w:val="24"/>
        </w:rPr>
        <w:t xml:space="preserve">The </w:t>
      </w:r>
      <w:r w:rsidR="007455F8" w:rsidRPr="006D3B1D">
        <w:rPr>
          <w:rFonts w:ascii="Times New Roman" w:hAnsi="Times New Roman"/>
          <w:sz w:val="24"/>
          <w:szCs w:val="24"/>
        </w:rPr>
        <w:t>annexes</w:t>
      </w:r>
      <w:r w:rsidR="00E560E9" w:rsidRPr="006D3B1D">
        <w:rPr>
          <w:rFonts w:ascii="Times New Roman" w:hAnsi="Times New Roman"/>
          <w:sz w:val="24"/>
          <w:szCs w:val="24"/>
        </w:rPr>
        <w:t xml:space="preserve"> of fees </w:t>
      </w:r>
      <w:r w:rsidR="007615F1">
        <w:rPr>
          <w:rFonts w:ascii="Times New Roman" w:hAnsi="Times New Roman"/>
          <w:sz w:val="24"/>
          <w:szCs w:val="24"/>
        </w:rPr>
        <w:t>indicated</w:t>
      </w:r>
      <w:r w:rsidR="00200FAC" w:rsidRPr="006D3B1D">
        <w:rPr>
          <w:rFonts w:ascii="Times New Roman" w:hAnsi="Times New Roman"/>
          <w:sz w:val="24"/>
          <w:szCs w:val="24"/>
        </w:rPr>
        <w:t xml:space="preserve"> that</w:t>
      </w:r>
      <w:r w:rsidR="00E560E9" w:rsidRPr="006D3B1D">
        <w:rPr>
          <w:rFonts w:ascii="Times New Roman" w:hAnsi="Times New Roman"/>
          <w:sz w:val="24"/>
          <w:szCs w:val="24"/>
        </w:rPr>
        <w:t xml:space="preserve"> </w:t>
      </w:r>
      <w:r>
        <w:rPr>
          <w:rFonts w:ascii="Times New Roman" w:hAnsi="Times New Roman"/>
          <w:sz w:val="24"/>
          <w:szCs w:val="24"/>
        </w:rPr>
        <w:t xml:space="preserve">the clearance certificate and its amendment </w:t>
      </w:r>
      <w:r w:rsidR="00F61D4F" w:rsidRPr="006D3B1D">
        <w:rPr>
          <w:rFonts w:ascii="Times New Roman" w:hAnsi="Times New Roman"/>
          <w:sz w:val="24"/>
          <w:szCs w:val="24"/>
        </w:rPr>
        <w:t>cost N$ 300</w:t>
      </w:r>
      <w:r w:rsidR="00C53B21">
        <w:rPr>
          <w:rFonts w:ascii="Times New Roman" w:hAnsi="Times New Roman"/>
          <w:sz w:val="24"/>
          <w:szCs w:val="24"/>
        </w:rPr>
        <w:t xml:space="preserve"> (20.18 USD</w:t>
      </w:r>
      <w:r w:rsidR="00BF1723">
        <w:rPr>
          <w:rFonts w:ascii="Times New Roman" w:hAnsi="Times New Roman"/>
          <w:sz w:val="24"/>
          <w:szCs w:val="24"/>
        </w:rPr>
        <w:t xml:space="preserve"> </w:t>
      </w:r>
      <w:r w:rsidR="00B72E5B">
        <w:rPr>
          <w:rFonts w:ascii="Times New Roman" w:hAnsi="Times New Roman"/>
          <w:sz w:val="24"/>
          <w:szCs w:val="24"/>
        </w:rPr>
        <w:t>on</w:t>
      </w:r>
      <w:r>
        <w:rPr>
          <w:rFonts w:ascii="Times New Roman" w:hAnsi="Times New Roman"/>
          <w:sz w:val="24"/>
          <w:szCs w:val="24"/>
        </w:rPr>
        <w:t xml:space="preserve"> 15</w:t>
      </w:r>
      <w:r w:rsidR="00906BDC">
        <w:rPr>
          <w:rFonts w:ascii="Times New Roman" w:hAnsi="Times New Roman"/>
          <w:sz w:val="24"/>
          <w:szCs w:val="24"/>
        </w:rPr>
        <w:t>/08</w:t>
      </w:r>
      <w:r w:rsidR="00BF1723">
        <w:rPr>
          <w:rFonts w:ascii="Times New Roman" w:hAnsi="Times New Roman"/>
          <w:sz w:val="24"/>
          <w:szCs w:val="24"/>
        </w:rPr>
        <w:t>/2021</w:t>
      </w:r>
      <w:r w:rsidR="00C53B21">
        <w:rPr>
          <w:rFonts w:ascii="Times New Roman" w:hAnsi="Times New Roman"/>
          <w:sz w:val="24"/>
          <w:szCs w:val="24"/>
        </w:rPr>
        <w:t>)</w:t>
      </w:r>
      <w:r w:rsidR="00F61D4F" w:rsidRPr="006D3B1D">
        <w:rPr>
          <w:rFonts w:ascii="Times New Roman" w:hAnsi="Times New Roman"/>
          <w:sz w:val="24"/>
          <w:szCs w:val="24"/>
        </w:rPr>
        <w:t xml:space="preserve">, </w:t>
      </w:r>
      <w:r w:rsidR="00200FAC" w:rsidRPr="006D3B1D">
        <w:rPr>
          <w:rFonts w:ascii="Times New Roman" w:hAnsi="Times New Roman"/>
          <w:sz w:val="24"/>
          <w:szCs w:val="24"/>
        </w:rPr>
        <w:t>while the</w:t>
      </w:r>
      <w:r w:rsidR="00E560E9" w:rsidRPr="006D3B1D">
        <w:rPr>
          <w:rFonts w:ascii="Times New Roman" w:hAnsi="Times New Roman"/>
          <w:sz w:val="24"/>
          <w:szCs w:val="24"/>
        </w:rPr>
        <w:t xml:space="preserve"> application for transfer</w:t>
      </w:r>
      <w:r>
        <w:rPr>
          <w:rFonts w:ascii="Times New Roman" w:hAnsi="Times New Roman"/>
          <w:sz w:val="24"/>
          <w:szCs w:val="24"/>
        </w:rPr>
        <w:t>ring</w:t>
      </w:r>
      <w:r w:rsidR="00E560E9" w:rsidRPr="006D3B1D">
        <w:rPr>
          <w:rFonts w:ascii="Times New Roman" w:hAnsi="Times New Roman"/>
          <w:sz w:val="24"/>
          <w:szCs w:val="24"/>
        </w:rPr>
        <w:t xml:space="preserve"> </w:t>
      </w:r>
      <w:r>
        <w:rPr>
          <w:rFonts w:ascii="Times New Roman" w:hAnsi="Times New Roman"/>
          <w:sz w:val="24"/>
          <w:szCs w:val="24"/>
        </w:rPr>
        <w:t xml:space="preserve">the clearance </w:t>
      </w:r>
      <w:r w:rsidRPr="00F83382">
        <w:rPr>
          <w:rFonts w:ascii="Times New Roman" w:hAnsi="Times New Roman"/>
          <w:sz w:val="24"/>
          <w:szCs w:val="24"/>
        </w:rPr>
        <w:t xml:space="preserve">certificate and the appeal process </w:t>
      </w:r>
      <w:r>
        <w:rPr>
          <w:rFonts w:ascii="Times New Roman" w:hAnsi="Times New Roman"/>
          <w:sz w:val="24"/>
          <w:szCs w:val="24"/>
        </w:rPr>
        <w:t xml:space="preserve">both cost </w:t>
      </w:r>
      <w:r w:rsidRPr="00F83382">
        <w:rPr>
          <w:rFonts w:ascii="Times New Roman" w:hAnsi="Times New Roman"/>
          <w:sz w:val="24"/>
          <w:szCs w:val="24"/>
        </w:rPr>
        <w:t>N$1000</w:t>
      </w:r>
      <w:r w:rsidR="00C53B21" w:rsidRPr="00F83382">
        <w:rPr>
          <w:rFonts w:ascii="Times New Roman" w:hAnsi="Times New Roman"/>
          <w:sz w:val="24"/>
          <w:szCs w:val="24"/>
        </w:rPr>
        <w:t xml:space="preserve"> (67.71</w:t>
      </w:r>
      <w:r w:rsidR="007615F1">
        <w:rPr>
          <w:rFonts w:ascii="Times New Roman" w:hAnsi="Times New Roman"/>
          <w:sz w:val="24"/>
          <w:szCs w:val="24"/>
        </w:rPr>
        <w:t xml:space="preserve"> </w:t>
      </w:r>
      <w:r w:rsidR="00C53B21" w:rsidRPr="00F83382">
        <w:rPr>
          <w:rFonts w:ascii="Times New Roman" w:hAnsi="Times New Roman"/>
          <w:sz w:val="24"/>
          <w:szCs w:val="24"/>
        </w:rPr>
        <w:t>USD</w:t>
      </w:r>
      <w:r>
        <w:rPr>
          <w:rFonts w:ascii="Times New Roman" w:hAnsi="Times New Roman"/>
          <w:sz w:val="24"/>
          <w:szCs w:val="24"/>
        </w:rPr>
        <w:t xml:space="preserve"> </w:t>
      </w:r>
      <w:r w:rsidR="00397A7C">
        <w:rPr>
          <w:rFonts w:ascii="Times New Roman" w:hAnsi="Times New Roman"/>
          <w:sz w:val="24"/>
          <w:szCs w:val="24"/>
        </w:rPr>
        <w:t>on</w:t>
      </w:r>
      <w:r>
        <w:rPr>
          <w:rFonts w:ascii="Times New Roman" w:hAnsi="Times New Roman"/>
          <w:sz w:val="24"/>
          <w:szCs w:val="24"/>
        </w:rPr>
        <w:t xml:space="preserve"> 15</w:t>
      </w:r>
      <w:r w:rsidR="00906BDC">
        <w:rPr>
          <w:rFonts w:ascii="Times New Roman" w:hAnsi="Times New Roman"/>
          <w:sz w:val="24"/>
          <w:szCs w:val="24"/>
        </w:rPr>
        <w:t>/08</w:t>
      </w:r>
      <w:r w:rsidR="00BF1723" w:rsidRPr="00F83382">
        <w:rPr>
          <w:rFonts w:ascii="Times New Roman" w:hAnsi="Times New Roman"/>
          <w:sz w:val="24"/>
          <w:szCs w:val="24"/>
        </w:rPr>
        <w:t>/2021</w:t>
      </w:r>
      <w:r w:rsidR="007615F1">
        <w:rPr>
          <w:rFonts w:ascii="Times New Roman" w:hAnsi="Times New Roman"/>
          <w:sz w:val="24"/>
          <w:szCs w:val="24"/>
        </w:rPr>
        <w:t>)</w:t>
      </w:r>
      <w:r w:rsidRPr="00F83382">
        <w:rPr>
          <w:rFonts w:ascii="Times New Roman" w:hAnsi="Times New Roman"/>
          <w:sz w:val="24"/>
          <w:szCs w:val="24"/>
        </w:rPr>
        <w:t>.</w:t>
      </w:r>
      <w:r w:rsidR="00E560E9" w:rsidRPr="00F83382">
        <w:rPr>
          <w:rFonts w:ascii="Times New Roman" w:hAnsi="Times New Roman"/>
          <w:sz w:val="24"/>
          <w:szCs w:val="24"/>
        </w:rPr>
        <w:t xml:space="preserve"> The </w:t>
      </w:r>
      <w:r w:rsidR="00BF1723" w:rsidRPr="00F83382">
        <w:rPr>
          <w:rFonts w:ascii="Times New Roman" w:hAnsi="Times New Roman"/>
          <w:sz w:val="24"/>
          <w:szCs w:val="24"/>
        </w:rPr>
        <w:t xml:space="preserve">consultant </w:t>
      </w:r>
      <w:r w:rsidR="009655B4" w:rsidRPr="00F83382">
        <w:rPr>
          <w:rFonts w:ascii="Times New Roman" w:hAnsi="Times New Roman"/>
          <w:sz w:val="24"/>
          <w:szCs w:val="24"/>
        </w:rPr>
        <w:t xml:space="preserve">determines the </w:t>
      </w:r>
      <w:r w:rsidR="00E560E9" w:rsidRPr="00F83382">
        <w:rPr>
          <w:rFonts w:ascii="Times New Roman" w:hAnsi="Times New Roman"/>
          <w:sz w:val="24"/>
          <w:szCs w:val="24"/>
        </w:rPr>
        <w:t xml:space="preserve">cost of the assessment services. </w:t>
      </w:r>
    </w:p>
    <w:p w:rsidR="00F447DD" w:rsidRDefault="006B01F0" w:rsidP="00A17C62">
      <w:pPr>
        <w:pStyle w:val="CommentText"/>
        <w:spacing w:line="360" w:lineRule="auto"/>
        <w:jc w:val="both"/>
        <w:rPr>
          <w:rFonts w:ascii="Times New Roman" w:hAnsi="Times New Roman"/>
        </w:rPr>
      </w:pPr>
      <w:r w:rsidRPr="00F83382">
        <w:rPr>
          <w:rFonts w:ascii="Times New Roman" w:hAnsi="Times New Roman"/>
          <w:sz w:val="24"/>
          <w:szCs w:val="24"/>
        </w:rPr>
        <w:t xml:space="preserve">The majority </w:t>
      </w:r>
      <w:r w:rsidR="00A40FFC">
        <w:rPr>
          <w:rFonts w:ascii="Times New Roman" w:hAnsi="Times New Roman"/>
          <w:sz w:val="24"/>
          <w:szCs w:val="24"/>
        </w:rPr>
        <w:t xml:space="preserve">of </w:t>
      </w:r>
      <w:r w:rsidR="002E72F6" w:rsidRPr="00F83382">
        <w:rPr>
          <w:rFonts w:ascii="Times New Roman" w:hAnsi="Times New Roman"/>
          <w:sz w:val="24"/>
          <w:szCs w:val="24"/>
        </w:rPr>
        <w:t xml:space="preserve">interviewees </w:t>
      </w:r>
      <w:r w:rsidR="00ED21F7" w:rsidRPr="00F83382">
        <w:rPr>
          <w:rFonts w:ascii="Times New Roman" w:hAnsi="Times New Roman"/>
          <w:sz w:val="24"/>
          <w:szCs w:val="24"/>
        </w:rPr>
        <w:t>noted that</w:t>
      </w:r>
      <w:r w:rsidR="009655B4" w:rsidRPr="00F83382">
        <w:rPr>
          <w:rFonts w:ascii="Times New Roman" w:hAnsi="Times New Roman"/>
          <w:sz w:val="24"/>
          <w:szCs w:val="24"/>
        </w:rPr>
        <w:t xml:space="preserve"> EIAs are generally not cheap</w:t>
      </w:r>
      <w:r w:rsidR="002E72F6" w:rsidRPr="00F83382">
        <w:rPr>
          <w:rFonts w:ascii="Times New Roman" w:hAnsi="Times New Roman"/>
          <w:sz w:val="24"/>
          <w:szCs w:val="24"/>
        </w:rPr>
        <w:t xml:space="preserve"> in Namibia</w:t>
      </w:r>
      <w:r w:rsidR="009655B4" w:rsidRPr="00F83382">
        <w:rPr>
          <w:rFonts w:ascii="Times New Roman" w:hAnsi="Times New Roman"/>
          <w:sz w:val="24"/>
          <w:szCs w:val="24"/>
        </w:rPr>
        <w:t xml:space="preserve"> </w:t>
      </w:r>
      <w:r w:rsidR="002E72F6" w:rsidRPr="00F83382">
        <w:rPr>
          <w:rFonts w:ascii="Times New Roman" w:hAnsi="Times New Roman"/>
          <w:sz w:val="24"/>
          <w:szCs w:val="24"/>
        </w:rPr>
        <w:t xml:space="preserve">and can </w:t>
      </w:r>
      <w:r w:rsidR="00BF1723" w:rsidRPr="00F83382">
        <w:rPr>
          <w:rFonts w:ascii="Times New Roman" w:hAnsi="Times New Roman"/>
          <w:sz w:val="24"/>
          <w:szCs w:val="24"/>
        </w:rPr>
        <w:t>cost between</w:t>
      </w:r>
      <w:r w:rsidR="00ED21F7" w:rsidRPr="00F83382">
        <w:rPr>
          <w:rFonts w:ascii="Times New Roman" w:hAnsi="Times New Roman"/>
          <w:sz w:val="24"/>
          <w:szCs w:val="24"/>
        </w:rPr>
        <w:t xml:space="preserve"> N$50 000</w:t>
      </w:r>
      <w:r w:rsidR="008D56FE">
        <w:rPr>
          <w:rFonts w:ascii="Times New Roman" w:hAnsi="Times New Roman"/>
          <w:sz w:val="24"/>
          <w:szCs w:val="24"/>
        </w:rPr>
        <w:t xml:space="preserve"> (3357.86 USD</w:t>
      </w:r>
      <w:r w:rsidR="00495901" w:rsidRPr="00495901">
        <w:rPr>
          <w:rFonts w:ascii="Times New Roman" w:hAnsi="Times New Roman"/>
          <w:sz w:val="24"/>
          <w:szCs w:val="24"/>
        </w:rPr>
        <w:t xml:space="preserve"> </w:t>
      </w:r>
      <w:r w:rsidR="00397A7C">
        <w:rPr>
          <w:rFonts w:ascii="Times New Roman" w:hAnsi="Times New Roman"/>
          <w:sz w:val="24"/>
          <w:szCs w:val="24"/>
        </w:rPr>
        <w:t>on</w:t>
      </w:r>
      <w:r w:rsidR="00495901">
        <w:rPr>
          <w:rFonts w:ascii="Times New Roman" w:hAnsi="Times New Roman"/>
          <w:sz w:val="24"/>
          <w:szCs w:val="24"/>
        </w:rPr>
        <w:t xml:space="preserve"> 15</w:t>
      </w:r>
      <w:r w:rsidR="00D076D4">
        <w:rPr>
          <w:rFonts w:ascii="Times New Roman" w:hAnsi="Times New Roman"/>
          <w:sz w:val="24"/>
          <w:szCs w:val="24"/>
        </w:rPr>
        <w:t>/08</w:t>
      </w:r>
      <w:r w:rsidR="00495901" w:rsidRPr="00F83382">
        <w:rPr>
          <w:rFonts w:ascii="Times New Roman" w:hAnsi="Times New Roman"/>
          <w:sz w:val="24"/>
          <w:szCs w:val="24"/>
        </w:rPr>
        <w:t>/2021</w:t>
      </w:r>
      <w:r w:rsidR="008D56FE">
        <w:rPr>
          <w:rFonts w:ascii="Times New Roman" w:hAnsi="Times New Roman"/>
          <w:sz w:val="24"/>
          <w:szCs w:val="24"/>
        </w:rPr>
        <w:t>)</w:t>
      </w:r>
      <w:r w:rsidR="00ED21F7" w:rsidRPr="00F83382">
        <w:rPr>
          <w:rFonts w:ascii="Times New Roman" w:hAnsi="Times New Roman"/>
          <w:sz w:val="24"/>
          <w:szCs w:val="24"/>
        </w:rPr>
        <w:t xml:space="preserve"> for </w:t>
      </w:r>
      <w:r w:rsidR="002E72F6" w:rsidRPr="00F83382">
        <w:rPr>
          <w:rFonts w:ascii="Times New Roman" w:hAnsi="Times New Roman"/>
          <w:sz w:val="24"/>
          <w:szCs w:val="24"/>
        </w:rPr>
        <w:t xml:space="preserve">a </w:t>
      </w:r>
      <w:r w:rsidR="00ED21F7" w:rsidRPr="00F83382">
        <w:rPr>
          <w:rFonts w:ascii="Times New Roman" w:hAnsi="Times New Roman"/>
          <w:sz w:val="24"/>
          <w:szCs w:val="24"/>
        </w:rPr>
        <w:t>small project an</w:t>
      </w:r>
      <w:r w:rsidR="00857790" w:rsidRPr="00F83382">
        <w:rPr>
          <w:rFonts w:ascii="Times New Roman" w:hAnsi="Times New Roman"/>
          <w:sz w:val="24"/>
          <w:szCs w:val="24"/>
        </w:rPr>
        <w:t xml:space="preserve">d </w:t>
      </w:r>
      <w:r w:rsidR="00A40FFC">
        <w:rPr>
          <w:rFonts w:ascii="Times New Roman" w:hAnsi="Times New Roman"/>
          <w:sz w:val="24"/>
          <w:szCs w:val="24"/>
        </w:rPr>
        <w:t>above</w:t>
      </w:r>
      <w:r w:rsidR="008D56FE">
        <w:rPr>
          <w:rFonts w:ascii="Times New Roman" w:hAnsi="Times New Roman"/>
          <w:sz w:val="24"/>
          <w:szCs w:val="24"/>
        </w:rPr>
        <w:t xml:space="preserve"> </w:t>
      </w:r>
      <w:r w:rsidR="00F61D4F" w:rsidRPr="00F83382">
        <w:rPr>
          <w:rFonts w:ascii="Times New Roman" w:hAnsi="Times New Roman"/>
          <w:sz w:val="24"/>
          <w:szCs w:val="24"/>
        </w:rPr>
        <w:t>N$1</w:t>
      </w:r>
      <w:r w:rsidR="002E0781" w:rsidRPr="00F83382">
        <w:rPr>
          <w:rFonts w:ascii="Times New Roman" w:hAnsi="Times New Roman"/>
          <w:sz w:val="24"/>
          <w:szCs w:val="24"/>
        </w:rPr>
        <w:t>,</w:t>
      </w:r>
      <w:r w:rsidR="00F61D4F" w:rsidRPr="00F83382">
        <w:rPr>
          <w:rFonts w:ascii="Times New Roman" w:hAnsi="Times New Roman"/>
          <w:sz w:val="24"/>
          <w:szCs w:val="24"/>
        </w:rPr>
        <w:t>000</w:t>
      </w:r>
      <w:r w:rsidR="002E0781" w:rsidRPr="00F83382">
        <w:rPr>
          <w:rFonts w:ascii="Times New Roman" w:hAnsi="Times New Roman"/>
          <w:sz w:val="24"/>
          <w:szCs w:val="24"/>
        </w:rPr>
        <w:t>,</w:t>
      </w:r>
      <w:r w:rsidR="00F61D4F" w:rsidRPr="00F83382">
        <w:rPr>
          <w:rFonts w:ascii="Times New Roman" w:hAnsi="Times New Roman"/>
          <w:sz w:val="24"/>
          <w:szCs w:val="24"/>
        </w:rPr>
        <w:t xml:space="preserve">000 </w:t>
      </w:r>
      <w:r w:rsidR="008D56FE">
        <w:rPr>
          <w:rFonts w:ascii="Times New Roman" w:hAnsi="Times New Roman"/>
          <w:sz w:val="24"/>
          <w:szCs w:val="24"/>
        </w:rPr>
        <w:t xml:space="preserve">(67157.22 USD </w:t>
      </w:r>
      <w:r w:rsidR="00397A7C">
        <w:rPr>
          <w:rFonts w:ascii="Times New Roman" w:hAnsi="Times New Roman"/>
          <w:sz w:val="24"/>
          <w:szCs w:val="24"/>
        </w:rPr>
        <w:t>on</w:t>
      </w:r>
      <w:r w:rsidR="00495901">
        <w:rPr>
          <w:rFonts w:ascii="Times New Roman" w:hAnsi="Times New Roman"/>
          <w:sz w:val="24"/>
          <w:szCs w:val="24"/>
        </w:rPr>
        <w:t xml:space="preserve"> 15</w:t>
      </w:r>
      <w:r w:rsidR="00D076D4">
        <w:rPr>
          <w:rFonts w:ascii="Times New Roman" w:hAnsi="Times New Roman"/>
          <w:sz w:val="24"/>
          <w:szCs w:val="24"/>
        </w:rPr>
        <w:t>/08</w:t>
      </w:r>
      <w:r w:rsidR="00495901" w:rsidRPr="00F83382">
        <w:rPr>
          <w:rFonts w:ascii="Times New Roman" w:hAnsi="Times New Roman"/>
          <w:sz w:val="24"/>
          <w:szCs w:val="24"/>
        </w:rPr>
        <w:t>/2021</w:t>
      </w:r>
      <w:r w:rsidR="008D56FE">
        <w:rPr>
          <w:rFonts w:ascii="Times New Roman" w:hAnsi="Times New Roman"/>
          <w:sz w:val="24"/>
          <w:szCs w:val="24"/>
        </w:rPr>
        <w:t xml:space="preserve">) </w:t>
      </w:r>
      <w:r w:rsidR="00F61D4F" w:rsidRPr="00F83382">
        <w:rPr>
          <w:rFonts w:ascii="Times New Roman" w:hAnsi="Times New Roman"/>
          <w:sz w:val="24"/>
          <w:szCs w:val="24"/>
        </w:rPr>
        <w:t>for big</w:t>
      </w:r>
      <w:r w:rsidR="002E72F6" w:rsidRPr="00F83382">
        <w:rPr>
          <w:rFonts w:ascii="Times New Roman" w:hAnsi="Times New Roman"/>
          <w:sz w:val="24"/>
          <w:szCs w:val="24"/>
        </w:rPr>
        <w:t>ger</w:t>
      </w:r>
      <w:r w:rsidR="00F61D4F" w:rsidRPr="00F83382">
        <w:rPr>
          <w:rFonts w:ascii="Times New Roman" w:hAnsi="Times New Roman"/>
          <w:sz w:val="24"/>
          <w:szCs w:val="24"/>
        </w:rPr>
        <w:t xml:space="preserve"> projects</w:t>
      </w:r>
      <w:r w:rsidR="002E72F6" w:rsidRPr="00F83382">
        <w:rPr>
          <w:rFonts w:ascii="Times New Roman" w:hAnsi="Times New Roman"/>
          <w:sz w:val="24"/>
          <w:szCs w:val="24"/>
        </w:rPr>
        <w:t xml:space="preserve"> and with </w:t>
      </w:r>
      <w:r w:rsidR="00BF1723" w:rsidRPr="00F83382">
        <w:rPr>
          <w:rFonts w:ascii="Times New Roman" w:hAnsi="Times New Roman"/>
          <w:sz w:val="24"/>
          <w:szCs w:val="24"/>
        </w:rPr>
        <w:t>a</w:t>
      </w:r>
      <w:r w:rsidR="00495901">
        <w:rPr>
          <w:rFonts w:ascii="Times New Roman" w:hAnsi="Times New Roman"/>
          <w:sz w:val="24"/>
          <w:szCs w:val="24"/>
        </w:rPr>
        <w:t xml:space="preserve"> timeline between 3 and </w:t>
      </w:r>
      <w:r w:rsidR="006D3B1D" w:rsidRPr="00F83382">
        <w:rPr>
          <w:rFonts w:ascii="Times New Roman" w:hAnsi="Times New Roman"/>
          <w:sz w:val="24"/>
          <w:szCs w:val="24"/>
        </w:rPr>
        <w:t>12 months</w:t>
      </w:r>
      <w:r w:rsidR="00F61D4F" w:rsidRPr="00F83382">
        <w:rPr>
          <w:rFonts w:ascii="Times New Roman" w:hAnsi="Times New Roman"/>
          <w:sz w:val="24"/>
          <w:szCs w:val="24"/>
        </w:rPr>
        <w:t xml:space="preserve">. </w:t>
      </w:r>
      <w:r w:rsidR="002E72F6" w:rsidRPr="00F83382">
        <w:rPr>
          <w:rFonts w:ascii="Times New Roman" w:hAnsi="Times New Roman"/>
          <w:sz w:val="24"/>
          <w:szCs w:val="24"/>
        </w:rPr>
        <w:t xml:space="preserve">According to a senior Environmental </w:t>
      </w:r>
      <w:r w:rsidR="00495901">
        <w:rPr>
          <w:rFonts w:ascii="Times New Roman" w:hAnsi="Times New Roman"/>
          <w:sz w:val="24"/>
          <w:szCs w:val="24"/>
        </w:rPr>
        <w:t>consultant</w:t>
      </w:r>
      <w:r w:rsidR="002E72F6" w:rsidRPr="00F83382">
        <w:rPr>
          <w:rFonts w:ascii="Times New Roman" w:hAnsi="Times New Roman"/>
          <w:sz w:val="24"/>
          <w:szCs w:val="24"/>
        </w:rPr>
        <w:t>, n</w:t>
      </w:r>
      <w:r w:rsidR="009655B4" w:rsidRPr="00F83382">
        <w:rPr>
          <w:rFonts w:ascii="Times New Roman" w:hAnsi="Times New Roman"/>
          <w:sz w:val="24"/>
          <w:szCs w:val="24"/>
        </w:rPr>
        <w:t>ov</w:t>
      </w:r>
      <w:r w:rsidR="002E72F6" w:rsidRPr="00F83382">
        <w:rPr>
          <w:rFonts w:ascii="Times New Roman" w:hAnsi="Times New Roman"/>
          <w:sz w:val="24"/>
          <w:szCs w:val="24"/>
        </w:rPr>
        <w:t>ice</w:t>
      </w:r>
      <w:r w:rsidR="009655B4" w:rsidRPr="00F83382">
        <w:rPr>
          <w:rFonts w:ascii="Times New Roman" w:hAnsi="Times New Roman"/>
          <w:sz w:val="24"/>
          <w:szCs w:val="24"/>
        </w:rPr>
        <w:t xml:space="preserve"> </w:t>
      </w:r>
      <w:r w:rsidR="002E72F6" w:rsidRPr="00F83382">
        <w:rPr>
          <w:rFonts w:ascii="Times New Roman" w:hAnsi="Times New Roman"/>
          <w:sz w:val="24"/>
          <w:szCs w:val="24"/>
        </w:rPr>
        <w:t xml:space="preserve">environmental </w:t>
      </w:r>
      <w:r w:rsidR="00495901">
        <w:rPr>
          <w:rFonts w:ascii="Times New Roman" w:hAnsi="Times New Roman"/>
          <w:sz w:val="24"/>
          <w:szCs w:val="24"/>
        </w:rPr>
        <w:t>practitioners</w:t>
      </w:r>
      <w:r w:rsidR="009655B4" w:rsidRPr="00F83382">
        <w:rPr>
          <w:rFonts w:ascii="Times New Roman" w:hAnsi="Times New Roman"/>
          <w:sz w:val="24"/>
          <w:szCs w:val="24"/>
        </w:rPr>
        <w:t xml:space="preserve"> </w:t>
      </w:r>
      <w:r w:rsidR="002E72F6" w:rsidRPr="00F83382">
        <w:rPr>
          <w:rFonts w:ascii="Times New Roman" w:hAnsi="Times New Roman"/>
          <w:sz w:val="24"/>
          <w:szCs w:val="24"/>
        </w:rPr>
        <w:t xml:space="preserve">tend to </w:t>
      </w:r>
      <w:r w:rsidR="006D3B1D" w:rsidRPr="00F83382">
        <w:rPr>
          <w:rFonts w:ascii="Times New Roman" w:hAnsi="Times New Roman"/>
          <w:sz w:val="24"/>
          <w:szCs w:val="24"/>
        </w:rPr>
        <w:t>charge</w:t>
      </w:r>
      <w:r w:rsidR="00ED21F7" w:rsidRPr="00F83382">
        <w:rPr>
          <w:rFonts w:ascii="Times New Roman" w:hAnsi="Times New Roman"/>
          <w:sz w:val="24"/>
          <w:szCs w:val="24"/>
        </w:rPr>
        <w:t xml:space="preserve"> </w:t>
      </w:r>
      <w:r w:rsidR="009E0A60" w:rsidRPr="00F83382">
        <w:rPr>
          <w:rFonts w:ascii="Times New Roman" w:hAnsi="Times New Roman"/>
          <w:sz w:val="24"/>
          <w:szCs w:val="24"/>
        </w:rPr>
        <w:t>less</w:t>
      </w:r>
      <w:r w:rsidR="00ED21F7" w:rsidRPr="00F83382">
        <w:rPr>
          <w:rFonts w:ascii="Times New Roman" w:hAnsi="Times New Roman"/>
          <w:sz w:val="24"/>
          <w:szCs w:val="24"/>
        </w:rPr>
        <w:t xml:space="preserve"> to make a </w:t>
      </w:r>
      <w:r w:rsidR="00857790" w:rsidRPr="00F83382">
        <w:rPr>
          <w:rFonts w:ascii="Times New Roman" w:hAnsi="Times New Roman"/>
          <w:sz w:val="24"/>
          <w:szCs w:val="24"/>
        </w:rPr>
        <w:t>“</w:t>
      </w:r>
      <w:r w:rsidR="00ED21F7" w:rsidRPr="00F83382">
        <w:rPr>
          <w:rFonts w:ascii="Times New Roman" w:hAnsi="Times New Roman"/>
          <w:sz w:val="24"/>
          <w:szCs w:val="24"/>
        </w:rPr>
        <w:t>quick buck</w:t>
      </w:r>
      <w:r w:rsidR="00857790" w:rsidRPr="00F83382">
        <w:rPr>
          <w:rFonts w:ascii="Times New Roman" w:hAnsi="Times New Roman"/>
          <w:sz w:val="24"/>
          <w:szCs w:val="24"/>
        </w:rPr>
        <w:t>”</w:t>
      </w:r>
      <w:r w:rsidR="00ED21F7" w:rsidRPr="00F83382">
        <w:rPr>
          <w:rFonts w:ascii="Times New Roman" w:hAnsi="Times New Roman"/>
          <w:sz w:val="24"/>
          <w:szCs w:val="24"/>
        </w:rPr>
        <w:t xml:space="preserve">, </w:t>
      </w:r>
      <w:r w:rsidR="00AF250C" w:rsidRPr="00CC5DC8">
        <w:rPr>
          <w:rFonts w:ascii="Times New Roman" w:hAnsi="Times New Roman"/>
          <w:sz w:val="24"/>
          <w:szCs w:val="24"/>
        </w:rPr>
        <w:t>while</w:t>
      </w:r>
      <w:r w:rsidR="00ED21F7" w:rsidRPr="00CC5DC8">
        <w:rPr>
          <w:rFonts w:ascii="Times New Roman" w:hAnsi="Times New Roman"/>
          <w:sz w:val="24"/>
          <w:szCs w:val="24"/>
        </w:rPr>
        <w:t xml:space="preserve"> </w:t>
      </w:r>
      <w:r w:rsidR="006D3B1D" w:rsidRPr="00CC5DC8">
        <w:rPr>
          <w:rFonts w:ascii="Times New Roman" w:hAnsi="Times New Roman"/>
          <w:sz w:val="24"/>
          <w:szCs w:val="24"/>
        </w:rPr>
        <w:t xml:space="preserve">experienced </w:t>
      </w:r>
      <w:r w:rsidR="007455F8">
        <w:rPr>
          <w:rFonts w:ascii="Times New Roman" w:hAnsi="Times New Roman"/>
          <w:sz w:val="24"/>
          <w:szCs w:val="24"/>
        </w:rPr>
        <w:t>practitioners</w:t>
      </w:r>
      <w:r w:rsidR="006D3B1D" w:rsidRPr="00CC5DC8">
        <w:rPr>
          <w:rFonts w:ascii="Times New Roman" w:hAnsi="Times New Roman"/>
          <w:sz w:val="24"/>
          <w:szCs w:val="24"/>
        </w:rPr>
        <w:t xml:space="preserve"> charge</w:t>
      </w:r>
      <w:r w:rsidR="00ED21F7" w:rsidRPr="00CC5DC8">
        <w:rPr>
          <w:rFonts w:ascii="Times New Roman" w:hAnsi="Times New Roman"/>
          <w:sz w:val="24"/>
          <w:szCs w:val="24"/>
        </w:rPr>
        <w:t xml:space="preserve"> high professional fees. A senior government </w:t>
      </w:r>
      <w:r w:rsidR="009655B4" w:rsidRPr="00CC5DC8">
        <w:rPr>
          <w:rFonts w:ascii="Times New Roman" w:hAnsi="Times New Roman"/>
          <w:sz w:val="24"/>
          <w:szCs w:val="24"/>
        </w:rPr>
        <w:t xml:space="preserve">official was of the view that EIA services are valuable and should not be viewed as expensive </w:t>
      </w:r>
      <w:r w:rsidR="006D3B1D" w:rsidRPr="00CC5DC8">
        <w:rPr>
          <w:rFonts w:ascii="Times New Roman" w:hAnsi="Times New Roman"/>
          <w:sz w:val="24"/>
          <w:szCs w:val="24"/>
        </w:rPr>
        <w:t>because</w:t>
      </w:r>
      <w:r w:rsidR="009655B4" w:rsidRPr="00CC5DC8">
        <w:rPr>
          <w:rFonts w:ascii="Times New Roman" w:hAnsi="Times New Roman"/>
          <w:sz w:val="24"/>
          <w:szCs w:val="24"/>
        </w:rPr>
        <w:t xml:space="preserve"> they cost </w:t>
      </w:r>
      <w:r w:rsidR="006D3B1D" w:rsidRPr="00CC5DC8">
        <w:rPr>
          <w:rFonts w:ascii="Times New Roman" w:hAnsi="Times New Roman"/>
          <w:sz w:val="24"/>
          <w:szCs w:val="24"/>
        </w:rPr>
        <w:t>the same</w:t>
      </w:r>
      <w:r w:rsidR="001314A7" w:rsidRPr="00CC5DC8">
        <w:rPr>
          <w:rFonts w:ascii="Times New Roman" w:hAnsi="Times New Roman"/>
          <w:sz w:val="24"/>
          <w:szCs w:val="24"/>
        </w:rPr>
        <w:t xml:space="preserve"> as </w:t>
      </w:r>
      <w:r w:rsidR="009655B4" w:rsidRPr="00CC5DC8">
        <w:rPr>
          <w:rFonts w:ascii="Times New Roman" w:hAnsi="Times New Roman"/>
          <w:sz w:val="24"/>
          <w:szCs w:val="24"/>
        </w:rPr>
        <w:t xml:space="preserve">other essential services like medical </w:t>
      </w:r>
      <w:r w:rsidRPr="00CC5DC8">
        <w:rPr>
          <w:rFonts w:ascii="Times New Roman" w:hAnsi="Times New Roman"/>
          <w:sz w:val="24"/>
          <w:szCs w:val="24"/>
        </w:rPr>
        <w:t xml:space="preserve">and </w:t>
      </w:r>
      <w:r w:rsidR="006F2087">
        <w:rPr>
          <w:rFonts w:ascii="Times New Roman" w:hAnsi="Times New Roman"/>
          <w:sz w:val="24"/>
          <w:szCs w:val="24"/>
        </w:rPr>
        <w:t>accounting</w:t>
      </w:r>
      <w:r w:rsidRPr="00CC5DC8">
        <w:rPr>
          <w:rFonts w:ascii="Times New Roman" w:hAnsi="Times New Roman"/>
          <w:sz w:val="24"/>
          <w:szCs w:val="24"/>
        </w:rPr>
        <w:t xml:space="preserve"> </w:t>
      </w:r>
      <w:r w:rsidR="009E0A60" w:rsidRPr="00CC5DC8">
        <w:rPr>
          <w:rFonts w:ascii="Times New Roman" w:hAnsi="Times New Roman"/>
          <w:sz w:val="24"/>
          <w:szCs w:val="24"/>
        </w:rPr>
        <w:t>services</w:t>
      </w:r>
      <w:r w:rsidR="009655B4" w:rsidRPr="00CC5DC8">
        <w:rPr>
          <w:rFonts w:ascii="Times New Roman" w:hAnsi="Times New Roman"/>
          <w:sz w:val="24"/>
          <w:szCs w:val="24"/>
        </w:rPr>
        <w:t>.</w:t>
      </w:r>
      <w:r w:rsidR="00ED21F7" w:rsidRPr="00CC5DC8">
        <w:rPr>
          <w:rFonts w:ascii="Times New Roman" w:hAnsi="Times New Roman"/>
        </w:rPr>
        <w:t xml:space="preserve"> </w:t>
      </w:r>
    </w:p>
    <w:p w:rsidR="008B0A59" w:rsidRDefault="006B01F0" w:rsidP="00A17C62">
      <w:pPr>
        <w:pStyle w:val="CommentText"/>
        <w:spacing w:line="360" w:lineRule="auto"/>
        <w:jc w:val="both"/>
        <w:rPr>
          <w:rFonts w:ascii="Times New Roman" w:hAnsi="Times New Roman"/>
          <w:sz w:val="24"/>
          <w:szCs w:val="24"/>
        </w:rPr>
      </w:pPr>
      <w:r w:rsidRPr="00CC5DC8">
        <w:rPr>
          <w:rFonts w:ascii="Times New Roman" w:hAnsi="Times New Roman"/>
          <w:sz w:val="24"/>
          <w:szCs w:val="24"/>
        </w:rPr>
        <w:fldChar w:fldCharType="begin" w:fldLock="1"/>
      </w:r>
      <w:r w:rsidR="008B1ED7" w:rsidRPr="00CC5DC8">
        <w:rPr>
          <w:rFonts w:ascii="Times New Roman" w:hAnsi="Times New Roman"/>
          <w:sz w:val="24"/>
          <w:szCs w:val="24"/>
        </w:rPr>
        <w:instrText>ADDIN CSL_CITATION {"citationItems":[{"id":"ITEM-1","itemData":{"author":[{"dropping-particle":"","family":"Tarr","given":"Peter","non-dropping-particle":"","parse-names":false,"suffix":""},{"dropping-particle":"","family":"Figueira","given":"Michaela","non-dropping-particle":"","parse-names":false,"suffix":""}],"id":"ITEM-1","issue":"34","issued":{"date-parts":[["1999"]]},"title":"Namibia ’ s Environmental Assessment framework : - the evolution of policy and practice by","type":"article-journal"},"uris":["http://www.mendeley.com/documents/?uuid=60eac1ee-7b1d-4de7-aba6-95ae5ab95910"]}],"mendeley":{"formattedCitation":"(Tarr &amp; Figueira, 1999)","manualFormatting":"Tarr &amp; Figueira (1999)","plainTextFormattedCitation":"(Tarr &amp; Figueira, 1999)","previouslyFormattedCitation":"(Tarr &amp; Figueira, 1999)"},"properties":{"noteIndex":0},"schema":"https://github.com/citation-style-language/schema/raw/master/csl-citation.json"}</w:instrText>
      </w:r>
      <w:r w:rsidRPr="00CC5DC8">
        <w:rPr>
          <w:rFonts w:ascii="Times New Roman" w:hAnsi="Times New Roman"/>
          <w:sz w:val="24"/>
          <w:szCs w:val="24"/>
        </w:rPr>
        <w:fldChar w:fldCharType="separate"/>
      </w:r>
      <w:r w:rsidRPr="00CC5DC8">
        <w:rPr>
          <w:rFonts w:ascii="Times New Roman" w:hAnsi="Times New Roman"/>
          <w:noProof/>
          <w:sz w:val="24"/>
          <w:szCs w:val="24"/>
        </w:rPr>
        <w:t>Tarr &amp; Figueira (1999)</w:t>
      </w:r>
      <w:r w:rsidRPr="00CC5DC8">
        <w:rPr>
          <w:rFonts w:ascii="Times New Roman" w:hAnsi="Times New Roman"/>
          <w:sz w:val="24"/>
          <w:szCs w:val="24"/>
        </w:rPr>
        <w:fldChar w:fldCharType="end"/>
      </w:r>
      <w:r w:rsidRPr="00CC5DC8">
        <w:rPr>
          <w:rFonts w:ascii="Times New Roman" w:hAnsi="Times New Roman"/>
          <w:sz w:val="24"/>
          <w:szCs w:val="24"/>
        </w:rPr>
        <w:t xml:space="preserve"> </w:t>
      </w:r>
      <w:r w:rsidR="00F61D4F" w:rsidRPr="00CC5DC8">
        <w:rPr>
          <w:rFonts w:ascii="Times New Roman" w:hAnsi="Times New Roman"/>
          <w:sz w:val="24"/>
          <w:szCs w:val="24"/>
        </w:rPr>
        <w:t>indicated that</w:t>
      </w:r>
      <w:r w:rsidR="00CC5DC8" w:rsidRPr="00CC5DC8">
        <w:rPr>
          <w:rFonts w:ascii="Times New Roman" w:hAnsi="Times New Roman"/>
          <w:sz w:val="24"/>
          <w:szCs w:val="24"/>
        </w:rPr>
        <w:t xml:space="preserve"> in Namibia</w:t>
      </w:r>
      <w:r w:rsidR="00F61D4F" w:rsidRPr="00CC5DC8">
        <w:rPr>
          <w:rFonts w:ascii="Times New Roman" w:hAnsi="Times New Roman"/>
          <w:sz w:val="24"/>
          <w:szCs w:val="24"/>
        </w:rPr>
        <w:t xml:space="preserve"> </w:t>
      </w:r>
      <w:r w:rsidR="006D3B1D" w:rsidRPr="00CC5DC8">
        <w:rPr>
          <w:rFonts w:ascii="Times New Roman" w:hAnsi="Times New Roman"/>
          <w:sz w:val="24"/>
          <w:szCs w:val="24"/>
        </w:rPr>
        <w:t xml:space="preserve">a proper EIA </w:t>
      </w:r>
      <w:r w:rsidR="00F61D4F" w:rsidRPr="00CC5DC8">
        <w:rPr>
          <w:rFonts w:ascii="Times New Roman" w:hAnsi="Times New Roman"/>
          <w:sz w:val="24"/>
          <w:szCs w:val="24"/>
        </w:rPr>
        <w:t>cost</w:t>
      </w:r>
      <w:r w:rsidR="00676A5C">
        <w:rPr>
          <w:rFonts w:ascii="Times New Roman" w:hAnsi="Times New Roman"/>
          <w:sz w:val="24"/>
          <w:szCs w:val="24"/>
        </w:rPr>
        <w:t>s</w:t>
      </w:r>
      <w:r w:rsidR="00F61D4F" w:rsidRPr="00CC5DC8">
        <w:rPr>
          <w:rFonts w:ascii="Times New Roman" w:hAnsi="Times New Roman"/>
          <w:sz w:val="24"/>
          <w:szCs w:val="24"/>
        </w:rPr>
        <w:t xml:space="preserve"> </w:t>
      </w:r>
      <w:r w:rsidR="006D3B1D" w:rsidRPr="00CC5DC8">
        <w:rPr>
          <w:rFonts w:ascii="Times New Roman" w:hAnsi="Times New Roman"/>
          <w:sz w:val="24"/>
          <w:szCs w:val="24"/>
        </w:rPr>
        <w:t>between 0.22</w:t>
      </w:r>
      <w:r w:rsidR="00CC5DC8" w:rsidRPr="00CC5DC8">
        <w:rPr>
          <w:rFonts w:ascii="Times New Roman" w:hAnsi="Times New Roman"/>
          <w:sz w:val="24"/>
          <w:szCs w:val="24"/>
        </w:rPr>
        <w:t>%</w:t>
      </w:r>
      <w:r w:rsidR="006D3B1D" w:rsidRPr="00CC5DC8">
        <w:rPr>
          <w:rFonts w:ascii="Times New Roman" w:hAnsi="Times New Roman"/>
          <w:sz w:val="24"/>
          <w:szCs w:val="24"/>
        </w:rPr>
        <w:t xml:space="preserve"> and 2.52% of the total project cost.</w:t>
      </w:r>
      <w:r w:rsidR="00F61D4F" w:rsidRPr="00CC5DC8">
        <w:rPr>
          <w:rFonts w:ascii="Times New Roman" w:hAnsi="Times New Roman"/>
          <w:sz w:val="24"/>
          <w:szCs w:val="24"/>
        </w:rPr>
        <w:t xml:space="preserve"> </w:t>
      </w:r>
      <w:r w:rsidR="00CC5DC8" w:rsidRPr="00CC5DC8">
        <w:rPr>
          <w:rFonts w:ascii="Times New Roman" w:hAnsi="Times New Roman"/>
          <w:sz w:val="24"/>
          <w:szCs w:val="24"/>
        </w:rPr>
        <w:t>Retief and Chabalala (2009) however indicated that in most countries, EIA cost</w:t>
      </w:r>
      <w:r w:rsidR="00676A5C">
        <w:rPr>
          <w:rFonts w:ascii="Times New Roman" w:hAnsi="Times New Roman"/>
          <w:sz w:val="24"/>
          <w:szCs w:val="24"/>
        </w:rPr>
        <w:t>s</w:t>
      </w:r>
      <w:r w:rsidR="00CC5DC8" w:rsidRPr="00CC5DC8">
        <w:rPr>
          <w:rFonts w:ascii="Times New Roman" w:hAnsi="Times New Roman"/>
          <w:sz w:val="24"/>
          <w:szCs w:val="24"/>
        </w:rPr>
        <w:t xml:space="preserve"> between 0.01% and 0.5% of the total project cost.</w:t>
      </w:r>
    </w:p>
    <w:p w:rsidR="00F447DD" w:rsidRDefault="006B01F0" w:rsidP="00A17C62">
      <w:pPr>
        <w:pStyle w:val="CommentText"/>
        <w:spacing w:line="360" w:lineRule="auto"/>
        <w:jc w:val="both"/>
        <w:rPr>
          <w:rFonts w:ascii="Times New Roman" w:hAnsi="Times New Roman"/>
          <w:sz w:val="24"/>
          <w:szCs w:val="24"/>
        </w:rPr>
      </w:pPr>
      <w:r w:rsidRPr="00F447DD">
        <w:rPr>
          <w:rFonts w:ascii="Times New Roman" w:hAnsi="Times New Roman"/>
          <w:sz w:val="24"/>
          <w:szCs w:val="24"/>
        </w:rPr>
        <w:t xml:space="preserve">With the evidence of </w:t>
      </w:r>
      <w:r w:rsidR="00397A7C">
        <w:rPr>
          <w:rFonts w:ascii="Times New Roman" w:hAnsi="Times New Roman"/>
          <w:sz w:val="24"/>
          <w:szCs w:val="24"/>
        </w:rPr>
        <w:t xml:space="preserve">the </w:t>
      </w:r>
      <w:r w:rsidR="007455F8" w:rsidRPr="00F447DD">
        <w:rPr>
          <w:rFonts w:ascii="Times New Roman" w:hAnsi="Times New Roman"/>
          <w:sz w:val="24"/>
          <w:szCs w:val="24"/>
        </w:rPr>
        <w:t>strengths</w:t>
      </w:r>
      <w:r w:rsidRPr="00F447DD">
        <w:rPr>
          <w:rFonts w:ascii="Times New Roman" w:hAnsi="Times New Roman"/>
          <w:sz w:val="24"/>
          <w:szCs w:val="24"/>
        </w:rPr>
        <w:t xml:space="preserve"> and weaknesses </w:t>
      </w:r>
      <w:r>
        <w:rPr>
          <w:rFonts w:ascii="Times New Roman" w:hAnsi="Times New Roman"/>
          <w:sz w:val="24"/>
          <w:szCs w:val="24"/>
        </w:rPr>
        <w:t xml:space="preserve">found </w:t>
      </w:r>
      <w:r w:rsidR="007455F8">
        <w:rPr>
          <w:rFonts w:ascii="Times New Roman" w:hAnsi="Times New Roman"/>
          <w:sz w:val="24"/>
          <w:szCs w:val="24"/>
        </w:rPr>
        <w:t>in the EIA process, this</w:t>
      </w:r>
      <w:r w:rsidRPr="00F447DD">
        <w:rPr>
          <w:rFonts w:ascii="Times New Roman" w:hAnsi="Times New Roman"/>
          <w:sz w:val="24"/>
          <w:szCs w:val="24"/>
        </w:rPr>
        <w:t xml:space="preserve"> criterion is rated as partially met.</w:t>
      </w:r>
    </w:p>
    <w:p w:rsidR="007D227E" w:rsidRPr="00F447DD" w:rsidRDefault="007D227E" w:rsidP="00A17C62">
      <w:pPr>
        <w:pStyle w:val="CommentText"/>
        <w:spacing w:line="360" w:lineRule="auto"/>
        <w:jc w:val="both"/>
        <w:rPr>
          <w:rFonts w:ascii="Times New Roman" w:hAnsi="Times New Roman"/>
          <w:sz w:val="24"/>
          <w:szCs w:val="24"/>
        </w:rPr>
      </w:pPr>
    </w:p>
    <w:p w:rsidR="00563CA5" w:rsidRPr="00B54FFE" w:rsidRDefault="006B01F0" w:rsidP="00C710EA">
      <w:pPr>
        <w:pStyle w:val="CommentText"/>
        <w:numPr>
          <w:ilvl w:val="1"/>
          <w:numId w:val="17"/>
        </w:numPr>
        <w:spacing w:line="360" w:lineRule="auto"/>
        <w:jc w:val="both"/>
        <w:rPr>
          <w:rFonts w:ascii="Times New Roman" w:hAnsi="Times New Roman"/>
          <w:sz w:val="24"/>
          <w:szCs w:val="24"/>
        </w:rPr>
      </w:pPr>
      <w:r>
        <w:rPr>
          <w:rFonts w:ascii="Times New Roman" w:hAnsi="Times New Roman"/>
          <w:b/>
          <w:sz w:val="24"/>
          <w:szCs w:val="24"/>
        </w:rPr>
        <w:lastRenderedPageBreak/>
        <w:t>Foundation</w:t>
      </w:r>
      <w:r w:rsidR="008334C3">
        <w:rPr>
          <w:rFonts w:ascii="Times New Roman" w:hAnsi="Times New Roman"/>
          <w:b/>
          <w:sz w:val="24"/>
          <w:szCs w:val="24"/>
        </w:rPr>
        <w:t>al</w:t>
      </w:r>
      <w:r>
        <w:rPr>
          <w:rFonts w:ascii="Times New Roman" w:hAnsi="Times New Roman"/>
          <w:b/>
          <w:sz w:val="24"/>
          <w:szCs w:val="24"/>
        </w:rPr>
        <w:t xml:space="preserve"> measures</w:t>
      </w:r>
    </w:p>
    <w:p w:rsidR="00F1736D" w:rsidRDefault="006B01F0" w:rsidP="00563CA5">
      <w:pPr>
        <w:spacing w:line="360" w:lineRule="auto"/>
        <w:jc w:val="both"/>
        <w:rPr>
          <w:rFonts w:ascii="Times New Roman" w:hAnsi="Times New Roman"/>
          <w:sz w:val="24"/>
          <w:szCs w:val="24"/>
        </w:rPr>
      </w:pPr>
      <w:r>
        <w:rPr>
          <w:rFonts w:ascii="Times New Roman" w:hAnsi="Times New Roman"/>
          <w:sz w:val="24"/>
          <w:szCs w:val="24"/>
        </w:rPr>
        <w:t>Foundation</w:t>
      </w:r>
      <w:r w:rsidR="008334C3">
        <w:rPr>
          <w:rFonts w:ascii="Times New Roman" w:hAnsi="Times New Roman"/>
          <w:sz w:val="24"/>
          <w:szCs w:val="24"/>
        </w:rPr>
        <w:t>al</w:t>
      </w:r>
      <w:r>
        <w:rPr>
          <w:rFonts w:ascii="Times New Roman" w:hAnsi="Times New Roman"/>
          <w:sz w:val="24"/>
          <w:szCs w:val="24"/>
        </w:rPr>
        <w:t xml:space="preserve"> measures include enablers such as EIA system review, training and capacity buil</w:t>
      </w:r>
      <w:r w:rsidR="00607D2E">
        <w:rPr>
          <w:rFonts w:ascii="Times New Roman" w:hAnsi="Times New Roman"/>
          <w:sz w:val="24"/>
          <w:szCs w:val="24"/>
        </w:rPr>
        <w:t>d</w:t>
      </w:r>
      <w:r>
        <w:rPr>
          <w:rFonts w:ascii="Times New Roman" w:hAnsi="Times New Roman"/>
          <w:sz w:val="24"/>
          <w:szCs w:val="24"/>
        </w:rPr>
        <w:t xml:space="preserve">ing, which </w:t>
      </w:r>
      <w:r w:rsidR="00607D2E">
        <w:rPr>
          <w:rFonts w:ascii="Times New Roman" w:hAnsi="Times New Roman"/>
          <w:sz w:val="24"/>
          <w:szCs w:val="24"/>
        </w:rPr>
        <w:t xml:space="preserve">are </w:t>
      </w:r>
      <w:r>
        <w:rPr>
          <w:rFonts w:ascii="Times New Roman" w:hAnsi="Times New Roman"/>
          <w:sz w:val="24"/>
          <w:szCs w:val="24"/>
        </w:rPr>
        <w:t>in place to improve the performance of the EIA system. In Namibia, t</w:t>
      </w:r>
      <w:r w:rsidR="00D23BAB">
        <w:rPr>
          <w:rFonts w:ascii="Times New Roman" w:hAnsi="Times New Roman"/>
          <w:sz w:val="24"/>
          <w:szCs w:val="24"/>
        </w:rPr>
        <w:t>he EMA designate</w:t>
      </w:r>
      <w:r>
        <w:rPr>
          <w:rFonts w:ascii="Times New Roman" w:hAnsi="Times New Roman"/>
          <w:sz w:val="24"/>
          <w:szCs w:val="24"/>
        </w:rPr>
        <w:t>d the Sustainable Advisory C</w:t>
      </w:r>
      <w:r w:rsidR="00D23BAB">
        <w:rPr>
          <w:rFonts w:ascii="Times New Roman" w:hAnsi="Times New Roman"/>
          <w:sz w:val="24"/>
          <w:szCs w:val="24"/>
        </w:rPr>
        <w:t xml:space="preserve">ommittee as a body responsible to provide advice on policy amendments. </w:t>
      </w:r>
      <w:r w:rsidR="00C7691B">
        <w:rPr>
          <w:rFonts w:ascii="Times New Roman" w:hAnsi="Times New Roman"/>
          <w:sz w:val="24"/>
          <w:szCs w:val="24"/>
        </w:rPr>
        <w:t xml:space="preserve">In 2018, </w:t>
      </w:r>
      <w:r w:rsidR="000235BA">
        <w:rPr>
          <w:rFonts w:ascii="Times New Roman" w:hAnsi="Times New Roman"/>
          <w:sz w:val="24"/>
          <w:szCs w:val="24"/>
        </w:rPr>
        <w:t>the</w:t>
      </w:r>
      <w:r w:rsidR="00563CA5">
        <w:rPr>
          <w:rFonts w:ascii="Times New Roman" w:hAnsi="Times New Roman"/>
          <w:sz w:val="24"/>
          <w:szCs w:val="24"/>
        </w:rPr>
        <w:t xml:space="preserve"> government undertook a series of stakeholder consultations on the amendment of the </w:t>
      </w:r>
      <w:r w:rsidR="000235BA">
        <w:rPr>
          <w:rFonts w:ascii="Times New Roman" w:hAnsi="Times New Roman"/>
          <w:sz w:val="24"/>
          <w:szCs w:val="24"/>
        </w:rPr>
        <w:t>EMA and</w:t>
      </w:r>
      <w:r w:rsidR="00563CA5">
        <w:rPr>
          <w:rFonts w:ascii="Times New Roman" w:hAnsi="Times New Roman"/>
          <w:sz w:val="24"/>
          <w:szCs w:val="24"/>
        </w:rPr>
        <w:t xml:space="preserve"> </w:t>
      </w:r>
      <w:r w:rsidR="000235BA">
        <w:rPr>
          <w:rFonts w:ascii="Times New Roman" w:hAnsi="Times New Roman"/>
          <w:sz w:val="24"/>
          <w:szCs w:val="24"/>
        </w:rPr>
        <w:t xml:space="preserve">the </w:t>
      </w:r>
      <w:r w:rsidR="00563CA5">
        <w:rPr>
          <w:rFonts w:ascii="Times New Roman" w:hAnsi="Times New Roman"/>
          <w:sz w:val="24"/>
          <w:szCs w:val="24"/>
        </w:rPr>
        <w:t>regulation</w:t>
      </w:r>
      <w:r w:rsidR="000D049C">
        <w:rPr>
          <w:rFonts w:ascii="Times New Roman" w:hAnsi="Times New Roman"/>
          <w:sz w:val="24"/>
          <w:szCs w:val="24"/>
        </w:rPr>
        <w:t>s</w:t>
      </w:r>
      <w:r w:rsidR="00C7691B">
        <w:rPr>
          <w:rFonts w:ascii="Times New Roman" w:hAnsi="Times New Roman"/>
          <w:sz w:val="24"/>
          <w:szCs w:val="24"/>
        </w:rPr>
        <w:t xml:space="preserve">. </w:t>
      </w:r>
      <w:r w:rsidR="000D049C">
        <w:rPr>
          <w:rFonts w:ascii="Times New Roman" w:hAnsi="Times New Roman"/>
          <w:sz w:val="24"/>
          <w:szCs w:val="24"/>
        </w:rPr>
        <w:t>A</w:t>
      </w:r>
      <w:r w:rsidR="00C7691B">
        <w:rPr>
          <w:rFonts w:ascii="Times New Roman" w:hAnsi="Times New Roman"/>
          <w:sz w:val="24"/>
          <w:szCs w:val="24"/>
        </w:rPr>
        <w:t xml:space="preserve">ccording to </w:t>
      </w:r>
      <w:r w:rsidR="000D049C">
        <w:rPr>
          <w:rFonts w:ascii="Times New Roman" w:hAnsi="Times New Roman"/>
          <w:sz w:val="24"/>
          <w:szCs w:val="24"/>
        </w:rPr>
        <w:t xml:space="preserve">an </w:t>
      </w:r>
      <w:r w:rsidR="00C7691B">
        <w:rPr>
          <w:rFonts w:ascii="Times New Roman" w:hAnsi="Times New Roman"/>
          <w:sz w:val="24"/>
          <w:szCs w:val="24"/>
        </w:rPr>
        <w:t xml:space="preserve">official from the DEA, </w:t>
      </w:r>
      <w:r w:rsidR="000235BA">
        <w:rPr>
          <w:rFonts w:ascii="Times New Roman" w:hAnsi="Times New Roman"/>
          <w:sz w:val="24"/>
          <w:szCs w:val="24"/>
        </w:rPr>
        <w:t xml:space="preserve">comments from the </w:t>
      </w:r>
      <w:r w:rsidR="000D049C">
        <w:rPr>
          <w:rFonts w:ascii="Times New Roman" w:hAnsi="Times New Roman"/>
          <w:sz w:val="24"/>
          <w:szCs w:val="24"/>
        </w:rPr>
        <w:t xml:space="preserve">consultations were </w:t>
      </w:r>
      <w:r w:rsidR="003B5321">
        <w:rPr>
          <w:rFonts w:ascii="Times New Roman" w:hAnsi="Times New Roman"/>
          <w:sz w:val="24"/>
          <w:szCs w:val="24"/>
        </w:rPr>
        <w:t>successfully</w:t>
      </w:r>
      <w:r w:rsidR="000D049C">
        <w:rPr>
          <w:rFonts w:ascii="Times New Roman" w:hAnsi="Times New Roman"/>
          <w:sz w:val="24"/>
          <w:szCs w:val="24"/>
        </w:rPr>
        <w:t xml:space="preserve"> incorporated, </w:t>
      </w:r>
      <w:r w:rsidR="00607D2E">
        <w:rPr>
          <w:rFonts w:ascii="Times New Roman" w:hAnsi="Times New Roman"/>
          <w:sz w:val="24"/>
          <w:szCs w:val="24"/>
        </w:rPr>
        <w:t>however,</w:t>
      </w:r>
      <w:r w:rsidR="000235BA">
        <w:rPr>
          <w:rFonts w:ascii="Times New Roman" w:hAnsi="Times New Roman"/>
          <w:sz w:val="24"/>
          <w:szCs w:val="24"/>
        </w:rPr>
        <w:t xml:space="preserve"> </w:t>
      </w:r>
      <w:r w:rsidR="00C7691B">
        <w:rPr>
          <w:rFonts w:ascii="Times New Roman" w:hAnsi="Times New Roman"/>
          <w:sz w:val="24"/>
          <w:szCs w:val="24"/>
        </w:rPr>
        <w:t xml:space="preserve">the </w:t>
      </w:r>
      <w:r w:rsidR="00354C78">
        <w:rPr>
          <w:rFonts w:ascii="Times New Roman" w:hAnsi="Times New Roman"/>
          <w:sz w:val="24"/>
          <w:szCs w:val="24"/>
        </w:rPr>
        <w:t>amended</w:t>
      </w:r>
      <w:r w:rsidR="00C7691B">
        <w:rPr>
          <w:rFonts w:ascii="Times New Roman" w:hAnsi="Times New Roman"/>
          <w:sz w:val="24"/>
          <w:szCs w:val="24"/>
        </w:rPr>
        <w:t xml:space="preserve"> legislation awaits </w:t>
      </w:r>
      <w:r w:rsidR="00354C78">
        <w:rPr>
          <w:rFonts w:ascii="Times New Roman" w:hAnsi="Times New Roman"/>
          <w:sz w:val="24"/>
          <w:szCs w:val="24"/>
        </w:rPr>
        <w:t>cabinet approval</w:t>
      </w:r>
      <w:r w:rsidR="000D049C">
        <w:rPr>
          <w:rFonts w:ascii="Times New Roman" w:hAnsi="Times New Roman"/>
          <w:sz w:val="24"/>
          <w:szCs w:val="24"/>
        </w:rPr>
        <w:t xml:space="preserve"> before gaz</w:t>
      </w:r>
      <w:r w:rsidR="00A40FFC">
        <w:rPr>
          <w:rFonts w:ascii="Times New Roman" w:hAnsi="Times New Roman"/>
          <w:sz w:val="24"/>
          <w:szCs w:val="24"/>
        </w:rPr>
        <w:t>et</w:t>
      </w:r>
      <w:r w:rsidR="00607D2E">
        <w:rPr>
          <w:rFonts w:ascii="Times New Roman" w:hAnsi="Times New Roman"/>
          <w:sz w:val="24"/>
          <w:szCs w:val="24"/>
        </w:rPr>
        <w:t>ting and implementation</w:t>
      </w:r>
      <w:r w:rsidR="00354C78">
        <w:rPr>
          <w:rFonts w:ascii="Times New Roman" w:hAnsi="Times New Roman"/>
          <w:sz w:val="24"/>
          <w:szCs w:val="24"/>
        </w:rPr>
        <w:t xml:space="preserve">. </w:t>
      </w:r>
    </w:p>
    <w:p w:rsidR="00BC4947" w:rsidRDefault="006B01F0" w:rsidP="00563CA5">
      <w:pPr>
        <w:spacing w:line="360" w:lineRule="auto"/>
        <w:jc w:val="both"/>
        <w:rPr>
          <w:rFonts w:ascii="Times New Roman" w:hAnsi="Times New Roman"/>
          <w:sz w:val="24"/>
          <w:szCs w:val="24"/>
        </w:rPr>
      </w:pPr>
      <w:r>
        <w:rPr>
          <w:rFonts w:ascii="Times New Roman" w:hAnsi="Times New Roman"/>
          <w:sz w:val="24"/>
          <w:szCs w:val="24"/>
        </w:rPr>
        <w:t>Interviewees indicated that t</w:t>
      </w:r>
      <w:r w:rsidR="00607D2E">
        <w:rPr>
          <w:rFonts w:ascii="Times New Roman" w:hAnsi="Times New Roman"/>
          <w:sz w:val="24"/>
          <w:szCs w:val="24"/>
        </w:rPr>
        <w:t>he EIA system lack</w:t>
      </w:r>
      <w:r w:rsidR="00397A7C">
        <w:rPr>
          <w:rFonts w:ascii="Times New Roman" w:hAnsi="Times New Roman"/>
          <w:sz w:val="24"/>
          <w:szCs w:val="24"/>
        </w:rPr>
        <w:t>s</w:t>
      </w:r>
      <w:r w:rsidR="00607D2E">
        <w:rPr>
          <w:rFonts w:ascii="Times New Roman" w:hAnsi="Times New Roman"/>
          <w:sz w:val="24"/>
          <w:szCs w:val="24"/>
        </w:rPr>
        <w:t xml:space="preserve"> critical provisions</w:t>
      </w:r>
      <w:r w:rsidR="00D96F35">
        <w:rPr>
          <w:rFonts w:ascii="Times New Roman" w:hAnsi="Times New Roman"/>
          <w:sz w:val="24"/>
          <w:szCs w:val="24"/>
        </w:rPr>
        <w:t xml:space="preserve"> </w:t>
      </w:r>
      <w:r w:rsidR="000235BA">
        <w:rPr>
          <w:rFonts w:ascii="Times New Roman" w:hAnsi="Times New Roman"/>
          <w:sz w:val="24"/>
          <w:szCs w:val="24"/>
        </w:rPr>
        <w:t xml:space="preserve">on </w:t>
      </w:r>
      <w:r w:rsidR="00607D2E">
        <w:rPr>
          <w:rFonts w:ascii="Times New Roman" w:hAnsi="Times New Roman"/>
          <w:sz w:val="24"/>
          <w:szCs w:val="24"/>
        </w:rPr>
        <w:t>training and</w:t>
      </w:r>
      <w:r w:rsidR="00D96F35">
        <w:rPr>
          <w:rFonts w:ascii="Times New Roman" w:hAnsi="Times New Roman"/>
          <w:sz w:val="24"/>
          <w:szCs w:val="24"/>
        </w:rPr>
        <w:t xml:space="preserve"> capacity building</w:t>
      </w:r>
      <w:r w:rsidR="00607D2E">
        <w:rPr>
          <w:rFonts w:ascii="Times New Roman" w:hAnsi="Times New Roman"/>
          <w:sz w:val="24"/>
          <w:szCs w:val="24"/>
        </w:rPr>
        <w:t xml:space="preserve"> opportunities</w:t>
      </w:r>
      <w:r w:rsidR="00A40FFC">
        <w:rPr>
          <w:rFonts w:ascii="Times New Roman" w:hAnsi="Times New Roman"/>
          <w:sz w:val="24"/>
          <w:szCs w:val="24"/>
        </w:rPr>
        <w:t>,</w:t>
      </w:r>
      <w:r w:rsidR="00D96F35">
        <w:rPr>
          <w:rFonts w:ascii="Times New Roman" w:hAnsi="Times New Roman"/>
          <w:sz w:val="24"/>
          <w:szCs w:val="24"/>
        </w:rPr>
        <w:t xml:space="preserve"> </w:t>
      </w:r>
      <w:r w:rsidR="00607D2E">
        <w:rPr>
          <w:rFonts w:ascii="Times New Roman" w:hAnsi="Times New Roman"/>
          <w:sz w:val="24"/>
          <w:szCs w:val="24"/>
        </w:rPr>
        <w:t xml:space="preserve">EIA </w:t>
      </w:r>
      <w:r w:rsidR="000235BA">
        <w:rPr>
          <w:rFonts w:ascii="Times New Roman" w:hAnsi="Times New Roman"/>
          <w:sz w:val="24"/>
          <w:szCs w:val="24"/>
        </w:rPr>
        <w:t>expert</w:t>
      </w:r>
      <w:r w:rsidR="00D96F35">
        <w:rPr>
          <w:rFonts w:ascii="Times New Roman" w:hAnsi="Times New Roman"/>
          <w:sz w:val="24"/>
          <w:szCs w:val="24"/>
        </w:rPr>
        <w:t xml:space="preserve"> certification</w:t>
      </w:r>
      <w:r w:rsidR="000235BA">
        <w:rPr>
          <w:rFonts w:ascii="Times New Roman" w:hAnsi="Times New Roman"/>
          <w:sz w:val="24"/>
          <w:szCs w:val="24"/>
        </w:rPr>
        <w:t xml:space="preserve"> and research</w:t>
      </w:r>
      <w:r w:rsidR="00D96F35">
        <w:rPr>
          <w:rFonts w:ascii="Times New Roman" w:hAnsi="Times New Roman"/>
          <w:sz w:val="24"/>
          <w:szCs w:val="24"/>
        </w:rPr>
        <w:t xml:space="preserve">. </w:t>
      </w:r>
      <w:r w:rsidR="00D23BAB">
        <w:rPr>
          <w:rFonts w:ascii="Times New Roman" w:hAnsi="Times New Roman"/>
          <w:sz w:val="24"/>
          <w:szCs w:val="24"/>
        </w:rPr>
        <w:t>The majority of environmental consultants and scientist</w:t>
      </w:r>
      <w:r w:rsidR="000235BA">
        <w:rPr>
          <w:rFonts w:ascii="Times New Roman" w:hAnsi="Times New Roman"/>
          <w:sz w:val="24"/>
          <w:szCs w:val="24"/>
        </w:rPr>
        <w:t>s</w:t>
      </w:r>
      <w:r w:rsidR="00D23BAB">
        <w:rPr>
          <w:rFonts w:ascii="Times New Roman" w:hAnsi="Times New Roman"/>
          <w:sz w:val="24"/>
          <w:szCs w:val="24"/>
        </w:rPr>
        <w:t xml:space="preserve"> expressed that they were motivated to participate in th</w:t>
      </w:r>
      <w:r w:rsidR="00315B7C">
        <w:rPr>
          <w:rFonts w:ascii="Times New Roman" w:hAnsi="Times New Roman"/>
          <w:sz w:val="24"/>
          <w:szCs w:val="24"/>
        </w:rPr>
        <w:t>is</w:t>
      </w:r>
      <w:r w:rsidR="00D23BAB">
        <w:rPr>
          <w:rFonts w:ascii="Times New Roman" w:hAnsi="Times New Roman"/>
          <w:sz w:val="24"/>
          <w:szCs w:val="24"/>
        </w:rPr>
        <w:t xml:space="preserve"> study because of the dire need </w:t>
      </w:r>
      <w:r w:rsidR="000235BA">
        <w:rPr>
          <w:rFonts w:ascii="Times New Roman" w:hAnsi="Times New Roman"/>
          <w:sz w:val="24"/>
          <w:szCs w:val="24"/>
        </w:rPr>
        <w:t>for</w:t>
      </w:r>
      <w:r w:rsidR="00D23BAB">
        <w:rPr>
          <w:rFonts w:ascii="Times New Roman" w:hAnsi="Times New Roman"/>
          <w:sz w:val="24"/>
          <w:szCs w:val="24"/>
        </w:rPr>
        <w:t xml:space="preserve"> </w:t>
      </w:r>
      <w:r w:rsidR="000235BA">
        <w:rPr>
          <w:rFonts w:ascii="Times New Roman" w:hAnsi="Times New Roman"/>
          <w:sz w:val="24"/>
          <w:szCs w:val="24"/>
        </w:rPr>
        <w:t xml:space="preserve">EIA </w:t>
      </w:r>
      <w:r w:rsidR="00D23BAB">
        <w:rPr>
          <w:rFonts w:ascii="Times New Roman" w:hAnsi="Times New Roman"/>
          <w:sz w:val="24"/>
          <w:szCs w:val="24"/>
        </w:rPr>
        <w:t xml:space="preserve">research in Namibia. </w:t>
      </w:r>
    </w:p>
    <w:p w:rsidR="00563CA5" w:rsidRPr="00760D77" w:rsidRDefault="006B01F0" w:rsidP="00563CA5">
      <w:pPr>
        <w:spacing w:line="360" w:lineRule="auto"/>
        <w:jc w:val="both"/>
        <w:rPr>
          <w:rFonts w:ascii="Times New Roman" w:hAnsi="Times New Roman"/>
          <w:sz w:val="24"/>
          <w:szCs w:val="24"/>
        </w:rPr>
      </w:pPr>
      <w:r>
        <w:rPr>
          <w:rFonts w:ascii="Times New Roman" w:hAnsi="Times New Roman"/>
          <w:sz w:val="24"/>
          <w:szCs w:val="24"/>
        </w:rPr>
        <w:t>One of the</w:t>
      </w:r>
      <w:r w:rsidR="00D23BAB">
        <w:rPr>
          <w:rFonts w:ascii="Times New Roman" w:hAnsi="Times New Roman"/>
          <w:sz w:val="24"/>
          <w:szCs w:val="24"/>
        </w:rPr>
        <w:t xml:space="preserve"> </w:t>
      </w:r>
      <w:r w:rsidR="00BC4947">
        <w:rPr>
          <w:rFonts w:ascii="Times New Roman" w:hAnsi="Times New Roman"/>
          <w:sz w:val="24"/>
          <w:szCs w:val="24"/>
        </w:rPr>
        <w:t xml:space="preserve">notable </w:t>
      </w:r>
      <w:r w:rsidR="00D96F35">
        <w:rPr>
          <w:rFonts w:ascii="Times New Roman" w:hAnsi="Times New Roman"/>
          <w:sz w:val="24"/>
          <w:szCs w:val="24"/>
        </w:rPr>
        <w:t>improvement</w:t>
      </w:r>
      <w:r w:rsidR="008334C3">
        <w:rPr>
          <w:rFonts w:ascii="Times New Roman" w:hAnsi="Times New Roman"/>
          <w:sz w:val="24"/>
          <w:szCs w:val="24"/>
        </w:rPr>
        <w:t>s</w:t>
      </w:r>
      <w:r w:rsidR="00D96F35">
        <w:rPr>
          <w:rFonts w:ascii="Times New Roman" w:hAnsi="Times New Roman"/>
          <w:sz w:val="24"/>
          <w:szCs w:val="24"/>
        </w:rPr>
        <w:t xml:space="preserve"> made by the </w:t>
      </w:r>
      <w:r>
        <w:rPr>
          <w:rFonts w:ascii="Times New Roman" w:hAnsi="Times New Roman"/>
          <w:sz w:val="24"/>
          <w:szCs w:val="24"/>
        </w:rPr>
        <w:t>DEA</w:t>
      </w:r>
      <w:r w:rsidR="00D96F35">
        <w:rPr>
          <w:rFonts w:ascii="Times New Roman" w:hAnsi="Times New Roman"/>
          <w:sz w:val="24"/>
          <w:szCs w:val="24"/>
        </w:rPr>
        <w:t xml:space="preserve"> is the launch of the website</w:t>
      </w:r>
      <w:r>
        <w:rPr>
          <w:rFonts w:ascii="Times New Roman" w:hAnsi="Times New Roman"/>
          <w:sz w:val="24"/>
          <w:szCs w:val="24"/>
        </w:rPr>
        <w:t>:</w:t>
      </w:r>
      <w:r w:rsidR="00D96F35">
        <w:rPr>
          <w:rFonts w:ascii="Times New Roman" w:hAnsi="Times New Roman"/>
          <w:sz w:val="24"/>
          <w:szCs w:val="24"/>
        </w:rPr>
        <w:t xml:space="preserve"> </w:t>
      </w:r>
      <w:r>
        <w:rPr>
          <w:rFonts w:ascii="Times New Roman" w:hAnsi="Times New Roman"/>
          <w:sz w:val="24"/>
          <w:szCs w:val="24"/>
        </w:rPr>
        <w:t>www.eia.met.gov.na</w:t>
      </w:r>
      <w:r w:rsidR="00CD47AE">
        <w:rPr>
          <w:rFonts w:ascii="Times New Roman" w:hAnsi="Times New Roman"/>
          <w:sz w:val="24"/>
          <w:szCs w:val="24"/>
        </w:rPr>
        <w:t xml:space="preserve"> in 2019</w:t>
      </w:r>
      <w:r>
        <w:rPr>
          <w:rFonts w:ascii="Times New Roman" w:hAnsi="Times New Roman"/>
          <w:sz w:val="24"/>
          <w:szCs w:val="24"/>
        </w:rPr>
        <w:t xml:space="preserve"> (MEFT</w:t>
      </w:r>
      <w:r w:rsidRPr="00E00CE4">
        <w:rPr>
          <w:rFonts w:ascii="Times New Roman" w:hAnsi="Times New Roman"/>
          <w:sz w:val="24"/>
          <w:szCs w:val="24"/>
        </w:rPr>
        <w:t>, 2019</w:t>
      </w:r>
      <w:r>
        <w:rPr>
          <w:rFonts w:ascii="Times New Roman" w:hAnsi="Times New Roman"/>
          <w:sz w:val="24"/>
          <w:szCs w:val="24"/>
        </w:rPr>
        <w:t>). The website contains</w:t>
      </w:r>
      <w:r w:rsidR="00D96F35" w:rsidRPr="00E00CE4">
        <w:rPr>
          <w:rFonts w:ascii="Times New Roman" w:hAnsi="Times New Roman"/>
          <w:sz w:val="24"/>
          <w:szCs w:val="24"/>
        </w:rPr>
        <w:t xml:space="preserve"> information on th</w:t>
      </w:r>
      <w:r w:rsidR="00D96F35">
        <w:rPr>
          <w:rFonts w:ascii="Times New Roman" w:hAnsi="Times New Roman"/>
          <w:sz w:val="24"/>
          <w:szCs w:val="24"/>
        </w:rPr>
        <w:t>e EIA process</w:t>
      </w:r>
      <w:r w:rsidR="00CD47AE">
        <w:rPr>
          <w:rFonts w:ascii="Times New Roman" w:hAnsi="Times New Roman"/>
          <w:sz w:val="24"/>
          <w:szCs w:val="24"/>
        </w:rPr>
        <w:t xml:space="preserve">, </w:t>
      </w:r>
      <w:r w:rsidR="00D96F35">
        <w:rPr>
          <w:rFonts w:ascii="Times New Roman" w:hAnsi="Times New Roman"/>
          <w:sz w:val="24"/>
          <w:szCs w:val="24"/>
        </w:rPr>
        <w:t>an</w:t>
      </w:r>
      <w:r w:rsidR="00D96F35" w:rsidRPr="00E00CE4">
        <w:rPr>
          <w:rFonts w:ascii="Times New Roman" w:hAnsi="Times New Roman"/>
          <w:sz w:val="24"/>
          <w:szCs w:val="24"/>
        </w:rPr>
        <w:t xml:space="preserve"> online application system, </w:t>
      </w:r>
      <w:r w:rsidR="00CD47AE">
        <w:rPr>
          <w:rFonts w:ascii="Times New Roman" w:hAnsi="Times New Roman"/>
          <w:sz w:val="24"/>
          <w:szCs w:val="24"/>
        </w:rPr>
        <w:t xml:space="preserve">a link to </w:t>
      </w:r>
      <w:r w:rsidR="00D96F35" w:rsidRPr="00E00CE4">
        <w:rPr>
          <w:rFonts w:ascii="Times New Roman" w:hAnsi="Times New Roman"/>
          <w:sz w:val="24"/>
          <w:szCs w:val="24"/>
        </w:rPr>
        <w:t xml:space="preserve">EIA draft reports </w:t>
      </w:r>
      <w:r>
        <w:rPr>
          <w:rFonts w:ascii="Times New Roman" w:hAnsi="Times New Roman"/>
          <w:sz w:val="24"/>
          <w:szCs w:val="24"/>
        </w:rPr>
        <w:t>open for</w:t>
      </w:r>
      <w:r w:rsidR="00315B7C">
        <w:rPr>
          <w:rFonts w:ascii="Times New Roman" w:hAnsi="Times New Roman"/>
          <w:sz w:val="24"/>
          <w:szCs w:val="24"/>
        </w:rPr>
        <w:t xml:space="preserve"> </w:t>
      </w:r>
      <w:r w:rsidR="00315B7C" w:rsidRPr="00E00CE4">
        <w:rPr>
          <w:rFonts w:ascii="Times New Roman" w:hAnsi="Times New Roman"/>
          <w:sz w:val="24"/>
          <w:szCs w:val="24"/>
        </w:rPr>
        <w:t>public</w:t>
      </w:r>
      <w:r w:rsidR="00D96F35" w:rsidRPr="00E00CE4">
        <w:rPr>
          <w:rFonts w:ascii="Times New Roman" w:hAnsi="Times New Roman"/>
          <w:sz w:val="24"/>
          <w:szCs w:val="24"/>
        </w:rPr>
        <w:t xml:space="preserve"> </w:t>
      </w:r>
      <w:r w:rsidR="00D96F35">
        <w:rPr>
          <w:rFonts w:ascii="Times New Roman" w:hAnsi="Times New Roman"/>
          <w:sz w:val="24"/>
          <w:szCs w:val="24"/>
        </w:rPr>
        <w:t xml:space="preserve">comments and a </w:t>
      </w:r>
      <w:r w:rsidR="00D96F35" w:rsidRPr="00E00CE4">
        <w:rPr>
          <w:rFonts w:ascii="Times New Roman" w:hAnsi="Times New Roman"/>
          <w:sz w:val="24"/>
          <w:szCs w:val="24"/>
        </w:rPr>
        <w:t>non-compliance</w:t>
      </w:r>
      <w:r w:rsidR="00D96F35">
        <w:rPr>
          <w:rFonts w:ascii="Times New Roman" w:hAnsi="Times New Roman"/>
          <w:sz w:val="24"/>
          <w:szCs w:val="24"/>
        </w:rPr>
        <w:t xml:space="preserve"> form </w:t>
      </w:r>
      <w:r w:rsidR="00397A7C">
        <w:rPr>
          <w:rFonts w:ascii="Times New Roman" w:hAnsi="Times New Roman"/>
          <w:sz w:val="24"/>
          <w:szCs w:val="24"/>
        </w:rPr>
        <w:t>that</w:t>
      </w:r>
      <w:r>
        <w:rPr>
          <w:rFonts w:ascii="Times New Roman" w:hAnsi="Times New Roman"/>
          <w:sz w:val="24"/>
          <w:szCs w:val="24"/>
        </w:rPr>
        <w:t xml:space="preserve"> can be</w:t>
      </w:r>
      <w:r w:rsidR="00CD47AE">
        <w:rPr>
          <w:rFonts w:ascii="Times New Roman" w:hAnsi="Times New Roman"/>
          <w:sz w:val="24"/>
          <w:szCs w:val="24"/>
        </w:rPr>
        <w:t xml:space="preserve"> use</w:t>
      </w:r>
      <w:r>
        <w:rPr>
          <w:rFonts w:ascii="Times New Roman" w:hAnsi="Times New Roman"/>
          <w:sz w:val="24"/>
          <w:szCs w:val="24"/>
        </w:rPr>
        <w:t>d</w:t>
      </w:r>
      <w:r w:rsidR="00CD47AE">
        <w:rPr>
          <w:rFonts w:ascii="Times New Roman" w:hAnsi="Times New Roman"/>
          <w:sz w:val="24"/>
          <w:szCs w:val="24"/>
        </w:rPr>
        <w:t xml:space="preserve"> to report illegal activities related to EIA </w:t>
      </w:r>
      <w:r w:rsidR="00D96F35">
        <w:rPr>
          <w:rFonts w:ascii="Times New Roman" w:hAnsi="Times New Roman"/>
          <w:sz w:val="24"/>
          <w:szCs w:val="24"/>
        </w:rPr>
        <w:t>(MEFT</w:t>
      </w:r>
      <w:r w:rsidR="00D96F35" w:rsidRPr="00E00CE4">
        <w:rPr>
          <w:rFonts w:ascii="Times New Roman" w:hAnsi="Times New Roman"/>
          <w:sz w:val="24"/>
          <w:szCs w:val="24"/>
        </w:rPr>
        <w:t>, 2019).</w:t>
      </w:r>
    </w:p>
    <w:p w:rsidR="00563CA5" w:rsidRDefault="00563CA5" w:rsidP="00C62E9A">
      <w:pPr>
        <w:pStyle w:val="Default"/>
        <w:spacing w:line="360" w:lineRule="auto"/>
        <w:jc w:val="both"/>
        <w:rPr>
          <w:rFonts w:ascii="Times New Roman" w:hAnsi="Times New Roman" w:cs="Times New Roman"/>
          <w:color w:val="auto"/>
        </w:rPr>
      </w:pPr>
    </w:p>
    <w:p w:rsidR="00563CA5" w:rsidRPr="00563CA5" w:rsidRDefault="006B01F0" w:rsidP="00563CA5">
      <w:pPr>
        <w:autoSpaceDE w:val="0"/>
        <w:autoSpaceDN w:val="0"/>
        <w:adjustRightInd w:val="0"/>
        <w:spacing w:line="240" w:lineRule="auto"/>
        <w:rPr>
          <w:rFonts w:ascii="Times New Roman" w:hAnsi="Times New Roman"/>
          <w:sz w:val="24"/>
          <w:szCs w:val="24"/>
        </w:rPr>
      </w:pPr>
      <w:r w:rsidRPr="00563CA5">
        <w:rPr>
          <w:rFonts w:ascii="Times New Roman" w:hAnsi="Times New Roman"/>
          <w:b/>
          <w:sz w:val="24"/>
          <w:szCs w:val="24"/>
        </w:rPr>
        <w:t xml:space="preserve">Table </w:t>
      </w:r>
      <w:r w:rsidR="00832F34">
        <w:rPr>
          <w:rFonts w:ascii="Times New Roman" w:hAnsi="Times New Roman"/>
          <w:b/>
          <w:sz w:val="24"/>
          <w:szCs w:val="24"/>
        </w:rPr>
        <w:t>1</w:t>
      </w:r>
      <w:r w:rsidRPr="00563CA5">
        <w:rPr>
          <w:rFonts w:ascii="Times New Roman" w:hAnsi="Times New Roman"/>
          <w:b/>
          <w:sz w:val="24"/>
          <w:szCs w:val="24"/>
        </w:rPr>
        <w:t xml:space="preserve">: </w:t>
      </w:r>
      <w:r w:rsidRPr="00563CA5">
        <w:rPr>
          <w:rFonts w:ascii="Times New Roman" w:hAnsi="Times New Roman"/>
          <w:sz w:val="24"/>
          <w:szCs w:val="24"/>
        </w:rPr>
        <w:t>Review of the Namibia EIA system.</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019"/>
        <w:gridCol w:w="4538"/>
      </w:tblGrid>
      <w:tr w:rsidR="00F80076" w:rsidTr="002E72F6">
        <w:trPr>
          <w:trHeight w:val="395"/>
        </w:trPr>
        <w:tc>
          <w:tcPr>
            <w:tcW w:w="4111" w:type="dxa"/>
            <w:shd w:val="clear" w:color="auto" w:fill="auto"/>
          </w:tcPr>
          <w:p w:rsidR="00563CA5" w:rsidRPr="007E3ADE" w:rsidRDefault="006B01F0" w:rsidP="002E72F6">
            <w:pPr>
              <w:spacing w:after="0" w:line="240" w:lineRule="auto"/>
              <w:jc w:val="both"/>
              <w:rPr>
                <w:rFonts w:cs="Calibri"/>
                <w:b/>
                <w:sz w:val="16"/>
                <w:szCs w:val="16"/>
              </w:rPr>
            </w:pPr>
            <w:r w:rsidRPr="007E3ADE">
              <w:rPr>
                <w:rFonts w:cs="Calibri"/>
                <w:b/>
                <w:sz w:val="16"/>
                <w:szCs w:val="16"/>
              </w:rPr>
              <w:t>Evaluation criteria</w:t>
            </w:r>
          </w:p>
        </w:tc>
        <w:tc>
          <w:tcPr>
            <w:tcW w:w="1019" w:type="dxa"/>
            <w:shd w:val="clear" w:color="auto" w:fill="auto"/>
          </w:tcPr>
          <w:p w:rsidR="00563CA5" w:rsidRPr="007E3ADE" w:rsidRDefault="006B01F0" w:rsidP="002E72F6">
            <w:pPr>
              <w:spacing w:after="0" w:line="240" w:lineRule="auto"/>
              <w:jc w:val="both"/>
              <w:rPr>
                <w:rFonts w:cs="Calibri"/>
                <w:b/>
                <w:sz w:val="16"/>
                <w:szCs w:val="16"/>
              </w:rPr>
            </w:pPr>
            <w:r w:rsidRPr="007E3ADE">
              <w:rPr>
                <w:rFonts w:cs="Calibri"/>
                <w:b/>
                <w:sz w:val="16"/>
                <w:szCs w:val="16"/>
              </w:rPr>
              <w:t>Rating</w:t>
            </w:r>
          </w:p>
        </w:tc>
        <w:tc>
          <w:tcPr>
            <w:tcW w:w="4538" w:type="dxa"/>
            <w:shd w:val="clear" w:color="auto" w:fill="auto"/>
          </w:tcPr>
          <w:p w:rsidR="00563CA5" w:rsidRPr="007E3ADE" w:rsidRDefault="006B01F0" w:rsidP="002E72F6">
            <w:pPr>
              <w:spacing w:after="0" w:line="240" w:lineRule="auto"/>
              <w:jc w:val="both"/>
              <w:rPr>
                <w:rFonts w:cs="Calibri"/>
                <w:b/>
                <w:sz w:val="16"/>
                <w:szCs w:val="16"/>
              </w:rPr>
            </w:pPr>
            <w:r w:rsidRPr="007E3ADE">
              <w:rPr>
                <w:rFonts w:cs="Calibri"/>
                <w:b/>
                <w:sz w:val="16"/>
                <w:szCs w:val="16"/>
              </w:rPr>
              <w:t>Results</w:t>
            </w:r>
          </w:p>
        </w:tc>
      </w:tr>
      <w:tr w:rsidR="00F80076" w:rsidTr="002E72F6">
        <w:trPr>
          <w:trHeight w:val="280"/>
        </w:trPr>
        <w:tc>
          <w:tcPr>
            <w:tcW w:w="4111"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b/>
                <w:i/>
                <w:sz w:val="16"/>
                <w:szCs w:val="16"/>
              </w:rPr>
              <w:t>Systemic measures</w:t>
            </w:r>
          </w:p>
        </w:tc>
        <w:tc>
          <w:tcPr>
            <w:tcW w:w="1019" w:type="dxa"/>
            <w:shd w:val="clear" w:color="auto" w:fill="auto"/>
          </w:tcPr>
          <w:p w:rsidR="00563CA5" w:rsidRPr="007E3ADE" w:rsidRDefault="00563CA5" w:rsidP="002E72F6">
            <w:pPr>
              <w:spacing w:after="0" w:line="240" w:lineRule="auto"/>
              <w:jc w:val="both"/>
              <w:rPr>
                <w:rFonts w:cs="Calibri"/>
                <w:sz w:val="16"/>
                <w:szCs w:val="16"/>
              </w:rPr>
            </w:pPr>
          </w:p>
        </w:tc>
        <w:tc>
          <w:tcPr>
            <w:tcW w:w="4538" w:type="dxa"/>
            <w:vMerge w:val="restart"/>
            <w:shd w:val="clear" w:color="auto" w:fill="auto"/>
          </w:tcPr>
          <w:p w:rsidR="00563CA5" w:rsidRPr="007E3ADE" w:rsidRDefault="00563CA5" w:rsidP="002E72F6">
            <w:pPr>
              <w:spacing w:after="0" w:line="240" w:lineRule="auto"/>
              <w:jc w:val="both"/>
              <w:rPr>
                <w:rFonts w:cs="Calibri"/>
                <w:sz w:val="16"/>
                <w:szCs w:val="16"/>
              </w:rPr>
            </w:pPr>
          </w:p>
          <w:p w:rsidR="00563CA5" w:rsidRPr="007E3ADE" w:rsidRDefault="00563CA5" w:rsidP="002E72F6">
            <w:pPr>
              <w:spacing w:after="0" w:line="240" w:lineRule="auto"/>
              <w:jc w:val="both"/>
              <w:rPr>
                <w:rFonts w:cs="Calibri"/>
                <w:sz w:val="16"/>
                <w:szCs w:val="16"/>
              </w:rPr>
            </w:pPr>
          </w:p>
          <w:p w:rsidR="00563CA5" w:rsidRPr="007E3ADE" w:rsidRDefault="006B01F0" w:rsidP="002E72F6">
            <w:pPr>
              <w:spacing w:after="0" w:line="240" w:lineRule="auto"/>
              <w:jc w:val="both"/>
              <w:rPr>
                <w:rFonts w:cs="Calibri"/>
                <w:sz w:val="16"/>
                <w:szCs w:val="16"/>
              </w:rPr>
            </w:pPr>
            <w:r w:rsidRPr="007E3ADE">
              <w:rPr>
                <w:rFonts w:cs="Calibri"/>
                <w:sz w:val="16"/>
                <w:szCs w:val="16"/>
              </w:rPr>
              <w:t xml:space="preserve">EMA (2007) &amp; EIA Regulations of 2012 clearly defines the EIA process but has shortcomings on timelines and omissions of activities. </w:t>
            </w:r>
          </w:p>
        </w:tc>
      </w:tr>
      <w:tr w:rsidR="00F80076" w:rsidTr="002E72F6">
        <w:trPr>
          <w:trHeight w:val="710"/>
        </w:trPr>
        <w:tc>
          <w:tcPr>
            <w:tcW w:w="4111"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 xml:space="preserve">1. </w:t>
            </w:r>
            <w:r w:rsidRPr="007E3ADE">
              <w:rPr>
                <w:rFonts w:cs="Calibri"/>
                <w:b/>
                <w:sz w:val="16"/>
                <w:szCs w:val="16"/>
              </w:rPr>
              <w:t>EIA legislation</w:t>
            </w:r>
          </w:p>
          <w:p w:rsidR="00563CA5" w:rsidRPr="007E3ADE" w:rsidRDefault="006B01F0" w:rsidP="002E72F6">
            <w:pPr>
              <w:spacing w:after="0" w:line="240" w:lineRule="auto"/>
              <w:jc w:val="both"/>
              <w:rPr>
                <w:rFonts w:cs="Calibri"/>
                <w:b/>
                <w:i/>
                <w:sz w:val="16"/>
                <w:szCs w:val="16"/>
              </w:rPr>
            </w:pPr>
            <w:r w:rsidRPr="007E3ADE">
              <w:rPr>
                <w:rFonts w:cs="Calibri"/>
                <w:sz w:val="16"/>
                <w:szCs w:val="16"/>
              </w:rPr>
              <w:t>1.1. Legal provisions for EIA</w:t>
            </w:r>
          </w:p>
        </w:tc>
        <w:tc>
          <w:tcPr>
            <w:tcW w:w="1019" w:type="dxa"/>
            <w:shd w:val="clear" w:color="auto" w:fill="auto"/>
          </w:tcPr>
          <w:p w:rsidR="00563CA5" w:rsidRPr="007E3ADE" w:rsidRDefault="00563CA5" w:rsidP="002E72F6">
            <w:pPr>
              <w:spacing w:after="0" w:line="240" w:lineRule="auto"/>
              <w:jc w:val="both"/>
              <w:rPr>
                <w:rFonts w:cs="Calibri"/>
                <w:sz w:val="16"/>
                <w:szCs w:val="16"/>
              </w:rPr>
            </w:pPr>
          </w:p>
          <w:p w:rsidR="00563CA5" w:rsidRPr="007E3ADE" w:rsidRDefault="006B01F0" w:rsidP="002E72F6">
            <w:pPr>
              <w:spacing w:after="0" w:line="240" w:lineRule="auto"/>
              <w:jc w:val="both"/>
              <w:rPr>
                <w:rFonts w:cs="Calibri"/>
                <w:sz w:val="16"/>
                <w:szCs w:val="16"/>
              </w:rPr>
            </w:pPr>
            <w:r w:rsidRPr="007E3ADE">
              <w:rPr>
                <w:rFonts w:cs="Calibri"/>
                <w:sz w:val="16"/>
                <w:szCs w:val="16"/>
              </w:rPr>
              <w:t>Partially</w:t>
            </w:r>
          </w:p>
        </w:tc>
        <w:tc>
          <w:tcPr>
            <w:tcW w:w="4538" w:type="dxa"/>
            <w:vMerge/>
            <w:shd w:val="clear" w:color="auto" w:fill="auto"/>
          </w:tcPr>
          <w:p w:rsidR="00563CA5" w:rsidRPr="007E3ADE" w:rsidRDefault="00563CA5" w:rsidP="002E72F6">
            <w:pPr>
              <w:spacing w:after="0" w:line="240" w:lineRule="auto"/>
              <w:jc w:val="both"/>
              <w:rPr>
                <w:rFonts w:cs="Calibri"/>
                <w:sz w:val="16"/>
                <w:szCs w:val="16"/>
              </w:rPr>
            </w:pPr>
          </w:p>
        </w:tc>
      </w:tr>
      <w:tr w:rsidR="00F80076" w:rsidTr="002E72F6">
        <w:trPr>
          <w:trHeight w:val="305"/>
        </w:trPr>
        <w:tc>
          <w:tcPr>
            <w:tcW w:w="4111"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1.2. Appeal by the developer or public</w:t>
            </w:r>
          </w:p>
        </w:tc>
        <w:tc>
          <w:tcPr>
            <w:tcW w:w="1019"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Partially</w:t>
            </w:r>
          </w:p>
        </w:tc>
        <w:tc>
          <w:tcPr>
            <w:tcW w:w="4538" w:type="dxa"/>
            <w:shd w:val="clear" w:color="auto" w:fill="auto"/>
          </w:tcPr>
          <w:p w:rsidR="00563CA5" w:rsidRPr="007E3ADE" w:rsidRDefault="006B01F0" w:rsidP="00C87669">
            <w:pPr>
              <w:spacing w:after="0" w:line="240" w:lineRule="auto"/>
              <w:jc w:val="both"/>
              <w:rPr>
                <w:rFonts w:cs="Calibri"/>
                <w:sz w:val="16"/>
                <w:szCs w:val="16"/>
              </w:rPr>
            </w:pPr>
            <w:r w:rsidRPr="007E3ADE">
              <w:rPr>
                <w:rFonts w:cs="Calibri"/>
                <w:sz w:val="16"/>
                <w:szCs w:val="16"/>
              </w:rPr>
              <w:t xml:space="preserve">Section 50 of the EMA gives legal provisions for appeal, but 14 days to appeal is </w:t>
            </w:r>
            <w:r w:rsidR="009B43A9">
              <w:rPr>
                <w:rFonts w:cs="Calibri"/>
                <w:sz w:val="16"/>
                <w:szCs w:val="16"/>
              </w:rPr>
              <w:t xml:space="preserve">too short given the EIA office is </w:t>
            </w:r>
            <w:r w:rsidR="00C87669">
              <w:rPr>
                <w:rFonts w:cs="Calibri"/>
                <w:sz w:val="16"/>
                <w:szCs w:val="16"/>
              </w:rPr>
              <w:t xml:space="preserve">located in </w:t>
            </w:r>
            <w:r w:rsidR="009B43A9">
              <w:rPr>
                <w:rFonts w:cs="Calibri"/>
                <w:sz w:val="16"/>
                <w:szCs w:val="16"/>
              </w:rPr>
              <w:t>Windhoek</w:t>
            </w:r>
            <w:r w:rsidRPr="007E3ADE">
              <w:rPr>
                <w:rFonts w:cs="Calibri"/>
                <w:sz w:val="16"/>
                <w:szCs w:val="16"/>
              </w:rPr>
              <w:t>.</w:t>
            </w:r>
          </w:p>
        </w:tc>
      </w:tr>
      <w:tr w:rsidR="00F80076" w:rsidTr="002E72F6">
        <w:trPr>
          <w:trHeight w:val="350"/>
        </w:trPr>
        <w:tc>
          <w:tcPr>
            <w:tcW w:w="4111"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1.3. Legal specification of time limits</w:t>
            </w:r>
          </w:p>
        </w:tc>
        <w:tc>
          <w:tcPr>
            <w:tcW w:w="1019"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Partially</w:t>
            </w:r>
          </w:p>
        </w:tc>
        <w:tc>
          <w:tcPr>
            <w:tcW w:w="4538"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 xml:space="preserve">The overall timeline of the EIA process from screening to a decision is not indicated.  </w:t>
            </w:r>
          </w:p>
        </w:tc>
      </w:tr>
      <w:tr w:rsidR="00F80076" w:rsidTr="002E72F6">
        <w:trPr>
          <w:trHeight w:val="287"/>
        </w:trPr>
        <w:tc>
          <w:tcPr>
            <w:tcW w:w="4111"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1. 4. SEA formal provision &amp; experience</w:t>
            </w:r>
          </w:p>
        </w:tc>
        <w:tc>
          <w:tcPr>
            <w:tcW w:w="1019"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Not met</w:t>
            </w:r>
          </w:p>
        </w:tc>
        <w:tc>
          <w:tcPr>
            <w:tcW w:w="4538"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There is no SEA provision in</w:t>
            </w:r>
            <w:r w:rsidR="009B43A9">
              <w:rPr>
                <w:rFonts w:cs="Calibri"/>
                <w:sz w:val="16"/>
                <w:szCs w:val="16"/>
              </w:rPr>
              <w:t xml:space="preserve"> the</w:t>
            </w:r>
            <w:r w:rsidRPr="007E3ADE">
              <w:rPr>
                <w:rFonts w:cs="Calibri"/>
                <w:sz w:val="16"/>
                <w:szCs w:val="16"/>
              </w:rPr>
              <w:t xml:space="preserve"> EMA &amp; Regulations.</w:t>
            </w:r>
          </w:p>
        </w:tc>
      </w:tr>
      <w:tr w:rsidR="00F80076" w:rsidTr="002E72F6">
        <w:tblPrEx>
          <w:tblLook w:val="0000" w:firstRow="0" w:lastRow="0" w:firstColumn="0" w:lastColumn="0" w:noHBand="0" w:noVBand="0"/>
        </w:tblPrEx>
        <w:trPr>
          <w:trHeight w:val="548"/>
        </w:trPr>
        <w:tc>
          <w:tcPr>
            <w:tcW w:w="4111"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b/>
                <w:sz w:val="16"/>
                <w:szCs w:val="16"/>
              </w:rPr>
              <w:t>2 EIA Administration</w:t>
            </w:r>
          </w:p>
          <w:p w:rsidR="00563CA5" w:rsidRPr="007E3ADE" w:rsidRDefault="006B01F0" w:rsidP="002E72F6">
            <w:pPr>
              <w:spacing w:after="0" w:line="240" w:lineRule="auto"/>
              <w:jc w:val="both"/>
              <w:rPr>
                <w:rFonts w:cs="Calibri"/>
                <w:sz w:val="16"/>
                <w:szCs w:val="16"/>
              </w:rPr>
            </w:pPr>
            <w:r w:rsidRPr="007E3ADE">
              <w:rPr>
                <w:rFonts w:cs="Calibri"/>
                <w:sz w:val="16"/>
                <w:szCs w:val="16"/>
              </w:rPr>
              <w:t>2.1 Competent Authority</w:t>
            </w:r>
          </w:p>
        </w:tc>
        <w:tc>
          <w:tcPr>
            <w:tcW w:w="1019" w:type="dxa"/>
            <w:shd w:val="clear" w:color="auto" w:fill="auto"/>
          </w:tcPr>
          <w:p w:rsidR="00563CA5" w:rsidRPr="007E3ADE" w:rsidRDefault="00563CA5" w:rsidP="002E72F6">
            <w:pPr>
              <w:spacing w:after="0" w:line="240" w:lineRule="auto"/>
              <w:jc w:val="both"/>
              <w:rPr>
                <w:rFonts w:cs="Calibri"/>
                <w:sz w:val="16"/>
                <w:szCs w:val="16"/>
              </w:rPr>
            </w:pPr>
          </w:p>
          <w:p w:rsidR="00563CA5" w:rsidRPr="007E3ADE" w:rsidRDefault="006B01F0" w:rsidP="002E72F6">
            <w:pPr>
              <w:spacing w:after="0" w:line="240" w:lineRule="auto"/>
              <w:jc w:val="both"/>
              <w:rPr>
                <w:rFonts w:cs="Calibri"/>
                <w:sz w:val="16"/>
                <w:szCs w:val="16"/>
              </w:rPr>
            </w:pPr>
            <w:r w:rsidRPr="007E3ADE">
              <w:rPr>
                <w:rFonts w:cs="Calibri"/>
                <w:sz w:val="16"/>
                <w:szCs w:val="16"/>
              </w:rPr>
              <w:t>Partially</w:t>
            </w:r>
          </w:p>
        </w:tc>
        <w:tc>
          <w:tcPr>
            <w:tcW w:w="4538" w:type="dxa"/>
            <w:shd w:val="clear" w:color="auto" w:fill="auto"/>
          </w:tcPr>
          <w:p w:rsidR="00563CA5" w:rsidRPr="007E3ADE" w:rsidRDefault="00563CA5" w:rsidP="002E72F6">
            <w:pPr>
              <w:spacing w:after="0" w:line="240" w:lineRule="auto"/>
              <w:jc w:val="both"/>
              <w:rPr>
                <w:rFonts w:cs="Calibri"/>
                <w:sz w:val="16"/>
                <w:szCs w:val="16"/>
              </w:rPr>
            </w:pPr>
          </w:p>
          <w:p w:rsidR="00563CA5" w:rsidRPr="007E3ADE" w:rsidRDefault="006B01F0" w:rsidP="00C87669">
            <w:pPr>
              <w:spacing w:after="0" w:line="240" w:lineRule="auto"/>
              <w:ind w:left="-5"/>
              <w:jc w:val="both"/>
              <w:rPr>
                <w:rFonts w:cs="Calibri"/>
                <w:sz w:val="16"/>
                <w:szCs w:val="16"/>
              </w:rPr>
            </w:pPr>
            <w:r w:rsidRPr="007E3ADE">
              <w:rPr>
                <w:rFonts w:cs="Calibri"/>
                <w:sz w:val="16"/>
                <w:szCs w:val="16"/>
              </w:rPr>
              <w:t xml:space="preserve">DEA is the authority in charge of EIA, but not as </w:t>
            </w:r>
            <w:r w:rsidR="00A40FFC">
              <w:rPr>
                <w:rFonts w:cs="Calibri"/>
                <w:sz w:val="16"/>
                <w:szCs w:val="16"/>
              </w:rPr>
              <w:t xml:space="preserve">a </w:t>
            </w:r>
            <w:r w:rsidR="00C87669">
              <w:rPr>
                <w:rFonts w:cs="Calibri"/>
                <w:sz w:val="16"/>
                <w:szCs w:val="16"/>
              </w:rPr>
              <w:t>competent authority</w:t>
            </w:r>
            <w:r w:rsidRPr="007E3ADE">
              <w:rPr>
                <w:rFonts w:cs="Calibri"/>
                <w:sz w:val="16"/>
                <w:szCs w:val="16"/>
              </w:rPr>
              <w:t xml:space="preserve">. </w:t>
            </w:r>
            <w:r w:rsidR="00C87669">
              <w:rPr>
                <w:rFonts w:cs="Calibri"/>
                <w:sz w:val="16"/>
                <w:szCs w:val="16"/>
              </w:rPr>
              <w:t xml:space="preserve">The roles of competent authority are </w:t>
            </w:r>
            <w:r w:rsidRPr="007E3ADE">
              <w:rPr>
                <w:rFonts w:cs="Calibri"/>
                <w:sz w:val="16"/>
                <w:szCs w:val="16"/>
              </w:rPr>
              <w:t xml:space="preserve">unclear. </w:t>
            </w:r>
          </w:p>
        </w:tc>
      </w:tr>
      <w:tr w:rsidR="00F80076" w:rsidTr="002E72F6">
        <w:tblPrEx>
          <w:tblLook w:val="0000" w:firstRow="0" w:lastRow="0" w:firstColumn="0" w:lastColumn="0" w:noHBand="0" w:noVBand="0"/>
        </w:tblPrEx>
        <w:trPr>
          <w:trHeight w:val="409"/>
        </w:trPr>
        <w:tc>
          <w:tcPr>
            <w:tcW w:w="4111" w:type="dxa"/>
            <w:shd w:val="clear" w:color="auto" w:fill="auto"/>
          </w:tcPr>
          <w:p w:rsidR="00563CA5" w:rsidRPr="007E3ADE" w:rsidRDefault="006B01F0" w:rsidP="002E72F6">
            <w:pPr>
              <w:spacing w:after="0" w:line="240" w:lineRule="auto"/>
              <w:ind w:left="-5"/>
              <w:jc w:val="both"/>
              <w:rPr>
                <w:rFonts w:cs="Calibri"/>
                <w:sz w:val="16"/>
                <w:szCs w:val="16"/>
              </w:rPr>
            </w:pPr>
            <w:r w:rsidRPr="007E3ADE">
              <w:rPr>
                <w:rFonts w:cs="Calibri"/>
                <w:sz w:val="16"/>
                <w:szCs w:val="16"/>
              </w:rPr>
              <w:t>2.2 Review body for EIA</w:t>
            </w:r>
          </w:p>
        </w:tc>
        <w:tc>
          <w:tcPr>
            <w:tcW w:w="1019" w:type="dxa"/>
            <w:shd w:val="clear" w:color="auto" w:fill="auto"/>
          </w:tcPr>
          <w:p w:rsidR="00563CA5" w:rsidRPr="007E3ADE" w:rsidRDefault="006B01F0" w:rsidP="002E72F6">
            <w:pPr>
              <w:spacing w:after="0" w:line="240" w:lineRule="auto"/>
              <w:ind w:left="-5"/>
              <w:jc w:val="both"/>
              <w:rPr>
                <w:rFonts w:cs="Calibri"/>
                <w:sz w:val="16"/>
                <w:szCs w:val="16"/>
              </w:rPr>
            </w:pPr>
            <w:r w:rsidRPr="007E3ADE">
              <w:rPr>
                <w:rFonts w:cs="Calibri"/>
                <w:sz w:val="16"/>
                <w:szCs w:val="16"/>
              </w:rPr>
              <w:t>Partially</w:t>
            </w:r>
          </w:p>
        </w:tc>
        <w:tc>
          <w:tcPr>
            <w:tcW w:w="4538" w:type="dxa"/>
            <w:shd w:val="clear" w:color="auto" w:fill="auto"/>
          </w:tcPr>
          <w:p w:rsidR="00563CA5" w:rsidRPr="007E3ADE" w:rsidRDefault="006B01F0" w:rsidP="00C87669">
            <w:pPr>
              <w:spacing w:after="0" w:line="240" w:lineRule="auto"/>
              <w:ind w:left="-5"/>
              <w:jc w:val="both"/>
              <w:rPr>
                <w:rFonts w:cs="Calibri"/>
                <w:sz w:val="16"/>
                <w:szCs w:val="16"/>
              </w:rPr>
            </w:pPr>
            <w:r w:rsidRPr="007E3ADE">
              <w:rPr>
                <w:rFonts w:cs="Calibri"/>
                <w:sz w:val="16"/>
                <w:szCs w:val="16"/>
              </w:rPr>
              <w:t xml:space="preserve">Section 36 of the EMA (2007) assigns the </w:t>
            </w:r>
            <w:r w:rsidR="00C87669">
              <w:rPr>
                <w:rFonts w:cs="Calibri"/>
                <w:sz w:val="16"/>
                <w:szCs w:val="16"/>
              </w:rPr>
              <w:t xml:space="preserve">environmental </w:t>
            </w:r>
            <w:r w:rsidR="007455F8">
              <w:rPr>
                <w:rFonts w:cs="Calibri"/>
                <w:sz w:val="16"/>
                <w:szCs w:val="16"/>
              </w:rPr>
              <w:t>commissioner</w:t>
            </w:r>
            <w:r w:rsidRPr="007E3ADE">
              <w:rPr>
                <w:rFonts w:cs="Calibri"/>
                <w:sz w:val="16"/>
                <w:szCs w:val="16"/>
              </w:rPr>
              <w:t xml:space="preserve"> office under the DEA as the review body, however, the quality checks are missing.</w:t>
            </w:r>
          </w:p>
        </w:tc>
      </w:tr>
      <w:tr w:rsidR="00F80076" w:rsidTr="002E72F6">
        <w:tblPrEx>
          <w:tblLook w:val="0000" w:firstRow="0" w:lastRow="0" w:firstColumn="0" w:lastColumn="0" w:noHBand="0" w:noVBand="0"/>
        </w:tblPrEx>
        <w:trPr>
          <w:trHeight w:val="175"/>
        </w:trPr>
        <w:tc>
          <w:tcPr>
            <w:tcW w:w="4111" w:type="dxa"/>
            <w:shd w:val="clear" w:color="auto" w:fill="auto"/>
          </w:tcPr>
          <w:p w:rsidR="00563CA5" w:rsidRPr="007E3ADE" w:rsidRDefault="006B01F0" w:rsidP="002E72F6">
            <w:pPr>
              <w:spacing w:after="0" w:line="240" w:lineRule="auto"/>
              <w:ind w:left="-5"/>
              <w:jc w:val="both"/>
              <w:rPr>
                <w:rFonts w:cs="Calibri"/>
                <w:sz w:val="16"/>
                <w:szCs w:val="16"/>
              </w:rPr>
            </w:pPr>
            <w:r w:rsidRPr="007E3ADE">
              <w:rPr>
                <w:rFonts w:cs="Calibri"/>
                <w:sz w:val="16"/>
                <w:szCs w:val="16"/>
              </w:rPr>
              <w:t>2.3 Specification of sectoral authorities</w:t>
            </w:r>
          </w:p>
        </w:tc>
        <w:tc>
          <w:tcPr>
            <w:tcW w:w="1019"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Partially</w:t>
            </w:r>
          </w:p>
        </w:tc>
        <w:tc>
          <w:tcPr>
            <w:tcW w:w="4538"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Minister to coordinate but no regulation or guideline is available.</w:t>
            </w:r>
          </w:p>
        </w:tc>
      </w:tr>
      <w:tr w:rsidR="00F80076" w:rsidTr="002E72F6">
        <w:tblPrEx>
          <w:tblLook w:val="0000" w:firstRow="0" w:lastRow="0" w:firstColumn="0" w:lastColumn="0" w:noHBand="0" w:noVBand="0"/>
        </w:tblPrEx>
        <w:trPr>
          <w:trHeight w:val="602"/>
        </w:trPr>
        <w:tc>
          <w:tcPr>
            <w:tcW w:w="4111" w:type="dxa"/>
            <w:shd w:val="clear" w:color="auto" w:fill="auto"/>
          </w:tcPr>
          <w:p w:rsidR="00563CA5" w:rsidRPr="007E3ADE" w:rsidRDefault="006B01F0" w:rsidP="002E72F6">
            <w:pPr>
              <w:spacing w:after="0" w:line="240" w:lineRule="auto"/>
              <w:ind w:left="-5"/>
              <w:jc w:val="both"/>
              <w:rPr>
                <w:rFonts w:cs="Calibri"/>
                <w:b/>
                <w:sz w:val="16"/>
                <w:szCs w:val="16"/>
              </w:rPr>
            </w:pPr>
            <w:r w:rsidRPr="007E3ADE">
              <w:rPr>
                <w:rFonts w:cs="Calibri"/>
                <w:b/>
                <w:sz w:val="16"/>
                <w:szCs w:val="16"/>
              </w:rPr>
              <w:t>3. EIA Procedure.</w:t>
            </w:r>
          </w:p>
          <w:p w:rsidR="00563CA5" w:rsidRPr="007E3ADE" w:rsidRDefault="006B01F0" w:rsidP="002E72F6">
            <w:pPr>
              <w:spacing w:after="0" w:line="240" w:lineRule="auto"/>
              <w:ind w:left="-5"/>
              <w:jc w:val="both"/>
              <w:rPr>
                <w:rFonts w:cs="Calibri"/>
                <w:sz w:val="16"/>
                <w:szCs w:val="16"/>
              </w:rPr>
            </w:pPr>
            <w:r w:rsidRPr="007E3ADE">
              <w:rPr>
                <w:rFonts w:cs="Calibri"/>
                <w:sz w:val="16"/>
                <w:szCs w:val="16"/>
              </w:rPr>
              <w:t>3.1 Specified screening categories</w:t>
            </w:r>
          </w:p>
        </w:tc>
        <w:tc>
          <w:tcPr>
            <w:tcW w:w="1019" w:type="dxa"/>
            <w:shd w:val="clear" w:color="auto" w:fill="auto"/>
          </w:tcPr>
          <w:p w:rsidR="00563CA5" w:rsidRPr="007E3ADE" w:rsidRDefault="00563CA5" w:rsidP="002E72F6">
            <w:pPr>
              <w:spacing w:after="0" w:line="240" w:lineRule="auto"/>
              <w:ind w:left="-5"/>
              <w:jc w:val="both"/>
              <w:rPr>
                <w:rFonts w:cs="Calibri"/>
                <w:sz w:val="16"/>
                <w:szCs w:val="16"/>
              </w:rPr>
            </w:pPr>
          </w:p>
          <w:p w:rsidR="00563CA5" w:rsidRPr="007E3ADE" w:rsidRDefault="006B01F0" w:rsidP="002E72F6">
            <w:pPr>
              <w:spacing w:after="0" w:line="240" w:lineRule="auto"/>
              <w:ind w:left="-5"/>
              <w:jc w:val="both"/>
              <w:rPr>
                <w:rFonts w:cs="Calibri"/>
                <w:sz w:val="16"/>
                <w:szCs w:val="16"/>
              </w:rPr>
            </w:pPr>
            <w:r w:rsidRPr="007E3ADE">
              <w:rPr>
                <w:rFonts w:cs="Calibri"/>
                <w:sz w:val="16"/>
                <w:szCs w:val="16"/>
              </w:rPr>
              <w:t>Partially</w:t>
            </w:r>
          </w:p>
        </w:tc>
        <w:tc>
          <w:tcPr>
            <w:tcW w:w="4538" w:type="dxa"/>
            <w:shd w:val="clear" w:color="auto" w:fill="auto"/>
          </w:tcPr>
          <w:p w:rsidR="00563CA5" w:rsidRPr="007E3ADE" w:rsidRDefault="00563CA5" w:rsidP="002E72F6">
            <w:pPr>
              <w:spacing w:after="0" w:line="240" w:lineRule="auto"/>
              <w:ind w:left="-5"/>
              <w:jc w:val="both"/>
              <w:rPr>
                <w:rFonts w:cs="Calibri"/>
                <w:sz w:val="16"/>
                <w:szCs w:val="16"/>
              </w:rPr>
            </w:pPr>
          </w:p>
          <w:p w:rsidR="00563CA5" w:rsidRPr="007E3ADE" w:rsidRDefault="006B01F0" w:rsidP="002E72F6">
            <w:pPr>
              <w:spacing w:after="0" w:line="240" w:lineRule="auto"/>
              <w:ind w:left="-5"/>
              <w:jc w:val="both"/>
              <w:rPr>
                <w:rFonts w:cs="Calibri"/>
                <w:sz w:val="16"/>
                <w:szCs w:val="16"/>
              </w:rPr>
            </w:pPr>
            <w:r w:rsidRPr="007E3ADE">
              <w:rPr>
                <w:rFonts w:cs="Calibri"/>
                <w:sz w:val="16"/>
                <w:szCs w:val="16"/>
              </w:rPr>
              <w:t xml:space="preserve">Screening approaches are given in the legislation, but screening categories &amp; threshold is lacking. </w:t>
            </w:r>
          </w:p>
        </w:tc>
      </w:tr>
      <w:tr w:rsidR="00F80076" w:rsidTr="002E72F6">
        <w:tblPrEx>
          <w:tblLook w:val="0000" w:firstRow="0" w:lastRow="0" w:firstColumn="0" w:lastColumn="0" w:noHBand="0" w:noVBand="0"/>
        </w:tblPrEx>
        <w:trPr>
          <w:trHeight w:val="350"/>
        </w:trPr>
        <w:tc>
          <w:tcPr>
            <w:tcW w:w="4111" w:type="dxa"/>
            <w:shd w:val="clear" w:color="auto" w:fill="auto"/>
          </w:tcPr>
          <w:p w:rsidR="00563CA5" w:rsidRPr="007E3ADE" w:rsidRDefault="006B01F0" w:rsidP="002E72F6">
            <w:pPr>
              <w:spacing w:after="0" w:line="240" w:lineRule="auto"/>
              <w:ind w:left="-5"/>
              <w:jc w:val="both"/>
              <w:rPr>
                <w:rFonts w:cs="Calibri"/>
                <w:sz w:val="16"/>
                <w:szCs w:val="16"/>
              </w:rPr>
            </w:pPr>
            <w:r w:rsidRPr="007E3ADE">
              <w:rPr>
                <w:rFonts w:cs="Calibri"/>
                <w:sz w:val="16"/>
                <w:szCs w:val="16"/>
              </w:rPr>
              <w:lastRenderedPageBreak/>
              <w:t>3.2 Systematic scoping approach</w:t>
            </w:r>
          </w:p>
        </w:tc>
        <w:tc>
          <w:tcPr>
            <w:tcW w:w="1019" w:type="dxa"/>
            <w:shd w:val="clear" w:color="auto" w:fill="auto"/>
          </w:tcPr>
          <w:p w:rsidR="00563CA5" w:rsidRPr="007E3ADE" w:rsidRDefault="006B01F0" w:rsidP="002E72F6">
            <w:pPr>
              <w:spacing w:after="0" w:line="240" w:lineRule="auto"/>
              <w:ind w:left="-5"/>
              <w:jc w:val="both"/>
              <w:rPr>
                <w:rFonts w:cs="Calibri"/>
                <w:sz w:val="16"/>
                <w:szCs w:val="16"/>
              </w:rPr>
            </w:pPr>
            <w:r w:rsidRPr="007E3ADE">
              <w:rPr>
                <w:rFonts w:cs="Calibri"/>
                <w:sz w:val="16"/>
                <w:szCs w:val="16"/>
              </w:rPr>
              <w:t>Partially</w:t>
            </w:r>
          </w:p>
        </w:tc>
        <w:tc>
          <w:tcPr>
            <w:tcW w:w="4538" w:type="dxa"/>
            <w:shd w:val="clear" w:color="auto" w:fill="auto"/>
          </w:tcPr>
          <w:p w:rsidR="00563CA5" w:rsidRPr="007E3ADE" w:rsidRDefault="006B01F0" w:rsidP="002E72F6">
            <w:pPr>
              <w:spacing w:after="0" w:line="240" w:lineRule="auto"/>
              <w:ind w:left="-5"/>
              <w:jc w:val="both"/>
              <w:rPr>
                <w:rFonts w:cs="Calibri"/>
                <w:sz w:val="16"/>
                <w:szCs w:val="16"/>
              </w:rPr>
            </w:pPr>
            <w:r w:rsidRPr="007E3ADE">
              <w:rPr>
                <w:rFonts w:cs="Calibri"/>
                <w:sz w:val="16"/>
                <w:szCs w:val="16"/>
              </w:rPr>
              <w:t xml:space="preserve">Scoping is well defined, however, </w:t>
            </w:r>
            <w:r w:rsidRPr="007E3ADE">
              <w:rPr>
                <w:sz w:val="16"/>
                <w:szCs w:val="16"/>
              </w:rPr>
              <w:t>no scoping guidelines exist in the legislation.</w:t>
            </w:r>
          </w:p>
        </w:tc>
      </w:tr>
      <w:tr w:rsidR="00F80076" w:rsidTr="002E72F6">
        <w:tblPrEx>
          <w:tblLook w:val="0000" w:firstRow="0" w:lastRow="0" w:firstColumn="0" w:lastColumn="0" w:noHBand="0" w:noVBand="0"/>
        </w:tblPrEx>
        <w:trPr>
          <w:trHeight w:val="458"/>
        </w:trPr>
        <w:tc>
          <w:tcPr>
            <w:tcW w:w="4111"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3.3 Requirement to consider alternatives</w:t>
            </w:r>
          </w:p>
        </w:tc>
        <w:tc>
          <w:tcPr>
            <w:tcW w:w="1019"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Partially</w:t>
            </w:r>
          </w:p>
        </w:tc>
        <w:tc>
          <w:tcPr>
            <w:tcW w:w="4538"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 xml:space="preserve">Regulation (8 (g) requires alternatives during an assessment, however, there is no guide or regulation on how alternatives can be considered. </w:t>
            </w:r>
          </w:p>
        </w:tc>
      </w:tr>
      <w:tr w:rsidR="00F80076" w:rsidTr="002E72F6">
        <w:tblPrEx>
          <w:tblLook w:val="0000" w:firstRow="0" w:lastRow="0" w:firstColumn="0" w:lastColumn="0" w:noHBand="0" w:noVBand="0"/>
        </w:tblPrEx>
        <w:trPr>
          <w:trHeight w:val="323"/>
        </w:trPr>
        <w:tc>
          <w:tcPr>
            <w:tcW w:w="4111"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3.</w:t>
            </w:r>
            <w:r w:rsidR="009B43A9">
              <w:rPr>
                <w:rFonts w:cs="Calibri"/>
                <w:sz w:val="16"/>
                <w:szCs w:val="16"/>
              </w:rPr>
              <w:t>4</w:t>
            </w:r>
            <w:r w:rsidRPr="007E3ADE">
              <w:rPr>
                <w:rFonts w:cs="Calibri"/>
                <w:sz w:val="16"/>
                <w:szCs w:val="16"/>
              </w:rPr>
              <w:t xml:space="preserve"> Specified EIA report content</w:t>
            </w:r>
          </w:p>
        </w:tc>
        <w:tc>
          <w:tcPr>
            <w:tcW w:w="1019"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Partially</w:t>
            </w:r>
          </w:p>
        </w:tc>
        <w:tc>
          <w:tcPr>
            <w:tcW w:w="4538" w:type="dxa"/>
            <w:shd w:val="clear" w:color="auto" w:fill="FFFFFF"/>
          </w:tcPr>
          <w:p w:rsidR="00563CA5" w:rsidRPr="007E3ADE" w:rsidRDefault="006B01F0" w:rsidP="002E72F6">
            <w:pPr>
              <w:spacing w:after="0" w:line="240" w:lineRule="auto"/>
              <w:jc w:val="both"/>
              <w:rPr>
                <w:rFonts w:cs="Calibri"/>
                <w:b/>
                <w:sz w:val="16"/>
                <w:szCs w:val="16"/>
              </w:rPr>
            </w:pPr>
            <w:r w:rsidRPr="007E3ADE">
              <w:rPr>
                <w:rFonts w:cs="Calibri"/>
                <w:sz w:val="16"/>
                <w:szCs w:val="16"/>
              </w:rPr>
              <w:t>Regulation (15) specifies the content of the report but no quality assurance checks exist.</w:t>
            </w:r>
          </w:p>
        </w:tc>
      </w:tr>
      <w:tr w:rsidR="00F80076" w:rsidTr="002E72F6">
        <w:tblPrEx>
          <w:tblLook w:val="0000" w:firstRow="0" w:lastRow="0" w:firstColumn="0" w:lastColumn="0" w:noHBand="0" w:noVBand="0"/>
        </w:tblPrEx>
        <w:trPr>
          <w:trHeight w:val="530"/>
        </w:trPr>
        <w:tc>
          <w:tcPr>
            <w:tcW w:w="4111" w:type="dxa"/>
            <w:shd w:val="clear" w:color="auto" w:fill="auto"/>
          </w:tcPr>
          <w:p w:rsidR="00563CA5" w:rsidRPr="007E3ADE" w:rsidRDefault="006B01F0" w:rsidP="009B43A9">
            <w:pPr>
              <w:spacing w:after="0" w:line="240" w:lineRule="auto"/>
              <w:jc w:val="both"/>
              <w:rPr>
                <w:rFonts w:cs="Calibri"/>
                <w:sz w:val="16"/>
                <w:szCs w:val="16"/>
              </w:rPr>
            </w:pPr>
            <w:r w:rsidRPr="007E3ADE">
              <w:rPr>
                <w:rFonts w:cs="Calibri"/>
                <w:sz w:val="16"/>
                <w:szCs w:val="16"/>
              </w:rPr>
              <w:t>3.</w:t>
            </w:r>
            <w:r w:rsidR="009B43A9">
              <w:rPr>
                <w:rFonts w:cs="Calibri"/>
                <w:sz w:val="16"/>
                <w:szCs w:val="16"/>
              </w:rPr>
              <w:t>5</w:t>
            </w:r>
            <w:r w:rsidRPr="007E3ADE">
              <w:rPr>
                <w:rFonts w:cs="Calibri"/>
                <w:sz w:val="16"/>
                <w:szCs w:val="16"/>
              </w:rPr>
              <w:t xml:space="preserve"> Systematic review approach</w:t>
            </w:r>
          </w:p>
        </w:tc>
        <w:tc>
          <w:tcPr>
            <w:tcW w:w="1019" w:type="dxa"/>
            <w:shd w:val="clear" w:color="auto" w:fill="auto"/>
          </w:tcPr>
          <w:p w:rsidR="00563CA5" w:rsidRPr="007E3ADE" w:rsidRDefault="006B01F0" w:rsidP="002E72F6">
            <w:pPr>
              <w:tabs>
                <w:tab w:val="left" w:pos="915"/>
              </w:tabs>
              <w:spacing w:after="0" w:line="240" w:lineRule="auto"/>
              <w:jc w:val="both"/>
              <w:rPr>
                <w:rFonts w:cs="Calibri"/>
                <w:sz w:val="16"/>
                <w:szCs w:val="16"/>
              </w:rPr>
            </w:pPr>
            <w:r w:rsidRPr="007E3ADE">
              <w:rPr>
                <w:rFonts w:cs="Calibri"/>
                <w:sz w:val="16"/>
                <w:szCs w:val="16"/>
              </w:rPr>
              <w:t>Partially</w:t>
            </w:r>
          </w:p>
        </w:tc>
        <w:tc>
          <w:tcPr>
            <w:tcW w:w="4538" w:type="dxa"/>
            <w:shd w:val="clear" w:color="auto" w:fill="auto"/>
          </w:tcPr>
          <w:p w:rsidR="00563CA5" w:rsidRPr="007E3ADE" w:rsidRDefault="006B01F0" w:rsidP="002E72F6">
            <w:pPr>
              <w:tabs>
                <w:tab w:val="left" w:pos="915"/>
              </w:tabs>
              <w:spacing w:after="0" w:line="240" w:lineRule="auto"/>
              <w:jc w:val="both"/>
              <w:rPr>
                <w:rFonts w:cs="Calibri"/>
                <w:sz w:val="16"/>
                <w:szCs w:val="16"/>
              </w:rPr>
            </w:pPr>
            <w:r w:rsidRPr="007E3ADE">
              <w:rPr>
                <w:rFonts w:cs="Calibri"/>
                <w:sz w:val="16"/>
                <w:szCs w:val="16"/>
              </w:rPr>
              <w:t>Section 36 of the EMA (2007) assigns the EC to review, however no review checklist or guideline exist and no EIA review committee is established.</w:t>
            </w:r>
          </w:p>
        </w:tc>
      </w:tr>
      <w:tr w:rsidR="00F80076" w:rsidTr="002E72F6">
        <w:tblPrEx>
          <w:tblLook w:val="0000" w:firstRow="0" w:lastRow="0" w:firstColumn="0" w:lastColumn="0" w:noHBand="0" w:noVBand="0"/>
        </w:tblPrEx>
        <w:trPr>
          <w:trHeight w:val="440"/>
        </w:trPr>
        <w:tc>
          <w:tcPr>
            <w:tcW w:w="4111"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3.</w:t>
            </w:r>
            <w:r w:rsidR="009B43A9">
              <w:rPr>
                <w:rFonts w:cs="Calibri"/>
                <w:sz w:val="16"/>
                <w:szCs w:val="16"/>
              </w:rPr>
              <w:t>6</w:t>
            </w:r>
            <w:r w:rsidRPr="007E3ADE">
              <w:rPr>
                <w:rFonts w:cs="Calibri"/>
                <w:sz w:val="16"/>
                <w:szCs w:val="16"/>
              </w:rPr>
              <w:t xml:space="preserve"> Public Participation</w:t>
            </w:r>
          </w:p>
        </w:tc>
        <w:tc>
          <w:tcPr>
            <w:tcW w:w="1019"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Partially</w:t>
            </w:r>
          </w:p>
        </w:tc>
        <w:tc>
          <w:tcPr>
            <w:tcW w:w="4538"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Regulations 21, 22, 23 gives provision for public consultation, but no guideline is available.</w:t>
            </w:r>
          </w:p>
        </w:tc>
      </w:tr>
      <w:tr w:rsidR="00F80076" w:rsidTr="002E72F6">
        <w:tblPrEx>
          <w:tblLook w:val="0000" w:firstRow="0" w:lastRow="0" w:firstColumn="0" w:lastColumn="0" w:noHBand="0" w:noVBand="0"/>
        </w:tblPrEx>
        <w:trPr>
          <w:trHeight w:val="467"/>
        </w:trPr>
        <w:tc>
          <w:tcPr>
            <w:tcW w:w="4111"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3.</w:t>
            </w:r>
            <w:r w:rsidR="009B43A9">
              <w:rPr>
                <w:rFonts w:cs="Calibri"/>
                <w:sz w:val="16"/>
                <w:szCs w:val="16"/>
              </w:rPr>
              <w:t>7</w:t>
            </w:r>
            <w:r w:rsidRPr="007E3ADE">
              <w:rPr>
                <w:rFonts w:cs="Calibri"/>
                <w:sz w:val="16"/>
                <w:szCs w:val="16"/>
              </w:rPr>
              <w:t xml:space="preserve"> Systematic decision-making approach</w:t>
            </w:r>
          </w:p>
        </w:tc>
        <w:tc>
          <w:tcPr>
            <w:tcW w:w="1019"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Partially</w:t>
            </w:r>
          </w:p>
        </w:tc>
        <w:tc>
          <w:tcPr>
            <w:tcW w:w="4538" w:type="dxa"/>
            <w:shd w:val="clear" w:color="auto" w:fill="auto"/>
          </w:tcPr>
          <w:p w:rsidR="00563CA5" w:rsidRPr="007E3ADE" w:rsidRDefault="006B01F0" w:rsidP="002E72F6">
            <w:pPr>
              <w:spacing w:after="0" w:line="240" w:lineRule="auto"/>
              <w:jc w:val="both"/>
              <w:rPr>
                <w:rFonts w:cs="Calibri"/>
                <w:bCs/>
                <w:sz w:val="16"/>
                <w:szCs w:val="16"/>
              </w:rPr>
            </w:pPr>
            <w:r w:rsidRPr="007E3ADE">
              <w:rPr>
                <w:rFonts w:cs="Calibri"/>
                <w:sz w:val="16"/>
                <w:szCs w:val="16"/>
              </w:rPr>
              <w:t xml:space="preserve">Regulation 18 assigns EC to decide within 7 days from the date of review, but the regulation is not followed and the process lacks transparency. </w:t>
            </w:r>
          </w:p>
        </w:tc>
      </w:tr>
      <w:tr w:rsidR="00F80076" w:rsidTr="002E72F6">
        <w:tblPrEx>
          <w:tblLook w:val="0000" w:firstRow="0" w:lastRow="0" w:firstColumn="0" w:lastColumn="0" w:noHBand="0" w:noVBand="0"/>
        </w:tblPrEx>
        <w:trPr>
          <w:trHeight w:val="368"/>
        </w:trPr>
        <w:tc>
          <w:tcPr>
            <w:tcW w:w="4111"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3.</w:t>
            </w:r>
            <w:r w:rsidR="009B43A9">
              <w:rPr>
                <w:rFonts w:cs="Calibri"/>
                <w:sz w:val="16"/>
                <w:szCs w:val="16"/>
              </w:rPr>
              <w:t>8</w:t>
            </w:r>
            <w:r w:rsidRPr="007E3ADE">
              <w:rPr>
                <w:rFonts w:cs="Calibri"/>
                <w:sz w:val="16"/>
                <w:szCs w:val="16"/>
              </w:rPr>
              <w:t xml:space="preserve"> Requirement for mitigation &amp; EMP</w:t>
            </w:r>
          </w:p>
        </w:tc>
        <w:tc>
          <w:tcPr>
            <w:tcW w:w="1019"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Partially</w:t>
            </w:r>
          </w:p>
        </w:tc>
        <w:tc>
          <w:tcPr>
            <w:tcW w:w="4538"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Regulations 8 &amp; 15 require a mitigation plan, but no guidelines exist on the usage of the plan and how it can be implemented.</w:t>
            </w:r>
          </w:p>
        </w:tc>
      </w:tr>
      <w:tr w:rsidR="00F80076" w:rsidTr="002E72F6">
        <w:tblPrEx>
          <w:tblLook w:val="0000" w:firstRow="0" w:lastRow="0" w:firstColumn="0" w:lastColumn="0" w:noHBand="0" w:noVBand="0"/>
        </w:tblPrEx>
        <w:trPr>
          <w:trHeight w:val="332"/>
        </w:trPr>
        <w:tc>
          <w:tcPr>
            <w:tcW w:w="4111"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3.</w:t>
            </w:r>
            <w:r w:rsidR="009B43A9">
              <w:rPr>
                <w:rFonts w:cs="Calibri"/>
                <w:sz w:val="16"/>
                <w:szCs w:val="16"/>
              </w:rPr>
              <w:t>9</w:t>
            </w:r>
            <w:r w:rsidRPr="007E3ADE">
              <w:rPr>
                <w:rFonts w:cs="Calibri"/>
                <w:sz w:val="16"/>
                <w:szCs w:val="16"/>
              </w:rPr>
              <w:t xml:space="preserve"> Requirement for Impact monitoring</w:t>
            </w:r>
          </w:p>
        </w:tc>
        <w:tc>
          <w:tcPr>
            <w:tcW w:w="1019"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Not met</w:t>
            </w:r>
          </w:p>
        </w:tc>
        <w:tc>
          <w:tcPr>
            <w:tcW w:w="4538" w:type="dxa"/>
            <w:shd w:val="clear" w:color="auto" w:fill="auto"/>
          </w:tcPr>
          <w:p w:rsidR="00563CA5" w:rsidRPr="007E3ADE" w:rsidRDefault="006B01F0" w:rsidP="00EB3004">
            <w:pPr>
              <w:spacing w:after="0" w:line="240" w:lineRule="auto"/>
              <w:jc w:val="both"/>
              <w:rPr>
                <w:rFonts w:cs="Calibri"/>
                <w:sz w:val="16"/>
                <w:szCs w:val="16"/>
              </w:rPr>
            </w:pPr>
            <w:r>
              <w:rPr>
                <w:rFonts w:cs="Calibri"/>
                <w:sz w:val="16"/>
                <w:szCs w:val="16"/>
              </w:rPr>
              <w:t xml:space="preserve">Monitoring is vaguely mentioned in the Act, but not in the EIA regulation. </w:t>
            </w:r>
          </w:p>
        </w:tc>
      </w:tr>
      <w:tr w:rsidR="00F80076" w:rsidTr="002E72F6">
        <w:tblPrEx>
          <w:tblLook w:val="0000" w:firstRow="0" w:lastRow="0" w:firstColumn="0" w:lastColumn="0" w:noHBand="0" w:noVBand="0"/>
        </w:tblPrEx>
        <w:trPr>
          <w:trHeight w:val="255"/>
        </w:trPr>
        <w:tc>
          <w:tcPr>
            <w:tcW w:w="4111"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3.1</w:t>
            </w:r>
            <w:r w:rsidR="009B43A9">
              <w:rPr>
                <w:rFonts w:cs="Calibri"/>
                <w:sz w:val="16"/>
                <w:szCs w:val="16"/>
              </w:rPr>
              <w:t>0</w:t>
            </w:r>
            <w:r w:rsidRPr="007E3ADE">
              <w:rPr>
                <w:rFonts w:cs="Calibri"/>
                <w:sz w:val="16"/>
                <w:szCs w:val="16"/>
              </w:rPr>
              <w:t xml:space="preserve"> Experience </w:t>
            </w:r>
            <w:r w:rsidR="009B43A9">
              <w:rPr>
                <w:rFonts w:cs="Calibri"/>
                <w:sz w:val="16"/>
                <w:szCs w:val="16"/>
              </w:rPr>
              <w:t>of</w:t>
            </w:r>
            <w:r w:rsidRPr="007E3ADE">
              <w:rPr>
                <w:rFonts w:cs="Calibri"/>
                <w:sz w:val="16"/>
                <w:szCs w:val="16"/>
              </w:rPr>
              <w:t xml:space="preserve"> SEA</w:t>
            </w:r>
          </w:p>
        </w:tc>
        <w:tc>
          <w:tcPr>
            <w:tcW w:w="1019"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Not met</w:t>
            </w:r>
          </w:p>
        </w:tc>
        <w:tc>
          <w:tcPr>
            <w:tcW w:w="4538"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 xml:space="preserve">No formal requirement </w:t>
            </w:r>
            <w:r w:rsidR="009B43A9">
              <w:rPr>
                <w:rFonts w:cs="Calibri"/>
                <w:sz w:val="16"/>
                <w:szCs w:val="16"/>
              </w:rPr>
              <w:t>for</w:t>
            </w:r>
            <w:r w:rsidRPr="007E3ADE">
              <w:rPr>
                <w:rFonts w:cs="Calibri"/>
                <w:sz w:val="16"/>
                <w:szCs w:val="16"/>
              </w:rPr>
              <w:t xml:space="preserve"> SEA in Namibia, hence poor experience.</w:t>
            </w:r>
          </w:p>
        </w:tc>
      </w:tr>
      <w:tr w:rsidR="00F80076" w:rsidTr="002E72F6">
        <w:tblPrEx>
          <w:tblLook w:val="0000" w:firstRow="0" w:lastRow="0" w:firstColumn="0" w:lastColumn="0" w:noHBand="0" w:noVBand="0"/>
        </w:tblPrEx>
        <w:trPr>
          <w:trHeight w:val="274"/>
        </w:trPr>
        <w:tc>
          <w:tcPr>
            <w:tcW w:w="4111"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3.1</w:t>
            </w:r>
            <w:r w:rsidR="009B43A9">
              <w:rPr>
                <w:rFonts w:cs="Calibri"/>
                <w:sz w:val="16"/>
                <w:szCs w:val="16"/>
              </w:rPr>
              <w:t>1</w:t>
            </w:r>
            <w:r w:rsidRPr="007E3ADE">
              <w:rPr>
                <w:rFonts w:cs="Calibri"/>
                <w:sz w:val="16"/>
                <w:szCs w:val="16"/>
              </w:rPr>
              <w:t xml:space="preserve"> Time and cost of EIA</w:t>
            </w:r>
          </w:p>
        </w:tc>
        <w:tc>
          <w:tcPr>
            <w:tcW w:w="1019"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Partially</w:t>
            </w:r>
          </w:p>
        </w:tc>
        <w:tc>
          <w:tcPr>
            <w:tcW w:w="4538" w:type="dxa"/>
            <w:shd w:val="clear" w:color="auto" w:fill="FFFFFF"/>
          </w:tcPr>
          <w:p w:rsidR="00563CA5" w:rsidRPr="007E3ADE" w:rsidRDefault="006B01F0" w:rsidP="002E72F6">
            <w:pPr>
              <w:spacing w:after="0" w:line="240" w:lineRule="auto"/>
              <w:jc w:val="both"/>
              <w:rPr>
                <w:rFonts w:cs="Calibri"/>
                <w:sz w:val="16"/>
                <w:szCs w:val="16"/>
              </w:rPr>
            </w:pPr>
            <w:r w:rsidRPr="007E3ADE">
              <w:rPr>
                <w:rFonts w:cs="Calibri"/>
                <w:sz w:val="16"/>
                <w:szCs w:val="16"/>
              </w:rPr>
              <w:t>Timelines are provided for different stages, but no guidelines exist on the total time required to undertake EIA nor the cost.</w:t>
            </w:r>
          </w:p>
        </w:tc>
      </w:tr>
      <w:tr w:rsidR="00F80076" w:rsidTr="002E72F6">
        <w:tblPrEx>
          <w:tblLook w:val="0000" w:firstRow="0" w:lastRow="0" w:firstColumn="0" w:lastColumn="0" w:noHBand="0" w:noVBand="0"/>
        </w:tblPrEx>
        <w:trPr>
          <w:trHeight w:val="436"/>
        </w:trPr>
        <w:tc>
          <w:tcPr>
            <w:tcW w:w="4111" w:type="dxa"/>
            <w:shd w:val="clear" w:color="auto" w:fill="auto"/>
          </w:tcPr>
          <w:p w:rsidR="00563CA5" w:rsidRPr="007E3ADE" w:rsidRDefault="006B01F0" w:rsidP="002E72F6">
            <w:pPr>
              <w:spacing w:after="0" w:line="240" w:lineRule="auto"/>
              <w:jc w:val="both"/>
              <w:rPr>
                <w:rFonts w:cs="Calibri"/>
                <w:b/>
                <w:sz w:val="16"/>
                <w:szCs w:val="16"/>
              </w:rPr>
            </w:pPr>
            <w:r w:rsidRPr="007E3ADE">
              <w:rPr>
                <w:rFonts w:cs="Calibri"/>
                <w:b/>
                <w:sz w:val="16"/>
                <w:szCs w:val="16"/>
              </w:rPr>
              <w:t>Foundation Measures</w:t>
            </w:r>
          </w:p>
          <w:p w:rsidR="00563CA5" w:rsidRPr="007E3ADE" w:rsidRDefault="006B01F0" w:rsidP="002E72F6">
            <w:pPr>
              <w:spacing w:after="0" w:line="240" w:lineRule="auto"/>
              <w:jc w:val="both"/>
              <w:rPr>
                <w:rFonts w:cs="Calibri"/>
                <w:sz w:val="16"/>
                <w:szCs w:val="16"/>
              </w:rPr>
            </w:pPr>
            <w:r w:rsidRPr="007E3ADE">
              <w:rPr>
                <w:rFonts w:cs="Calibri"/>
                <w:sz w:val="16"/>
                <w:szCs w:val="16"/>
              </w:rPr>
              <w:t>4.1 EIA system implementation and monitoring.</w:t>
            </w:r>
          </w:p>
        </w:tc>
        <w:tc>
          <w:tcPr>
            <w:tcW w:w="1019" w:type="dxa"/>
            <w:shd w:val="clear" w:color="auto" w:fill="auto"/>
          </w:tcPr>
          <w:p w:rsidR="00563CA5" w:rsidRPr="007E3ADE" w:rsidRDefault="00563CA5" w:rsidP="002E72F6">
            <w:pPr>
              <w:spacing w:after="0" w:line="240" w:lineRule="auto"/>
              <w:jc w:val="both"/>
              <w:rPr>
                <w:rFonts w:cs="Calibri"/>
                <w:sz w:val="16"/>
                <w:szCs w:val="16"/>
              </w:rPr>
            </w:pPr>
          </w:p>
          <w:p w:rsidR="00563CA5" w:rsidRPr="007E3ADE" w:rsidRDefault="006B01F0" w:rsidP="002E72F6">
            <w:pPr>
              <w:spacing w:after="0" w:line="240" w:lineRule="auto"/>
              <w:jc w:val="both"/>
              <w:rPr>
                <w:rFonts w:cs="Calibri"/>
                <w:sz w:val="16"/>
                <w:szCs w:val="16"/>
              </w:rPr>
            </w:pPr>
            <w:r w:rsidRPr="007E3ADE">
              <w:rPr>
                <w:rFonts w:cs="Calibri"/>
                <w:sz w:val="16"/>
                <w:szCs w:val="16"/>
              </w:rPr>
              <w:t>Not met</w:t>
            </w:r>
          </w:p>
        </w:tc>
        <w:tc>
          <w:tcPr>
            <w:tcW w:w="4538" w:type="dxa"/>
            <w:shd w:val="clear" w:color="auto" w:fill="FFFFFF"/>
          </w:tcPr>
          <w:p w:rsidR="00563CA5" w:rsidRPr="007E3ADE" w:rsidRDefault="00563CA5" w:rsidP="002E72F6">
            <w:pPr>
              <w:spacing w:after="0" w:line="240" w:lineRule="auto"/>
              <w:jc w:val="both"/>
              <w:rPr>
                <w:rFonts w:cs="Calibri"/>
                <w:sz w:val="16"/>
                <w:szCs w:val="16"/>
              </w:rPr>
            </w:pPr>
          </w:p>
          <w:p w:rsidR="00563CA5" w:rsidRPr="007E3ADE" w:rsidRDefault="006B01F0" w:rsidP="009B43A9">
            <w:pPr>
              <w:spacing w:after="0" w:line="240" w:lineRule="auto"/>
              <w:jc w:val="both"/>
              <w:rPr>
                <w:rFonts w:cs="Calibri"/>
                <w:sz w:val="16"/>
                <w:szCs w:val="16"/>
              </w:rPr>
            </w:pPr>
            <w:r w:rsidRPr="007E3ADE">
              <w:rPr>
                <w:rFonts w:cs="Calibri"/>
                <w:sz w:val="16"/>
                <w:szCs w:val="16"/>
              </w:rPr>
              <w:t xml:space="preserve">Provisions </w:t>
            </w:r>
            <w:r w:rsidR="009B43A9">
              <w:rPr>
                <w:rFonts w:cs="Calibri"/>
                <w:sz w:val="16"/>
                <w:szCs w:val="16"/>
              </w:rPr>
              <w:t>for</w:t>
            </w:r>
            <w:r w:rsidRPr="007E3ADE">
              <w:rPr>
                <w:rFonts w:cs="Calibri"/>
                <w:sz w:val="16"/>
                <w:szCs w:val="16"/>
              </w:rPr>
              <w:t xml:space="preserve"> EIA system monitoring </w:t>
            </w:r>
            <w:r w:rsidR="009B43A9">
              <w:rPr>
                <w:rFonts w:cs="Calibri"/>
                <w:sz w:val="16"/>
                <w:szCs w:val="16"/>
              </w:rPr>
              <w:t>are</w:t>
            </w:r>
            <w:r w:rsidR="009B43A9" w:rsidRPr="007E3ADE">
              <w:rPr>
                <w:rFonts w:cs="Calibri"/>
                <w:sz w:val="16"/>
                <w:szCs w:val="16"/>
              </w:rPr>
              <w:t xml:space="preserve"> </w:t>
            </w:r>
            <w:r w:rsidRPr="007E3ADE">
              <w:rPr>
                <w:rFonts w:cs="Calibri"/>
                <w:sz w:val="16"/>
                <w:szCs w:val="16"/>
              </w:rPr>
              <w:t>not in the legislation.</w:t>
            </w:r>
          </w:p>
        </w:tc>
      </w:tr>
      <w:tr w:rsidR="00F80076" w:rsidTr="002E72F6">
        <w:tblPrEx>
          <w:tblLook w:val="0000" w:firstRow="0" w:lastRow="0" w:firstColumn="0" w:lastColumn="0" w:noHBand="0" w:noVBand="0"/>
        </w:tblPrEx>
        <w:trPr>
          <w:trHeight w:val="290"/>
        </w:trPr>
        <w:tc>
          <w:tcPr>
            <w:tcW w:w="4111"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4.2 EIA guidelines including sector authority.</w:t>
            </w:r>
          </w:p>
        </w:tc>
        <w:tc>
          <w:tcPr>
            <w:tcW w:w="1019"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Not met</w:t>
            </w:r>
          </w:p>
        </w:tc>
        <w:tc>
          <w:tcPr>
            <w:tcW w:w="4538"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No sector guidelines or regulations exist.</w:t>
            </w:r>
          </w:p>
        </w:tc>
      </w:tr>
      <w:tr w:rsidR="00F80076" w:rsidTr="002E72F6">
        <w:tblPrEx>
          <w:tblLook w:val="0000" w:firstRow="0" w:lastRow="0" w:firstColumn="0" w:lastColumn="0" w:noHBand="0" w:noVBand="0"/>
        </w:tblPrEx>
        <w:trPr>
          <w:trHeight w:val="311"/>
        </w:trPr>
        <w:tc>
          <w:tcPr>
            <w:tcW w:w="4111"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4.3 Expertise in conducting EIA.</w:t>
            </w:r>
          </w:p>
        </w:tc>
        <w:tc>
          <w:tcPr>
            <w:tcW w:w="1019"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Not met</w:t>
            </w:r>
          </w:p>
        </w:tc>
        <w:tc>
          <w:tcPr>
            <w:tcW w:w="4538"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No requirement exists for EIA expertise registration or certification.</w:t>
            </w:r>
          </w:p>
        </w:tc>
      </w:tr>
      <w:tr w:rsidR="00F80076" w:rsidTr="002E72F6">
        <w:tblPrEx>
          <w:tblLook w:val="0000" w:firstRow="0" w:lastRow="0" w:firstColumn="0" w:lastColumn="0" w:noHBand="0" w:noVBand="0"/>
        </w:tblPrEx>
        <w:trPr>
          <w:trHeight w:val="221"/>
        </w:trPr>
        <w:tc>
          <w:tcPr>
            <w:tcW w:w="4111"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4.4 Training and capacity-building.</w:t>
            </w:r>
          </w:p>
        </w:tc>
        <w:tc>
          <w:tcPr>
            <w:tcW w:w="1019"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Not met</w:t>
            </w:r>
          </w:p>
        </w:tc>
        <w:tc>
          <w:tcPr>
            <w:tcW w:w="4538" w:type="dxa"/>
            <w:shd w:val="clear" w:color="auto" w:fill="auto"/>
          </w:tcPr>
          <w:p w:rsidR="00563CA5" w:rsidRPr="007E3ADE" w:rsidRDefault="006B01F0" w:rsidP="002E72F6">
            <w:pPr>
              <w:spacing w:after="0" w:line="240" w:lineRule="auto"/>
              <w:jc w:val="both"/>
              <w:rPr>
                <w:rFonts w:cs="Calibri"/>
                <w:sz w:val="16"/>
                <w:szCs w:val="16"/>
              </w:rPr>
            </w:pPr>
            <w:r w:rsidRPr="007E3ADE">
              <w:rPr>
                <w:rFonts w:cs="Calibri"/>
                <w:sz w:val="16"/>
                <w:szCs w:val="16"/>
              </w:rPr>
              <w:t>No training or capacity building provisions exist in the legislation.</w:t>
            </w:r>
          </w:p>
        </w:tc>
      </w:tr>
    </w:tbl>
    <w:p w:rsidR="00DE74BE" w:rsidRPr="001A108A" w:rsidRDefault="00DE74BE" w:rsidP="00504A20">
      <w:pPr>
        <w:autoSpaceDE w:val="0"/>
        <w:autoSpaceDN w:val="0"/>
        <w:adjustRightInd w:val="0"/>
        <w:spacing w:line="360" w:lineRule="auto"/>
        <w:jc w:val="both"/>
        <w:rPr>
          <w:rFonts w:ascii="Times New Roman" w:hAnsi="Times New Roman"/>
          <w:sz w:val="24"/>
          <w:szCs w:val="24"/>
        </w:rPr>
      </w:pPr>
    </w:p>
    <w:p w:rsidR="00AE62D4" w:rsidRPr="00C710EA" w:rsidRDefault="006B01F0" w:rsidP="00C710EA">
      <w:pPr>
        <w:pStyle w:val="ListParagraph"/>
        <w:numPr>
          <w:ilvl w:val="0"/>
          <w:numId w:val="17"/>
        </w:numPr>
        <w:spacing w:line="360" w:lineRule="auto"/>
        <w:jc w:val="both"/>
        <w:rPr>
          <w:rFonts w:ascii="Times New Roman" w:hAnsi="Times New Roman"/>
          <w:b/>
          <w:sz w:val="24"/>
          <w:szCs w:val="24"/>
        </w:rPr>
      </w:pPr>
      <w:r w:rsidRPr="00C710EA">
        <w:rPr>
          <w:rFonts w:ascii="Times New Roman" w:hAnsi="Times New Roman"/>
          <w:b/>
          <w:sz w:val="24"/>
          <w:szCs w:val="24"/>
        </w:rPr>
        <w:t>Discussion</w:t>
      </w:r>
    </w:p>
    <w:p w:rsidR="00760D77" w:rsidRDefault="006B01F0" w:rsidP="00504A20">
      <w:pPr>
        <w:spacing w:line="360" w:lineRule="auto"/>
        <w:jc w:val="both"/>
        <w:rPr>
          <w:rFonts w:ascii="Times New Roman" w:hAnsi="Times New Roman"/>
          <w:sz w:val="24"/>
          <w:szCs w:val="24"/>
        </w:rPr>
      </w:pPr>
      <w:r>
        <w:rPr>
          <w:rFonts w:ascii="Times New Roman" w:hAnsi="Times New Roman"/>
          <w:sz w:val="24"/>
          <w:szCs w:val="24"/>
        </w:rPr>
        <w:t>The</w:t>
      </w:r>
      <w:r w:rsidR="00D23BAB">
        <w:rPr>
          <w:rFonts w:ascii="Times New Roman" w:hAnsi="Times New Roman"/>
          <w:sz w:val="24"/>
          <w:szCs w:val="24"/>
        </w:rPr>
        <w:t xml:space="preserve"> assessment </w:t>
      </w:r>
      <w:r>
        <w:rPr>
          <w:rFonts w:ascii="Times New Roman" w:hAnsi="Times New Roman"/>
          <w:sz w:val="24"/>
          <w:szCs w:val="24"/>
        </w:rPr>
        <w:t xml:space="preserve">presented in this paper </w:t>
      </w:r>
      <w:r w:rsidR="00BF1723">
        <w:rPr>
          <w:rFonts w:ascii="Times New Roman" w:hAnsi="Times New Roman"/>
          <w:sz w:val="24"/>
          <w:szCs w:val="24"/>
        </w:rPr>
        <w:t>was</w:t>
      </w:r>
      <w:r w:rsidR="00D23BAB">
        <w:rPr>
          <w:rFonts w:ascii="Times New Roman" w:hAnsi="Times New Roman"/>
          <w:sz w:val="24"/>
          <w:szCs w:val="24"/>
        </w:rPr>
        <w:t xml:space="preserve"> undertaken based on document analysis of the EIA legislation and the input</w:t>
      </w:r>
      <w:r w:rsidR="00790CB3">
        <w:rPr>
          <w:rFonts w:ascii="Times New Roman" w:hAnsi="Times New Roman"/>
          <w:sz w:val="24"/>
          <w:szCs w:val="24"/>
        </w:rPr>
        <w:t>s</w:t>
      </w:r>
      <w:r w:rsidR="00D23BAB">
        <w:rPr>
          <w:rFonts w:ascii="Times New Roman" w:hAnsi="Times New Roman"/>
          <w:sz w:val="24"/>
          <w:szCs w:val="24"/>
        </w:rPr>
        <w:t xml:space="preserve"> </w:t>
      </w:r>
      <w:r w:rsidR="00790CB3">
        <w:rPr>
          <w:rFonts w:ascii="Times New Roman" w:hAnsi="Times New Roman"/>
          <w:sz w:val="24"/>
          <w:szCs w:val="24"/>
        </w:rPr>
        <w:t xml:space="preserve">of </w:t>
      </w:r>
      <w:r w:rsidR="00D23BAB">
        <w:rPr>
          <w:rFonts w:ascii="Times New Roman" w:hAnsi="Times New Roman"/>
          <w:sz w:val="24"/>
          <w:szCs w:val="24"/>
        </w:rPr>
        <w:t>various stakeholders involved in the EIA process</w:t>
      </w:r>
      <w:r w:rsidR="00790CB3">
        <w:rPr>
          <w:rFonts w:ascii="Times New Roman" w:hAnsi="Times New Roman"/>
          <w:sz w:val="24"/>
          <w:szCs w:val="24"/>
        </w:rPr>
        <w:t xml:space="preserve"> in Namibia</w:t>
      </w:r>
      <w:r w:rsidR="00D23BAB">
        <w:rPr>
          <w:rFonts w:ascii="Times New Roman" w:hAnsi="Times New Roman"/>
          <w:sz w:val="24"/>
          <w:szCs w:val="24"/>
        </w:rPr>
        <w:t xml:space="preserve">. The system </w:t>
      </w:r>
      <w:r>
        <w:rPr>
          <w:rFonts w:ascii="Times New Roman" w:hAnsi="Times New Roman"/>
          <w:sz w:val="24"/>
          <w:szCs w:val="24"/>
        </w:rPr>
        <w:t>has been</w:t>
      </w:r>
      <w:r w:rsidR="00D23BAB">
        <w:rPr>
          <w:rFonts w:ascii="Times New Roman" w:hAnsi="Times New Roman"/>
          <w:sz w:val="24"/>
          <w:szCs w:val="24"/>
        </w:rPr>
        <w:t xml:space="preserve"> evaluated against </w:t>
      </w:r>
      <w:r w:rsidR="00DE74BE">
        <w:rPr>
          <w:rFonts w:ascii="Times New Roman" w:hAnsi="Times New Roman"/>
          <w:sz w:val="24"/>
          <w:szCs w:val="24"/>
        </w:rPr>
        <w:t>criteria for</w:t>
      </w:r>
      <w:r w:rsidR="00D23BAB">
        <w:rPr>
          <w:rFonts w:ascii="Times New Roman" w:hAnsi="Times New Roman"/>
          <w:sz w:val="24"/>
          <w:szCs w:val="24"/>
        </w:rPr>
        <w:t xml:space="preserve"> an ideal EIA system. The following </w:t>
      </w:r>
      <w:r w:rsidR="00EB3004">
        <w:rPr>
          <w:rFonts w:ascii="Times New Roman" w:hAnsi="Times New Roman"/>
          <w:sz w:val="24"/>
          <w:szCs w:val="24"/>
        </w:rPr>
        <w:t xml:space="preserve">discussion </w:t>
      </w:r>
      <w:r>
        <w:rPr>
          <w:rFonts w:ascii="Times New Roman" w:hAnsi="Times New Roman"/>
          <w:sz w:val="24"/>
          <w:szCs w:val="24"/>
        </w:rPr>
        <w:t>underscore</w:t>
      </w:r>
      <w:r w:rsidR="00397A7C">
        <w:rPr>
          <w:rFonts w:ascii="Times New Roman" w:hAnsi="Times New Roman"/>
          <w:sz w:val="24"/>
          <w:szCs w:val="24"/>
        </w:rPr>
        <w:t>s</w:t>
      </w:r>
      <w:r w:rsidR="00D23BAB">
        <w:rPr>
          <w:rFonts w:ascii="Times New Roman" w:hAnsi="Times New Roman"/>
          <w:sz w:val="24"/>
          <w:szCs w:val="24"/>
        </w:rPr>
        <w:t xml:space="preserve"> the weaknesses</w:t>
      </w:r>
      <w:r w:rsidR="00EB3004">
        <w:rPr>
          <w:rFonts w:ascii="Times New Roman" w:hAnsi="Times New Roman"/>
          <w:sz w:val="24"/>
          <w:szCs w:val="24"/>
        </w:rPr>
        <w:t xml:space="preserve"> and strengths of</w:t>
      </w:r>
      <w:r w:rsidR="00D23BAB">
        <w:rPr>
          <w:rFonts w:ascii="Times New Roman" w:hAnsi="Times New Roman"/>
          <w:sz w:val="24"/>
          <w:szCs w:val="24"/>
        </w:rPr>
        <w:t xml:space="preserve"> </w:t>
      </w:r>
      <w:r w:rsidR="006517DB">
        <w:rPr>
          <w:rFonts w:ascii="Times New Roman" w:hAnsi="Times New Roman"/>
          <w:sz w:val="24"/>
          <w:szCs w:val="24"/>
        </w:rPr>
        <w:t xml:space="preserve">the Namibia </w:t>
      </w:r>
      <w:r w:rsidR="00D23BAB">
        <w:rPr>
          <w:rFonts w:ascii="Times New Roman" w:hAnsi="Times New Roman"/>
          <w:sz w:val="24"/>
          <w:szCs w:val="24"/>
        </w:rPr>
        <w:t xml:space="preserve">EIA </w:t>
      </w:r>
      <w:r w:rsidR="006517DB">
        <w:rPr>
          <w:rFonts w:ascii="Times New Roman" w:hAnsi="Times New Roman"/>
          <w:sz w:val="24"/>
          <w:szCs w:val="24"/>
        </w:rPr>
        <w:t>system.</w:t>
      </w:r>
      <w:r w:rsidR="00D23BAB">
        <w:rPr>
          <w:rFonts w:ascii="Times New Roman" w:hAnsi="Times New Roman"/>
          <w:sz w:val="24"/>
          <w:szCs w:val="24"/>
        </w:rPr>
        <w:t xml:space="preserve"> </w:t>
      </w:r>
    </w:p>
    <w:p w:rsidR="00DE74BE" w:rsidRPr="00EB3004" w:rsidRDefault="00DE74BE" w:rsidP="00504A20">
      <w:pPr>
        <w:spacing w:line="360" w:lineRule="auto"/>
        <w:jc w:val="both"/>
        <w:rPr>
          <w:rFonts w:ascii="Times New Roman" w:hAnsi="Times New Roman"/>
          <w:sz w:val="24"/>
          <w:szCs w:val="24"/>
          <w:u w:val="single"/>
        </w:rPr>
      </w:pPr>
    </w:p>
    <w:p w:rsidR="00B4058D" w:rsidRPr="00EB3004" w:rsidRDefault="006B01F0" w:rsidP="00504A20">
      <w:pPr>
        <w:spacing w:line="360" w:lineRule="auto"/>
        <w:jc w:val="both"/>
        <w:rPr>
          <w:rFonts w:ascii="Times New Roman" w:hAnsi="Times New Roman"/>
          <w:b/>
          <w:i/>
          <w:sz w:val="24"/>
          <w:szCs w:val="24"/>
          <w:u w:val="single"/>
        </w:rPr>
      </w:pPr>
      <w:r w:rsidRPr="00EB3004">
        <w:rPr>
          <w:rFonts w:ascii="Times New Roman" w:hAnsi="Times New Roman"/>
          <w:b/>
          <w:i/>
          <w:sz w:val="24"/>
          <w:szCs w:val="24"/>
          <w:u w:val="single"/>
        </w:rPr>
        <w:t>Weaknesses</w:t>
      </w:r>
      <w:r w:rsidR="00C87669">
        <w:rPr>
          <w:rFonts w:ascii="Times New Roman" w:hAnsi="Times New Roman"/>
          <w:b/>
          <w:i/>
          <w:sz w:val="24"/>
          <w:szCs w:val="24"/>
          <w:u w:val="single"/>
        </w:rPr>
        <w:t xml:space="preserve"> of EIA</w:t>
      </w:r>
    </w:p>
    <w:p w:rsidR="00760D77" w:rsidRPr="00C710EA" w:rsidRDefault="006B01F0" w:rsidP="00C710EA">
      <w:pPr>
        <w:pStyle w:val="ListParagraph"/>
        <w:numPr>
          <w:ilvl w:val="1"/>
          <w:numId w:val="17"/>
        </w:numPr>
        <w:spacing w:line="360" w:lineRule="auto"/>
        <w:jc w:val="both"/>
        <w:rPr>
          <w:rFonts w:ascii="Times New Roman" w:hAnsi="Times New Roman"/>
          <w:i/>
          <w:sz w:val="24"/>
          <w:szCs w:val="24"/>
        </w:rPr>
      </w:pPr>
      <w:r w:rsidRPr="00C710EA">
        <w:rPr>
          <w:rFonts w:ascii="Times New Roman" w:hAnsi="Times New Roman"/>
          <w:i/>
          <w:sz w:val="24"/>
          <w:szCs w:val="24"/>
        </w:rPr>
        <w:t>Inadequate</w:t>
      </w:r>
      <w:r w:rsidR="00D55182" w:rsidRPr="00C710EA">
        <w:rPr>
          <w:rFonts w:ascii="Times New Roman" w:hAnsi="Times New Roman"/>
          <w:i/>
          <w:sz w:val="24"/>
          <w:szCs w:val="24"/>
        </w:rPr>
        <w:t xml:space="preserve"> </w:t>
      </w:r>
      <w:r w:rsidR="009D6EF6" w:rsidRPr="00C710EA">
        <w:rPr>
          <w:rFonts w:ascii="Times New Roman" w:hAnsi="Times New Roman"/>
          <w:i/>
          <w:sz w:val="24"/>
          <w:szCs w:val="24"/>
        </w:rPr>
        <w:t>legislations</w:t>
      </w:r>
    </w:p>
    <w:p w:rsidR="00FD2E7B" w:rsidRDefault="006B01F0" w:rsidP="00A40FFC">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The </w:t>
      </w:r>
      <w:r w:rsidR="00AC7B5C" w:rsidRPr="00760D77">
        <w:rPr>
          <w:rFonts w:ascii="Times New Roman" w:hAnsi="Times New Roman"/>
          <w:sz w:val="24"/>
          <w:szCs w:val="24"/>
        </w:rPr>
        <w:t>EIA</w:t>
      </w:r>
      <w:r>
        <w:rPr>
          <w:rFonts w:ascii="Times New Roman" w:hAnsi="Times New Roman"/>
          <w:sz w:val="24"/>
          <w:szCs w:val="24"/>
        </w:rPr>
        <w:t xml:space="preserve"> system</w:t>
      </w:r>
      <w:r w:rsidR="00AC7B5C" w:rsidRPr="00760D77">
        <w:rPr>
          <w:rFonts w:ascii="Times New Roman" w:hAnsi="Times New Roman"/>
          <w:sz w:val="24"/>
          <w:szCs w:val="24"/>
        </w:rPr>
        <w:t xml:space="preserve"> in Namibia is </w:t>
      </w:r>
      <w:r w:rsidR="00790CB3">
        <w:rPr>
          <w:rFonts w:ascii="Times New Roman" w:hAnsi="Times New Roman"/>
          <w:sz w:val="24"/>
          <w:szCs w:val="24"/>
        </w:rPr>
        <w:t xml:space="preserve">well placed </w:t>
      </w:r>
      <w:r w:rsidR="00C87669">
        <w:rPr>
          <w:rFonts w:ascii="Times New Roman" w:hAnsi="Times New Roman"/>
          <w:sz w:val="24"/>
          <w:szCs w:val="24"/>
        </w:rPr>
        <w:t>from a legal perspective. It</w:t>
      </w:r>
      <w:r w:rsidR="00790CB3">
        <w:rPr>
          <w:rFonts w:ascii="Times New Roman" w:hAnsi="Times New Roman"/>
          <w:sz w:val="24"/>
          <w:szCs w:val="24"/>
        </w:rPr>
        <w:t xml:space="preserve"> is supported by the constitution</w:t>
      </w:r>
      <w:r w:rsidR="00C87669">
        <w:rPr>
          <w:rFonts w:ascii="Times New Roman" w:hAnsi="Times New Roman"/>
          <w:sz w:val="24"/>
          <w:szCs w:val="24"/>
        </w:rPr>
        <w:t>’s A</w:t>
      </w:r>
      <w:r w:rsidR="00790CB3">
        <w:rPr>
          <w:rFonts w:ascii="Times New Roman" w:hAnsi="Times New Roman"/>
          <w:sz w:val="24"/>
          <w:szCs w:val="24"/>
        </w:rPr>
        <w:t xml:space="preserve">rticle 95 and </w:t>
      </w:r>
      <w:r w:rsidR="00760D77">
        <w:rPr>
          <w:rFonts w:ascii="Times New Roman" w:hAnsi="Times New Roman"/>
          <w:sz w:val="24"/>
          <w:szCs w:val="24"/>
        </w:rPr>
        <w:t xml:space="preserve">based on </w:t>
      </w:r>
      <w:r w:rsidR="00790CB3">
        <w:rPr>
          <w:rFonts w:ascii="Times New Roman" w:hAnsi="Times New Roman"/>
          <w:sz w:val="24"/>
          <w:szCs w:val="24"/>
        </w:rPr>
        <w:t xml:space="preserve">the </w:t>
      </w:r>
      <w:r w:rsidR="00C87669">
        <w:rPr>
          <w:rFonts w:ascii="Times New Roman" w:hAnsi="Times New Roman"/>
          <w:sz w:val="24"/>
          <w:szCs w:val="24"/>
        </w:rPr>
        <w:t xml:space="preserve">Environmental Management Act </w:t>
      </w:r>
      <w:r w:rsidR="00790CB3">
        <w:rPr>
          <w:rFonts w:ascii="Times New Roman" w:hAnsi="Times New Roman"/>
          <w:sz w:val="24"/>
          <w:szCs w:val="24"/>
        </w:rPr>
        <w:t xml:space="preserve">(EMA) </w:t>
      </w:r>
      <w:r>
        <w:rPr>
          <w:rFonts w:ascii="Times New Roman" w:hAnsi="Times New Roman"/>
          <w:sz w:val="24"/>
          <w:szCs w:val="24"/>
        </w:rPr>
        <w:t xml:space="preserve">(no 7 of 2007) and the EIA regulations (2012). </w:t>
      </w:r>
      <w:r w:rsidR="00790CB3">
        <w:rPr>
          <w:rFonts w:ascii="Times New Roman" w:hAnsi="Times New Roman"/>
          <w:sz w:val="24"/>
          <w:szCs w:val="24"/>
        </w:rPr>
        <w:t>However, t</w:t>
      </w:r>
      <w:r w:rsidR="00760D77">
        <w:rPr>
          <w:rFonts w:ascii="Times New Roman" w:hAnsi="Times New Roman"/>
          <w:sz w:val="24"/>
          <w:szCs w:val="24"/>
        </w:rPr>
        <w:t xml:space="preserve">he </w:t>
      </w:r>
      <w:r w:rsidR="00C87669">
        <w:rPr>
          <w:rFonts w:ascii="Times New Roman" w:hAnsi="Times New Roman"/>
          <w:sz w:val="24"/>
          <w:szCs w:val="24"/>
        </w:rPr>
        <w:t>EMA</w:t>
      </w:r>
      <w:r>
        <w:rPr>
          <w:rFonts w:ascii="Times New Roman" w:hAnsi="Times New Roman"/>
          <w:sz w:val="24"/>
          <w:szCs w:val="24"/>
        </w:rPr>
        <w:t xml:space="preserve"> and the regulations </w:t>
      </w:r>
      <w:r w:rsidR="00760D77">
        <w:rPr>
          <w:rFonts w:ascii="Times New Roman" w:hAnsi="Times New Roman"/>
          <w:sz w:val="24"/>
          <w:szCs w:val="24"/>
        </w:rPr>
        <w:t>ha</w:t>
      </w:r>
      <w:r w:rsidR="00790CB3">
        <w:rPr>
          <w:rFonts w:ascii="Times New Roman" w:hAnsi="Times New Roman"/>
          <w:sz w:val="24"/>
          <w:szCs w:val="24"/>
        </w:rPr>
        <w:t>ve</w:t>
      </w:r>
      <w:r w:rsidR="00760D77">
        <w:rPr>
          <w:rFonts w:ascii="Times New Roman" w:hAnsi="Times New Roman"/>
          <w:sz w:val="24"/>
          <w:szCs w:val="24"/>
        </w:rPr>
        <w:t xml:space="preserve"> </w:t>
      </w:r>
      <w:r w:rsidR="00AC7B5C" w:rsidRPr="00760D77">
        <w:rPr>
          <w:rFonts w:ascii="Times New Roman" w:hAnsi="Times New Roman"/>
          <w:sz w:val="24"/>
          <w:szCs w:val="24"/>
        </w:rPr>
        <w:t xml:space="preserve">multiple loopholes </w:t>
      </w:r>
      <w:r w:rsidR="006517DB">
        <w:rPr>
          <w:rFonts w:ascii="Times New Roman" w:hAnsi="Times New Roman"/>
          <w:sz w:val="24"/>
          <w:szCs w:val="24"/>
        </w:rPr>
        <w:t xml:space="preserve">and lack foundational measures relevant for </w:t>
      </w:r>
      <w:r w:rsidR="00AC7B5C" w:rsidRPr="00760D77">
        <w:rPr>
          <w:rFonts w:ascii="Times New Roman" w:hAnsi="Times New Roman"/>
          <w:sz w:val="24"/>
          <w:szCs w:val="24"/>
        </w:rPr>
        <w:t>effective implementation.</w:t>
      </w:r>
      <w:r w:rsidR="00193DC4" w:rsidRPr="00760D77">
        <w:rPr>
          <w:rFonts w:ascii="Times New Roman" w:hAnsi="Times New Roman"/>
          <w:sz w:val="24"/>
          <w:szCs w:val="24"/>
        </w:rPr>
        <w:t xml:space="preserve"> </w:t>
      </w:r>
      <w:r w:rsidR="006517DB">
        <w:rPr>
          <w:rFonts w:ascii="Times New Roman" w:hAnsi="Times New Roman"/>
          <w:sz w:val="24"/>
          <w:szCs w:val="24"/>
        </w:rPr>
        <w:t xml:space="preserve">Critical </w:t>
      </w:r>
      <w:r w:rsidR="00AC7B5C" w:rsidRPr="00760D77">
        <w:rPr>
          <w:rFonts w:ascii="Times New Roman" w:hAnsi="Times New Roman"/>
          <w:sz w:val="24"/>
          <w:szCs w:val="24"/>
        </w:rPr>
        <w:t xml:space="preserve">systemic measures including </w:t>
      </w:r>
      <w:r w:rsidR="006517DB">
        <w:rPr>
          <w:rFonts w:ascii="Times New Roman" w:hAnsi="Times New Roman"/>
          <w:sz w:val="24"/>
          <w:szCs w:val="24"/>
        </w:rPr>
        <w:t xml:space="preserve">SEA </w:t>
      </w:r>
      <w:r>
        <w:rPr>
          <w:rFonts w:ascii="Times New Roman" w:hAnsi="Times New Roman"/>
          <w:sz w:val="24"/>
          <w:szCs w:val="24"/>
        </w:rPr>
        <w:t xml:space="preserve">requirements </w:t>
      </w:r>
      <w:r w:rsidR="00C87669">
        <w:rPr>
          <w:rFonts w:ascii="Times New Roman" w:hAnsi="Times New Roman"/>
          <w:sz w:val="24"/>
          <w:szCs w:val="24"/>
        </w:rPr>
        <w:t>and impact</w:t>
      </w:r>
      <w:r w:rsidR="009655B4" w:rsidRPr="00760D77">
        <w:rPr>
          <w:rFonts w:ascii="Times New Roman" w:hAnsi="Times New Roman"/>
          <w:sz w:val="24"/>
          <w:szCs w:val="24"/>
        </w:rPr>
        <w:t xml:space="preserve"> monitoring </w:t>
      </w:r>
      <w:r w:rsidR="006517DB">
        <w:rPr>
          <w:rFonts w:ascii="Times New Roman" w:hAnsi="Times New Roman"/>
          <w:sz w:val="24"/>
          <w:szCs w:val="24"/>
        </w:rPr>
        <w:t xml:space="preserve">are </w:t>
      </w:r>
      <w:r w:rsidR="00790CB3">
        <w:rPr>
          <w:rFonts w:ascii="Times New Roman" w:hAnsi="Times New Roman"/>
          <w:sz w:val="24"/>
          <w:szCs w:val="24"/>
        </w:rPr>
        <w:t>only vaguely mentioned</w:t>
      </w:r>
      <w:r>
        <w:rPr>
          <w:rFonts w:ascii="Times New Roman" w:hAnsi="Times New Roman"/>
          <w:sz w:val="24"/>
          <w:szCs w:val="24"/>
        </w:rPr>
        <w:t xml:space="preserve"> in the </w:t>
      </w:r>
      <w:r w:rsidR="00790CB3">
        <w:rPr>
          <w:rFonts w:ascii="Times New Roman" w:hAnsi="Times New Roman"/>
          <w:sz w:val="24"/>
          <w:szCs w:val="24"/>
        </w:rPr>
        <w:t>EMA</w:t>
      </w:r>
      <w:r>
        <w:rPr>
          <w:rFonts w:ascii="Times New Roman" w:hAnsi="Times New Roman"/>
          <w:sz w:val="24"/>
          <w:szCs w:val="24"/>
        </w:rPr>
        <w:t xml:space="preserve"> but are not</w:t>
      </w:r>
      <w:r w:rsidR="00C87669">
        <w:rPr>
          <w:rFonts w:ascii="Times New Roman" w:hAnsi="Times New Roman"/>
          <w:sz w:val="24"/>
          <w:szCs w:val="24"/>
        </w:rPr>
        <w:t xml:space="preserve"> present</w:t>
      </w:r>
      <w:r w:rsidR="00790CB3">
        <w:rPr>
          <w:rFonts w:ascii="Times New Roman" w:hAnsi="Times New Roman"/>
          <w:sz w:val="24"/>
          <w:szCs w:val="24"/>
        </w:rPr>
        <w:t xml:space="preserve"> </w:t>
      </w:r>
      <w:r w:rsidR="006517DB">
        <w:rPr>
          <w:rFonts w:ascii="Times New Roman" w:hAnsi="Times New Roman"/>
          <w:sz w:val="24"/>
          <w:szCs w:val="24"/>
        </w:rPr>
        <w:t xml:space="preserve">in the </w:t>
      </w:r>
      <w:r>
        <w:rPr>
          <w:rFonts w:ascii="Times New Roman" w:hAnsi="Times New Roman"/>
          <w:sz w:val="24"/>
          <w:szCs w:val="24"/>
        </w:rPr>
        <w:t>regulations</w:t>
      </w:r>
      <w:r w:rsidR="008C568B" w:rsidRPr="00760D77">
        <w:rPr>
          <w:rFonts w:ascii="Times New Roman" w:hAnsi="Times New Roman"/>
          <w:sz w:val="24"/>
          <w:szCs w:val="24"/>
        </w:rPr>
        <w:t>.</w:t>
      </w:r>
      <w:r w:rsidR="00790CB3">
        <w:rPr>
          <w:rFonts w:ascii="Times New Roman" w:hAnsi="Times New Roman"/>
          <w:sz w:val="24"/>
          <w:szCs w:val="24"/>
        </w:rPr>
        <w:t xml:space="preserve"> </w:t>
      </w:r>
      <w:r>
        <w:rPr>
          <w:rFonts w:ascii="Times New Roman" w:hAnsi="Times New Roman"/>
          <w:sz w:val="24"/>
          <w:szCs w:val="24"/>
        </w:rPr>
        <w:t xml:space="preserve">The absence of such components in the regulations means no </w:t>
      </w:r>
      <w:r>
        <w:rPr>
          <w:rFonts w:ascii="Times New Roman" w:hAnsi="Times New Roman"/>
          <w:sz w:val="24"/>
          <w:szCs w:val="24"/>
        </w:rPr>
        <w:lastRenderedPageBreak/>
        <w:t xml:space="preserve">provision or guideline is provided on how to undertake the process and no roles and mandates </w:t>
      </w:r>
      <w:r w:rsidR="00C87669">
        <w:rPr>
          <w:rFonts w:ascii="Times New Roman" w:hAnsi="Times New Roman"/>
          <w:sz w:val="24"/>
          <w:szCs w:val="24"/>
        </w:rPr>
        <w:t>are</w:t>
      </w:r>
      <w:r>
        <w:rPr>
          <w:rFonts w:ascii="Times New Roman" w:hAnsi="Times New Roman"/>
          <w:sz w:val="24"/>
          <w:szCs w:val="24"/>
        </w:rPr>
        <w:t xml:space="preserve"> assigned</w:t>
      </w:r>
      <w:r w:rsidR="003A0977">
        <w:rPr>
          <w:rFonts w:ascii="Times New Roman" w:hAnsi="Times New Roman"/>
          <w:sz w:val="24"/>
          <w:szCs w:val="24"/>
        </w:rPr>
        <w:t xml:space="preserve">, hence compliance is </w:t>
      </w:r>
      <w:r w:rsidR="00C87669">
        <w:rPr>
          <w:rFonts w:ascii="Times New Roman" w:hAnsi="Times New Roman"/>
          <w:sz w:val="24"/>
          <w:szCs w:val="24"/>
        </w:rPr>
        <w:t xml:space="preserve">not </w:t>
      </w:r>
      <w:r w:rsidR="003A0977">
        <w:rPr>
          <w:rFonts w:ascii="Times New Roman" w:hAnsi="Times New Roman"/>
          <w:sz w:val="24"/>
          <w:szCs w:val="24"/>
        </w:rPr>
        <w:t>required</w:t>
      </w:r>
      <w:r>
        <w:rPr>
          <w:rFonts w:ascii="Times New Roman" w:hAnsi="Times New Roman"/>
          <w:sz w:val="24"/>
          <w:szCs w:val="24"/>
        </w:rPr>
        <w:t xml:space="preserve">. </w:t>
      </w:r>
      <w:r w:rsidR="006517DB">
        <w:rPr>
          <w:rFonts w:ascii="Times New Roman" w:hAnsi="Times New Roman"/>
          <w:sz w:val="24"/>
          <w:szCs w:val="24"/>
        </w:rPr>
        <w:t xml:space="preserve">The </w:t>
      </w:r>
      <w:r>
        <w:rPr>
          <w:rFonts w:ascii="Times New Roman" w:hAnsi="Times New Roman"/>
          <w:sz w:val="24"/>
          <w:szCs w:val="24"/>
        </w:rPr>
        <w:t xml:space="preserve">EIA </w:t>
      </w:r>
      <w:r w:rsidR="006517DB">
        <w:rPr>
          <w:rFonts w:ascii="Times New Roman" w:hAnsi="Times New Roman"/>
          <w:sz w:val="24"/>
          <w:szCs w:val="24"/>
        </w:rPr>
        <w:t xml:space="preserve">system also </w:t>
      </w:r>
      <w:r>
        <w:rPr>
          <w:rFonts w:ascii="Times New Roman" w:hAnsi="Times New Roman"/>
          <w:sz w:val="24"/>
          <w:szCs w:val="24"/>
        </w:rPr>
        <w:t>lacks</w:t>
      </w:r>
      <w:r w:rsidR="006517DB">
        <w:rPr>
          <w:rFonts w:ascii="Times New Roman" w:hAnsi="Times New Roman"/>
          <w:sz w:val="24"/>
          <w:szCs w:val="24"/>
        </w:rPr>
        <w:t xml:space="preserve"> provision for </w:t>
      </w:r>
      <w:r>
        <w:rPr>
          <w:rFonts w:ascii="Times New Roman" w:hAnsi="Times New Roman"/>
          <w:sz w:val="24"/>
          <w:szCs w:val="24"/>
        </w:rPr>
        <w:t xml:space="preserve">key foundational measures including </w:t>
      </w:r>
      <w:r w:rsidR="003A0977">
        <w:rPr>
          <w:rFonts w:ascii="Times New Roman" w:hAnsi="Times New Roman"/>
          <w:sz w:val="24"/>
          <w:szCs w:val="24"/>
        </w:rPr>
        <w:t xml:space="preserve">guidelines on the different EIA stages, </w:t>
      </w:r>
      <w:r w:rsidR="00BB2FC9">
        <w:rPr>
          <w:rFonts w:ascii="Times New Roman" w:hAnsi="Times New Roman"/>
          <w:sz w:val="24"/>
          <w:szCs w:val="24"/>
        </w:rPr>
        <w:t>requirements on the</w:t>
      </w:r>
      <w:r w:rsidR="003A0977">
        <w:rPr>
          <w:rFonts w:ascii="Times New Roman" w:hAnsi="Times New Roman"/>
          <w:sz w:val="24"/>
          <w:szCs w:val="24"/>
        </w:rPr>
        <w:t xml:space="preserve"> </w:t>
      </w:r>
      <w:r>
        <w:rPr>
          <w:rFonts w:ascii="Times New Roman" w:hAnsi="Times New Roman"/>
          <w:sz w:val="24"/>
          <w:szCs w:val="24"/>
        </w:rPr>
        <w:t xml:space="preserve">performance </w:t>
      </w:r>
      <w:r w:rsidR="00AC7B5C" w:rsidRPr="00760D77">
        <w:rPr>
          <w:rFonts w:ascii="Times New Roman" w:hAnsi="Times New Roman"/>
          <w:sz w:val="24"/>
          <w:szCs w:val="24"/>
        </w:rPr>
        <w:t>review and monitoring of the EIA system, training</w:t>
      </w:r>
      <w:r w:rsidR="00B4058D">
        <w:rPr>
          <w:rFonts w:ascii="Times New Roman" w:hAnsi="Times New Roman"/>
          <w:sz w:val="24"/>
          <w:szCs w:val="24"/>
        </w:rPr>
        <w:t>,</w:t>
      </w:r>
      <w:r>
        <w:rPr>
          <w:rFonts w:ascii="Times New Roman" w:hAnsi="Times New Roman"/>
          <w:sz w:val="24"/>
          <w:szCs w:val="24"/>
        </w:rPr>
        <w:t xml:space="preserve"> certification </w:t>
      </w:r>
      <w:r w:rsidR="00C87669">
        <w:rPr>
          <w:rFonts w:ascii="Times New Roman" w:hAnsi="Times New Roman"/>
          <w:sz w:val="24"/>
          <w:szCs w:val="24"/>
        </w:rPr>
        <w:t>of</w:t>
      </w:r>
      <w:r>
        <w:rPr>
          <w:rFonts w:ascii="Times New Roman" w:hAnsi="Times New Roman"/>
          <w:sz w:val="24"/>
          <w:szCs w:val="24"/>
        </w:rPr>
        <w:t xml:space="preserve"> EIA experts</w:t>
      </w:r>
      <w:r w:rsidR="00B4058D">
        <w:rPr>
          <w:rFonts w:ascii="Times New Roman" w:hAnsi="Times New Roman"/>
          <w:sz w:val="24"/>
          <w:szCs w:val="24"/>
        </w:rPr>
        <w:t xml:space="preserve"> and research</w:t>
      </w:r>
      <w:r>
        <w:rPr>
          <w:rFonts w:ascii="Times New Roman" w:hAnsi="Times New Roman"/>
          <w:sz w:val="24"/>
          <w:szCs w:val="24"/>
        </w:rPr>
        <w:t>.</w:t>
      </w:r>
      <w:r w:rsidR="00AC7B5C" w:rsidRPr="00760D77">
        <w:rPr>
          <w:rFonts w:ascii="Times New Roman" w:hAnsi="Times New Roman"/>
          <w:sz w:val="24"/>
          <w:szCs w:val="24"/>
        </w:rPr>
        <w:t xml:space="preserve"> </w:t>
      </w:r>
      <w:r>
        <w:rPr>
          <w:rFonts w:ascii="Times New Roman" w:hAnsi="Times New Roman"/>
          <w:sz w:val="24"/>
          <w:szCs w:val="24"/>
        </w:rPr>
        <w:t xml:space="preserve">The above deficiency </w:t>
      </w:r>
      <w:r w:rsidR="008E2CB0">
        <w:rPr>
          <w:rFonts w:ascii="Times New Roman" w:hAnsi="Times New Roman"/>
          <w:sz w:val="24"/>
          <w:szCs w:val="24"/>
        </w:rPr>
        <w:t xml:space="preserve">can </w:t>
      </w:r>
      <w:r w:rsidR="00A40FFC">
        <w:rPr>
          <w:rFonts w:ascii="Times New Roman" w:hAnsi="Times New Roman"/>
          <w:sz w:val="24"/>
          <w:szCs w:val="24"/>
        </w:rPr>
        <w:t>affect</w:t>
      </w:r>
      <w:r>
        <w:rPr>
          <w:rFonts w:ascii="Times New Roman" w:hAnsi="Times New Roman"/>
          <w:sz w:val="24"/>
          <w:szCs w:val="24"/>
        </w:rPr>
        <w:t xml:space="preserve"> the performance and effectiveness of the EIA system</w:t>
      </w:r>
      <w:r w:rsidR="00BF7049">
        <w:rPr>
          <w:rFonts w:ascii="Times New Roman" w:hAnsi="Times New Roman"/>
          <w:sz w:val="24"/>
          <w:szCs w:val="24"/>
        </w:rPr>
        <w:t xml:space="preserve">. </w:t>
      </w:r>
      <w:r w:rsidR="007F4D04" w:rsidRPr="00760D77">
        <w:rPr>
          <w:rFonts w:ascii="Times New Roman" w:hAnsi="Times New Roman"/>
          <w:sz w:val="24"/>
          <w:szCs w:val="24"/>
        </w:rPr>
        <w:t>Wood</w:t>
      </w:r>
      <w:r w:rsidR="009655B4" w:rsidRPr="00760D77">
        <w:rPr>
          <w:rFonts w:ascii="Times New Roman" w:hAnsi="Times New Roman"/>
          <w:sz w:val="24"/>
          <w:szCs w:val="24"/>
        </w:rPr>
        <w:t xml:space="preserve"> (2003) noted that an EIA system that fails to meet a significant proportion of eva</w:t>
      </w:r>
      <w:r w:rsidR="008C568B" w:rsidRPr="00760D77">
        <w:rPr>
          <w:rFonts w:ascii="Times New Roman" w:hAnsi="Times New Roman"/>
          <w:sz w:val="24"/>
          <w:szCs w:val="24"/>
        </w:rPr>
        <w:t>luation criteria, not only fall</w:t>
      </w:r>
      <w:r w:rsidR="00DE74BE">
        <w:rPr>
          <w:rFonts w:ascii="Times New Roman" w:hAnsi="Times New Roman"/>
          <w:sz w:val="24"/>
          <w:szCs w:val="24"/>
        </w:rPr>
        <w:t>s</w:t>
      </w:r>
      <w:r w:rsidR="009655B4" w:rsidRPr="00760D77">
        <w:rPr>
          <w:rFonts w:ascii="Times New Roman" w:hAnsi="Times New Roman"/>
          <w:sz w:val="24"/>
          <w:szCs w:val="24"/>
        </w:rPr>
        <w:t xml:space="preserve"> short of recognized international good practice but cannot deliver its intended environmental protection benefits.</w:t>
      </w:r>
      <w:r w:rsidR="006517DB">
        <w:rPr>
          <w:rFonts w:ascii="Times New Roman" w:hAnsi="Times New Roman"/>
          <w:sz w:val="24"/>
          <w:szCs w:val="24"/>
        </w:rPr>
        <w:t xml:space="preserve"> </w:t>
      </w:r>
    </w:p>
    <w:p w:rsidR="006A4A60" w:rsidRDefault="006B01F0" w:rsidP="002F6AFA">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The legislation permits</w:t>
      </w:r>
      <w:r w:rsidR="003A0977">
        <w:rPr>
          <w:rFonts w:ascii="Times New Roman" w:hAnsi="Times New Roman"/>
          <w:sz w:val="24"/>
          <w:szCs w:val="24"/>
        </w:rPr>
        <w:t xml:space="preserve"> the developer to appoint and pay the environmental </w:t>
      </w:r>
      <w:r w:rsidR="003F439A">
        <w:rPr>
          <w:rFonts w:ascii="Times New Roman" w:hAnsi="Times New Roman"/>
          <w:sz w:val="24"/>
          <w:szCs w:val="24"/>
        </w:rPr>
        <w:t>consultant</w:t>
      </w:r>
      <w:r w:rsidR="003A0977">
        <w:rPr>
          <w:rFonts w:ascii="Times New Roman" w:hAnsi="Times New Roman"/>
          <w:sz w:val="24"/>
          <w:szCs w:val="24"/>
        </w:rPr>
        <w:t xml:space="preserve">. </w:t>
      </w:r>
      <w:r w:rsidR="002F6AFA">
        <w:rPr>
          <w:rFonts w:ascii="Times New Roman" w:hAnsi="Times New Roman"/>
          <w:sz w:val="24"/>
          <w:szCs w:val="24"/>
        </w:rPr>
        <w:t xml:space="preserve">It is noted </w:t>
      </w:r>
      <w:r w:rsidR="003A0977">
        <w:rPr>
          <w:rFonts w:ascii="Times New Roman" w:hAnsi="Times New Roman"/>
          <w:sz w:val="24"/>
          <w:szCs w:val="24"/>
        </w:rPr>
        <w:t xml:space="preserve">in this study that </w:t>
      </w:r>
      <w:r w:rsidR="002F6AFA">
        <w:rPr>
          <w:rFonts w:ascii="Times New Roman" w:hAnsi="Times New Roman"/>
          <w:sz w:val="24"/>
          <w:szCs w:val="24"/>
        </w:rPr>
        <w:t xml:space="preserve">the </w:t>
      </w:r>
      <w:r w:rsidR="003A0977">
        <w:rPr>
          <w:rFonts w:ascii="Times New Roman" w:hAnsi="Times New Roman"/>
          <w:sz w:val="24"/>
          <w:szCs w:val="24"/>
        </w:rPr>
        <w:t xml:space="preserve">appointment and payment </w:t>
      </w:r>
      <w:r w:rsidR="00C87669">
        <w:rPr>
          <w:rFonts w:ascii="Times New Roman" w:hAnsi="Times New Roman"/>
          <w:sz w:val="24"/>
          <w:szCs w:val="24"/>
        </w:rPr>
        <w:t>relationship grant</w:t>
      </w:r>
      <w:r w:rsidR="00676A5C">
        <w:rPr>
          <w:rFonts w:ascii="Times New Roman" w:hAnsi="Times New Roman"/>
          <w:sz w:val="24"/>
          <w:szCs w:val="24"/>
        </w:rPr>
        <w:t>s</w:t>
      </w:r>
      <w:r w:rsidR="003A0977">
        <w:rPr>
          <w:rFonts w:ascii="Times New Roman" w:hAnsi="Times New Roman"/>
          <w:sz w:val="24"/>
          <w:szCs w:val="24"/>
        </w:rPr>
        <w:t xml:space="preserve"> the developer power </w:t>
      </w:r>
      <w:r>
        <w:rPr>
          <w:rFonts w:ascii="Times New Roman" w:hAnsi="Times New Roman"/>
          <w:sz w:val="24"/>
          <w:szCs w:val="24"/>
        </w:rPr>
        <w:t>over</w:t>
      </w:r>
      <w:r w:rsidR="003A0977">
        <w:rPr>
          <w:rFonts w:ascii="Times New Roman" w:hAnsi="Times New Roman"/>
          <w:sz w:val="24"/>
          <w:szCs w:val="24"/>
        </w:rPr>
        <w:t xml:space="preserve"> the EIA process </w:t>
      </w:r>
      <w:r w:rsidR="00C87669">
        <w:rPr>
          <w:rFonts w:ascii="Times New Roman" w:hAnsi="Times New Roman"/>
          <w:sz w:val="24"/>
          <w:szCs w:val="24"/>
        </w:rPr>
        <w:t xml:space="preserve">affecting </w:t>
      </w:r>
      <w:r w:rsidR="003A0977">
        <w:rPr>
          <w:rFonts w:ascii="Times New Roman" w:hAnsi="Times New Roman"/>
          <w:sz w:val="24"/>
          <w:szCs w:val="24"/>
        </w:rPr>
        <w:t xml:space="preserve">the quality of assessment and subsequently the EIA report. </w:t>
      </w:r>
      <w:r w:rsidR="002F6AFA">
        <w:rPr>
          <w:rFonts w:ascii="Times New Roman" w:hAnsi="Times New Roman"/>
          <w:sz w:val="24"/>
          <w:szCs w:val="24"/>
        </w:rPr>
        <w:t xml:space="preserve">Elvan (2018) argues that such arrangements </w:t>
      </w:r>
      <w:r w:rsidR="00C87669">
        <w:rPr>
          <w:rFonts w:ascii="Times New Roman" w:hAnsi="Times New Roman"/>
          <w:sz w:val="24"/>
          <w:szCs w:val="24"/>
        </w:rPr>
        <w:t xml:space="preserve">between the developer and </w:t>
      </w:r>
      <w:r w:rsidR="007455F8">
        <w:rPr>
          <w:rFonts w:ascii="Times New Roman" w:hAnsi="Times New Roman"/>
          <w:sz w:val="24"/>
          <w:szCs w:val="24"/>
        </w:rPr>
        <w:t>consultants</w:t>
      </w:r>
      <w:r w:rsidR="00C87669">
        <w:rPr>
          <w:rFonts w:ascii="Times New Roman" w:hAnsi="Times New Roman"/>
          <w:sz w:val="24"/>
          <w:szCs w:val="24"/>
        </w:rPr>
        <w:t xml:space="preserve"> affect the quality of</w:t>
      </w:r>
      <w:r w:rsidR="002F6AFA">
        <w:rPr>
          <w:rFonts w:ascii="Times New Roman" w:hAnsi="Times New Roman"/>
          <w:sz w:val="24"/>
          <w:szCs w:val="24"/>
        </w:rPr>
        <w:t xml:space="preserve"> EIA </w:t>
      </w:r>
      <w:r w:rsidR="002F6AFA" w:rsidRPr="002F6AFA">
        <w:rPr>
          <w:rFonts w:ascii="Times New Roman" w:hAnsi="Times New Roman"/>
          <w:sz w:val="24"/>
          <w:szCs w:val="24"/>
        </w:rPr>
        <w:t>report</w:t>
      </w:r>
      <w:r w:rsidR="002F6AFA">
        <w:rPr>
          <w:rFonts w:ascii="Times New Roman" w:hAnsi="Times New Roman"/>
          <w:sz w:val="24"/>
          <w:szCs w:val="24"/>
        </w:rPr>
        <w:t>s</w:t>
      </w:r>
      <w:r w:rsidR="002F6AFA" w:rsidRPr="002F6AFA">
        <w:rPr>
          <w:rFonts w:ascii="Times New Roman" w:hAnsi="Times New Roman"/>
          <w:sz w:val="24"/>
          <w:szCs w:val="24"/>
        </w:rPr>
        <w:t xml:space="preserve"> </w:t>
      </w:r>
      <w:r w:rsidR="00C87669">
        <w:rPr>
          <w:rFonts w:ascii="Times New Roman" w:hAnsi="Times New Roman"/>
          <w:sz w:val="24"/>
          <w:szCs w:val="24"/>
        </w:rPr>
        <w:t xml:space="preserve">as </w:t>
      </w:r>
      <w:r w:rsidR="00397A7C">
        <w:rPr>
          <w:rFonts w:ascii="Times New Roman" w:hAnsi="Times New Roman"/>
          <w:sz w:val="24"/>
          <w:szCs w:val="24"/>
        </w:rPr>
        <w:t>they</w:t>
      </w:r>
      <w:r w:rsidR="00C87669">
        <w:rPr>
          <w:rFonts w:ascii="Times New Roman" w:hAnsi="Times New Roman"/>
          <w:sz w:val="24"/>
          <w:szCs w:val="24"/>
        </w:rPr>
        <w:t xml:space="preserve"> may be </w:t>
      </w:r>
      <w:r w:rsidR="002F6AFA" w:rsidRPr="002F6AFA">
        <w:rPr>
          <w:rFonts w:ascii="Times New Roman" w:hAnsi="Times New Roman"/>
          <w:sz w:val="24"/>
          <w:szCs w:val="24"/>
        </w:rPr>
        <w:t xml:space="preserve">prepared for the beneﬁt of the </w:t>
      </w:r>
      <w:r w:rsidR="00C87669">
        <w:rPr>
          <w:rFonts w:ascii="Times New Roman" w:hAnsi="Times New Roman"/>
          <w:sz w:val="24"/>
          <w:szCs w:val="24"/>
        </w:rPr>
        <w:t>developer</w:t>
      </w:r>
      <w:r w:rsidR="002F6AFA">
        <w:rPr>
          <w:rFonts w:ascii="Times New Roman" w:hAnsi="Times New Roman"/>
          <w:sz w:val="24"/>
          <w:szCs w:val="24"/>
        </w:rPr>
        <w:t>. It is therefore important that an independent and impartial</w:t>
      </w:r>
      <w:r w:rsidR="002F6AFA" w:rsidRPr="002F6AFA">
        <w:rPr>
          <w:rFonts w:ascii="Times New Roman" w:hAnsi="Times New Roman"/>
          <w:sz w:val="24"/>
          <w:szCs w:val="24"/>
        </w:rPr>
        <w:t xml:space="preserve"> </w:t>
      </w:r>
      <w:r w:rsidR="00C87669">
        <w:rPr>
          <w:rFonts w:ascii="Times New Roman" w:hAnsi="Times New Roman"/>
          <w:sz w:val="24"/>
          <w:szCs w:val="24"/>
        </w:rPr>
        <w:t xml:space="preserve">administrative </w:t>
      </w:r>
      <w:r w:rsidR="002F6AFA">
        <w:rPr>
          <w:rFonts w:ascii="Times New Roman" w:hAnsi="Times New Roman"/>
          <w:sz w:val="24"/>
          <w:szCs w:val="24"/>
        </w:rPr>
        <w:t xml:space="preserve">body is </w:t>
      </w:r>
      <w:r w:rsidR="002F6AFA" w:rsidRPr="002F6AFA">
        <w:rPr>
          <w:rFonts w:ascii="Times New Roman" w:hAnsi="Times New Roman"/>
          <w:sz w:val="24"/>
          <w:szCs w:val="24"/>
        </w:rPr>
        <w:t xml:space="preserve">established </w:t>
      </w:r>
      <w:r w:rsidR="00C87669">
        <w:rPr>
          <w:rFonts w:ascii="Times New Roman" w:hAnsi="Times New Roman"/>
          <w:sz w:val="24"/>
          <w:szCs w:val="24"/>
        </w:rPr>
        <w:t xml:space="preserve">to act as a </w:t>
      </w:r>
      <w:r w:rsidR="002F6AFA">
        <w:rPr>
          <w:rFonts w:ascii="Times New Roman" w:hAnsi="Times New Roman"/>
          <w:sz w:val="24"/>
          <w:szCs w:val="24"/>
        </w:rPr>
        <w:t xml:space="preserve">mediator. </w:t>
      </w:r>
    </w:p>
    <w:p w:rsidR="006A4A60" w:rsidRDefault="006B01F0" w:rsidP="003B585C">
      <w:pPr>
        <w:spacing w:line="360" w:lineRule="auto"/>
        <w:jc w:val="both"/>
        <w:rPr>
          <w:rFonts w:ascii="Times New Roman" w:hAnsi="Times New Roman"/>
          <w:sz w:val="24"/>
          <w:szCs w:val="24"/>
        </w:rPr>
      </w:pPr>
      <w:r>
        <w:rPr>
          <w:rFonts w:ascii="Times New Roman" w:hAnsi="Times New Roman"/>
          <w:sz w:val="24"/>
          <w:szCs w:val="24"/>
        </w:rPr>
        <w:t>Provision to</w:t>
      </w:r>
      <w:r w:rsidR="00BB2FC9">
        <w:rPr>
          <w:rFonts w:ascii="Times New Roman" w:hAnsi="Times New Roman"/>
          <w:sz w:val="24"/>
          <w:szCs w:val="24"/>
        </w:rPr>
        <w:t xml:space="preserve"> appeal against a</w:t>
      </w:r>
      <w:r w:rsidR="001222BD">
        <w:rPr>
          <w:rFonts w:ascii="Times New Roman" w:hAnsi="Times New Roman"/>
          <w:sz w:val="24"/>
          <w:szCs w:val="24"/>
        </w:rPr>
        <w:t xml:space="preserve"> project </w:t>
      </w:r>
      <w:r w:rsidR="00BB2FC9">
        <w:rPr>
          <w:rFonts w:ascii="Times New Roman" w:hAnsi="Times New Roman"/>
          <w:sz w:val="24"/>
          <w:szCs w:val="24"/>
        </w:rPr>
        <w:t xml:space="preserve">decision is a </w:t>
      </w:r>
      <w:r w:rsidR="00B4058D">
        <w:rPr>
          <w:rFonts w:ascii="Times New Roman" w:hAnsi="Times New Roman"/>
          <w:sz w:val="24"/>
          <w:szCs w:val="24"/>
        </w:rPr>
        <w:t>strength</w:t>
      </w:r>
      <w:r w:rsidR="00BB2FC9">
        <w:rPr>
          <w:rFonts w:ascii="Times New Roman" w:hAnsi="Times New Roman"/>
          <w:sz w:val="24"/>
          <w:szCs w:val="24"/>
        </w:rPr>
        <w:t xml:space="preserve"> in </w:t>
      </w:r>
      <w:r w:rsidR="001222BD">
        <w:rPr>
          <w:rFonts w:ascii="Times New Roman" w:hAnsi="Times New Roman"/>
          <w:sz w:val="24"/>
          <w:szCs w:val="24"/>
        </w:rPr>
        <w:t xml:space="preserve">the </w:t>
      </w:r>
      <w:r w:rsidR="00BB2FC9">
        <w:rPr>
          <w:rFonts w:ascii="Times New Roman" w:hAnsi="Times New Roman"/>
          <w:sz w:val="24"/>
          <w:szCs w:val="24"/>
        </w:rPr>
        <w:t>Namibia</w:t>
      </w:r>
      <w:r w:rsidR="001222BD">
        <w:rPr>
          <w:rFonts w:ascii="Times New Roman" w:hAnsi="Times New Roman"/>
          <w:sz w:val="24"/>
          <w:szCs w:val="24"/>
        </w:rPr>
        <w:t xml:space="preserve"> EIA system</w:t>
      </w:r>
      <w:r w:rsidR="00BB2FC9">
        <w:rPr>
          <w:rFonts w:ascii="Times New Roman" w:hAnsi="Times New Roman"/>
          <w:sz w:val="24"/>
          <w:szCs w:val="24"/>
        </w:rPr>
        <w:t>. However</w:t>
      </w:r>
      <w:r w:rsidR="00A40FFC">
        <w:rPr>
          <w:rFonts w:ascii="Times New Roman" w:hAnsi="Times New Roman"/>
          <w:sz w:val="24"/>
          <w:szCs w:val="24"/>
        </w:rPr>
        <w:t>,</w:t>
      </w:r>
      <w:r w:rsidR="00BB2FC9">
        <w:rPr>
          <w:rFonts w:ascii="Times New Roman" w:hAnsi="Times New Roman"/>
          <w:sz w:val="24"/>
          <w:szCs w:val="24"/>
        </w:rPr>
        <w:t xml:space="preserve"> the </w:t>
      </w:r>
      <w:r w:rsidR="007455F8">
        <w:rPr>
          <w:rFonts w:ascii="Times New Roman" w:hAnsi="Times New Roman"/>
          <w:sz w:val="24"/>
          <w:szCs w:val="24"/>
        </w:rPr>
        <w:t>14-day</w:t>
      </w:r>
      <w:r>
        <w:rPr>
          <w:rFonts w:ascii="Times New Roman" w:hAnsi="Times New Roman"/>
          <w:sz w:val="24"/>
          <w:szCs w:val="24"/>
        </w:rPr>
        <w:t xml:space="preserve"> appeal </w:t>
      </w:r>
      <w:r w:rsidR="00BB2FC9">
        <w:rPr>
          <w:rFonts w:ascii="Times New Roman" w:hAnsi="Times New Roman"/>
          <w:sz w:val="24"/>
          <w:szCs w:val="24"/>
        </w:rPr>
        <w:t xml:space="preserve">period is inadequate. </w:t>
      </w:r>
      <w:r w:rsidR="001222BD">
        <w:rPr>
          <w:rFonts w:ascii="Times New Roman" w:hAnsi="Times New Roman"/>
          <w:sz w:val="24"/>
          <w:szCs w:val="24"/>
        </w:rPr>
        <w:t xml:space="preserve">Additionally, </w:t>
      </w:r>
      <w:r w:rsidR="007455F8">
        <w:rPr>
          <w:rFonts w:ascii="Times New Roman" w:hAnsi="Times New Roman"/>
          <w:sz w:val="24"/>
          <w:szCs w:val="24"/>
        </w:rPr>
        <w:t xml:space="preserve">a </w:t>
      </w:r>
      <w:r w:rsidR="00F81706">
        <w:rPr>
          <w:rFonts w:ascii="Times New Roman" w:hAnsi="Times New Roman"/>
          <w:sz w:val="24"/>
          <w:szCs w:val="24"/>
        </w:rPr>
        <w:t>lack of decentralization</w:t>
      </w:r>
      <w:r>
        <w:rPr>
          <w:rFonts w:ascii="Times New Roman" w:hAnsi="Times New Roman"/>
          <w:sz w:val="24"/>
          <w:szCs w:val="24"/>
        </w:rPr>
        <w:t xml:space="preserve"> of EIA services </w:t>
      </w:r>
      <w:r w:rsidR="007455F8">
        <w:rPr>
          <w:rFonts w:ascii="Times New Roman" w:hAnsi="Times New Roman"/>
          <w:sz w:val="24"/>
          <w:szCs w:val="24"/>
        </w:rPr>
        <w:t>exacerbate</w:t>
      </w:r>
      <w:r w:rsidR="001222BD">
        <w:rPr>
          <w:rFonts w:ascii="Times New Roman" w:hAnsi="Times New Roman"/>
          <w:sz w:val="24"/>
          <w:szCs w:val="24"/>
        </w:rPr>
        <w:t xml:space="preserve">s the </w:t>
      </w:r>
      <w:r w:rsidR="007455F8">
        <w:rPr>
          <w:rFonts w:ascii="Times New Roman" w:hAnsi="Times New Roman"/>
          <w:sz w:val="24"/>
          <w:szCs w:val="24"/>
        </w:rPr>
        <w:t>inadequacy</w:t>
      </w:r>
      <w:r w:rsidR="001222BD">
        <w:rPr>
          <w:rFonts w:ascii="Times New Roman" w:hAnsi="Times New Roman"/>
          <w:sz w:val="24"/>
          <w:szCs w:val="24"/>
        </w:rPr>
        <w:t xml:space="preserve"> of the appeal process making it difficult for the public to meet the timeline. </w:t>
      </w:r>
      <w:r w:rsidR="003B585C">
        <w:rPr>
          <w:rFonts w:ascii="Times New Roman" w:hAnsi="Times New Roman"/>
          <w:sz w:val="24"/>
          <w:szCs w:val="24"/>
        </w:rPr>
        <w:t xml:space="preserve">Sharma (2020) highlighted </w:t>
      </w:r>
      <w:r>
        <w:rPr>
          <w:rFonts w:ascii="Times New Roman" w:hAnsi="Times New Roman"/>
          <w:sz w:val="24"/>
          <w:szCs w:val="24"/>
        </w:rPr>
        <w:t>the importance of</w:t>
      </w:r>
      <w:r w:rsidR="003B585C">
        <w:rPr>
          <w:rFonts w:ascii="Times New Roman" w:hAnsi="Times New Roman"/>
          <w:sz w:val="24"/>
          <w:szCs w:val="24"/>
        </w:rPr>
        <w:t xml:space="preserve"> decentralization </w:t>
      </w:r>
      <w:r>
        <w:rPr>
          <w:rFonts w:ascii="Times New Roman" w:hAnsi="Times New Roman"/>
          <w:sz w:val="24"/>
          <w:szCs w:val="24"/>
        </w:rPr>
        <w:t>noting that it</w:t>
      </w:r>
      <w:r w:rsidR="003B585C">
        <w:rPr>
          <w:rFonts w:ascii="Times New Roman" w:hAnsi="Times New Roman"/>
          <w:sz w:val="24"/>
          <w:szCs w:val="24"/>
        </w:rPr>
        <w:t xml:space="preserve"> can</w:t>
      </w:r>
      <w:r w:rsidR="007B0FDB">
        <w:rPr>
          <w:rFonts w:ascii="Times New Roman" w:hAnsi="Times New Roman"/>
          <w:sz w:val="24"/>
          <w:szCs w:val="24"/>
        </w:rPr>
        <w:t xml:space="preserve"> </w:t>
      </w:r>
      <w:r w:rsidR="003B585C">
        <w:rPr>
          <w:rFonts w:ascii="Times New Roman" w:hAnsi="Times New Roman"/>
          <w:sz w:val="24"/>
          <w:szCs w:val="24"/>
        </w:rPr>
        <w:t xml:space="preserve">improve </w:t>
      </w:r>
      <w:r>
        <w:rPr>
          <w:rFonts w:ascii="Times New Roman" w:hAnsi="Times New Roman"/>
          <w:sz w:val="24"/>
          <w:szCs w:val="24"/>
        </w:rPr>
        <w:t>community</w:t>
      </w:r>
      <w:r w:rsidR="003B585C">
        <w:rPr>
          <w:rFonts w:ascii="Times New Roman" w:hAnsi="Times New Roman"/>
          <w:sz w:val="24"/>
          <w:szCs w:val="24"/>
        </w:rPr>
        <w:t xml:space="preserve"> </w:t>
      </w:r>
      <w:r w:rsidR="003B585C" w:rsidRPr="003B585C">
        <w:rPr>
          <w:rFonts w:ascii="Times New Roman" w:hAnsi="Times New Roman"/>
          <w:sz w:val="24"/>
          <w:szCs w:val="24"/>
        </w:rPr>
        <w:t xml:space="preserve">quality of life </w:t>
      </w:r>
      <w:r w:rsidR="003B585C">
        <w:rPr>
          <w:rFonts w:ascii="Times New Roman" w:hAnsi="Times New Roman"/>
          <w:sz w:val="24"/>
          <w:szCs w:val="24"/>
        </w:rPr>
        <w:t>through</w:t>
      </w:r>
      <w:r w:rsidR="003B585C" w:rsidRPr="003B585C">
        <w:rPr>
          <w:rFonts w:ascii="Times New Roman" w:hAnsi="Times New Roman"/>
          <w:sz w:val="24"/>
          <w:szCs w:val="24"/>
        </w:rPr>
        <w:t xml:space="preserve"> effective participation </w:t>
      </w:r>
      <w:r w:rsidR="003B585C">
        <w:rPr>
          <w:rFonts w:ascii="Times New Roman" w:hAnsi="Times New Roman"/>
          <w:sz w:val="24"/>
          <w:szCs w:val="24"/>
        </w:rPr>
        <w:t>in decision-m</w:t>
      </w:r>
      <w:r>
        <w:rPr>
          <w:rFonts w:ascii="Times New Roman" w:hAnsi="Times New Roman"/>
          <w:sz w:val="24"/>
          <w:szCs w:val="24"/>
        </w:rPr>
        <w:t>aking and can also enhance democracy.</w:t>
      </w:r>
    </w:p>
    <w:p w:rsidR="00E743A6" w:rsidRPr="00A901DE" w:rsidRDefault="00E743A6" w:rsidP="00563CA5">
      <w:pPr>
        <w:autoSpaceDE w:val="0"/>
        <w:autoSpaceDN w:val="0"/>
        <w:adjustRightInd w:val="0"/>
        <w:spacing w:line="360" w:lineRule="auto"/>
        <w:jc w:val="both"/>
        <w:rPr>
          <w:rFonts w:ascii="Times New Roman" w:hAnsi="Times New Roman"/>
          <w:sz w:val="24"/>
          <w:szCs w:val="24"/>
          <w:lang w:val="en-GB"/>
        </w:rPr>
      </w:pPr>
    </w:p>
    <w:p w:rsidR="00742DCC" w:rsidRPr="00563CA5" w:rsidRDefault="006B01F0" w:rsidP="00C710EA">
      <w:pPr>
        <w:pStyle w:val="ListParagraph"/>
        <w:numPr>
          <w:ilvl w:val="1"/>
          <w:numId w:val="17"/>
        </w:numPr>
        <w:spacing w:line="360" w:lineRule="auto"/>
        <w:jc w:val="both"/>
        <w:rPr>
          <w:rFonts w:ascii="Times New Roman" w:hAnsi="Times New Roman"/>
          <w:i/>
          <w:sz w:val="24"/>
          <w:szCs w:val="24"/>
        </w:rPr>
      </w:pPr>
      <w:r w:rsidRPr="00563CA5">
        <w:rPr>
          <w:rFonts w:ascii="Times New Roman" w:hAnsi="Times New Roman"/>
          <w:i/>
          <w:sz w:val="24"/>
          <w:szCs w:val="24"/>
        </w:rPr>
        <w:t>Poor monitoring and enforcement</w:t>
      </w:r>
    </w:p>
    <w:p w:rsidR="00086A66" w:rsidRDefault="006B01F0" w:rsidP="00563CA5">
      <w:pPr>
        <w:spacing w:line="360" w:lineRule="auto"/>
        <w:jc w:val="both"/>
        <w:rPr>
          <w:rFonts w:ascii="Times New Roman" w:hAnsi="Times New Roman"/>
          <w:sz w:val="24"/>
          <w:szCs w:val="24"/>
        </w:rPr>
      </w:pPr>
      <w:r>
        <w:rPr>
          <w:rFonts w:ascii="Times New Roman" w:hAnsi="Times New Roman"/>
          <w:sz w:val="24"/>
          <w:szCs w:val="24"/>
        </w:rPr>
        <w:t>Monitoring and enforcement</w:t>
      </w:r>
      <w:r w:rsidR="009B7E24">
        <w:rPr>
          <w:rFonts w:ascii="Times New Roman" w:hAnsi="Times New Roman"/>
          <w:sz w:val="24"/>
          <w:szCs w:val="24"/>
        </w:rPr>
        <w:t xml:space="preserve"> capacity is weak. </w:t>
      </w:r>
      <w:r>
        <w:rPr>
          <w:rFonts w:ascii="Times New Roman" w:hAnsi="Times New Roman"/>
          <w:sz w:val="24"/>
          <w:szCs w:val="24"/>
        </w:rPr>
        <w:t xml:space="preserve">As a result, penalties, </w:t>
      </w:r>
      <w:r w:rsidR="009655B4" w:rsidRPr="00CA6789">
        <w:rPr>
          <w:rFonts w:ascii="Times New Roman" w:hAnsi="Times New Roman"/>
          <w:sz w:val="24"/>
          <w:szCs w:val="24"/>
        </w:rPr>
        <w:t xml:space="preserve">fines </w:t>
      </w:r>
      <w:r w:rsidR="009B7E24">
        <w:rPr>
          <w:rFonts w:ascii="Times New Roman" w:hAnsi="Times New Roman"/>
          <w:sz w:val="24"/>
          <w:szCs w:val="24"/>
        </w:rPr>
        <w:t xml:space="preserve">and imprisonment </w:t>
      </w:r>
      <w:r>
        <w:rPr>
          <w:rFonts w:ascii="Times New Roman" w:hAnsi="Times New Roman"/>
          <w:sz w:val="24"/>
          <w:szCs w:val="24"/>
        </w:rPr>
        <w:t xml:space="preserve">terms </w:t>
      </w:r>
      <w:r w:rsidR="009655B4" w:rsidRPr="00CA6789">
        <w:rPr>
          <w:rFonts w:ascii="Times New Roman" w:hAnsi="Times New Roman"/>
          <w:sz w:val="24"/>
          <w:szCs w:val="24"/>
        </w:rPr>
        <w:t xml:space="preserve">are rarely enforced. </w:t>
      </w:r>
      <w:r w:rsidR="00742DCC">
        <w:rPr>
          <w:rFonts w:ascii="Times New Roman" w:hAnsi="Times New Roman"/>
          <w:sz w:val="24"/>
          <w:szCs w:val="24"/>
        </w:rPr>
        <w:t>EIA offen</w:t>
      </w:r>
      <w:r w:rsidR="00A40FFC">
        <w:rPr>
          <w:rFonts w:ascii="Times New Roman" w:hAnsi="Times New Roman"/>
          <w:sz w:val="24"/>
          <w:szCs w:val="24"/>
        </w:rPr>
        <w:t>c</w:t>
      </w:r>
      <w:r w:rsidR="00742DCC">
        <w:rPr>
          <w:rFonts w:ascii="Times New Roman" w:hAnsi="Times New Roman"/>
          <w:sz w:val="24"/>
          <w:szCs w:val="24"/>
        </w:rPr>
        <w:t xml:space="preserve">e fines are at a low </w:t>
      </w:r>
      <w:r w:rsidR="009655B4" w:rsidRPr="00CA6789">
        <w:rPr>
          <w:rFonts w:ascii="Times New Roman" w:hAnsi="Times New Roman"/>
          <w:sz w:val="24"/>
          <w:szCs w:val="24"/>
        </w:rPr>
        <w:t xml:space="preserve">N$ 100,000 </w:t>
      </w:r>
      <w:r w:rsidR="00CA6789" w:rsidRPr="00CA6789">
        <w:rPr>
          <w:rFonts w:ascii="Times New Roman" w:hAnsi="Times New Roman"/>
          <w:sz w:val="24"/>
          <w:szCs w:val="24"/>
        </w:rPr>
        <w:t>(</w:t>
      </w:r>
      <w:r w:rsidR="00521941" w:rsidRPr="00CA6789">
        <w:rPr>
          <w:rFonts w:ascii="Times New Roman" w:hAnsi="Times New Roman"/>
          <w:sz w:val="24"/>
          <w:szCs w:val="24"/>
        </w:rPr>
        <w:t>equivalen</w:t>
      </w:r>
      <w:r w:rsidR="00521941">
        <w:rPr>
          <w:rFonts w:ascii="Times New Roman" w:hAnsi="Times New Roman"/>
          <w:sz w:val="24"/>
          <w:szCs w:val="24"/>
        </w:rPr>
        <w:t>t</w:t>
      </w:r>
      <w:r w:rsidR="00521941" w:rsidRPr="00CA6789">
        <w:rPr>
          <w:rFonts w:ascii="Times New Roman" w:hAnsi="Times New Roman"/>
          <w:sz w:val="24"/>
          <w:szCs w:val="24"/>
        </w:rPr>
        <w:t xml:space="preserve"> </w:t>
      </w:r>
      <w:r w:rsidR="00521941">
        <w:rPr>
          <w:rFonts w:ascii="Times New Roman" w:hAnsi="Times New Roman"/>
          <w:sz w:val="24"/>
          <w:szCs w:val="24"/>
        </w:rPr>
        <w:t>to</w:t>
      </w:r>
      <w:r w:rsidR="00521941" w:rsidRPr="00CA6789">
        <w:rPr>
          <w:rFonts w:ascii="Times New Roman" w:hAnsi="Times New Roman"/>
          <w:sz w:val="24"/>
          <w:szCs w:val="24"/>
        </w:rPr>
        <w:t xml:space="preserve"> </w:t>
      </w:r>
      <w:r w:rsidR="00CA6789" w:rsidRPr="00CA6789">
        <w:rPr>
          <w:rFonts w:ascii="Times New Roman" w:hAnsi="Times New Roman"/>
          <w:sz w:val="24"/>
          <w:szCs w:val="24"/>
        </w:rPr>
        <w:t>about US$6,0</w:t>
      </w:r>
      <w:r w:rsidR="00521941">
        <w:rPr>
          <w:rFonts w:ascii="Times New Roman" w:hAnsi="Times New Roman"/>
          <w:sz w:val="24"/>
          <w:szCs w:val="24"/>
        </w:rPr>
        <w:t>00</w:t>
      </w:r>
      <w:r w:rsidR="00CA6789" w:rsidRPr="00CA6789">
        <w:rPr>
          <w:rFonts w:ascii="Times New Roman" w:hAnsi="Times New Roman"/>
          <w:sz w:val="24"/>
          <w:szCs w:val="24"/>
        </w:rPr>
        <w:t xml:space="preserve"> </w:t>
      </w:r>
      <w:r w:rsidR="003F3A3B">
        <w:rPr>
          <w:rFonts w:ascii="Times New Roman" w:hAnsi="Times New Roman"/>
          <w:sz w:val="24"/>
          <w:szCs w:val="24"/>
        </w:rPr>
        <w:t>on</w:t>
      </w:r>
      <w:r w:rsidR="001222BD">
        <w:rPr>
          <w:rFonts w:ascii="Times New Roman" w:hAnsi="Times New Roman"/>
          <w:sz w:val="24"/>
          <w:szCs w:val="24"/>
        </w:rPr>
        <w:t xml:space="preserve"> 15</w:t>
      </w:r>
      <w:r w:rsidR="00D076D4">
        <w:rPr>
          <w:rFonts w:ascii="Times New Roman" w:hAnsi="Times New Roman"/>
          <w:sz w:val="24"/>
          <w:szCs w:val="24"/>
        </w:rPr>
        <w:t>/08</w:t>
      </w:r>
      <w:r w:rsidR="00A40FFC">
        <w:rPr>
          <w:rFonts w:ascii="Times New Roman" w:hAnsi="Times New Roman"/>
          <w:sz w:val="24"/>
          <w:szCs w:val="24"/>
        </w:rPr>
        <w:t>/2021</w:t>
      </w:r>
      <w:r w:rsidR="00CA6789" w:rsidRPr="00CA6789">
        <w:rPr>
          <w:rFonts w:ascii="Times New Roman" w:hAnsi="Times New Roman"/>
          <w:sz w:val="24"/>
          <w:szCs w:val="24"/>
        </w:rPr>
        <w:t xml:space="preserve">) or 10 </w:t>
      </w:r>
      <w:r w:rsidR="0038566A" w:rsidRPr="00CA6789">
        <w:rPr>
          <w:rFonts w:ascii="Times New Roman" w:hAnsi="Times New Roman"/>
          <w:sz w:val="24"/>
          <w:szCs w:val="24"/>
        </w:rPr>
        <w:t>years’</w:t>
      </w:r>
      <w:r w:rsidR="00CA6789" w:rsidRPr="00CA6789">
        <w:rPr>
          <w:rFonts w:ascii="Times New Roman" w:hAnsi="Times New Roman"/>
          <w:sz w:val="24"/>
          <w:szCs w:val="24"/>
        </w:rPr>
        <w:t xml:space="preserve"> </w:t>
      </w:r>
      <w:r w:rsidR="00742DCC">
        <w:rPr>
          <w:rFonts w:ascii="Times New Roman" w:hAnsi="Times New Roman"/>
          <w:sz w:val="24"/>
          <w:szCs w:val="24"/>
        </w:rPr>
        <w:t xml:space="preserve">imprisonment. </w:t>
      </w:r>
      <w:r w:rsidR="00704F0A">
        <w:rPr>
          <w:rFonts w:ascii="Times New Roman" w:hAnsi="Times New Roman"/>
          <w:sz w:val="24"/>
          <w:szCs w:val="24"/>
        </w:rPr>
        <w:t xml:space="preserve">Other countries such as </w:t>
      </w:r>
      <w:r w:rsidR="00742DCC">
        <w:rPr>
          <w:rFonts w:ascii="Times New Roman" w:hAnsi="Times New Roman"/>
          <w:sz w:val="24"/>
          <w:szCs w:val="24"/>
        </w:rPr>
        <w:t>L</w:t>
      </w:r>
      <w:r w:rsidR="009655B4" w:rsidRPr="00CA6789">
        <w:rPr>
          <w:rFonts w:ascii="Times New Roman" w:hAnsi="Times New Roman"/>
          <w:sz w:val="24"/>
          <w:szCs w:val="24"/>
        </w:rPr>
        <w:t xml:space="preserve">ebanon stipulate a </w:t>
      </w:r>
      <w:r w:rsidR="00922E76">
        <w:rPr>
          <w:rFonts w:ascii="Times New Roman" w:hAnsi="Times New Roman"/>
          <w:sz w:val="24"/>
          <w:szCs w:val="24"/>
        </w:rPr>
        <w:t xml:space="preserve">high </w:t>
      </w:r>
      <w:r w:rsidR="009655B4" w:rsidRPr="00CA6789">
        <w:rPr>
          <w:rFonts w:ascii="Times New Roman" w:hAnsi="Times New Roman"/>
          <w:sz w:val="24"/>
          <w:szCs w:val="24"/>
        </w:rPr>
        <w:t>penalty of US$ 132,000</w:t>
      </w:r>
      <w:r w:rsidR="00922E76">
        <w:rPr>
          <w:rFonts w:ascii="Times New Roman" w:hAnsi="Times New Roman"/>
          <w:sz w:val="24"/>
          <w:szCs w:val="24"/>
        </w:rPr>
        <w:t xml:space="preserve"> </w:t>
      </w:r>
      <w:r w:rsidR="00922E76">
        <w:rPr>
          <w:rFonts w:ascii="Times New Roman" w:hAnsi="Times New Roman"/>
          <w:sz w:val="24"/>
          <w:szCs w:val="24"/>
        </w:rPr>
        <w:fldChar w:fldCharType="begin" w:fldLock="1"/>
      </w:r>
      <w:r w:rsidR="00922E76">
        <w:rPr>
          <w:rFonts w:ascii="Times New Roman" w:hAnsi="Times New Roman"/>
          <w:sz w:val="24"/>
          <w:szCs w:val="24"/>
        </w:rPr>
        <w:instrText>ADDIN CSL_CITATION {"citationItems":[{"id":"ITEM-1","itemData":{"DOI":"10.1016/j.envsci.2018.02.008","ISSN":"18736416","abstract":"In Turkey, as a developing country, environmental impact assessment (EIA) is a critical key for environmental protection. EIA is not regulated in Turkey by means of law, but through a decree put into force on the basis of the relevant provision of the Environmental Law. The Environmental Impact Assessment (EIA) System, which embodies the “prevention principle” of the environmental law, is an important tool for environmental protection. This tool has a private importance for Turkey since it is a developing country, and it entered the Turkish law in 1983 with the Environmental Law. Besides, the EIA Regulation, which shows the application principles, became effective in 1993. Because Turkey is a candidate for European Union (EU), the EIA Regulation has been changed due to the EU compliance procedure, and its latest version became valid in 2014. This study aims to emphasize The EIA system in Turkey to supervise the efficiency of this procedure and point the success level. According to the methods, firstly In the introduction part, general EIA concept, its importance, and some notations are mentioned. Following that, the legislation, which builds the EIA system, has been analyzed starting from the 1982 Turkish Constitution. Then, the legislation rules are explained due to the basic steps of the EIA procedure and analysed court decisions. In order to shed light upon the application, the EIA final decisions given until today, the results, and their distributions to the industries are assessed.","author":[{"dropping-particle":"","family":"Elvan","given":"Osman Devrim","non-dropping-particle":"","parse-names":false,"suffix":""}],"container-title":"Environmental Science and Policy","id":"ITEM-1","issue":"March","issued":{"date-parts":[["2018"]]},"page":"1-6","publisher":"Elsevier","title":"Analysis of environmental impact assessment practices and legislation in turkey","type":"article-journal","volume":"84"},"uris":["http://www.mendeley.com/documents/?uuid=ef29ad78-cbc7-4547-b415-d3cd9d9e59d2"]}],"mendeley":{"formattedCitation":"(Elvan, 2018)","plainTextFormattedCitation":"(Elvan, 2018)","previouslyFormattedCitation":"(Elvan, 2018)"},"properties":{"noteIndex":0},"schema":"https://github.com/citation-style-language/schema/raw/master/csl-citation.json"}</w:instrText>
      </w:r>
      <w:r w:rsidR="00922E76">
        <w:rPr>
          <w:rFonts w:ascii="Times New Roman" w:hAnsi="Times New Roman"/>
          <w:sz w:val="24"/>
          <w:szCs w:val="24"/>
        </w:rPr>
        <w:fldChar w:fldCharType="separate"/>
      </w:r>
      <w:r w:rsidR="00922E76" w:rsidRPr="0051129B">
        <w:rPr>
          <w:rFonts w:ascii="Times New Roman" w:hAnsi="Times New Roman"/>
          <w:noProof/>
          <w:sz w:val="24"/>
          <w:szCs w:val="24"/>
        </w:rPr>
        <w:t>(Elvan, 2018)</w:t>
      </w:r>
      <w:r w:rsidR="00922E76">
        <w:rPr>
          <w:rFonts w:ascii="Times New Roman" w:hAnsi="Times New Roman"/>
          <w:sz w:val="24"/>
          <w:szCs w:val="24"/>
        </w:rPr>
        <w:fldChar w:fldCharType="end"/>
      </w:r>
      <w:r w:rsidR="00922E76">
        <w:rPr>
          <w:rFonts w:ascii="Times New Roman" w:hAnsi="Times New Roman"/>
          <w:sz w:val="24"/>
          <w:szCs w:val="24"/>
        </w:rPr>
        <w:t>. However, in comparison to Namibia, Lebanon term of imprisonment for</w:t>
      </w:r>
      <w:r w:rsidR="00922E76" w:rsidRPr="00922E76">
        <w:rPr>
          <w:rFonts w:ascii="Times New Roman" w:hAnsi="Times New Roman"/>
          <w:sz w:val="24"/>
          <w:szCs w:val="24"/>
        </w:rPr>
        <w:t xml:space="preserve"> </w:t>
      </w:r>
      <w:r w:rsidR="00922E76" w:rsidRPr="00CA6789">
        <w:rPr>
          <w:rFonts w:ascii="Times New Roman" w:hAnsi="Times New Roman"/>
          <w:sz w:val="24"/>
          <w:szCs w:val="24"/>
        </w:rPr>
        <w:t>establishing a project without EIA authorization</w:t>
      </w:r>
      <w:r w:rsidR="00922E76">
        <w:rPr>
          <w:rFonts w:ascii="Times New Roman" w:hAnsi="Times New Roman"/>
          <w:sz w:val="24"/>
          <w:szCs w:val="24"/>
        </w:rPr>
        <w:t xml:space="preserve"> is a mere one year</w:t>
      </w:r>
      <w:r w:rsidR="00594FCF">
        <w:rPr>
          <w:rFonts w:ascii="Times New Roman" w:hAnsi="Times New Roman"/>
          <w:sz w:val="24"/>
          <w:szCs w:val="24"/>
        </w:rPr>
        <w:t xml:space="preserve"> </w:t>
      </w:r>
      <w:r w:rsidR="0051129B">
        <w:rPr>
          <w:rFonts w:ascii="Times New Roman" w:hAnsi="Times New Roman"/>
          <w:sz w:val="24"/>
          <w:szCs w:val="24"/>
        </w:rPr>
        <w:fldChar w:fldCharType="begin" w:fldLock="1"/>
      </w:r>
      <w:r w:rsidR="0051129B">
        <w:rPr>
          <w:rFonts w:ascii="Times New Roman" w:hAnsi="Times New Roman"/>
          <w:sz w:val="24"/>
          <w:szCs w:val="24"/>
        </w:rPr>
        <w:instrText>ADDIN CSL_CITATION {"citationItems":[{"id":"ITEM-1","itemData":{"DOI":"10.1016/j.envsci.2018.02.008","ISSN":"18736416","abstract":"In Turkey, as a developing country, environmental impact assessment (EIA) is a critical key for environmental protection. EIA is not regulated in Turkey by means of law, but through a decree put into force on the basis of the relevant provision of the Environmental Law. The Environmental Impact Assessment (EIA) System, which embodies the “prevention principle” of the environmental law, is an important tool for environmental protection. This tool has a private importance for Turkey since it is a developing country, and it entered the Turkish law in 1983 with the Environmental Law. Besides, the EIA Regulation, which shows the application principles, became effective in 1993. Because Turkey is a candidate for European Union (EU), the EIA Regulation has been changed due to the EU compliance procedure, and its latest version became valid in 2014. This study aims to emphasize The EIA system in Turkey to supervise the efficiency of this procedure and point the success level. According to the methods, firstly In the introduction part, general EIA concept, its importance, and some notations are mentioned. Following that, the legislation, which builds the EIA system, has been analyzed starting from the 1982 Turkish Constitution. Then, the legislation rules are explained due to the basic steps of the EIA procedure and analysed court decisions. In order to shed light upon the application, the EIA final decisions given until today, the results, and their distributions to the industries are assessed.","author":[{"dropping-particle":"","family":"Elvan","given":"Osman Devrim","non-dropping-particle":"","parse-names":false,"suffix":""}],"container-title":"Environmental Science and Policy","id":"ITEM-1","issue":"March","issued":{"date-parts":[["2018"]]},"page":"1-6","publisher":"Elsevier","title":"Analysis of environmental impact assessment practices and legislation in turkey","type":"article-journal","volume":"84"},"uris":["http://www.mendeley.com/documents/?uuid=ef29ad78-cbc7-4547-b415-d3cd9d9e59d2"]}],"mendeley":{"formattedCitation":"(Elvan, 2018)","plainTextFormattedCitation":"(Elvan, 2018)","previouslyFormattedCitation":"(Elvan, 2018)"},"properties":{"noteIndex":0},"schema":"https://github.com/citation-style-language/schema/raw/master/csl-citation.json"}</w:instrText>
      </w:r>
      <w:r w:rsidR="0051129B">
        <w:rPr>
          <w:rFonts w:ascii="Times New Roman" w:hAnsi="Times New Roman"/>
          <w:sz w:val="24"/>
          <w:szCs w:val="24"/>
        </w:rPr>
        <w:fldChar w:fldCharType="separate"/>
      </w:r>
      <w:r w:rsidR="0051129B" w:rsidRPr="0051129B">
        <w:rPr>
          <w:rFonts w:ascii="Times New Roman" w:hAnsi="Times New Roman"/>
          <w:noProof/>
          <w:sz w:val="24"/>
          <w:szCs w:val="24"/>
        </w:rPr>
        <w:t>(Elvan, 2018)</w:t>
      </w:r>
      <w:r w:rsidR="0051129B">
        <w:rPr>
          <w:rFonts w:ascii="Times New Roman" w:hAnsi="Times New Roman"/>
          <w:sz w:val="24"/>
          <w:szCs w:val="24"/>
        </w:rPr>
        <w:fldChar w:fldCharType="end"/>
      </w:r>
      <w:r w:rsidR="0051129B">
        <w:rPr>
          <w:rFonts w:ascii="Times New Roman" w:hAnsi="Times New Roman"/>
          <w:sz w:val="24"/>
          <w:szCs w:val="24"/>
        </w:rPr>
        <w:t xml:space="preserve">. </w:t>
      </w:r>
      <w:r w:rsidR="00594FCF">
        <w:rPr>
          <w:rFonts w:ascii="Times New Roman" w:hAnsi="Times New Roman"/>
          <w:sz w:val="24"/>
          <w:szCs w:val="24"/>
        </w:rPr>
        <w:t xml:space="preserve">This </w:t>
      </w:r>
      <w:r w:rsidR="002E4B87">
        <w:rPr>
          <w:rFonts w:ascii="Times New Roman" w:hAnsi="Times New Roman"/>
          <w:sz w:val="24"/>
          <w:szCs w:val="24"/>
        </w:rPr>
        <w:t>points to</w:t>
      </w:r>
      <w:r w:rsidR="00594FCF">
        <w:rPr>
          <w:rFonts w:ascii="Times New Roman" w:hAnsi="Times New Roman"/>
          <w:sz w:val="24"/>
          <w:szCs w:val="24"/>
        </w:rPr>
        <w:t xml:space="preserve"> a lack of comparability and inconsistency in fines and imprisonment </w:t>
      </w:r>
      <w:r w:rsidR="002E4B87">
        <w:rPr>
          <w:rFonts w:ascii="Times New Roman" w:hAnsi="Times New Roman"/>
          <w:sz w:val="24"/>
          <w:szCs w:val="24"/>
        </w:rPr>
        <w:t>terms in developing countries</w:t>
      </w:r>
      <w:r w:rsidR="00594FCF">
        <w:rPr>
          <w:rFonts w:ascii="Times New Roman" w:hAnsi="Times New Roman"/>
          <w:sz w:val="24"/>
          <w:szCs w:val="24"/>
        </w:rPr>
        <w:t>.</w:t>
      </w:r>
    </w:p>
    <w:p w:rsidR="00F204CF" w:rsidRPr="00563CA5" w:rsidRDefault="006B01F0" w:rsidP="00C710EA">
      <w:pPr>
        <w:pStyle w:val="ListParagraph"/>
        <w:numPr>
          <w:ilvl w:val="1"/>
          <w:numId w:val="17"/>
        </w:numPr>
        <w:spacing w:line="360" w:lineRule="auto"/>
        <w:jc w:val="both"/>
        <w:rPr>
          <w:rFonts w:ascii="Times New Roman" w:hAnsi="Times New Roman"/>
          <w:i/>
          <w:sz w:val="24"/>
          <w:szCs w:val="24"/>
        </w:rPr>
      </w:pPr>
      <w:r w:rsidRPr="00563CA5">
        <w:rPr>
          <w:rFonts w:ascii="Times New Roman" w:hAnsi="Times New Roman"/>
          <w:i/>
          <w:sz w:val="24"/>
          <w:szCs w:val="24"/>
        </w:rPr>
        <w:lastRenderedPageBreak/>
        <w:t xml:space="preserve">Weak </w:t>
      </w:r>
      <w:r w:rsidR="009655B4" w:rsidRPr="00563CA5">
        <w:rPr>
          <w:rFonts w:ascii="Times New Roman" w:hAnsi="Times New Roman"/>
          <w:i/>
          <w:sz w:val="24"/>
          <w:szCs w:val="24"/>
        </w:rPr>
        <w:t xml:space="preserve">communication </w:t>
      </w:r>
      <w:r w:rsidR="002E4877">
        <w:rPr>
          <w:rFonts w:ascii="Times New Roman" w:hAnsi="Times New Roman"/>
          <w:i/>
          <w:sz w:val="24"/>
          <w:szCs w:val="24"/>
        </w:rPr>
        <w:t>and information sharing</w:t>
      </w:r>
    </w:p>
    <w:p w:rsidR="0075669B" w:rsidRDefault="006B01F0" w:rsidP="008F7214">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The Namibia EIA system lacks communication and information </w:t>
      </w:r>
      <w:r w:rsidR="009B7E24">
        <w:rPr>
          <w:rFonts w:ascii="Times New Roman" w:hAnsi="Times New Roman"/>
          <w:sz w:val="24"/>
          <w:szCs w:val="24"/>
        </w:rPr>
        <w:t xml:space="preserve">access </w:t>
      </w:r>
      <w:r w:rsidR="007B0FDB">
        <w:rPr>
          <w:rFonts w:ascii="Times New Roman" w:hAnsi="Times New Roman"/>
          <w:sz w:val="24"/>
          <w:szCs w:val="24"/>
        </w:rPr>
        <w:t>mechanisms</w:t>
      </w:r>
      <w:r>
        <w:rPr>
          <w:rFonts w:ascii="Times New Roman" w:hAnsi="Times New Roman"/>
          <w:sz w:val="24"/>
          <w:szCs w:val="24"/>
        </w:rPr>
        <w:t xml:space="preserve">. The flow of </w:t>
      </w:r>
      <w:r w:rsidR="006550FE">
        <w:rPr>
          <w:rFonts w:ascii="Times New Roman" w:hAnsi="Times New Roman"/>
          <w:sz w:val="24"/>
          <w:szCs w:val="24"/>
        </w:rPr>
        <w:t xml:space="preserve">information between the </w:t>
      </w:r>
      <w:r w:rsidR="001222BD">
        <w:rPr>
          <w:rFonts w:ascii="Times New Roman" w:hAnsi="Times New Roman"/>
          <w:sz w:val="24"/>
          <w:szCs w:val="24"/>
        </w:rPr>
        <w:t xml:space="preserve">office of the </w:t>
      </w:r>
      <w:r w:rsidR="006550FE">
        <w:rPr>
          <w:rFonts w:ascii="Times New Roman" w:hAnsi="Times New Roman"/>
          <w:sz w:val="24"/>
          <w:szCs w:val="24"/>
        </w:rPr>
        <w:t>e</w:t>
      </w:r>
      <w:r>
        <w:rPr>
          <w:rFonts w:ascii="Times New Roman" w:hAnsi="Times New Roman"/>
          <w:sz w:val="24"/>
          <w:szCs w:val="24"/>
        </w:rPr>
        <w:t>nvironmental commissioner and the public is weak</w:t>
      </w:r>
      <w:r w:rsidR="001222BD">
        <w:rPr>
          <w:rFonts w:ascii="Times New Roman" w:hAnsi="Times New Roman"/>
          <w:sz w:val="24"/>
          <w:szCs w:val="24"/>
        </w:rPr>
        <w:t>.</w:t>
      </w:r>
      <w:r>
        <w:rPr>
          <w:rFonts w:ascii="Times New Roman" w:hAnsi="Times New Roman"/>
          <w:sz w:val="24"/>
          <w:szCs w:val="24"/>
        </w:rPr>
        <w:t xml:space="preserve"> </w:t>
      </w:r>
      <w:r w:rsidR="001222BD">
        <w:rPr>
          <w:rFonts w:ascii="Times New Roman" w:hAnsi="Times New Roman"/>
          <w:sz w:val="24"/>
          <w:szCs w:val="24"/>
        </w:rPr>
        <w:t>This is</w:t>
      </w:r>
      <w:r>
        <w:rPr>
          <w:rFonts w:ascii="Times New Roman" w:hAnsi="Times New Roman"/>
          <w:sz w:val="24"/>
          <w:szCs w:val="24"/>
        </w:rPr>
        <w:t xml:space="preserve"> evidenced in the fact that the public ha</w:t>
      </w:r>
      <w:r w:rsidR="00A40FFC">
        <w:rPr>
          <w:rFonts w:ascii="Times New Roman" w:hAnsi="Times New Roman"/>
          <w:sz w:val="24"/>
          <w:szCs w:val="24"/>
        </w:rPr>
        <w:t>s</w:t>
      </w:r>
      <w:r>
        <w:rPr>
          <w:rFonts w:ascii="Times New Roman" w:hAnsi="Times New Roman"/>
          <w:sz w:val="24"/>
          <w:szCs w:val="24"/>
        </w:rPr>
        <w:t xml:space="preserve"> no access to information on the number or type of projects that are accepted or rejected. In this </w:t>
      </w:r>
      <w:r w:rsidR="007B0FDB">
        <w:rPr>
          <w:rFonts w:ascii="Times New Roman" w:hAnsi="Times New Roman"/>
          <w:sz w:val="24"/>
          <w:szCs w:val="24"/>
        </w:rPr>
        <w:t>case</w:t>
      </w:r>
      <w:r>
        <w:rPr>
          <w:rFonts w:ascii="Times New Roman" w:hAnsi="Times New Roman"/>
          <w:sz w:val="24"/>
          <w:szCs w:val="24"/>
        </w:rPr>
        <w:t xml:space="preserve">, </w:t>
      </w:r>
      <w:r w:rsidR="007B0FDB">
        <w:rPr>
          <w:rFonts w:ascii="Times New Roman" w:hAnsi="Times New Roman"/>
          <w:sz w:val="24"/>
          <w:szCs w:val="24"/>
        </w:rPr>
        <w:t>the public only obtain</w:t>
      </w:r>
      <w:r w:rsidR="00A40FFC">
        <w:rPr>
          <w:rFonts w:ascii="Times New Roman" w:hAnsi="Times New Roman"/>
          <w:sz w:val="24"/>
          <w:szCs w:val="24"/>
        </w:rPr>
        <w:t>s</w:t>
      </w:r>
      <w:r w:rsidR="007B0FDB">
        <w:rPr>
          <w:rFonts w:ascii="Times New Roman" w:hAnsi="Times New Roman"/>
          <w:sz w:val="24"/>
          <w:szCs w:val="24"/>
        </w:rPr>
        <w:t xml:space="preserve"> information through </w:t>
      </w:r>
      <w:r>
        <w:rPr>
          <w:rFonts w:ascii="Times New Roman" w:hAnsi="Times New Roman"/>
          <w:sz w:val="24"/>
          <w:szCs w:val="24"/>
        </w:rPr>
        <w:t xml:space="preserve">newspapers. While that supports the importance of media in EIA, newspapers </w:t>
      </w:r>
      <w:r w:rsidR="001222BD">
        <w:rPr>
          <w:rFonts w:ascii="Times New Roman" w:hAnsi="Times New Roman"/>
          <w:sz w:val="24"/>
          <w:szCs w:val="24"/>
        </w:rPr>
        <w:t>often selectively</w:t>
      </w:r>
      <w:r>
        <w:rPr>
          <w:rFonts w:ascii="Times New Roman" w:hAnsi="Times New Roman"/>
          <w:sz w:val="24"/>
          <w:szCs w:val="24"/>
        </w:rPr>
        <w:t xml:space="preserve"> report</w:t>
      </w:r>
      <w:r w:rsidR="001222BD">
        <w:rPr>
          <w:rFonts w:ascii="Times New Roman" w:hAnsi="Times New Roman"/>
          <w:sz w:val="24"/>
          <w:szCs w:val="24"/>
        </w:rPr>
        <w:t xml:space="preserve"> on </w:t>
      </w:r>
      <w:r>
        <w:rPr>
          <w:rFonts w:ascii="Times New Roman" w:hAnsi="Times New Roman"/>
          <w:sz w:val="24"/>
          <w:szCs w:val="24"/>
        </w:rPr>
        <w:t xml:space="preserve">sensitive and controversial projects. </w:t>
      </w:r>
      <w:r w:rsidR="001222BD">
        <w:rPr>
          <w:rFonts w:ascii="Times New Roman" w:hAnsi="Times New Roman"/>
          <w:sz w:val="24"/>
          <w:szCs w:val="24"/>
        </w:rPr>
        <w:t xml:space="preserve">Countries such as </w:t>
      </w:r>
      <w:r w:rsidR="009B7E24">
        <w:rPr>
          <w:rFonts w:ascii="Times New Roman" w:hAnsi="Times New Roman"/>
          <w:sz w:val="24"/>
          <w:szCs w:val="24"/>
        </w:rPr>
        <w:t>Turkey ha</w:t>
      </w:r>
      <w:r w:rsidR="00B42FD6">
        <w:rPr>
          <w:rFonts w:ascii="Times New Roman" w:hAnsi="Times New Roman"/>
          <w:sz w:val="24"/>
          <w:szCs w:val="24"/>
        </w:rPr>
        <w:t>ve</w:t>
      </w:r>
      <w:r w:rsidR="009B7E24">
        <w:rPr>
          <w:rFonts w:ascii="Times New Roman" w:hAnsi="Times New Roman"/>
          <w:sz w:val="24"/>
          <w:szCs w:val="24"/>
        </w:rPr>
        <w:t xml:space="preserve"> an effective policy c</w:t>
      </w:r>
      <w:r w:rsidR="009B7E24" w:rsidRPr="002F6AFA">
        <w:rPr>
          <w:rFonts w:ascii="Times New Roman" w:hAnsi="Times New Roman"/>
          <w:sz w:val="24"/>
          <w:szCs w:val="24"/>
        </w:rPr>
        <w:t>oncerning</w:t>
      </w:r>
      <w:r w:rsidR="009B7E24">
        <w:rPr>
          <w:rFonts w:ascii="Times New Roman" w:hAnsi="Times New Roman"/>
          <w:sz w:val="24"/>
          <w:szCs w:val="24"/>
        </w:rPr>
        <w:t xml:space="preserve"> rights to</w:t>
      </w:r>
      <w:r w:rsidR="009B7E24" w:rsidRPr="002F6AFA">
        <w:rPr>
          <w:rFonts w:ascii="Times New Roman" w:hAnsi="Times New Roman"/>
          <w:sz w:val="24"/>
          <w:szCs w:val="24"/>
        </w:rPr>
        <w:t xml:space="preserve"> access </w:t>
      </w:r>
      <w:r w:rsidR="009B7E24">
        <w:rPr>
          <w:rFonts w:ascii="Times New Roman" w:hAnsi="Times New Roman"/>
          <w:sz w:val="24"/>
          <w:szCs w:val="24"/>
        </w:rPr>
        <w:t xml:space="preserve">environmental </w:t>
      </w:r>
      <w:r w:rsidR="009B7E24" w:rsidRPr="002F6AFA">
        <w:rPr>
          <w:rFonts w:ascii="Times New Roman" w:hAnsi="Times New Roman"/>
          <w:sz w:val="24"/>
          <w:szCs w:val="24"/>
        </w:rPr>
        <w:t>information</w:t>
      </w:r>
      <w:r w:rsidR="009B7E24">
        <w:rPr>
          <w:rFonts w:ascii="Times New Roman" w:hAnsi="Times New Roman"/>
          <w:sz w:val="24"/>
          <w:szCs w:val="24"/>
        </w:rPr>
        <w:t xml:space="preserve"> (Elvan, 2018).</w:t>
      </w:r>
      <w:r w:rsidR="009B7E24" w:rsidRPr="002F6AFA">
        <w:rPr>
          <w:rFonts w:ascii="Times New Roman" w:hAnsi="Times New Roman"/>
          <w:sz w:val="24"/>
          <w:szCs w:val="24"/>
        </w:rPr>
        <w:t xml:space="preserve"> </w:t>
      </w:r>
    </w:p>
    <w:p w:rsidR="007B0FDB" w:rsidRDefault="007B0FDB" w:rsidP="00563CA5">
      <w:pPr>
        <w:spacing w:line="360" w:lineRule="auto"/>
        <w:jc w:val="both"/>
        <w:rPr>
          <w:rFonts w:ascii="Times New Roman" w:hAnsi="Times New Roman"/>
          <w:i/>
          <w:sz w:val="24"/>
          <w:szCs w:val="24"/>
        </w:rPr>
      </w:pPr>
    </w:p>
    <w:p w:rsidR="0075669B" w:rsidRPr="00C710EA" w:rsidRDefault="006B01F0" w:rsidP="00C710EA">
      <w:pPr>
        <w:pStyle w:val="ListParagraph"/>
        <w:numPr>
          <w:ilvl w:val="1"/>
          <w:numId w:val="17"/>
        </w:numPr>
        <w:spacing w:line="360" w:lineRule="auto"/>
        <w:jc w:val="both"/>
        <w:rPr>
          <w:rFonts w:ascii="Times New Roman" w:hAnsi="Times New Roman"/>
          <w:sz w:val="24"/>
          <w:szCs w:val="24"/>
        </w:rPr>
      </w:pPr>
      <w:r w:rsidRPr="00C710EA">
        <w:rPr>
          <w:rFonts w:ascii="Times New Roman" w:hAnsi="Times New Roman"/>
          <w:i/>
          <w:sz w:val="24"/>
          <w:szCs w:val="24"/>
        </w:rPr>
        <w:t>Unclear</w:t>
      </w:r>
      <w:r w:rsidR="009D6EF6" w:rsidRPr="00C710EA">
        <w:rPr>
          <w:rFonts w:ascii="Times New Roman" w:hAnsi="Times New Roman"/>
          <w:i/>
          <w:sz w:val="24"/>
          <w:szCs w:val="24"/>
        </w:rPr>
        <w:t xml:space="preserve"> roles of competent authorities.</w:t>
      </w:r>
    </w:p>
    <w:p w:rsidR="001F4FE0" w:rsidRDefault="006B01F0" w:rsidP="00563CA5">
      <w:pPr>
        <w:spacing w:line="360" w:lineRule="auto"/>
        <w:jc w:val="both"/>
        <w:rPr>
          <w:rFonts w:ascii="Times New Roman" w:hAnsi="Times New Roman"/>
          <w:sz w:val="24"/>
          <w:szCs w:val="24"/>
        </w:rPr>
      </w:pPr>
      <w:r>
        <w:rPr>
          <w:rFonts w:ascii="Times New Roman" w:hAnsi="Times New Roman"/>
          <w:sz w:val="24"/>
          <w:szCs w:val="24"/>
        </w:rPr>
        <w:t xml:space="preserve">The competent authorities and other organs of state only participate in the EIA process at the discretion of the </w:t>
      </w:r>
      <w:r w:rsidR="009953C2">
        <w:rPr>
          <w:rFonts w:ascii="Times New Roman" w:hAnsi="Times New Roman"/>
          <w:sz w:val="24"/>
          <w:szCs w:val="24"/>
        </w:rPr>
        <w:t>environmental</w:t>
      </w:r>
      <w:r>
        <w:rPr>
          <w:rFonts w:ascii="Times New Roman" w:hAnsi="Times New Roman"/>
          <w:sz w:val="24"/>
          <w:szCs w:val="24"/>
        </w:rPr>
        <w:t xml:space="preserve"> </w:t>
      </w:r>
      <w:r w:rsidR="009953C2">
        <w:rPr>
          <w:rFonts w:ascii="Times New Roman" w:hAnsi="Times New Roman"/>
          <w:sz w:val="24"/>
          <w:szCs w:val="24"/>
        </w:rPr>
        <w:t>commissioner</w:t>
      </w:r>
      <w:r>
        <w:rPr>
          <w:rFonts w:ascii="Times New Roman" w:hAnsi="Times New Roman"/>
          <w:sz w:val="24"/>
          <w:szCs w:val="24"/>
        </w:rPr>
        <w:t>. The DEA dominate</w:t>
      </w:r>
      <w:r w:rsidR="007B0FDB">
        <w:rPr>
          <w:rFonts w:ascii="Times New Roman" w:hAnsi="Times New Roman"/>
          <w:sz w:val="24"/>
          <w:szCs w:val="24"/>
        </w:rPr>
        <w:t>s</w:t>
      </w:r>
      <w:r>
        <w:rPr>
          <w:rFonts w:ascii="Times New Roman" w:hAnsi="Times New Roman"/>
          <w:sz w:val="24"/>
          <w:szCs w:val="24"/>
        </w:rPr>
        <w:t xml:space="preserve"> environmental affairs, and other departments only offer recommendations but are not involved in decision making. </w:t>
      </w:r>
      <w:r w:rsidR="009655B4" w:rsidRPr="00FE61CD">
        <w:rPr>
          <w:rFonts w:ascii="Times New Roman" w:hAnsi="Times New Roman"/>
          <w:sz w:val="24"/>
          <w:szCs w:val="24"/>
        </w:rPr>
        <w:t xml:space="preserve">Contrary to the views of Wood (2003) that environment ministries in developing countries are often “bypassed” by other, more powerful ministries, </w:t>
      </w:r>
      <w:r w:rsidR="0081317B" w:rsidRPr="00FE61CD">
        <w:rPr>
          <w:rFonts w:ascii="Times New Roman" w:hAnsi="Times New Roman"/>
          <w:sz w:val="24"/>
          <w:szCs w:val="24"/>
        </w:rPr>
        <w:t>MEFT</w:t>
      </w:r>
      <w:r w:rsidR="009655B4" w:rsidRPr="00FE61CD">
        <w:rPr>
          <w:rFonts w:ascii="Times New Roman" w:hAnsi="Times New Roman"/>
          <w:sz w:val="24"/>
          <w:szCs w:val="24"/>
        </w:rPr>
        <w:t xml:space="preserve"> is powerful and seemingly has </w:t>
      </w:r>
      <w:r>
        <w:rPr>
          <w:rFonts w:ascii="Times New Roman" w:hAnsi="Times New Roman"/>
          <w:sz w:val="24"/>
          <w:szCs w:val="24"/>
        </w:rPr>
        <w:t>exclude</w:t>
      </w:r>
      <w:r w:rsidR="00A40FFC">
        <w:rPr>
          <w:rFonts w:ascii="Times New Roman" w:hAnsi="Times New Roman"/>
          <w:sz w:val="24"/>
          <w:szCs w:val="24"/>
        </w:rPr>
        <w:t>d</w:t>
      </w:r>
      <w:r>
        <w:rPr>
          <w:rFonts w:ascii="Times New Roman" w:hAnsi="Times New Roman"/>
          <w:sz w:val="24"/>
          <w:szCs w:val="24"/>
        </w:rPr>
        <w:t xml:space="preserve"> other stakeholders</w:t>
      </w:r>
      <w:r w:rsidR="000D7744">
        <w:rPr>
          <w:rFonts w:ascii="Times New Roman" w:hAnsi="Times New Roman"/>
          <w:sz w:val="24"/>
          <w:szCs w:val="24"/>
        </w:rPr>
        <w:t xml:space="preserve">. </w:t>
      </w:r>
    </w:p>
    <w:p w:rsidR="000D7744" w:rsidRPr="00FE61CD" w:rsidRDefault="000D7744" w:rsidP="00563CA5">
      <w:pPr>
        <w:spacing w:line="360" w:lineRule="auto"/>
        <w:jc w:val="both"/>
        <w:rPr>
          <w:rFonts w:ascii="Times New Roman" w:hAnsi="Times New Roman"/>
          <w:sz w:val="24"/>
          <w:szCs w:val="24"/>
        </w:rPr>
      </w:pPr>
    </w:p>
    <w:p w:rsidR="00742DCC" w:rsidRPr="00563CA5" w:rsidRDefault="006B01F0" w:rsidP="00C710EA">
      <w:pPr>
        <w:pStyle w:val="ListParagraph"/>
        <w:numPr>
          <w:ilvl w:val="1"/>
          <w:numId w:val="17"/>
        </w:numPr>
        <w:autoSpaceDE w:val="0"/>
        <w:autoSpaceDN w:val="0"/>
        <w:adjustRightInd w:val="0"/>
        <w:spacing w:after="0" w:line="360" w:lineRule="auto"/>
        <w:jc w:val="both"/>
        <w:rPr>
          <w:rFonts w:ascii="Times New Roman" w:hAnsi="Times New Roman"/>
          <w:i/>
          <w:sz w:val="24"/>
          <w:szCs w:val="24"/>
        </w:rPr>
      </w:pPr>
      <w:r w:rsidRPr="00563CA5">
        <w:rPr>
          <w:rFonts w:ascii="Times New Roman" w:hAnsi="Times New Roman"/>
          <w:i/>
          <w:sz w:val="24"/>
          <w:szCs w:val="24"/>
        </w:rPr>
        <w:t xml:space="preserve">Lack of human and </w:t>
      </w:r>
      <w:r w:rsidR="00C06B40" w:rsidRPr="00563CA5">
        <w:rPr>
          <w:rFonts w:ascii="Times New Roman" w:hAnsi="Times New Roman"/>
          <w:i/>
          <w:sz w:val="24"/>
          <w:szCs w:val="24"/>
        </w:rPr>
        <w:t>financial</w:t>
      </w:r>
      <w:r w:rsidRPr="00563CA5">
        <w:rPr>
          <w:rFonts w:ascii="Times New Roman" w:hAnsi="Times New Roman"/>
          <w:i/>
          <w:sz w:val="24"/>
          <w:szCs w:val="24"/>
        </w:rPr>
        <w:t xml:space="preserve"> capacity</w:t>
      </w:r>
    </w:p>
    <w:p w:rsidR="00FB38BC" w:rsidRDefault="006B01F0" w:rsidP="00504A2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The </w:t>
      </w:r>
      <w:r w:rsidR="009655B4" w:rsidRPr="00F50A0C">
        <w:rPr>
          <w:rFonts w:ascii="Times New Roman" w:hAnsi="Times New Roman"/>
          <w:sz w:val="24"/>
          <w:szCs w:val="24"/>
        </w:rPr>
        <w:t xml:space="preserve">Namibia EIA system is faced with a </w:t>
      </w:r>
      <w:r w:rsidR="00F50A0C" w:rsidRPr="00F50A0C">
        <w:rPr>
          <w:rFonts w:ascii="Times New Roman" w:hAnsi="Times New Roman"/>
          <w:sz w:val="24"/>
          <w:szCs w:val="24"/>
        </w:rPr>
        <w:t xml:space="preserve">shortage of experienced and qualified EIA professionals </w:t>
      </w:r>
      <w:r>
        <w:rPr>
          <w:rFonts w:ascii="Times New Roman" w:hAnsi="Times New Roman"/>
          <w:sz w:val="24"/>
          <w:szCs w:val="24"/>
        </w:rPr>
        <w:t xml:space="preserve">both </w:t>
      </w:r>
      <w:r w:rsidR="0075669B">
        <w:rPr>
          <w:rFonts w:ascii="Times New Roman" w:hAnsi="Times New Roman"/>
          <w:sz w:val="24"/>
          <w:szCs w:val="24"/>
        </w:rPr>
        <w:t>in</w:t>
      </w:r>
      <w:r w:rsidR="0075669B" w:rsidRPr="00F50A0C">
        <w:rPr>
          <w:rFonts w:ascii="Times New Roman" w:hAnsi="Times New Roman"/>
          <w:sz w:val="24"/>
          <w:szCs w:val="24"/>
        </w:rPr>
        <w:t xml:space="preserve"> </w:t>
      </w:r>
      <w:r w:rsidR="00777693">
        <w:rPr>
          <w:rFonts w:ascii="Times New Roman" w:hAnsi="Times New Roman"/>
          <w:sz w:val="24"/>
          <w:szCs w:val="24"/>
        </w:rPr>
        <w:t>the regulatory authority</w:t>
      </w:r>
      <w:r w:rsidR="006C5EEB" w:rsidRPr="00F50A0C">
        <w:rPr>
          <w:rFonts w:ascii="Times New Roman" w:hAnsi="Times New Roman"/>
          <w:sz w:val="24"/>
          <w:szCs w:val="24"/>
        </w:rPr>
        <w:t xml:space="preserve"> and </w:t>
      </w:r>
      <w:r w:rsidR="00F50A0C">
        <w:rPr>
          <w:rFonts w:ascii="Times New Roman" w:hAnsi="Times New Roman"/>
          <w:sz w:val="24"/>
          <w:szCs w:val="24"/>
        </w:rPr>
        <w:t>in consulting firms</w:t>
      </w:r>
      <w:r w:rsidR="009655B4" w:rsidRPr="00F50A0C">
        <w:rPr>
          <w:rFonts w:ascii="Times New Roman" w:hAnsi="Times New Roman"/>
          <w:sz w:val="24"/>
          <w:szCs w:val="24"/>
        </w:rPr>
        <w:t xml:space="preserve">. A report by </w:t>
      </w:r>
      <w:r w:rsidR="006550FE">
        <w:rPr>
          <w:rFonts w:ascii="Times New Roman" w:hAnsi="Times New Roman"/>
          <w:sz w:val="24"/>
          <w:szCs w:val="24"/>
        </w:rPr>
        <w:t>the National Planning Commission</w:t>
      </w:r>
      <w:r w:rsidR="009655B4" w:rsidRPr="00F50A0C">
        <w:rPr>
          <w:rFonts w:ascii="Times New Roman" w:hAnsi="Times New Roman"/>
          <w:sz w:val="24"/>
          <w:szCs w:val="24"/>
        </w:rPr>
        <w:t xml:space="preserve"> </w:t>
      </w:r>
      <w:r w:rsidR="006550FE">
        <w:rPr>
          <w:rFonts w:ascii="Times New Roman" w:hAnsi="Times New Roman"/>
          <w:sz w:val="24"/>
          <w:szCs w:val="24"/>
        </w:rPr>
        <w:t xml:space="preserve">(NPC) </w:t>
      </w:r>
      <w:r w:rsidR="009655B4" w:rsidRPr="00F50A0C">
        <w:rPr>
          <w:rFonts w:ascii="Times New Roman" w:hAnsi="Times New Roman"/>
          <w:sz w:val="24"/>
          <w:szCs w:val="24"/>
        </w:rPr>
        <w:t>(2015) confirms a lack of human resource capacity particularly in the area of EIA inspection and monitoring</w:t>
      </w:r>
      <w:r w:rsidR="0075669B">
        <w:rPr>
          <w:rFonts w:ascii="Times New Roman" w:hAnsi="Times New Roman"/>
          <w:sz w:val="24"/>
          <w:szCs w:val="24"/>
        </w:rPr>
        <w:t>.</w:t>
      </w:r>
      <w:r w:rsidR="009655B4" w:rsidRPr="00F50A0C">
        <w:rPr>
          <w:rFonts w:ascii="Times New Roman" w:hAnsi="Times New Roman"/>
          <w:sz w:val="24"/>
          <w:szCs w:val="24"/>
        </w:rPr>
        <w:t xml:space="preserve"> </w:t>
      </w:r>
      <w:r w:rsidR="0075669B">
        <w:rPr>
          <w:rFonts w:ascii="Times New Roman" w:hAnsi="Times New Roman"/>
          <w:sz w:val="24"/>
          <w:szCs w:val="24"/>
        </w:rPr>
        <w:t>D</w:t>
      </w:r>
      <w:r>
        <w:rPr>
          <w:rFonts w:ascii="Times New Roman" w:hAnsi="Times New Roman"/>
          <w:sz w:val="24"/>
          <w:szCs w:val="24"/>
        </w:rPr>
        <w:t xml:space="preserve">ue to </w:t>
      </w:r>
      <w:r w:rsidR="0075669B">
        <w:rPr>
          <w:rFonts w:ascii="Times New Roman" w:hAnsi="Times New Roman"/>
          <w:sz w:val="24"/>
          <w:szCs w:val="24"/>
        </w:rPr>
        <w:t xml:space="preserve">limited </w:t>
      </w:r>
      <w:r>
        <w:rPr>
          <w:rFonts w:ascii="Times New Roman" w:hAnsi="Times New Roman"/>
          <w:sz w:val="24"/>
          <w:szCs w:val="24"/>
        </w:rPr>
        <w:t xml:space="preserve">staff capacity and lack of financial resources, </w:t>
      </w:r>
      <w:r w:rsidR="00A40FFC">
        <w:rPr>
          <w:rFonts w:ascii="Times New Roman" w:hAnsi="Times New Roman"/>
          <w:sz w:val="24"/>
          <w:szCs w:val="24"/>
        </w:rPr>
        <w:t xml:space="preserve">the </w:t>
      </w:r>
      <w:r w:rsidR="009655B4" w:rsidRPr="00F50A0C">
        <w:rPr>
          <w:rFonts w:ascii="Times New Roman" w:hAnsi="Times New Roman"/>
          <w:sz w:val="24"/>
          <w:szCs w:val="24"/>
        </w:rPr>
        <w:t>EIA</w:t>
      </w:r>
      <w:r w:rsidR="00742DCC">
        <w:rPr>
          <w:rFonts w:ascii="Times New Roman" w:hAnsi="Times New Roman"/>
          <w:sz w:val="24"/>
          <w:szCs w:val="24"/>
        </w:rPr>
        <w:t xml:space="preserve"> compliance level stands at 57%</w:t>
      </w:r>
      <w:r w:rsidR="0075669B">
        <w:rPr>
          <w:rFonts w:ascii="Times New Roman" w:hAnsi="Times New Roman"/>
          <w:sz w:val="24"/>
          <w:szCs w:val="24"/>
        </w:rPr>
        <w:t xml:space="preserve"> (NPC, 2015)</w:t>
      </w:r>
      <w:r w:rsidR="00742DCC">
        <w:rPr>
          <w:rFonts w:ascii="Times New Roman" w:hAnsi="Times New Roman"/>
          <w:sz w:val="24"/>
          <w:szCs w:val="24"/>
        </w:rPr>
        <w:t xml:space="preserve">. </w:t>
      </w:r>
      <w:r w:rsidR="00181E99">
        <w:rPr>
          <w:rFonts w:ascii="Times New Roman" w:hAnsi="Times New Roman"/>
          <w:sz w:val="24"/>
          <w:szCs w:val="24"/>
        </w:rPr>
        <w:t>Intervi</w:t>
      </w:r>
      <w:r w:rsidR="00B42FD6">
        <w:rPr>
          <w:rFonts w:ascii="Times New Roman" w:hAnsi="Times New Roman"/>
          <w:sz w:val="24"/>
          <w:szCs w:val="24"/>
        </w:rPr>
        <w:t>e</w:t>
      </w:r>
      <w:r w:rsidR="00181E99">
        <w:rPr>
          <w:rFonts w:ascii="Times New Roman" w:hAnsi="Times New Roman"/>
          <w:sz w:val="24"/>
          <w:szCs w:val="24"/>
        </w:rPr>
        <w:t>wees also indicated that</w:t>
      </w:r>
      <w:r w:rsidR="0075669B">
        <w:rPr>
          <w:rFonts w:ascii="Times New Roman" w:hAnsi="Times New Roman"/>
          <w:sz w:val="24"/>
          <w:szCs w:val="24"/>
        </w:rPr>
        <w:t xml:space="preserve"> EIA</w:t>
      </w:r>
      <w:r w:rsidR="009655B4">
        <w:rPr>
          <w:rFonts w:ascii="Times New Roman" w:hAnsi="Times New Roman"/>
          <w:sz w:val="24"/>
          <w:szCs w:val="24"/>
        </w:rPr>
        <w:t xml:space="preserve"> </w:t>
      </w:r>
      <w:r w:rsidR="00F50A0C">
        <w:rPr>
          <w:rFonts w:ascii="Times New Roman" w:hAnsi="Times New Roman"/>
          <w:sz w:val="24"/>
          <w:szCs w:val="24"/>
        </w:rPr>
        <w:t xml:space="preserve">experts in Namibia </w:t>
      </w:r>
      <w:r w:rsidR="00287A0B">
        <w:rPr>
          <w:rFonts w:ascii="Times New Roman" w:hAnsi="Times New Roman"/>
          <w:sz w:val="24"/>
          <w:szCs w:val="24"/>
        </w:rPr>
        <w:t xml:space="preserve">are </w:t>
      </w:r>
      <w:r w:rsidR="00742DCC">
        <w:rPr>
          <w:rFonts w:ascii="Times New Roman" w:hAnsi="Times New Roman"/>
          <w:sz w:val="24"/>
          <w:szCs w:val="24"/>
        </w:rPr>
        <w:t>not</w:t>
      </w:r>
      <w:r w:rsidR="00287A0B">
        <w:rPr>
          <w:rFonts w:ascii="Times New Roman" w:hAnsi="Times New Roman"/>
          <w:sz w:val="24"/>
          <w:szCs w:val="24"/>
        </w:rPr>
        <w:t xml:space="preserve"> registere</w:t>
      </w:r>
      <w:r w:rsidR="00C06B40">
        <w:rPr>
          <w:rFonts w:ascii="Times New Roman" w:hAnsi="Times New Roman"/>
          <w:sz w:val="24"/>
          <w:szCs w:val="24"/>
        </w:rPr>
        <w:t>d or certified to undertake EIA</w:t>
      </w:r>
      <w:r w:rsidR="00DD76AE">
        <w:rPr>
          <w:rFonts w:ascii="Times New Roman" w:hAnsi="Times New Roman"/>
          <w:sz w:val="24"/>
          <w:szCs w:val="24"/>
        </w:rPr>
        <w:t xml:space="preserve">. Limited human resources in EIA </w:t>
      </w:r>
      <w:r w:rsidR="0075669B">
        <w:rPr>
          <w:rFonts w:ascii="Times New Roman" w:hAnsi="Times New Roman"/>
          <w:sz w:val="24"/>
          <w:szCs w:val="24"/>
        </w:rPr>
        <w:t>is a common phenomenon and has been reported</w:t>
      </w:r>
      <w:r w:rsidR="00746A48">
        <w:rPr>
          <w:rFonts w:ascii="Times New Roman" w:hAnsi="Times New Roman"/>
          <w:sz w:val="24"/>
          <w:szCs w:val="24"/>
        </w:rPr>
        <w:t xml:space="preserve"> in </w:t>
      </w:r>
      <w:r w:rsidR="009B7E24">
        <w:rPr>
          <w:rFonts w:ascii="Times New Roman" w:hAnsi="Times New Roman"/>
          <w:sz w:val="24"/>
          <w:szCs w:val="24"/>
        </w:rPr>
        <w:t>low and middle</w:t>
      </w:r>
      <w:r w:rsidR="00A40FFC">
        <w:rPr>
          <w:rFonts w:ascii="Times New Roman" w:hAnsi="Times New Roman"/>
          <w:sz w:val="24"/>
          <w:szCs w:val="24"/>
        </w:rPr>
        <w:t>-</w:t>
      </w:r>
      <w:r w:rsidR="009B7E24">
        <w:rPr>
          <w:rFonts w:ascii="Times New Roman" w:hAnsi="Times New Roman"/>
          <w:sz w:val="24"/>
          <w:szCs w:val="24"/>
        </w:rPr>
        <w:t xml:space="preserve">income countries (Kolhoff et al., 2018). </w:t>
      </w:r>
    </w:p>
    <w:p w:rsidR="007D227E" w:rsidRDefault="007D227E" w:rsidP="00504A20">
      <w:pPr>
        <w:autoSpaceDE w:val="0"/>
        <w:autoSpaceDN w:val="0"/>
        <w:adjustRightInd w:val="0"/>
        <w:spacing w:after="0" w:line="360" w:lineRule="auto"/>
        <w:jc w:val="both"/>
        <w:rPr>
          <w:rFonts w:ascii="Times New Roman" w:hAnsi="Times New Roman"/>
          <w:sz w:val="24"/>
          <w:szCs w:val="24"/>
        </w:rPr>
      </w:pPr>
    </w:p>
    <w:p w:rsidR="00DF3591" w:rsidRDefault="00DF3591" w:rsidP="00504A20">
      <w:pPr>
        <w:autoSpaceDE w:val="0"/>
        <w:autoSpaceDN w:val="0"/>
        <w:adjustRightInd w:val="0"/>
        <w:spacing w:after="0" w:line="360" w:lineRule="auto"/>
        <w:jc w:val="both"/>
        <w:rPr>
          <w:rFonts w:ascii="Times New Roman" w:hAnsi="Times New Roman"/>
          <w:sz w:val="24"/>
          <w:szCs w:val="24"/>
        </w:rPr>
      </w:pPr>
    </w:p>
    <w:p w:rsidR="00DF3591" w:rsidRDefault="00DF3591" w:rsidP="00504A20">
      <w:pPr>
        <w:autoSpaceDE w:val="0"/>
        <w:autoSpaceDN w:val="0"/>
        <w:adjustRightInd w:val="0"/>
        <w:spacing w:after="0" w:line="360" w:lineRule="auto"/>
        <w:jc w:val="both"/>
        <w:rPr>
          <w:rFonts w:ascii="Times New Roman" w:hAnsi="Times New Roman"/>
          <w:sz w:val="24"/>
          <w:szCs w:val="24"/>
        </w:rPr>
      </w:pPr>
    </w:p>
    <w:p w:rsidR="00C06B40" w:rsidRPr="00563CA5" w:rsidRDefault="006B01F0" w:rsidP="00C710EA">
      <w:pPr>
        <w:pStyle w:val="ListParagraph"/>
        <w:numPr>
          <w:ilvl w:val="1"/>
          <w:numId w:val="17"/>
        </w:numPr>
        <w:autoSpaceDE w:val="0"/>
        <w:autoSpaceDN w:val="0"/>
        <w:adjustRightInd w:val="0"/>
        <w:spacing w:line="360" w:lineRule="auto"/>
        <w:jc w:val="both"/>
        <w:rPr>
          <w:rFonts w:ascii="Times New Roman" w:hAnsi="Times New Roman"/>
          <w:i/>
          <w:sz w:val="24"/>
          <w:szCs w:val="24"/>
        </w:rPr>
      </w:pPr>
      <w:r w:rsidRPr="00563CA5">
        <w:rPr>
          <w:rFonts w:ascii="Times New Roman" w:hAnsi="Times New Roman"/>
          <w:i/>
          <w:sz w:val="24"/>
          <w:szCs w:val="24"/>
        </w:rPr>
        <w:lastRenderedPageBreak/>
        <w:t>Inappropriate public participation methods</w:t>
      </w:r>
    </w:p>
    <w:p w:rsidR="004913EF" w:rsidRDefault="006B01F0" w:rsidP="007B0FDB">
      <w:pPr>
        <w:spacing w:line="360" w:lineRule="auto"/>
        <w:jc w:val="both"/>
        <w:rPr>
          <w:rFonts w:ascii="Times New Roman" w:hAnsi="Times New Roman"/>
          <w:sz w:val="24"/>
          <w:szCs w:val="24"/>
        </w:rPr>
      </w:pPr>
      <w:r w:rsidRPr="00504A20">
        <w:rPr>
          <w:rFonts w:ascii="Times New Roman" w:hAnsi="Times New Roman"/>
          <w:sz w:val="24"/>
          <w:szCs w:val="24"/>
        </w:rPr>
        <w:t>Public participation</w:t>
      </w:r>
      <w:r w:rsidRPr="0071233F">
        <w:rPr>
          <w:rFonts w:ascii="Times New Roman" w:hAnsi="Times New Roman"/>
          <w:sz w:val="24"/>
          <w:szCs w:val="24"/>
        </w:rPr>
        <w:t xml:space="preserve"> </w:t>
      </w:r>
      <w:r w:rsidR="00C06B40">
        <w:rPr>
          <w:rFonts w:ascii="Times New Roman" w:hAnsi="Times New Roman"/>
          <w:sz w:val="24"/>
          <w:szCs w:val="24"/>
        </w:rPr>
        <w:t xml:space="preserve">is mandatory in the EIA process, but the </w:t>
      </w:r>
      <w:r w:rsidRPr="0071233F">
        <w:rPr>
          <w:rFonts w:ascii="Times New Roman" w:hAnsi="Times New Roman"/>
          <w:sz w:val="24"/>
          <w:szCs w:val="24"/>
        </w:rPr>
        <w:t xml:space="preserve">consultation process is weak due to implementation </w:t>
      </w:r>
      <w:r w:rsidR="007455F8">
        <w:rPr>
          <w:rFonts w:ascii="Times New Roman" w:hAnsi="Times New Roman"/>
          <w:sz w:val="24"/>
          <w:szCs w:val="24"/>
        </w:rPr>
        <w:t>problems</w:t>
      </w:r>
      <w:r w:rsidRPr="0071233F">
        <w:rPr>
          <w:rFonts w:ascii="Times New Roman" w:hAnsi="Times New Roman"/>
          <w:sz w:val="24"/>
          <w:szCs w:val="24"/>
        </w:rPr>
        <w:t xml:space="preserve">. </w:t>
      </w:r>
      <w:r w:rsidR="00711DE7">
        <w:rPr>
          <w:rFonts w:ascii="Times New Roman" w:hAnsi="Times New Roman"/>
          <w:sz w:val="24"/>
          <w:szCs w:val="24"/>
        </w:rPr>
        <w:t>While the regulations direct that p</w:t>
      </w:r>
      <w:r w:rsidR="00C06B40">
        <w:rPr>
          <w:rFonts w:ascii="Times New Roman" w:hAnsi="Times New Roman"/>
          <w:sz w:val="24"/>
          <w:szCs w:val="24"/>
        </w:rPr>
        <w:t xml:space="preserve">ublic </w:t>
      </w:r>
      <w:r w:rsidRPr="0071233F">
        <w:rPr>
          <w:rFonts w:ascii="Times New Roman" w:hAnsi="Times New Roman"/>
          <w:sz w:val="24"/>
          <w:szCs w:val="24"/>
        </w:rPr>
        <w:t xml:space="preserve">meetings </w:t>
      </w:r>
      <w:r w:rsidR="00711DE7">
        <w:rPr>
          <w:rFonts w:ascii="Times New Roman" w:hAnsi="Times New Roman"/>
          <w:sz w:val="24"/>
          <w:szCs w:val="24"/>
        </w:rPr>
        <w:t>should be</w:t>
      </w:r>
      <w:r w:rsidR="00C06B40">
        <w:rPr>
          <w:rFonts w:ascii="Times New Roman" w:hAnsi="Times New Roman"/>
          <w:sz w:val="24"/>
          <w:szCs w:val="24"/>
        </w:rPr>
        <w:t xml:space="preserve"> advertised in </w:t>
      </w:r>
      <w:r w:rsidR="00C06B40" w:rsidRPr="0071233F">
        <w:rPr>
          <w:rFonts w:ascii="Times New Roman" w:hAnsi="Times New Roman"/>
          <w:sz w:val="24"/>
          <w:szCs w:val="24"/>
        </w:rPr>
        <w:t>daily</w:t>
      </w:r>
      <w:r w:rsidR="00711DE7">
        <w:rPr>
          <w:rFonts w:ascii="Times New Roman" w:hAnsi="Times New Roman"/>
          <w:sz w:val="24"/>
          <w:szCs w:val="24"/>
        </w:rPr>
        <w:t xml:space="preserve"> newspapers, o</w:t>
      </w:r>
      <w:r w:rsidRPr="0071233F">
        <w:rPr>
          <w:rFonts w:ascii="Times New Roman" w:hAnsi="Times New Roman"/>
          <w:sz w:val="24"/>
          <w:szCs w:val="24"/>
        </w:rPr>
        <w:t>nly 8.9% of the Namibia population has access to daily newspapers</w:t>
      </w:r>
      <w:r w:rsidR="009B10FA">
        <w:rPr>
          <w:rFonts w:ascii="Times New Roman" w:hAnsi="Times New Roman"/>
          <w:sz w:val="24"/>
          <w:szCs w:val="24"/>
        </w:rPr>
        <w:t xml:space="preserve"> </w:t>
      </w:r>
      <w:r w:rsidR="009B10FA" w:rsidRPr="009B10FA">
        <w:rPr>
          <w:rFonts w:ascii="Times New Roman" w:hAnsi="Times New Roman"/>
          <w:sz w:val="24"/>
          <w:szCs w:val="24"/>
        </w:rPr>
        <w:t>(FES &amp; MISA Namibia, 2015)</w:t>
      </w:r>
      <w:r w:rsidR="00711DE7" w:rsidRPr="009B10FA">
        <w:rPr>
          <w:rFonts w:ascii="Times New Roman" w:hAnsi="Times New Roman"/>
          <w:sz w:val="24"/>
          <w:szCs w:val="24"/>
        </w:rPr>
        <w:t>.</w:t>
      </w:r>
      <w:r w:rsidR="00711DE7">
        <w:rPr>
          <w:rFonts w:ascii="Times New Roman" w:hAnsi="Times New Roman"/>
          <w:sz w:val="24"/>
          <w:szCs w:val="24"/>
        </w:rPr>
        <w:t xml:space="preserve"> Another </w:t>
      </w:r>
      <w:r w:rsidR="006A4A60">
        <w:rPr>
          <w:rFonts w:ascii="Times New Roman" w:hAnsi="Times New Roman"/>
          <w:sz w:val="24"/>
          <w:szCs w:val="24"/>
        </w:rPr>
        <w:t xml:space="preserve">weakness </w:t>
      </w:r>
      <w:r w:rsidR="00711DE7">
        <w:rPr>
          <w:rFonts w:ascii="Times New Roman" w:hAnsi="Times New Roman"/>
          <w:sz w:val="24"/>
          <w:szCs w:val="24"/>
        </w:rPr>
        <w:t xml:space="preserve">is that proponents require the public to register as </w:t>
      </w:r>
      <w:r w:rsidR="00B14B5C">
        <w:rPr>
          <w:rFonts w:ascii="Times New Roman" w:hAnsi="Times New Roman"/>
          <w:sz w:val="24"/>
          <w:szCs w:val="24"/>
        </w:rPr>
        <w:t>IAP</w:t>
      </w:r>
      <w:r w:rsidR="00711DE7">
        <w:rPr>
          <w:rFonts w:ascii="Times New Roman" w:hAnsi="Times New Roman"/>
          <w:sz w:val="24"/>
          <w:szCs w:val="24"/>
        </w:rPr>
        <w:t xml:space="preserve"> and to provide comments via email. </w:t>
      </w:r>
      <w:r w:rsidR="006A4A60">
        <w:rPr>
          <w:rFonts w:ascii="Times New Roman" w:hAnsi="Times New Roman"/>
          <w:sz w:val="24"/>
          <w:szCs w:val="24"/>
        </w:rPr>
        <w:t xml:space="preserve">The latest </w:t>
      </w:r>
      <w:r w:rsidR="00BB55B6">
        <w:rPr>
          <w:rFonts w:ascii="Times New Roman" w:hAnsi="Times New Roman"/>
          <w:sz w:val="24"/>
          <w:szCs w:val="24"/>
        </w:rPr>
        <w:t xml:space="preserve">data show that only 51% of the Namibia population has </w:t>
      </w:r>
      <w:r w:rsidR="007455F8">
        <w:rPr>
          <w:rFonts w:ascii="Times New Roman" w:hAnsi="Times New Roman"/>
          <w:sz w:val="24"/>
          <w:szCs w:val="24"/>
        </w:rPr>
        <w:t xml:space="preserve">daily </w:t>
      </w:r>
      <w:r w:rsidR="00BB55B6">
        <w:rPr>
          <w:rFonts w:ascii="Times New Roman" w:hAnsi="Times New Roman"/>
          <w:sz w:val="24"/>
          <w:szCs w:val="24"/>
        </w:rPr>
        <w:t xml:space="preserve">access to the internet (Bahia &amp; Suardi, 2019). </w:t>
      </w:r>
      <w:r w:rsidR="007455F8">
        <w:rPr>
          <w:rFonts w:ascii="Times New Roman" w:hAnsi="Times New Roman"/>
          <w:sz w:val="24"/>
          <w:szCs w:val="24"/>
        </w:rPr>
        <w:t>Given this</w:t>
      </w:r>
      <w:r w:rsidR="00711DE7">
        <w:rPr>
          <w:rFonts w:ascii="Times New Roman" w:hAnsi="Times New Roman"/>
          <w:sz w:val="24"/>
          <w:szCs w:val="24"/>
        </w:rPr>
        <w:t xml:space="preserve"> context, </w:t>
      </w:r>
      <w:r w:rsidR="006A4A60">
        <w:rPr>
          <w:rFonts w:ascii="Times New Roman" w:hAnsi="Times New Roman"/>
          <w:sz w:val="24"/>
          <w:szCs w:val="24"/>
        </w:rPr>
        <w:t xml:space="preserve">email and other </w:t>
      </w:r>
      <w:r w:rsidRPr="0071233F">
        <w:rPr>
          <w:rFonts w:ascii="Times New Roman" w:hAnsi="Times New Roman"/>
          <w:sz w:val="24"/>
          <w:szCs w:val="24"/>
        </w:rPr>
        <w:t>electronic communications are unsuitable and can weaken community involvement</w:t>
      </w:r>
      <w:r w:rsidR="00711DE7">
        <w:rPr>
          <w:rFonts w:ascii="Times New Roman" w:hAnsi="Times New Roman"/>
          <w:sz w:val="24"/>
          <w:szCs w:val="24"/>
        </w:rPr>
        <w:t xml:space="preserve"> in the EIA process</w:t>
      </w:r>
      <w:r w:rsidRPr="0071233F">
        <w:rPr>
          <w:rFonts w:ascii="Times New Roman" w:hAnsi="Times New Roman"/>
          <w:sz w:val="24"/>
          <w:szCs w:val="24"/>
        </w:rPr>
        <w:t>.</w:t>
      </w:r>
      <w:r w:rsidR="007455F8">
        <w:rPr>
          <w:rFonts w:ascii="Times New Roman" w:hAnsi="Times New Roman"/>
          <w:sz w:val="24"/>
          <w:szCs w:val="24"/>
        </w:rPr>
        <w:t xml:space="preserve"> R</w:t>
      </w:r>
      <w:r w:rsidR="008453BD" w:rsidRPr="0071233F">
        <w:rPr>
          <w:rFonts w:ascii="Times New Roman" w:hAnsi="Times New Roman"/>
          <w:sz w:val="24"/>
          <w:szCs w:val="24"/>
        </w:rPr>
        <w:t>adio was suggested as a</w:t>
      </w:r>
      <w:r w:rsidR="00711DE7">
        <w:rPr>
          <w:rFonts w:ascii="Times New Roman" w:hAnsi="Times New Roman"/>
          <w:sz w:val="24"/>
          <w:szCs w:val="24"/>
        </w:rPr>
        <w:t>n</w:t>
      </w:r>
      <w:r w:rsidR="008453BD" w:rsidRPr="0071233F">
        <w:rPr>
          <w:rFonts w:ascii="Times New Roman" w:hAnsi="Times New Roman"/>
          <w:sz w:val="24"/>
          <w:szCs w:val="24"/>
        </w:rPr>
        <w:t xml:space="preserve"> </w:t>
      </w:r>
      <w:r w:rsidR="00711DE7">
        <w:rPr>
          <w:rFonts w:ascii="Times New Roman" w:hAnsi="Times New Roman"/>
          <w:sz w:val="24"/>
          <w:szCs w:val="24"/>
        </w:rPr>
        <w:t>appropriate</w:t>
      </w:r>
      <w:r w:rsidR="008453BD" w:rsidRPr="0071233F">
        <w:rPr>
          <w:rFonts w:ascii="Times New Roman" w:hAnsi="Times New Roman"/>
          <w:sz w:val="24"/>
          <w:szCs w:val="24"/>
        </w:rPr>
        <w:t xml:space="preserve"> medi</w:t>
      </w:r>
      <w:r w:rsidR="006A4A60">
        <w:rPr>
          <w:rFonts w:ascii="Times New Roman" w:hAnsi="Times New Roman"/>
          <w:sz w:val="24"/>
          <w:szCs w:val="24"/>
        </w:rPr>
        <w:t>um</w:t>
      </w:r>
      <w:r w:rsidR="007455F8">
        <w:rPr>
          <w:rFonts w:ascii="Times New Roman" w:hAnsi="Times New Roman"/>
          <w:sz w:val="24"/>
          <w:szCs w:val="24"/>
        </w:rPr>
        <w:t xml:space="preserve"> for EIA communication</w:t>
      </w:r>
      <w:r w:rsidR="007E2C47" w:rsidRPr="0071233F">
        <w:rPr>
          <w:rFonts w:ascii="Times New Roman" w:hAnsi="Times New Roman"/>
          <w:sz w:val="24"/>
          <w:szCs w:val="24"/>
        </w:rPr>
        <w:t xml:space="preserve"> and information sharing. According to NPC (2015)</w:t>
      </w:r>
      <w:r w:rsidR="004B2ACC">
        <w:rPr>
          <w:rFonts w:ascii="Times New Roman" w:hAnsi="Times New Roman"/>
          <w:sz w:val="24"/>
          <w:szCs w:val="24"/>
        </w:rPr>
        <w:t>,</w:t>
      </w:r>
      <w:r w:rsidR="007E2C47" w:rsidRPr="0071233F">
        <w:rPr>
          <w:rFonts w:ascii="Times New Roman" w:hAnsi="Times New Roman"/>
          <w:sz w:val="24"/>
          <w:szCs w:val="24"/>
        </w:rPr>
        <w:t xml:space="preserve"> </w:t>
      </w:r>
      <w:r w:rsidR="007565D1" w:rsidRPr="0071233F">
        <w:rPr>
          <w:rFonts w:ascii="Times New Roman" w:hAnsi="Times New Roman"/>
          <w:sz w:val="24"/>
          <w:szCs w:val="24"/>
        </w:rPr>
        <w:t>69% of Namibian</w:t>
      </w:r>
      <w:r w:rsidR="00154278" w:rsidRPr="0071233F">
        <w:rPr>
          <w:rFonts w:ascii="Times New Roman" w:hAnsi="Times New Roman"/>
          <w:sz w:val="24"/>
          <w:szCs w:val="24"/>
        </w:rPr>
        <w:t>s have access to radio and the</w:t>
      </w:r>
      <w:r w:rsidR="00FF2E57">
        <w:rPr>
          <w:rFonts w:ascii="Times New Roman" w:hAnsi="Times New Roman"/>
          <w:sz w:val="24"/>
          <w:szCs w:val="24"/>
        </w:rPr>
        <w:t xml:space="preserve"> national broadcaster covers 10</w:t>
      </w:r>
      <w:r w:rsidR="00154278" w:rsidRPr="0071233F">
        <w:rPr>
          <w:rFonts w:ascii="Times New Roman" w:hAnsi="Times New Roman"/>
          <w:sz w:val="24"/>
          <w:szCs w:val="24"/>
        </w:rPr>
        <w:t xml:space="preserve"> languages on their radio stations. </w:t>
      </w:r>
      <w:r w:rsidR="007455F8">
        <w:rPr>
          <w:rFonts w:ascii="Times New Roman" w:hAnsi="Times New Roman"/>
          <w:sz w:val="24"/>
          <w:szCs w:val="24"/>
        </w:rPr>
        <w:t>Another important factor in public participation in the context of Namibia relates to cultural and traditional c</w:t>
      </w:r>
      <w:r w:rsidR="007B0FDB">
        <w:rPr>
          <w:rFonts w:ascii="Times New Roman" w:hAnsi="Times New Roman"/>
          <w:sz w:val="24"/>
          <w:szCs w:val="24"/>
        </w:rPr>
        <w:t>onsideration</w:t>
      </w:r>
      <w:r w:rsidR="007455F8">
        <w:rPr>
          <w:rFonts w:ascii="Times New Roman" w:hAnsi="Times New Roman"/>
          <w:sz w:val="24"/>
          <w:szCs w:val="24"/>
        </w:rPr>
        <w:t>s</w:t>
      </w:r>
      <w:r w:rsidR="0057741A">
        <w:rPr>
          <w:rFonts w:ascii="Times New Roman" w:hAnsi="Times New Roman"/>
          <w:sz w:val="24"/>
          <w:szCs w:val="24"/>
        </w:rPr>
        <w:t xml:space="preserve">. Environmental practitioners </w:t>
      </w:r>
      <w:r w:rsidR="007455F8">
        <w:rPr>
          <w:rFonts w:ascii="Times New Roman" w:hAnsi="Times New Roman"/>
          <w:sz w:val="24"/>
          <w:szCs w:val="24"/>
        </w:rPr>
        <w:t xml:space="preserve">undertaking public meetings need to be aware of the leadership hierarchies in the </w:t>
      </w:r>
      <w:r w:rsidR="0057741A">
        <w:rPr>
          <w:rFonts w:ascii="Times New Roman" w:hAnsi="Times New Roman"/>
          <w:sz w:val="24"/>
          <w:szCs w:val="24"/>
        </w:rPr>
        <w:t>traditional authorities</w:t>
      </w:r>
      <w:r w:rsidR="007455F8">
        <w:rPr>
          <w:rFonts w:ascii="Times New Roman" w:hAnsi="Times New Roman"/>
          <w:sz w:val="24"/>
          <w:szCs w:val="24"/>
        </w:rPr>
        <w:t xml:space="preserve"> and</w:t>
      </w:r>
      <w:r w:rsidR="0057741A">
        <w:rPr>
          <w:rFonts w:ascii="Times New Roman" w:hAnsi="Times New Roman"/>
          <w:sz w:val="24"/>
          <w:szCs w:val="24"/>
        </w:rPr>
        <w:t xml:space="preserve"> </w:t>
      </w:r>
      <w:r w:rsidR="007455F8">
        <w:rPr>
          <w:rFonts w:ascii="Times New Roman" w:hAnsi="Times New Roman"/>
          <w:sz w:val="24"/>
          <w:szCs w:val="24"/>
        </w:rPr>
        <w:t xml:space="preserve">to consider </w:t>
      </w:r>
      <w:r w:rsidR="0057741A">
        <w:rPr>
          <w:rFonts w:ascii="Times New Roman" w:hAnsi="Times New Roman"/>
          <w:sz w:val="24"/>
          <w:szCs w:val="24"/>
        </w:rPr>
        <w:t xml:space="preserve">gender </w:t>
      </w:r>
      <w:r w:rsidR="007455F8">
        <w:rPr>
          <w:rFonts w:ascii="Times New Roman" w:hAnsi="Times New Roman"/>
          <w:sz w:val="24"/>
          <w:szCs w:val="24"/>
        </w:rPr>
        <w:t xml:space="preserve">issues. Gender considerations include the </w:t>
      </w:r>
      <w:r w:rsidR="006648B8">
        <w:rPr>
          <w:rFonts w:ascii="Times New Roman" w:hAnsi="Times New Roman"/>
          <w:sz w:val="24"/>
          <w:szCs w:val="24"/>
        </w:rPr>
        <w:t>freedom</w:t>
      </w:r>
      <w:r w:rsidR="0057741A">
        <w:rPr>
          <w:rFonts w:ascii="Times New Roman" w:hAnsi="Times New Roman"/>
          <w:sz w:val="24"/>
          <w:szCs w:val="24"/>
        </w:rPr>
        <w:t xml:space="preserve"> of expression</w:t>
      </w:r>
      <w:r w:rsidR="00FC215A">
        <w:rPr>
          <w:rFonts w:ascii="Times New Roman" w:hAnsi="Times New Roman"/>
          <w:sz w:val="24"/>
          <w:szCs w:val="24"/>
        </w:rPr>
        <w:t xml:space="preserve"> </w:t>
      </w:r>
      <w:r w:rsidR="007455F8">
        <w:rPr>
          <w:rFonts w:ascii="Times New Roman" w:hAnsi="Times New Roman"/>
          <w:sz w:val="24"/>
          <w:szCs w:val="24"/>
        </w:rPr>
        <w:t>of women during meetings and</w:t>
      </w:r>
      <w:r w:rsidR="0057741A">
        <w:rPr>
          <w:rFonts w:ascii="Times New Roman" w:hAnsi="Times New Roman"/>
          <w:sz w:val="24"/>
          <w:szCs w:val="24"/>
        </w:rPr>
        <w:t xml:space="preserve"> dressing decency</w:t>
      </w:r>
      <w:r w:rsidR="0057741A" w:rsidRPr="007B5FE2">
        <w:rPr>
          <w:rFonts w:ascii="Times New Roman" w:hAnsi="Times New Roman"/>
          <w:sz w:val="24"/>
          <w:szCs w:val="24"/>
        </w:rPr>
        <w:t xml:space="preserve"> </w:t>
      </w:r>
      <w:r w:rsidR="0057741A">
        <w:rPr>
          <w:rFonts w:ascii="Times New Roman" w:hAnsi="Times New Roman"/>
          <w:sz w:val="24"/>
          <w:szCs w:val="24"/>
        </w:rPr>
        <w:t>for women in different cultural settings</w:t>
      </w:r>
      <w:r w:rsidR="007455F8">
        <w:rPr>
          <w:rFonts w:ascii="Times New Roman" w:hAnsi="Times New Roman"/>
          <w:sz w:val="24"/>
          <w:szCs w:val="24"/>
        </w:rPr>
        <w:t xml:space="preserve"> in Namibia</w:t>
      </w:r>
      <w:r w:rsidR="0057741A">
        <w:rPr>
          <w:rFonts w:ascii="Times New Roman" w:hAnsi="Times New Roman"/>
          <w:sz w:val="24"/>
          <w:szCs w:val="24"/>
        </w:rPr>
        <w:t xml:space="preserve">. A </w:t>
      </w:r>
      <w:r w:rsidR="0057741A" w:rsidRPr="0008213F">
        <w:rPr>
          <w:rFonts w:ascii="Times New Roman" w:hAnsi="Times New Roman"/>
          <w:sz w:val="24"/>
          <w:szCs w:val="24"/>
        </w:rPr>
        <w:t xml:space="preserve">report by </w:t>
      </w:r>
      <w:r w:rsidR="00406CA2">
        <w:rPr>
          <w:rFonts w:ascii="Times New Roman" w:hAnsi="Times New Roman"/>
          <w:sz w:val="24"/>
          <w:szCs w:val="24"/>
        </w:rPr>
        <w:t xml:space="preserve">the </w:t>
      </w:r>
      <w:r w:rsidR="009B10FA">
        <w:rPr>
          <w:rFonts w:ascii="Times New Roman" w:hAnsi="Times New Roman"/>
          <w:sz w:val="24"/>
          <w:szCs w:val="24"/>
        </w:rPr>
        <w:t>MISA Namibia</w:t>
      </w:r>
      <w:r w:rsidR="0057741A">
        <w:rPr>
          <w:rFonts w:ascii="Times New Roman" w:hAnsi="Times New Roman"/>
          <w:sz w:val="24"/>
          <w:szCs w:val="24"/>
        </w:rPr>
        <w:t xml:space="preserve"> (2015</w:t>
      </w:r>
      <w:r w:rsidR="0057741A" w:rsidRPr="0008213F">
        <w:rPr>
          <w:rFonts w:ascii="Times New Roman" w:hAnsi="Times New Roman"/>
          <w:sz w:val="24"/>
          <w:szCs w:val="24"/>
        </w:rPr>
        <w:t xml:space="preserve">) </w:t>
      </w:r>
      <w:r w:rsidR="0057741A">
        <w:rPr>
          <w:rFonts w:ascii="Times New Roman" w:hAnsi="Times New Roman"/>
          <w:sz w:val="24"/>
          <w:szCs w:val="24"/>
        </w:rPr>
        <w:t>confirms</w:t>
      </w:r>
      <w:r w:rsidR="0057741A" w:rsidRPr="0008213F">
        <w:rPr>
          <w:rFonts w:ascii="Times New Roman" w:hAnsi="Times New Roman"/>
          <w:sz w:val="24"/>
          <w:szCs w:val="24"/>
        </w:rPr>
        <w:t xml:space="preserve"> that freedom of expression in Namibia is restricted and is often exercised </w:t>
      </w:r>
      <w:r w:rsidR="007455F8">
        <w:rPr>
          <w:rFonts w:ascii="Times New Roman" w:hAnsi="Times New Roman"/>
          <w:sz w:val="24"/>
          <w:szCs w:val="24"/>
        </w:rPr>
        <w:t>based on</w:t>
      </w:r>
      <w:r w:rsidR="0057741A" w:rsidRPr="0008213F">
        <w:rPr>
          <w:rFonts w:ascii="Times New Roman" w:hAnsi="Times New Roman"/>
          <w:sz w:val="24"/>
          <w:szCs w:val="24"/>
        </w:rPr>
        <w:t xml:space="preserve"> traditional and cultural practices. </w:t>
      </w:r>
      <w:r>
        <w:rPr>
          <w:rFonts w:ascii="Times New Roman" w:hAnsi="Times New Roman"/>
          <w:sz w:val="24"/>
          <w:szCs w:val="24"/>
        </w:rPr>
        <w:t>The f</w:t>
      </w:r>
      <w:r w:rsidR="007455F8">
        <w:rPr>
          <w:rFonts w:ascii="Times New Roman" w:hAnsi="Times New Roman"/>
          <w:sz w:val="24"/>
          <w:szCs w:val="24"/>
        </w:rPr>
        <w:t>ull involvement of I</w:t>
      </w:r>
      <w:r w:rsidRPr="000F6F4E">
        <w:rPr>
          <w:rFonts w:ascii="Times New Roman" w:hAnsi="Times New Roman"/>
          <w:sz w:val="24"/>
          <w:szCs w:val="24"/>
        </w:rPr>
        <w:t xml:space="preserve">ndigenous people has been affirmed in the literature as a way to improve </w:t>
      </w:r>
      <w:r>
        <w:rPr>
          <w:rFonts w:ascii="Times New Roman" w:hAnsi="Times New Roman"/>
          <w:sz w:val="24"/>
          <w:szCs w:val="24"/>
        </w:rPr>
        <w:t xml:space="preserve">project acceptance and to enhance good </w:t>
      </w:r>
      <w:r w:rsidRPr="000F6F4E">
        <w:rPr>
          <w:rFonts w:ascii="Times New Roman" w:hAnsi="Times New Roman"/>
          <w:sz w:val="24"/>
          <w:szCs w:val="24"/>
        </w:rPr>
        <w:t>environmental management practices</w:t>
      </w:r>
      <w:r w:rsidR="007455F8">
        <w:rPr>
          <w:rFonts w:ascii="Times New Roman" w:hAnsi="Times New Roman"/>
          <w:sz w:val="24"/>
          <w:szCs w:val="24"/>
        </w:rPr>
        <w:t xml:space="preserve"> as well as being an important part of decision making within </w:t>
      </w:r>
      <w:r w:rsidR="00397A7C">
        <w:rPr>
          <w:rFonts w:ascii="Times New Roman" w:hAnsi="Times New Roman"/>
          <w:sz w:val="24"/>
          <w:szCs w:val="24"/>
        </w:rPr>
        <w:t xml:space="preserve">a </w:t>
      </w:r>
      <w:r w:rsidR="007455F8">
        <w:rPr>
          <w:rFonts w:ascii="Times New Roman" w:hAnsi="Times New Roman"/>
          <w:sz w:val="24"/>
          <w:szCs w:val="24"/>
        </w:rPr>
        <w:t xml:space="preserve">democratic society </w:t>
      </w:r>
      <w:r w:rsidR="007455F8">
        <w:rPr>
          <w:rFonts w:ascii="Times New Roman" w:hAnsi="Times New Roman"/>
          <w:sz w:val="24"/>
          <w:szCs w:val="24"/>
        </w:rPr>
        <w:fldChar w:fldCharType="begin" w:fldLock="1"/>
      </w:r>
      <w:r w:rsidR="007455F8">
        <w:rPr>
          <w:rFonts w:ascii="Times New Roman" w:hAnsi="Times New Roman"/>
          <w:sz w:val="24"/>
          <w:szCs w:val="24"/>
        </w:rPr>
        <w:instrText>ADDIN CSL_CITATION {"citationItems":[{"id":"ITEM-1","itemData":{"DOI":"10.1016/j.envsci.2019.10.006","ISSN":"1462-9011","author":[{"dropping-particle":"","family":"Boiral","given":"Olivier","non-dropping-particle":"","parse-names":false,"suffix":""},{"dropping-particle":"","family":"Heras-saizarbitoria","given":"Iñaki","non-dropping-particle":"","parse-names":false,"suffix":""},{"dropping-particle":"","family":"Brotherton","given":"Marie-christine","non-dropping-particle":"","parse-names":false,"suffix":""}],"container-title":"Environmental Science and Policy","id":"ITEM-1","issue":"June 2019","issued":{"date-parts":[["2020"]]},"page":"10-20","publisher":"Elsevier","title":"Improving environmental management through indigenous peoples ’ involvement","type":"article-journal","volume":"103"},"uris":["http://www.mendeley.com/documents/?uuid=a70c1856-13c9-4c64-97d8-6cf62119de61"]},{"id":"ITEM-2","itemData":{"DOI":"10.1080/14486563.2014.999726","ISSN":"14486563","abstract":"The Commonwealth Environment Protection and Biodiversity Conservation Act 1999 seeks to promote ecologically sustainable development (ESD), in part by espousing the principle that decision-making processes should effectively integrate both long-term and short-term economic, environmental, social and equitable considerations. Strategic assessments of proposals for major industrial developments constitute a key part of the act's machinery for pursuing this principle. The article considers the extent to which Strategic Assessments are effective in this regard, drawing on a case study, the Commonwealth - Western Australia Strategic Assessment of the proposed Kimberley Liquefied Natural Gas Precinct. It shows that while the early stages of the Strategic Assessment did reflect sustained efforts to adhere to ESD principles, as the Assessment proceeded, party political, bureaucratic and commercial pressures made it increasingly difficult to do so. Of particular importance was the impact of these factors on the time lines and processes applied to project approvals and the Strategic Assessment, which ultimately meant that critical ESD principles could not be achieved.","author":[{"dropping-particle":"","family":"O'Faircheallaigh","given":"Ciaran","non-dropping-particle":"","parse-names":false,"suffix":""}],"container-title":"Australasian Journal of Environmental Management","id":"ITEM-2","issue":"1","issued":{"date-parts":[["2015"]]},"page":"46-61","publisher":"Taylor &amp; Francis","title":"ESD and community participation: The Strategic Assessment of the proposed Kimberley LNG Precinct, 2007-2013","type":"article-journal","volume":"22"},"uris":["http://www.mendeley.com/documents/?uuid=b5372b92-bc28-405f-aaa7-a24792b1b978"]},{"id":"ITEM-3","itemData":{"DOI":"10.1016/j.jenvman.2013.11.057","ISSN":"03014797","PMID":"24632402","abstract":"The emphasis on participatory environmental management within international development has started to overcome critiques of traditional exclusionary environmental policy, aligning with shifts towards decentralisation and community empowerment. However, questions are raised regarding the extent to which participation in project design and implementation is meaningful and really engages communities in the process. Calls have been made for further local-level (project and community-scale) research to identify practices that can increase the likelihood of meaningful community engagement within externally initiated projects. This paper presents data from three community-based natural resource management (CBNRM) project case studies from southern Africa, which promote Joint Forest Management (JFM), tree planting for carbon and conservation agriculture. Data collection was carried out through semi-structured interviews with key stakeholders, community-level meetings, focus groups and interviews. We find that an important first step for a meaningful community engagement process is to define 'community' in an open and participatory manner. Two-way communication at all stages of the community engagement process is shown to be critical, and charismatic leadership based on mutual respect and clarity of roles and responsibilities is vital to improve the likelihood of participants developing understanding of project aims and philosophy. This can lead to successful project outcomes through community ownership of the project goals and empowerment in project implementation. Specific engagement methods are found to be less important than the contextual and environmental factors associated with each project, but consideration should be given to identifying appropriate methods to ensure community representation. Our findings extend current thinking on the evaluation of participation by making explicit links between the community engagement process and project outcomes, and by identifying further criteria that can be considered in process and outcome-based evaluations. We highlight good practices for future CBNRM projects which can be used by project designers and initiators to further the likelihood of successful project outcomes. © 2014.","author":[{"dropping-particle":"","family":"Dyer","given":"J.","non-dropping-particle":"","parse-names":false,"suffix":""},{"dropping-particle":"","family":"Stringer","given":"L. C.","non-dropping-particle":"","parse-names":false,"suffix":""},{"dropping-particle":"","family":"Dougill","given":"A. J.","non-dropping-particle":"","parse-names":false,"suffix":""},{"dropping-particle":"","family":"Leventon","given":"J.","non-dropping-particle":"","parse-names":false,"suffix":""},{"dropping-particle":"","family":"Nshimbi","given":"M.","non-dropping-particle":"","parse-names":false,"suffix":""},{"dropping-particle":"","family":"Chama","given":"F.","non-dropping-particle":"","parse-names":false,"suffix":""},{"dropping-particle":"","family":"Kafwifwi","given":"A.","non-dropping-particle":"","parse-names":false,"suffix":""},{"dropping-particle":"","family":"Muledi","given":"J. I.","non-dropping-particle":"","parse-names":false,"suffix":""},{"dropping-particle":"","family":"Kaumbu","given":"J. M.K.","non-dropping-particle":"","parse-names":false,"suffix":""},{"dropping-particle":"","family":"Falcao","given":"M.","non-dropping-particle":"","parse-names":false,"suffix":""},{"dropping-particle":"","family":"Muhorro","given":"S.","non-dropping-particle":"","parse-names":false,"suffix":""},{"dropping-particle":"","family":"Munyemba","given":"F.","non-dropping-particle":"","parse-names":false,"suffix":""},{"dropping-particle":"","family":"Kalaba","given":"G. M.","non-dropping-particle":"","parse-names":false,"suffix":""},{"dropping-particle":"","family":"Syampungani","given":"S.","non-dropping-particle":"","parse-names":false,"suffix":""}],"container-title":"Journal of Environmental Management","id":"ITEM-3","issued":{"date-parts":[["2014"]]},"page":"137-145","publisher":"Elsevier Ltd","title":"Assessing participatory practices in community-based natural resource management: Experiences in community engagement from southern Africa","type":"article-journal","volume":"137"},"uris":["http://www.mendeley.com/documents/?uuid=83b9daf8-096a-4bb4-82ad-fe3d4b4d3f94"]},{"id":"ITEM-4","itemData":{"DOI":"10.1080/14615517.2012.667238","ISBN":"1461-5517","ISSN":"14615517","abstract":"This paper explores policy action taken by the federal government in Canada to test the potential for substitution of the federal process to regulatory bodies as a means of encouraging environmental impact assessment (EIA) efficiency. Our purpose is to present the experiences of people who participated in the EIA of the Emera Brunswick Pipeline in order to gauge the impact of such process substitutions on meaningful public participation. Our approach included document reviews and a focus group session with some of the public participants in the Emera Pipeline hearings. We find that the National Energy Board hearing process substituted in the case did not meet many of the key requirements of meaningful participation and left some public participants feeling disrespected and marginalized.","author":[{"dropping-particle":"","family":"Sinclair","given":"A. John","non-dropping-particle":"","parse-names":false,"suffix":""},{"dropping-particle":"","family":"Schneider","given":"Gary","non-dropping-particle":"","parse-names":false,"suffix":""},{"dropping-particle":"","family":"Mitchell","given":"Lisa","non-dropping-particle":"","parse-names":false,"suffix":""}],"container-title":"Impact Assessment and Project Appraisal","id":"ITEM-4","issued":{"date-parts":[["2012"]]},"title":"Environmental impact assessment process substitution: Experiences of public participants","type":"article-journal"},"uris":["http://www.mendeley.com/documents/?uuid=86668db5-1c9a-33dc-a0b3-0025a6cc6322"]}],"mendeley":{"formattedCitation":"(Boiral et al., 2020; Dyer et al., 2014; O’Faircheallaigh, 2015; Sinclair et al., 2012)","plainTextFormattedCitation":"(Boiral et al., 2020; Dyer et al., 2014; O’Faircheallaigh, 2015; Sinclair et al., 2012)","previouslyFormattedCitation":"(Boiral et al., 2020; Dyer et al., 2014; O’Faircheallaigh, 2015; Sinclair et al., 2012)"},"properties":{"noteIndex":0},"schema":"https://github.com/citation-style-language/schema/raw/master/csl-citation.json"}</w:instrText>
      </w:r>
      <w:r w:rsidR="007455F8">
        <w:rPr>
          <w:rFonts w:ascii="Times New Roman" w:hAnsi="Times New Roman"/>
          <w:sz w:val="24"/>
          <w:szCs w:val="24"/>
        </w:rPr>
        <w:fldChar w:fldCharType="separate"/>
      </w:r>
      <w:r w:rsidR="007455F8" w:rsidRPr="008B4843">
        <w:rPr>
          <w:rFonts w:ascii="Times New Roman" w:hAnsi="Times New Roman"/>
          <w:noProof/>
          <w:sz w:val="24"/>
          <w:szCs w:val="24"/>
        </w:rPr>
        <w:t>(Boiral et al., 2020; O</w:t>
      </w:r>
      <w:r w:rsidR="007455F8">
        <w:rPr>
          <w:rFonts w:ascii="Times New Roman" w:hAnsi="Times New Roman"/>
          <w:noProof/>
          <w:sz w:val="24"/>
          <w:szCs w:val="24"/>
        </w:rPr>
        <w:t>’Faircheallaigh, 2015</w:t>
      </w:r>
      <w:r w:rsidR="007455F8" w:rsidRPr="008B4843">
        <w:rPr>
          <w:rFonts w:ascii="Times New Roman" w:hAnsi="Times New Roman"/>
          <w:noProof/>
          <w:sz w:val="24"/>
          <w:szCs w:val="24"/>
        </w:rPr>
        <w:t>)</w:t>
      </w:r>
      <w:r w:rsidR="007455F8">
        <w:rPr>
          <w:rFonts w:ascii="Times New Roman" w:hAnsi="Times New Roman"/>
          <w:sz w:val="24"/>
          <w:szCs w:val="24"/>
        </w:rPr>
        <w:fldChar w:fldCharType="end"/>
      </w:r>
      <w:r w:rsidR="00FD78ED">
        <w:rPr>
          <w:rFonts w:ascii="Times New Roman" w:hAnsi="Times New Roman"/>
          <w:sz w:val="24"/>
          <w:szCs w:val="24"/>
        </w:rPr>
        <w:t>.</w:t>
      </w:r>
    </w:p>
    <w:p w:rsidR="006A4A60" w:rsidRPr="000F6F4E" w:rsidRDefault="006A4A60" w:rsidP="00504A20">
      <w:pPr>
        <w:autoSpaceDE w:val="0"/>
        <w:autoSpaceDN w:val="0"/>
        <w:adjustRightInd w:val="0"/>
        <w:spacing w:after="0" w:line="360" w:lineRule="auto"/>
        <w:jc w:val="both"/>
        <w:rPr>
          <w:rFonts w:ascii="Times New Roman" w:hAnsi="Times New Roman"/>
          <w:sz w:val="24"/>
          <w:szCs w:val="24"/>
        </w:rPr>
      </w:pPr>
    </w:p>
    <w:p w:rsidR="00711DE7" w:rsidRPr="00FE61CD" w:rsidRDefault="006B01F0" w:rsidP="00C710EA">
      <w:pPr>
        <w:pStyle w:val="ListParagraph"/>
        <w:numPr>
          <w:ilvl w:val="1"/>
          <w:numId w:val="17"/>
        </w:numPr>
        <w:autoSpaceDE w:val="0"/>
        <w:autoSpaceDN w:val="0"/>
        <w:adjustRightInd w:val="0"/>
        <w:spacing w:after="0" w:line="360" w:lineRule="auto"/>
        <w:jc w:val="both"/>
        <w:rPr>
          <w:rFonts w:ascii="Times New Roman" w:hAnsi="Times New Roman"/>
          <w:sz w:val="24"/>
          <w:szCs w:val="24"/>
        </w:rPr>
      </w:pPr>
      <w:r w:rsidRPr="00563CA5">
        <w:rPr>
          <w:rFonts w:ascii="Times New Roman" w:hAnsi="Times New Roman"/>
          <w:i/>
          <w:sz w:val="24"/>
          <w:szCs w:val="24"/>
        </w:rPr>
        <w:t>Weak review and decision making approach</w:t>
      </w:r>
    </w:p>
    <w:p w:rsidR="00A17C62" w:rsidRDefault="006B01F0" w:rsidP="00563CA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The office of the</w:t>
      </w:r>
      <w:r w:rsidR="00FE61CD">
        <w:rPr>
          <w:rFonts w:ascii="Times New Roman" w:hAnsi="Times New Roman"/>
          <w:sz w:val="24"/>
          <w:szCs w:val="24"/>
        </w:rPr>
        <w:t xml:space="preserve"> </w:t>
      </w:r>
      <w:r>
        <w:rPr>
          <w:rFonts w:ascii="Times New Roman" w:hAnsi="Times New Roman"/>
          <w:sz w:val="24"/>
          <w:szCs w:val="24"/>
        </w:rPr>
        <w:t>environmental commissioner undertake</w:t>
      </w:r>
      <w:r w:rsidR="00B4742F">
        <w:rPr>
          <w:rFonts w:ascii="Times New Roman" w:hAnsi="Times New Roman"/>
          <w:sz w:val="24"/>
          <w:szCs w:val="24"/>
        </w:rPr>
        <w:t>s</w:t>
      </w:r>
      <w:r w:rsidR="007455F8">
        <w:rPr>
          <w:rFonts w:ascii="Times New Roman" w:hAnsi="Times New Roman"/>
          <w:sz w:val="24"/>
          <w:szCs w:val="24"/>
        </w:rPr>
        <w:t xml:space="preserve"> in-house review. T</w:t>
      </w:r>
      <w:r>
        <w:rPr>
          <w:rFonts w:ascii="Times New Roman" w:hAnsi="Times New Roman"/>
          <w:sz w:val="24"/>
          <w:szCs w:val="24"/>
        </w:rPr>
        <w:t xml:space="preserve">he </w:t>
      </w:r>
      <w:r w:rsidR="009953C2">
        <w:rPr>
          <w:rFonts w:ascii="Times New Roman" w:hAnsi="Times New Roman"/>
          <w:sz w:val="24"/>
          <w:szCs w:val="24"/>
        </w:rPr>
        <w:t>e</w:t>
      </w:r>
      <w:r w:rsidR="00746A48">
        <w:rPr>
          <w:rFonts w:ascii="Times New Roman" w:hAnsi="Times New Roman"/>
          <w:sz w:val="24"/>
          <w:szCs w:val="24"/>
        </w:rPr>
        <w:t xml:space="preserve">nvironmental </w:t>
      </w:r>
      <w:r w:rsidR="007D0A83">
        <w:rPr>
          <w:rFonts w:ascii="Times New Roman" w:hAnsi="Times New Roman"/>
          <w:sz w:val="24"/>
          <w:szCs w:val="24"/>
        </w:rPr>
        <w:t>commissioner</w:t>
      </w:r>
      <w:r>
        <w:rPr>
          <w:rFonts w:ascii="Times New Roman" w:hAnsi="Times New Roman"/>
          <w:sz w:val="24"/>
          <w:szCs w:val="24"/>
        </w:rPr>
        <w:t xml:space="preserve"> </w:t>
      </w:r>
      <w:r w:rsidR="007455F8">
        <w:rPr>
          <w:rFonts w:ascii="Times New Roman" w:hAnsi="Times New Roman"/>
          <w:sz w:val="24"/>
          <w:szCs w:val="24"/>
        </w:rPr>
        <w:t>alone</w:t>
      </w:r>
      <w:r>
        <w:rPr>
          <w:rFonts w:ascii="Times New Roman" w:hAnsi="Times New Roman"/>
          <w:sz w:val="24"/>
          <w:szCs w:val="24"/>
        </w:rPr>
        <w:t xml:space="preserve"> makes decision</w:t>
      </w:r>
      <w:r w:rsidR="00B4742F">
        <w:rPr>
          <w:rFonts w:ascii="Times New Roman" w:hAnsi="Times New Roman"/>
          <w:sz w:val="24"/>
          <w:szCs w:val="24"/>
        </w:rPr>
        <w:t>s</w:t>
      </w:r>
      <w:r>
        <w:rPr>
          <w:rFonts w:ascii="Times New Roman" w:hAnsi="Times New Roman"/>
          <w:sz w:val="24"/>
          <w:szCs w:val="24"/>
        </w:rPr>
        <w:t xml:space="preserve"> </w:t>
      </w:r>
      <w:r w:rsidR="00B4742F">
        <w:rPr>
          <w:rFonts w:ascii="Times New Roman" w:hAnsi="Times New Roman"/>
          <w:sz w:val="24"/>
          <w:szCs w:val="24"/>
        </w:rPr>
        <w:t xml:space="preserve">on </w:t>
      </w:r>
      <w:r w:rsidR="007455F8">
        <w:rPr>
          <w:rFonts w:ascii="Times New Roman" w:hAnsi="Times New Roman"/>
          <w:sz w:val="24"/>
          <w:szCs w:val="24"/>
        </w:rPr>
        <w:t>all EIA applications. No review or decision making committee exist</w:t>
      </w:r>
      <w:r w:rsidR="00397A7C">
        <w:rPr>
          <w:rFonts w:ascii="Times New Roman" w:hAnsi="Times New Roman"/>
          <w:sz w:val="24"/>
          <w:szCs w:val="24"/>
        </w:rPr>
        <w:t>s</w:t>
      </w:r>
      <w:r w:rsidR="007455F8">
        <w:rPr>
          <w:rFonts w:ascii="Times New Roman" w:hAnsi="Times New Roman"/>
          <w:sz w:val="24"/>
          <w:szCs w:val="24"/>
        </w:rPr>
        <w:t xml:space="preserve"> in Namibia.</w:t>
      </w:r>
      <w:r>
        <w:rPr>
          <w:rFonts w:ascii="Times New Roman" w:hAnsi="Times New Roman"/>
          <w:sz w:val="24"/>
          <w:szCs w:val="24"/>
        </w:rPr>
        <w:t xml:space="preserve"> This approach </w:t>
      </w:r>
      <w:r w:rsidR="006648B8">
        <w:rPr>
          <w:rFonts w:ascii="Times New Roman" w:hAnsi="Times New Roman"/>
          <w:sz w:val="24"/>
          <w:szCs w:val="24"/>
        </w:rPr>
        <w:t xml:space="preserve">is </w:t>
      </w:r>
      <w:r w:rsidR="007455F8">
        <w:rPr>
          <w:rFonts w:ascii="Times New Roman" w:hAnsi="Times New Roman"/>
          <w:sz w:val="24"/>
          <w:szCs w:val="24"/>
        </w:rPr>
        <w:t>problematic and is criticized</w:t>
      </w:r>
      <w:r>
        <w:rPr>
          <w:rFonts w:ascii="Times New Roman" w:hAnsi="Times New Roman"/>
          <w:sz w:val="24"/>
          <w:szCs w:val="24"/>
        </w:rPr>
        <w:t xml:space="preserve"> </w:t>
      </w:r>
      <w:r w:rsidR="007455F8">
        <w:rPr>
          <w:rFonts w:ascii="Times New Roman" w:hAnsi="Times New Roman"/>
          <w:sz w:val="24"/>
          <w:szCs w:val="24"/>
        </w:rPr>
        <w:t>for its</w:t>
      </w:r>
      <w:r w:rsidR="006648B8">
        <w:rPr>
          <w:rFonts w:ascii="Times New Roman" w:hAnsi="Times New Roman"/>
          <w:sz w:val="24"/>
          <w:szCs w:val="24"/>
        </w:rPr>
        <w:t xml:space="preserve"> </w:t>
      </w:r>
      <w:r>
        <w:rPr>
          <w:rFonts w:ascii="Times New Roman" w:hAnsi="Times New Roman"/>
          <w:sz w:val="24"/>
          <w:szCs w:val="24"/>
        </w:rPr>
        <w:t>lack</w:t>
      </w:r>
      <w:r w:rsidR="007455F8">
        <w:rPr>
          <w:rFonts w:ascii="Times New Roman" w:hAnsi="Times New Roman"/>
          <w:sz w:val="24"/>
          <w:szCs w:val="24"/>
        </w:rPr>
        <w:t xml:space="preserve"> of </w:t>
      </w:r>
      <w:r>
        <w:rPr>
          <w:rFonts w:ascii="Times New Roman" w:hAnsi="Times New Roman"/>
          <w:sz w:val="24"/>
          <w:szCs w:val="24"/>
        </w:rPr>
        <w:t xml:space="preserve">transparency </w:t>
      </w:r>
      <w:r w:rsidR="007455F8">
        <w:rPr>
          <w:rFonts w:ascii="Times New Roman" w:hAnsi="Times New Roman"/>
          <w:sz w:val="24"/>
          <w:szCs w:val="24"/>
        </w:rPr>
        <w:t xml:space="preserve">and accountability, alongside possible political influence, bribery and corruption. </w:t>
      </w:r>
      <w:r w:rsidR="00086C89" w:rsidRPr="00086C89">
        <w:rPr>
          <w:rFonts w:ascii="Times New Roman" w:hAnsi="Times New Roman"/>
          <w:sz w:val="24"/>
          <w:szCs w:val="24"/>
        </w:rPr>
        <w:t>Many countries</w:t>
      </w:r>
      <w:r w:rsidR="007455F8">
        <w:rPr>
          <w:rFonts w:ascii="Times New Roman" w:hAnsi="Times New Roman"/>
          <w:sz w:val="24"/>
          <w:szCs w:val="24"/>
        </w:rPr>
        <w:t xml:space="preserve"> have established review mechanisms from which Namibia could learn useful lessons. For example, in India, a review committee of independent experts is appointed </w:t>
      </w:r>
      <w:r w:rsidR="006648B8" w:rsidRPr="00504A20">
        <w:rPr>
          <w:rFonts w:ascii="Times New Roman" w:hAnsi="Times New Roman"/>
          <w:sz w:val="24"/>
          <w:szCs w:val="24"/>
        </w:rPr>
        <w:t>(</w:t>
      </w:r>
      <w:r w:rsidR="00746A48">
        <w:rPr>
          <w:rFonts w:ascii="Times New Roman" w:hAnsi="Times New Roman"/>
          <w:sz w:val="24"/>
          <w:szCs w:val="24"/>
        </w:rPr>
        <w:t>Rathi, 2017)</w:t>
      </w:r>
      <w:r w:rsidR="006648B8">
        <w:rPr>
          <w:rFonts w:ascii="Times New Roman" w:hAnsi="Times New Roman"/>
          <w:sz w:val="24"/>
          <w:szCs w:val="24"/>
        </w:rPr>
        <w:t>.</w:t>
      </w:r>
      <w:r w:rsidR="00746A48">
        <w:rPr>
          <w:rFonts w:ascii="Times New Roman" w:hAnsi="Times New Roman"/>
          <w:sz w:val="24"/>
          <w:szCs w:val="24"/>
        </w:rPr>
        <w:t xml:space="preserve"> </w:t>
      </w:r>
    </w:p>
    <w:p w:rsidR="00C275F9" w:rsidRPr="00563CA5" w:rsidRDefault="006B01F0" w:rsidP="00C710EA">
      <w:pPr>
        <w:pStyle w:val="ListParagraph"/>
        <w:numPr>
          <w:ilvl w:val="1"/>
          <w:numId w:val="17"/>
        </w:numPr>
        <w:spacing w:line="360" w:lineRule="auto"/>
        <w:jc w:val="both"/>
        <w:rPr>
          <w:rFonts w:ascii="Times New Roman" w:hAnsi="Times New Roman"/>
          <w:i/>
          <w:sz w:val="24"/>
          <w:szCs w:val="24"/>
        </w:rPr>
      </w:pPr>
      <w:r w:rsidRPr="00563CA5">
        <w:rPr>
          <w:rFonts w:ascii="Times New Roman" w:hAnsi="Times New Roman"/>
          <w:i/>
          <w:sz w:val="24"/>
          <w:szCs w:val="24"/>
        </w:rPr>
        <w:lastRenderedPageBreak/>
        <w:t>Lack of information sharing</w:t>
      </w:r>
    </w:p>
    <w:p w:rsidR="008024ED" w:rsidRDefault="006B01F0" w:rsidP="00563CA5">
      <w:pPr>
        <w:spacing w:line="360" w:lineRule="auto"/>
        <w:jc w:val="both"/>
        <w:rPr>
          <w:rFonts w:ascii="Times New Roman" w:hAnsi="Times New Roman"/>
          <w:sz w:val="24"/>
          <w:szCs w:val="24"/>
        </w:rPr>
      </w:pPr>
      <w:r>
        <w:rPr>
          <w:rFonts w:ascii="Times New Roman" w:hAnsi="Times New Roman"/>
          <w:sz w:val="24"/>
          <w:szCs w:val="24"/>
        </w:rPr>
        <w:t xml:space="preserve">The issue of information access and sharing is a problem in the Namibia EIA system. The legislation only requires the environmental commissioner to inform the developer and the competent authority </w:t>
      </w:r>
      <w:r w:rsidR="00397A7C">
        <w:rPr>
          <w:rFonts w:ascii="Times New Roman" w:hAnsi="Times New Roman"/>
          <w:sz w:val="24"/>
          <w:szCs w:val="24"/>
        </w:rPr>
        <w:t xml:space="preserve">of </w:t>
      </w:r>
      <w:r>
        <w:rPr>
          <w:rFonts w:ascii="Times New Roman" w:hAnsi="Times New Roman"/>
          <w:sz w:val="24"/>
          <w:szCs w:val="24"/>
        </w:rPr>
        <w:t xml:space="preserve">the decision made on the projects. The public and those affected are excluded, and often only obtain information through newspapers. </w:t>
      </w:r>
      <w:r w:rsidR="00D23BAB">
        <w:rPr>
          <w:rFonts w:ascii="Times New Roman" w:hAnsi="Times New Roman"/>
          <w:sz w:val="24"/>
          <w:szCs w:val="24"/>
        </w:rPr>
        <w:t xml:space="preserve">Generally, Namibia lacks </w:t>
      </w:r>
      <w:r w:rsidR="009655B4" w:rsidRPr="00887D15">
        <w:rPr>
          <w:rFonts w:ascii="Times New Roman" w:hAnsi="Times New Roman"/>
          <w:sz w:val="24"/>
          <w:szCs w:val="24"/>
        </w:rPr>
        <w:t>policies</w:t>
      </w:r>
      <w:r w:rsidR="00B7173D" w:rsidRPr="00887D15">
        <w:rPr>
          <w:rFonts w:ascii="Times New Roman" w:hAnsi="Times New Roman"/>
          <w:sz w:val="24"/>
          <w:szCs w:val="24"/>
        </w:rPr>
        <w:t xml:space="preserve"> on access to information</w:t>
      </w:r>
      <w:r w:rsidR="00D23BAB">
        <w:rPr>
          <w:rFonts w:ascii="Times New Roman" w:hAnsi="Times New Roman"/>
          <w:sz w:val="24"/>
          <w:szCs w:val="24"/>
        </w:rPr>
        <w:t xml:space="preserve"> (NPC, 2015)</w:t>
      </w:r>
      <w:r w:rsidR="008429A4">
        <w:rPr>
          <w:rFonts w:ascii="Times New Roman" w:hAnsi="Times New Roman"/>
          <w:sz w:val="24"/>
          <w:szCs w:val="24"/>
        </w:rPr>
        <w:t xml:space="preserve">. </w:t>
      </w:r>
      <w:r>
        <w:rPr>
          <w:rFonts w:ascii="Times New Roman" w:hAnsi="Times New Roman"/>
          <w:sz w:val="24"/>
          <w:szCs w:val="24"/>
        </w:rPr>
        <w:t xml:space="preserve">This weakens the public's right to demand information. </w:t>
      </w:r>
    </w:p>
    <w:p w:rsidR="00A17C62" w:rsidRPr="00887D15" w:rsidRDefault="00A17C62" w:rsidP="00563CA5">
      <w:pPr>
        <w:spacing w:line="360" w:lineRule="auto"/>
        <w:jc w:val="both"/>
        <w:rPr>
          <w:rFonts w:ascii="Times New Roman" w:hAnsi="Times New Roman"/>
          <w:sz w:val="24"/>
          <w:szCs w:val="24"/>
        </w:rPr>
      </w:pPr>
    </w:p>
    <w:p w:rsidR="00593AF4" w:rsidRPr="00563CA5" w:rsidRDefault="006B01F0" w:rsidP="00C710EA">
      <w:pPr>
        <w:pStyle w:val="ListParagraph"/>
        <w:numPr>
          <w:ilvl w:val="1"/>
          <w:numId w:val="17"/>
        </w:numPr>
        <w:spacing w:line="360" w:lineRule="auto"/>
        <w:jc w:val="both"/>
        <w:rPr>
          <w:rFonts w:ascii="Times New Roman" w:hAnsi="Times New Roman"/>
          <w:i/>
          <w:sz w:val="24"/>
          <w:szCs w:val="24"/>
        </w:rPr>
      </w:pPr>
      <w:r>
        <w:rPr>
          <w:rFonts w:ascii="Times New Roman" w:hAnsi="Times New Roman"/>
          <w:i/>
          <w:sz w:val="24"/>
          <w:szCs w:val="24"/>
        </w:rPr>
        <w:t xml:space="preserve">Lack of </w:t>
      </w:r>
      <w:r w:rsidR="00760363">
        <w:rPr>
          <w:rFonts w:ascii="Times New Roman" w:hAnsi="Times New Roman"/>
          <w:i/>
          <w:sz w:val="24"/>
          <w:szCs w:val="24"/>
        </w:rPr>
        <w:t xml:space="preserve">system </w:t>
      </w:r>
      <w:r w:rsidR="00563CA5">
        <w:rPr>
          <w:rFonts w:ascii="Times New Roman" w:hAnsi="Times New Roman"/>
          <w:i/>
          <w:sz w:val="24"/>
          <w:szCs w:val="24"/>
        </w:rPr>
        <w:t>review</w:t>
      </w:r>
      <w:r>
        <w:rPr>
          <w:rFonts w:ascii="Times New Roman" w:hAnsi="Times New Roman"/>
          <w:i/>
          <w:sz w:val="24"/>
          <w:szCs w:val="24"/>
        </w:rPr>
        <w:t xml:space="preserve"> and monitoring</w:t>
      </w:r>
    </w:p>
    <w:p w:rsidR="00262C8D" w:rsidRDefault="006B01F0" w:rsidP="00770E36">
      <w:pPr>
        <w:spacing w:line="360" w:lineRule="auto"/>
        <w:jc w:val="both"/>
        <w:rPr>
          <w:rFonts w:ascii="Times New Roman" w:hAnsi="Times New Roman"/>
          <w:sz w:val="24"/>
          <w:szCs w:val="24"/>
        </w:rPr>
      </w:pPr>
      <w:r>
        <w:rPr>
          <w:rFonts w:ascii="Times New Roman" w:hAnsi="Times New Roman"/>
          <w:sz w:val="24"/>
          <w:szCs w:val="24"/>
        </w:rPr>
        <w:t>While i</w:t>
      </w:r>
      <w:r w:rsidR="00593AF4">
        <w:rPr>
          <w:rFonts w:ascii="Times New Roman" w:hAnsi="Times New Roman"/>
          <w:sz w:val="24"/>
          <w:szCs w:val="24"/>
        </w:rPr>
        <w:t>t is commendable that</w:t>
      </w:r>
      <w:r w:rsidR="00770E36">
        <w:rPr>
          <w:rFonts w:ascii="Times New Roman" w:hAnsi="Times New Roman"/>
          <w:sz w:val="24"/>
          <w:szCs w:val="24"/>
        </w:rPr>
        <w:t xml:space="preserve"> </w:t>
      </w:r>
      <w:r w:rsidR="00593AF4">
        <w:rPr>
          <w:rFonts w:ascii="Times New Roman" w:hAnsi="Times New Roman"/>
          <w:sz w:val="24"/>
          <w:szCs w:val="24"/>
        </w:rPr>
        <w:t xml:space="preserve">the </w:t>
      </w:r>
      <w:r w:rsidR="00A40FFC">
        <w:rPr>
          <w:rFonts w:ascii="Times New Roman" w:hAnsi="Times New Roman"/>
          <w:sz w:val="24"/>
          <w:szCs w:val="24"/>
        </w:rPr>
        <w:t xml:space="preserve">government of Namibia initiated </w:t>
      </w:r>
      <w:r w:rsidR="00593AF4">
        <w:rPr>
          <w:rFonts w:ascii="Times New Roman" w:hAnsi="Times New Roman"/>
          <w:sz w:val="24"/>
          <w:szCs w:val="24"/>
        </w:rPr>
        <w:t>consultation</w:t>
      </w:r>
      <w:r w:rsidR="00A40FFC">
        <w:rPr>
          <w:rFonts w:ascii="Times New Roman" w:hAnsi="Times New Roman"/>
          <w:sz w:val="24"/>
          <w:szCs w:val="24"/>
        </w:rPr>
        <w:t>s</w:t>
      </w:r>
      <w:r w:rsidR="00593AF4">
        <w:rPr>
          <w:rFonts w:ascii="Times New Roman" w:hAnsi="Times New Roman"/>
          <w:sz w:val="24"/>
          <w:szCs w:val="24"/>
        </w:rPr>
        <w:t xml:space="preserve"> </w:t>
      </w:r>
      <w:r w:rsidR="00FC215A">
        <w:rPr>
          <w:rFonts w:ascii="Times New Roman" w:hAnsi="Times New Roman"/>
          <w:sz w:val="24"/>
          <w:szCs w:val="24"/>
        </w:rPr>
        <w:t xml:space="preserve">to amend </w:t>
      </w:r>
      <w:r w:rsidR="00D23BAB">
        <w:rPr>
          <w:rFonts w:ascii="Times New Roman" w:hAnsi="Times New Roman"/>
          <w:sz w:val="24"/>
          <w:szCs w:val="24"/>
        </w:rPr>
        <w:t xml:space="preserve">the </w:t>
      </w:r>
      <w:r w:rsidR="00FC215A">
        <w:rPr>
          <w:rFonts w:ascii="Times New Roman" w:hAnsi="Times New Roman"/>
          <w:sz w:val="24"/>
          <w:szCs w:val="24"/>
        </w:rPr>
        <w:t xml:space="preserve">EIA </w:t>
      </w:r>
      <w:r w:rsidR="00593AF4">
        <w:rPr>
          <w:rFonts w:ascii="Times New Roman" w:hAnsi="Times New Roman"/>
          <w:sz w:val="24"/>
          <w:szCs w:val="24"/>
        </w:rPr>
        <w:t>legislation</w:t>
      </w:r>
      <w:r>
        <w:rPr>
          <w:rFonts w:ascii="Times New Roman" w:hAnsi="Times New Roman"/>
          <w:sz w:val="24"/>
          <w:szCs w:val="24"/>
        </w:rPr>
        <w:t xml:space="preserve"> in 2018, the long delay to implement the revised legislation can weaken the performance of the EIA system</w:t>
      </w:r>
      <w:r w:rsidR="00D23BAB">
        <w:rPr>
          <w:rFonts w:ascii="Times New Roman" w:hAnsi="Times New Roman"/>
          <w:sz w:val="24"/>
          <w:szCs w:val="24"/>
        </w:rPr>
        <w:t xml:space="preserve">. </w:t>
      </w:r>
      <w:r w:rsidR="00FC215A">
        <w:rPr>
          <w:rFonts w:ascii="Times New Roman" w:hAnsi="Times New Roman"/>
          <w:sz w:val="24"/>
          <w:szCs w:val="24"/>
        </w:rPr>
        <w:t>Arts et al</w:t>
      </w:r>
      <w:r>
        <w:rPr>
          <w:rFonts w:ascii="Times New Roman" w:hAnsi="Times New Roman"/>
          <w:sz w:val="24"/>
          <w:szCs w:val="24"/>
        </w:rPr>
        <w:t>.</w:t>
      </w:r>
      <w:r w:rsidR="00FC215A">
        <w:rPr>
          <w:rFonts w:ascii="Times New Roman" w:hAnsi="Times New Roman"/>
          <w:sz w:val="24"/>
          <w:szCs w:val="24"/>
        </w:rPr>
        <w:t xml:space="preserve"> </w:t>
      </w:r>
      <w:r w:rsidR="00D23BAB">
        <w:rPr>
          <w:rFonts w:ascii="Times New Roman" w:hAnsi="Times New Roman"/>
          <w:sz w:val="24"/>
          <w:szCs w:val="24"/>
        </w:rPr>
        <w:t>(</w:t>
      </w:r>
      <w:r w:rsidR="00FC215A">
        <w:rPr>
          <w:rFonts w:ascii="Times New Roman" w:hAnsi="Times New Roman"/>
          <w:sz w:val="24"/>
          <w:szCs w:val="24"/>
        </w:rPr>
        <w:t>2012</w:t>
      </w:r>
      <w:r w:rsidR="00D23BAB">
        <w:rPr>
          <w:rFonts w:ascii="Times New Roman" w:hAnsi="Times New Roman"/>
          <w:sz w:val="24"/>
          <w:szCs w:val="24"/>
        </w:rPr>
        <w:t>) noted that while</w:t>
      </w:r>
      <w:r w:rsidR="00FC215A">
        <w:rPr>
          <w:rFonts w:ascii="Times New Roman" w:hAnsi="Times New Roman"/>
          <w:sz w:val="24"/>
          <w:szCs w:val="24"/>
        </w:rPr>
        <w:t xml:space="preserve"> </w:t>
      </w:r>
      <w:r w:rsidR="00931805" w:rsidRPr="004C4643">
        <w:rPr>
          <w:rFonts w:ascii="Times New Roman" w:hAnsi="Times New Roman"/>
          <w:sz w:val="24"/>
          <w:szCs w:val="24"/>
        </w:rPr>
        <w:t>revision of EIA regulation</w:t>
      </w:r>
      <w:r w:rsidR="00E11621" w:rsidRPr="004C4643">
        <w:rPr>
          <w:rFonts w:ascii="Times New Roman" w:hAnsi="Times New Roman"/>
          <w:sz w:val="24"/>
          <w:szCs w:val="24"/>
        </w:rPr>
        <w:t>s</w:t>
      </w:r>
      <w:r w:rsidR="00931805" w:rsidRPr="004C4643">
        <w:rPr>
          <w:rFonts w:ascii="Times New Roman" w:hAnsi="Times New Roman"/>
          <w:sz w:val="24"/>
          <w:szCs w:val="24"/>
        </w:rPr>
        <w:t xml:space="preserve"> is a positive </w:t>
      </w:r>
      <w:r w:rsidR="003B2A85" w:rsidRPr="004C4643">
        <w:rPr>
          <w:rFonts w:ascii="Times New Roman" w:hAnsi="Times New Roman"/>
          <w:sz w:val="24"/>
          <w:szCs w:val="24"/>
        </w:rPr>
        <w:t>development</w:t>
      </w:r>
      <w:r w:rsidR="00162604">
        <w:rPr>
          <w:rFonts w:ascii="Times New Roman" w:hAnsi="Times New Roman"/>
          <w:sz w:val="24"/>
          <w:szCs w:val="24"/>
        </w:rPr>
        <w:t>,</w:t>
      </w:r>
      <w:r w:rsidR="00FC215A">
        <w:rPr>
          <w:rFonts w:ascii="Times New Roman" w:hAnsi="Times New Roman"/>
          <w:sz w:val="24"/>
          <w:szCs w:val="24"/>
        </w:rPr>
        <w:t xml:space="preserve"> </w:t>
      </w:r>
      <w:r w:rsidR="00D23BAB">
        <w:rPr>
          <w:rFonts w:ascii="Times New Roman" w:hAnsi="Times New Roman"/>
          <w:sz w:val="24"/>
          <w:szCs w:val="24"/>
        </w:rPr>
        <w:t>various</w:t>
      </w:r>
      <w:r w:rsidR="00931805" w:rsidRPr="004C4643">
        <w:rPr>
          <w:rFonts w:ascii="Times New Roman" w:hAnsi="Times New Roman"/>
          <w:sz w:val="24"/>
          <w:szCs w:val="24"/>
        </w:rPr>
        <w:t xml:space="preserve"> amend</w:t>
      </w:r>
      <w:r w:rsidR="00931805" w:rsidRPr="00606E6B">
        <w:rPr>
          <w:rFonts w:ascii="Times New Roman" w:hAnsi="Times New Roman"/>
          <w:sz w:val="24"/>
          <w:szCs w:val="24"/>
        </w:rPr>
        <w:t xml:space="preserve">ments </w:t>
      </w:r>
      <w:r w:rsidR="00D23BAB">
        <w:rPr>
          <w:rFonts w:ascii="Times New Roman" w:hAnsi="Times New Roman"/>
          <w:sz w:val="24"/>
          <w:szCs w:val="24"/>
        </w:rPr>
        <w:t xml:space="preserve">only </w:t>
      </w:r>
      <w:r>
        <w:rPr>
          <w:rFonts w:ascii="Times New Roman" w:hAnsi="Times New Roman"/>
          <w:sz w:val="24"/>
          <w:szCs w:val="24"/>
        </w:rPr>
        <w:t>deal with</w:t>
      </w:r>
      <w:r w:rsidR="00A40FFC">
        <w:rPr>
          <w:rFonts w:ascii="Times New Roman" w:hAnsi="Times New Roman"/>
          <w:sz w:val="24"/>
          <w:szCs w:val="24"/>
        </w:rPr>
        <w:t xml:space="preserve"> </w:t>
      </w:r>
      <w:r w:rsidR="00931805" w:rsidRPr="00606E6B">
        <w:rPr>
          <w:rFonts w:ascii="Times New Roman" w:hAnsi="Times New Roman"/>
          <w:sz w:val="24"/>
          <w:szCs w:val="24"/>
        </w:rPr>
        <w:t>"</w:t>
      </w:r>
      <w:r>
        <w:rPr>
          <w:rFonts w:ascii="Times New Roman" w:hAnsi="Times New Roman"/>
          <w:sz w:val="24"/>
          <w:szCs w:val="24"/>
        </w:rPr>
        <w:t xml:space="preserve">the </w:t>
      </w:r>
      <w:r w:rsidR="00931805" w:rsidRPr="00606E6B">
        <w:rPr>
          <w:rFonts w:ascii="Times New Roman" w:hAnsi="Times New Roman"/>
          <w:sz w:val="24"/>
          <w:szCs w:val="24"/>
        </w:rPr>
        <w:t xml:space="preserve">perennial problem of EIA" </w:t>
      </w:r>
      <w:r>
        <w:rPr>
          <w:rFonts w:ascii="Times New Roman" w:hAnsi="Times New Roman"/>
          <w:sz w:val="24"/>
          <w:szCs w:val="24"/>
        </w:rPr>
        <w:t>without dealing with critical</w:t>
      </w:r>
      <w:r w:rsidR="00770E36">
        <w:rPr>
          <w:rFonts w:ascii="Times New Roman" w:hAnsi="Times New Roman"/>
          <w:sz w:val="24"/>
          <w:szCs w:val="24"/>
        </w:rPr>
        <w:t xml:space="preserve"> </w:t>
      </w:r>
      <w:r w:rsidR="00931805" w:rsidRPr="00606E6B">
        <w:rPr>
          <w:rFonts w:ascii="Times New Roman" w:hAnsi="Times New Roman"/>
          <w:sz w:val="24"/>
          <w:szCs w:val="24"/>
        </w:rPr>
        <w:t xml:space="preserve">effectiveness issues. A study by </w:t>
      </w:r>
      <w:r w:rsidR="00830936">
        <w:rPr>
          <w:rFonts w:ascii="Times New Roman" w:eastAsiaTheme="minorHAnsi" w:hAnsi="Times New Roman"/>
          <w:noProof/>
          <w:sz w:val="24"/>
          <w:szCs w:val="24"/>
        </w:rPr>
        <w:t>Morrison-Saunders and</w:t>
      </w:r>
      <w:r w:rsidR="008819E9">
        <w:rPr>
          <w:rFonts w:ascii="Times New Roman" w:eastAsiaTheme="minorHAnsi" w:hAnsi="Times New Roman"/>
          <w:noProof/>
          <w:sz w:val="24"/>
          <w:szCs w:val="24"/>
        </w:rPr>
        <w:t xml:space="preserve"> Retief </w:t>
      </w:r>
      <w:r w:rsidR="00CF7943">
        <w:rPr>
          <w:rFonts w:ascii="Times New Roman" w:hAnsi="Times New Roman"/>
          <w:sz w:val="24"/>
          <w:szCs w:val="24"/>
        </w:rPr>
        <w:t xml:space="preserve">(2012) </w:t>
      </w:r>
      <w:r w:rsidR="00931805" w:rsidRPr="00606E6B">
        <w:rPr>
          <w:rFonts w:ascii="Times New Roman" w:hAnsi="Times New Roman"/>
          <w:sz w:val="24"/>
          <w:szCs w:val="24"/>
        </w:rPr>
        <w:t xml:space="preserve">showed that the South African EIA system needed to focus on changing the </w:t>
      </w:r>
      <w:r w:rsidR="009953C2" w:rsidRPr="00DE7320">
        <w:rPr>
          <w:rFonts w:ascii="Times New Roman" w:hAnsi="Times New Roman"/>
          <w:sz w:val="24"/>
          <w:szCs w:val="24"/>
          <w:lang w:val="en-GB"/>
        </w:rPr>
        <w:t>behavio</w:t>
      </w:r>
      <w:r w:rsidR="00A40FFC" w:rsidRPr="00DE7320">
        <w:rPr>
          <w:rFonts w:ascii="Times New Roman" w:hAnsi="Times New Roman"/>
          <w:sz w:val="24"/>
          <w:szCs w:val="24"/>
          <w:lang w:val="en-GB"/>
        </w:rPr>
        <w:t>u</w:t>
      </w:r>
      <w:r w:rsidR="009953C2" w:rsidRPr="00DE7320">
        <w:rPr>
          <w:rFonts w:ascii="Times New Roman" w:hAnsi="Times New Roman"/>
          <w:sz w:val="24"/>
          <w:szCs w:val="24"/>
          <w:lang w:val="en-GB"/>
        </w:rPr>
        <w:t>rs</w:t>
      </w:r>
      <w:r w:rsidR="00931805" w:rsidRPr="00606E6B">
        <w:rPr>
          <w:rFonts w:ascii="Times New Roman" w:hAnsi="Times New Roman"/>
          <w:sz w:val="24"/>
          <w:szCs w:val="24"/>
        </w:rPr>
        <w:t xml:space="preserve"> of EIA professionals rather than </w:t>
      </w:r>
      <w:r w:rsidR="00CF7943">
        <w:rPr>
          <w:rFonts w:ascii="Times New Roman" w:hAnsi="Times New Roman"/>
          <w:sz w:val="24"/>
          <w:szCs w:val="24"/>
        </w:rPr>
        <w:t xml:space="preserve">undertaking </w:t>
      </w:r>
      <w:r w:rsidR="00931805" w:rsidRPr="00606E6B">
        <w:rPr>
          <w:rFonts w:ascii="Times New Roman" w:hAnsi="Times New Roman"/>
          <w:sz w:val="24"/>
          <w:szCs w:val="24"/>
        </w:rPr>
        <w:t xml:space="preserve">another legislation revision. </w:t>
      </w:r>
      <w:r w:rsidR="00770E36">
        <w:rPr>
          <w:rFonts w:ascii="Times New Roman" w:hAnsi="Times New Roman"/>
          <w:sz w:val="24"/>
          <w:szCs w:val="24"/>
        </w:rPr>
        <w:t xml:space="preserve">Namibia needs to implement the amended EIA legislation as further delays can have negative effects on the </w:t>
      </w:r>
      <w:r>
        <w:rPr>
          <w:rFonts w:ascii="Times New Roman" w:hAnsi="Times New Roman"/>
          <w:sz w:val="24"/>
          <w:szCs w:val="24"/>
        </w:rPr>
        <w:t xml:space="preserve">EIA </w:t>
      </w:r>
      <w:r w:rsidR="00770E36">
        <w:rPr>
          <w:rFonts w:ascii="Times New Roman" w:hAnsi="Times New Roman"/>
          <w:sz w:val="24"/>
          <w:szCs w:val="24"/>
        </w:rPr>
        <w:t>performance.</w:t>
      </w:r>
    </w:p>
    <w:p w:rsidR="008024ED" w:rsidRPr="007D227E" w:rsidRDefault="008024ED" w:rsidP="00563CA5">
      <w:pPr>
        <w:spacing w:line="360" w:lineRule="auto"/>
        <w:jc w:val="both"/>
        <w:rPr>
          <w:rFonts w:ascii="Times New Roman" w:hAnsi="Times New Roman"/>
          <w:b/>
          <w:sz w:val="24"/>
          <w:szCs w:val="24"/>
          <w:u w:val="single"/>
        </w:rPr>
      </w:pPr>
    </w:p>
    <w:p w:rsidR="00B4058D" w:rsidRPr="007D227E" w:rsidRDefault="006B01F0" w:rsidP="00563CA5">
      <w:pPr>
        <w:spacing w:line="360" w:lineRule="auto"/>
        <w:jc w:val="both"/>
        <w:rPr>
          <w:rFonts w:ascii="Times New Roman" w:hAnsi="Times New Roman"/>
          <w:b/>
          <w:sz w:val="24"/>
          <w:szCs w:val="24"/>
          <w:u w:val="single"/>
        </w:rPr>
      </w:pPr>
      <w:r w:rsidRPr="007D227E">
        <w:rPr>
          <w:rFonts w:ascii="Times New Roman" w:hAnsi="Times New Roman"/>
          <w:b/>
          <w:sz w:val="24"/>
          <w:szCs w:val="24"/>
          <w:u w:val="single"/>
        </w:rPr>
        <w:t>Strength</w:t>
      </w:r>
      <w:r w:rsidR="00907A66" w:rsidRPr="007D227E">
        <w:rPr>
          <w:rFonts w:ascii="Times New Roman" w:hAnsi="Times New Roman"/>
          <w:b/>
          <w:sz w:val="24"/>
          <w:szCs w:val="24"/>
          <w:u w:val="single"/>
        </w:rPr>
        <w:t>s</w:t>
      </w:r>
      <w:r w:rsidRPr="007D227E">
        <w:rPr>
          <w:rFonts w:ascii="Times New Roman" w:hAnsi="Times New Roman"/>
          <w:b/>
          <w:sz w:val="24"/>
          <w:szCs w:val="24"/>
          <w:u w:val="single"/>
        </w:rPr>
        <w:t xml:space="preserve"> </w:t>
      </w:r>
      <w:r w:rsidR="00DE7320" w:rsidRPr="007D227E">
        <w:rPr>
          <w:rFonts w:ascii="Times New Roman" w:hAnsi="Times New Roman"/>
          <w:b/>
          <w:sz w:val="24"/>
          <w:szCs w:val="24"/>
          <w:u w:val="single"/>
        </w:rPr>
        <w:t>of EIA</w:t>
      </w:r>
    </w:p>
    <w:p w:rsidR="00B4058D" w:rsidRPr="00563CA5" w:rsidRDefault="006B01F0" w:rsidP="00C710EA">
      <w:pPr>
        <w:pStyle w:val="ListParagraph"/>
        <w:numPr>
          <w:ilvl w:val="1"/>
          <w:numId w:val="17"/>
        </w:numPr>
        <w:spacing w:line="360" w:lineRule="auto"/>
        <w:jc w:val="both"/>
        <w:rPr>
          <w:rFonts w:ascii="Times New Roman" w:hAnsi="Times New Roman"/>
          <w:i/>
          <w:sz w:val="24"/>
          <w:szCs w:val="24"/>
        </w:rPr>
      </w:pPr>
      <w:r w:rsidRPr="00563CA5">
        <w:rPr>
          <w:rFonts w:ascii="Times New Roman" w:hAnsi="Times New Roman"/>
          <w:i/>
          <w:sz w:val="24"/>
          <w:szCs w:val="24"/>
        </w:rPr>
        <w:t>EIA acceptance</w:t>
      </w:r>
    </w:p>
    <w:p w:rsidR="00733342" w:rsidRDefault="006B01F0" w:rsidP="00B4058D">
      <w:pPr>
        <w:spacing w:line="360" w:lineRule="auto"/>
        <w:jc w:val="both"/>
        <w:rPr>
          <w:rFonts w:ascii="Times New Roman" w:hAnsi="Times New Roman"/>
          <w:sz w:val="24"/>
          <w:szCs w:val="24"/>
        </w:rPr>
      </w:pPr>
      <w:r w:rsidRPr="0008213F">
        <w:rPr>
          <w:rFonts w:ascii="Times New Roman" w:hAnsi="Times New Roman"/>
          <w:sz w:val="24"/>
          <w:szCs w:val="24"/>
        </w:rPr>
        <w:t xml:space="preserve">Before independence, EIAs in Namibia were </w:t>
      </w:r>
      <w:r>
        <w:rPr>
          <w:rFonts w:ascii="Times New Roman" w:hAnsi="Times New Roman"/>
          <w:sz w:val="24"/>
          <w:szCs w:val="24"/>
        </w:rPr>
        <w:t xml:space="preserve">undertaken </w:t>
      </w:r>
      <w:r w:rsidRPr="0008213F">
        <w:rPr>
          <w:rFonts w:ascii="Times New Roman" w:hAnsi="Times New Roman"/>
          <w:sz w:val="24"/>
          <w:szCs w:val="24"/>
        </w:rPr>
        <w:t xml:space="preserve">voluntarily mainly </w:t>
      </w:r>
      <w:r w:rsidR="00EE5402">
        <w:rPr>
          <w:rFonts w:ascii="Times New Roman" w:hAnsi="Times New Roman"/>
          <w:sz w:val="24"/>
          <w:szCs w:val="24"/>
        </w:rPr>
        <w:t>by</w:t>
      </w:r>
      <w:r w:rsidRPr="0008213F">
        <w:rPr>
          <w:rFonts w:ascii="Times New Roman" w:hAnsi="Times New Roman"/>
          <w:sz w:val="24"/>
          <w:szCs w:val="24"/>
        </w:rPr>
        <w:t xml:space="preserve"> the mining and infrastructure sectors. In the absence o</w:t>
      </w:r>
      <w:r>
        <w:rPr>
          <w:rFonts w:ascii="Times New Roman" w:hAnsi="Times New Roman"/>
          <w:sz w:val="24"/>
          <w:szCs w:val="24"/>
        </w:rPr>
        <w:t xml:space="preserve">f EIA legislation, many of the </w:t>
      </w:r>
      <w:r w:rsidRPr="0008213F">
        <w:rPr>
          <w:rFonts w:ascii="Times New Roman" w:hAnsi="Times New Roman"/>
          <w:sz w:val="24"/>
          <w:szCs w:val="24"/>
        </w:rPr>
        <w:t xml:space="preserve">mining and exploration EIAs were carried out following the environmental obligations of the mother </w:t>
      </w:r>
      <w:r>
        <w:rPr>
          <w:rFonts w:ascii="Times New Roman" w:hAnsi="Times New Roman"/>
          <w:sz w:val="24"/>
          <w:szCs w:val="24"/>
        </w:rPr>
        <w:t xml:space="preserve">organization of </w:t>
      </w:r>
      <w:r w:rsidR="00EE5402">
        <w:rPr>
          <w:rFonts w:ascii="Times New Roman" w:hAnsi="Times New Roman"/>
          <w:sz w:val="24"/>
          <w:szCs w:val="24"/>
        </w:rPr>
        <w:t xml:space="preserve">the </w:t>
      </w:r>
      <w:r>
        <w:rPr>
          <w:rFonts w:ascii="Times New Roman" w:hAnsi="Times New Roman"/>
          <w:sz w:val="24"/>
          <w:szCs w:val="24"/>
        </w:rPr>
        <w:t xml:space="preserve">respective companies. Data from </w:t>
      </w:r>
      <w:r w:rsidR="007E6E9F">
        <w:rPr>
          <w:rFonts w:ascii="Times New Roman" w:hAnsi="Times New Roman"/>
          <w:sz w:val="24"/>
          <w:szCs w:val="24"/>
        </w:rPr>
        <w:t xml:space="preserve">the </w:t>
      </w:r>
      <w:r w:rsidR="006550FE">
        <w:rPr>
          <w:rFonts w:ascii="Times New Roman" w:hAnsi="Times New Roman"/>
          <w:sz w:val="24"/>
          <w:szCs w:val="24"/>
        </w:rPr>
        <w:t xml:space="preserve">NPC </w:t>
      </w:r>
      <w:r>
        <w:rPr>
          <w:rFonts w:ascii="Times New Roman" w:hAnsi="Times New Roman"/>
          <w:sz w:val="24"/>
          <w:szCs w:val="24"/>
        </w:rPr>
        <w:t xml:space="preserve">(2015) show that </w:t>
      </w:r>
      <w:r w:rsidRPr="0008213F">
        <w:rPr>
          <w:rFonts w:ascii="Times New Roman" w:hAnsi="Times New Roman"/>
          <w:sz w:val="24"/>
          <w:szCs w:val="24"/>
        </w:rPr>
        <w:t>the number of EIA application</w:t>
      </w:r>
      <w:r>
        <w:rPr>
          <w:rFonts w:ascii="Times New Roman" w:hAnsi="Times New Roman"/>
          <w:sz w:val="24"/>
          <w:szCs w:val="24"/>
        </w:rPr>
        <w:t>s submitted for authorization</w:t>
      </w:r>
      <w:r w:rsidRPr="0008213F">
        <w:rPr>
          <w:rFonts w:ascii="Times New Roman" w:hAnsi="Times New Roman"/>
          <w:sz w:val="24"/>
          <w:szCs w:val="24"/>
        </w:rPr>
        <w:t xml:space="preserve"> increased from 120 in 2012 to 322 EIAs in 2015</w:t>
      </w:r>
      <w:r>
        <w:rPr>
          <w:rFonts w:ascii="Times New Roman" w:hAnsi="Times New Roman"/>
          <w:sz w:val="24"/>
          <w:szCs w:val="24"/>
        </w:rPr>
        <w:t xml:space="preserve">. This may indicate that EIA is slowly being accepted as an environmental governance tool in Namibia. The increase in EIA applications can be attributed to the continuous promotion of EIA </w:t>
      </w:r>
      <w:r w:rsidR="007E6E9F">
        <w:rPr>
          <w:rFonts w:ascii="Times New Roman" w:hAnsi="Times New Roman"/>
          <w:sz w:val="24"/>
          <w:szCs w:val="24"/>
        </w:rPr>
        <w:t>in the national development p</w:t>
      </w:r>
      <w:r>
        <w:rPr>
          <w:rFonts w:ascii="Times New Roman" w:hAnsi="Times New Roman"/>
          <w:sz w:val="24"/>
          <w:szCs w:val="24"/>
        </w:rPr>
        <w:t xml:space="preserve">lans and also as a funding requirement </w:t>
      </w:r>
      <w:r w:rsidR="00EE5402">
        <w:rPr>
          <w:rFonts w:ascii="Times New Roman" w:hAnsi="Times New Roman"/>
          <w:sz w:val="24"/>
          <w:szCs w:val="24"/>
        </w:rPr>
        <w:t>of financial</w:t>
      </w:r>
      <w:r w:rsidR="00A40FFC">
        <w:rPr>
          <w:rFonts w:ascii="Times New Roman" w:hAnsi="Times New Roman"/>
          <w:sz w:val="24"/>
          <w:szCs w:val="24"/>
        </w:rPr>
        <w:t xml:space="preserve"> </w:t>
      </w:r>
      <w:r>
        <w:rPr>
          <w:rFonts w:ascii="Times New Roman" w:hAnsi="Times New Roman"/>
          <w:sz w:val="24"/>
          <w:szCs w:val="24"/>
        </w:rPr>
        <w:t>institutions.</w:t>
      </w:r>
    </w:p>
    <w:p w:rsidR="00B4058D" w:rsidRPr="00563CA5" w:rsidRDefault="006B01F0" w:rsidP="00C710EA">
      <w:pPr>
        <w:pStyle w:val="ListParagraph"/>
        <w:numPr>
          <w:ilvl w:val="1"/>
          <w:numId w:val="17"/>
        </w:numPr>
        <w:spacing w:line="360" w:lineRule="auto"/>
        <w:jc w:val="both"/>
        <w:rPr>
          <w:rFonts w:ascii="Times New Roman" w:hAnsi="Times New Roman"/>
          <w:i/>
          <w:sz w:val="24"/>
          <w:szCs w:val="24"/>
        </w:rPr>
      </w:pPr>
      <w:r w:rsidRPr="00563CA5">
        <w:rPr>
          <w:rFonts w:ascii="Times New Roman" w:hAnsi="Times New Roman"/>
          <w:i/>
          <w:sz w:val="24"/>
          <w:szCs w:val="24"/>
        </w:rPr>
        <w:lastRenderedPageBreak/>
        <w:t>Prevent</w:t>
      </w:r>
      <w:r w:rsidR="00EE5402">
        <w:rPr>
          <w:rFonts w:ascii="Times New Roman" w:hAnsi="Times New Roman"/>
          <w:i/>
          <w:sz w:val="24"/>
          <w:szCs w:val="24"/>
        </w:rPr>
        <w:t>at</w:t>
      </w:r>
      <w:r w:rsidRPr="00563CA5">
        <w:rPr>
          <w:rFonts w:ascii="Times New Roman" w:hAnsi="Times New Roman"/>
          <w:i/>
          <w:sz w:val="24"/>
          <w:szCs w:val="24"/>
        </w:rPr>
        <w:t>ive effect of EIA</w:t>
      </w:r>
    </w:p>
    <w:p w:rsidR="00B4058D" w:rsidRDefault="006B01F0" w:rsidP="00563CA5">
      <w:pPr>
        <w:spacing w:line="360" w:lineRule="auto"/>
        <w:jc w:val="both"/>
        <w:rPr>
          <w:rFonts w:ascii="Times New Roman" w:hAnsi="Times New Roman"/>
          <w:sz w:val="24"/>
          <w:szCs w:val="24"/>
        </w:rPr>
      </w:pPr>
      <w:r>
        <w:rPr>
          <w:rFonts w:ascii="Times New Roman" w:hAnsi="Times New Roman"/>
          <w:sz w:val="24"/>
          <w:szCs w:val="24"/>
        </w:rPr>
        <w:t xml:space="preserve">The Namibia EIA system appears to have </w:t>
      </w:r>
      <w:r w:rsidRPr="0008213F">
        <w:rPr>
          <w:rFonts w:ascii="Times New Roman" w:hAnsi="Times New Roman"/>
          <w:sz w:val="24"/>
          <w:szCs w:val="24"/>
        </w:rPr>
        <w:t xml:space="preserve">a </w:t>
      </w:r>
      <w:r w:rsidRPr="00724E7C">
        <w:rPr>
          <w:rFonts w:ascii="Times New Roman" w:hAnsi="Times New Roman"/>
          <w:sz w:val="24"/>
          <w:szCs w:val="24"/>
        </w:rPr>
        <w:t>prevent</w:t>
      </w:r>
      <w:r w:rsidR="00EE5402">
        <w:rPr>
          <w:rFonts w:ascii="Times New Roman" w:hAnsi="Times New Roman"/>
          <w:sz w:val="24"/>
          <w:szCs w:val="24"/>
        </w:rPr>
        <w:t>at</w:t>
      </w:r>
      <w:r w:rsidRPr="00724E7C">
        <w:rPr>
          <w:rFonts w:ascii="Times New Roman" w:hAnsi="Times New Roman"/>
          <w:sz w:val="24"/>
          <w:szCs w:val="24"/>
        </w:rPr>
        <w:t>ive effect</w:t>
      </w:r>
      <w:r>
        <w:rPr>
          <w:rFonts w:ascii="Times New Roman" w:hAnsi="Times New Roman"/>
          <w:sz w:val="24"/>
          <w:szCs w:val="24"/>
        </w:rPr>
        <w:t>,</w:t>
      </w:r>
      <w:r w:rsidRPr="0008213F">
        <w:rPr>
          <w:rFonts w:ascii="Times New Roman" w:hAnsi="Times New Roman"/>
          <w:sz w:val="24"/>
          <w:szCs w:val="24"/>
        </w:rPr>
        <w:t xml:space="preserve"> </w:t>
      </w:r>
      <w:r w:rsidR="00EE5402">
        <w:rPr>
          <w:rFonts w:ascii="Times New Roman" w:hAnsi="Times New Roman"/>
          <w:sz w:val="24"/>
          <w:szCs w:val="24"/>
        </w:rPr>
        <w:t>evidenced by</w:t>
      </w:r>
      <w:r w:rsidRPr="0008213F">
        <w:rPr>
          <w:rFonts w:ascii="Times New Roman" w:hAnsi="Times New Roman"/>
          <w:sz w:val="24"/>
          <w:szCs w:val="24"/>
        </w:rPr>
        <w:t xml:space="preserve"> </w:t>
      </w:r>
      <w:r w:rsidR="00A40FFC">
        <w:rPr>
          <w:rFonts w:ascii="Times New Roman" w:hAnsi="Times New Roman"/>
          <w:sz w:val="24"/>
          <w:szCs w:val="24"/>
        </w:rPr>
        <w:t>several</w:t>
      </w:r>
      <w:r w:rsidRPr="0008213F">
        <w:rPr>
          <w:rFonts w:ascii="Times New Roman" w:hAnsi="Times New Roman"/>
          <w:sz w:val="24"/>
          <w:szCs w:val="24"/>
        </w:rPr>
        <w:t xml:space="preserve"> projects that </w:t>
      </w:r>
      <w:r>
        <w:rPr>
          <w:rFonts w:ascii="Times New Roman" w:hAnsi="Times New Roman"/>
          <w:sz w:val="24"/>
          <w:szCs w:val="24"/>
        </w:rPr>
        <w:t xml:space="preserve">were </w:t>
      </w:r>
      <w:r w:rsidRPr="0008213F">
        <w:rPr>
          <w:rFonts w:ascii="Times New Roman" w:hAnsi="Times New Roman"/>
          <w:sz w:val="24"/>
          <w:szCs w:val="24"/>
        </w:rPr>
        <w:t xml:space="preserve">stopped due to EIA decision making. </w:t>
      </w:r>
      <w:r>
        <w:rPr>
          <w:rFonts w:ascii="Times New Roman" w:hAnsi="Times New Roman"/>
          <w:sz w:val="24"/>
          <w:szCs w:val="24"/>
        </w:rPr>
        <w:t xml:space="preserve">The </w:t>
      </w:r>
      <w:r w:rsidRPr="002B5CA9">
        <w:rPr>
          <w:rFonts w:ascii="Times New Roman" w:hAnsi="Times New Roman"/>
          <w:sz w:val="24"/>
          <w:szCs w:val="24"/>
        </w:rPr>
        <w:t xml:space="preserve">Epupa </w:t>
      </w:r>
      <w:r>
        <w:rPr>
          <w:rFonts w:ascii="Times New Roman" w:hAnsi="Times New Roman"/>
          <w:sz w:val="24"/>
          <w:szCs w:val="24"/>
        </w:rPr>
        <w:t xml:space="preserve">hydropower plant proposed </w:t>
      </w:r>
      <w:r w:rsidR="00A40FFC">
        <w:rPr>
          <w:rFonts w:ascii="Times New Roman" w:hAnsi="Times New Roman"/>
          <w:sz w:val="24"/>
          <w:szCs w:val="24"/>
        </w:rPr>
        <w:t xml:space="preserve">in </w:t>
      </w:r>
      <w:r>
        <w:rPr>
          <w:rFonts w:ascii="Times New Roman" w:hAnsi="Times New Roman"/>
          <w:sz w:val="24"/>
          <w:szCs w:val="24"/>
        </w:rPr>
        <w:t>1998,</w:t>
      </w:r>
      <w:r w:rsidRPr="002B5CA9">
        <w:rPr>
          <w:rFonts w:ascii="Times New Roman" w:hAnsi="Times New Roman"/>
          <w:sz w:val="24"/>
          <w:szCs w:val="24"/>
        </w:rPr>
        <w:t xml:space="preserve"> </w:t>
      </w:r>
      <w:r>
        <w:rPr>
          <w:rFonts w:ascii="Times New Roman" w:hAnsi="Times New Roman"/>
          <w:sz w:val="24"/>
          <w:szCs w:val="24"/>
        </w:rPr>
        <w:t xml:space="preserve">the </w:t>
      </w:r>
      <w:r w:rsidRPr="004C4643">
        <w:rPr>
          <w:rFonts w:ascii="Times New Roman" w:hAnsi="Times New Roman"/>
          <w:sz w:val="24"/>
          <w:szCs w:val="24"/>
        </w:rPr>
        <w:t xml:space="preserve">Otjivalunda </w:t>
      </w:r>
      <w:r>
        <w:rPr>
          <w:rFonts w:ascii="Times New Roman" w:hAnsi="Times New Roman"/>
          <w:sz w:val="24"/>
          <w:szCs w:val="24"/>
        </w:rPr>
        <w:t>salt project undertaken in 2012 and the</w:t>
      </w:r>
      <w:r w:rsidRPr="002B5CA9">
        <w:rPr>
          <w:rFonts w:ascii="Times New Roman" w:hAnsi="Times New Roman"/>
          <w:sz w:val="24"/>
          <w:szCs w:val="24"/>
        </w:rPr>
        <w:t xml:space="preserve"> </w:t>
      </w:r>
      <w:r>
        <w:rPr>
          <w:rFonts w:ascii="Times New Roman" w:hAnsi="Times New Roman"/>
          <w:sz w:val="24"/>
          <w:szCs w:val="24"/>
        </w:rPr>
        <w:t>Namibia marin</w:t>
      </w:r>
      <w:r w:rsidR="001740B4">
        <w:rPr>
          <w:rFonts w:ascii="Times New Roman" w:hAnsi="Times New Roman"/>
          <w:sz w:val="24"/>
          <w:szCs w:val="24"/>
        </w:rPr>
        <w:t xml:space="preserve">e phosphate mining in 2015 </w:t>
      </w:r>
      <w:r w:rsidR="00EE5402">
        <w:rPr>
          <w:rFonts w:ascii="Times New Roman" w:hAnsi="Times New Roman"/>
          <w:sz w:val="24"/>
          <w:szCs w:val="24"/>
        </w:rPr>
        <w:t>were not allowed to commence</w:t>
      </w:r>
      <w:r w:rsidR="001740B4">
        <w:rPr>
          <w:rFonts w:ascii="Times New Roman" w:hAnsi="Times New Roman"/>
          <w:sz w:val="24"/>
          <w:szCs w:val="24"/>
        </w:rPr>
        <w:t xml:space="preserve"> to </w:t>
      </w:r>
      <w:r w:rsidR="00733342">
        <w:rPr>
          <w:rFonts w:ascii="Times New Roman" w:hAnsi="Times New Roman"/>
          <w:sz w:val="24"/>
          <w:szCs w:val="24"/>
        </w:rPr>
        <w:t xml:space="preserve">date. </w:t>
      </w:r>
    </w:p>
    <w:p w:rsidR="00A17C62" w:rsidRPr="00606E6B" w:rsidRDefault="00A17C62" w:rsidP="00563CA5">
      <w:pPr>
        <w:spacing w:line="360" w:lineRule="auto"/>
        <w:jc w:val="both"/>
        <w:rPr>
          <w:rFonts w:ascii="Times New Roman" w:hAnsi="Times New Roman"/>
          <w:sz w:val="24"/>
          <w:szCs w:val="24"/>
        </w:rPr>
      </w:pPr>
    </w:p>
    <w:p w:rsidR="00E67493" w:rsidRPr="00E67493" w:rsidRDefault="006B01F0" w:rsidP="00C710EA">
      <w:pPr>
        <w:numPr>
          <w:ilvl w:val="0"/>
          <w:numId w:val="17"/>
        </w:numPr>
        <w:autoSpaceDE w:val="0"/>
        <w:autoSpaceDN w:val="0"/>
        <w:adjustRightInd w:val="0"/>
        <w:spacing w:line="360" w:lineRule="auto"/>
        <w:jc w:val="both"/>
        <w:rPr>
          <w:rFonts w:ascii="Times New Roman" w:hAnsi="Times New Roman"/>
          <w:b/>
          <w:sz w:val="24"/>
          <w:szCs w:val="24"/>
        </w:rPr>
      </w:pPr>
      <w:r w:rsidRPr="00751425">
        <w:rPr>
          <w:rFonts w:ascii="Times New Roman" w:hAnsi="Times New Roman"/>
          <w:b/>
          <w:sz w:val="24"/>
          <w:szCs w:val="24"/>
        </w:rPr>
        <w:t>Conclusion</w:t>
      </w:r>
      <w:r w:rsidR="008D1670">
        <w:rPr>
          <w:rFonts w:ascii="Times New Roman" w:hAnsi="Times New Roman"/>
          <w:b/>
          <w:sz w:val="24"/>
          <w:szCs w:val="24"/>
        </w:rPr>
        <w:t xml:space="preserve"> and Recommendations</w:t>
      </w:r>
    </w:p>
    <w:p w:rsidR="00733342" w:rsidRDefault="006B01F0" w:rsidP="00733342">
      <w:pPr>
        <w:spacing w:line="360" w:lineRule="auto"/>
        <w:jc w:val="both"/>
        <w:rPr>
          <w:rFonts w:ascii="Times New Roman" w:hAnsi="Times New Roman"/>
          <w:sz w:val="24"/>
          <w:szCs w:val="24"/>
        </w:rPr>
      </w:pPr>
      <w:r>
        <w:rPr>
          <w:rFonts w:ascii="Times New Roman" w:eastAsiaTheme="minorHAnsi" w:hAnsi="Times New Roman"/>
          <w:sz w:val="24"/>
          <w:szCs w:val="24"/>
        </w:rPr>
        <w:t>The Namibia EIA system is based on fairly good legislation and institutional arrangements</w:t>
      </w:r>
      <w:r w:rsidR="000D7E49">
        <w:rPr>
          <w:rFonts w:ascii="Times New Roman" w:eastAsiaTheme="minorHAnsi" w:hAnsi="Times New Roman"/>
          <w:sz w:val="24"/>
          <w:szCs w:val="24"/>
        </w:rPr>
        <w:t>. However, the system is characterized by several implementation problems.</w:t>
      </w:r>
      <w:r>
        <w:rPr>
          <w:rFonts w:ascii="Times New Roman" w:eastAsiaTheme="minorHAnsi" w:hAnsi="Times New Roman"/>
          <w:sz w:val="24"/>
          <w:szCs w:val="24"/>
        </w:rPr>
        <w:t xml:space="preserve"> </w:t>
      </w:r>
      <w:r w:rsidR="00D23BAB" w:rsidRPr="00162604">
        <w:rPr>
          <w:rFonts w:ascii="Times New Roman" w:eastAsiaTheme="minorHAnsi" w:hAnsi="Times New Roman"/>
          <w:sz w:val="24"/>
          <w:szCs w:val="24"/>
        </w:rPr>
        <w:t xml:space="preserve">Many of the </w:t>
      </w:r>
      <w:r w:rsidR="00EE5402">
        <w:rPr>
          <w:rFonts w:ascii="Times New Roman" w:eastAsiaTheme="minorHAnsi" w:hAnsi="Times New Roman"/>
          <w:sz w:val="24"/>
          <w:szCs w:val="24"/>
        </w:rPr>
        <w:t>weaknesses</w:t>
      </w:r>
      <w:r w:rsidR="00D23BAB" w:rsidRPr="00162604">
        <w:rPr>
          <w:rFonts w:ascii="Times New Roman" w:eastAsiaTheme="minorHAnsi" w:hAnsi="Times New Roman"/>
          <w:sz w:val="24"/>
          <w:szCs w:val="24"/>
        </w:rPr>
        <w:t xml:space="preserve"> f</w:t>
      </w:r>
      <w:r w:rsidR="00D23BAB">
        <w:rPr>
          <w:rFonts w:ascii="Times New Roman" w:eastAsiaTheme="minorHAnsi" w:hAnsi="Times New Roman"/>
          <w:sz w:val="24"/>
          <w:szCs w:val="24"/>
        </w:rPr>
        <w:t xml:space="preserve">ound in this study are common </w:t>
      </w:r>
      <w:r w:rsidR="00EE5402">
        <w:rPr>
          <w:rFonts w:ascii="Times New Roman" w:eastAsiaTheme="minorHAnsi" w:hAnsi="Times New Roman"/>
          <w:sz w:val="24"/>
          <w:szCs w:val="24"/>
        </w:rPr>
        <w:t xml:space="preserve">in other </w:t>
      </w:r>
      <w:r w:rsidR="00B300FD">
        <w:rPr>
          <w:rFonts w:ascii="Times New Roman" w:eastAsiaTheme="minorHAnsi" w:hAnsi="Times New Roman"/>
          <w:sz w:val="24"/>
          <w:szCs w:val="24"/>
        </w:rPr>
        <w:t>developing countries</w:t>
      </w:r>
      <w:r w:rsidR="00EE5402">
        <w:rPr>
          <w:rFonts w:ascii="Times New Roman" w:eastAsiaTheme="minorHAnsi" w:hAnsi="Times New Roman"/>
          <w:sz w:val="24"/>
          <w:szCs w:val="24"/>
        </w:rPr>
        <w:t xml:space="preserve"> and may be considered signs of a maturing system. </w:t>
      </w:r>
      <w:r w:rsidR="008936FE">
        <w:rPr>
          <w:rFonts w:ascii="Times New Roman" w:eastAsiaTheme="minorHAnsi" w:hAnsi="Times New Roman"/>
          <w:sz w:val="24"/>
          <w:szCs w:val="24"/>
        </w:rPr>
        <w:t>It is also clear that while international experiences and best practices are important, the success of the EIA system is context</w:t>
      </w:r>
      <w:r w:rsidR="00397A7C">
        <w:rPr>
          <w:rFonts w:ascii="Times New Roman" w:eastAsiaTheme="minorHAnsi" w:hAnsi="Times New Roman"/>
          <w:sz w:val="24"/>
          <w:szCs w:val="24"/>
        </w:rPr>
        <w:t>-</w:t>
      </w:r>
      <w:r w:rsidR="008936FE">
        <w:rPr>
          <w:rFonts w:ascii="Times New Roman" w:eastAsiaTheme="minorHAnsi" w:hAnsi="Times New Roman"/>
          <w:sz w:val="24"/>
          <w:szCs w:val="24"/>
        </w:rPr>
        <w:t>specific</w:t>
      </w:r>
      <w:r w:rsidR="009E6E20">
        <w:rPr>
          <w:rFonts w:ascii="Times New Roman" w:eastAsiaTheme="minorHAnsi" w:hAnsi="Times New Roman"/>
          <w:sz w:val="24"/>
          <w:szCs w:val="24"/>
        </w:rPr>
        <w:t>, therefore research into particular countries EIA system is critical</w:t>
      </w:r>
      <w:r w:rsidR="008936FE">
        <w:rPr>
          <w:rFonts w:ascii="Times New Roman" w:eastAsiaTheme="minorHAnsi" w:hAnsi="Times New Roman"/>
          <w:sz w:val="24"/>
          <w:szCs w:val="24"/>
        </w:rPr>
        <w:t>. The</w:t>
      </w:r>
      <w:r w:rsidR="000D7E49">
        <w:rPr>
          <w:rFonts w:ascii="Times New Roman" w:eastAsiaTheme="minorHAnsi" w:hAnsi="Times New Roman"/>
          <w:sz w:val="24"/>
          <w:szCs w:val="24"/>
        </w:rPr>
        <w:t xml:space="preserve"> </w:t>
      </w:r>
      <w:r w:rsidR="000F130C">
        <w:rPr>
          <w:rFonts w:ascii="Times New Roman" w:eastAsiaTheme="minorHAnsi" w:hAnsi="Times New Roman"/>
          <w:sz w:val="24"/>
          <w:szCs w:val="24"/>
        </w:rPr>
        <w:t xml:space="preserve">EMA and EIA regulations await cabinet approval since 2018. </w:t>
      </w:r>
      <w:r w:rsidR="008936FE">
        <w:rPr>
          <w:rFonts w:ascii="Times New Roman" w:eastAsiaTheme="minorHAnsi" w:hAnsi="Times New Roman"/>
          <w:sz w:val="24"/>
          <w:szCs w:val="24"/>
        </w:rPr>
        <w:t>This study</w:t>
      </w:r>
      <w:r w:rsidR="00397A7C">
        <w:rPr>
          <w:rFonts w:ascii="Times New Roman" w:eastAsiaTheme="minorHAnsi" w:hAnsi="Times New Roman"/>
          <w:sz w:val="24"/>
          <w:szCs w:val="24"/>
        </w:rPr>
        <w:t>, therefore,</w:t>
      </w:r>
      <w:r w:rsidR="008936FE">
        <w:rPr>
          <w:rFonts w:ascii="Times New Roman" w:eastAsiaTheme="minorHAnsi" w:hAnsi="Times New Roman"/>
          <w:sz w:val="24"/>
          <w:szCs w:val="24"/>
        </w:rPr>
        <w:t xml:space="preserve"> offers a good opportunity for</w:t>
      </w:r>
      <w:r w:rsidR="000D7E49">
        <w:rPr>
          <w:rFonts w:ascii="Times New Roman" w:eastAsiaTheme="minorHAnsi" w:hAnsi="Times New Roman"/>
          <w:sz w:val="24"/>
          <w:szCs w:val="24"/>
        </w:rPr>
        <w:t xml:space="preserve"> policymakers to </w:t>
      </w:r>
      <w:r w:rsidR="008936FE">
        <w:rPr>
          <w:rFonts w:ascii="Times New Roman" w:eastAsiaTheme="minorHAnsi" w:hAnsi="Times New Roman"/>
          <w:sz w:val="24"/>
          <w:szCs w:val="24"/>
        </w:rPr>
        <w:t>reflect on concerns and weaknesses</w:t>
      </w:r>
      <w:r w:rsidR="000D7E49">
        <w:rPr>
          <w:rFonts w:ascii="Times New Roman" w:eastAsiaTheme="minorHAnsi" w:hAnsi="Times New Roman"/>
          <w:sz w:val="24"/>
          <w:szCs w:val="24"/>
        </w:rPr>
        <w:t xml:space="preserve"> in this pap</w:t>
      </w:r>
      <w:r w:rsidR="002E4B87">
        <w:rPr>
          <w:rFonts w:ascii="Times New Roman" w:eastAsiaTheme="minorHAnsi" w:hAnsi="Times New Roman"/>
          <w:sz w:val="24"/>
          <w:szCs w:val="24"/>
        </w:rPr>
        <w:t xml:space="preserve">er </w:t>
      </w:r>
      <w:r w:rsidR="000D7E49">
        <w:rPr>
          <w:rFonts w:ascii="Times New Roman" w:eastAsiaTheme="minorHAnsi" w:hAnsi="Times New Roman"/>
          <w:sz w:val="24"/>
          <w:szCs w:val="24"/>
        </w:rPr>
        <w:t xml:space="preserve">to </w:t>
      </w:r>
      <w:r w:rsidR="000F130C">
        <w:rPr>
          <w:rFonts w:ascii="Times New Roman" w:eastAsiaTheme="minorHAnsi" w:hAnsi="Times New Roman"/>
          <w:sz w:val="24"/>
          <w:szCs w:val="24"/>
        </w:rPr>
        <w:t xml:space="preserve">develop </w:t>
      </w:r>
      <w:r w:rsidR="002E4B87">
        <w:rPr>
          <w:rFonts w:ascii="Times New Roman" w:eastAsiaTheme="minorHAnsi" w:hAnsi="Times New Roman"/>
          <w:sz w:val="24"/>
          <w:szCs w:val="24"/>
        </w:rPr>
        <w:t xml:space="preserve">specific </w:t>
      </w:r>
      <w:r w:rsidR="000F130C">
        <w:rPr>
          <w:rFonts w:ascii="Times New Roman" w:eastAsiaTheme="minorHAnsi" w:hAnsi="Times New Roman"/>
          <w:sz w:val="24"/>
          <w:szCs w:val="24"/>
        </w:rPr>
        <w:t>guidelines a</w:t>
      </w:r>
      <w:r w:rsidR="00936113">
        <w:rPr>
          <w:rFonts w:ascii="Times New Roman" w:eastAsiaTheme="minorHAnsi" w:hAnsi="Times New Roman"/>
          <w:sz w:val="24"/>
          <w:szCs w:val="24"/>
        </w:rPr>
        <w:t>nd standards of operations</w:t>
      </w:r>
      <w:r w:rsidR="000F130C">
        <w:rPr>
          <w:rFonts w:ascii="Times New Roman" w:eastAsiaTheme="minorHAnsi" w:hAnsi="Times New Roman"/>
          <w:sz w:val="24"/>
          <w:szCs w:val="24"/>
        </w:rPr>
        <w:t xml:space="preserve"> for the EIA process. </w:t>
      </w:r>
      <w:r w:rsidR="00D23BAB">
        <w:rPr>
          <w:rFonts w:ascii="Times New Roman" w:hAnsi="Times New Roman"/>
          <w:sz w:val="24"/>
          <w:szCs w:val="24"/>
        </w:rPr>
        <w:t xml:space="preserve">Following are the </w:t>
      </w:r>
      <w:r w:rsidR="008936FE">
        <w:rPr>
          <w:rFonts w:ascii="Times New Roman" w:hAnsi="Times New Roman"/>
          <w:sz w:val="24"/>
          <w:szCs w:val="24"/>
        </w:rPr>
        <w:t>suggestion that can help to enhance the performance of the EIA system</w:t>
      </w:r>
      <w:r w:rsidR="00D23BAB">
        <w:rPr>
          <w:rFonts w:ascii="Times New Roman" w:hAnsi="Times New Roman"/>
          <w:sz w:val="24"/>
          <w:szCs w:val="24"/>
        </w:rPr>
        <w:t>.</w:t>
      </w:r>
    </w:p>
    <w:p w:rsidR="002A09E0" w:rsidRDefault="006B01F0" w:rsidP="003E2CA7">
      <w:pPr>
        <w:numPr>
          <w:ilvl w:val="0"/>
          <w:numId w:val="14"/>
        </w:numPr>
        <w:autoSpaceDE w:val="0"/>
        <w:autoSpaceDN w:val="0"/>
        <w:adjustRightInd w:val="0"/>
        <w:spacing w:line="360" w:lineRule="auto"/>
        <w:jc w:val="both"/>
        <w:rPr>
          <w:rFonts w:ascii="Times New Roman" w:hAnsi="Times New Roman"/>
          <w:sz w:val="24"/>
          <w:szCs w:val="24"/>
        </w:rPr>
      </w:pPr>
      <w:r w:rsidRPr="003E2CA7">
        <w:rPr>
          <w:rFonts w:ascii="Times New Roman" w:hAnsi="Times New Roman"/>
          <w:sz w:val="24"/>
          <w:szCs w:val="24"/>
        </w:rPr>
        <w:t>MEFT</w:t>
      </w:r>
      <w:r w:rsidR="00D23BAB" w:rsidRPr="003E2CA7">
        <w:rPr>
          <w:rFonts w:ascii="Times New Roman" w:hAnsi="Times New Roman"/>
          <w:sz w:val="24"/>
          <w:szCs w:val="24"/>
        </w:rPr>
        <w:t xml:space="preserve"> should complete the 2018 legislation amendments</w:t>
      </w:r>
      <w:r w:rsidRPr="003E2CA7">
        <w:rPr>
          <w:rFonts w:ascii="Times New Roman" w:hAnsi="Times New Roman"/>
          <w:sz w:val="24"/>
          <w:szCs w:val="24"/>
        </w:rPr>
        <w:t xml:space="preserve"> and </w:t>
      </w:r>
      <w:r w:rsidR="003E2CA7" w:rsidRPr="003E2CA7">
        <w:rPr>
          <w:rFonts w:ascii="Times New Roman" w:hAnsi="Times New Roman"/>
          <w:sz w:val="24"/>
          <w:szCs w:val="24"/>
        </w:rPr>
        <w:t>embrace</w:t>
      </w:r>
      <w:r w:rsidRPr="003E2CA7">
        <w:rPr>
          <w:rFonts w:ascii="Times New Roman" w:hAnsi="Times New Roman"/>
          <w:sz w:val="24"/>
          <w:szCs w:val="24"/>
        </w:rPr>
        <w:t xml:space="preserve"> an integrated system inclusive of EIA and SEA requirements</w:t>
      </w:r>
      <w:r w:rsidR="003E2CA7" w:rsidRPr="003E2CA7">
        <w:rPr>
          <w:rFonts w:ascii="Times New Roman" w:hAnsi="Times New Roman"/>
          <w:sz w:val="24"/>
          <w:szCs w:val="24"/>
        </w:rPr>
        <w:t xml:space="preserve"> to improve the robustness of the system</w:t>
      </w:r>
      <w:r w:rsidR="00D23BAB" w:rsidRPr="003E2CA7">
        <w:rPr>
          <w:rFonts w:ascii="Times New Roman" w:hAnsi="Times New Roman"/>
          <w:sz w:val="24"/>
          <w:szCs w:val="24"/>
        </w:rPr>
        <w:t>. An implementation plan should be designed</w:t>
      </w:r>
      <w:r w:rsidR="00397A7C">
        <w:rPr>
          <w:rFonts w:ascii="Times New Roman" w:hAnsi="Times New Roman"/>
          <w:sz w:val="24"/>
          <w:szCs w:val="24"/>
        </w:rPr>
        <w:t xml:space="preserve"> to clarify</w:t>
      </w:r>
      <w:r w:rsidR="00D23BAB" w:rsidRPr="003E2CA7">
        <w:rPr>
          <w:rFonts w:ascii="Times New Roman" w:hAnsi="Times New Roman"/>
          <w:sz w:val="24"/>
          <w:szCs w:val="24"/>
        </w:rPr>
        <w:t xml:space="preserve"> </w:t>
      </w:r>
      <w:r w:rsidRPr="003E2CA7">
        <w:rPr>
          <w:rFonts w:ascii="Times New Roman" w:hAnsi="Times New Roman"/>
          <w:sz w:val="24"/>
          <w:szCs w:val="24"/>
        </w:rPr>
        <w:t xml:space="preserve">the </w:t>
      </w:r>
      <w:r w:rsidR="00D23BAB" w:rsidRPr="003E2CA7">
        <w:rPr>
          <w:rFonts w:ascii="Times New Roman" w:hAnsi="Times New Roman"/>
          <w:sz w:val="24"/>
          <w:szCs w:val="24"/>
        </w:rPr>
        <w:t>roles and responsibilities of</w:t>
      </w:r>
      <w:r w:rsidR="003E2CA7" w:rsidRPr="003E2CA7">
        <w:rPr>
          <w:rFonts w:ascii="Times New Roman" w:hAnsi="Times New Roman"/>
          <w:sz w:val="24"/>
          <w:szCs w:val="24"/>
        </w:rPr>
        <w:t xml:space="preserve"> stakeholders</w:t>
      </w:r>
      <w:r w:rsidR="00C265AC">
        <w:rPr>
          <w:rFonts w:ascii="Times New Roman" w:hAnsi="Times New Roman"/>
          <w:sz w:val="24"/>
          <w:szCs w:val="24"/>
        </w:rPr>
        <w:t>, thresholds and screening categories and</w:t>
      </w:r>
      <w:r w:rsidR="003E2CA7" w:rsidRPr="003E2CA7">
        <w:rPr>
          <w:rFonts w:ascii="Times New Roman" w:hAnsi="Times New Roman"/>
          <w:sz w:val="24"/>
          <w:szCs w:val="24"/>
        </w:rPr>
        <w:t xml:space="preserve"> </w:t>
      </w:r>
      <w:r w:rsidR="00C265AC">
        <w:rPr>
          <w:rFonts w:ascii="Times New Roman" w:hAnsi="Times New Roman"/>
          <w:sz w:val="24"/>
          <w:szCs w:val="24"/>
        </w:rPr>
        <w:t xml:space="preserve">consideration of alternatives and cumulative effects. </w:t>
      </w:r>
    </w:p>
    <w:p w:rsidR="00733342" w:rsidRPr="003E2CA7" w:rsidRDefault="006B01F0" w:rsidP="003E2CA7">
      <w:pPr>
        <w:numPr>
          <w:ilvl w:val="0"/>
          <w:numId w:val="14"/>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MEFT should c</w:t>
      </w:r>
      <w:r w:rsidR="00C265AC">
        <w:rPr>
          <w:rFonts w:ascii="Times New Roman" w:hAnsi="Times New Roman"/>
          <w:sz w:val="24"/>
          <w:szCs w:val="24"/>
        </w:rPr>
        <w:t>onsider developing</w:t>
      </w:r>
      <w:r w:rsidR="003E2CA7">
        <w:rPr>
          <w:rFonts w:ascii="Times New Roman" w:hAnsi="Times New Roman"/>
          <w:sz w:val="24"/>
          <w:szCs w:val="24"/>
        </w:rPr>
        <w:t xml:space="preserve"> an </w:t>
      </w:r>
      <w:r w:rsidR="00D23BAB" w:rsidRPr="003E2CA7">
        <w:rPr>
          <w:rFonts w:ascii="Times New Roman" w:hAnsi="Times New Roman"/>
          <w:sz w:val="24"/>
          <w:szCs w:val="24"/>
        </w:rPr>
        <w:t xml:space="preserve">open database </w:t>
      </w:r>
      <w:r w:rsidR="003E2CA7">
        <w:rPr>
          <w:rFonts w:ascii="Times New Roman" w:hAnsi="Times New Roman"/>
          <w:sz w:val="24"/>
          <w:szCs w:val="24"/>
        </w:rPr>
        <w:t>to</w:t>
      </w:r>
      <w:r w:rsidR="00EE5402" w:rsidRPr="003E2CA7">
        <w:rPr>
          <w:rFonts w:ascii="Times New Roman" w:hAnsi="Times New Roman"/>
          <w:sz w:val="24"/>
          <w:szCs w:val="24"/>
        </w:rPr>
        <w:t xml:space="preserve"> pu</w:t>
      </w:r>
      <w:r w:rsidR="003E2CA7">
        <w:rPr>
          <w:rFonts w:ascii="Times New Roman" w:hAnsi="Times New Roman"/>
          <w:sz w:val="24"/>
          <w:szCs w:val="24"/>
        </w:rPr>
        <w:t xml:space="preserve">blish all submitted EIA reports </w:t>
      </w:r>
      <w:r w:rsidR="00B413F3">
        <w:rPr>
          <w:rFonts w:ascii="Times New Roman" w:hAnsi="Times New Roman"/>
          <w:sz w:val="24"/>
          <w:szCs w:val="24"/>
        </w:rPr>
        <w:t xml:space="preserve"> and the decision taken on projects </w:t>
      </w:r>
      <w:r w:rsidR="003E2CA7">
        <w:rPr>
          <w:rFonts w:ascii="Times New Roman" w:hAnsi="Times New Roman"/>
          <w:sz w:val="24"/>
          <w:szCs w:val="24"/>
        </w:rPr>
        <w:t>to encourage</w:t>
      </w:r>
      <w:r w:rsidR="00C265AC" w:rsidRPr="00C265AC">
        <w:rPr>
          <w:rFonts w:ascii="Times New Roman" w:hAnsi="Times New Roman"/>
          <w:sz w:val="24"/>
          <w:szCs w:val="24"/>
        </w:rPr>
        <w:t xml:space="preserve"> </w:t>
      </w:r>
      <w:r w:rsidR="00C265AC" w:rsidRPr="003E2CA7">
        <w:rPr>
          <w:rFonts w:ascii="Times New Roman" w:hAnsi="Times New Roman"/>
          <w:sz w:val="24"/>
          <w:szCs w:val="24"/>
        </w:rPr>
        <w:t>communication and information sharing</w:t>
      </w:r>
      <w:r w:rsidR="00C265AC">
        <w:rPr>
          <w:rFonts w:ascii="Times New Roman" w:hAnsi="Times New Roman"/>
          <w:sz w:val="24"/>
          <w:szCs w:val="24"/>
        </w:rPr>
        <w:t>,</w:t>
      </w:r>
      <w:r w:rsidR="003E2CA7">
        <w:rPr>
          <w:rFonts w:ascii="Times New Roman" w:hAnsi="Times New Roman"/>
          <w:sz w:val="24"/>
          <w:szCs w:val="24"/>
        </w:rPr>
        <w:t xml:space="preserve"> </w:t>
      </w:r>
      <w:r w:rsidR="00D23BAB" w:rsidRPr="003E2CA7">
        <w:rPr>
          <w:rFonts w:ascii="Times New Roman" w:hAnsi="Times New Roman"/>
          <w:sz w:val="24"/>
          <w:szCs w:val="24"/>
        </w:rPr>
        <w:t>public scrutiny and research.</w:t>
      </w:r>
    </w:p>
    <w:p w:rsidR="00733342" w:rsidRPr="009E7BC9" w:rsidRDefault="006B01F0" w:rsidP="00733342">
      <w:pPr>
        <w:numPr>
          <w:ilvl w:val="0"/>
          <w:numId w:val="14"/>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The g</w:t>
      </w:r>
      <w:r w:rsidR="009E6E20">
        <w:rPr>
          <w:rFonts w:ascii="Times New Roman" w:hAnsi="Times New Roman"/>
          <w:sz w:val="24"/>
          <w:szCs w:val="24"/>
        </w:rPr>
        <w:t xml:space="preserve">overnment should certify </w:t>
      </w:r>
      <w:r w:rsidR="00D23BAB">
        <w:rPr>
          <w:rFonts w:ascii="Times New Roman" w:hAnsi="Times New Roman"/>
          <w:sz w:val="24"/>
          <w:szCs w:val="24"/>
        </w:rPr>
        <w:t xml:space="preserve">DEA </w:t>
      </w:r>
      <w:r w:rsidR="009E6E20">
        <w:rPr>
          <w:rFonts w:ascii="Times New Roman" w:hAnsi="Times New Roman"/>
          <w:sz w:val="24"/>
          <w:szCs w:val="24"/>
        </w:rPr>
        <w:t xml:space="preserve">as a </w:t>
      </w:r>
      <w:r w:rsidR="00D23BAB">
        <w:rPr>
          <w:rFonts w:ascii="Times New Roman" w:hAnsi="Times New Roman"/>
          <w:sz w:val="24"/>
          <w:szCs w:val="24"/>
        </w:rPr>
        <w:t xml:space="preserve">state-owned enterprise to improve its autonomy and independence. In the new institution, establish a </w:t>
      </w:r>
      <w:r w:rsidR="00C265AC">
        <w:rPr>
          <w:rFonts w:ascii="Times New Roman" w:hAnsi="Times New Roman"/>
          <w:sz w:val="24"/>
          <w:szCs w:val="24"/>
        </w:rPr>
        <w:t>subsidiary bod</w:t>
      </w:r>
      <w:r w:rsidR="00B42FD6">
        <w:rPr>
          <w:rFonts w:ascii="Times New Roman" w:hAnsi="Times New Roman"/>
          <w:sz w:val="24"/>
          <w:szCs w:val="24"/>
        </w:rPr>
        <w:t>y</w:t>
      </w:r>
      <w:r w:rsidR="00D23BAB">
        <w:rPr>
          <w:rFonts w:ascii="Times New Roman" w:hAnsi="Times New Roman"/>
          <w:sz w:val="24"/>
          <w:szCs w:val="24"/>
        </w:rPr>
        <w:t xml:space="preserve"> </w:t>
      </w:r>
      <w:r w:rsidR="00C265AC">
        <w:rPr>
          <w:rFonts w:ascii="Times New Roman" w:hAnsi="Times New Roman"/>
          <w:sz w:val="24"/>
          <w:szCs w:val="24"/>
        </w:rPr>
        <w:t xml:space="preserve">responsible for review and decision making and another </w:t>
      </w:r>
      <w:r w:rsidR="00D23BAB">
        <w:rPr>
          <w:rFonts w:ascii="Times New Roman" w:hAnsi="Times New Roman"/>
          <w:sz w:val="24"/>
          <w:szCs w:val="24"/>
        </w:rPr>
        <w:t>to manage registration and certification of EIA practitioners, EIA payments between the developer and the consultants and payments from EIA fines.</w:t>
      </w:r>
    </w:p>
    <w:p w:rsidR="00733342" w:rsidRPr="002A6968" w:rsidRDefault="006B01F0" w:rsidP="00733342">
      <w:pPr>
        <w:numPr>
          <w:ilvl w:val="0"/>
          <w:numId w:val="14"/>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lastRenderedPageBreak/>
        <w:t>The government should seek funds to invest in EIA services to</w:t>
      </w:r>
      <w:r w:rsidR="00EE5402">
        <w:rPr>
          <w:rFonts w:ascii="Times New Roman" w:hAnsi="Times New Roman"/>
          <w:sz w:val="24"/>
          <w:szCs w:val="24"/>
        </w:rPr>
        <w:t>:</w:t>
      </w:r>
      <w:r>
        <w:rPr>
          <w:rFonts w:ascii="Times New Roman" w:hAnsi="Times New Roman"/>
          <w:sz w:val="24"/>
          <w:szCs w:val="24"/>
        </w:rPr>
        <w:t xml:space="preserve"> attract experts into the institution,</w:t>
      </w:r>
      <w:r w:rsidR="00EE5402" w:rsidRPr="00EE5402">
        <w:rPr>
          <w:rFonts w:ascii="Times New Roman" w:hAnsi="Times New Roman"/>
          <w:sz w:val="24"/>
          <w:szCs w:val="24"/>
        </w:rPr>
        <w:t xml:space="preserve"> </w:t>
      </w:r>
      <w:r w:rsidR="00EE5402">
        <w:rPr>
          <w:rFonts w:ascii="Times New Roman" w:hAnsi="Times New Roman"/>
          <w:sz w:val="24"/>
          <w:szCs w:val="24"/>
        </w:rPr>
        <w:t xml:space="preserve">strengthen the human resource capacity for monitoring and enforcement; </w:t>
      </w:r>
      <w:r>
        <w:rPr>
          <w:rFonts w:ascii="Times New Roman" w:hAnsi="Times New Roman"/>
          <w:sz w:val="24"/>
          <w:szCs w:val="24"/>
        </w:rPr>
        <w:t>provide training and capacity</w:t>
      </w:r>
      <w:r w:rsidR="00EE5402">
        <w:rPr>
          <w:rFonts w:ascii="Times New Roman" w:hAnsi="Times New Roman"/>
          <w:sz w:val="24"/>
          <w:szCs w:val="24"/>
        </w:rPr>
        <w:t xml:space="preserve"> building to EIA practitioners and decentralize</w:t>
      </w:r>
      <w:r>
        <w:rPr>
          <w:rFonts w:ascii="Times New Roman" w:hAnsi="Times New Roman"/>
          <w:sz w:val="24"/>
          <w:szCs w:val="24"/>
        </w:rPr>
        <w:t xml:space="preserve"> EIA services.</w:t>
      </w:r>
    </w:p>
    <w:p w:rsidR="00451414" w:rsidRDefault="006B01F0" w:rsidP="00733342">
      <w:pPr>
        <w:numPr>
          <w:ilvl w:val="0"/>
          <w:numId w:val="14"/>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MEFT should d</w:t>
      </w:r>
      <w:r w:rsidR="00D23BAB">
        <w:rPr>
          <w:rFonts w:ascii="Times New Roman" w:hAnsi="Times New Roman"/>
          <w:sz w:val="24"/>
          <w:szCs w:val="24"/>
        </w:rPr>
        <w:t xml:space="preserve">evelop guidelines </w:t>
      </w:r>
      <w:r w:rsidR="000F130C">
        <w:rPr>
          <w:rFonts w:ascii="Times New Roman" w:hAnsi="Times New Roman"/>
          <w:sz w:val="24"/>
          <w:szCs w:val="24"/>
        </w:rPr>
        <w:t xml:space="preserve">and SOP </w:t>
      </w:r>
      <w:r w:rsidR="00D23BAB">
        <w:rPr>
          <w:rFonts w:ascii="Times New Roman" w:hAnsi="Times New Roman"/>
          <w:sz w:val="24"/>
          <w:szCs w:val="24"/>
        </w:rPr>
        <w:t xml:space="preserve">for </w:t>
      </w:r>
      <w:r w:rsidR="00A77498">
        <w:rPr>
          <w:rFonts w:ascii="Times New Roman" w:hAnsi="Times New Roman"/>
          <w:sz w:val="24"/>
          <w:szCs w:val="24"/>
        </w:rPr>
        <w:t>critical EIA</w:t>
      </w:r>
      <w:r w:rsidR="000839C2">
        <w:rPr>
          <w:rFonts w:ascii="Times New Roman" w:hAnsi="Times New Roman"/>
          <w:sz w:val="24"/>
          <w:szCs w:val="24"/>
        </w:rPr>
        <w:t xml:space="preserve"> </w:t>
      </w:r>
      <w:r w:rsidR="00D23BAB">
        <w:rPr>
          <w:rFonts w:ascii="Times New Roman" w:hAnsi="Times New Roman"/>
          <w:sz w:val="24"/>
          <w:szCs w:val="24"/>
        </w:rPr>
        <w:t>stages</w:t>
      </w:r>
      <w:r w:rsidR="000F130C">
        <w:rPr>
          <w:rFonts w:ascii="Times New Roman" w:hAnsi="Times New Roman"/>
          <w:sz w:val="24"/>
          <w:szCs w:val="24"/>
        </w:rPr>
        <w:t xml:space="preserve"> such as scoping, public consultation and review,</w:t>
      </w:r>
      <w:r w:rsidR="002A6968">
        <w:rPr>
          <w:rFonts w:ascii="Times New Roman" w:hAnsi="Times New Roman"/>
          <w:sz w:val="24"/>
          <w:szCs w:val="24"/>
        </w:rPr>
        <w:t xml:space="preserve"> indicating the me</w:t>
      </w:r>
      <w:r w:rsidR="009E7BC9">
        <w:rPr>
          <w:rFonts w:ascii="Times New Roman" w:hAnsi="Times New Roman"/>
          <w:sz w:val="24"/>
          <w:szCs w:val="24"/>
        </w:rPr>
        <w:t>thods and approaches to</w:t>
      </w:r>
      <w:r w:rsidR="00E60992">
        <w:rPr>
          <w:rFonts w:ascii="Times New Roman" w:hAnsi="Times New Roman"/>
          <w:sz w:val="24"/>
          <w:szCs w:val="24"/>
        </w:rPr>
        <w:t xml:space="preserve"> </w:t>
      </w:r>
      <w:r w:rsidR="00894F84">
        <w:rPr>
          <w:rFonts w:ascii="Times New Roman" w:hAnsi="Times New Roman"/>
          <w:sz w:val="24"/>
          <w:szCs w:val="24"/>
        </w:rPr>
        <w:t>ensure consistency</w:t>
      </w:r>
      <w:r w:rsidR="002A6968">
        <w:rPr>
          <w:rFonts w:ascii="Times New Roman" w:hAnsi="Times New Roman"/>
          <w:sz w:val="24"/>
          <w:szCs w:val="24"/>
        </w:rPr>
        <w:t xml:space="preserve"> and quality of </w:t>
      </w:r>
      <w:r w:rsidR="00894F84">
        <w:rPr>
          <w:rFonts w:ascii="Times New Roman" w:hAnsi="Times New Roman"/>
          <w:sz w:val="24"/>
          <w:szCs w:val="24"/>
        </w:rPr>
        <w:t xml:space="preserve">the assessment process. </w:t>
      </w:r>
    </w:p>
    <w:p w:rsidR="002A09E0" w:rsidRPr="00733342" w:rsidRDefault="002A09E0" w:rsidP="002A09E0">
      <w:pPr>
        <w:autoSpaceDE w:val="0"/>
        <w:autoSpaceDN w:val="0"/>
        <w:adjustRightInd w:val="0"/>
        <w:spacing w:line="360" w:lineRule="auto"/>
        <w:ind w:left="360"/>
        <w:jc w:val="both"/>
        <w:rPr>
          <w:rFonts w:ascii="Times New Roman" w:hAnsi="Times New Roman"/>
          <w:sz w:val="24"/>
          <w:szCs w:val="24"/>
        </w:rPr>
      </w:pPr>
    </w:p>
    <w:p w:rsidR="00BB6E7A" w:rsidRPr="00BB6E7A" w:rsidRDefault="006B01F0" w:rsidP="00563CA5">
      <w:pPr>
        <w:autoSpaceDE w:val="0"/>
        <w:autoSpaceDN w:val="0"/>
        <w:adjustRightInd w:val="0"/>
        <w:spacing w:line="360" w:lineRule="auto"/>
        <w:jc w:val="both"/>
        <w:rPr>
          <w:rFonts w:ascii="Times New Roman" w:hAnsi="Times New Roman"/>
          <w:sz w:val="24"/>
          <w:szCs w:val="24"/>
        </w:rPr>
      </w:pPr>
      <w:r w:rsidRPr="00BB6E7A">
        <w:rPr>
          <w:rFonts w:ascii="Times New Roman" w:hAnsi="Times New Roman"/>
          <w:b/>
          <w:sz w:val="24"/>
          <w:szCs w:val="24"/>
        </w:rPr>
        <w:t>Acknowledg</w:t>
      </w:r>
      <w:r w:rsidR="00A40FFC">
        <w:rPr>
          <w:rFonts w:ascii="Times New Roman" w:hAnsi="Times New Roman"/>
          <w:b/>
          <w:sz w:val="24"/>
          <w:szCs w:val="24"/>
        </w:rPr>
        <w:t>e</w:t>
      </w:r>
      <w:r w:rsidRPr="00BB6E7A">
        <w:rPr>
          <w:rFonts w:ascii="Times New Roman" w:hAnsi="Times New Roman"/>
          <w:b/>
          <w:sz w:val="24"/>
          <w:szCs w:val="24"/>
        </w:rPr>
        <w:t>ment</w:t>
      </w:r>
      <w:r w:rsidRPr="00BB6E7A">
        <w:rPr>
          <w:rFonts w:ascii="Times New Roman" w:hAnsi="Times New Roman"/>
          <w:sz w:val="24"/>
          <w:szCs w:val="24"/>
        </w:rPr>
        <w:t xml:space="preserve">s: We thank the experts who shared their valuable experiences on EIA in Namibia. Appreciation also goes to the supervisors for commenting and reviewing this work. </w:t>
      </w:r>
    </w:p>
    <w:p w:rsidR="002F1367" w:rsidRDefault="002F1367" w:rsidP="00563CA5">
      <w:pPr>
        <w:autoSpaceDE w:val="0"/>
        <w:autoSpaceDN w:val="0"/>
        <w:adjustRightInd w:val="0"/>
        <w:spacing w:line="360" w:lineRule="auto"/>
        <w:jc w:val="both"/>
        <w:rPr>
          <w:rFonts w:ascii="Times New Roman" w:hAnsi="Times New Roman"/>
          <w:b/>
          <w:sz w:val="24"/>
          <w:szCs w:val="24"/>
        </w:rPr>
      </w:pPr>
    </w:p>
    <w:p w:rsidR="004C4643" w:rsidRPr="00BB6E7A" w:rsidRDefault="006B01F0" w:rsidP="00563CA5">
      <w:pPr>
        <w:autoSpaceDE w:val="0"/>
        <w:autoSpaceDN w:val="0"/>
        <w:adjustRightInd w:val="0"/>
        <w:spacing w:line="360" w:lineRule="auto"/>
        <w:jc w:val="both"/>
        <w:rPr>
          <w:rFonts w:ascii="Times New Roman" w:hAnsi="Times New Roman"/>
          <w:sz w:val="24"/>
          <w:szCs w:val="24"/>
        </w:rPr>
      </w:pPr>
      <w:r w:rsidRPr="00BB6E7A">
        <w:rPr>
          <w:rFonts w:ascii="Times New Roman" w:hAnsi="Times New Roman"/>
          <w:b/>
          <w:sz w:val="24"/>
          <w:szCs w:val="24"/>
        </w:rPr>
        <w:t>Funding</w:t>
      </w:r>
      <w:r w:rsidRPr="00BB6E7A">
        <w:rPr>
          <w:rFonts w:ascii="Times New Roman" w:hAnsi="Times New Roman"/>
          <w:sz w:val="24"/>
          <w:szCs w:val="24"/>
        </w:rPr>
        <w:t xml:space="preserve">: This work was supported by the Commonwealth Commission Split-Site Scholarship through </w:t>
      </w:r>
      <w:r w:rsidR="00A40FFC">
        <w:rPr>
          <w:rFonts w:ascii="Times New Roman" w:hAnsi="Times New Roman"/>
          <w:sz w:val="24"/>
          <w:szCs w:val="24"/>
        </w:rPr>
        <w:t xml:space="preserve">the </w:t>
      </w:r>
      <w:r w:rsidRPr="00BB6E7A">
        <w:rPr>
          <w:rFonts w:ascii="Times New Roman" w:hAnsi="Times New Roman"/>
          <w:sz w:val="24"/>
          <w:szCs w:val="24"/>
        </w:rPr>
        <w:t>funding of the author’s PhD studies at the University of Leeds and the University of Namibia.</w:t>
      </w:r>
    </w:p>
    <w:p w:rsidR="00EE5402" w:rsidRDefault="00EE5402" w:rsidP="00E83DDA">
      <w:pPr>
        <w:autoSpaceDE w:val="0"/>
        <w:autoSpaceDN w:val="0"/>
        <w:adjustRightInd w:val="0"/>
        <w:spacing w:line="240" w:lineRule="auto"/>
        <w:jc w:val="both"/>
        <w:rPr>
          <w:sz w:val="20"/>
          <w:szCs w:val="20"/>
        </w:rPr>
      </w:pPr>
    </w:p>
    <w:p w:rsidR="00D84430" w:rsidRPr="00E83DDA" w:rsidRDefault="006B01F0" w:rsidP="00C710EA">
      <w:pPr>
        <w:numPr>
          <w:ilvl w:val="0"/>
          <w:numId w:val="17"/>
        </w:numPr>
        <w:autoSpaceDE w:val="0"/>
        <w:autoSpaceDN w:val="0"/>
        <w:adjustRightInd w:val="0"/>
        <w:spacing w:line="360" w:lineRule="auto"/>
        <w:jc w:val="both"/>
        <w:rPr>
          <w:rFonts w:ascii="Times New Roman" w:hAnsi="Times New Roman"/>
          <w:b/>
          <w:sz w:val="24"/>
          <w:szCs w:val="24"/>
        </w:rPr>
      </w:pPr>
      <w:r w:rsidRPr="00C71F4F">
        <w:rPr>
          <w:rFonts w:ascii="Times New Roman" w:hAnsi="Times New Roman"/>
          <w:b/>
          <w:sz w:val="24"/>
          <w:szCs w:val="24"/>
        </w:rPr>
        <w:t>References</w:t>
      </w:r>
    </w:p>
    <w:p w:rsidR="00D84430" w:rsidRPr="00B74D60"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B74D60">
        <w:rPr>
          <w:rFonts w:ascii="Times New Roman" w:hAnsi="Times New Roman"/>
          <w:sz w:val="24"/>
          <w:szCs w:val="24"/>
        </w:rPr>
        <w:fldChar w:fldCharType="begin" w:fldLock="1"/>
      </w:r>
      <w:r w:rsidRPr="00B74D60">
        <w:rPr>
          <w:rFonts w:ascii="Times New Roman" w:hAnsi="Times New Roman"/>
          <w:sz w:val="24"/>
          <w:szCs w:val="24"/>
        </w:rPr>
        <w:instrText xml:space="preserve">ADDIN Mendeley Bibliography CSL_BIBLIOGRAPHY </w:instrText>
      </w:r>
      <w:r w:rsidRPr="00B74D60">
        <w:rPr>
          <w:rFonts w:ascii="Times New Roman" w:hAnsi="Times New Roman"/>
          <w:sz w:val="24"/>
          <w:szCs w:val="24"/>
        </w:rPr>
        <w:fldChar w:fldCharType="separate"/>
      </w:r>
      <w:r w:rsidRPr="00B74D60">
        <w:rPr>
          <w:rFonts w:ascii="Times New Roman" w:hAnsi="Times New Roman"/>
          <w:noProof/>
          <w:sz w:val="24"/>
          <w:szCs w:val="24"/>
        </w:rPr>
        <w:t xml:space="preserve">Ahmad, B., &amp; Wood, C. (2002). A comparative evaluation of the EIA systems in Egypt, Turkey and Tunisia. </w:t>
      </w:r>
      <w:r w:rsidRPr="00B74D60">
        <w:rPr>
          <w:rFonts w:ascii="Times New Roman" w:hAnsi="Times New Roman"/>
          <w:i/>
          <w:iCs/>
          <w:noProof/>
          <w:sz w:val="24"/>
          <w:szCs w:val="24"/>
        </w:rPr>
        <w:t>Environmental Impact Assessment Review</w:t>
      </w:r>
      <w:r w:rsidRPr="00B74D60">
        <w:rPr>
          <w:rFonts w:ascii="Times New Roman" w:hAnsi="Times New Roman"/>
          <w:noProof/>
          <w:sz w:val="24"/>
          <w:szCs w:val="24"/>
        </w:rPr>
        <w:t xml:space="preserve">, </w:t>
      </w:r>
      <w:r w:rsidRPr="00B74D60">
        <w:rPr>
          <w:rFonts w:ascii="Times New Roman" w:hAnsi="Times New Roman"/>
          <w:i/>
          <w:iCs/>
          <w:noProof/>
          <w:sz w:val="24"/>
          <w:szCs w:val="24"/>
        </w:rPr>
        <w:t>22</w:t>
      </w:r>
      <w:r w:rsidRPr="00B74D60">
        <w:rPr>
          <w:rFonts w:ascii="Times New Roman" w:hAnsi="Times New Roman"/>
          <w:noProof/>
          <w:sz w:val="24"/>
          <w:szCs w:val="24"/>
        </w:rPr>
        <w:t>, 213–234</w:t>
      </w:r>
      <w:r w:rsidR="00B33893" w:rsidRPr="00B74D60">
        <w:rPr>
          <w:rFonts w:ascii="Times New Roman" w:hAnsi="Times New Roman"/>
          <w:noProof/>
          <w:sz w:val="24"/>
          <w:szCs w:val="24"/>
        </w:rPr>
        <w:t>.</w:t>
      </w:r>
      <w:r w:rsidR="007C70AA" w:rsidRPr="00B74D60">
        <w:rPr>
          <w:rFonts w:ascii="Times New Roman" w:hAnsi="Times New Roman"/>
          <w:noProof/>
          <w:sz w:val="24"/>
          <w:szCs w:val="24"/>
        </w:rPr>
        <w:t xml:space="preserve"> </w:t>
      </w:r>
      <w:r w:rsidRPr="00B74D60">
        <w:rPr>
          <w:rFonts w:ascii="Times New Roman" w:hAnsi="Times New Roman"/>
          <w:noProof/>
          <w:sz w:val="24"/>
          <w:szCs w:val="24"/>
        </w:rPr>
        <w:t>https://doi.org/10.1016/S0195-9255(02)00004-5</w:t>
      </w:r>
    </w:p>
    <w:p w:rsidR="00D84430" w:rsidRPr="00B74D60"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B74D60">
        <w:rPr>
          <w:rFonts w:ascii="Times New Roman" w:hAnsi="Times New Roman"/>
          <w:noProof/>
          <w:sz w:val="24"/>
          <w:szCs w:val="24"/>
        </w:rPr>
        <w:t xml:space="preserve">Arts, J, Runhaar, H. A. C., Fischer, T. B., Jha-Thakur, U., Van Laerhoven, F, Driessen, P. P. J., &amp; Onyango, V. (2012). The effectiveness of EIA as an instrument for environmental governance: reflecting on 25 years of EIA practice in the Netherlands and the UK. </w:t>
      </w:r>
      <w:r w:rsidRPr="00B74D60">
        <w:rPr>
          <w:rFonts w:ascii="Times New Roman" w:hAnsi="Times New Roman"/>
          <w:i/>
          <w:iCs/>
          <w:noProof/>
          <w:sz w:val="24"/>
          <w:szCs w:val="24"/>
        </w:rPr>
        <w:t>Journal of Environmental Assessment Policy and Management</w:t>
      </w:r>
      <w:r w:rsidR="00B33893" w:rsidRPr="00B74D60">
        <w:rPr>
          <w:rFonts w:ascii="Times New Roman" w:hAnsi="Times New Roman"/>
          <w:noProof/>
          <w:sz w:val="24"/>
          <w:szCs w:val="24"/>
        </w:rPr>
        <w:t>,</w:t>
      </w:r>
      <w:r w:rsidRPr="00B74D60">
        <w:rPr>
          <w:rFonts w:ascii="Times New Roman" w:hAnsi="Times New Roman"/>
          <w:noProof/>
          <w:sz w:val="24"/>
          <w:szCs w:val="24"/>
        </w:rPr>
        <w:t xml:space="preserve"> </w:t>
      </w:r>
      <w:r w:rsidR="004465FD" w:rsidRPr="00B74D60">
        <w:rPr>
          <w:rFonts w:ascii="Times New Roman" w:hAnsi="Times New Roman"/>
          <w:noProof/>
          <w:sz w:val="24"/>
          <w:szCs w:val="24"/>
        </w:rPr>
        <w:t>14</w:t>
      </w:r>
      <w:r w:rsidR="00B33893" w:rsidRPr="00B74D60">
        <w:rPr>
          <w:rFonts w:ascii="Times New Roman" w:hAnsi="Times New Roman"/>
          <w:noProof/>
          <w:sz w:val="24"/>
          <w:szCs w:val="24"/>
        </w:rPr>
        <w:t xml:space="preserve"> (</w:t>
      </w:r>
      <w:r w:rsidR="004465FD" w:rsidRPr="00B74D60">
        <w:rPr>
          <w:rFonts w:ascii="Times New Roman" w:hAnsi="Times New Roman"/>
          <w:noProof/>
          <w:sz w:val="24"/>
          <w:szCs w:val="24"/>
        </w:rPr>
        <w:t>4</w:t>
      </w:r>
      <w:r w:rsidR="00B33893" w:rsidRPr="00B74D60">
        <w:rPr>
          <w:rFonts w:ascii="Times New Roman" w:hAnsi="Times New Roman"/>
          <w:noProof/>
          <w:sz w:val="24"/>
          <w:szCs w:val="24"/>
        </w:rPr>
        <w:t>)</w:t>
      </w:r>
      <w:r w:rsidR="004465FD" w:rsidRPr="00B74D60">
        <w:rPr>
          <w:rFonts w:ascii="Times New Roman" w:hAnsi="Times New Roman"/>
          <w:noProof/>
          <w:sz w:val="24"/>
          <w:szCs w:val="24"/>
        </w:rPr>
        <w:t>, 1-40.</w:t>
      </w:r>
      <w:r w:rsidR="007C70AA" w:rsidRPr="00B74D60">
        <w:rPr>
          <w:rFonts w:ascii="Times New Roman" w:hAnsi="Times New Roman"/>
          <w:noProof/>
          <w:sz w:val="24"/>
          <w:szCs w:val="24"/>
        </w:rPr>
        <w:t xml:space="preserve"> </w:t>
      </w:r>
      <w:r w:rsidRPr="00B74D60">
        <w:rPr>
          <w:rFonts w:ascii="Times New Roman" w:hAnsi="Times New Roman"/>
          <w:noProof/>
          <w:sz w:val="24"/>
          <w:szCs w:val="24"/>
        </w:rPr>
        <w:t>https://doi.org/10.1142/S1464333212500251</w:t>
      </w:r>
    </w:p>
    <w:p w:rsidR="00D84430" w:rsidRPr="00B74D60"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B74D60">
        <w:rPr>
          <w:rFonts w:ascii="Times New Roman" w:hAnsi="Times New Roman"/>
          <w:noProof/>
          <w:sz w:val="24"/>
          <w:szCs w:val="24"/>
        </w:rPr>
        <w:t>Aucamp P.J., (2009). Environmental Impact Assessment: a practical guide for the discerning practi</w:t>
      </w:r>
      <w:r w:rsidR="007C70AA" w:rsidRPr="00B74D60">
        <w:rPr>
          <w:rFonts w:ascii="Times New Roman" w:hAnsi="Times New Roman"/>
          <w:noProof/>
          <w:sz w:val="24"/>
          <w:szCs w:val="24"/>
        </w:rPr>
        <w:t>tioner. Van Schaik  Uitgewers: P</w:t>
      </w:r>
      <w:r w:rsidRPr="00B74D60">
        <w:rPr>
          <w:rFonts w:ascii="Times New Roman" w:hAnsi="Times New Roman"/>
          <w:noProof/>
          <w:sz w:val="24"/>
          <w:szCs w:val="24"/>
        </w:rPr>
        <w:t>retoria, South Africa</w:t>
      </w:r>
      <w:r w:rsidR="00B33893" w:rsidRPr="00B74D60">
        <w:rPr>
          <w:rFonts w:ascii="Times New Roman" w:hAnsi="Times New Roman"/>
          <w:noProof/>
          <w:sz w:val="24"/>
          <w:szCs w:val="24"/>
        </w:rPr>
        <w:t>.</w:t>
      </w:r>
    </w:p>
    <w:p w:rsidR="00D84430" w:rsidRPr="00B74D60"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B74D60">
        <w:rPr>
          <w:rFonts w:ascii="Times New Roman" w:hAnsi="Times New Roman"/>
          <w:noProof/>
          <w:sz w:val="24"/>
          <w:szCs w:val="24"/>
        </w:rPr>
        <w:t xml:space="preserve">Boiral, O., Heras-saizarbitoria, I., &amp; Brotherton, M. (2020). Improving environmental management through indigenous peoples ’ involvement. </w:t>
      </w:r>
      <w:r w:rsidRPr="00B74D60">
        <w:rPr>
          <w:rFonts w:ascii="Times New Roman" w:hAnsi="Times New Roman"/>
          <w:i/>
          <w:iCs/>
          <w:noProof/>
          <w:sz w:val="24"/>
          <w:szCs w:val="24"/>
        </w:rPr>
        <w:t>Environmental Science and Policy</w:t>
      </w:r>
      <w:r w:rsidRPr="00B74D60">
        <w:rPr>
          <w:rFonts w:ascii="Times New Roman" w:hAnsi="Times New Roman"/>
          <w:noProof/>
          <w:sz w:val="24"/>
          <w:szCs w:val="24"/>
        </w:rPr>
        <w:t xml:space="preserve">, </w:t>
      </w:r>
      <w:r w:rsidRPr="00B74D60">
        <w:rPr>
          <w:rFonts w:ascii="Times New Roman" w:hAnsi="Times New Roman"/>
          <w:iCs/>
          <w:noProof/>
          <w:sz w:val="24"/>
          <w:szCs w:val="24"/>
        </w:rPr>
        <w:lastRenderedPageBreak/>
        <w:t>103</w:t>
      </w:r>
      <w:r w:rsidRPr="00B74D60">
        <w:rPr>
          <w:rFonts w:ascii="Times New Roman" w:hAnsi="Times New Roman"/>
          <w:noProof/>
          <w:sz w:val="24"/>
          <w:szCs w:val="24"/>
        </w:rPr>
        <w:t>, 10–20. https://doi.org/10.1016/j.envsci.2019.10.006</w:t>
      </w:r>
    </w:p>
    <w:p w:rsidR="00D84430" w:rsidRPr="00B74D60"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B74D60">
        <w:rPr>
          <w:rFonts w:ascii="Times New Roman" w:hAnsi="Times New Roman"/>
          <w:noProof/>
          <w:sz w:val="24"/>
          <w:szCs w:val="24"/>
        </w:rPr>
        <w:t xml:space="preserve">Dalal-Clayton, D. B., &amp; Tarr, P. (2015). Using rapid SEA to influence national planning in Namibia. </w:t>
      </w:r>
      <w:r w:rsidRPr="00B74D60">
        <w:rPr>
          <w:rFonts w:ascii="Times New Roman" w:hAnsi="Times New Roman"/>
          <w:i/>
          <w:iCs/>
          <w:noProof/>
          <w:sz w:val="24"/>
          <w:szCs w:val="24"/>
        </w:rPr>
        <w:t>Impact Assessment and Project Appraisal</w:t>
      </w:r>
      <w:r w:rsidRPr="00B74D60">
        <w:rPr>
          <w:rFonts w:ascii="Times New Roman" w:hAnsi="Times New Roman"/>
          <w:noProof/>
          <w:sz w:val="24"/>
          <w:szCs w:val="24"/>
        </w:rPr>
        <w:t xml:space="preserve">. </w:t>
      </w:r>
      <w:r w:rsidR="00141466" w:rsidRPr="00B74D60">
        <w:rPr>
          <w:rFonts w:ascii="Times New Roman" w:hAnsi="Times New Roman"/>
          <w:noProof/>
          <w:sz w:val="24"/>
          <w:szCs w:val="24"/>
        </w:rPr>
        <w:t>33, 278–283</w:t>
      </w:r>
      <w:r w:rsidR="00B33893" w:rsidRPr="00B74D60">
        <w:rPr>
          <w:rFonts w:ascii="Times New Roman" w:hAnsi="Times New Roman"/>
          <w:noProof/>
          <w:sz w:val="24"/>
          <w:szCs w:val="24"/>
        </w:rPr>
        <w:t>.</w:t>
      </w:r>
      <w:r w:rsidR="00141466" w:rsidRPr="00B74D60">
        <w:rPr>
          <w:rFonts w:ascii="Times New Roman" w:hAnsi="Times New Roman"/>
          <w:noProof/>
          <w:sz w:val="24"/>
          <w:szCs w:val="24"/>
        </w:rPr>
        <w:t xml:space="preserve"> </w:t>
      </w:r>
      <w:r w:rsidRPr="00B74D60">
        <w:rPr>
          <w:rFonts w:ascii="Times New Roman" w:hAnsi="Times New Roman"/>
          <w:noProof/>
          <w:sz w:val="24"/>
          <w:szCs w:val="24"/>
        </w:rPr>
        <w:t>https://doi.org/10.1080/14615517.2015.1063921</w:t>
      </w:r>
    </w:p>
    <w:p w:rsidR="00D84430" w:rsidRPr="00B74D60"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B74D60">
        <w:rPr>
          <w:rFonts w:ascii="Times New Roman" w:hAnsi="Times New Roman"/>
          <w:noProof/>
          <w:sz w:val="24"/>
          <w:szCs w:val="24"/>
        </w:rPr>
        <w:t xml:space="preserve">Drayson, K., Wood, G., &amp; Thompson, S. (2017). An evaluation of ecological impact assessment procedural effectiveness over time. </w:t>
      </w:r>
      <w:r w:rsidRPr="00B74D60">
        <w:rPr>
          <w:rFonts w:ascii="Times New Roman" w:hAnsi="Times New Roman"/>
          <w:i/>
          <w:iCs/>
          <w:noProof/>
          <w:sz w:val="24"/>
          <w:szCs w:val="24"/>
        </w:rPr>
        <w:t>Environmental Science and Policy</w:t>
      </w:r>
      <w:r w:rsidRPr="00B74D60">
        <w:rPr>
          <w:rFonts w:ascii="Times New Roman" w:hAnsi="Times New Roman"/>
          <w:noProof/>
          <w:sz w:val="24"/>
          <w:szCs w:val="24"/>
        </w:rPr>
        <w:t xml:space="preserve">. </w:t>
      </w:r>
      <w:hyperlink r:id="rId9" w:tooltip="Go to table of contents for this volume/issue" w:history="1">
        <w:r w:rsidR="008300B8" w:rsidRPr="00B74D60">
          <w:rPr>
            <w:rFonts w:ascii="Times New Roman" w:hAnsi="Times New Roman"/>
            <w:sz w:val="24"/>
            <w:szCs w:val="24"/>
          </w:rPr>
          <w:t>70</w:t>
        </w:r>
      </w:hyperlink>
      <w:r w:rsidR="008300B8" w:rsidRPr="00B74D60">
        <w:rPr>
          <w:rFonts w:ascii="Times New Roman" w:hAnsi="Times New Roman"/>
          <w:sz w:val="24"/>
          <w:szCs w:val="24"/>
        </w:rPr>
        <w:t>, 54-66</w:t>
      </w:r>
      <w:r w:rsidR="008300B8" w:rsidRPr="00B74D60">
        <w:rPr>
          <w:rFonts w:ascii="Times New Roman" w:hAnsi="Times New Roman"/>
          <w:noProof/>
          <w:sz w:val="24"/>
          <w:szCs w:val="24"/>
        </w:rPr>
        <w:t xml:space="preserve">. </w:t>
      </w:r>
      <w:r w:rsidRPr="00B74D60">
        <w:rPr>
          <w:rFonts w:ascii="Times New Roman" w:hAnsi="Times New Roman"/>
          <w:noProof/>
          <w:sz w:val="24"/>
          <w:szCs w:val="24"/>
        </w:rPr>
        <w:t>https://doi.org/10.1016/j.envsci.2017.01.003</w:t>
      </w:r>
    </w:p>
    <w:p w:rsidR="00D84430" w:rsidRPr="00B74D60"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B74D60">
        <w:rPr>
          <w:rFonts w:ascii="Times New Roman" w:hAnsi="Times New Roman"/>
          <w:noProof/>
          <w:sz w:val="24"/>
          <w:szCs w:val="24"/>
        </w:rPr>
        <w:t>El-Fadl, K., &amp; El-Fadel, M. (2004). Comparative assessment of EIA systems in MENA countrie</w:t>
      </w:r>
      <w:r w:rsidR="008300B8" w:rsidRPr="00B74D60">
        <w:rPr>
          <w:rFonts w:ascii="Times New Roman" w:hAnsi="Times New Roman"/>
          <w:noProof/>
          <w:sz w:val="24"/>
          <w:szCs w:val="24"/>
        </w:rPr>
        <w:t xml:space="preserve">s: Challenges and prospects. </w:t>
      </w:r>
      <w:r w:rsidRPr="00B74D60">
        <w:rPr>
          <w:rFonts w:ascii="Times New Roman" w:hAnsi="Times New Roman"/>
          <w:i/>
          <w:iCs/>
          <w:noProof/>
          <w:sz w:val="24"/>
          <w:szCs w:val="24"/>
        </w:rPr>
        <w:t>Environmental Impact Assessment Review</w:t>
      </w:r>
      <w:r w:rsidRPr="00B74D60">
        <w:rPr>
          <w:rFonts w:ascii="Times New Roman" w:hAnsi="Times New Roman"/>
          <w:noProof/>
          <w:sz w:val="24"/>
          <w:szCs w:val="24"/>
        </w:rPr>
        <w:t xml:space="preserve">. </w:t>
      </w:r>
      <w:r w:rsidR="008300B8" w:rsidRPr="00B74D60">
        <w:rPr>
          <w:rFonts w:ascii="Times New Roman" w:hAnsi="Times New Roman"/>
          <w:noProof/>
          <w:sz w:val="24"/>
          <w:szCs w:val="24"/>
        </w:rPr>
        <w:t>24</w:t>
      </w:r>
      <w:r w:rsidR="00B33893" w:rsidRPr="00B74D60">
        <w:rPr>
          <w:rFonts w:ascii="Times New Roman" w:hAnsi="Times New Roman"/>
          <w:noProof/>
          <w:sz w:val="24"/>
          <w:szCs w:val="24"/>
        </w:rPr>
        <w:t xml:space="preserve"> (</w:t>
      </w:r>
      <w:r w:rsidR="008300B8" w:rsidRPr="00B74D60">
        <w:rPr>
          <w:rFonts w:ascii="Times New Roman" w:hAnsi="Times New Roman"/>
          <w:noProof/>
          <w:sz w:val="24"/>
          <w:szCs w:val="24"/>
        </w:rPr>
        <w:t>6</w:t>
      </w:r>
      <w:r w:rsidR="00B33893" w:rsidRPr="00B74D60">
        <w:rPr>
          <w:rFonts w:ascii="Times New Roman" w:hAnsi="Times New Roman"/>
          <w:noProof/>
          <w:sz w:val="24"/>
          <w:szCs w:val="24"/>
        </w:rPr>
        <w:t>)</w:t>
      </w:r>
      <w:r w:rsidR="008300B8" w:rsidRPr="00B74D60">
        <w:rPr>
          <w:rFonts w:ascii="Times New Roman" w:hAnsi="Times New Roman"/>
          <w:noProof/>
          <w:sz w:val="24"/>
          <w:szCs w:val="24"/>
        </w:rPr>
        <w:t xml:space="preserve">, 553-593. </w:t>
      </w:r>
      <w:r w:rsidRPr="00B74D60">
        <w:rPr>
          <w:rFonts w:ascii="Times New Roman" w:hAnsi="Times New Roman"/>
          <w:noProof/>
          <w:sz w:val="24"/>
          <w:szCs w:val="24"/>
        </w:rPr>
        <w:t>https://doi.org/10.1016/j.eiar.2004.01.004</w:t>
      </w:r>
    </w:p>
    <w:p w:rsidR="00D84430" w:rsidRPr="00B74D60"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B74D60">
        <w:rPr>
          <w:rFonts w:ascii="Times New Roman" w:hAnsi="Times New Roman"/>
          <w:noProof/>
          <w:sz w:val="24"/>
          <w:szCs w:val="24"/>
        </w:rPr>
        <w:t xml:space="preserve">Elvan, O. D. (2018). Analysis of environmental impact assessment practices and legislation in turkey. </w:t>
      </w:r>
      <w:r w:rsidRPr="00B74D60">
        <w:rPr>
          <w:rFonts w:ascii="Times New Roman" w:hAnsi="Times New Roman"/>
          <w:i/>
          <w:iCs/>
          <w:noProof/>
          <w:sz w:val="24"/>
          <w:szCs w:val="24"/>
        </w:rPr>
        <w:t>Environmental Science and Policy</w:t>
      </w:r>
      <w:r w:rsidRPr="00B74D60">
        <w:rPr>
          <w:rFonts w:ascii="Times New Roman" w:hAnsi="Times New Roman"/>
          <w:noProof/>
          <w:sz w:val="24"/>
          <w:szCs w:val="24"/>
        </w:rPr>
        <w:t xml:space="preserve">, </w:t>
      </w:r>
      <w:r w:rsidRPr="00B74D60">
        <w:rPr>
          <w:rFonts w:ascii="Times New Roman" w:hAnsi="Times New Roman"/>
          <w:iCs/>
          <w:noProof/>
          <w:sz w:val="24"/>
          <w:szCs w:val="24"/>
        </w:rPr>
        <w:t>84</w:t>
      </w:r>
      <w:r w:rsidR="009579CB">
        <w:rPr>
          <w:rFonts w:ascii="Times New Roman" w:hAnsi="Times New Roman"/>
          <w:noProof/>
          <w:sz w:val="24"/>
          <w:szCs w:val="24"/>
        </w:rPr>
        <w:t>, 1-</w:t>
      </w:r>
      <w:r w:rsidR="008300B8" w:rsidRPr="00B74D60">
        <w:rPr>
          <w:rFonts w:ascii="Times New Roman" w:hAnsi="Times New Roman"/>
          <w:noProof/>
          <w:sz w:val="24"/>
          <w:szCs w:val="24"/>
        </w:rPr>
        <w:t xml:space="preserve">6. </w:t>
      </w:r>
      <w:r w:rsidRPr="00B74D60">
        <w:rPr>
          <w:rFonts w:ascii="Times New Roman" w:hAnsi="Times New Roman"/>
          <w:noProof/>
          <w:sz w:val="24"/>
          <w:szCs w:val="24"/>
        </w:rPr>
        <w:t>https://doi.org/10.1016/j.envsci.2018.02.008</w:t>
      </w:r>
    </w:p>
    <w:p w:rsidR="00D84430" w:rsidRPr="00B74D60"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B74D60">
        <w:rPr>
          <w:rFonts w:ascii="Times New Roman" w:hAnsi="Times New Roman"/>
          <w:noProof/>
          <w:sz w:val="24"/>
          <w:szCs w:val="24"/>
        </w:rPr>
        <w:t>Fuller, K. (1999). Quality and quality control in EIA. In J. Petts (Ed.), Handbook of Envi</w:t>
      </w:r>
      <w:r w:rsidR="008300B8" w:rsidRPr="00B74D60">
        <w:rPr>
          <w:rFonts w:ascii="Times New Roman" w:hAnsi="Times New Roman"/>
          <w:noProof/>
          <w:sz w:val="24"/>
          <w:szCs w:val="24"/>
        </w:rPr>
        <w:t>ronmental Impact Assessment. 2, 55-82</w:t>
      </w:r>
      <w:r w:rsidRPr="00B74D60">
        <w:rPr>
          <w:rFonts w:ascii="Times New Roman" w:hAnsi="Times New Roman"/>
          <w:noProof/>
          <w:sz w:val="24"/>
          <w:szCs w:val="24"/>
        </w:rPr>
        <w:t>. Oxford, UK: Blackwell Science Ltd.</w:t>
      </w:r>
    </w:p>
    <w:p w:rsidR="009579CB" w:rsidRPr="009579CB" w:rsidRDefault="006B01F0" w:rsidP="009579CB">
      <w:pPr>
        <w:widowControl w:val="0"/>
        <w:autoSpaceDE w:val="0"/>
        <w:autoSpaceDN w:val="0"/>
        <w:adjustRightInd w:val="0"/>
        <w:spacing w:line="360" w:lineRule="auto"/>
        <w:ind w:left="480" w:hanging="480"/>
        <w:jc w:val="both"/>
        <w:rPr>
          <w:rFonts w:ascii="Times New Roman" w:hAnsi="Times New Roman"/>
          <w:noProof/>
          <w:sz w:val="24"/>
          <w:szCs w:val="24"/>
        </w:rPr>
      </w:pPr>
      <w:r w:rsidRPr="009579CB">
        <w:rPr>
          <w:rFonts w:ascii="Times New Roman" w:hAnsi="Times New Roman"/>
          <w:sz w:val="24"/>
          <w:szCs w:val="24"/>
        </w:rPr>
        <w:t>FES &amp; MISA Namibia (2015). Africa</w:t>
      </w:r>
      <w:r>
        <w:rPr>
          <w:rFonts w:ascii="Times New Roman" w:hAnsi="Times New Roman"/>
          <w:sz w:val="24"/>
          <w:szCs w:val="24"/>
        </w:rPr>
        <w:t>n Media Barometer: Namibia.</w:t>
      </w:r>
      <w:r w:rsidRPr="009579CB">
        <w:rPr>
          <w:rFonts w:ascii="Times New Roman" w:hAnsi="Times New Roman"/>
          <w:sz w:val="24"/>
          <w:szCs w:val="24"/>
        </w:rPr>
        <w:t xml:space="preserve"> Friedrich-Ebert-Stiftung &amp; Media Institute of Southern Africa, Windhoek, Namibia.</w:t>
      </w:r>
    </w:p>
    <w:p w:rsidR="00D84430" w:rsidRPr="00B74D60"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B74D60">
        <w:rPr>
          <w:rFonts w:ascii="Times New Roman" w:hAnsi="Times New Roman"/>
          <w:noProof/>
          <w:sz w:val="24"/>
          <w:szCs w:val="24"/>
        </w:rPr>
        <w:t xml:space="preserve">Glasson, John, Therivel, Riki, Chadwick, A. (2012). </w:t>
      </w:r>
      <w:r w:rsidRPr="00B74D60">
        <w:rPr>
          <w:rFonts w:ascii="Times New Roman" w:hAnsi="Times New Roman"/>
          <w:i/>
          <w:iCs/>
          <w:noProof/>
          <w:sz w:val="24"/>
          <w:szCs w:val="24"/>
        </w:rPr>
        <w:t>Introduction to Environmental Impact Assessment</w:t>
      </w:r>
      <w:r w:rsidRPr="00B74D60">
        <w:rPr>
          <w:rFonts w:ascii="Times New Roman" w:hAnsi="Times New Roman"/>
          <w:noProof/>
          <w:sz w:val="24"/>
          <w:szCs w:val="24"/>
        </w:rPr>
        <w:t xml:space="preserve"> (Third</w:t>
      </w:r>
      <w:r w:rsidR="00141466" w:rsidRPr="00B74D60">
        <w:rPr>
          <w:rFonts w:ascii="Times New Roman" w:hAnsi="Times New Roman"/>
          <w:noProof/>
          <w:sz w:val="24"/>
          <w:szCs w:val="24"/>
        </w:rPr>
        <w:t xml:space="preserve"> edition</w:t>
      </w:r>
      <w:r w:rsidRPr="00B74D60">
        <w:rPr>
          <w:rFonts w:ascii="Times New Roman" w:hAnsi="Times New Roman"/>
          <w:noProof/>
          <w:sz w:val="24"/>
          <w:szCs w:val="24"/>
        </w:rPr>
        <w:t>). Routledge.</w:t>
      </w:r>
      <w:r w:rsidR="00141466" w:rsidRPr="00B74D60">
        <w:rPr>
          <w:rFonts w:ascii="Times New Roman" w:hAnsi="Times New Roman"/>
          <w:noProof/>
          <w:sz w:val="24"/>
          <w:szCs w:val="24"/>
        </w:rPr>
        <w:t xml:space="preserve"> London and New York.</w:t>
      </w:r>
    </w:p>
    <w:p w:rsidR="00D84430" w:rsidRPr="00B74D60"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B74D60">
        <w:rPr>
          <w:rFonts w:ascii="Times New Roman" w:hAnsi="Times New Roman"/>
          <w:sz w:val="24"/>
          <w:szCs w:val="24"/>
        </w:rPr>
        <w:t>Government of the Republic of Namibia (1990). The Constitution of the Republic of Namibia. Windhoek: Government of the Republic of Namibia.</w:t>
      </w:r>
    </w:p>
    <w:p w:rsidR="00D84430" w:rsidRPr="00B74D60"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B74D60">
        <w:rPr>
          <w:rFonts w:ascii="Times New Roman" w:hAnsi="Times New Roman"/>
          <w:sz w:val="24"/>
          <w:szCs w:val="24"/>
        </w:rPr>
        <w:t>Government of the Republic of Namibia (2007). Environmental Management Act (Act No. 7, 2007). Government Gazette No. 3966. Windhoek: Government of the Republic of Namibia.</w:t>
      </w:r>
    </w:p>
    <w:p w:rsidR="00D84430" w:rsidRPr="00B74D60"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B74D60">
        <w:rPr>
          <w:rFonts w:ascii="Times New Roman" w:hAnsi="Times New Roman"/>
          <w:sz w:val="24"/>
          <w:szCs w:val="24"/>
        </w:rPr>
        <w:t>Government of the Republic of Namibia (2012). Environmental Impact Assessment Regulations. No 30, Government Gazette No. 4878. Windhoek: Government of the Republic of Namibia.</w:t>
      </w:r>
    </w:p>
    <w:p w:rsidR="00D84430" w:rsidRPr="00B74D60"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B74D60">
        <w:rPr>
          <w:rFonts w:ascii="Times New Roman" w:hAnsi="Times New Roman"/>
          <w:noProof/>
          <w:sz w:val="24"/>
          <w:szCs w:val="24"/>
        </w:rPr>
        <w:t xml:space="preserve">Hipondoka, M. H. T., Dalal-Clayton, D. B., &amp; van Gils, H. (2016). Lessons learnt from voluntary strategic environmental assessments (SEAs) in Namibia. </w:t>
      </w:r>
      <w:r w:rsidRPr="00B74D60">
        <w:rPr>
          <w:rFonts w:ascii="Times New Roman" w:hAnsi="Times New Roman"/>
          <w:i/>
          <w:iCs/>
          <w:noProof/>
          <w:sz w:val="24"/>
          <w:szCs w:val="24"/>
        </w:rPr>
        <w:t xml:space="preserve">Impact Assessment and Project </w:t>
      </w:r>
      <w:r w:rsidRPr="00B74D60">
        <w:rPr>
          <w:rFonts w:ascii="Times New Roman" w:hAnsi="Times New Roman"/>
          <w:i/>
          <w:iCs/>
          <w:noProof/>
          <w:sz w:val="24"/>
          <w:szCs w:val="24"/>
        </w:rPr>
        <w:lastRenderedPageBreak/>
        <w:t>Appraisal</w:t>
      </w:r>
      <w:r w:rsidRPr="00B74D60">
        <w:rPr>
          <w:rFonts w:ascii="Times New Roman" w:hAnsi="Times New Roman"/>
          <w:noProof/>
          <w:sz w:val="24"/>
          <w:szCs w:val="24"/>
        </w:rPr>
        <w:t>.</w:t>
      </w:r>
      <w:r w:rsidR="008300B8" w:rsidRPr="00B74D60">
        <w:rPr>
          <w:rFonts w:ascii="Times New Roman" w:hAnsi="Times New Roman"/>
          <w:sz w:val="24"/>
          <w:szCs w:val="24"/>
        </w:rPr>
        <w:t xml:space="preserve"> </w:t>
      </w:r>
      <w:r w:rsidR="00B33893" w:rsidRPr="00B74D60">
        <w:rPr>
          <w:rFonts w:ascii="Times New Roman" w:hAnsi="Times New Roman"/>
          <w:noProof/>
          <w:sz w:val="24"/>
          <w:szCs w:val="24"/>
        </w:rPr>
        <w:t>34 (</w:t>
      </w:r>
      <w:r w:rsidR="008300B8" w:rsidRPr="00B74D60">
        <w:rPr>
          <w:rFonts w:ascii="Times New Roman" w:hAnsi="Times New Roman"/>
          <w:noProof/>
          <w:sz w:val="24"/>
          <w:szCs w:val="24"/>
        </w:rPr>
        <w:t>3</w:t>
      </w:r>
      <w:r w:rsidR="00B33893" w:rsidRPr="00B74D60">
        <w:rPr>
          <w:rFonts w:ascii="Times New Roman" w:hAnsi="Times New Roman"/>
          <w:noProof/>
          <w:sz w:val="24"/>
          <w:szCs w:val="24"/>
        </w:rPr>
        <w:t>)</w:t>
      </w:r>
      <w:r w:rsidR="008300B8" w:rsidRPr="00B74D60">
        <w:rPr>
          <w:rFonts w:ascii="Times New Roman" w:hAnsi="Times New Roman"/>
          <w:noProof/>
          <w:sz w:val="24"/>
          <w:szCs w:val="24"/>
        </w:rPr>
        <w:t>, 199-213.</w:t>
      </w:r>
      <w:r w:rsidRPr="00B74D60">
        <w:rPr>
          <w:rFonts w:ascii="Times New Roman" w:hAnsi="Times New Roman"/>
          <w:noProof/>
          <w:sz w:val="24"/>
          <w:szCs w:val="24"/>
        </w:rPr>
        <w:t xml:space="preserve"> https://doi.org/10.1080/14615517.2016.1192829</w:t>
      </w:r>
    </w:p>
    <w:p w:rsidR="00D84430" w:rsidRPr="00B74D60"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B74D60">
        <w:rPr>
          <w:rFonts w:ascii="Times New Roman" w:hAnsi="Times New Roman"/>
          <w:noProof/>
          <w:sz w:val="24"/>
          <w:szCs w:val="24"/>
        </w:rPr>
        <w:t xml:space="preserve">Kolhoff, A. J., Driessen, P. P. J., &amp; Runhaar, H. A. C. (2018). Overcoming low EIA performance: A diagnostic tool for the deliberate development of EIA system capacities in low and middle-income countries. </w:t>
      </w:r>
      <w:r w:rsidRPr="00B74D60">
        <w:rPr>
          <w:rFonts w:ascii="Times New Roman" w:hAnsi="Times New Roman"/>
          <w:i/>
          <w:iCs/>
          <w:noProof/>
          <w:sz w:val="24"/>
          <w:szCs w:val="24"/>
        </w:rPr>
        <w:t>Environmental Impact Assessment Review</w:t>
      </w:r>
      <w:r w:rsidR="00B33893" w:rsidRPr="00B74D60">
        <w:rPr>
          <w:rFonts w:ascii="Times New Roman" w:hAnsi="Times New Roman"/>
          <w:noProof/>
          <w:sz w:val="24"/>
          <w:szCs w:val="24"/>
        </w:rPr>
        <w:t>.</w:t>
      </w:r>
      <w:r w:rsidRPr="00B74D60">
        <w:rPr>
          <w:rFonts w:ascii="Times New Roman" w:hAnsi="Times New Roman"/>
          <w:noProof/>
          <w:sz w:val="24"/>
          <w:szCs w:val="24"/>
        </w:rPr>
        <w:t xml:space="preserve"> </w:t>
      </w:r>
      <w:r w:rsidRPr="00B74D60">
        <w:rPr>
          <w:rFonts w:ascii="Times New Roman" w:hAnsi="Times New Roman"/>
          <w:iCs/>
          <w:noProof/>
          <w:sz w:val="24"/>
          <w:szCs w:val="24"/>
        </w:rPr>
        <w:t>68</w:t>
      </w:r>
      <w:r w:rsidRPr="00B74D60">
        <w:rPr>
          <w:rFonts w:ascii="Times New Roman" w:hAnsi="Times New Roman"/>
          <w:noProof/>
          <w:sz w:val="24"/>
          <w:szCs w:val="24"/>
        </w:rPr>
        <w:t>, 98–108. https://doi.org/10.1016/j.eiar.2017.11.001</w:t>
      </w:r>
    </w:p>
    <w:p w:rsidR="00D84430" w:rsidRPr="00B74D60"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B74D60">
        <w:rPr>
          <w:rFonts w:ascii="Times New Roman" w:hAnsi="Times New Roman"/>
          <w:noProof/>
          <w:sz w:val="24"/>
          <w:szCs w:val="24"/>
        </w:rPr>
        <w:t>Marara, M., Okello, N., Kuhanwa, Z., Douven, W., Beevers, L., &amp; Leentvaar, J. (2011). The importance of context in delivering effective EIA: Case studies from East Africa.</w:t>
      </w:r>
      <w:r w:rsidR="00B33893" w:rsidRPr="00B74D60">
        <w:rPr>
          <w:rFonts w:ascii="Times New Roman" w:hAnsi="Times New Roman"/>
          <w:noProof/>
          <w:sz w:val="24"/>
          <w:szCs w:val="24"/>
        </w:rPr>
        <w:t xml:space="preserve"> </w:t>
      </w:r>
      <w:r w:rsidRPr="00B74D60">
        <w:rPr>
          <w:rFonts w:ascii="Times New Roman" w:hAnsi="Times New Roman"/>
          <w:i/>
          <w:iCs/>
          <w:noProof/>
          <w:sz w:val="24"/>
          <w:szCs w:val="24"/>
        </w:rPr>
        <w:t>Environmental Impact Assessment Review</w:t>
      </w:r>
      <w:r w:rsidR="00B33893" w:rsidRPr="00B74D60">
        <w:rPr>
          <w:rFonts w:ascii="Times New Roman" w:hAnsi="Times New Roman"/>
          <w:i/>
          <w:iCs/>
          <w:noProof/>
          <w:sz w:val="24"/>
          <w:szCs w:val="24"/>
        </w:rPr>
        <w:t xml:space="preserve">, </w:t>
      </w:r>
      <w:r w:rsidR="00B33893" w:rsidRPr="00B74D60">
        <w:rPr>
          <w:rFonts w:ascii="Times New Roman" w:hAnsi="Times New Roman"/>
          <w:iCs/>
          <w:noProof/>
          <w:sz w:val="24"/>
          <w:szCs w:val="24"/>
        </w:rPr>
        <w:t>31 (3), 286-296</w:t>
      </w:r>
      <w:r w:rsidR="00B33893" w:rsidRPr="00B74D60">
        <w:rPr>
          <w:rFonts w:ascii="Times New Roman" w:hAnsi="Times New Roman"/>
          <w:noProof/>
          <w:sz w:val="24"/>
          <w:szCs w:val="24"/>
        </w:rPr>
        <w:t xml:space="preserve">. </w:t>
      </w:r>
      <w:r w:rsidRPr="00B74D60">
        <w:rPr>
          <w:rFonts w:ascii="Times New Roman" w:hAnsi="Times New Roman"/>
          <w:noProof/>
          <w:sz w:val="24"/>
          <w:szCs w:val="24"/>
        </w:rPr>
        <w:t>https://doi.org/10.1016/j.eiar.2010.10.002</w:t>
      </w:r>
    </w:p>
    <w:p w:rsidR="00D84430" w:rsidRPr="00B74D60"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B74D60">
        <w:rPr>
          <w:rFonts w:ascii="Times New Roman" w:hAnsi="Times New Roman"/>
          <w:noProof/>
          <w:sz w:val="24"/>
          <w:szCs w:val="24"/>
        </w:rPr>
        <w:t>Morgan, R. K. (2012). Environmental impact asses</w:t>
      </w:r>
      <w:r w:rsidR="00B33893" w:rsidRPr="00B74D60">
        <w:rPr>
          <w:rFonts w:ascii="Times New Roman" w:hAnsi="Times New Roman"/>
          <w:noProof/>
          <w:sz w:val="24"/>
          <w:szCs w:val="24"/>
        </w:rPr>
        <w:t xml:space="preserve">sment: The state of the art. </w:t>
      </w:r>
      <w:r w:rsidRPr="00B74D60">
        <w:rPr>
          <w:rFonts w:ascii="Times New Roman" w:hAnsi="Times New Roman"/>
          <w:i/>
          <w:iCs/>
          <w:noProof/>
          <w:sz w:val="24"/>
          <w:szCs w:val="24"/>
        </w:rPr>
        <w:t>Impact Assessment and Project Appraisal</w:t>
      </w:r>
      <w:r w:rsidR="00B33893" w:rsidRPr="00B74D60">
        <w:rPr>
          <w:rFonts w:ascii="Times New Roman" w:hAnsi="Times New Roman"/>
          <w:noProof/>
          <w:sz w:val="24"/>
          <w:szCs w:val="24"/>
        </w:rPr>
        <w:t>,</w:t>
      </w:r>
      <w:r w:rsidRPr="00B74D60">
        <w:rPr>
          <w:rFonts w:ascii="Times New Roman" w:hAnsi="Times New Roman"/>
          <w:noProof/>
          <w:sz w:val="24"/>
          <w:szCs w:val="24"/>
        </w:rPr>
        <w:t xml:space="preserve"> </w:t>
      </w:r>
      <w:r w:rsidR="00B33893" w:rsidRPr="00B74D60">
        <w:rPr>
          <w:rStyle w:val="volumeissue"/>
          <w:rFonts w:ascii="Times New Roman" w:hAnsi="Times New Roman"/>
          <w:color w:val="333333"/>
          <w:sz w:val="24"/>
          <w:szCs w:val="24"/>
          <w:shd w:val="clear" w:color="auto" w:fill="FFFFFF"/>
        </w:rPr>
        <w:t>30 (1),</w:t>
      </w:r>
      <w:r w:rsidR="00B33893" w:rsidRPr="00B74D60">
        <w:rPr>
          <w:rFonts w:ascii="Times New Roman" w:hAnsi="Times New Roman"/>
          <w:color w:val="333333"/>
          <w:sz w:val="24"/>
          <w:szCs w:val="24"/>
          <w:shd w:val="clear" w:color="auto" w:fill="FFFFFF"/>
        </w:rPr>
        <w:t xml:space="preserve"> </w:t>
      </w:r>
      <w:r w:rsidR="00B33893" w:rsidRPr="00B74D60">
        <w:rPr>
          <w:rStyle w:val="pagerange"/>
          <w:rFonts w:ascii="Times New Roman" w:hAnsi="Times New Roman"/>
          <w:color w:val="333333"/>
          <w:sz w:val="24"/>
          <w:szCs w:val="24"/>
          <w:shd w:val="clear" w:color="auto" w:fill="FFFFFF"/>
        </w:rPr>
        <w:t>5-14.</w:t>
      </w:r>
      <w:r w:rsidR="00B33893" w:rsidRPr="00B74D60">
        <w:rPr>
          <w:rFonts w:ascii="Times New Roman" w:hAnsi="Times New Roman"/>
          <w:noProof/>
          <w:sz w:val="24"/>
          <w:szCs w:val="24"/>
        </w:rPr>
        <w:t xml:space="preserve"> </w:t>
      </w:r>
      <w:r w:rsidRPr="00B74D60">
        <w:rPr>
          <w:rFonts w:ascii="Times New Roman" w:hAnsi="Times New Roman"/>
          <w:noProof/>
          <w:sz w:val="24"/>
          <w:szCs w:val="24"/>
        </w:rPr>
        <w:t>https://doi.org/10.1080/14615517.2012.661557</w:t>
      </w:r>
    </w:p>
    <w:p w:rsidR="00D84430" w:rsidRPr="00B74D60" w:rsidRDefault="006B01F0" w:rsidP="00B74D60">
      <w:pPr>
        <w:widowControl w:val="0"/>
        <w:shd w:val="clear" w:color="auto" w:fill="FFFFFF"/>
        <w:autoSpaceDE w:val="0"/>
        <w:autoSpaceDN w:val="0"/>
        <w:adjustRightInd w:val="0"/>
        <w:spacing w:before="100" w:beforeAutospacing="1" w:after="120" w:line="360" w:lineRule="auto"/>
        <w:jc w:val="both"/>
        <w:rPr>
          <w:rFonts w:ascii="Times New Roman" w:hAnsi="Times New Roman"/>
          <w:noProof/>
          <w:sz w:val="24"/>
          <w:szCs w:val="24"/>
        </w:rPr>
      </w:pPr>
      <w:r w:rsidRPr="00B74D60">
        <w:rPr>
          <w:rFonts w:ascii="Times New Roman" w:hAnsi="Times New Roman"/>
          <w:noProof/>
          <w:sz w:val="24"/>
          <w:szCs w:val="24"/>
        </w:rPr>
        <w:t xml:space="preserve">Morrison-Saunders, A., &amp; Retief, F. (2012). Walking the sustainability assessment talk - Progressing the practice of environmental impact assessment (EIA). </w:t>
      </w:r>
      <w:r w:rsidRPr="00B74D60">
        <w:rPr>
          <w:rFonts w:ascii="Times New Roman" w:hAnsi="Times New Roman"/>
          <w:i/>
          <w:iCs/>
          <w:noProof/>
          <w:sz w:val="24"/>
          <w:szCs w:val="24"/>
        </w:rPr>
        <w:t>Environmental Impact Assessment Review</w:t>
      </w:r>
      <w:r w:rsidR="00BB2FBA" w:rsidRPr="00B74D60">
        <w:rPr>
          <w:rFonts w:ascii="Times New Roman" w:hAnsi="Times New Roman"/>
          <w:noProof/>
          <w:sz w:val="24"/>
          <w:szCs w:val="24"/>
        </w:rPr>
        <w:t>,</w:t>
      </w:r>
      <w:r w:rsidR="00BB2FBA" w:rsidRPr="00B74D60">
        <w:rPr>
          <w:rFonts w:ascii="Times New Roman" w:eastAsia="Times New Roman" w:hAnsi="Times New Roman"/>
          <w:sz w:val="24"/>
          <w:szCs w:val="24"/>
        </w:rPr>
        <w:t xml:space="preserve"> 36, 34–41</w:t>
      </w:r>
      <w:r w:rsidR="0086052D" w:rsidRPr="00B74D60">
        <w:rPr>
          <w:rFonts w:ascii="Times New Roman" w:eastAsia="Times New Roman" w:hAnsi="Times New Roman"/>
          <w:sz w:val="24"/>
          <w:szCs w:val="24"/>
        </w:rPr>
        <w:t>.</w:t>
      </w:r>
      <w:r w:rsidRPr="00B74D60">
        <w:rPr>
          <w:rFonts w:ascii="Times New Roman" w:hAnsi="Times New Roman"/>
          <w:noProof/>
          <w:sz w:val="24"/>
          <w:szCs w:val="24"/>
        </w:rPr>
        <w:t xml:space="preserve"> https://doi.org/10.1016/j.eiar.2012.04.001</w:t>
      </w:r>
    </w:p>
    <w:p w:rsidR="00D84430" w:rsidRPr="00B74D60"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B74D60">
        <w:rPr>
          <w:rFonts w:ascii="Times New Roman" w:hAnsi="Times New Roman"/>
          <w:sz w:val="24"/>
          <w:szCs w:val="24"/>
        </w:rPr>
        <w:t>Namibia Statistics Agency (2011). Namibia Population and Housing Censuses main report, Windhoek: Government of Namibia</w:t>
      </w:r>
    </w:p>
    <w:p w:rsidR="00D84430" w:rsidRPr="00B74D60"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B74D60">
        <w:rPr>
          <w:rFonts w:ascii="Times New Roman" w:hAnsi="Times New Roman"/>
          <w:sz w:val="24"/>
          <w:szCs w:val="24"/>
        </w:rPr>
        <w:t>National Planning Commission (2015). Fifth National Development plan: 2017/2018-2021/2022 Windhoek: N</w:t>
      </w:r>
      <w:r w:rsidR="0086052D" w:rsidRPr="00B74D60">
        <w:rPr>
          <w:rFonts w:ascii="Times New Roman" w:hAnsi="Times New Roman"/>
          <w:sz w:val="24"/>
          <w:szCs w:val="24"/>
        </w:rPr>
        <w:t xml:space="preserve">ational </w:t>
      </w:r>
      <w:r w:rsidRPr="00B74D60">
        <w:rPr>
          <w:rFonts w:ascii="Times New Roman" w:hAnsi="Times New Roman"/>
          <w:sz w:val="24"/>
          <w:szCs w:val="24"/>
        </w:rPr>
        <w:t>P</w:t>
      </w:r>
      <w:r w:rsidR="0086052D" w:rsidRPr="00B74D60">
        <w:rPr>
          <w:rFonts w:ascii="Times New Roman" w:hAnsi="Times New Roman"/>
          <w:sz w:val="24"/>
          <w:szCs w:val="24"/>
        </w:rPr>
        <w:t xml:space="preserve">lanning </w:t>
      </w:r>
      <w:r w:rsidRPr="00B74D60">
        <w:rPr>
          <w:rFonts w:ascii="Times New Roman" w:hAnsi="Times New Roman"/>
          <w:sz w:val="24"/>
          <w:szCs w:val="24"/>
        </w:rPr>
        <w:t>C</w:t>
      </w:r>
      <w:r w:rsidR="0086052D" w:rsidRPr="00B74D60">
        <w:rPr>
          <w:rFonts w:ascii="Times New Roman" w:hAnsi="Times New Roman"/>
          <w:sz w:val="24"/>
          <w:szCs w:val="24"/>
        </w:rPr>
        <w:t>ommission.</w:t>
      </w:r>
    </w:p>
    <w:p w:rsidR="00D84430" w:rsidRPr="00B74D60"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B74D60">
        <w:rPr>
          <w:rFonts w:ascii="Times New Roman" w:hAnsi="Times New Roman"/>
          <w:noProof/>
          <w:sz w:val="24"/>
          <w:szCs w:val="24"/>
        </w:rPr>
        <w:t xml:space="preserve">O’Faircheallaigh, C. (2015). ESD and community participation: The Strategic Assessment of the proposed Kimberley LNG Precinct, 2007-2013. </w:t>
      </w:r>
      <w:r w:rsidRPr="00B74D60">
        <w:rPr>
          <w:rFonts w:ascii="Times New Roman" w:hAnsi="Times New Roman"/>
          <w:i/>
          <w:iCs/>
          <w:noProof/>
          <w:sz w:val="24"/>
          <w:szCs w:val="24"/>
        </w:rPr>
        <w:t>Australasian Journal of Environmental Management</w:t>
      </w:r>
      <w:r w:rsidRPr="00B74D60">
        <w:rPr>
          <w:rFonts w:ascii="Times New Roman" w:hAnsi="Times New Roman"/>
          <w:noProof/>
          <w:sz w:val="24"/>
          <w:szCs w:val="24"/>
        </w:rPr>
        <w:t xml:space="preserve">, </w:t>
      </w:r>
      <w:r w:rsidRPr="00B74D60">
        <w:rPr>
          <w:rFonts w:ascii="Times New Roman" w:hAnsi="Times New Roman"/>
          <w:i/>
          <w:iCs/>
          <w:noProof/>
          <w:sz w:val="24"/>
          <w:szCs w:val="24"/>
        </w:rPr>
        <w:t>22</w:t>
      </w:r>
      <w:r w:rsidR="00DE166F">
        <w:rPr>
          <w:rFonts w:ascii="Times New Roman" w:hAnsi="Times New Roman"/>
          <w:i/>
          <w:iCs/>
          <w:noProof/>
          <w:sz w:val="24"/>
          <w:szCs w:val="24"/>
        </w:rPr>
        <w:t xml:space="preserve"> </w:t>
      </w:r>
      <w:r w:rsidRPr="00B74D60">
        <w:rPr>
          <w:rFonts w:ascii="Times New Roman" w:hAnsi="Times New Roman"/>
          <w:noProof/>
          <w:sz w:val="24"/>
          <w:szCs w:val="24"/>
        </w:rPr>
        <w:t>(1), 46–61. https://doi.org/10.1080/14486563.2014.999726</w:t>
      </w:r>
    </w:p>
    <w:p w:rsidR="00D84430" w:rsidRPr="00B74D60" w:rsidRDefault="006B01F0" w:rsidP="00B74D60">
      <w:pPr>
        <w:widowControl w:val="0"/>
        <w:shd w:val="clear" w:color="auto" w:fill="FFFFFF"/>
        <w:autoSpaceDE w:val="0"/>
        <w:autoSpaceDN w:val="0"/>
        <w:adjustRightInd w:val="0"/>
        <w:spacing w:before="100" w:beforeAutospacing="1" w:after="120" w:line="360" w:lineRule="auto"/>
        <w:jc w:val="both"/>
        <w:rPr>
          <w:rFonts w:ascii="Times New Roman" w:hAnsi="Times New Roman"/>
          <w:noProof/>
          <w:sz w:val="24"/>
          <w:szCs w:val="24"/>
        </w:rPr>
      </w:pPr>
      <w:r w:rsidRPr="00B74D60">
        <w:rPr>
          <w:rFonts w:ascii="Times New Roman" w:hAnsi="Times New Roman"/>
          <w:noProof/>
          <w:sz w:val="24"/>
          <w:szCs w:val="24"/>
        </w:rPr>
        <w:t xml:space="preserve">Rathi, A. K. A. (2017). Evaluation of project-level environmental impact assessment and SWOT analysis of EIA process in India. </w:t>
      </w:r>
      <w:r w:rsidRPr="00B74D60">
        <w:rPr>
          <w:rFonts w:ascii="Times New Roman" w:hAnsi="Times New Roman"/>
          <w:i/>
          <w:iCs/>
          <w:noProof/>
          <w:sz w:val="24"/>
          <w:szCs w:val="24"/>
        </w:rPr>
        <w:t>Environmental Impact Assessment Review</w:t>
      </w:r>
      <w:r w:rsidR="0086052D" w:rsidRPr="00B74D60">
        <w:rPr>
          <w:rFonts w:ascii="Times New Roman" w:hAnsi="Times New Roman"/>
          <w:noProof/>
          <w:sz w:val="24"/>
          <w:szCs w:val="24"/>
        </w:rPr>
        <w:t>,</w:t>
      </w:r>
      <w:r w:rsidR="0086052D" w:rsidRPr="00B74D60">
        <w:rPr>
          <w:rFonts w:ascii="Times New Roman" w:eastAsia="Times New Roman" w:hAnsi="Times New Roman"/>
          <w:sz w:val="24"/>
          <w:szCs w:val="24"/>
        </w:rPr>
        <w:t xml:space="preserve"> 67, 31-39.</w:t>
      </w:r>
      <w:r w:rsidRPr="00B74D60">
        <w:rPr>
          <w:rFonts w:ascii="Times New Roman" w:hAnsi="Times New Roman"/>
          <w:noProof/>
          <w:sz w:val="24"/>
          <w:szCs w:val="24"/>
        </w:rPr>
        <w:t xml:space="preserve"> https://doi.org/10.1016/j.eiar.2017.08.004</w:t>
      </w:r>
    </w:p>
    <w:p w:rsidR="00D84430"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B74D60">
        <w:rPr>
          <w:rFonts w:ascii="Times New Roman" w:hAnsi="Times New Roman"/>
          <w:noProof/>
          <w:sz w:val="24"/>
          <w:szCs w:val="24"/>
        </w:rPr>
        <w:t xml:space="preserve">Rebelo, C., &amp; Guerreiro, J. (2017). Comparative Evaluation of the EIA Systems in Kenya, Tanzania, Mozambique, South Africa, Angola, and the European Union. </w:t>
      </w:r>
      <w:r w:rsidRPr="00B74D60">
        <w:rPr>
          <w:rFonts w:ascii="Times New Roman" w:hAnsi="Times New Roman"/>
          <w:i/>
          <w:iCs/>
          <w:noProof/>
          <w:sz w:val="24"/>
          <w:szCs w:val="24"/>
        </w:rPr>
        <w:t>Journal of Environmental Protection</w:t>
      </w:r>
      <w:r w:rsidRPr="00B74D60">
        <w:rPr>
          <w:rFonts w:ascii="Times New Roman" w:hAnsi="Times New Roman"/>
          <w:noProof/>
          <w:sz w:val="24"/>
          <w:szCs w:val="24"/>
        </w:rPr>
        <w:t xml:space="preserve">, </w:t>
      </w:r>
      <w:r w:rsidRPr="00B74D60">
        <w:rPr>
          <w:rFonts w:ascii="Times New Roman" w:hAnsi="Times New Roman"/>
          <w:i/>
          <w:iCs/>
          <w:noProof/>
          <w:sz w:val="24"/>
          <w:szCs w:val="24"/>
        </w:rPr>
        <w:t>08</w:t>
      </w:r>
      <w:r w:rsidR="0086052D" w:rsidRPr="00B74D60">
        <w:rPr>
          <w:rFonts w:ascii="Times New Roman" w:hAnsi="Times New Roman"/>
          <w:i/>
          <w:iCs/>
          <w:noProof/>
          <w:sz w:val="24"/>
          <w:szCs w:val="24"/>
        </w:rPr>
        <w:t xml:space="preserve"> </w:t>
      </w:r>
      <w:r w:rsidRPr="00B74D60">
        <w:rPr>
          <w:rFonts w:ascii="Times New Roman" w:hAnsi="Times New Roman"/>
          <w:noProof/>
          <w:sz w:val="24"/>
          <w:szCs w:val="24"/>
        </w:rPr>
        <w:t>(05), 603–636. https://doi.org/10.4236/jep.2017.85040</w:t>
      </w:r>
    </w:p>
    <w:p w:rsidR="00CC5DC8" w:rsidRPr="00CC5DC8"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CC5DC8">
        <w:rPr>
          <w:rFonts w:ascii="Times New Roman" w:hAnsi="Times New Roman"/>
          <w:color w:val="222222"/>
          <w:sz w:val="24"/>
          <w:szCs w:val="24"/>
          <w:shd w:val="clear" w:color="auto" w:fill="FFFFFF"/>
        </w:rPr>
        <w:lastRenderedPageBreak/>
        <w:t>Retief, F. P., &amp; Chabalala, B. (2009). The cost of environmental impact assessment (EIA) in South Africa. Journal of Environmental Assessment Policy</w:t>
      </w:r>
      <w:r>
        <w:rPr>
          <w:rFonts w:ascii="Times New Roman" w:hAnsi="Times New Roman"/>
          <w:color w:val="222222"/>
          <w:sz w:val="24"/>
          <w:szCs w:val="24"/>
          <w:shd w:val="clear" w:color="auto" w:fill="FFFFFF"/>
        </w:rPr>
        <w:t xml:space="preserve"> and Management, 11(01), 51-68. </w:t>
      </w:r>
      <w:hyperlink r:id="rId10" w:tgtFrame="_blank" w:history="1">
        <w:r w:rsidRPr="00CC5DC8">
          <w:rPr>
            <w:rStyle w:val="Hyperlink"/>
            <w:rFonts w:ascii="Times New Roman" w:hAnsi="Times New Roman"/>
            <w:color w:val="1155CC"/>
            <w:sz w:val="24"/>
            <w:szCs w:val="24"/>
            <w:shd w:val="clear" w:color="auto" w:fill="FFFFFF"/>
          </w:rPr>
          <w:t>https://doi.org/10.1142/S1464333209003257</w:t>
        </w:r>
      </w:hyperlink>
    </w:p>
    <w:p w:rsidR="00D84430" w:rsidRPr="00B74D60" w:rsidRDefault="006B01F0" w:rsidP="00B74D60">
      <w:pPr>
        <w:autoSpaceDE w:val="0"/>
        <w:autoSpaceDN w:val="0"/>
        <w:adjustRightInd w:val="0"/>
        <w:spacing w:after="0" w:line="360" w:lineRule="auto"/>
        <w:jc w:val="both"/>
        <w:rPr>
          <w:rFonts w:ascii="Times New Roman" w:hAnsi="Times New Roman"/>
          <w:sz w:val="24"/>
          <w:szCs w:val="24"/>
        </w:rPr>
      </w:pPr>
      <w:r w:rsidRPr="00B74D60">
        <w:rPr>
          <w:rFonts w:ascii="Times New Roman" w:hAnsi="Times New Roman"/>
          <w:sz w:val="24"/>
          <w:szCs w:val="24"/>
        </w:rPr>
        <w:t>Saunders, M., Lewis, P., Thornhill, A., (2009). Research Methods for Business Students,</w:t>
      </w:r>
    </w:p>
    <w:p w:rsidR="00D84430" w:rsidRDefault="006B01F0" w:rsidP="00B74D60">
      <w:pPr>
        <w:autoSpaceDE w:val="0"/>
        <w:autoSpaceDN w:val="0"/>
        <w:adjustRightInd w:val="0"/>
        <w:spacing w:line="360" w:lineRule="auto"/>
        <w:ind w:left="480"/>
        <w:jc w:val="both"/>
        <w:rPr>
          <w:rFonts w:ascii="Times New Roman" w:hAnsi="Times New Roman"/>
          <w:sz w:val="24"/>
          <w:szCs w:val="24"/>
        </w:rPr>
      </w:pPr>
      <w:r>
        <w:rPr>
          <w:rFonts w:ascii="Times New Roman" w:hAnsi="Times New Roman"/>
          <w:sz w:val="24"/>
          <w:szCs w:val="24"/>
        </w:rPr>
        <w:t>(</w:t>
      </w:r>
      <w:r w:rsidRPr="00B74D60">
        <w:rPr>
          <w:rFonts w:ascii="Times New Roman" w:hAnsi="Times New Roman"/>
          <w:sz w:val="24"/>
          <w:szCs w:val="24"/>
        </w:rPr>
        <w:t>Fifth edition</w:t>
      </w:r>
      <w:r>
        <w:rPr>
          <w:rFonts w:ascii="Times New Roman" w:hAnsi="Times New Roman"/>
          <w:sz w:val="24"/>
          <w:szCs w:val="24"/>
        </w:rPr>
        <w:t>)</w:t>
      </w:r>
      <w:r w:rsidRPr="00B74D60">
        <w:rPr>
          <w:rFonts w:ascii="Times New Roman" w:hAnsi="Times New Roman"/>
          <w:sz w:val="24"/>
          <w:szCs w:val="24"/>
        </w:rPr>
        <w:t>. Pearson Education Limited, Harlow, England.</w:t>
      </w:r>
    </w:p>
    <w:p w:rsidR="00E12B25" w:rsidRPr="00B74D60" w:rsidRDefault="006B01F0" w:rsidP="00E12B25">
      <w:pPr>
        <w:autoSpaceDE w:val="0"/>
        <w:autoSpaceDN w:val="0"/>
        <w:adjustRightInd w:val="0"/>
        <w:spacing w:line="360" w:lineRule="auto"/>
        <w:jc w:val="both"/>
        <w:rPr>
          <w:rFonts w:ascii="Times New Roman" w:hAnsi="Times New Roman"/>
          <w:sz w:val="24"/>
          <w:szCs w:val="24"/>
        </w:rPr>
      </w:pPr>
      <w:r w:rsidRPr="00E12B25">
        <w:rPr>
          <w:rFonts w:ascii="Times New Roman" w:hAnsi="Times New Roman"/>
          <w:sz w:val="24"/>
          <w:szCs w:val="24"/>
        </w:rPr>
        <w:t>Sharma,</w:t>
      </w:r>
      <w:r>
        <w:rPr>
          <w:rFonts w:ascii="Times New Roman" w:hAnsi="Times New Roman"/>
          <w:sz w:val="24"/>
          <w:szCs w:val="24"/>
        </w:rPr>
        <w:t xml:space="preserve"> P., (2020). </w:t>
      </w:r>
      <w:r w:rsidRPr="00E12B25">
        <w:rPr>
          <w:rFonts w:ascii="Times New Roman" w:hAnsi="Times New Roman"/>
          <w:sz w:val="24"/>
          <w:szCs w:val="24"/>
        </w:rPr>
        <w:t>Opportunities and struggles of decentralized governance reform for</w:t>
      </w:r>
      <w:r>
        <w:rPr>
          <w:rFonts w:ascii="Times New Roman" w:hAnsi="Times New Roman"/>
          <w:sz w:val="24"/>
          <w:szCs w:val="24"/>
        </w:rPr>
        <w:t xml:space="preserve"> urban municipalities in India. </w:t>
      </w:r>
      <w:r w:rsidRPr="00E12B25">
        <w:rPr>
          <w:rFonts w:ascii="Times New Roman" w:hAnsi="Times New Roman"/>
          <w:i/>
          <w:sz w:val="24"/>
          <w:szCs w:val="24"/>
        </w:rPr>
        <w:t>World Development Perspectives</w:t>
      </w:r>
      <w:r>
        <w:rPr>
          <w:rFonts w:ascii="Times New Roman" w:hAnsi="Times New Roman"/>
          <w:sz w:val="24"/>
          <w:szCs w:val="24"/>
        </w:rPr>
        <w:t xml:space="preserve">, 17 (C). </w:t>
      </w:r>
      <w:r w:rsidRPr="00E12B25">
        <w:rPr>
          <w:rFonts w:ascii="Times New Roman" w:hAnsi="Times New Roman"/>
          <w:sz w:val="24"/>
          <w:szCs w:val="24"/>
        </w:rPr>
        <w:t>https://doi.org/10.1016/j.wdp.2020.100174.</w:t>
      </w:r>
    </w:p>
    <w:p w:rsidR="00D84430" w:rsidRPr="00B74D60"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B74D60">
        <w:rPr>
          <w:rFonts w:ascii="Times New Roman" w:hAnsi="Times New Roman"/>
          <w:noProof/>
          <w:sz w:val="24"/>
          <w:szCs w:val="24"/>
        </w:rPr>
        <w:t xml:space="preserve">Suwanteep, K., Murayama, T., &amp; Nishikizawa, S. (2016). Environmental impact assessment system in Thailand and its comparison with those in China and Japan. </w:t>
      </w:r>
      <w:r w:rsidRPr="00B74D60">
        <w:rPr>
          <w:rFonts w:ascii="Times New Roman" w:hAnsi="Times New Roman"/>
          <w:i/>
          <w:iCs/>
          <w:noProof/>
          <w:sz w:val="24"/>
          <w:szCs w:val="24"/>
        </w:rPr>
        <w:t>Environmental Impact Assessment Review</w:t>
      </w:r>
      <w:r w:rsidR="0086052D" w:rsidRPr="00B74D60">
        <w:rPr>
          <w:rFonts w:ascii="Times New Roman" w:hAnsi="Times New Roman"/>
          <w:noProof/>
          <w:sz w:val="24"/>
          <w:szCs w:val="24"/>
        </w:rPr>
        <w:t xml:space="preserve">, </w:t>
      </w:r>
      <w:r w:rsidR="0086052D" w:rsidRPr="00B74D60">
        <w:rPr>
          <w:rFonts w:ascii="Times New Roman" w:hAnsi="Times New Roman"/>
          <w:color w:val="333333"/>
          <w:sz w:val="24"/>
          <w:szCs w:val="24"/>
          <w:shd w:val="clear" w:color="auto" w:fill="FFFFFF"/>
        </w:rPr>
        <w:t xml:space="preserve">19 (02), 1-21. </w:t>
      </w:r>
      <w:r w:rsidRPr="00B74D60">
        <w:rPr>
          <w:rFonts w:ascii="Times New Roman" w:hAnsi="Times New Roman"/>
          <w:noProof/>
          <w:sz w:val="24"/>
          <w:szCs w:val="24"/>
        </w:rPr>
        <w:t>https://doi.org/10.1016/j.eiar.2016.02.001</w:t>
      </w:r>
    </w:p>
    <w:p w:rsidR="00D84430" w:rsidRPr="00B74D60" w:rsidRDefault="006B01F0" w:rsidP="00B74D60">
      <w:pPr>
        <w:widowControl w:val="0"/>
        <w:autoSpaceDE w:val="0"/>
        <w:autoSpaceDN w:val="0"/>
        <w:adjustRightInd w:val="0"/>
        <w:spacing w:line="360" w:lineRule="auto"/>
        <w:ind w:left="480" w:hanging="480"/>
        <w:jc w:val="both"/>
        <w:rPr>
          <w:rFonts w:ascii="Times New Roman" w:hAnsi="Times New Roman"/>
          <w:iCs/>
          <w:noProof/>
          <w:sz w:val="24"/>
          <w:szCs w:val="24"/>
        </w:rPr>
      </w:pPr>
      <w:r w:rsidRPr="00B74D60">
        <w:rPr>
          <w:rFonts w:ascii="Times New Roman" w:hAnsi="Times New Roman"/>
          <w:noProof/>
          <w:sz w:val="24"/>
          <w:szCs w:val="24"/>
        </w:rPr>
        <w:t xml:space="preserve">Tarr, P., &amp; Figueira, M. (1999). </w:t>
      </w:r>
      <w:r w:rsidRPr="00B74D60">
        <w:rPr>
          <w:rFonts w:ascii="Times New Roman" w:hAnsi="Times New Roman"/>
          <w:i/>
          <w:iCs/>
          <w:noProof/>
          <w:sz w:val="24"/>
          <w:szCs w:val="24"/>
        </w:rPr>
        <w:t>Namibia’s Enviro</w:t>
      </w:r>
      <w:r w:rsidR="0086052D" w:rsidRPr="00B74D60">
        <w:rPr>
          <w:rFonts w:ascii="Times New Roman" w:hAnsi="Times New Roman"/>
          <w:i/>
          <w:iCs/>
          <w:noProof/>
          <w:sz w:val="24"/>
          <w:szCs w:val="24"/>
        </w:rPr>
        <w:t xml:space="preserve">nmental Assessment framework : </w:t>
      </w:r>
      <w:r w:rsidRPr="00B74D60">
        <w:rPr>
          <w:rFonts w:ascii="Times New Roman" w:hAnsi="Times New Roman"/>
          <w:i/>
          <w:iCs/>
          <w:noProof/>
          <w:sz w:val="24"/>
          <w:szCs w:val="24"/>
        </w:rPr>
        <w:t>the evo</w:t>
      </w:r>
      <w:r w:rsidR="0086052D" w:rsidRPr="00B74D60">
        <w:rPr>
          <w:rFonts w:ascii="Times New Roman" w:hAnsi="Times New Roman"/>
          <w:i/>
          <w:iCs/>
          <w:noProof/>
          <w:sz w:val="24"/>
          <w:szCs w:val="24"/>
        </w:rPr>
        <w:t>lution of policy and practice</w:t>
      </w:r>
      <w:r w:rsidRPr="00B74D60">
        <w:rPr>
          <w:rFonts w:ascii="Times New Roman" w:hAnsi="Times New Roman"/>
          <w:noProof/>
          <w:sz w:val="24"/>
          <w:szCs w:val="24"/>
        </w:rPr>
        <w:t xml:space="preserve"> </w:t>
      </w:r>
      <w:r w:rsidRPr="00B74D60">
        <w:rPr>
          <w:rFonts w:ascii="Times New Roman" w:hAnsi="Times New Roman"/>
          <w:i/>
          <w:iCs/>
          <w:noProof/>
          <w:sz w:val="24"/>
          <w:szCs w:val="24"/>
        </w:rPr>
        <w:t>34</w:t>
      </w:r>
      <w:r w:rsidR="00894828" w:rsidRPr="00B74D60">
        <w:rPr>
          <w:rFonts w:ascii="Times New Roman" w:hAnsi="Times New Roman"/>
          <w:i/>
          <w:iCs/>
          <w:noProof/>
          <w:sz w:val="24"/>
          <w:szCs w:val="24"/>
        </w:rPr>
        <w:t>.</w:t>
      </w:r>
      <w:r w:rsidR="00894828" w:rsidRPr="00B74D60">
        <w:rPr>
          <w:rFonts w:ascii="Times New Roman" w:hAnsi="Times New Roman"/>
          <w:sz w:val="24"/>
          <w:szCs w:val="24"/>
        </w:rPr>
        <w:t xml:space="preserve"> </w:t>
      </w:r>
      <w:r w:rsidR="00894828" w:rsidRPr="00B74D60">
        <w:rPr>
          <w:rFonts w:ascii="Times New Roman" w:hAnsi="Times New Roman"/>
          <w:iCs/>
          <w:noProof/>
          <w:sz w:val="24"/>
          <w:szCs w:val="24"/>
        </w:rPr>
        <w:t>Directorate of Environmental Affairs, Ministry of Environment and Tourism, Windhoek, Namibia</w:t>
      </w:r>
      <w:r w:rsidRPr="00B74D60">
        <w:rPr>
          <w:rFonts w:ascii="Times New Roman" w:hAnsi="Times New Roman"/>
          <w:noProof/>
          <w:sz w:val="24"/>
          <w:szCs w:val="24"/>
        </w:rPr>
        <w:t>.</w:t>
      </w:r>
    </w:p>
    <w:p w:rsidR="003145B4" w:rsidRPr="00B74D60"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B74D60">
        <w:rPr>
          <w:rFonts w:ascii="Times New Roman" w:hAnsi="Times New Roman"/>
          <w:noProof/>
          <w:sz w:val="24"/>
          <w:szCs w:val="24"/>
        </w:rPr>
        <w:t xml:space="preserve">Tarr, P., &amp; Tarr, J. (2003). Namibia: Summary and Future Focus. Southern African Institute for </w:t>
      </w:r>
      <w:r w:rsidR="002D5036">
        <w:rPr>
          <w:rFonts w:ascii="Times New Roman" w:hAnsi="Times New Roman"/>
          <w:noProof/>
          <w:sz w:val="24"/>
          <w:szCs w:val="24"/>
        </w:rPr>
        <w:t>Environmental Assessment</w:t>
      </w:r>
      <w:r w:rsidRPr="00B74D60">
        <w:rPr>
          <w:rFonts w:ascii="Times New Roman" w:hAnsi="Times New Roman"/>
          <w:noProof/>
          <w:sz w:val="24"/>
          <w:szCs w:val="24"/>
        </w:rPr>
        <w:t>,</w:t>
      </w:r>
      <w:r w:rsidR="002D5036">
        <w:rPr>
          <w:rFonts w:ascii="Times New Roman" w:hAnsi="Times New Roman"/>
          <w:noProof/>
          <w:sz w:val="24"/>
          <w:szCs w:val="24"/>
        </w:rPr>
        <w:t xml:space="preserve"> </w:t>
      </w:r>
      <w:r w:rsidRPr="00B74D60">
        <w:rPr>
          <w:rFonts w:ascii="Times New Roman" w:hAnsi="Times New Roman"/>
          <w:noProof/>
          <w:sz w:val="24"/>
          <w:szCs w:val="24"/>
        </w:rPr>
        <w:t>Windhoek, Namibia.</w:t>
      </w:r>
    </w:p>
    <w:p w:rsidR="00D84430" w:rsidRPr="00B74D60" w:rsidRDefault="006B01F0" w:rsidP="00B74D60">
      <w:pPr>
        <w:widowControl w:val="0"/>
        <w:autoSpaceDE w:val="0"/>
        <w:autoSpaceDN w:val="0"/>
        <w:adjustRightInd w:val="0"/>
        <w:spacing w:line="360" w:lineRule="auto"/>
        <w:ind w:left="480" w:hanging="480"/>
        <w:jc w:val="both"/>
        <w:rPr>
          <w:rFonts w:ascii="Times New Roman" w:hAnsi="Times New Roman"/>
          <w:noProof/>
          <w:sz w:val="24"/>
          <w:szCs w:val="24"/>
        </w:rPr>
      </w:pPr>
      <w:r w:rsidRPr="00B74D60">
        <w:rPr>
          <w:rFonts w:ascii="Times New Roman" w:hAnsi="Times New Roman"/>
          <w:noProof/>
          <w:sz w:val="24"/>
          <w:szCs w:val="24"/>
        </w:rPr>
        <w:t xml:space="preserve">Wood, C. (2003). Environmental impact assessment in developing countries. </w:t>
      </w:r>
      <w:r w:rsidRPr="00B74D60">
        <w:rPr>
          <w:rFonts w:ascii="Times New Roman" w:hAnsi="Times New Roman"/>
          <w:i/>
          <w:iCs/>
          <w:noProof/>
          <w:sz w:val="24"/>
          <w:szCs w:val="24"/>
        </w:rPr>
        <w:t>International Development Planning Review</w:t>
      </w:r>
      <w:r w:rsidRPr="00B74D60">
        <w:rPr>
          <w:rFonts w:ascii="Times New Roman" w:hAnsi="Times New Roman"/>
          <w:noProof/>
          <w:sz w:val="24"/>
          <w:szCs w:val="24"/>
        </w:rPr>
        <w:t xml:space="preserve">, </w:t>
      </w:r>
      <w:r w:rsidRPr="00B74D60">
        <w:rPr>
          <w:rFonts w:ascii="Times New Roman" w:hAnsi="Times New Roman"/>
          <w:i/>
          <w:iCs/>
          <w:noProof/>
          <w:sz w:val="24"/>
          <w:szCs w:val="24"/>
        </w:rPr>
        <w:t>25</w:t>
      </w:r>
      <w:r w:rsidR="002D5036">
        <w:rPr>
          <w:rFonts w:ascii="Times New Roman" w:hAnsi="Times New Roman"/>
          <w:i/>
          <w:iCs/>
          <w:noProof/>
          <w:sz w:val="24"/>
          <w:szCs w:val="24"/>
        </w:rPr>
        <w:t xml:space="preserve"> </w:t>
      </w:r>
      <w:r w:rsidRPr="00B74D60">
        <w:rPr>
          <w:rFonts w:ascii="Times New Roman" w:hAnsi="Times New Roman"/>
          <w:noProof/>
          <w:sz w:val="24"/>
          <w:szCs w:val="24"/>
        </w:rPr>
        <w:t>(3), 301–321. https://doi.org/10.3828/idpr.25.3.5</w:t>
      </w:r>
    </w:p>
    <w:p w:rsidR="009655B4" w:rsidRPr="00B74D60" w:rsidRDefault="006B01F0" w:rsidP="00B74D60">
      <w:pPr>
        <w:autoSpaceDE w:val="0"/>
        <w:autoSpaceDN w:val="0"/>
        <w:adjustRightInd w:val="0"/>
        <w:spacing w:line="360" w:lineRule="auto"/>
        <w:jc w:val="both"/>
        <w:rPr>
          <w:rFonts w:ascii="Times New Roman" w:hAnsi="Times New Roman"/>
          <w:sz w:val="24"/>
          <w:szCs w:val="24"/>
        </w:rPr>
      </w:pPr>
      <w:r w:rsidRPr="00B74D60">
        <w:rPr>
          <w:rFonts w:ascii="Times New Roman" w:hAnsi="Times New Roman"/>
          <w:sz w:val="24"/>
          <w:szCs w:val="24"/>
        </w:rPr>
        <w:fldChar w:fldCharType="end"/>
      </w:r>
    </w:p>
    <w:sectPr w:rsidR="009655B4" w:rsidRPr="00B74D60" w:rsidSect="00520198">
      <w:footerReference w:type="default" r:id="rId11"/>
      <w:pgSz w:w="12240" w:h="15840"/>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247" w:rsidRDefault="008F1247">
      <w:pPr>
        <w:spacing w:after="0" w:line="240" w:lineRule="auto"/>
      </w:pPr>
      <w:r>
        <w:separator/>
      </w:r>
    </w:p>
  </w:endnote>
  <w:endnote w:type="continuationSeparator" w:id="0">
    <w:p w:rsidR="008F1247" w:rsidRDefault="008F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AB" w:rsidRDefault="006B01F0">
    <w:pPr>
      <w:pStyle w:val="Footer"/>
      <w:jc w:val="right"/>
    </w:pPr>
    <w:r>
      <w:fldChar w:fldCharType="begin"/>
    </w:r>
    <w:r>
      <w:instrText xml:space="preserve"> PAGE   \* MERGEFORMAT </w:instrText>
    </w:r>
    <w:r>
      <w:fldChar w:fldCharType="separate"/>
    </w:r>
    <w:r w:rsidR="00197515">
      <w:rPr>
        <w:noProof/>
      </w:rPr>
      <w:t>23</w:t>
    </w:r>
    <w:r>
      <w:rPr>
        <w:noProof/>
      </w:rPr>
      <w:fldChar w:fldCharType="end"/>
    </w:r>
  </w:p>
  <w:p w:rsidR="00D23BAB" w:rsidRDefault="00D23B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247" w:rsidRDefault="008F1247">
      <w:pPr>
        <w:spacing w:after="0" w:line="240" w:lineRule="auto"/>
      </w:pPr>
      <w:r>
        <w:separator/>
      </w:r>
    </w:p>
  </w:footnote>
  <w:footnote w:type="continuationSeparator" w:id="0">
    <w:p w:rsidR="008F1247" w:rsidRDefault="008F1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E63"/>
    <w:multiLevelType w:val="multilevel"/>
    <w:tmpl w:val="895A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75B67"/>
    <w:multiLevelType w:val="multilevel"/>
    <w:tmpl w:val="8120139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8316B"/>
    <w:multiLevelType w:val="multilevel"/>
    <w:tmpl w:val="2BE086A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D8313B5"/>
    <w:multiLevelType w:val="multilevel"/>
    <w:tmpl w:val="78F4B906"/>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7363A64"/>
    <w:multiLevelType w:val="hybridMultilevel"/>
    <w:tmpl w:val="36DE69E8"/>
    <w:lvl w:ilvl="0" w:tplc="B87600D4">
      <w:start w:val="4"/>
      <w:numFmt w:val="decimal"/>
      <w:lvlText w:val="%1."/>
      <w:lvlJc w:val="left"/>
      <w:pPr>
        <w:ind w:left="720" w:hanging="360"/>
      </w:pPr>
      <w:rPr>
        <w:rFonts w:hint="default"/>
        <w:b/>
      </w:rPr>
    </w:lvl>
    <w:lvl w:ilvl="1" w:tplc="30720B84">
      <w:start w:val="1"/>
      <w:numFmt w:val="lowerLetter"/>
      <w:lvlText w:val="%2."/>
      <w:lvlJc w:val="left"/>
      <w:pPr>
        <w:ind w:left="1440" w:hanging="360"/>
      </w:pPr>
    </w:lvl>
    <w:lvl w:ilvl="2" w:tplc="439081A8" w:tentative="1">
      <w:start w:val="1"/>
      <w:numFmt w:val="lowerRoman"/>
      <w:lvlText w:val="%3."/>
      <w:lvlJc w:val="right"/>
      <w:pPr>
        <w:ind w:left="2160" w:hanging="180"/>
      </w:pPr>
    </w:lvl>
    <w:lvl w:ilvl="3" w:tplc="988CCAC6" w:tentative="1">
      <w:start w:val="1"/>
      <w:numFmt w:val="decimal"/>
      <w:lvlText w:val="%4."/>
      <w:lvlJc w:val="left"/>
      <w:pPr>
        <w:ind w:left="2880" w:hanging="360"/>
      </w:pPr>
    </w:lvl>
    <w:lvl w:ilvl="4" w:tplc="AE5CB2EA" w:tentative="1">
      <w:start w:val="1"/>
      <w:numFmt w:val="lowerLetter"/>
      <w:lvlText w:val="%5."/>
      <w:lvlJc w:val="left"/>
      <w:pPr>
        <w:ind w:left="3600" w:hanging="360"/>
      </w:pPr>
    </w:lvl>
    <w:lvl w:ilvl="5" w:tplc="3D82F0E8" w:tentative="1">
      <w:start w:val="1"/>
      <w:numFmt w:val="lowerRoman"/>
      <w:lvlText w:val="%6."/>
      <w:lvlJc w:val="right"/>
      <w:pPr>
        <w:ind w:left="4320" w:hanging="180"/>
      </w:pPr>
    </w:lvl>
    <w:lvl w:ilvl="6" w:tplc="91B0B8FA" w:tentative="1">
      <w:start w:val="1"/>
      <w:numFmt w:val="decimal"/>
      <w:lvlText w:val="%7."/>
      <w:lvlJc w:val="left"/>
      <w:pPr>
        <w:ind w:left="5040" w:hanging="360"/>
      </w:pPr>
    </w:lvl>
    <w:lvl w:ilvl="7" w:tplc="01821C84" w:tentative="1">
      <w:start w:val="1"/>
      <w:numFmt w:val="lowerLetter"/>
      <w:lvlText w:val="%8."/>
      <w:lvlJc w:val="left"/>
      <w:pPr>
        <w:ind w:left="5760" w:hanging="360"/>
      </w:pPr>
    </w:lvl>
    <w:lvl w:ilvl="8" w:tplc="4E36FB52" w:tentative="1">
      <w:start w:val="1"/>
      <w:numFmt w:val="lowerRoman"/>
      <w:lvlText w:val="%9."/>
      <w:lvlJc w:val="right"/>
      <w:pPr>
        <w:ind w:left="6480" w:hanging="180"/>
      </w:pPr>
    </w:lvl>
  </w:abstractNum>
  <w:abstractNum w:abstractNumId="5" w15:restartNumberingAfterBreak="0">
    <w:nsid w:val="1D9E6D31"/>
    <w:multiLevelType w:val="multilevel"/>
    <w:tmpl w:val="AFA259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B93BBA"/>
    <w:multiLevelType w:val="multilevel"/>
    <w:tmpl w:val="0BC24F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3D66B5"/>
    <w:multiLevelType w:val="multilevel"/>
    <w:tmpl w:val="067074B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FBE359D"/>
    <w:multiLevelType w:val="hybridMultilevel"/>
    <w:tmpl w:val="167AAE6A"/>
    <w:lvl w:ilvl="0" w:tplc="7472D2A2">
      <w:start w:val="1"/>
      <w:numFmt w:val="decimal"/>
      <w:lvlText w:val="%1."/>
      <w:lvlJc w:val="left"/>
      <w:pPr>
        <w:ind w:left="720" w:hanging="360"/>
      </w:pPr>
    </w:lvl>
    <w:lvl w:ilvl="1" w:tplc="3F621B42" w:tentative="1">
      <w:start w:val="1"/>
      <w:numFmt w:val="lowerLetter"/>
      <w:lvlText w:val="%2."/>
      <w:lvlJc w:val="left"/>
      <w:pPr>
        <w:ind w:left="1440" w:hanging="360"/>
      </w:pPr>
    </w:lvl>
    <w:lvl w:ilvl="2" w:tplc="12582714" w:tentative="1">
      <w:start w:val="1"/>
      <w:numFmt w:val="lowerRoman"/>
      <w:lvlText w:val="%3."/>
      <w:lvlJc w:val="right"/>
      <w:pPr>
        <w:ind w:left="2160" w:hanging="180"/>
      </w:pPr>
    </w:lvl>
    <w:lvl w:ilvl="3" w:tplc="8072F46A" w:tentative="1">
      <w:start w:val="1"/>
      <w:numFmt w:val="decimal"/>
      <w:lvlText w:val="%4."/>
      <w:lvlJc w:val="left"/>
      <w:pPr>
        <w:ind w:left="2880" w:hanging="360"/>
      </w:pPr>
    </w:lvl>
    <w:lvl w:ilvl="4" w:tplc="1CF68B04" w:tentative="1">
      <w:start w:val="1"/>
      <w:numFmt w:val="lowerLetter"/>
      <w:lvlText w:val="%5."/>
      <w:lvlJc w:val="left"/>
      <w:pPr>
        <w:ind w:left="3600" w:hanging="360"/>
      </w:pPr>
    </w:lvl>
    <w:lvl w:ilvl="5" w:tplc="BED0D7E0" w:tentative="1">
      <w:start w:val="1"/>
      <w:numFmt w:val="lowerRoman"/>
      <w:lvlText w:val="%6."/>
      <w:lvlJc w:val="right"/>
      <w:pPr>
        <w:ind w:left="4320" w:hanging="180"/>
      </w:pPr>
    </w:lvl>
    <w:lvl w:ilvl="6" w:tplc="600C212A" w:tentative="1">
      <w:start w:val="1"/>
      <w:numFmt w:val="decimal"/>
      <w:lvlText w:val="%7."/>
      <w:lvlJc w:val="left"/>
      <w:pPr>
        <w:ind w:left="5040" w:hanging="360"/>
      </w:pPr>
    </w:lvl>
    <w:lvl w:ilvl="7" w:tplc="9D705A48" w:tentative="1">
      <w:start w:val="1"/>
      <w:numFmt w:val="lowerLetter"/>
      <w:lvlText w:val="%8."/>
      <w:lvlJc w:val="left"/>
      <w:pPr>
        <w:ind w:left="5760" w:hanging="360"/>
      </w:pPr>
    </w:lvl>
    <w:lvl w:ilvl="8" w:tplc="CEDAFF06" w:tentative="1">
      <w:start w:val="1"/>
      <w:numFmt w:val="lowerRoman"/>
      <w:lvlText w:val="%9."/>
      <w:lvlJc w:val="right"/>
      <w:pPr>
        <w:ind w:left="6480" w:hanging="180"/>
      </w:pPr>
    </w:lvl>
  </w:abstractNum>
  <w:abstractNum w:abstractNumId="9" w15:restartNumberingAfterBreak="0">
    <w:nsid w:val="34E8777A"/>
    <w:multiLevelType w:val="multilevel"/>
    <w:tmpl w:val="B8F2B5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513632B"/>
    <w:multiLevelType w:val="multilevel"/>
    <w:tmpl w:val="4BE621F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5B114D1"/>
    <w:multiLevelType w:val="multilevel"/>
    <w:tmpl w:val="71F41670"/>
    <w:lvl w:ilvl="0">
      <w:start w:val="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5F07E0B"/>
    <w:multiLevelType w:val="multilevel"/>
    <w:tmpl w:val="9F2E3F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A84839"/>
    <w:multiLevelType w:val="hybridMultilevel"/>
    <w:tmpl w:val="D162272A"/>
    <w:lvl w:ilvl="0" w:tplc="AA980BC2">
      <w:start w:val="1"/>
      <w:numFmt w:val="decimal"/>
      <w:lvlText w:val="%1."/>
      <w:lvlJc w:val="left"/>
      <w:pPr>
        <w:ind w:left="720" w:hanging="360"/>
      </w:pPr>
    </w:lvl>
    <w:lvl w:ilvl="1" w:tplc="6E32E256" w:tentative="1">
      <w:start w:val="1"/>
      <w:numFmt w:val="lowerLetter"/>
      <w:lvlText w:val="%2."/>
      <w:lvlJc w:val="left"/>
      <w:pPr>
        <w:ind w:left="1440" w:hanging="360"/>
      </w:pPr>
    </w:lvl>
    <w:lvl w:ilvl="2" w:tplc="8090ACC8" w:tentative="1">
      <w:start w:val="1"/>
      <w:numFmt w:val="lowerRoman"/>
      <w:lvlText w:val="%3."/>
      <w:lvlJc w:val="right"/>
      <w:pPr>
        <w:ind w:left="2160" w:hanging="180"/>
      </w:pPr>
    </w:lvl>
    <w:lvl w:ilvl="3" w:tplc="2A4E3A96" w:tentative="1">
      <w:start w:val="1"/>
      <w:numFmt w:val="decimal"/>
      <w:lvlText w:val="%4."/>
      <w:lvlJc w:val="left"/>
      <w:pPr>
        <w:ind w:left="2880" w:hanging="360"/>
      </w:pPr>
    </w:lvl>
    <w:lvl w:ilvl="4" w:tplc="FA9824EE" w:tentative="1">
      <w:start w:val="1"/>
      <w:numFmt w:val="lowerLetter"/>
      <w:lvlText w:val="%5."/>
      <w:lvlJc w:val="left"/>
      <w:pPr>
        <w:ind w:left="3600" w:hanging="360"/>
      </w:pPr>
    </w:lvl>
    <w:lvl w:ilvl="5" w:tplc="24B495D8" w:tentative="1">
      <w:start w:val="1"/>
      <w:numFmt w:val="lowerRoman"/>
      <w:lvlText w:val="%6."/>
      <w:lvlJc w:val="right"/>
      <w:pPr>
        <w:ind w:left="4320" w:hanging="180"/>
      </w:pPr>
    </w:lvl>
    <w:lvl w:ilvl="6" w:tplc="E982E476" w:tentative="1">
      <w:start w:val="1"/>
      <w:numFmt w:val="decimal"/>
      <w:lvlText w:val="%7."/>
      <w:lvlJc w:val="left"/>
      <w:pPr>
        <w:ind w:left="5040" w:hanging="360"/>
      </w:pPr>
    </w:lvl>
    <w:lvl w:ilvl="7" w:tplc="18C2179C" w:tentative="1">
      <w:start w:val="1"/>
      <w:numFmt w:val="lowerLetter"/>
      <w:lvlText w:val="%8."/>
      <w:lvlJc w:val="left"/>
      <w:pPr>
        <w:ind w:left="5760" w:hanging="360"/>
      </w:pPr>
    </w:lvl>
    <w:lvl w:ilvl="8" w:tplc="24E6F98A" w:tentative="1">
      <w:start w:val="1"/>
      <w:numFmt w:val="lowerRoman"/>
      <w:lvlText w:val="%9."/>
      <w:lvlJc w:val="right"/>
      <w:pPr>
        <w:ind w:left="6480" w:hanging="180"/>
      </w:pPr>
    </w:lvl>
  </w:abstractNum>
  <w:abstractNum w:abstractNumId="14" w15:restartNumberingAfterBreak="0">
    <w:nsid w:val="45B6227A"/>
    <w:multiLevelType w:val="hybridMultilevel"/>
    <w:tmpl w:val="BD36422A"/>
    <w:lvl w:ilvl="0" w:tplc="4BF0B892">
      <w:start w:val="1"/>
      <w:numFmt w:val="bullet"/>
      <w:lvlText w:val=""/>
      <w:lvlJc w:val="left"/>
      <w:pPr>
        <w:ind w:left="360" w:hanging="360"/>
      </w:pPr>
      <w:rPr>
        <w:rFonts w:ascii="Symbol" w:hAnsi="Symbol" w:hint="default"/>
      </w:rPr>
    </w:lvl>
    <w:lvl w:ilvl="1" w:tplc="6FEC27DC" w:tentative="1">
      <w:start w:val="1"/>
      <w:numFmt w:val="bullet"/>
      <w:lvlText w:val="o"/>
      <w:lvlJc w:val="left"/>
      <w:pPr>
        <w:ind w:left="1080" w:hanging="360"/>
      </w:pPr>
      <w:rPr>
        <w:rFonts w:ascii="Courier New" w:hAnsi="Courier New" w:cs="Courier New" w:hint="default"/>
      </w:rPr>
    </w:lvl>
    <w:lvl w:ilvl="2" w:tplc="69C41C48" w:tentative="1">
      <w:start w:val="1"/>
      <w:numFmt w:val="bullet"/>
      <w:lvlText w:val=""/>
      <w:lvlJc w:val="left"/>
      <w:pPr>
        <w:ind w:left="1800" w:hanging="360"/>
      </w:pPr>
      <w:rPr>
        <w:rFonts w:ascii="Wingdings" w:hAnsi="Wingdings" w:hint="default"/>
      </w:rPr>
    </w:lvl>
    <w:lvl w:ilvl="3" w:tplc="63F06990" w:tentative="1">
      <w:start w:val="1"/>
      <w:numFmt w:val="bullet"/>
      <w:lvlText w:val=""/>
      <w:lvlJc w:val="left"/>
      <w:pPr>
        <w:ind w:left="2520" w:hanging="360"/>
      </w:pPr>
      <w:rPr>
        <w:rFonts w:ascii="Symbol" w:hAnsi="Symbol" w:hint="default"/>
      </w:rPr>
    </w:lvl>
    <w:lvl w:ilvl="4" w:tplc="29C858C0" w:tentative="1">
      <w:start w:val="1"/>
      <w:numFmt w:val="bullet"/>
      <w:lvlText w:val="o"/>
      <w:lvlJc w:val="left"/>
      <w:pPr>
        <w:ind w:left="3240" w:hanging="360"/>
      </w:pPr>
      <w:rPr>
        <w:rFonts w:ascii="Courier New" w:hAnsi="Courier New" w:cs="Courier New" w:hint="default"/>
      </w:rPr>
    </w:lvl>
    <w:lvl w:ilvl="5" w:tplc="2F4A9A5E" w:tentative="1">
      <w:start w:val="1"/>
      <w:numFmt w:val="bullet"/>
      <w:lvlText w:val=""/>
      <w:lvlJc w:val="left"/>
      <w:pPr>
        <w:ind w:left="3960" w:hanging="360"/>
      </w:pPr>
      <w:rPr>
        <w:rFonts w:ascii="Wingdings" w:hAnsi="Wingdings" w:hint="default"/>
      </w:rPr>
    </w:lvl>
    <w:lvl w:ilvl="6" w:tplc="A2229BBE" w:tentative="1">
      <w:start w:val="1"/>
      <w:numFmt w:val="bullet"/>
      <w:lvlText w:val=""/>
      <w:lvlJc w:val="left"/>
      <w:pPr>
        <w:ind w:left="4680" w:hanging="360"/>
      </w:pPr>
      <w:rPr>
        <w:rFonts w:ascii="Symbol" w:hAnsi="Symbol" w:hint="default"/>
      </w:rPr>
    </w:lvl>
    <w:lvl w:ilvl="7" w:tplc="61685E8A" w:tentative="1">
      <w:start w:val="1"/>
      <w:numFmt w:val="bullet"/>
      <w:lvlText w:val="o"/>
      <w:lvlJc w:val="left"/>
      <w:pPr>
        <w:ind w:left="5400" w:hanging="360"/>
      </w:pPr>
      <w:rPr>
        <w:rFonts w:ascii="Courier New" w:hAnsi="Courier New" w:cs="Courier New" w:hint="default"/>
      </w:rPr>
    </w:lvl>
    <w:lvl w:ilvl="8" w:tplc="39388876" w:tentative="1">
      <w:start w:val="1"/>
      <w:numFmt w:val="bullet"/>
      <w:lvlText w:val=""/>
      <w:lvlJc w:val="left"/>
      <w:pPr>
        <w:ind w:left="6120" w:hanging="360"/>
      </w:pPr>
      <w:rPr>
        <w:rFonts w:ascii="Wingdings" w:hAnsi="Wingdings" w:hint="default"/>
      </w:rPr>
    </w:lvl>
  </w:abstractNum>
  <w:abstractNum w:abstractNumId="15" w15:restartNumberingAfterBreak="0">
    <w:nsid w:val="4CDA114D"/>
    <w:multiLevelType w:val="multilevel"/>
    <w:tmpl w:val="C180CD36"/>
    <w:lvl w:ilvl="0">
      <w:start w:val="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10450C6"/>
    <w:multiLevelType w:val="multilevel"/>
    <w:tmpl w:val="6860C3D8"/>
    <w:lvl w:ilvl="0">
      <w:start w:val="3"/>
      <w:numFmt w:val="decimal"/>
      <w:lvlText w:val="%1."/>
      <w:lvlJc w:val="left"/>
      <w:pPr>
        <w:ind w:left="360" w:hanging="360"/>
      </w:pPr>
      <w:rPr>
        <w:rFonts w:hint="default"/>
      </w:rPr>
    </w:lvl>
    <w:lvl w:ilvl="1">
      <w:start w:val="5"/>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6942188"/>
    <w:multiLevelType w:val="multilevel"/>
    <w:tmpl w:val="2084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E412E6"/>
    <w:multiLevelType w:val="multilevel"/>
    <w:tmpl w:val="4800B68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9F701D3"/>
    <w:multiLevelType w:val="multilevel"/>
    <w:tmpl w:val="678CEE2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73044001"/>
    <w:multiLevelType w:val="multilevel"/>
    <w:tmpl w:val="597C4E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6E37E2"/>
    <w:multiLevelType w:val="hybridMultilevel"/>
    <w:tmpl w:val="1228F8FA"/>
    <w:lvl w:ilvl="0" w:tplc="1406A322">
      <w:start w:val="1"/>
      <w:numFmt w:val="decimal"/>
      <w:lvlText w:val="%1."/>
      <w:lvlJc w:val="left"/>
      <w:pPr>
        <w:ind w:left="2160" w:hanging="360"/>
      </w:pPr>
    </w:lvl>
    <w:lvl w:ilvl="1" w:tplc="C15EE002" w:tentative="1">
      <w:start w:val="1"/>
      <w:numFmt w:val="lowerLetter"/>
      <w:lvlText w:val="%2."/>
      <w:lvlJc w:val="left"/>
      <w:pPr>
        <w:ind w:left="2880" w:hanging="360"/>
      </w:pPr>
    </w:lvl>
    <w:lvl w:ilvl="2" w:tplc="321813AA" w:tentative="1">
      <w:start w:val="1"/>
      <w:numFmt w:val="lowerRoman"/>
      <w:lvlText w:val="%3."/>
      <w:lvlJc w:val="right"/>
      <w:pPr>
        <w:ind w:left="3600" w:hanging="180"/>
      </w:pPr>
    </w:lvl>
    <w:lvl w:ilvl="3" w:tplc="C1E03ACC" w:tentative="1">
      <w:start w:val="1"/>
      <w:numFmt w:val="decimal"/>
      <w:lvlText w:val="%4."/>
      <w:lvlJc w:val="left"/>
      <w:pPr>
        <w:ind w:left="4320" w:hanging="360"/>
      </w:pPr>
    </w:lvl>
    <w:lvl w:ilvl="4" w:tplc="244E07C6" w:tentative="1">
      <w:start w:val="1"/>
      <w:numFmt w:val="lowerLetter"/>
      <w:lvlText w:val="%5."/>
      <w:lvlJc w:val="left"/>
      <w:pPr>
        <w:ind w:left="5040" w:hanging="360"/>
      </w:pPr>
    </w:lvl>
    <w:lvl w:ilvl="5" w:tplc="87BE1918" w:tentative="1">
      <w:start w:val="1"/>
      <w:numFmt w:val="lowerRoman"/>
      <w:lvlText w:val="%6."/>
      <w:lvlJc w:val="right"/>
      <w:pPr>
        <w:ind w:left="5760" w:hanging="180"/>
      </w:pPr>
    </w:lvl>
    <w:lvl w:ilvl="6" w:tplc="044EA202" w:tentative="1">
      <w:start w:val="1"/>
      <w:numFmt w:val="decimal"/>
      <w:lvlText w:val="%7."/>
      <w:lvlJc w:val="left"/>
      <w:pPr>
        <w:ind w:left="6480" w:hanging="360"/>
      </w:pPr>
    </w:lvl>
    <w:lvl w:ilvl="7" w:tplc="B80EAAF2" w:tentative="1">
      <w:start w:val="1"/>
      <w:numFmt w:val="lowerLetter"/>
      <w:lvlText w:val="%8."/>
      <w:lvlJc w:val="left"/>
      <w:pPr>
        <w:ind w:left="7200" w:hanging="360"/>
      </w:pPr>
    </w:lvl>
    <w:lvl w:ilvl="8" w:tplc="8250DFE2" w:tentative="1">
      <w:start w:val="1"/>
      <w:numFmt w:val="lowerRoman"/>
      <w:lvlText w:val="%9."/>
      <w:lvlJc w:val="right"/>
      <w:pPr>
        <w:ind w:left="7920" w:hanging="180"/>
      </w:pPr>
    </w:lvl>
  </w:abstractNum>
  <w:num w:numId="1">
    <w:abstractNumId w:val="16"/>
  </w:num>
  <w:num w:numId="2">
    <w:abstractNumId w:val="18"/>
  </w:num>
  <w:num w:numId="3">
    <w:abstractNumId w:val="2"/>
  </w:num>
  <w:num w:numId="4">
    <w:abstractNumId w:val="1"/>
  </w:num>
  <w:num w:numId="5">
    <w:abstractNumId w:val="11"/>
  </w:num>
  <w:num w:numId="6">
    <w:abstractNumId w:val="3"/>
  </w:num>
  <w:num w:numId="7">
    <w:abstractNumId w:val="15"/>
  </w:num>
  <w:num w:numId="8">
    <w:abstractNumId w:val="19"/>
  </w:num>
  <w:num w:numId="9">
    <w:abstractNumId w:val="6"/>
  </w:num>
  <w:num w:numId="10">
    <w:abstractNumId w:val="7"/>
  </w:num>
  <w:num w:numId="11">
    <w:abstractNumId w:val="10"/>
  </w:num>
  <w:num w:numId="12">
    <w:abstractNumId w:val="8"/>
  </w:num>
  <w:num w:numId="13">
    <w:abstractNumId w:val="21"/>
  </w:num>
  <w:num w:numId="14">
    <w:abstractNumId w:val="14"/>
  </w:num>
  <w:num w:numId="15">
    <w:abstractNumId w:val="9"/>
  </w:num>
  <w:num w:numId="16">
    <w:abstractNumId w:val="20"/>
  </w:num>
  <w:num w:numId="17">
    <w:abstractNumId w:val="5"/>
  </w:num>
  <w:num w:numId="18">
    <w:abstractNumId w:val="13"/>
  </w:num>
  <w:num w:numId="19">
    <w:abstractNumId w:val="4"/>
  </w:num>
  <w:num w:numId="20">
    <w:abstractNumId w:val="12"/>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yNjcwNjY0NDAHMpV0lIJTi4sz8/NACoxrAa+E/lYsAAAA"/>
  </w:docVars>
  <w:rsids>
    <w:rsidRoot w:val="00E560E9"/>
    <w:rsid w:val="000011F3"/>
    <w:rsid w:val="00002043"/>
    <w:rsid w:val="00003494"/>
    <w:rsid w:val="00006248"/>
    <w:rsid w:val="0000702E"/>
    <w:rsid w:val="0001027D"/>
    <w:rsid w:val="00011A9F"/>
    <w:rsid w:val="000138BD"/>
    <w:rsid w:val="00013FB7"/>
    <w:rsid w:val="00015DC6"/>
    <w:rsid w:val="00017C9E"/>
    <w:rsid w:val="00020836"/>
    <w:rsid w:val="0002172C"/>
    <w:rsid w:val="00021B82"/>
    <w:rsid w:val="000235BA"/>
    <w:rsid w:val="000237FB"/>
    <w:rsid w:val="00023F65"/>
    <w:rsid w:val="00024359"/>
    <w:rsid w:val="0002670D"/>
    <w:rsid w:val="00027720"/>
    <w:rsid w:val="000309B9"/>
    <w:rsid w:val="000320D5"/>
    <w:rsid w:val="00033CFB"/>
    <w:rsid w:val="00035A67"/>
    <w:rsid w:val="00037B2B"/>
    <w:rsid w:val="0004191B"/>
    <w:rsid w:val="0004332F"/>
    <w:rsid w:val="000458D2"/>
    <w:rsid w:val="000459E2"/>
    <w:rsid w:val="00045C99"/>
    <w:rsid w:val="00047069"/>
    <w:rsid w:val="000504A7"/>
    <w:rsid w:val="00050C0C"/>
    <w:rsid w:val="00050E09"/>
    <w:rsid w:val="0005114A"/>
    <w:rsid w:val="00051FFE"/>
    <w:rsid w:val="00053DB8"/>
    <w:rsid w:val="00054307"/>
    <w:rsid w:val="00054A97"/>
    <w:rsid w:val="00060613"/>
    <w:rsid w:val="00061019"/>
    <w:rsid w:val="000612E0"/>
    <w:rsid w:val="000630E7"/>
    <w:rsid w:val="000654F3"/>
    <w:rsid w:val="00066858"/>
    <w:rsid w:val="000721C3"/>
    <w:rsid w:val="000755F0"/>
    <w:rsid w:val="000807D6"/>
    <w:rsid w:val="00081DFA"/>
    <w:rsid w:val="00081FEB"/>
    <w:rsid w:val="0008213F"/>
    <w:rsid w:val="00082559"/>
    <w:rsid w:val="000839C2"/>
    <w:rsid w:val="00083B41"/>
    <w:rsid w:val="00083D98"/>
    <w:rsid w:val="000862A9"/>
    <w:rsid w:val="00086A66"/>
    <w:rsid w:val="00086C89"/>
    <w:rsid w:val="000921BE"/>
    <w:rsid w:val="0009338D"/>
    <w:rsid w:val="00093F14"/>
    <w:rsid w:val="00094C22"/>
    <w:rsid w:val="000972D3"/>
    <w:rsid w:val="000A1042"/>
    <w:rsid w:val="000A1354"/>
    <w:rsid w:val="000A4510"/>
    <w:rsid w:val="000A68F7"/>
    <w:rsid w:val="000B0242"/>
    <w:rsid w:val="000B03F3"/>
    <w:rsid w:val="000B05B3"/>
    <w:rsid w:val="000B4345"/>
    <w:rsid w:val="000B49A4"/>
    <w:rsid w:val="000B615E"/>
    <w:rsid w:val="000C16BB"/>
    <w:rsid w:val="000C1B44"/>
    <w:rsid w:val="000C1E82"/>
    <w:rsid w:val="000C298F"/>
    <w:rsid w:val="000C33C6"/>
    <w:rsid w:val="000C4404"/>
    <w:rsid w:val="000C7803"/>
    <w:rsid w:val="000C7FC5"/>
    <w:rsid w:val="000D049C"/>
    <w:rsid w:val="000D1318"/>
    <w:rsid w:val="000D3BC8"/>
    <w:rsid w:val="000D5885"/>
    <w:rsid w:val="000D5D87"/>
    <w:rsid w:val="000D6E1E"/>
    <w:rsid w:val="000D7744"/>
    <w:rsid w:val="000D7E49"/>
    <w:rsid w:val="000E137D"/>
    <w:rsid w:val="000E21B5"/>
    <w:rsid w:val="000E3937"/>
    <w:rsid w:val="000E3F17"/>
    <w:rsid w:val="000E4CE0"/>
    <w:rsid w:val="000E67F8"/>
    <w:rsid w:val="000E71C4"/>
    <w:rsid w:val="000E7CEC"/>
    <w:rsid w:val="000F0FFE"/>
    <w:rsid w:val="000F130C"/>
    <w:rsid w:val="000F2F59"/>
    <w:rsid w:val="000F33FA"/>
    <w:rsid w:val="000F41DE"/>
    <w:rsid w:val="000F4525"/>
    <w:rsid w:val="000F5502"/>
    <w:rsid w:val="000F5DF1"/>
    <w:rsid w:val="000F6F4E"/>
    <w:rsid w:val="00101586"/>
    <w:rsid w:val="001052B6"/>
    <w:rsid w:val="00105E1F"/>
    <w:rsid w:val="001107F6"/>
    <w:rsid w:val="00111B28"/>
    <w:rsid w:val="001145C5"/>
    <w:rsid w:val="0011646D"/>
    <w:rsid w:val="001222BD"/>
    <w:rsid w:val="00122C7F"/>
    <w:rsid w:val="001254F9"/>
    <w:rsid w:val="00125713"/>
    <w:rsid w:val="001257FC"/>
    <w:rsid w:val="00126050"/>
    <w:rsid w:val="00130BD0"/>
    <w:rsid w:val="00130F72"/>
    <w:rsid w:val="001314A7"/>
    <w:rsid w:val="0013224B"/>
    <w:rsid w:val="001335FA"/>
    <w:rsid w:val="0013435E"/>
    <w:rsid w:val="00134EEA"/>
    <w:rsid w:val="00137A11"/>
    <w:rsid w:val="00140986"/>
    <w:rsid w:val="00140A55"/>
    <w:rsid w:val="00141466"/>
    <w:rsid w:val="001421AB"/>
    <w:rsid w:val="00142376"/>
    <w:rsid w:val="00142EA7"/>
    <w:rsid w:val="00143C68"/>
    <w:rsid w:val="00144AAF"/>
    <w:rsid w:val="0015128D"/>
    <w:rsid w:val="00152898"/>
    <w:rsid w:val="00154278"/>
    <w:rsid w:val="001546BF"/>
    <w:rsid w:val="001564AE"/>
    <w:rsid w:val="0016014B"/>
    <w:rsid w:val="001617A2"/>
    <w:rsid w:val="00162604"/>
    <w:rsid w:val="001632E5"/>
    <w:rsid w:val="00164075"/>
    <w:rsid w:val="00166FF5"/>
    <w:rsid w:val="00167682"/>
    <w:rsid w:val="00170930"/>
    <w:rsid w:val="00170FDC"/>
    <w:rsid w:val="001740B4"/>
    <w:rsid w:val="001769AA"/>
    <w:rsid w:val="00176E98"/>
    <w:rsid w:val="001776ED"/>
    <w:rsid w:val="00181E99"/>
    <w:rsid w:val="001820B3"/>
    <w:rsid w:val="001828E7"/>
    <w:rsid w:val="00182BAB"/>
    <w:rsid w:val="00184558"/>
    <w:rsid w:val="00185139"/>
    <w:rsid w:val="00193DC4"/>
    <w:rsid w:val="001957E8"/>
    <w:rsid w:val="0019719A"/>
    <w:rsid w:val="0019739C"/>
    <w:rsid w:val="00197509"/>
    <w:rsid w:val="00197515"/>
    <w:rsid w:val="001A04EE"/>
    <w:rsid w:val="001A108A"/>
    <w:rsid w:val="001A5A18"/>
    <w:rsid w:val="001A5AD6"/>
    <w:rsid w:val="001A5F95"/>
    <w:rsid w:val="001A5FF9"/>
    <w:rsid w:val="001B147F"/>
    <w:rsid w:val="001B33D1"/>
    <w:rsid w:val="001B3474"/>
    <w:rsid w:val="001B35A9"/>
    <w:rsid w:val="001B55D3"/>
    <w:rsid w:val="001B5A65"/>
    <w:rsid w:val="001B699D"/>
    <w:rsid w:val="001C1D3A"/>
    <w:rsid w:val="001C42BE"/>
    <w:rsid w:val="001C4915"/>
    <w:rsid w:val="001C4C98"/>
    <w:rsid w:val="001D185F"/>
    <w:rsid w:val="001D1A94"/>
    <w:rsid w:val="001D4343"/>
    <w:rsid w:val="001D4FF7"/>
    <w:rsid w:val="001E407D"/>
    <w:rsid w:val="001F0862"/>
    <w:rsid w:val="001F09B0"/>
    <w:rsid w:val="001F4FE0"/>
    <w:rsid w:val="00200FAC"/>
    <w:rsid w:val="00201730"/>
    <w:rsid w:val="00203272"/>
    <w:rsid w:val="00205668"/>
    <w:rsid w:val="00212B61"/>
    <w:rsid w:val="00214717"/>
    <w:rsid w:val="0021523B"/>
    <w:rsid w:val="002174D9"/>
    <w:rsid w:val="00217686"/>
    <w:rsid w:val="002208B5"/>
    <w:rsid w:val="00223505"/>
    <w:rsid w:val="00223805"/>
    <w:rsid w:val="00227244"/>
    <w:rsid w:val="00227D61"/>
    <w:rsid w:val="00230AF1"/>
    <w:rsid w:val="00230B28"/>
    <w:rsid w:val="002330D8"/>
    <w:rsid w:val="00233975"/>
    <w:rsid w:val="00233CE6"/>
    <w:rsid w:val="00241E39"/>
    <w:rsid w:val="00242F5C"/>
    <w:rsid w:val="00243157"/>
    <w:rsid w:val="002431FC"/>
    <w:rsid w:val="002437C7"/>
    <w:rsid w:val="00244689"/>
    <w:rsid w:val="00245425"/>
    <w:rsid w:val="00246766"/>
    <w:rsid w:val="00246889"/>
    <w:rsid w:val="00247CEC"/>
    <w:rsid w:val="00250810"/>
    <w:rsid w:val="00251EA5"/>
    <w:rsid w:val="00255DB9"/>
    <w:rsid w:val="00262AA8"/>
    <w:rsid w:val="00262C8D"/>
    <w:rsid w:val="00263407"/>
    <w:rsid w:val="002638E3"/>
    <w:rsid w:val="00272606"/>
    <w:rsid w:val="002737AF"/>
    <w:rsid w:val="00273E78"/>
    <w:rsid w:val="00275217"/>
    <w:rsid w:val="00277DDE"/>
    <w:rsid w:val="00282627"/>
    <w:rsid w:val="002829E0"/>
    <w:rsid w:val="00285BB6"/>
    <w:rsid w:val="00287A0B"/>
    <w:rsid w:val="00290DFD"/>
    <w:rsid w:val="002915C6"/>
    <w:rsid w:val="002927AD"/>
    <w:rsid w:val="0029385B"/>
    <w:rsid w:val="00294101"/>
    <w:rsid w:val="00296798"/>
    <w:rsid w:val="002A03CC"/>
    <w:rsid w:val="002A09E0"/>
    <w:rsid w:val="002A1AF4"/>
    <w:rsid w:val="002A2C72"/>
    <w:rsid w:val="002A4369"/>
    <w:rsid w:val="002A60AD"/>
    <w:rsid w:val="002A6968"/>
    <w:rsid w:val="002B1DC0"/>
    <w:rsid w:val="002B1F1D"/>
    <w:rsid w:val="002B5CA9"/>
    <w:rsid w:val="002C1B8F"/>
    <w:rsid w:val="002C2B2B"/>
    <w:rsid w:val="002C448D"/>
    <w:rsid w:val="002C49E9"/>
    <w:rsid w:val="002C6892"/>
    <w:rsid w:val="002D2AD0"/>
    <w:rsid w:val="002D396C"/>
    <w:rsid w:val="002D5036"/>
    <w:rsid w:val="002D5A31"/>
    <w:rsid w:val="002D795E"/>
    <w:rsid w:val="002D7E57"/>
    <w:rsid w:val="002E02B1"/>
    <w:rsid w:val="002E0781"/>
    <w:rsid w:val="002E07F2"/>
    <w:rsid w:val="002E4877"/>
    <w:rsid w:val="002E4B87"/>
    <w:rsid w:val="002E52DD"/>
    <w:rsid w:val="002E72F6"/>
    <w:rsid w:val="002E7D2B"/>
    <w:rsid w:val="002F1367"/>
    <w:rsid w:val="002F2DC0"/>
    <w:rsid w:val="002F33AA"/>
    <w:rsid w:val="002F6973"/>
    <w:rsid w:val="002F6AFA"/>
    <w:rsid w:val="002F6B48"/>
    <w:rsid w:val="002F7385"/>
    <w:rsid w:val="002F751E"/>
    <w:rsid w:val="00300F69"/>
    <w:rsid w:val="00301F84"/>
    <w:rsid w:val="003032F4"/>
    <w:rsid w:val="003042CD"/>
    <w:rsid w:val="00304B65"/>
    <w:rsid w:val="00305583"/>
    <w:rsid w:val="003113CE"/>
    <w:rsid w:val="003145B4"/>
    <w:rsid w:val="00314E21"/>
    <w:rsid w:val="00315B7C"/>
    <w:rsid w:val="00316C80"/>
    <w:rsid w:val="00317091"/>
    <w:rsid w:val="0032043A"/>
    <w:rsid w:val="0032174E"/>
    <w:rsid w:val="00321DD7"/>
    <w:rsid w:val="00323022"/>
    <w:rsid w:val="003246AB"/>
    <w:rsid w:val="00326574"/>
    <w:rsid w:val="00326FC3"/>
    <w:rsid w:val="00331DEC"/>
    <w:rsid w:val="003331C8"/>
    <w:rsid w:val="00333827"/>
    <w:rsid w:val="00340518"/>
    <w:rsid w:val="00341E5F"/>
    <w:rsid w:val="003453B5"/>
    <w:rsid w:val="00346855"/>
    <w:rsid w:val="00346997"/>
    <w:rsid w:val="00352190"/>
    <w:rsid w:val="00354C78"/>
    <w:rsid w:val="00355F24"/>
    <w:rsid w:val="003561E6"/>
    <w:rsid w:val="00356929"/>
    <w:rsid w:val="003572E5"/>
    <w:rsid w:val="00361745"/>
    <w:rsid w:val="00362B3D"/>
    <w:rsid w:val="00367C2E"/>
    <w:rsid w:val="00374928"/>
    <w:rsid w:val="00375EEC"/>
    <w:rsid w:val="003801F2"/>
    <w:rsid w:val="003826D6"/>
    <w:rsid w:val="0038566A"/>
    <w:rsid w:val="00385956"/>
    <w:rsid w:val="00385AB3"/>
    <w:rsid w:val="0038623C"/>
    <w:rsid w:val="00391CDF"/>
    <w:rsid w:val="00391DAE"/>
    <w:rsid w:val="00396500"/>
    <w:rsid w:val="00397A7C"/>
    <w:rsid w:val="003A0977"/>
    <w:rsid w:val="003A240C"/>
    <w:rsid w:val="003A295B"/>
    <w:rsid w:val="003A4BAE"/>
    <w:rsid w:val="003A636C"/>
    <w:rsid w:val="003A7B9C"/>
    <w:rsid w:val="003B1CD2"/>
    <w:rsid w:val="003B2A85"/>
    <w:rsid w:val="003B5321"/>
    <w:rsid w:val="003B585C"/>
    <w:rsid w:val="003B59DB"/>
    <w:rsid w:val="003B5A65"/>
    <w:rsid w:val="003B6DE5"/>
    <w:rsid w:val="003C17E3"/>
    <w:rsid w:val="003C4693"/>
    <w:rsid w:val="003C63E6"/>
    <w:rsid w:val="003D154D"/>
    <w:rsid w:val="003D2A61"/>
    <w:rsid w:val="003D55A0"/>
    <w:rsid w:val="003D6351"/>
    <w:rsid w:val="003D6566"/>
    <w:rsid w:val="003E0AEF"/>
    <w:rsid w:val="003E13C5"/>
    <w:rsid w:val="003E19B0"/>
    <w:rsid w:val="003E2CA7"/>
    <w:rsid w:val="003E74F4"/>
    <w:rsid w:val="003F09D5"/>
    <w:rsid w:val="003F1B56"/>
    <w:rsid w:val="003F3A3B"/>
    <w:rsid w:val="003F439A"/>
    <w:rsid w:val="003F629A"/>
    <w:rsid w:val="003F6A67"/>
    <w:rsid w:val="004011C9"/>
    <w:rsid w:val="00402F0E"/>
    <w:rsid w:val="00406CA2"/>
    <w:rsid w:val="00410B66"/>
    <w:rsid w:val="004165E1"/>
    <w:rsid w:val="00421AA2"/>
    <w:rsid w:val="00423592"/>
    <w:rsid w:val="0042481F"/>
    <w:rsid w:val="0042516D"/>
    <w:rsid w:val="004362D4"/>
    <w:rsid w:val="004400EE"/>
    <w:rsid w:val="00445952"/>
    <w:rsid w:val="00445ACC"/>
    <w:rsid w:val="004465FD"/>
    <w:rsid w:val="00447862"/>
    <w:rsid w:val="00447D64"/>
    <w:rsid w:val="00450BBB"/>
    <w:rsid w:val="00451414"/>
    <w:rsid w:val="00451E85"/>
    <w:rsid w:val="00453C16"/>
    <w:rsid w:val="0045572C"/>
    <w:rsid w:val="00456429"/>
    <w:rsid w:val="004572C0"/>
    <w:rsid w:val="00460841"/>
    <w:rsid w:val="00461F43"/>
    <w:rsid w:val="00462D82"/>
    <w:rsid w:val="0046423A"/>
    <w:rsid w:val="004667F0"/>
    <w:rsid w:val="004674A0"/>
    <w:rsid w:val="00470335"/>
    <w:rsid w:val="004748CA"/>
    <w:rsid w:val="004760C5"/>
    <w:rsid w:val="00476518"/>
    <w:rsid w:val="00476929"/>
    <w:rsid w:val="004813E5"/>
    <w:rsid w:val="00485718"/>
    <w:rsid w:val="00485A83"/>
    <w:rsid w:val="00486204"/>
    <w:rsid w:val="004901D4"/>
    <w:rsid w:val="004913EF"/>
    <w:rsid w:val="00491C70"/>
    <w:rsid w:val="00492965"/>
    <w:rsid w:val="00493664"/>
    <w:rsid w:val="004940B1"/>
    <w:rsid w:val="0049508A"/>
    <w:rsid w:val="0049514F"/>
    <w:rsid w:val="0049557F"/>
    <w:rsid w:val="00495901"/>
    <w:rsid w:val="00497425"/>
    <w:rsid w:val="004A48FF"/>
    <w:rsid w:val="004A5A76"/>
    <w:rsid w:val="004A7FB6"/>
    <w:rsid w:val="004B1897"/>
    <w:rsid w:val="004B2ACC"/>
    <w:rsid w:val="004B4DBD"/>
    <w:rsid w:val="004B687F"/>
    <w:rsid w:val="004B6D18"/>
    <w:rsid w:val="004B7979"/>
    <w:rsid w:val="004C1834"/>
    <w:rsid w:val="004C34D1"/>
    <w:rsid w:val="004C4643"/>
    <w:rsid w:val="004C6639"/>
    <w:rsid w:val="004C7DDC"/>
    <w:rsid w:val="004D02B4"/>
    <w:rsid w:val="004D0BF0"/>
    <w:rsid w:val="004D11A2"/>
    <w:rsid w:val="004D65D6"/>
    <w:rsid w:val="004D6DB4"/>
    <w:rsid w:val="004E0344"/>
    <w:rsid w:val="004E04ED"/>
    <w:rsid w:val="004E1C30"/>
    <w:rsid w:val="004E1FE2"/>
    <w:rsid w:val="004E214F"/>
    <w:rsid w:val="004E3863"/>
    <w:rsid w:val="004E5975"/>
    <w:rsid w:val="004F3CE2"/>
    <w:rsid w:val="004F4163"/>
    <w:rsid w:val="004F4A8C"/>
    <w:rsid w:val="004F576B"/>
    <w:rsid w:val="004F5CF0"/>
    <w:rsid w:val="005005DA"/>
    <w:rsid w:val="00500657"/>
    <w:rsid w:val="00504A20"/>
    <w:rsid w:val="00507BF4"/>
    <w:rsid w:val="00510AC8"/>
    <w:rsid w:val="0051129B"/>
    <w:rsid w:val="00511EA0"/>
    <w:rsid w:val="005134C4"/>
    <w:rsid w:val="00520198"/>
    <w:rsid w:val="005201DC"/>
    <w:rsid w:val="00521941"/>
    <w:rsid w:val="0052477E"/>
    <w:rsid w:val="00524A56"/>
    <w:rsid w:val="005252F0"/>
    <w:rsid w:val="005253AD"/>
    <w:rsid w:val="00525EAA"/>
    <w:rsid w:val="00526596"/>
    <w:rsid w:val="00527763"/>
    <w:rsid w:val="005310CD"/>
    <w:rsid w:val="00531557"/>
    <w:rsid w:val="00533BF8"/>
    <w:rsid w:val="005344E3"/>
    <w:rsid w:val="00535088"/>
    <w:rsid w:val="00541212"/>
    <w:rsid w:val="00541455"/>
    <w:rsid w:val="0054239D"/>
    <w:rsid w:val="00543EF8"/>
    <w:rsid w:val="00544FD5"/>
    <w:rsid w:val="00545876"/>
    <w:rsid w:val="00546E37"/>
    <w:rsid w:val="005475BF"/>
    <w:rsid w:val="00554D64"/>
    <w:rsid w:val="00555645"/>
    <w:rsid w:val="00555D44"/>
    <w:rsid w:val="00556173"/>
    <w:rsid w:val="00556395"/>
    <w:rsid w:val="0056031B"/>
    <w:rsid w:val="00563B97"/>
    <w:rsid w:val="00563CA5"/>
    <w:rsid w:val="005647A2"/>
    <w:rsid w:val="0056763B"/>
    <w:rsid w:val="0057004C"/>
    <w:rsid w:val="0057059C"/>
    <w:rsid w:val="005711D5"/>
    <w:rsid w:val="00572C6A"/>
    <w:rsid w:val="00573F2C"/>
    <w:rsid w:val="00575C68"/>
    <w:rsid w:val="0057741A"/>
    <w:rsid w:val="00581264"/>
    <w:rsid w:val="00581EE9"/>
    <w:rsid w:val="00583CF5"/>
    <w:rsid w:val="005840B8"/>
    <w:rsid w:val="0058480F"/>
    <w:rsid w:val="00586500"/>
    <w:rsid w:val="00586A6E"/>
    <w:rsid w:val="00586D8B"/>
    <w:rsid w:val="00590A16"/>
    <w:rsid w:val="00590D1A"/>
    <w:rsid w:val="00593AF4"/>
    <w:rsid w:val="00594FCF"/>
    <w:rsid w:val="00596DBF"/>
    <w:rsid w:val="005A050D"/>
    <w:rsid w:val="005A118A"/>
    <w:rsid w:val="005A3E4B"/>
    <w:rsid w:val="005A54E7"/>
    <w:rsid w:val="005A6AD2"/>
    <w:rsid w:val="005A7348"/>
    <w:rsid w:val="005B2E09"/>
    <w:rsid w:val="005B4CC5"/>
    <w:rsid w:val="005B4CE6"/>
    <w:rsid w:val="005B61DB"/>
    <w:rsid w:val="005C1468"/>
    <w:rsid w:val="005C1C4D"/>
    <w:rsid w:val="005C2DFC"/>
    <w:rsid w:val="005C390E"/>
    <w:rsid w:val="005C44FA"/>
    <w:rsid w:val="005C540B"/>
    <w:rsid w:val="005C73BC"/>
    <w:rsid w:val="005D1450"/>
    <w:rsid w:val="005D2021"/>
    <w:rsid w:val="005D2916"/>
    <w:rsid w:val="005D371E"/>
    <w:rsid w:val="005D4C60"/>
    <w:rsid w:val="005E0F2D"/>
    <w:rsid w:val="005E1848"/>
    <w:rsid w:val="005F00A6"/>
    <w:rsid w:val="005F0B07"/>
    <w:rsid w:val="005F1B5F"/>
    <w:rsid w:val="005F1E0B"/>
    <w:rsid w:val="005F4C21"/>
    <w:rsid w:val="005F5D7F"/>
    <w:rsid w:val="005F61AA"/>
    <w:rsid w:val="005F6ECA"/>
    <w:rsid w:val="00601284"/>
    <w:rsid w:val="00604555"/>
    <w:rsid w:val="006050C9"/>
    <w:rsid w:val="00605D39"/>
    <w:rsid w:val="00606E6B"/>
    <w:rsid w:val="00607AD3"/>
    <w:rsid w:val="00607D2E"/>
    <w:rsid w:val="00610893"/>
    <w:rsid w:val="00610CDB"/>
    <w:rsid w:val="0061149B"/>
    <w:rsid w:val="00613A66"/>
    <w:rsid w:val="00613DD3"/>
    <w:rsid w:val="0061426A"/>
    <w:rsid w:val="006201FC"/>
    <w:rsid w:val="00621039"/>
    <w:rsid w:val="006210D5"/>
    <w:rsid w:val="00621371"/>
    <w:rsid w:val="00623F2E"/>
    <w:rsid w:val="0062517A"/>
    <w:rsid w:val="00627A60"/>
    <w:rsid w:val="0063068A"/>
    <w:rsid w:val="0063114A"/>
    <w:rsid w:val="00631E9C"/>
    <w:rsid w:val="006351B3"/>
    <w:rsid w:val="00636C2B"/>
    <w:rsid w:val="00637705"/>
    <w:rsid w:val="00640068"/>
    <w:rsid w:val="00640F37"/>
    <w:rsid w:val="00642C7E"/>
    <w:rsid w:val="0064502D"/>
    <w:rsid w:val="0065094F"/>
    <w:rsid w:val="006517DB"/>
    <w:rsid w:val="0065446C"/>
    <w:rsid w:val="006550FE"/>
    <w:rsid w:val="00655F44"/>
    <w:rsid w:val="00656F5C"/>
    <w:rsid w:val="006571DC"/>
    <w:rsid w:val="00660976"/>
    <w:rsid w:val="00661FEE"/>
    <w:rsid w:val="006626DA"/>
    <w:rsid w:val="006637D0"/>
    <w:rsid w:val="00663D0D"/>
    <w:rsid w:val="00664262"/>
    <w:rsid w:val="006648B8"/>
    <w:rsid w:val="006655E7"/>
    <w:rsid w:val="00665BE0"/>
    <w:rsid w:val="00667268"/>
    <w:rsid w:val="00670BF7"/>
    <w:rsid w:val="006722D0"/>
    <w:rsid w:val="00672B5D"/>
    <w:rsid w:val="00674067"/>
    <w:rsid w:val="00676A5C"/>
    <w:rsid w:val="00676B56"/>
    <w:rsid w:val="00677A7B"/>
    <w:rsid w:val="006801F2"/>
    <w:rsid w:val="006815E0"/>
    <w:rsid w:val="00682635"/>
    <w:rsid w:val="00682666"/>
    <w:rsid w:val="0068367C"/>
    <w:rsid w:val="00684D2A"/>
    <w:rsid w:val="00685F0F"/>
    <w:rsid w:val="006867DD"/>
    <w:rsid w:val="006909D1"/>
    <w:rsid w:val="00690FCE"/>
    <w:rsid w:val="006915C8"/>
    <w:rsid w:val="00691EF7"/>
    <w:rsid w:val="00693A9D"/>
    <w:rsid w:val="00693D68"/>
    <w:rsid w:val="00694081"/>
    <w:rsid w:val="006A0157"/>
    <w:rsid w:val="006A10A6"/>
    <w:rsid w:val="006A209F"/>
    <w:rsid w:val="006A29DA"/>
    <w:rsid w:val="006A4A60"/>
    <w:rsid w:val="006A60DB"/>
    <w:rsid w:val="006B01F0"/>
    <w:rsid w:val="006B2FC4"/>
    <w:rsid w:val="006B2FDA"/>
    <w:rsid w:val="006B4614"/>
    <w:rsid w:val="006B7940"/>
    <w:rsid w:val="006C0530"/>
    <w:rsid w:val="006C1B69"/>
    <w:rsid w:val="006C1C37"/>
    <w:rsid w:val="006C26D5"/>
    <w:rsid w:val="006C2758"/>
    <w:rsid w:val="006C5421"/>
    <w:rsid w:val="006C5EEB"/>
    <w:rsid w:val="006C64A0"/>
    <w:rsid w:val="006D054E"/>
    <w:rsid w:val="006D0C06"/>
    <w:rsid w:val="006D3B1D"/>
    <w:rsid w:val="006D48E4"/>
    <w:rsid w:val="006D6AC4"/>
    <w:rsid w:val="006D7DF6"/>
    <w:rsid w:val="006E054E"/>
    <w:rsid w:val="006E1283"/>
    <w:rsid w:val="006E3A23"/>
    <w:rsid w:val="006E576C"/>
    <w:rsid w:val="006E5CB1"/>
    <w:rsid w:val="006E7108"/>
    <w:rsid w:val="006E748A"/>
    <w:rsid w:val="006F2087"/>
    <w:rsid w:val="006F3B09"/>
    <w:rsid w:val="006F459F"/>
    <w:rsid w:val="00700039"/>
    <w:rsid w:val="007000BD"/>
    <w:rsid w:val="007002EA"/>
    <w:rsid w:val="007020C3"/>
    <w:rsid w:val="00704F0A"/>
    <w:rsid w:val="00705892"/>
    <w:rsid w:val="0070599E"/>
    <w:rsid w:val="0070605B"/>
    <w:rsid w:val="007066D6"/>
    <w:rsid w:val="00706F06"/>
    <w:rsid w:val="0071077C"/>
    <w:rsid w:val="0071122B"/>
    <w:rsid w:val="00711923"/>
    <w:rsid w:val="00711DE7"/>
    <w:rsid w:val="0071233F"/>
    <w:rsid w:val="00713039"/>
    <w:rsid w:val="00716555"/>
    <w:rsid w:val="00716625"/>
    <w:rsid w:val="00717EC9"/>
    <w:rsid w:val="00722DA7"/>
    <w:rsid w:val="0072376D"/>
    <w:rsid w:val="00724128"/>
    <w:rsid w:val="00724E5D"/>
    <w:rsid w:val="00724E7C"/>
    <w:rsid w:val="007276D9"/>
    <w:rsid w:val="007324A5"/>
    <w:rsid w:val="0073319A"/>
    <w:rsid w:val="00733342"/>
    <w:rsid w:val="00733A1D"/>
    <w:rsid w:val="00733A2B"/>
    <w:rsid w:val="007353C7"/>
    <w:rsid w:val="00735919"/>
    <w:rsid w:val="00735CD6"/>
    <w:rsid w:val="00735D10"/>
    <w:rsid w:val="00736153"/>
    <w:rsid w:val="007378EE"/>
    <w:rsid w:val="00741AF0"/>
    <w:rsid w:val="007428FB"/>
    <w:rsid w:val="00742D45"/>
    <w:rsid w:val="00742DCC"/>
    <w:rsid w:val="007455F8"/>
    <w:rsid w:val="00746A48"/>
    <w:rsid w:val="00746FCD"/>
    <w:rsid w:val="0074758D"/>
    <w:rsid w:val="00751295"/>
    <w:rsid w:val="00751425"/>
    <w:rsid w:val="00752643"/>
    <w:rsid w:val="00754AA0"/>
    <w:rsid w:val="00754E23"/>
    <w:rsid w:val="007565D1"/>
    <w:rsid w:val="0075669B"/>
    <w:rsid w:val="00760363"/>
    <w:rsid w:val="00760D77"/>
    <w:rsid w:val="00761469"/>
    <w:rsid w:val="007615F1"/>
    <w:rsid w:val="00763CAE"/>
    <w:rsid w:val="00766C0D"/>
    <w:rsid w:val="0077003C"/>
    <w:rsid w:val="007706C0"/>
    <w:rsid w:val="00770E36"/>
    <w:rsid w:val="007725F3"/>
    <w:rsid w:val="00772D59"/>
    <w:rsid w:val="00776DE6"/>
    <w:rsid w:val="00777693"/>
    <w:rsid w:val="00777F15"/>
    <w:rsid w:val="007801DB"/>
    <w:rsid w:val="00782DBE"/>
    <w:rsid w:val="00782F93"/>
    <w:rsid w:val="00786857"/>
    <w:rsid w:val="00786E20"/>
    <w:rsid w:val="00786FD4"/>
    <w:rsid w:val="00790CB3"/>
    <w:rsid w:val="00790F66"/>
    <w:rsid w:val="00791AFD"/>
    <w:rsid w:val="00791C26"/>
    <w:rsid w:val="00795807"/>
    <w:rsid w:val="007A07E7"/>
    <w:rsid w:val="007A0FDB"/>
    <w:rsid w:val="007A15A2"/>
    <w:rsid w:val="007A1F9E"/>
    <w:rsid w:val="007A658A"/>
    <w:rsid w:val="007A6BF5"/>
    <w:rsid w:val="007A7DEF"/>
    <w:rsid w:val="007B0FDB"/>
    <w:rsid w:val="007B104F"/>
    <w:rsid w:val="007B1599"/>
    <w:rsid w:val="007B36A1"/>
    <w:rsid w:val="007B3C86"/>
    <w:rsid w:val="007B58C2"/>
    <w:rsid w:val="007B5FE2"/>
    <w:rsid w:val="007B7977"/>
    <w:rsid w:val="007B7A58"/>
    <w:rsid w:val="007C2E7C"/>
    <w:rsid w:val="007C2FA0"/>
    <w:rsid w:val="007C60BD"/>
    <w:rsid w:val="007C66E5"/>
    <w:rsid w:val="007C70AA"/>
    <w:rsid w:val="007C73CE"/>
    <w:rsid w:val="007C7F03"/>
    <w:rsid w:val="007D0A83"/>
    <w:rsid w:val="007D1858"/>
    <w:rsid w:val="007D227E"/>
    <w:rsid w:val="007D231F"/>
    <w:rsid w:val="007D7636"/>
    <w:rsid w:val="007D7CEC"/>
    <w:rsid w:val="007E0136"/>
    <w:rsid w:val="007E2C47"/>
    <w:rsid w:val="007E30B2"/>
    <w:rsid w:val="007E3931"/>
    <w:rsid w:val="007E3ADE"/>
    <w:rsid w:val="007E4974"/>
    <w:rsid w:val="007E4AE2"/>
    <w:rsid w:val="007E56D0"/>
    <w:rsid w:val="007E5D82"/>
    <w:rsid w:val="007E6E9F"/>
    <w:rsid w:val="007E6EB9"/>
    <w:rsid w:val="007E715B"/>
    <w:rsid w:val="007F06E0"/>
    <w:rsid w:val="007F35B0"/>
    <w:rsid w:val="007F3CE5"/>
    <w:rsid w:val="007F4D04"/>
    <w:rsid w:val="007F6C9C"/>
    <w:rsid w:val="00800D42"/>
    <w:rsid w:val="008024ED"/>
    <w:rsid w:val="00802DB5"/>
    <w:rsid w:val="0080388A"/>
    <w:rsid w:val="00803EDB"/>
    <w:rsid w:val="008041F3"/>
    <w:rsid w:val="00804A0B"/>
    <w:rsid w:val="00805504"/>
    <w:rsid w:val="00811277"/>
    <w:rsid w:val="008119AF"/>
    <w:rsid w:val="0081317B"/>
    <w:rsid w:val="00814255"/>
    <w:rsid w:val="00821AB8"/>
    <w:rsid w:val="00821F6A"/>
    <w:rsid w:val="00822D3A"/>
    <w:rsid w:val="00823444"/>
    <w:rsid w:val="00824CBD"/>
    <w:rsid w:val="00825251"/>
    <w:rsid w:val="00825C6A"/>
    <w:rsid w:val="008300B8"/>
    <w:rsid w:val="00830936"/>
    <w:rsid w:val="0083225D"/>
    <w:rsid w:val="00832F34"/>
    <w:rsid w:val="008334C3"/>
    <w:rsid w:val="0083422D"/>
    <w:rsid w:val="00836375"/>
    <w:rsid w:val="00837022"/>
    <w:rsid w:val="00841D12"/>
    <w:rsid w:val="008429A4"/>
    <w:rsid w:val="008453BD"/>
    <w:rsid w:val="00851812"/>
    <w:rsid w:val="008521B9"/>
    <w:rsid w:val="00853DEE"/>
    <w:rsid w:val="00854472"/>
    <w:rsid w:val="00857790"/>
    <w:rsid w:val="00857A4A"/>
    <w:rsid w:val="0086052D"/>
    <w:rsid w:val="008616FB"/>
    <w:rsid w:val="0086282E"/>
    <w:rsid w:val="00863536"/>
    <w:rsid w:val="00863647"/>
    <w:rsid w:val="00863E6A"/>
    <w:rsid w:val="008653EB"/>
    <w:rsid w:val="00866E95"/>
    <w:rsid w:val="00867097"/>
    <w:rsid w:val="00867E8F"/>
    <w:rsid w:val="008706F8"/>
    <w:rsid w:val="0087568C"/>
    <w:rsid w:val="00876171"/>
    <w:rsid w:val="008767FC"/>
    <w:rsid w:val="00876829"/>
    <w:rsid w:val="00880768"/>
    <w:rsid w:val="008819E9"/>
    <w:rsid w:val="00885BA9"/>
    <w:rsid w:val="00887D15"/>
    <w:rsid w:val="008901E0"/>
    <w:rsid w:val="00890E69"/>
    <w:rsid w:val="00891F23"/>
    <w:rsid w:val="0089356F"/>
    <w:rsid w:val="008936FE"/>
    <w:rsid w:val="00894828"/>
    <w:rsid w:val="00894F84"/>
    <w:rsid w:val="00895979"/>
    <w:rsid w:val="008964F2"/>
    <w:rsid w:val="00896A6E"/>
    <w:rsid w:val="00896DE4"/>
    <w:rsid w:val="008A1200"/>
    <w:rsid w:val="008A1F41"/>
    <w:rsid w:val="008B0A59"/>
    <w:rsid w:val="008B1ED7"/>
    <w:rsid w:val="008B26E4"/>
    <w:rsid w:val="008B3342"/>
    <w:rsid w:val="008B3582"/>
    <w:rsid w:val="008B4843"/>
    <w:rsid w:val="008B5BE9"/>
    <w:rsid w:val="008B5C7A"/>
    <w:rsid w:val="008B7DE1"/>
    <w:rsid w:val="008C3AF8"/>
    <w:rsid w:val="008C568B"/>
    <w:rsid w:val="008D0519"/>
    <w:rsid w:val="008D1670"/>
    <w:rsid w:val="008D2551"/>
    <w:rsid w:val="008D3338"/>
    <w:rsid w:val="008D56FE"/>
    <w:rsid w:val="008D60FB"/>
    <w:rsid w:val="008D6652"/>
    <w:rsid w:val="008D737D"/>
    <w:rsid w:val="008D7CFB"/>
    <w:rsid w:val="008D7E57"/>
    <w:rsid w:val="008E0FE6"/>
    <w:rsid w:val="008E13A2"/>
    <w:rsid w:val="008E1A7F"/>
    <w:rsid w:val="008E2CB0"/>
    <w:rsid w:val="008E40E4"/>
    <w:rsid w:val="008E451D"/>
    <w:rsid w:val="008E65B8"/>
    <w:rsid w:val="008E7816"/>
    <w:rsid w:val="008F1247"/>
    <w:rsid w:val="008F483A"/>
    <w:rsid w:val="008F5F05"/>
    <w:rsid w:val="008F7214"/>
    <w:rsid w:val="008F786F"/>
    <w:rsid w:val="00902011"/>
    <w:rsid w:val="00902BE3"/>
    <w:rsid w:val="00904D02"/>
    <w:rsid w:val="00905748"/>
    <w:rsid w:val="00906BDC"/>
    <w:rsid w:val="009074C7"/>
    <w:rsid w:val="00907A66"/>
    <w:rsid w:val="00910723"/>
    <w:rsid w:val="00914DBC"/>
    <w:rsid w:val="00914EAA"/>
    <w:rsid w:val="00916C4E"/>
    <w:rsid w:val="00916C80"/>
    <w:rsid w:val="00916E99"/>
    <w:rsid w:val="009223E7"/>
    <w:rsid w:val="00922E76"/>
    <w:rsid w:val="00923849"/>
    <w:rsid w:val="00924E4D"/>
    <w:rsid w:val="00931805"/>
    <w:rsid w:val="00932729"/>
    <w:rsid w:val="009329F4"/>
    <w:rsid w:val="00936113"/>
    <w:rsid w:val="00936275"/>
    <w:rsid w:val="00936478"/>
    <w:rsid w:val="00941AAE"/>
    <w:rsid w:val="00941F5D"/>
    <w:rsid w:val="00943800"/>
    <w:rsid w:val="0094492D"/>
    <w:rsid w:val="009456BF"/>
    <w:rsid w:val="00946A51"/>
    <w:rsid w:val="0094763C"/>
    <w:rsid w:val="009477EC"/>
    <w:rsid w:val="009504C7"/>
    <w:rsid w:val="00950FE9"/>
    <w:rsid w:val="0095155E"/>
    <w:rsid w:val="00951FE2"/>
    <w:rsid w:val="0095235C"/>
    <w:rsid w:val="00952547"/>
    <w:rsid w:val="009579CB"/>
    <w:rsid w:val="00960248"/>
    <w:rsid w:val="009612F2"/>
    <w:rsid w:val="00964B16"/>
    <w:rsid w:val="009655B4"/>
    <w:rsid w:val="009658E0"/>
    <w:rsid w:val="009706B9"/>
    <w:rsid w:val="009707D5"/>
    <w:rsid w:val="00971298"/>
    <w:rsid w:val="00972EA3"/>
    <w:rsid w:val="00973C1C"/>
    <w:rsid w:val="00974358"/>
    <w:rsid w:val="00974D5D"/>
    <w:rsid w:val="00975930"/>
    <w:rsid w:val="009767C9"/>
    <w:rsid w:val="00977396"/>
    <w:rsid w:val="00981C4E"/>
    <w:rsid w:val="00981EDF"/>
    <w:rsid w:val="00982D4B"/>
    <w:rsid w:val="00983A26"/>
    <w:rsid w:val="00986454"/>
    <w:rsid w:val="0098742C"/>
    <w:rsid w:val="009905B8"/>
    <w:rsid w:val="00991B7B"/>
    <w:rsid w:val="00994E63"/>
    <w:rsid w:val="009953C2"/>
    <w:rsid w:val="0099633D"/>
    <w:rsid w:val="00997DBD"/>
    <w:rsid w:val="00997ECE"/>
    <w:rsid w:val="009A0490"/>
    <w:rsid w:val="009A35AF"/>
    <w:rsid w:val="009A3DD8"/>
    <w:rsid w:val="009A5764"/>
    <w:rsid w:val="009A6097"/>
    <w:rsid w:val="009B0A84"/>
    <w:rsid w:val="009B10FA"/>
    <w:rsid w:val="009B3D41"/>
    <w:rsid w:val="009B43A9"/>
    <w:rsid w:val="009B5ACD"/>
    <w:rsid w:val="009B6541"/>
    <w:rsid w:val="009B7E24"/>
    <w:rsid w:val="009C183C"/>
    <w:rsid w:val="009C3255"/>
    <w:rsid w:val="009C3C93"/>
    <w:rsid w:val="009C4216"/>
    <w:rsid w:val="009C4D05"/>
    <w:rsid w:val="009C4E86"/>
    <w:rsid w:val="009C559F"/>
    <w:rsid w:val="009C574D"/>
    <w:rsid w:val="009C61B7"/>
    <w:rsid w:val="009C742A"/>
    <w:rsid w:val="009D48B9"/>
    <w:rsid w:val="009D5710"/>
    <w:rsid w:val="009D627F"/>
    <w:rsid w:val="009D6B63"/>
    <w:rsid w:val="009D6EF6"/>
    <w:rsid w:val="009E0A60"/>
    <w:rsid w:val="009E6E20"/>
    <w:rsid w:val="009E7BC9"/>
    <w:rsid w:val="009F5591"/>
    <w:rsid w:val="009F59E4"/>
    <w:rsid w:val="00A020B5"/>
    <w:rsid w:val="00A035FC"/>
    <w:rsid w:val="00A064BA"/>
    <w:rsid w:val="00A06772"/>
    <w:rsid w:val="00A0712D"/>
    <w:rsid w:val="00A07624"/>
    <w:rsid w:val="00A15157"/>
    <w:rsid w:val="00A157E8"/>
    <w:rsid w:val="00A16E29"/>
    <w:rsid w:val="00A17C62"/>
    <w:rsid w:val="00A2291E"/>
    <w:rsid w:val="00A22F40"/>
    <w:rsid w:val="00A23534"/>
    <w:rsid w:val="00A25E39"/>
    <w:rsid w:val="00A2784F"/>
    <w:rsid w:val="00A30E28"/>
    <w:rsid w:val="00A31860"/>
    <w:rsid w:val="00A34781"/>
    <w:rsid w:val="00A3506D"/>
    <w:rsid w:val="00A35B1A"/>
    <w:rsid w:val="00A403FD"/>
    <w:rsid w:val="00A40FFC"/>
    <w:rsid w:val="00A435A3"/>
    <w:rsid w:val="00A45B36"/>
    <w:rsid w:val="00A51C02"/>
    <w:rsid w:val="00A5232C"/>
    <w:rsid w:val="00A52721"/>
    <w:rsid w:val="00A55121"/>
    <w:rsid w:val="00A57E0E"/>
    <w:rsid w:val="00A60A6A"/>
    <w:rsid w:val="00A60C31"/>
    <w:rsid w:val="00A626E3"/>
    <w:rsid w:val="00A62C3B"/>
    <w:rsid w:val="00A62D15"/>
    <w:rsid w:val="00A62F8E"/>
    <w:rsid w:val="00A6372B"/>
    <w:rsid w:val="00A70A7D"/>
    <w:rsid w:val="00A71212"/>
    <w:rsid w:val="00A72D6F"/>
    <w:rsid w:val="00A7420E"/>
    <w:rsid w:val="00A74B2C"/>
    <w:rsid w:val="00A74D42"/>
    <w:rsid w:val="00A768F7"/>
    <w:rsid w:val="00A77498"/>
    <w:rsid w:val="00A77718"/>
    <w:rsid w:val="00A77B9D"/>
    <w:rsid w:val="00A862EC"/>
    <w:rsid w:val="00A901DE"/>
    <w:rsid w:val="00A915A3"/>
    <w:rsid w:val="00A93E45"/>
    <w:rsid w:val="00A96F05"/>
    <w:rsid w:val="00A9737A"/>
    <w:rsid w:val="00AA13EA"/>
    <w:rsid w:val="00AA53E8"/>
    <w:rsid w:val="00AA5F50"/>
    <w:rsid w:val="00AA6B14"/>
    <w:rsid w:val="00AA6CD4"/>
    <w:rsid w:val="00AB3AEE"/>
    <w:rsid w:val="00AB447B"/>
    <w:rsid w:val="00AB4AD3"/>
    <w:rsid w:val="00AB6518"/>
    <w:rsid w:val="00AB70CD"/>
    <w:rsid w:val="00AB7A91"/>
    <w:rsid w:val="00AC3EA3"/>
    <w:rsid w:val="00AC44D2"/>
    <w:rsid w:val="00AC4B18"/>
    <w:rsid w:val="00AC57BC"/>
    <w:rsid w:val="00AC6B58"/>
    <w:rsid w:val="00AC7B5C"/>
    <w:rsid w:val="00AD001A"/>
    <w:rsid w:val="00AD00F7"/>
    <w:rsid w:val="00AD2D3A"/>
    <w:rsid w:val="00AD4663"/>
    <w:rsid w:val="00AD4FBB"/>
    <w:rsid w:val="00AD780A"/>
    <w:rsid w:val="00AD7C25"/>
    <w:rsid w:val="00AE0DB8"/>
    <w:rsid w:val="00AE303D"/>
    <w:rsid w:val="00AE3A75"/>
    <w:rsid w:val="00AE3AC5"/>
    <w:rsid w:val="00AE4989"/>
    <w:rsid w:val="00AE5E85"/>
    <w:rsid w:val="00AE62D4"/>
    <w:rsid w:val="00AE6994"/>
    <w:rsid w:val="00AE6D0D"/>
    <w:rsid w:val="00AE7F90"/>
    <w:rsid w:val="00AE7FD8"/>
    <w:rsid w:val="00AF24DE"/>
    <w:rsid w:val="00AF250C"/>
    <w:rsid w:val="00AF253F"/>
    <w:rsid w:val="00AF28D0"/>
    <w:rsid w:val="00AF2D13"/>
    <w:rsid w:val="00AF4FB0"/>
    <w:rsid w:val="00B002EC"/>
    <w:rsid w:val="00B00F89"/>
    <w:rsid w:val="00B04E66"/>
    <w:rsid w:val="00B053B2"/>
    <w:rsid w:val="00B05944"/>
    <w:rsid w:val="00B06332"/>
    <w:rsid w:val="00B12072"/>
    <w:rsid w:val="00B13F66"/>
    <w:rsid w:val="00B14B5C"/>
    <w:rsid w:val="00B14F42"/>
    <w:rsid w:val="00B16DD2"/>
    <w:rsid w:val="00B20008"/>
    <w:rsid w:val="00B20F86"/>
    <w:rsid w:val="00B23A82"/>
    <w:rsid w:val="00B25BA7"/>
    <w:rsid w:val="00B25E3B"/>
    <w:rsid w:val="00B2625B"/>
    <w:rsid w:val="00B300FD"/>
    <w:rsid w:val="00B31392"/>
    <w:rsid w:val="00B320D1"/>
    <w:rsid w:val="00B33893"/>
    <w:rsid w:val="00B344FF"/>
    <w:rsid w:val="00B36747"/>
    <w:rsid w:val="00B4058D"/>
    <w:rsid w:val="00B413F3"/>
    <w:rsid w:val="00B42456"/>
    <w:rsid w:val="00B42FD6"/>
    <w:rsid w:val="00B445EF"/>
    <w:rsid w:val="00B45EF0"/>
    <w:rsid w:val="00B466D5"/>
    <w:rsid w:val="00B470A7"/>
    <w:rsid w:val="00B4742F"/>
    <w:rsid w:val="00B47C0A"/>
    <w:rsid w:val="00B47DAD"/>
    <w:rsid w:val="00B51FC6"/>
    <w:rsid w:val="00B536DD"/>
    <w:rsid w:val="00B54034"/>
    <w:rsid w:val="00B54FFE"/>
    <w:rsid w:val="00B60040"/>
    <w:rsid w:val="00B605F9"/>
    <w:rsid w:val="00B61484"/>
    <w:rsid w:val="00B6619A"/>
    <w:rsid w:val="00B66962"/>
    <w:rsid w:val="00B67F91"/>
    <w:rsid w:val="00B700F4"/>
    <w:rsid w:val="00B70343"/>
    <w:rsid w:val="00B7173D"/>
    <w:rsid w:val="00B72E5B"/>
    <w:rsid w:val="00B734F3"/>
    <w:rsid w:val="00B73C02"/>
    <w:rsid w:val="00B74D60"/>
    <w:rsid w:val="00B7511D"/>
    <w:rsid w:val="00B76B68"/>
    <w:rsid w:val="00B82920"/>
    <w:rsid w:val="00B846ED"/>
    <w:rsid w:val="00B857AD"/>
    <w:rsid w:val="00B90CC7"/>
    <w:rsid w:val="00B91B6C"/>
    <w:rsid w:val="00B96A9A"/>
    <w:rsid w:val="00B97AF9"/>
    <w:rsid w:val="00BA00C1"/>
    <w:rsid w:val="00BA1126"/>
    <w:rsid w:val="00BA336C"/>
    <w:rsid w:val="00BA40EE"/>
    <w:rsid w:val="00BA59C1"/>
    <w:rsid w:val="00BA5B67"/>
    <w:rsid w:val="00BA616D"/>
    <w:rsid w:val="00BA626C"/>
    <w:rsid w:val="00BA6DEC"/>
    <w:rsid w:val="00BB09AF"/>
    <w:rsid w:val="00BB159E"/>
    <w:rsid w:val="00BB2729"/>
    <w:rsid w:val="00BB2FBA"/>
    <w:rsid w:val="00BB2FC9"/>
    <w:rsid w:val="00BB405D"/>
    <w:rsid w:val="00BB55B6"/>
    <w:rsid w:val="00BB5C4C"/>
    <w:rsid w:val="00BB67AA"/>
    <w:rsid w:val="00BB6E7A"/>
    <w:rsid w:val="00BB769E"/>
    <w:rsid w:val="00BB7D50"/>
    <w:rsid w:val="00BC13B0"/>
    <w:rsid w:val="00BC16DE"/>
    <w:rsid w:val="00BC2692"/>
    <w:rsid w:val="00BC4584"/>
    <w:rsid w:val="00BC4947"/>
    <w:rsid w:val="00BC791D"/>
    <w:rsid w:val="00BD26CF"/>
    <w:rsid w:val="00BD4314"/>
    <w:rsid w:val="00BD43D5"/>
    <w:rsid w:val="00BD6669"/>
    <w:rsid w:val="00BD6DBE"/>
    <w:rsid w:val="00BE1B90"/>
    <w:rsid w:val="00BE35C4"/>
    <w:rsid w:val="00BE3A54"/>
    <w:rsid w:val="00BE419F"/>
    <w:rsid w:val="00BE4C2B"/>
    <w:rsid w:val="00BE57C4"/>
    <w:rsid w:val="00BE67A4"/>
    <w:rsid w:val="00BF0163"/>
    <w:rsid w:val="00BF1723"/>
    <w:rsid w:val="00BF216E"/>
    <w:rsid w:val="00BF4221"/>
    <w:rsid w:val="00BF7049"/>
    <w:rsid w:val="00C00CF1"/>
    <w:rsid w:val="00C00F2E"/>
    <w:rsid w:val="00C015D9"/>
    <w:rsid w:val="00C0199A"/>
    <w:rsid w:val="00C036EB"/>
    <w:rsid w:val="00C03ABD"/>
    <w:rsid w:val="00C0548E"/>
    <w:rsid w:val="00C06629"/>
    <w:rsid w:val="00C06B40"/>
    <w:rsid w:val="00C1281F"/>
    <w:rsid w:val="00C133FC"/>
    <w:rsid w:val="00C1432A"/>
    <w:rsid w:val="00C16164"/>
    <w:rsid w:val="00C210F3"/>
    <w:rsid w:val="00C235E6"/>
    <w:rsid w:val="00C265AC"/>
    <w:rsid w:val="00C2694B"/>
    <w:rsid w:val="00C275F9"/>
    <w:rsid w:val="00C27D04"/>
    <w:rsid w:val="00C338AE"/>
    <w:rsid w:val="00C349B8"/>
    <w:rsid w:val="00C34EE3"/>
    <w:rsid w:val="00C43FE9"/>
    <w:rsid w:val="00C44D9B"/>
    <w:rsid w:val="00C4521A"/>
    <w:rsid w:val="00C45C8C"/>
    <w:rsid w:val="00C4692C"/>
    <w:rsid w:val="00C50E5D"/>
    <w:rsid w:val="00C52F01"/>
    <w:rsid w:val="00C53B21"/>
    <w:rsid w:val="00C53F58"/>
    <w:rsid w:val="00C54CC6"/>
    <w:rsid w:val="00C56C2A"/>
    <w:rsid w:val="00C57788"/>
    <w:rsid w:val="00C61004"/>
    <w:rsid w:val="00C610FD"/>
    <w:rsid w:val="00C61A5C"/>
    <w:rsid w:val="00C61F87"/>
    <w:rsid w:val="00C62611"/>
    <w:rsid w:val="00C62E9A"/>
    <w:rsid w:val="00C6684B"/>
    <w:rsid w:val="00C6747E"/>
    <w:rsid w:val="00C710EA"/>
    <w:rsid w:val="00C71F4F"/>
    <w:rsid w:val="00C75C9B"/>
    <w:rsid w:val="00C7641E"/>
    <w:rsid w:val="00C7691B"/>
    <w:rsid w:val="00C76A96"/>
    <w:rsid w:val="00C8324B"/>
    <w:rsid w:val="00C84946"/>
    <w:rsid w:val="00C85063"/>
    <w:rsid w:val="00C866C8"/>
    <w:rsid w:val="00C8764B"/>
    <w:rsid w:val="00C87669"/>
    <w:rsid w:val="00C90FEE"/>
    <w:rsid w:val="00C91E7F"/>
    <w:rsid w:val="00C936AD"/>
    <w:rsid w:val="00C9483B"/>
    <w:rsid w:val="00C9721A"/>
    <w:rsid w:val="00C97F2A"/>
    <w:rsid w:val="00CA0020"/>
    <w:rsid w:val="00CA624C"/>
    <w:rsid w:val="00CA6789"/>
    <w:rsid w:val="00CA6A6D"/>
    <w:rsid w:val="00CA7BA6"/>
    <w:rsid w:val="00CB0456"/>
    <w:rsid w:val="00CB178F"/>
    <w:rsid w:val="00CB58BF"/>
    <w:rsid w:val="00CB771B"/>
    <w:rsid w:val="00CC031B"/>
    <w:rsid w:val="00CC12A9"/>
    <w:rsid w:val="00CC15E4"/>
    <w:rsid w:val="00CC1ABD"/>
    <w:rsid w:val="00CC20B4"/>
    <w:rsid w:val="00CC3D88"/>
    <w:rsid w:val="00CC40DA"/>
    <w:rsid w:val="00CC4766"/>
    <w:rsid w:val="00CC4D20"/>
    <w:rsid w:val="00CC5DC8"/>
    <w:rsid w:val="00CC75F8"/>
    <w:rsid w:val="00CC7D62"/>
    <w:rsid w:val="00CD0701"/>
    <w:rsid w:val="00CD083C"/>
    <w:rsid w:val="00CD2A67"/>
    <w:rsid w:val="00CD3739"/>
    <w:rsid w:val="00CD437E"/>
    <w:rsid w:val="00CD47AE"/>
    <w:rsid w:val="00CD696A"/>
    <w:rsid w:val="00CD728F"/>
    <w:rsid w:val="00CD7B68"/>
    <w:rsid w:val="00CE11C9"/>
    <w:rsid w:val="00CE63F3"/>
    <w:rsid w:val="00CF16F7"/>
    <w:rsid w:val="00CF3DF9"/>
    <w:rsid w:val="00CF4D2C"/>
    <w:rsid w:val="00CF5374"/>
    <w:rsid w:val="00CF6266"/>
    <w:rsid w:val="00CF6B1E"/>
    <w:rsid w:val="00CF6D95"/>
    <w:rsid w:val="00CF7943"/>
    <w:rsid w:val="00D002FB"/>
    <w:rsid w:val="00D01DD8"/>
    <w:rsid w:val="00D02A03"/>
    <w:rsid w:val="00D0309C"/>
    <w:rsid w:val="00D03614"/>
    <w:rsid w:val="00D03CA4"/>
    <w:rsid w:val="00D05A46"/>
    <w:rsid w:val="00D076D4"/>
    <w:rsid w:val="00D105F9"/>
    <w:rsid w:val="00D10932"/>
    <w:rsid w:val="00D1152B"/>
    <w:rsid w:val="00D1404C"/>
    <w:rsid w:val="00D15E7A"/>
    <w:rsid w:val="00D15F66"/>
    <w:rsid w:val="00D20F1E"/>
    <w:rsid w:val="00D22ADE"/>
    <w:rsid w:val="00D23BAB"/>
    <w:rsid w:val="00D243A4"/>
    <w:rsid w:val="00D25A02"/>
    <w:rsid w:val="00D26263"/>
    <w:rsid w:val="00D31686"/>
    <w:rsid w:val="00D3282C"/>
    <w:rsid w:val="00D34140"/>
    <w:rsid w:val="00D34967"/>
    <w:rsid w:val="00D43A09"/>
    <w:rsid w:val="00D4462C"/>
    <w:rsid w:val="00D52BC4"/>
    <w:rsid w:val="00D53802"/>
    <w:rsid w:val="00D54D6A"/>
    <w:rsid w:val="00D54DEE"/>
    <w:rsid w:val="00D55182"/>
    <w:rsid w:val="00D56340"/>
    <w:rsid w:val="00D56888"/>
    <w:rsid w:val="00D60DCA"/>
    <w:rsid w:val="00D614ED"/>
    <w:rsid w:val="00D6155A"/>
    <w:rsid w:val="00D64DEA"/>
    <w:rsid w:val="00D66FA4"/>
    <w:rsid w:val="00D673BA"/>
    <w:rsid w:val="00D705E3"/>
    <w:rsid w:val="00D76A72"/>
    <w:rsid w:val="00D77C91"/>
    <w:rsid w:val="00D809B3"/>
    <w:rsid w:val="00D818D1"/>
    <w:rsid w:val="00D8306E"/>
    <w:rsid w:val="00D83A12"/>
    <w:rsid w:val="00D84313"/>
    <w:rsid w:val="00D84430"/>
    <w:rsid w:val="00D852DF"/>
    <w:rsid w:val="00D91B3D"/>
    <w:rsid w:val="00D91F68"/>
    <w:rsid w:val="00D95021"/>
    <w:rsid w:val="00D96F35"/>
    <w:rsid w:val="00D974A3"/>
    <w:rsid w:val="00DA0454"/>
    <w:rsid w:val="00DA06BE"/>
    <w:rsid w:val="00DA093D"/>
    <w:rsid w:val="00DA2CFA"/>
    <w:rsid w:val="00DA6F80"/>
    <w:rsid w:val="00DA7A33"/>
    <w:rsid w:val="00DA7B81"/>
    <w:rsid w:val="00DB3B9F"/>
    <w:rsid w:val="00DB3E0B"/>
    <w:rsid w:val="00DB4C21"/>
    <w:rsid w:val="00DB6196"/>
    <w:rsid w:val="00DC08F8"/>
    <w:rsid w:val="00DC283F"/>
    <w:rsid w:val="00DC4FB3"/>
    <w:rsid w:val="00DC5141"/>
    <w:rsid w:val="00DC6E92"/>
    <w:rsid w:val="00DC72A4"/>
    <w:rsid w:val="00DC7A07"/>
    <w:rsid w:val="00DC7A63"/>
    <w:rsid w:val="00DD3A9E"/>
    <w:rsid w:val="00DD5296"/>
    <w:rsid w:val="00DD5FF2"/>
    <w:rsid w:val="00DD6768"/>
    <w:rsid w:val="00DD76AE"/>
    <w:rsid w:val="00DE166F"/>
    <w:rsid w:val="00DE1818"/>
    <w:rsid w:val="00DE204C"/>
    <w:rsid w:val="00DE22FF"/>
    <w:rsid w:val="00DE3115"/>
    <w:rsid w:val="00DE33DB"/>
    <w:rsid w:val="00DE7320"/>
    <w:rsid w:val="00DE745E"/>
    <w:rsid w:val="00DE74BE"/>
    <w:rsid w:val="00DE7895"/>
    <w:rsid w:val="00DF151F"/>
    <w:rsid w:val="00DF2D0A"/>
    <w:rsid w:val="00DF2F2F"/>
    <w:rsid w:val="00DF341F"/>
    <w:rsid w:val="00DF3591"/>
    <w:rsid w:val="00DF3D42"/>
    <w:rsid w:val="00DF62EB"/>
    <w:rsid w:val="00DF67DC"/>
    <w:rsid w:val="00DF7F8E"/>
    <w:rsid w:val="00E00CE4"/>
    <w:rsid w:val="00E0126A"/>
    <w:rsid w:val="00E052F0"/>
    <w:rsid w:val="00E058BD"/>
    <w:rsid w:val="00E11621"/>
    <w:rsid w:val="00E12B25"/>
    <w:rsid w:val="00E14C3C"/>
    <w:rsid w:val="00E16080"/>
    <w:rsid w:val="00E17290"/>
    <w:rsid w:val="00E17909"/>
    <w:rsid w:val="00E204F3"/>
    <w:rsid w:val="00E205DE"/>
    <w:rsid w:val="00E209EB"/>
    <w:rsid w:val="00E226C6"/>
    <w:rsid w:val="00E22F43"/>
    <w:rsid w:val="00E23068"/>
    <w:rsid w:val="00E23BA2"/>
    <w:rsid w:val="00E23C91"/>
    <w:rsid w:val="00E317EB"/>
    <w:rsid w:val="00E354ED"/>
    <w:rsid w:val="00E35B12"/>
    <w:rsid w:val="00E36AE3"/>
    <w:rsid w:val="00E422EA"/>
    <w:rsid w:val="00E43533"/>
    <w:rsid w:val="00E45DAD"/>
    <w:rsid w:val="00E469DC"/>
    <w:rsid w:val="00E507B7"/>
    <w:rsid w:val="00E52A5B"/>
    <w:rsid w:val="00E560E9"/>
    <w:rsid w:val="00E561D2"/>
    <w:rsid w:val="00E5725A"/>
    <w:rsid w:val="00E60992"/>
    <w:rsid w:val="00E63FC2"/>
    <w:rsid w:val="00E6405C"/>
    <w:rsid w:val="00E6649E"/>
    <w:rsid w:val="00E67493"/>
    <w:rsid w:val="00E677E7"/>
    <w:rsid w:val="00E67D75"/>
    <w:rsid w:val="00E71810"/>
    <w:rsid w:val="00E728FB"/>
    <w:rsid w:val="00E73240"/>
    <w:rsid w:val="00E73B58"/>
    <w:rsid w:val="00E743A6"/>
    <w:rsid w:val="00E754D2"/>
    <w:rsid w:val="00E76BEF"/>
    <w:rsid w:val="00E771D1"/>
    <w:rsid w:val="00E80401"/>
    <w:rsid w:val="00E8057A"/>
    <w:rsid w:val="00E80D32"/>
    <w:rsid w:val="00E8281F"/>
    <w:rsid w:val="00E8298F"/>
    <w:rsid w:val="00E83DDA"/>
    <w:rsid w:val="00E843B7"/>
    <w:rsid w:val="00E8701B"/>
    <w:rsid w:val="00E8781D"/>
    <w:rsid w:val="00E910A1"/>
    <w:rsid w:val="00E91506"/>
    <w:rsid w:val="00E92FDA"/>
    <w:rsid w:val="00E94C46"/>
    <w:rsid w:val="00E96A41"/>
    <w:rsid w:val="00EA190C"/>
    <w:rsid w:val="00EA4402"/>
    <w:rsid w:val="00EA4B97"/>
    <w:rsid w:val="00EA51E5"/>
    <w:rsid w:val="00EA7851"/>
    <w:rsid w:val="00EB3004"/>
    <w:rsid w:val="00EB566D"/>
    <w:rsid w:val="00EB5DFB"/>
    <w:rsid w:val="00EC132E"/>
    <w:rsid w:val="00EC1EA5"/>
    <w:rsid w:val="00EC4CEE"/>
    <w:rsid w:val="00EC5986"/>
    <w:rsid w:val="00EC70D4"/>
    <w:rsid w:val="00EC7E19"/>
    <w:rsid w:val="00ED21F7"/>
    <w:rsid w:val="00ED2FCC"/>
    <w:rsid w:val="00ED4FD7"/>
    <w:rsid w:val="00ED503F"/>
    <w:rsid w:val="00ED5D08"/>
    <w:rsid w:val="00ED682D"/>
    <w:rsid w:val="00ED732F"/>
    <w:rsid w:val="00EE369A"/>
    <w:rsid w:val="00EE3755"/>
    <w:rsid w:val="00EE49DA"/>
    <w:rsid w:val="00EE5402"/>
    <w:rsid w:val="00EE5B71"/>
    <w:rsid w:val="00EE5EA5"/>
    <w:rsid w:val="00EE7D5B"/>
    <w:rsid w:val="00EE7D70"/>
    <w:rsid w:val="00F00A3B"/>
    <w:rsid w:val="00F04D12"/>
    <w:rsid w:val="00F05C0A"/>
    <w:rsid w:val="00F12A62"/>
    <w:rsid w:val="00F12C5A"/>
    <w:rsid w:val="00F12EB7"/>
    <w:rsid w:val="00F13286"/>
    <w:rsid w:val="00F1617A"/>
    <w:rsid w:val="00F16BF5"/>
    <w:rsid w:val="00F16FDB"/>
    <w:rsid w:val="00F1736D"/>
    <w:rsid w:val="00F1786F"/>
    <w:rsid w:val="00F202EF"/>
    <w:rsid w:val="00F204CF"/>
    <w:rsid w:val="00F20E10"/>
    <w:rsid w:val="00F225F8"/>
    <w:rsid w:val="00F22813"/>
    <w:rsid w:val="00F3097C"/>
    <w:rsid w:val="00F30AF6"/>
    <w:rsid w:val="00F32F87"/>
    <w:rsid w:val="00F339ED"/>
    <w:rsid w:val="00F33BCE"/>
    <w:rsid w:val="00F42468"/>
    <w:rsid w:val="00F42AF7"/>
    <w:rsid w:val="00F447DD"/>
    <w:rsid w:val="00F46330"/>
    <w:rsid w:val="00F50A0C"/>
    <w:rsid w:val="00F52B40"/>
    <w:rsid w:val="00F54A4D"/>
    <w:rsid w:val="00F55E7A"/>
    <w:rsid w:val="00F5686D"/>
    <w:rsid w:val="00F57F8B"/>
    <w:rsid w:val="00F61152"/>
    <w:rsid w:val="00F61D4F"/>
    <w:rsid w:val="00F62C86"/>
    <w:rsid w:val="00F62EC4"/>
    <w:rsid w:val="00F6300B"/>
    <w:rsid w:val="00F64AC7"/>
    <w:rsid w:val="00F64AC9"/>
    <w:rsid w:val="00F6543A"/>
    <w:rsid w:val="00F65EBD"/>
    <w:rsid w:val="00F665CB"/>
    <w:rsid w:val="00F678DB"/>
    <w:rsid w:val="00F708CE"/>
    <w:rsid w:val="00F711EE"/>
    <w:rsid w:val="00F716AC"/>
    <w:rsid w:val="00F73465"/>
    <w:rsid w:val="00F7374E"/>
    <w:rsid w:val="00F75216"/>
    <w:rsid w:val="00F75C1A"/>
    <w:rsid w:val="00F80076"/>
    <w:rsid w:val="00F80A63"/>
    <w:rsid w:val="00F81706"/>
    <w:rsid w:val="00F81FBB"/>
    <w:rsid w:val="00F82C11"/>
    <w:rsid w:val="00F8316F"/>
    <w:rsid w:val="00F83382"/>
    <w:rsid w:val="00F836AF"/>
    <w:rsid w:val="00F839DD"/>
    <w:rsid w:val="00F84C03"/>
    <w:rsid w:val="00F85169"/>
    <w:rsid w:val="00F8572A"/>
    <w:rsid w:val="00F87A1A"/>
    <w:rsid w:val="00F90858"/>
    <w:rsid w:val="00F92D95"/>
    <w:rsid w:val="00F9332F"/>
    <w:rsid w:val="00F96AF0"/>
    <w:rsid w:val="00F96EC0"/>
    <w:rsid w:val="00F974FB"/>
    <w:rsid w:val="00FA02FE"/>
    <w:rsid w:val="00FA1843"/>
    <w:rsid w:val="00FA2F5A"/>
    <w:rsid w:val="00FA510C"/>
    <w:rsid w:val="00FA59EB"/>
    <w:rsid w:val="00FA6976"/>
    <w:rsid w:val="00FB077D"/>
    <w:rsid w:val="00FB38BC"/>
    <w:rsid w:val="00FB55FD"/>
    <w:rsid w:val="00FC1779"/>
    <w:rsid w:val="00FC1FAA"/>
    <w:rsid w:val="00FC215A"/>
    <w:rsid w:val="00FC38EC"/>
    <w:rsid w:val="00FC44E2"/>
    <w:rsid w:val="00FC46C4"/>
    <w:rsid w:val="00FC5A4A"/>
    <w:rsid w:val="00FD194D"/>
    <w:rsid w:val="00FD2E7B"/>
    <w:rsid w:val="00FD3526"/>
    <w:rsid w:val="00FD441C"/>
    <w:rsid w:val="00FD534F"/>
    <w:rsid w:val="00FD78ED"/>
    <w:rsid w:val="00FE3082"/>
    <w:rsid w:val="00FE3AE1"/>
    <w:rsid w:val="00FE3FC2"/>
    <w:rsid w:val="00FE4170"/>
    <w:rsid w:val="00FE4253"/>
    <w:rsid w:val="00FE4754"/>
    <w:rsid w:val="00FE61CD"/>
    <w:rsid w:val="00FE68DB"/>
    <w:rsid w:val="00FE7E7D"/>
    <w:rsid w:val="00FF13BF"/>
    <w:rsid w:val="00FF2E57"/>
    <w:rsid w:val="00FF31E9"/>
    <w:rsid w:val="00FF6526"/>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C94E"/>
  <w15:chartTrackingRefBased/>
  <w15:docId w15:val="{AAA8FDB2-AFF6-4076-B04C-ECDF4819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2">
    <w:name w:val="heading 2"/>
    <w:basedOn w:val="Normal"/>
    <w:link w:val="Heading2Char"/>
    <w:uiPriority w:val="9"/>
    <w:qFormat/>
    <w:rsid w:val="005F1E0B"/>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0E9"/>
    <w:pPr>
      <w:ind w:left="720"/>
      <w:contextualSpacing/>
    </w:pPr>
  </w:style>
  <w:style w:type="character" w:styleId="CommentReference">
    <w:name w:val="annotation reference"/>
    <w:uiPriority w:val="99"/>
    <w:semiHidden/>
    <w:unhideWhenUsed/>
    <w:rsid w:val="00E560E9"/>
    <w:rPr>
      <w:sz w:val="16"/>
      <w:szCs w:val="16"/>
    </w:rPr>
  </w:style>
  <w:style w:type="paragraph" w:styleId="CommentText">
    <w:name w:val="annotation text"/>
    <w:basedOn w:val="Normal"/>
    <w:link w:val="CommentTextChar"/>
    <w:uiPriority w:val="99"/>
    <w:unhideWhenUsed/>
    <w:rsid w:val="00E560E9"/>
    <w:pPr>
      <w:spacing w:line="240" w:lineRule="auto"/>
    </w:pPr>
    <w:rPr>
      <w:sz w:val="20"/>
      <w:szCs w:val="20"/>
    </w:rPr>
  </w:style>
  <w:style w:type="character" w:customStyle="1" w:styleId="CommentTextChar">
    <w:name w:val="Comment Text Char"/>
    <w:link w:val="CommentText"/>
    <w:uiPriority w:val="99"/>
    <w:rsid w:val="00E560E9"/>
    <w:rPr>
      <w:sz w:val="20"/>
      <w:szCs w:val="20"/>
    </w:rPr>
  </w:style>
  <w:style w:type="paragraph" w:styleId="Header">
    <w:name w:val="header"/>
    <w:basedOn w:val="Normal"/>
    <w:link w:val="HeaderChar"/>
    <w:uiPriority w:val="99"/>
    <w:unhideWhenUsed/>
    <w:rsid w:val="00E56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0E9"/>
  </w:style>
  <w:style w:type="paragraph" w:styleId="Footer">
    <w:name w:val="footer"/>
    <w:basedOn w:val="Normal"/>
    <w:link w:val="FooterChar"/>
    <w:uiPriority w:val="99"/>
    <w:unhideWhenUsed/>
    <w:rsid w:val="00E56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0E9"/>
  </w:style>
  <w:style w:type="paragraph" w:customStyle="1" w:styleId="Default">
    <w:name w:val="Default"/>
    <w:rsid w:val="00E560E9"/>
    <w:pPr>
      <w:autoSpaceDE w:val="0"/>
      <w:autoSpaceDN w:val="0"/>
      <w:adjustRightInd w:val="0"/>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E560E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60E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560E9"/>
    <w:rPr>
      <w:b/>
      <w:bCs/>
    </w:rPr>
  </w:style>
  <w:style w:type="character" w:customStyle="1" w:styleId="CommentSubjectChar">
    <w:name w:val="Comment Subject Char"/>
    <w:link w:val="CommentSubject"/>
    <w:uiPriority w:val="99"/>
    <w:semiHidden/>
    <w:rsid w:val="00E560E9"/>
    <w:rPr>
      <w:b/>
      <w:bCs/>
      <w:sz w:val="20"/>
      <w:szCs w:val="20"/>
    </w:rPr>
  </w:style>
  <w:style w:type="table" w:customStyle="1" w:styleId="TableGrid1">
    <w:name w:val="Table Grid1"/>
    <w:basedOn w:val="TableNormal"/>
    <w:next w:val="TableGrid"/>
    <w:uiPriority w:val="39"/>
    <w:rsid w:val="00E5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60E9"/>
    <w:rPr>
      <w:rFonts w:ascii="Times New Roman" w:hAnsi="Times New Roman"/>
      <w:sz w:val="24"/>
      <w:szCs w:val="24"/>
    </w:rPr>
  </w:style>
  <w:style w:type="character" w:styleId="Hyperlink">
    <w:name w:val="Hyperlink"/>
    <w:uiPriority w:val="99"/>
    <w:unhideWhenUsed/>
    <w:rsid w:val="00E560E9"/>
    <w:rPr>
      <w:color w:val="0563C1"/>
      <w:u w:val="single"/>
    </w:rPr>
  </w:style>
  <w:style w:type="character" w:customStyle="1" w:styleId="table-captionlabel">
    <w:name w:val="table-caption__label"/>
    <w:rsid w:val="00E560E9"/>
  </w:style>
  <w:style w:type="character" w:customStyle="1" w:styleId="Heading2Char">
    <w:name w:val="Heading 2 Char"/>
    <w:link w:val="Heading2"/>
    <w:uiPriority w:val="9"/>
    <w:rsid w:val="005F1E0B"/>
    <w:rPr>
      <w:rFonts w:ascii="Times New Roman" w:eastAsia="Times New Roman" w:hAnsi="Times New Roman"/>
      <w:b/>
      <w:bCs/>
      <w:sz w:val="36"/>
      <w:szCs w:val="36"/>
    </w:rPr>
  </w:style>
  <w:style w:type="character" w:styleId="LineNumber">
    <w:name w:val="line number"/>
    <w:basedOn w:val="DefaultParagraphFont"/>
    <w:uiPriority w:val="99"/>
    <w:semiHidden/>
    <w:unhideWhenUsed/>
    <w:rsid w:val="007B58C2"/>
  </w:style>
  <w:style w:type="character" w:styleId="Emphasis">
    <w:name w:val="Emphasis"/>
    <w:basedOn w:val="DefaultParagraphFont"/>
    <w:uiPriority w:val="20"/>
    <w:qFormat/>
    <w:rsid w:val="00B33893"/>
    <w:rPr>
      <w:i/>
      <w:iCs/>
    </w:rPr>
  </w:style>
  <w:style w:type="character" w:customStyle="1" w:styleId="volumeissue">
    <w:name w:val="volume_issue"/>
    <w:basedOn w:val="DefaultParagraphFont"/>
    <w:rsid w:val="00B33893"/>
  </w:style>
  <w:style w:type="character" w:customStyle="1" w:styleId="pagerange">
    <w:name w:val="page_range"/>
    <w:basedOn w:val="DefaultParagraphFont"/>
    <w:rsid w:val="00B33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142/S1464333209003257" TargetMode="External"/><Relationship Id="rId4" Type="http://schemas.openxmlformats.org/officeDocument/2006/relationships/settings" Target="settings.xml"/><Relationship Id="rId9" Type="http://schemas.openxmlformats.org/officeDocument/2006/relationships/hyperlink" Target="https://www.sciencedirect.com/science/journal/14629011/70/sup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Gla12</b:Tag>
    <b:SourceType>Book</b:SourceType>
    <b:Guid>{C93621A8-AF51-42B5-BA0E-1F9F71E85F2B}</b:Guid>
    <b:Author>
      <b:Author>
        <b:NameList>
          <b:Person>
            <b:Last>Glasson J.</b:Last>
            <b:First>Therivel</b:First>
            <b:Middle>R., Chadwick A.</b:Middle>
          </b:Person>
        </b:NameList>
      </b:Author>
    </b:Author>
    <b:Title>Introduction to Environmental Impact Assessment</b:Title>
    <b:Year>2012</b:Year>
    <b:City>New York</b:City>
    <b:Publisher>Routledge</b:Publisher>
    <b:Edition>Third</b:Edition>
    <b:RefOrder>2</b:RefOrder>
  </b:Source>
  <b:Source>
    <b:Tag>Auc09</b:Tag>
    <b:SourceType>Book</b:SourceType>
    <b:Guid>{E577C0C3-88D0-4E1D-A847-F0DFCB210B15}</b:Guid>
    <b:Author>
      <b:Author>
        <b:NameList>
          <b:Person>
            <b:Last>Aucamp</b:Last>
            <b:First>P.J</b:First>
          </b:Person>
        </b:NameList>
      </b:Author>
    </b:Author>
    <b:Title>Environmental Impact Assessment: A practical guide for the discerning practitioner</b:Title>
    <b:Year>2009</b:Year>
    <b:City>Pretoria</b:City>
    <b:Publisher>Van Schaik Uitgewers</b:Publisher>
    <b:RefOrder>1</b:RefOrder>
  </b:Source>
</b:Sources>
</file>

<file path=customXml/itemProps1.xml><?xml version="1.0" encoding="utf-8"?>
<ds:datastoreItem xmlns:ds="http://schemas.openxmlformats.org/officeDocument/2006/customXml" ds:itemID="{40A59C02-78F6-4B33-BEDC-D743CD61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16268</Words>
  <Characters>92728</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Nakwaya, Dietlinde Ndakumwa</dc:creator>
  <cp:lastModifiedBy>Nakwaya, Dietlinde Ndakumwa</cp:lastModifiedBy>
  <cp:revision>2</cp:revision>
  <dcterms:created xsi:type="dcterms:W3CDTF">2021-08-16T13:04:00Z</dcterms:created>
  <dcterms:modified xsi:type="dcterms:W3CDTF">2021-08-16T13:04:00Z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4fc30a29-71b4-3087-8336-bfcd6001d9e9</vt:lpwstr>
  </property>
</Properties>
</file>