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9AEB" w14:textId="4DDEC7DA" w:rsidR="006676C0" w:rsidRPr="00BD58C0" w:rsidRDefault="00BB55F0" w:rsidP="006676C0">
      <w:pPr>
        <w:spacing w:after="0" w:line="480" w:lineRule="auto"/>
        <w:jc w:val="center"/>
        <w:rPr>
          <w:rFonts w:ascii="Times New Roman" w:hAnsi="Times New Roman" w:cs="Times New Roman"/>
          <w:b/>
          <w:bCs/>
          <w:sz w:val="24"/>
          <w:szCs w:val="24"/>
        </w:rPr>
      </w:pPr>
      <w:bookmarkStart w:id="0" w:name="_Hlk14114397"/>
      <w:r w:rsidRPr="00BD58C0">
        <w:rPr>
          <w:rFonts w:ascii="Times New Roman" w:hAnsi="Times New Roman" w:cs="Times New Roman"/>
          <w:b/>
          <w:bCs/>
          <w:sz w:val="24"/>
          <w:szCs w:val="24"/>
        </w:rPr>
        <w:t xml:space="preserve"> </w:t>
      </w:r>
      <w:r w:rsidR="004A39E0" w:rsidRPr="00BD58C0">
        <w:rPr>
          <w:rFonts w:ascii="Times New Roman" w:hAnsi="Times New Roman" w:cs="Times New Roman"/>
          <w:b/>
          <w:bCs/>
          <w:sz w:val="24"/>
          <w:szCs w:val="24"/>
        </w:rPr>
        <w:t>E</w:t>
      </w:r>
      <w:r w:rsidRPr="00BD58C0">
        <w:rPr>
          <w:rFonts w:ascii="Times New Roman" w:hAnsi="Times New Roman" w:cs="Times New Roman"/>
          <w:b/>
          <w:bCs/>
          <w:sz w:val="24"/>
          <w:szCs w:val="24"/>
        </w:rPr>
        <w:t>nergy</w:t>
      </w:r>
      <w:r w:rsidR="00C07C7C" w:rsidRPr="00BD58C0">
        <w:rPr>
          <w:rFonts w:ascii="Times New Roman" w:hAnsi="Times New Roman" w:cs="Times New Roman"/>
          <w:b/>
          <w:bCs/>
          <w:sz w:val="24"/>
          <w:szCs w:val="24"/>
        </w:rPr>
        <w:t xml:space="preserve"> generation from palm oil mill effluent</w:t>
      </w:r>
      <w:r w:rsidR="004A39E0" w:rsidRPr="00BD58C0">
        <w:rPr>
          <w:rFonts w:ascii="Times New Roman" w:hAnsi="Times New Roman" w:cs="Times New Roman"/>
          <w:b/>
          <w:bCs/>
          <w:sz w:val="24"/>
          <w:szCs w:val="24"/>
        </w:rPr>
        <w:t>: A life cycle cost-benefit analysis and policy insights</w:t>
      </w:r>
    </w:p>
    <w:p w14:paraId="4B589EAB" w14:textId="77777777" w:rsidR="0057064B" w:rsidRPr="00BD58C0" w:rsidRDefault="0057064B" w:rsidP="006676C0">
      <w:pPr>
        <w:spacing w:after="0" w:line="480" w:lineRule="auto"/>
        <w:jc w:val="center"/>
        <w:rPr>
          <w:rFonts w:ascii="Times New Roman" w:hAnsi="Times New Roman" w:cs="Times New Roman"/>
          <w:b/>
          <w:bCs/>
          <w:sz w:val="24"/>
          <w:szCs w:val="24"/>
        </w:rPr>
      </w:pPr>
    </w:p>
    <w:p w14:paraId="37F60022" w14:textId="12EEA06C" w:rsidR="006672DC" w:rsidRPr="00BD58C0" w:rsidRDefault="00BE3807" w:rsidP="006676C0">
      <w:pPr>
        <w:spacing w:after="0" w:line="480" w:lineRule="auto"/>
        <w:jc w:val="center"/>
        <w:rPr>
          <w:rFonts w:ascii="Times New Roman" w:hAnsi="Times New Roman" w:cs="Times New Roman"/>
          <w:b/>
          <w:spacing w:val="-1"/>
          <w:sz w:val="24"/>
          <w:szCs w:val="24"/>
        </w:rPr>
      </w:pPr>
      <w:r w:rsidRPr="00BD58C0">
        <w:rPr>
          <w:rFonts w:ascii="Times New Roman" w:hAnsi="Times New Roman" w:cs="Times New Roman"/>
          <w:b/>
          <w:spacing w:val="-1"/>
          <w:sz w:val="24"/>
          <w:szCs w:val="24"/>
        </w:rPr>
        <w:t>Sharvini</w:t>
      </w:r>
      <w:r w:rsidR="00B27E0C" w:rsidRPr="00BD58C0">
        <w:rPr>
          <w:rFonts w:ascii="Times New Roman" w:hAnsi="Times New Roman" w:cs="Times New Roman"/>
          <w:b/>
          <w:spacing w:val="-1"/>
          <w:sz w:val="24"/>
          <w:szCs w:val="24"/>
        </w:rPr>
        <w:t>, S.R.</w:t>
      </w:r>
      <w:r w:rsidR="00B27E0C" w:rsidRPr="00BD58C0">
        <w:rPr>
          <w:rFonts w:ascii="Times New Roman" w:hAnsi="Times New Roman" w:cs="Times New Roman"/>
          <w:b/>
          <w:spacing w:val="-1"/>
          <w:sz w:val="24"/>
          <w:szCs w:val="24"/>
          <w:vertAlign w:val="superscript"/>
        </w:rPr>
        <w:t>1</w:t>
      </w:r>
      <w:r w:rsidRPr="00BD58C0">
        <w:rPr>
          <w:rFonts w:ascii="Times New Roman" w:hAnsi="Times New Roman" w:cs="Times New Roman"/>
          <w:b/>
          <w:spacing w:val="-1"/>
          <w:sz w:val="24"/>
          <w:szCs w:val="24"/>
        </w:rPr>
        <w:t>,</w:t>
      </w:r>
      <w:r w:rsidR="00490A13" w:rsidRPr="00BD58C0">
        <w:rPr>
          <w:rFonts w:ascii="Times New Roman" w:hAnsi="Times New Roman" w:cs="Times New Roman"/>
          <w:b/>
          <w:spacing w:val="-1"/>
          <w:sz w:val="24"/>
          <w:szCs w:val="24"/>
        </w:rPr>
        <w:t xml:space="preserve"> </w:t>
      </w:r>
      <w:r w:rsidRPr="00BD58C0">
        <w:rPr>
          <w:rFonts w:ascii="Times New Roman" w:hAnsi="Times New Roman" w:cs="Times New Roman"/>
          <w:b/>
          <w:spacing w:val="-1"/>
          <w:sz w:val="24"/>
          <w:szCs w:val="24"/>
        </w:rPr>
        <w:t>Noor</w:t>
      </w:r>
      <w:r w:rsidR="00E80D02" w:rsidRPr="00BD58C0">
        <w:rPr>
          <w:rFonts w:ascii="Times New Roman" w:hAnsi="Times New Roman" w:cs="Times New Roman"/>
          <w:b/>
          <w:spacing w:val="-1"/>
          <w:sz w:val="24"/>
          <w:szCs w:val="24"/>
        </w:rPr>
        <w:t>, Z.Z.</w:t>
      </w:r>
      <w:r w:rsidR="00E80D02" w:rsidRPr="00BD58C0">
        <w:rPr>
          <w:rFonts w:ascii="Times New Roman" w:hAnsi="Times New Roman" w:cs="Times New Roman"/>
          <w:b/>
          <w:spacing w:val="-1"/>
          <w:sz w:val="24"/>
          <w:szCs w:val="24"/>
          <w:vertAlign w:val="superscript"/>
        </w:rPr>
        <w:t>2</w:t>
      </w:r>
      <w:r w:rsidR="004261DE" w:rsidRPr="00BD58C0">
        <w:rPr>
          <w:rFonts w:ascii="Times New Roman" w:hAnsi="Times New Roman" w:cs="Times New Roman"/>
          <w:b/>
          <w:spacing w:val="-1"/>
          <w:sz w:val="24"/>
          <w:szCs w:val="24"/>
          <w:vertAlign w:val="superscript"/>
        </w:rPr>
        <w:t>,</w:t>
      </w:r>
      <w:r w:rsidR="004B743C" w:rsidRPr="00BD58C0">
        <w:rPr>
          <w:rFonts w:ascii="Times New Roman" w:hAnsi="Times New Roman" w:cs="Times New Roman"/>
          <w:b/>
          <w:spacing w:val="-1"/>
          <w:sz w:val="24"/>
          <w:szCs w:val="24"/>
          <w:vertAlign w:val="superscript"/>
        </w:rPr>
        <w:t xml:space="preserve"> </w:t>
      </w:r>
      <w:r w:rsidR="00E80D02" w:rsidRPr="00BD58C0">
        <w:rPr>
          <w:rFonts w:ascii="Times New Roman" w:hAnsi="Times New Roman" w:cs="Times New Roman"/>
          <w:b/>
          <w:spacing w:val="-1"/>
          <w:sz w:val="24"/>
          <w:szCs w:val="24"/>
          <w:vertAlign w:val="superscript"/>
        </w:rPr>
        <w:t>3</w:t>
      </w:r>
      <w:r w:rsidRPr="00BD58C0">
        <w:rPr>
          <w:rFonts w:ascii="Times New Roman" w:hAnsi="Times New Roman" w:cs="Times New Roman"/>
          <w:b/>
          <w:spacing w:val="-1"/>
          <w:sz w:val="24"/>
          <w:szCs w:val="24"/>
          <w:vertAlign w:val="superscript"/>
        </w:rPr>
        <w:t>,</w:t>
      </w:r>
      <w:r w:rsidR="004B743C" w:rsidRPr="00BD58C0">
        <w:rPr>
          <w:rFonts w:ascii="Times New Roman" w:hAnsi="Times New Roman" w:cs="Times New Roman"/>
          <w:b/>
          <w:spacing w:val="-1"/>
          <w:sz w:val="24"/>
          <w:szCs w:val="24"/>
          <w:vertAlign w:val="superscript"/>
        </w:rPr>
        <w:t xml:space="preserve"> </w:t>
      </w:r>
      <w:r w:rsidRPr="00BD58C0">
        <w:rPr>
          <w:rFonts w:ascii="Times New Roman" w:hAnsi="Times New Roman" w:cs="Times New Roman"/>
          <w:b/>
          <w:spacing w:val="-1"/>
          <w:sz w:val="24"/>
          <w:szCs w:val="24"/>
          <w:vertAlign w:val="superscript"/>
        </w:rPr>
        <w:t>*</w:t>
      </w:r>
      <w:r w:rsidRPr="00BD58C0">
        <w:rPr>
          <w:rFonts w:ascii="Times New Roman" w:hAnsi="Times New Roman" w:cs="Times New Roman"/>
          <w:b/>
          <w:spacing w:val="-1"/>
          <w:sz w:val="24"/>
          <w:szCs w:val="24"/>
        </w:rPr>
        <w:t>, Stringer</w:t>
      </w:r>
      <w:r w:rsidR="00E80D02" w:rsidRPr="00BD58C0">
        <w:rPr>
          <w:rFonts w:ascii="Times New Roman" w:hAnsi="Times New Roman" w:cs="Times New Roman"/>
          <w:b/>
          <w:spacing w:val="-1"/>
          <w:sz w:val="24"/>
          <w:szCs w:val="24"/>
        </w:rPr>
        <w:t>, L.C.</w:t>
      </w:r>
      <w:r w:rsidR="00E80D02" w:rsidRPr="00BD58C0">
        <w:rPr>
          <w:rFonts w:ascii="Times New Roman" w:hAnsi="Times New Roman" w:cs="Times New Roman"/>
          <w:b/>
          <w:spacing w:val="-1"/>
          <w:sz w:val="24"/>
          <w:szCs w:val="24"/>
          <w:vertAlign w:val="superscript"/>
        </w:rPr>
        <w:t>4</w:t>
      </w:r>
      <w:r w:rsidR="006672DC" w:rsidRPr="00BD58C0">
        <w:rPr>
          <w:rFonts w:ascii="Times New Roman" w:hAnsi="Times New Roman" w:cs="Times New Roman"/>
          <w:b/>
          <w:spacing w:val="-1"/>
          <w:sz w:val="24"/>
          <w:szCs w:val="24"/>
        </w:rPr>
        <w:t xml:space="preserve">, </w:t>
      </w:r>
    </w:p>
    <w:p w14:paraId="4E8091A5" w14:textId="173706A1" w:rsidR="00BE3807" w:rsidRPr="00BD58C0" w:rsidRDefault="006672DC" w:rsidP="006672DC">
      <w:pPr>
        <w:spacing w:after="0" w:line="480" w:lineRule="auto"/>
        <w:jc w:val="center"/>
        <w:rPr>
          <w:rFonts w:ascii="Times New Roman" w:hAnsi="Times New Roman" w:cs="Times New Roman"/>
          <w:b/>
          <w:spacing w:val="-1"/>
          <w:sz w:val="24"/>
          <w:szCs w:val="24"/>
        </w:rPr>
      </w:pPr>
      <w:proofErr w:type="spellStart"/>
      <w:r w:rsidRPr="00BD58C0">
        <w:rPr>
          <w:rFonts w:ascii="Times New Roman" w:hAnsi="Times New Roman" w:cs="Times New Roman"/>
          <w:b/>
          <w:sz w:val="24"/>
          <w:szCs w:val="24"/>
        </w:rPr>
        <w:t>Afionis</w:t>
      </w:r>
      <w:proofErr w:type="spellEnd"/>
      <w:r w:rsidR="00E80D02" w:rsidRPr="00BD58C0">
        <w:rPr>
          <w:rFonts w:ascii="Times New Roman" w:hAnsi="Times New Roman" w:cs="Times New Roman"/>
          <w:b/>
          <w:sz w:val="24"/>
          <w:szCs w:val="24"/>
        </w:rPr>
        <w:t>, S.</w:t>
      </w:r>
      <w:r w:rsidR="00E80D02" w:rsidRPr="00BD58C0">
        <w:rPr>
          <w:rFonts w:ascii="Times New Roman" w:hAnsi="Times New Roman" w:cs="Times New Roman"/>
          <w:b/>
          <w:sz w:val="24"/>
          <w:szCs w:val="24"/>
          <w:vertAlign w:val="superscript"/>
        </w:rPr>
        <w:t>5</w:t>
      </w:r>
      <w:r w:rsidR="008C5CF7" w:rsidRPr="00BD58C0">
        <w:rPr>
          <w:rFonts w:ascii="Times New Roman" w:hAnsi="Times New Roman" w:cs="Times New Roman"/>
          <w:b/>
          <w:sz w:val="24"/>
          <w:szCs w:val="24"/>
          <w:vertAlign w:val="superscript"/>
        </w:rPr>
        <w:t>,</w:t>
      </w:r>
      <w:r w:rsidR="009C0393" w:rsidRPr="00BD58C0">
        <w:rPr>
          <w:rFonts w:ascii="Times New Roman" w:hAnsi="Times New Roman" w:cs="Times New Roman"/>
          <w:b/>
          <w:sz w:val="24"/>
          <w:szCs w:val="24"/>
          <w:vertAlign w:val="superscript"/>
        </w:rPr>
        <w:t xml:space="preserve"> </w:t>
      </w:r>
      <w:r w:rsidR="00E80D02" w:rsidRPr="00BD58C0">
        <w:rPr>
          <w:rFonts w:ascii="Times New Roman" w:hAnsi="Times New Roman" w:cs="Times New Roman"/>
          <w:b/>
          <w:sz w:val="24"/>
          <w:szCs w:val="24"/>
          <w:vertAlign w:val="superscript"/>
        </w:rPr>
        <w:t>6</w:t>
      </w:r>
      <w:r w:rsidRPr="00BD58C0">
        <w:rPr>
          <w:rFonts w:ascii="Times New Roman" w:hAnsi="Times New Roman" w:cs="Times New Roman"/>
          <w:b/>
          <w:sz w:val="24"/>
          <w:szCs w:val="24"/>
        </w:rPr>
        <w:t>,</w:t>
      </w:r>
      <w:r w:rsidRPr="00BD58C0">
        <w:rPr>
          <w:rFonts w:ascii="Times New Roman" w:hAnsi="Times New Roman" w:cs="Times New Roman"/>
          <w:b/>
          <w:spacing w:val="-1"/>
          <w:sz w:val="24"/>
          <w:szCs w:val="24"/>
        </w:rPr>
        <w:t xml:space="preserve"> </w:t>
      </w:r>
      <w:r w:rsidR="00BE3807" w:rsidRPr="00BD58C0">
        <w:rPr>
          <w:rFonts w:ascii="Times New Roman" w:hAnsi="Times New Roman" w:cs="Times New Roman"/>
          <w:b/>
          <w:spacing w:val="-1"/>
          <w:sz w:val="24"/>
          <w:szCs w:val="24"/>
        </w:rPr>
        <w:t>Chong</w:t>
      </w:r>
      <w:r w:rsidR="00E80D02" w:rsidRPr="00BD58C0">
        <w:rPr>
          <w:rFonts w:ascii="Times New Roman" w:hAnsi="Times New Roman" w:cs="Times New Roman"/>
          <w:b/>
          <w:spacing w:val="-1"/>
          <w:sz w:val="24"/>
          <w:szCs w:val="24"/>
        </w:rPr>
        <w:t>, C.S.</w:t>
      </w:r>
      <w:r w:rsidR="00E80D02" w:rsidRPr="00BD58C0">
        <w:rPr>
          <w:rFonts w:ascii="Times New Roman" w:hAnsi="Times New Roman" w:cs="Times New Roman"/>
          <w:b/>
          <w:spacing w:val="-1"/>
          <w:sz w:val="24"/>
          <w:szCs w:val="24"/>
          <w:vertAlign w:val="superscript"/>
        </w:rPr>
        <w:t>1</w:t>
      </w:r>
    </w:p>
    <w:p w14:paraId="24B219AC" w14:textId="77777777" w:rsidR="0057064B" w:rsidRPr="00BD58C0" w:rsidRDefault="0057064B" w:rsidP="00BE3807">
      <w:pPr>
        <w:shd w:val="clear" w:color="auto" w:fill="FFFFFF"/>
        <w:spacing w:line="480" w:lineRule="auto"/>
        <w:ind w:left="5"/>
        <w:jc w:val="center"/>
        <w:rPr>
          <w:rFonts w:ascii="Times New Roman" w:hAnsi="Times New Roman" w:cs="Times New Roman"/>
          <w:b/>
          <w:spacing w:val="-1"/>
          <w:sz w:val="24"/>
          <w:szCs w:val="24"/>
        </w:rPr>
      </w:pPr>
    </w:p>
    <w:p w14:paraId="3E50101C" w14:textId="3C8660C1" w:rsidR="004261DE" w:rsidRPr="00BD58C0" w:rsidRDefault="00E80D02" w:rsidP="004261DE">
      <w:pPr>
        <w:shd w:val="clear" w:color="auto" w:fill="FFFFFF"/>
        <w:spacing w:after="0" w:line="480" w:lineRule="auto"/>
        <w:jc w:val="center"/>
        <w:rPr>
          <w:rFonts w:ascii="Times New Roman" w:hAnsi="Times New Roman" w:cs="Times New Roman"/>
          <w:iCs/>
          <w:spacing w:val="-1"/>
          <w:sz w:val="24"/>
          <w:szCs w:val="24"/>
        </w:rPr>
      </w:pPr>
      <w:r w:rsidRPr="00BD58C0">
        <w:rPr>
          <w:rFonts w:ascii="Times New Roman" w:hAnsi="Times New Roman" w:cs="Times New Roman"/>
          <w:iCs/>
          <w:spacing w:val="-1"/>
          <w:sz w:val="24"/>
          <w:szCs w:val="24"/>
        </w:rPr>
        <w:t xml:space="preserve">1 = </w:t>
      </w:r>
      <w:r w:rsidR="004261DE" w:rsidRPr="00BD58C0">
        <w:rPr>
          <w:rFonts w:ascii="Times New Roman" w:hAnsi="Times New Roman" w:cs="Times New Roman"/>
          <w:iCs/>
          <w:spacing w:val="-1"/>
          <w:sz w:val="24"/>
          <w:szCs w:val="24"/>
        </w:rPr>
        <w:t xml:space="preserve">Department of Biosciences, Faculty of Science, </w:t>
      </w:r>
      <w:proofErr w:type="spellStart"/>
      <w:r w:rsidR="004261DE" w:rsidRPr="00BD58C0">
        <w:rPr>
          <w:rFonts w:ascii="Times New Roman" w:hAnsi="Times New Roman" w:cs="Times New Roman"/>
          <w:iCs/>
          <w:spacing w:val="-1"/>
          <w:sz w:val="24"/>
          <w:szCs w:val="24"/>
        </w:rPr>
        <w:t>Universiti</w:t>
      </w:r>
      <w:proofErr w:type="spellEnd"/>
      <w:r w:rsidR="004261DE" w:rsidRPr="00BD58C0">
        <w:rPr>
          <w:rFonts w:ascii="Times New Roman" w:hAnsi="Times New Roman" w:cs="Times New Roman"/>
          <w:iCs/>
          <w:spacing w:val="-1"/>
          <w:sz w:val="24"/>
          <w:szCs w:val="24"/>
        </w:rPr>
        <w:t xml:space="preserve"> </w:t>
      </w:r>
      <w:proofErr w:type="spellStart"/>
      <w:r w:rsidR="004261DE" w:rsidRPr="00BD58C0">
        <w:rPr>
          <w:rFonts w:ascii="Times New Roman" w:hAnsi="Times New Roman" w:cs="Times New Roman"/>
          <w:iCs/>
          <w:spacing w:val="-1"/>
          <w:sz w:val="24"/>
          <w:szCs w:val="24"/>
        </w:rPr>
        <w:t>Teknologi</w:t>
      </w:r>
      <w:proofErr w:type="spellEnd"/>
      <w:r w:rsidR="004261DE" w:rsidRPr="00BD58C0">
        <w:rPr>
          <w:rFonts w:ascii="Times New Roman" w:hAnsi="Times New Roman" w:cs="Times New Roman"/>
          <w:iCs/>
          <w:spacing w:val="-1"/>
          <w:sz w:val="24"/>
          <w:szCs w:val="24"/>
        </w:rPr>
        <w:t xml:space="preserve"> Malaysia, 81310 </w:t>
      </w:r>
      <w:proofErr w:type="spellStart"/>
      <w:r w:rsidR="004261DE" w:rsidRPr="00BD58C0">
        <w:rPr>
          <w:rFonts w:ascii="Times New Roman" w:hAnsi="Times New Roman" w:cs="Times New Roman"/>
          <w:iCs/>
          <w:spacing w:val="-1"/>
          <w:sz w:val="24"/>
          <w:szCs w:val="24"/>
        </w:rPr>
        <w:t>Skudai</w:t>
      </w:r>
      <w:proofErr w:type="spellEnd"/>
      <w:r w:rsidR="004261DE" w:rsidRPr="00BD58C0">
        <w:rPr>
          <w:rFonts w:ascii="Times New Roman" w:hAnsi="Times New Roman" w:cs="Times New Roman"/>
          <w:iCs/>
          <w:spacing w:val="-1"/>
          <w:sz w:val="24"/>
          <w:szCs w:val="24"/>
        </w:rPr>
        <w:t>, Johor, Malaysia</w:t>
      </w:r>
    </w:p>
    <w:p w14:paraId="476920F7" w14:textId="2D82309D" w:rsidR="00BE3807" w:rsidRPr="00BD58C0" w:rsidRDefault="00E80D02" w:rsidP="00BE3807">
      <w:pPr>
        <w:shd w:val="clear" w:color="auto" w:fill="FFFFFF"/>
        <w:spacing w:after="0" w:line="480" w:lineRule="auto"/>
        <w:jc w:val="center"/>
        <w:rPr>
          <w:rFonts w:ascii="Times New Roman" w:hAnsi="Times New Roman" w:cs="Times New Roman"/>
          <w:iCs/>
          <w:spacing w:val="-1"/>
          <w:sz w:val="24"/>
          <w:szCs w:val="24"/>
        </w:rPr>
      </w:pPr>
      <w:r w:rsidRPr="00BD58C0">
        <w:rPr>
          <w:rFonts w:ascii="Times New Roman" w:hAnsi="Times New Roman" w:cs="Times New Roman"/>
          <w:iCs/>
          <w:spacing w:val="-1"/>
          <w:sz w:val="24"/>
          <w:szCs w:val="24"/>
        </w:rPr>
        <w:t xml:space="preserve">2 = </w:t>
      </w:r>
      <w:r w:rsidR="00BE3807" w:rsidRPr="00BD58C0">
        <w:rPr>
          <w:rFonts w:ascii="Times New Roman" w:hAnsi="Times New Roman" w:cs="Times New Roman"/>
          <w:iCs/>
          <w:spacing w:val="-1"/>
          <w:sz w:val="24"/>
          <w:szCs w:val="24"/>
        </w:rPr>
        <w:t xml:space="preserve">School of Chemical and Energy Engineering, Faculty of Engineering, </w:t>
      </w:r>
      <w:proofErr w:type="spellStart"/>
      <w:r w:rsidR="00BE3807" w:rsidRPr="00BD58C0">
        <w:rPr>
          <w:rFonts w:ascii="Times New Roman" w:hAnsi="Times New Roman" w:cs="Times New Roman"/>
          <w:iCs/>
          <w:spacing w:val="-1"/>
          <w:sz w:val="24"/>
          <w:szCs w:val="24"/>
        </w:rPr>
        <w:t>Universiti</w:t>
      </w:r>
      <w:proofErr w:type="spellEnd"/>
      <w:r w:rsidR="00BE3807" w:rsidRPr="00BD58C0">
        <w:rPr>
          <w:rFonts w:ascii="Times New Roman" w:hAnsi="Times New Roman" w:cs="Times New Roman"/>
          <w:iCs/>
          <w:spacing w:val="-1"/>
          <w:sz w:val="24"/>
          <w:szCs w:val="24"/>
        </w:rPr>
        <w:t xml:space="preserve"> </w:t>
      </w:r>
      <w:proofErr w:type="spellStart"/>
      <w:r w:rsidR="00BE3807" w:rsidRPr="00BD58C0">
        <w:rPr>
          <w:rFonts w:ascii="Times New Roman" w:hAnsi="Times New Roman" w:cs="Times New Roman"/>
          <w:iCs/>
          <w:spacing w:val="-1"/>
          <w:sz w:val="24"/>
          <w:szCs w:val="24"/>
        </w:rPr>
        <w:t>Teknologi</w:t>
      </w:r>
      <w:proofErr w:type="spellEnd"/>
      <w:r w:rsidR="00BE3807" w:rsidRPr="00BD58C0">
        <w:rPr>
          <w:rFonts w:ascii="Times New Roman" w:hAnsi="Times New Roman" w:cs="Times New Roman"/>
          <w:iCs/>
          <w:spacing w:val="-1"/>
          <w:sz w:val="24"/>
          <w:szCs w:val="24"/>
        </w:rPr>
        <w:t xml:space="preserve"> Malaysia, 81310 </w:t>
      </w:r>
      <w:proofErr w:type="spellStart"/>
      <w:r w:rsidR="00BE3807" w:rsidRPr="00BD58C0">
        <w:rPr>
          <w:rFonts w:ascii="Times New Roman" w:hAnsi="Times New Roman" w:cs="Times New Roman"/>
          <w:iCs/>
          <w:spacing w:val="-1"/>
          <w:sz w:val="24"/>
          <w:szCs w:val="24"/>
        </w:rPr>
        <w:t>Skudai</w:t>
      </w:r>
      <w:proofErr w:type="spellEnd"/>
      <w:r w:rsidR="00BE3807" w:rsidRPr="00BD58C0">
        <w:rPr>
          <w:rFonts w:ascii="Times New Roman" w:hAnsi="Times New Roman" w:cs="Times New Roman"/>
          <w:iCs/>
          <w:spacing w:val="-1"/>
          <w:sz w:val="24"/>
          <w:szCs w:val="24"/>
        </w:rPr>
        <w:t>, Johor, Malaysia</w:t>
      </w:r>
    </w:p>
    <w:p w14:paraId="272274F4" w14:textId="626F66B3" w:rsidR="00BE3807" w:rsidRPr="00BD58C0" w:rsidRDefault="00E80D02" w:rsidP="00BE3807">
      <w:pPr>
        <w:shd w:val="clear" w:color="auto" w:fill="FFFFFF"/>
        <w:spacing w:after="0" w:line="480" w:lineRule="auto"/>
        <w:jc w:val="center"/>
        <w:rPr>
          <w:rFonts w:ascii="Times New Roman" w:hAnsi="Times New Roman" w:cs="Times New Roman"/>
          <w:iCs/>
          <w:spacing w:val="-1"/>
          <w:sz w:val="24"/>
          <w:szCs w:val="24"/>
        </w:rPr>
      </w:pPr>
      <w:r w:rsidRPr="00BD58C0">
        <w:rPr>
          <w:rFonts w:ascii="Times New Roman" w:hAnsi="Times New Roman" w:cs="Times New Roman"/>
          <w:iCs/>
          <w:spacing w:val="-1"/>
          <w:sz w:val="24"/>
          <w:szCs w:val="24"/>
        </w:rPr>
        <w:t xml:space="preserve">3 = </w:t>
      </w:r>
      <w:r w:rsidR="00BE3807" w:rsidRPr="00BD58C0">
        <w:rPr>
          <w:rFonts w:ascii="Times New Roman" w:hAnsi="Times New Roman" w:cs="Times New Roman"/>
          <w:iCs/>
          <w:spacing w:val="-1"/>
          <w:sz w:val="24"/>
          <w:szCs w:val="24"/>
        </w:rPr>
        <w:t xml:space="preserve">Centre for Environmental Sustainability and Water Security (IPASA), </w:t>
      </w:r>
      <w:proofErr w:type="spellStart"/>
      <w:r w:rsidR="00BE3807" w:rsidRPr="00BD58C0">
        <w:rPr>
          <w:rFonts w:ascii="Times New Roman" w:hAnsi="Times New Roman" w:cs="Times New Roman"/>
          <w:iCs/>
          <w:spacing w:val="-1"/>
          <w:sz w:val="24"/>
          <w:szCs w:val="24"/>
        </w:rPr>
        <w:t>Universiti</w:t>
      </w:r>
      <w:proofErr w:type="spellEnd"/>
      <w:r w:rsidR="00BE3807" w:rsidRPr="00BD58C0">
        <w:rPr>
          <w:rFonts w:ascii="Times New Roman" w:hAnsi="Times New Roman" w:cs="Times New Roman"/>
          <w:iCs/>
          <w:spacing w:val="-1"/>
          <w:sz w:val="24"/>
          <w:szCs w:val="24"/>
        </w:rPr>
        <w:t xml:space="preserve"> </w:t>
      </w:r>
      <w:proofErr w:type="spellStart"/>
      <w:r w:rsidR="00BE3807" w:rsidRPr="00BD58C0">
        <w:rPr>
          <w:rFonts w:ascii="Times New Roman" w:hAnsi="Times New Roman" w:cs="Times New Roman"/>
          <w:iCs/>
          <w:spacing w:val="-1"/>
          <w:sz w:val="24"/>
          <w:szCs w:val="24"/>
        </w:rPr>
        <w:t>Teknologi</w:t>
      </w:r>
      <w:proofErr w:type="spellEnd"/>
      <w:r w:rsidR="00BE3807" w:rsidRPr="00BD58C0">
        <w:rPr>
          <w:rFonts w:ascii="Times New Roman" w:hAnsi="Times New Roman" w:cs="Times New Roman"/>
          <w:iCs/>
          <w:spacing w:val="-1"/>
          <w:sz w:val="24"/>
          <w:szCs w:val="24"/>
        </w:rPr>
        <w:t xml:space="preserve"> Malaysia, 81310 </w:t>
      </w:r>
      <w:proofErr w:type="spellStart"/>
      <w:r w:rsidR="00BE3807" w:rsidRPr="00BD58C0">
        <w:rPr>
          <w:rFonts w:ascii="Times New Roman" w:hAnsi="Times New Roman" w:cs="Times New Roman"/>
          <w:iCs/>
          <w:spacing w:val="-1"/>
          <w:sz w:val="24"/>
          <w:szCs w:val="24"/>
        </w:rPr>
        <w:t>Skudai</w:t>
      </w:r>
      <w:proofErr w:type="spellEnd"/>
      <w:r w:rsidR="00BE3807" w:rsidRPr="00BD58C0">
        <w:rPr>
          <w:rFonts w:ascii="Times New Roman" w:hAnsi="Times New Roman" w:cs="Times New Roman"/>
          <w:iCs/>
          <w:spacing w:val="-1"/>
          <w:sz w:val="24"/>
          <w:szCs w:val="24"/>
        </w:rPr>
        <w:t>, Johor, Malaysia</w:t>
      </w:r>
    </w:p>
    <w:p w14:paraId="12F03482" w14:textId="7725BAAB" w:rsidR="004261DE" w:rsidRPr="00BD58C0" w:rsidRDefault="00E80D02" w:rsidP="00BE3807">
      <w:pPr>
        <w:shd w:val="clear" w:color="auto" w:fill="FFFFFF"/>
        <w:spacing w:after="0" w:line="480" w:lineRule="auto"/>
        <w:jc w:val="center"/>
        <w:rPr>
          <w:rFonts w:ascii="Times New Roman" w:hAnsi="Times New Roman" w:cs="Times New Roman"/>
          <w:iCs/>
          <w:spacing w:val="-1"/>
          <w:sz w:val="24"/>
          <w:szCs w:val="24"/>
        </w:rPr>
      </w:pPr>
      <w:r w:rsidRPr="00BD58C0">
        <w:rPr>
          <w:rFonts w:ascii="Times New Roman" w:hAnsi="Times New Roman" w:cs="Times New Roman"/>
          <w:iCs/>
          <w:sz w:val="24"/>
          <w:szCs w:val="24"/>
        </w:rPr>
        <w:t xml:space="preserve">4 = </w:t>
      </w:r>
      <w:r w:rsidR="004261DE" w:rsidRPr="00BD58C0">
        <w:rPr>
          <w:rFonts w:ascii="Times New Roman" w:hAnsi="Times New Roman" w:cs="Times New Roman"/>
          <w:iCs/>
          <w:sz w:val="24"/>
          <w:szCs w:val="24"/>
        </w:rPr>
        <w:t>Department of Environment and Geography, University of York, Wentworth Way, York, YO10 5NG, United Kingdom</w:t>
      </w:r>
    </w:p>
    <w:p w14:paraId="6FED8A95" w14:textId="10F4C735" w:rsidR="00BE3807" w:rsidRPr="00BD58C0" w:rsidRDefault="00E80D02" w:rsidP="00BE3807">
      <w:pPr>
        <w:shd w:val="clear" w:color="auto" w:fill="FFFFFF"/>
        <w:spacing w:after="0" w:line="480" w:lineRule="auto"/>
        <w:ind w:left="5"/>
        <w:jc w:val="center"/>
        <w:rPr>
          <w:rFonts w:ascii="Times New Roman" w:hAnsi="Times New Roman" w:cs="Times New Roman"/>
          <w:bCs/>
          <w:iCs/>
          <w:spacing w:val="-1"/>
          <w:sz w:val="24"/>
          <w:szCs w:val="24"/>
        </w:rPr>
      </w:pPr>
      <w:r w:rsidRPr="00BD58C0">
        <w:rPr>
          <w:rFonts w:ascii="Times New Roman" w:hAnsi="Times New Roman" w:cs="Times New Roman"/>
          <w:bCs/>
          <w:iCs/>
          <w:spacing w:val="-1"/>
          <w:sz w:val="24"/>
          <w:szCs w:val="24"/>
        </w:rPr>
        <w:t xml:space="preserve">5 = </w:t>
      </w:r>
      <w:r w:rsidR="00BE3807" w:rsidRPr="00BD58C0">
        <w:rPr>
          <w:rFonts w:ascii="Times New Roman" w:hAnsi="Times New Roman" w:cs="Times New Roman"/>
          <w:bCs/>
          <w:iCs/>
          <w:spacing w:val="-1"/>
          <w:sz w:val="24"/>
          <w:szCs w:val="24"/>
        </w:rPr>
        <w:t>Sustainability Research Institute, School of Earth and Environment, University of Leeds, Leeds LS2 9JT, United Kingdom</w:t>
      </w:r>
    </w:p>
    <w:p w14:paraId="50CFA480" w14:textId="1BC3A17D" w:rsidR="00FD4028" w:rsidRPr="00BD58C0" w:rsidRDefault="00E80D02" w:rsidP="008C5CF7">
      <w:pPr>
        <w:spacing w:after="0" w:line="480" w:lineRule="auto"/>
        <w:jc w:val="center"/>
        <w:rPr>
          <w:rFonts w:ascii="Times New Roman" w:hAnsi="Times New Roman" w:cs="Times New Roman"/>
          <w:iCs/>
          <w:sz w:val="24"/>
          <w:szCs w:val="24"/>
        </w:rPr>
      </w:pPr>
      <w:r w:rsidRPr="00BD58C0">
        <w:rPr>
          <w:rFonts w:ascii="Times New Roman" w:hAnsi="Times New Roman" w:cs="Times New Roman"/>
          <w:iCs/>
          <w:sz w:val="24"/>
          <w:szCs w:val="24"/>
        </w:rPr>
        <w:t xml:space="preserve">6 = </w:t>
      </w:r>
      <w:r w:rsidR="008C5CF7" w:rsidRPr="00BD58C0">
        <w:rPr>
          <w:rFonts w:ascii="Times New Roman" w:hAnsi="Times New Roman" w:cs="Times New Roman"/>
          <w:iCs/>
          <w:sz w:val="24"/>
          <w:szCs w:val="24"/>
        </w:rPr>
        <w:t xml:space="preserve">School of Law and Politics, Cardiff University, </w:t>
      </w:r>
      <w:r w:rsidR="003904DE" w:rsidRPr="00BD58C0">
        <w:rPr>
          <w:rFonts w:ascii="Times New Roman" w:hAnsi="Times New Roman" w:cs="Times New Roman"/>
          <w:iCs/>
          <w:sz w:val="24"/>
          <w:szCs w:val="24"/>
        </w:rPr>
        <w:t>Cardiff, CF</w:t>
      </w:r>
      <w:r w:rsidR="008C5CF7" w:rsidRPr="00BD58C0">
        <w:rPr>
          <w:rFonts w:ascii="Times New Roman" w:hAnsi="Times New Roman" w:cs="Times New Roman"/>
          <w:iCs/>
          <w:sz w:val="24"/>
          <w:szCs w:val="24"/>
        </w:rPr>
        <w:t>10 3AX, United Kingdom</w:t>
      </w:r>
    </w:p>
    <w:p w14:paraId="74D0BE56" w14:textId="0722CF13" w:rsidR="006676C0" w:rsidRPr="00BD58C0" w:rsidRDefault="006676C0" w:rsidP="00362285">
      <w:pPr>
        <w:spacing w:after="0" w:line="480" w:lineRule="auto"/>
        <w:jc w:val="center"/>
        <w:rPr>
          <w:rFonts w:ascii="Times New Roman" w:hAnsi="Times New Roman" w:cs="Times New Roman"/>
          <w:b/>
          <w:bCs/>
          <w:iCs/>
          <w:sz w:val="24"/>
          <w:szCs w:val="24"/>
        </w:rPr>
      </w:pPr>
    </w:p>
    <w:p w14:paraId="5D6EB9AF" w14:textId="7BD647BC" w:rsidR="006676C0" w:rsidRPr="00BD58C0" w:rsidRDefault="006676C0" w:rsidP="00362285">
      <w:pPr>
        <w:spacing w:after="0" w:line="480" w:lineRule="auto"/>
        <w:jc w:val="center"/>
        <w:rPr>
          <w:rFonts w:ascii="Times New Roman" w:hAnsi="Times New Roman" w:cs="Times New Roman"/>
          <w:b/>
          <w:bCs/>
          <w:sz w:val="24"/>
          <w:szCs w:val="24"/>
        </w:rPr>
      </w:pPr>
    </w:p>
    <w:p w14:paraId="668AFD57" w14:textId="4AA3DCFD" w:rsidR="006676C0" w:rsidRPr="00BD58C0" w:rsidRDefault="006676C0" w:rsidP="00362285">
      <w:pPr>
        <w:spacing w:after="0" w:line="480" w:lineRule="auto"/>
        <w:jc w:val="center"/>
        <w:rPr>
          <w:rFonts w:ascii="Times New Roman" w:hAnsi="Times New Roman" w:cs="Times New Roman"/>
          <w:b/>
          <w:bCs/>
          <w:sz w:val="24"/>
          <w:szCs w:val="24"/>
        </w:rPr>
      </w:pPr>
    </w:p>
    <w:p w14:paraId="39E278DE" w14:textId="77777777" w:rsidR="005A0753" w:rsidRPr="00BD58C0" w:rsidRDefault="005A0753" w:rsidP="00362285">
      <w:pPr>
        <w:spacing w:after="0" w:line="480" w:lineRule="auto"/>
        <w:jc w:val="center"/>
        <w:rPr>
          <w:rFonts w:ascii="Times New Roman" w:hAnsi="Times New Roman" w:cs="Times New Roman"/>
          <w:b/>
          <w:bCs/>
          <w:sz w:val="24"/>
          <w:szCs w:val="24"/>
        </w:rPr>
      </w:pPr>
    </w:p>
    <w:p w14:paraId="00804DCD" w14:textId="77777777" w:rsidR="005A0753" w:rsidRPr="00BD58C0" w:rsidRDefault="005A0753" w:rsidP="00EF7779">
      <w:pPr>
        <w:spacing w:after="0" w:line="480" w:lineRule="auto"/>
        <w:rPr>
          <w:rFonts w:ascii="Times New Roman" w:hAnsi="Times New Roman" w:cs="Times New Roman"/>
          <w:b/>
          <w:bCs/>
          <w:sz w:val="24"/>
          <w:szCs w:val="24"/>
        </w:rPr>
      </w:pPr>
    </w:p>
    <w:p w14:paraId="5646EACE" w14:textId="1455803B" w:rsidR="006676C0" w:rsidRPr="00BD58C0" w:rsidRDefault="006676C0" w:rsidP="006676C0">
      <w:pPr>
        <w:spacing w:after="0" w:line="480" w:lineRule="auto"/>
        <w:jc w:val="both"/>
        <w:rPr>
          <w:rFonts w:ascii="Times New Roman" w:hAnsi="Times New Roman" w:cs="Times New Roman"/>
          <w:sz w:val="24"/>
          <w:szCs w:val="24"/>
        </w:rPr>
      </w:pPr>
      <w:r w:rsidRPr="00BD58C0">
        <w:rPr>
          <w:rFonts w:ascii="Times New Roman" w:hAnsi="Times New Roman" w:cs="Times New Roman"/>
          <w:sz w:val="24"/>
          <w:szCs w:val="24"/>
        </w:rPr>
        <w:t>*</w:t>
      </w:r>
      <w:r w:rsidR="005A0753" w:rsidRPr="00BD58C0">
        <w:rPr>
          <w:rFonts w:ascii="Times New Roman" w:hAnsi="Times New Roman" w:cs="Times New Roman"/>
          <w:sz w:val="24"/>
          <w:szCs w:val="24"/>
        </w:rPr>
        <w:t xml:space="preserve"> = zainurazn@utm.my</w:t>
      </w:r>
    </w:p>
    <w:p w14:paraId="30FAAEB1" w14:textId="3B489C82" w:rsidR="00FD4028" w:rsidRPr="00BD58C0" w:rsidRDefault="006676C0" w:rsidP="00362285">
      <w:pPr>
        <w:spacing w:after="0" w:line="480" w:lineRule="auto"/>
        <w:jc w:val="center"/>
        <w:rPr>
          <w:rFonts w:ascii="Times New Roman" w:hAnsi="Times New Roman" w:cs="Times New Roman"/>
          <w:b/>
          <w:bCs/>
          <w:sz w:val="24"/>
          <w:szCs w:val="24"/>
        </w:rPr>
      </w:pPr>
      <w:bookmarkStart w:id="1" w:name="_Hlk58313715"/>
      <w:r w:rsidRPr="00BD58C0">
        <w:rPr>
          <w:rFonts w:ascii="Times New Roman" w:hAnsi="Times New Roman" w:cs="Times New Roman"/>
          <w:b/>
          <w:bCs/>
          <w:sz w:val="24"/>
          <w:szCs w:val="24"/>
        </w:rPr>
        <w:lastRenderedPageBreak/>
        <w:t>ABSTRACT</w:t>
      </w:r>
    </w:p>
    <w:p w14:paraId="2A7A9EDB" w14:textId="77777777" w:rsidR="00C44C6D" w:rsidRPr="00BD58C0" w:rsidRDefault="00C44C6D" w:rsidP="00362285">
      <w:pPr>
        <w:spacing w:after="0" w:line="480" w:lineRule="auto"/>
        <w:jc w:val="center"/>
        <w:rPr>
          <w:rFonts w:ascii="Times New Roman" w:hAnsi="Times New Roman" w:cs="Times New Roman"/>
          <w:b/>
          <w:bCs/>
          <w:sz w:val="24"/>
          <w:szCs w:val="24"/>
        </w:rPr>
      </w:pPr>
    </w:p>
    <w:p w14:paraId="51DF006A" w14:textId="5517F71F" w:rsidR="00340A66" w:rsidRPr="00BD58C0" w:rsidRDefault="007D66D4" w:rsidP="007D66D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Malaysia</w:t>
      </w:r>
      <w:r w:rsidR="003E4A40" w:rsidRPr="00BD58C0">
        <w:rPr>
          <w:rFonts w:ascii="Times New Roman" w:hAnsi="Times New Roman" w:cs="Times New Roman"/>
          <w:sz w:val="24"/>
          <w:szCs w:val="24"/>
        </w:rPr>
        <w:t xml:space="preserve">’s renewable energy policies </w:t>
      </w:r>
      <w:r w:rsidR="00E06CF2" w:rsidRPr="00BD58C0">
        <w:rPr>
          <w:rFonts w:ascii="Times New Roman" w:hAnsi="Times New Roman" w:cs="Times New Roman"/>
          <w:sz w:val="24"/>
          <w:szCs w:val="24"/>
        </w:rPr>
        <w:t xml:space="preserve">do not </w:t>
      </w:r>
      <w:r w:rsidR="00B8792C" w:rsidRPr="00BD58C0">
        <w:rPr>
          <w:rFonts w:ascii="Times New Roman" w:hAnsi="Times New Roman" w:cs="Times New Roman"/>
          <w:sz w:val="24"/>
          <w:szCs w:val="24"/>
        </w:rPr>
        <w:t>cover</w:t>
      </w:r>
      <w:r w:rsidR="00E06CF2"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production from waste, including the generation of biogas from </w:t>
      </w:r>
      <w:r w:rsidR="004A39E0" w:rsidRPr="00BD58C0">
        <w:rPr>
          <w:rFonts w:ascii="Times New Roman" w:hAnsi="Times New Roman" w:cs="Times New Roman"/>
          <w:sz w:val="24"/>
          <w:szCs w:val="24"/>
        </w:rPr>
        <w:t>palm oil mill effluent</w:t>
      </w:r>
      <w:r w:rsidR="006E3747" w:rsidRPr="00BD58C0">
        <w:rPr>
          <w:rFonts w:ascii="Times New Roman" w:hAnsi="Times New Roman" w:cs="Times New Roman"/>
          <w:sz w:val="24"/>
          <w:szCs w:val="24"/>
        </w:rPr>
        <w:t>.</w:t>
      </w:r>
      <w:r w:rsidR="00C75F06" w:rsidRPr="00BD58C0">
        <w:rPr>
          <w:rFonts w:ascii="Times New Roman" w:hAnsi="Times New Roman" w:cs="Times New Roman"/>
          <w:sz w:val="24"/>
          <w:szCs w:val="24"/>
        </w:rPr>
        <w:t xml:space="preserve"> </w:t>
      </w:r>
      <w:r w:rsidR="00340A66" w:rsidRPr="00BD58C0">
        <w:rPr>
          <w:rFonts w:ascii="Times New Roman" w:hAnsi="Times New Roman" w:cs="Times New Roman"/>
          <w:sz w:val="24"/>
          <w:szCs w:val="24"/>
        </w:rPr>
        <w:t xml:space="preserve">This paper </w:t>
      </w:r>
      <w:r w:rsidR="00455B50" w:rsidRPr="00BD58C0">
        <w:rPr>
          <w:rFonts w:ascii="Times New Roman" w:hAnsi="Times New Roman" w:cs="Times New Roman"/>
          <w:sz w:val="24"/>
          <w:szCs w:val="24"/>
        </w:rPr>
        <w:t xml:space="preserve">combines </w:t>
      </w:r>
      <w:r w:rsidR="00340A66" w:rsidRPr="00BD58C0">
        <w:rPr>
          <w:rFonts w:ascii="Times New Roman" w:hAnsi="Times New Roman" w:cs="Times New Roman"/>
          <w:sz w:val="24"/>
          <w:szCs w:val="24"/>
        </w:rPr>
        <w:t>life cycle cost-benefit analysis</w:t>
      </w:r>
      <w:r w:rsidR="00A6550C" w:rsidRPr="00BD58C0">
        <w:rPr>
          <w:rFonts w:ascii="Times New Roman" w:hAnsi="Times New Roman" w:cs="Times New Roman"/>
          <w:sz w:val="24"/>
          <w:szCs w:val="24"/>
        </w:rPr>
        <w:t xml:space="preserve"> (LCCBA)</w:t>
      </w:r>
      <w:r w:rsidR="00610B0D" w:rsidRPr="00BD58C0">
        <w:rPr>
          <w:rFonts w:ascii="Times New Roman" w:hAnsi="Times New Roman" w:cs="Times New Roman"/>
          <w:sz w:val="24"/>
          <w:szCs w:val="24"/>
        </w:rPr>
        <w:t xml:space="preserve"> and the analytical hierarchy process</w:t>
      </w:r>
      <w:r w:rsidR="009B7143" w:rsidRPr="00BD58C0">
        <w:rPr>
          <w:rFonts w:ascii="Times New Roman" w:hAnsi="Times New Roman" w:cs="Times New Roman"/>
          <w:sz w:val="24"/>
          <w:szCs w:val="24"/>
        </w:rPr>
        <w:t xml:space="preserve"> (AHP)</w:t>
      </w:r>
      <w:r w:rsidR="00610B0D" w:rsidRPr="00BD58C0">
        <w:rPr>
          <w:rFonts w:ascii="Times New Roman" w:hAnsi="Times New Roman" w:cs="Times New Roman"/>
          <w:sz w:val="24"/>
          <w:szCs w:val="24"/>
        </w:rPr>
        <w:t xml:space="preserve"> to provide new insights into costs and benefit</w:t>
      </w:r>
      <w:r w:rsidR="005064BD" w:rsidRPr="00BD58C0">
        <w:rPr>
          <w:rFonts w:ascii="Times New Roman" w:hAnsi="Times New Roman" w:cs="Times New Roman"/>
          <w:sz w:val="24"/>
          <w:szCs w:val="24"/>
        </w:rPr>
        <w:t>s of technologies over the life cycle</w:t>
      </w:r>
      <w:r w:rsidR="000532AE" w:rsidRPr="00BD58C0">
        <w:rPr>
          <w:rFonts w:ascii="Times New Roman" w:hAnsi="Times New Roman" w:cs="Times New Roman"/>
          <w:sz w:val="24"/>
          <w:szCs w:val="24"/>
        </w:rPr>
        <w:t>s</w:t>
      </w:r>
      <w:r w:rsidR="005064BD" w:rsidRPr="00BD58C0">
        <w:rPr>
          <w:rFonts w:ascii="Times New Roman" w:hAnsi="Times New Roman" w:cs="Times New Roman"/>
          <w:sz w:val="24"/>
          <w:szCs w:val="24"/>
        </w:rPr>
        <w:t xml:space="preserve">, and </w:t>
      </w:r>
      <w:r w:rsidR="008D0FE8" w:rsidRPr="00BD58C0">
        <w:rPr>
          <w:rFonts w:ascii="Times New Roman" w:hAnsi="Times New Roman" w:cs="Times New Roman"/>
          <w:sz w:val="24"/>
          <w:szCs w:val="24"/>
        </w:rPr>
        <w:t>on the basis of this</w:t>
      </w:r>
      <w:r w:rsidR="005064BD" w:rsidRPr="00BD58C0">
        <w:rPr>
          <w:rFonts w:ascii="Times New Roman" w:hAnsi="Times New Roman" w:cs="Times New Roman"/>
          <w:sz w:val="24"/>
          <w:szCs w:val="24"/>
        </w:rPr>
        <w:t xml:space="preserve"> information, asks experts to rank different options to enhance policy. </w:t>
      </w:r>
      <w:r w:rsidR="008F0DAE" w:rsidRPr="00BD58C0">
        <w:rPr>
          <w:rFonts w:ascii="Times New Roman" w:hAnsi="Times New Roman" w:cs="Times New Roman"/>
          <w:sz w:val="24"/>
          <w:szCs w:val="24"/>
        </w:rPr>
        <w:t>The results show that the</w:t>
      </w:r>
      <w:r w:rsidR="00340A66" w:rsidRPr="00BD58C0">
        <w:rPr>
          <w:rFonts w:ascii="Times New Roman" w:hAnsi="Times New Roman" w:cs="Times New Roman"/>
          <w:sz w:val="24"/>
          <w:szCs w:val="24"/>
        </w:rPr>
        <w:t xml:space="preserve"> </w:t>
      </w:r>
      <w:r w:rsidR="001249A4" w:rsidRPr="00BD58C0">
        <w:rPr>
          <w:rFonts w:ascii="Times New Roman" w:hAnsi="Times New Roman" w:cs="Times New Roman"/>
          <w:sz w:val="24"/>
          <w:szCs w:val="24"/>
        </w:rPr>
        <w:t>c</w:t>
      </w:r>
      <w:r w:rsidR="005E374D" w:rsidRPr="00BD58C0">
        <w:rPr>
          <w:rFonts w:ascii="Times New Roman" w:hAnsi="Times New Roman" w:cs="Times New Roman"/>
          <w:sz w:val="24"/>
          <w:szCs w:val="24"/>
        </w:rPr>
        <w:t>ontinuous stirred tan</w:t>
      </w:r>
      <w:r w:rsidR="003D0133" w:rsidRPr="00BD58C0">
        <w:rPr>
          <w:rFonts w:ascii="Times New Roman" w:hAnsi="Times New Roman" w:cs="Times New Roman"/>
          <w:sz w:val="24"/>
          <w:szCs w:val="24"/>
        </w:rPr>
        <w:t>k</w:t>
      </w:r>
      <w:r w:rsidR="005E374D" w:rsidRPr="00BD58C0">
        <w:rPr>
          <w:rFonts w:ascii="Times New Roman" w:hAnsi="Times New Roman" w:cs="Times New Roman"/>
          <w:sz w:val="24"/>
          <w:szCs w:val="24"/>
        </w:rPr>
        <w:t xml:space="preserve"> reactor has a higher </w:t>
      </w:r>
      <w:r w:rsidR="009B7143" w:rsidRPr="00BD58C0">
        <w:rPr>
          <w:rFonts w:ascii="Times New Roman" w:hAnsi="Times New Roman" w:cs="Times New Roman"/>
          <w:sz w:val="24"/>
          <w:szCs w:val="24"/>
        </w:rPr>
        <w:t>LCC</w:t>
      </w:r>
      <w:r w:rsidR="005E374D" w:rsidRPr="00BD58C0">
        <w:rPr>
          <w:rFonts w:ascii="Times New Roman" w:hAnsi="Times New Roman" w:cs="Times New Roman"/>
          <w:sz w:val="24"/>
          <w:szCs w:val="24"/>
        </w:rPr>
        <w:t xml:space="preserve"> of 0.63 </w:t>
      </w:r>
      <w:proofErr w:type="gramStart"/>
      <w:r w:rsidR="005E374D" w:rsidRPr="00BD58C0">
        <w:rPr>
          <w:rFonts w:ascii="Times New Roman" w:hAnsi="Times New Roman" w:cs="Times New Roman"/>
          <w:sz w:val="24"/>
          <w:szCs w:val="24"/>
        </w:rPr>
        <w:t>Million</w:t>
      </w:r>
      <w:proofErr w:type="gramEnd"/>
      <w:r w:rsidR="005E374D" w:rsidRPr="00BD58C0">
        <w:rPr>
          <w:rFonts w:ascii="Times New Roman" w:hAnsi="Times New Roman" w:cs="Times New Roman"/>
          <w:sz w:val="24"/>
          <w:szCs w:val="24"/>
        </w:rPr>
        <w:t xml:space="preserve"> USD</w:t>
      </w:r>
      <w:r w:rsidR="005E374D" w:rsidRPr="00BD58C0">
        <w:rPr>
          <w:rFonts w:ascii="Times New Roman" w:eastAsiaTheme="minorEastAsia" w:hAnsi="Times New Roman" w:cs="Times New Roman"/>
          <w:iCs/>
          <w:sz w:val="24"/>
          <w:szCs w:val="24"/>
        </w:rPr>
        <w:t>/year</w:t>
      </w:r>
      <w:r w:rsidR="00C82BB8" w:rsidRPr="00BD58C0">
        <w:rPr>
          <w:rFonts w:ascii="Times New Roman" w:eastAsiaTheme="minorEastAsia" w:hAnsi="Times New Roman" w:cs="Times New Roman"/>
          <w:iCs/>
          <w:sz w:val="24"/>
          <w:szCs w:val="24"/>
        </w:rPr>
        <w:t>,</w:t>
      </w:r>
      <w:r w:rsidR="005E374D" w:rsidRPr="00BD58C0">
        <w:rPr>
          <w:rFonts w:ascii="Times New Roman" w:eastAsiaTheme="minorEastAsia" w:hAnsi="Times New Roman" w:cs="Times New Roman"/>
          <w:iCs/>
          <w:sz w:val="24"/>
          <w:szCs w:val="24"/>
        </w:rPr>
        <w:t xml:space="preserve"> compared to </w:t>
      </w:r>
      <w:r w:rsidR="001249A4" w:rsidRPr="00BD58C0">
        <w:rPr>
          <w:rFonts w:ascii="Times New Roman" w:eastAsiaTheme="minorEastAsia" w:hAnsi="Times New Roman" w:cs="Times New Roman"/>
          <w:iCs/>
          <w:sz w:val="24"/>
          <w:szCs w:val="24"/>
        </w:rPr>
        <w:t xml:space="preserve">a </w:t>
      </w:r>
      <w:r w:rsidR="009B7143" w:rsidRPr="00BD58C0">
        <w:rPr>
          <w:rFonts w:ascii="Times New Roman" w:eastAsiaTheme="minorEastAsia" w:hAnsi="Times New Roman" w:cs="Times New Roman"/>
          <w:iCs/>
          <w:sz w:val="24"/>
          <w:szCs w:val="24"/>
        </w:rPr>
        <w:t>LCC</w:t>
      </w:r>
      <w:r w:rsidR="001249A4" w:rsidRPr="00BD58C0">
        <w:rPr>
          <w:rFonts w:ascii="Times New Roman" w:eastAsiaTheme="minorEastAsia" w:hAnsi="Times New Roman" w:cs="Times New Roman"/>
          <w:iCs/>
          <w:sz w:val="24"/>
          <w:szCs w:val="24"/>
        </w:rPr>
        <w:t xml:space="preserve"> value of 0.55 Million USD/year</w:t>
      </w:r>
      <w:r w:rsidR="001249A4" w:rsidRPr="00BD58C0">
        <w:rPr>
          <w:rFonts w:ascii="Times New Roman" w:hAnsi="Times New Roman" w:cs="Times New Roman"/>
          <w:sz w:val="24"/>
          <w:szCs w:val="24"/>
        </w:rPr>
        <w:t xml:space="preserve"> for the </w:t>
      </w:r>
      <w:r w:rsidR="005E374D" w:rsidRPr="00BD58C0">
        <w:rPr>
          <w:rFonts w:ascii="Times New Roman" w:hAnsi="Times New Roman" w:cs="Times New Roman"/>
          <w:sz w:val="24"/>
          <w:szCs w:val="24"/>
        </w:rPr>
        <w:t>covered lagoon bio-digester</w:t>
      </w:r>
      <w:r w:rsidR="005E374D" w:rsidRPr="00BD58C0">
        <w:rPr>
          <w:rFonts w:ascii="Times New Roman" w:eastAsiaTheme="minorEastAsia" w:hAnsi="Times New Roman" w:cs="Times New Roman"/>
          <w:iCs/>
          <w:sz w:val="24"/>
          <w:szCs w:val="24"/>
        </w:rPr>
        <w:t xml:space="preserve">. In terms of cost-benefit, </w:t>
      </w:r>
      <w:r w:rsidR="00B12BFD" w:rsidRPr="00BD58C0">
        <w:rPr>
          <w:rFonts w:ascii="Times New Roman" w:eastAsiaTheme="minorEastAsia" w:hAnsi="Times New Roman" w:cs="Times New Roman"/>
          <w:iCs/>
          <w:sz w:val="24"/>
          <w:szCs w:val="24"/>
        </w:rPr>
        <w:t xml:space="preserve">the </w:t>
      </w:r>
      <w:r w:rsidR="005E374D" w:rsidRPr="00BD58C0">
        <w:rPr>
          <w:rFonts w:ascii="Times New Roman" w:hAnsi="Times New Roman" w:cs="Times New Roman"/>
          <w:sz w:val="24"/>
          <w:szCs w:val="24"/>
        </w:rPr>
        <w:t>continuous stirred tank reactor</w:t>
      </w:r>
      <w:r w:rsidR="005E374D" w:rsidRPr="00BD58C0">
        <w:rPr>
          <w:rFonts w:ascii="Times New Roman" w:eastAsiaTheme="minorEastAsia" w:hAnsi="Times New Roman" w:cs="Times New Roman"/>
          <w:iCs/>
          <w:sz w:val="24"/>
          <w:szCs w:val="24"/>
        </w:rPr>
        <w:t xml:space="preserve"> has a higher </w:t>
      </w:r>
      <w:r w:rsidR="00131B4E" w:rsidRPr="00BD58C0">
        <w:rPr>
          <w:rFonts w:ascii="Times New Roman" w:eastAsiaTheme="minorEastAsia" w:hAnsi="Times New Roman" w:cs="Times New Roman"/>
          <w:iCs/>
          <w:sz w:val="24"/>
          <w:szCs w:val="24"/>
        </w:rPr>
        <w:t>net present value</w:t>
      </w:r>
      <w:r w:rsidR="005E374D" w:rsidRPr="00BD58C0">
        <w:rPr>
          <w:rFonts w:ascii="Times New Roman" w:eastAsiaTheme="minorEastAsia" w:hAnsi="Times New Roman" w:cs="Times New Roman"/>
          <w:iCs/>
          <w:sz w:val="24"/>
          <w:szCs w:val="24"/>
        </w:rPr>
        <w:t xml:space="preserve"> of 0.46 </w:t>
      </w:r>
      <w:proofErr w:type="gramStart"/>
      <w:r w:rsidR="005E374D" w:rsidRPr="00BD58C0">
        <w:rPr>
          <w:rFonts w:ascii="Times New Roman" w:eastAsiaTheme="minorEastAsia" w:hAnsi="Times New Roman" w:cs="Times New Roman"/>
          <w:iCs/>
          <w:sz w:val="24"/>
          <w:szCs w:val="24"/>
        </w:rPr>
        <w:t>Million</w:t>
      </w:r>
      <w:proofErr w:type="gramEnd"/>
      <w:r w:rsidR="005E374D" w:rsidRPr="00BD58C0">
        <w:rPr>
          <w:rFonts w:ascii="Times New Roman" w:eastAsiaTheme="minorEastAsia" w:hAnsi="Times New Roman" w:cs="Times New Roman"/>
          <w:iCs/>
          <w:sz w:val="24"/>
          <w:szCs w:val="24"/>
        </w:rPr>
        <w:t xml:space="preserve"> USD/year, higher </w:t>
      </w:r>
      <w:r w:rsidR="00131B4E" w:rsidRPr="00BD58C0">
        <w:rPr>
          <w:rFonts w:ascii="Times New Roman" w:eastAsiaTheme="minorEastAsia" w:hAnsi="Times New Roman" w:cs="Times New Roman"/>
          <w:iCs/>
          <w:sz w:val="24"/>
          <w:szCs w:val="24"/>
        </w:rPr>
        <w:t>return on investment</w:t>
      </w:r>
      <w:r w:rsidR="005E374D" w:rsidRPr="00BD58C0">
        <w:rPr>
          <w:rFonts w:ascii="Times New Roman" w:eastAsiaTheme="minorEastAsia" w:hAnsi="Times New Roman" w:cs="Times New Roman"/>
          <w:iCs/>
          <w:sz w:val="24"/>
          <w:szCs w:val="24"/>
        </w:rPr>
        <w:t xml:space="preserve"> of 10.11% and</w:t>
      </w:r>
      <w:r w:rsidR="00B12BFD" w:rsidRPr="00BD58C0">
        <w:rPr>
          <w:rFonts w:ascii="Times New Roman" w:eastAsiaTheme="minorEastAsia" w:hAnsi="Times New Roman" w:cs="Times New Roman"/>
          <w:iCs/>
          <w:sz w:val="24"/>
          <w:szCs w:val="24"/>
        </w:rPr>
        <w:t xml:space="preserve"> a</w:t>
      </w:r>
      <w:r w:rsidR="005E374D" w:rsidRPr="00BD58C0">
        <w:rPr>
          <w:rFonts w:ascii="Times New Roman" w:eastAsiaTheme="minorEastAsia" w:hAnsi="Times New Roman" w:cs="Times New Roman"/>
          <w:iCs/>
          <w:sz w:val="24"/>
          <w:szCs w:val="24"/>
        </w:rPr>
        <w:t xml:space="preserve"> shorter </w:t>
      </w:r>
      <w:r w:rsidR="00131B4E" w:rsidRPr="00BD58C0">
        <w:rPr>
          <w:rFonts w:ascii="Times New Roman" w:eastAsiaTheme="minorEastAsia" w:hAnsi="Times New Roman" w:cs="Times New Roman"/>
          <w:iCs/>
          <w:sz w:val="24"/>
          <w:szCs w:val="24"/>
        </w:rPr>
        <w:t>payback period</w:t>
      </w:r>
      <w:r w:rsidR="005E374D" w:rsidRPr="00BD58C0">
        <w:rPr>
          <w:rFonts w:ascii="Times New Roman" w:eastAsiaTheme="minorEastAsia" w:hAnsi="Times New Roman" w:cs="Times New Roman"/>
          <w:iCs/>
          <w:sz w:val="24"/>
          <w:szCs w:val="24"/>
        </w:rPr>
        <w:t xml:space="preserve"> of 9.9 years compared to the </w:t>
      </w:r>
      <w:r w:rsidR="005E374D" w:rsidRPr="00BD58C0">
        <w:rPr>
          <w:rFonts w:ascii="Times New Roman" w:hAnsi="Times New Roman" w:cs="Times New Roman"/>
          <w:sz w:val="24"/>
          <w:szCs w:val="24"/>
        </w:rPr>
        <w:t>covered lagoon bio-digester</w:t>
      </w:r>
      <w:r w:rsidR="005E374D" w:rsidRPr="00BD58C0">
        <w:rPr>
          <w:rFonts w:ascii="Times New Roman" w:eastAsiaTheme="minorEastAsia" w:hAnsi="Times New Roman" w:cs="Times New Roman"/>
          <w:iCs/>
          <w:sz w:val="24"/>
          <w:szCs w:val="24"/>
        </w:rPr>
        <w:t xml:space="preserve"> system</w:t>
      </w:r>
      <w:r w:rsidR="00B12BFD" w:rsidRPr="00BD58C0">
        <w:rPr>
          <w:rFonts w:ascii="Times New Roman" w:eastAsiaTheme="minorEastAsia" w:hAnsi="Times New Roman" w:cs="Times New Roman"/>
          <w:iCs/>
          <w:sz w:val="24"/>
          <w:szCs w:val="24"/>
        </w:rPr>
        <w:t>, which has a</w:t>
      </w:r>
      <w:r w:rsidR="005E374D" w:rsidRPr="00BD58C0">
        <w:rPr>
          <w:rFonts w:ascii="Times New Roman" w:eastAsiaTheme="minorEastAsia" w:hAnsi="Times New Roman" w:cs="Times New Roman"/>
          <w:iCs/>
          <w:sz w:val="24"/>
          <w:szCs w:val="24"/>
        </w:rPr>
        <w:t xml:space="preserve"> </w:t>
      </w:r>
      <w:r w:rsidR="00A55487" w:rsidRPr="00BD58C0">
        <w:rPr>
          <w:rFonts w:ascii="Times New Roman" w:eastAsiaTheme="minorEastAsia" w:hAnsi="Times New Roman" w:cs="Times New Roman"/>
          <w:iCs/>
          <w:sz w:val="24"/>
          <w:szCs w:val="24"/>
        </w:rPr>
        <w:t>net present value</w:t>
      </w:r>
      <w:r w:rsidR="005E374D" w:rsidRPr="00BD58C0">
        <w:rPr>
          <w:rFonts w:ascii="Times New Roman" w:eastAsiaTheme="minorEastAsia" w:hAnsi="Times New Roman" w:cs="Times New Roman"/>
          <w:iCs/>
          <w:sz w:val="24"/>
          <w:szCs w:val="24"/>
        </w:rPr>
        <w:t xml:space="preserve"> of 0.22 Million USD/year, </w:t>
      </w:r>
      <w:r w:rsidR="00A55487" w:rsidRPr="00BD58C0">
        <w:rPr>
          <w:rFonts w:ascii="Times New Roman" w:eastAsiaTheme="minorEastAsia" w:hAnsi="Times New Roman" w:cs="Times New Roman"/>
          <w:iCs/>
          <w:sz w:val="24"/>
          <w:szCs w:val="24"/>
        </w:rPr>
        <w:t>return on investment</w:t>
      </w:r>
      <w:r w:rsidR="005E374D" w:rsidRPr="00BD58C0">
        <w:rPr>
          <w:rFonts w:ascii="Times New Roman" w:eastAsiaTheme="minorEastAsia" w:hAnsi="Times New Roman" w:cs="Times New Roman"/>
          <w:iCs/>
          <w:sz w:val="24"/>
          <w:szCs w:val="24"/>
        </w:rPr>
        <w:t xml:space="preserve"> of 7.79% and</w:t>
      </w:r>
      <w:r w:rsidR="00B60FEB" w:rsidRPr="00BD58C0">
        <w:rPr>
          <w:rFonts w:ascii="Times New Roman" w:eastAsiaTheme="minorEastAsia" w:hAnsi="Times New Roman" w:cs="Times New Roman"/>
          <w:iCs/>
          <w:sz w:val="24"/>
          <w:szCs w:val="24"/>
        </w:rPr>
        <w:t xml:space="preserve"> a</w:t>
      </w:r>
      <w:r w:rsidR="005E374D" w:rsidRPr="00BD58C0">
        <w:rPr>
          <w:rFonts w:ascii="Times New Roman" w:eastAsiaTheme="minorEastAsia" w:hAnsi="Times New Roman" w:cs="Times New Roman"/>
          <w:iCs/>
          <w:sz w:val="24"/>
          <w:szCs w:val="24"/>
        </w:rPr>
        <w:t xml:space="preserve"> </w:t>
      </w:r>
      <w:r w:rsidR="00A55487" w:rsidRPr="00BD58C0">
        <w:rPr>
          <w:rFonts w:ascii="Times New Roman" w:eastAsiaTheme="minorEastAsia" w:hAnsi="Times New Roman" w:cs="Times New Roman"/>
          <w:iCs/>
          <w:sz w:val="24"/>
          <w:szCs w:val="24"/>
        </w:rPr>
        <w:t>payback period</w:t>
      </w:r>
      <w:r w:rsidR="005E374D" w:rsidRPr="00BD58C0">
        <w:rPr>
          <w:rFonts w:ascii="Times New Roman" w:eastAsiaTheme="minorEastAsia" w:hAnsi="Times New Roman" w:cs="Times New Roman"/>
          <w:iCs/>
          <w:sz w:val="24"/>
          <w:szCs w:val="24"/>
        </w:rPr>
        <w:t xml:space="preserve"> of 12.8 years. </w:t>
      </w:r>
      <w:r w:rsidR="007845D6" w:rsidRPr="00BD58C0">
        <w:rPr>
          <w:rFonts w:ascii="Times New Roman" w:eastAsiaTheme="minorEastAsia" w:hAnsi="Times New Roman" w:cs="Times New Roman"/>
          <w:iCs/>
          <w:sz w:val="24"/>
          <w:szCs w:val="24"/>
        </w:rPr>
        <w:t xml:space="preserve">The </w:t>
      </w:r>
      <w:r w:rsidR="002A2DFA" w:rsidRPr="00BD58C0">
        <w:rPr>
          <w:rFonts w:ascii="Times New Roman" w:hAnsi="Times New Roman" w:cs="Times New Roman"/>
          <w:sz w:val="24"/>
          <w:szCs w:val="24"/>
        </w:rPr>
        <w:t>continuous stirred tank reactor</w:t>
      </w:r>
      <w:r w:rsidR="007845D6" w:rsidRPr="00BD58C0">
        <w:rPr>
          <w:rFonts w:ascii="Times New Roman" w:eastAsiaTheme="minorEastAsia" w:hAnsi="Times New Roman" w:cs="Times New Roman"/>
          <w:iCs/>
          <w:sz w:val="24"/>
          <w:szCs w:val="24"/>
        </w:rPr>
        <w:t xml:space="preserve"> system </w:t>
      </w:r>
      <w:r w:rsidR="00B60FEB" w:rsidRPr="00BD58C0">
        <w:rPr>
          <w:rFonts w:ascii="Times New Roman" w:eastAsiaTheme="minorEastAsia" w:hAnsi="Times New Roman" w:cs="Times New Roman"/>
          <w:iCs/>
          <w:sz w:val="24"/>
          <w:szCs w:val="24"/>
        </w:rPr>
        <w:t xml:space="preserve">therefore </w:t>
      </w:r>
      <w:r w:rsidR="004A39E0" w:rsidRPr="00BD58C0">
        <w:rPr>
          <w:rFonts w:ascii="Times New Roman" w:eastAsiaTheme="minorEastAsia" w:hAnsi="Times New Roman" w:cs="Times New Roman"/>
          <w:iCs/>
          <w:sz w:val="24"/>
          <w:szCs w:val="24"/>
        </w:rPr>
        <w:t xml:space="preserve">emerges as </w:t>
      </w:r>
      <w:r w:rsidR="007845D6" w:rsidRPr="00BD58C0">
        <w:rPr>
          <w:rFonts w:ascii="Times New Roman" w:eastAsiaTheme="minorEastAsia" w:hAnsi="Times New Roman" w:cs="Times New Roman"/>
          <w:iCs/>
          <w:sz w:val="24"/>
          <w:szCs w:val="24"/>
        </w:rPr>
        <w:t xml:space="preserve">more economically feasible compared to the </w:t>
      </w:r>
      <w:r w:rsidR="002A2DFA" w:rsidRPr="00BD58C0">
        <w:rPr>
          <w:rFonts w:ascii="Times New Roman" w:hAnsi="Times New Roman" w:cs="Times New Roman"/>
          <w:sz w:val="24"/>
          <w:szCs w:val="24"/>
        </w:rPr>
        <w:t>covered lagoon bio-digester</w:t>
      </w:r>
      <w:r w:rsidR="007845D6" w:rsidRPr="00BD58C0">
        <w:rPr>
          <w:rFonts w:ascii="Times New Roman" w:eastAsiaTheme="minorEastAsia" w:hAnsi="Times New Roman" w:cs="Times New Roman"/>
          <w:iCs/>
          <w:sz w:val="24"/>
          <w:szCs w:val="24"/>
        </w:rPr>
        <w:t xml:space="preserve"> system</w:t>
      </w:r>
      <w:r w:rsidR="000040E6" w:rsidRPr="00BD58C0">
        <w:rPr>
          <w:rFonts w:ascii="Times New Roman" w:eastAsiaTheme="minorEastAsia" w:hAnsi="Times New Roman" w:cs="Times New Roman"/>
          <w:iCs/>
          <w:sz w:val="24"/>
          <w:szCs w:val="24"/>
        </w:rPr>
        <w:t>.</w:t>
      </w:r>
      <w:r w:rsidR="004A39E0" w:rsidRPr="00BD58C0">
        <w:rPr>
          <w:rFonts w:ascii="Times New Roman" w:eastAsiaTheme="minorEastAsia" w:hAnsi="Times New Roman" w:cs="Times New Roman"/>
          <w:iCs/>
          <w:sz w:val="24"/>
          <w:szCs w:val="24"/>
        </w:rPr>
        <w:t xml:space="preserve"> </w:t>
      </w:r>
      <w:r w:rsidR="004B7A60" w:rsidRPr="00BD58C0">
        <w:rPr>
          <w:rFonts w:ascii="Times New Roman" w:eastAsiaTheme="minorEastAsia" w:hAnsi="Times New Roman" w:cs="Times New Roman"/>
          <w:iCs/>
          <w:sz w:val="24"/>
          <w:szCs w:val="24"/>
        </w:rPr>
        <w:t xml:space="preserve">On providing this information to experts using </w:t>
      </w:r>
      <w:r w:rsidR="00AE3935" w:rsidRPr="00BD58C0">
        <w:rPr>
          <w:rFonts w:ascii="Times New Roman" w:eastAsiaTheme="minorEastAsia" w:hAnsi="Times New Roman" w:cs="Times New Roman"/>
          <w:iCs/>
          <w:sz w:val="24"/>
          <w:szCs w:val="24"/>
        </w:rPr>
        <w:t>AHP</w:t>
      </w:r>
      <w:r w:rsidR="00D05C6F" w:rsidRPr="00BD58C0">
        <w:rPr>
          <w:rFonts w:ascii="Times New Roman" w:eastAsiaTheme="minorEastAsia" w:hAnsi="Times New Roman" w:cs="Times New Roman"/>
          <w:iCs/>
          <w:sz w:val="24"/>
          <w:szCs w:val="24"/>
        </w:rPr>
        <w:t>, the three top ranked policy options emerged as</w:t>
      </w:r>
      <w:r w:rsidR="00247742" w:rsidRPr="00BD58C0">
        <w:rPr>
          <w:rFonts w:ascii="Times New Roman" w:eastAsiaTheme="minorEastAsia" w:hAnsi="Times New Roman" w:cs="Times New Roman"/>
          <w:iCs/>
          <w:sz w:val="24"/>
          <w:szCs w:val="24"/>
        </w:rPr>
        <w:t xml:space="preserve">: </w:t>
      </w:r>
      <w:proofErr w:type="spellStart"/>
      <w:r w:rsidR="00247742" w:rsidRPr="00BD58C0">
        <w:rPr>
          <w:rFonts w:ascii="Times New Roman" w:eastAsiaTheme="minorEastAsia" w:hAnsi="Times New Roman" w:cs="Times New Roman"/>
          <w:iCs/>
          <w:sz w:val="24"/>
          <w:szCs w:val="24"/>
        </w:rPr>
        <w:t>i</w:t>
      </w:r>
      <w:proofErr w:type="spellEnd"/>
      <w:r w:rsidR="00247742" w:rsidRPr="00BD58C0">
        <w:rPr>
          <w:rFonts w:ascii="Times New Roman" w:eastAsiaTheme="minorEastAsia" w:hAnsi="Times New Roman" w:cs="Times New Roman"/>
          <w:iCs/>
          <w:sz w:val="24"/>
          <w:szCs w:val="24"/>
        </w:rPr>
        <w:t xml:space="preserve">) </w:t>
      </w:r>
      <w:r w:rsidR="007845D6" w:rsidRPr="00BD58C0">
        <w:rPr>
          <w:rFonts w:ascii="Times New Roman" w:hAnsi="Times New Roman" w:cs="Times New Roman"/>
          <w:sz w:val="24"/>
          <w:szCs w:val="24"/>
        </w:rPr>
        <w:t>provid</w:t>
      </w:r>
      <w:r w:rsidR="000040E6" w:rsidRPr="00BD58C0">
        <w:rPr>
          <w:rFonts w:ascii="Times New Roman" w:hAnsi="Times New Roman" w:cs="Times New Roman"/>
          <w:sz w:val="24"/>
          <w:szCs w:val="24"/>
        </w:rPr>
        <w:t>ing</w:t>
      </w:r>
      <w:r w:rsidR="007845D6" w:rsidRPr="00BD58C0">
        <w:rPr>
          <w:rFonts w:ascii="Times New Roman" w:hAnsi="Times New Roman" w:cs="Times New Roman"/>
          <w:sz w:val="24"/>
          <w:szCs w:val="24"/>
        </w:rPr>
        <w:t xml:space="preserve"> detailed environmental guidelines</w:t>
      </w:r>
      <w:r w:rsidR="009E5E17" w:rsidRPr="00BD58C0">
        <w:rPr>
          <w:rFonts w:ascii="Times New Roman" w:hAnsi="Times New Roman" w:cs="Times New Roman"/>
          <w:sz w:val="24"/>
          <w:szCs w:val="24"/>
        </w:rPr>
        <w:t xml:space="preserve">, ii) </w:t>
      </w:r>
      <w:r w:rsidR="007845D6" w:rsidRPr="00BD58C0">
        <w:rPr>
          <w:rFonts w:ascii="Times New Roman" w:hAnsi="Times New Roman" w:cs="Times New Roman"/>
          <w:sz w:val="24"/>
          <w:szCs w:val="24"/>
        </w:rPr>
        <w:t>standardi</w:t>
      </w:r>
      <w:r w:rsidR="00437DA8" w:rsidRPr="00BD58C0">
        <w:rPr>
          <w:rFonts w:ascii="Times New Roman" w:hAnsi="Times New Roman" w:cs="Times New Roman"/>
          <w:sz w:val="24"/>
          <w:szCs w:val="24"/>
        </w:rPr>
        <w:t>s</w:t>
      </w:r>
      <w:r w:rsidR="000040E6" w:rsidRPr="00BD58C0">
        <w:rPr>
          <w:rFonts w:ascii="Times New Roman" w:hAnsi="Times New Roman" w:cs="Times New Roman"/>
          <w:sz w:val="24"/>
          <w:szCs w:val="24"/>
        </w:rPr>
        <w:t>ing</w:t>
      </w:r>
      <w:r w:rsidR="007845D6" w:rsidRPr="00BD58C0">
        <w:rPr>
          <w:rFonts w:ascii="Times New Roman" w:hAnsi="Times New Roman" w:cs="Times New Roman"/>
          <w:sz w:val="24"/>
          <w:szCs w:val="24"/>
        </w:rPr>
        <w:t xml:space="preserve"> technical guidelines for biogas installation and </w:t>
      </w:r>
      <w:r w:rsidR="009E5E17" w:rsidRPr="00BD58C0">
        <w:rPr>
          <w:rFonts w:ascii="Times New Roman" w:hAnsi="Times New Roman" w:cs="Times New Roman"/>
          <w:sz w:val="24"/>
          <w:szCs w:val="24"/>
        </w:rPr>
        <w:t xml:space="preserve">iii) </w:t>
      </w:r>
      <w:r w:rsidR="007845D6" w:rsidRPr="00BD58C0">
        <w:rPr>
          <w:rFonts w:ascii="Times New Roman" w:hAnsi="Times New Roman" w:cs="Times New Roman"/>
          <w:sz w:val="24"/>
          <w:szCs w:val="24"/>
        </w:rPr>
        <w:t>cover</w:t>
      </w:r>
      <w:r w:rsidR="000040E6" w:rsidRPr="00BD58C0">
        <w:rPr>
          <w:rFonts w:ascii="Times New Roman" w:hAnsi="Times New Roman" w:cs="Times New Roman"/>
          <w:sz w:val="24"/>
          <w:szCs w:val="24"/>
        </w:rPr>
        <w:t>ing the</w:t>
      </w:r>
      <w:r w:rsidR="007845D6" w:rsidRPr="00BD58C0">
        <w:rPr>
          <w:rFonts w:ascii="Times New Roman" w:hAnsi="Times New Roman" w:cs="Times New Roman"/>
          <w:sz w:val="24"/>
          <w:szCs w:val="24"/>
        </w:rPr>
        <w:t xml:space="preserve"> open pond wall using lining.</w:t>
      </w:r>
      <w:r w:rsidR="004A39E0" w:rsidRPr="00BD58C0">
        <w:rPr>
          <w:rFonts w:ascii="Times New Roman" w:hAnsi="Times New Roman" w:cs="Times New Roman"/>
          <w:sz w:val="24"/>
          <w:szCs w:val="24"/>
        </w:rPr>
        <w:t xml:space="preserve"> </w:t>
      </w:r>
      <w:r w:rsidR="004A39E0" w:rsidRPr="00BD58C0">
        <w:rPr>
          <w:rFonts w:ascii="Times New Roman" w:eastAsiaTheme="minorEastAsia" w:hAnsi="Times New Roman" w:cs="Times New Roman"/>
          <w:iCs/>
          <w:sz w:val="24"/>
          <w:szCs w:val="24"/>
        </w:rPr>
        <w:t xml:space="preserve">Economic insights and policy opportunities based on this research can be used to inform </w:t>
      </w:r>
      <w:r w:rsidR="00CC302E" w:rsidRPr="00BD58C0">
        <w:rPr>
          <w:rFonts w:ascii="Times New Roman" w:eastAsiaTheme="minorEastAsia" w:hAnsi="Times New Roman" w:cs="Times New Roman"/>
          <w:iCs/>
          <w:sz w:val="24"/>
          <w:szCs w:val="24"/>
        </w:rPr>
        <w:t xml:space="preserve">policy </w:t>
      </w:r>
      <w:r w:rsidR="004A39E0" w:rsidRPr="00BD58C0">
        <w:rPr>
          <w:rFonts w:ascii="Times New Roman" w:eastAsiaTheme="minorEastAsia" w:hAnsi="Times New Roman" w:cs="Times New Roman"/>
          <w:iCs/>
          <w:sz w:val="24"/>
          <w:szCs w:val="24"/>
        </w:rPr>
        <w:t>decision making in multiple contexts where biogas plant projects are under consideration, in</w:t>
      </w:r>
      <w:r w:rsidR="00CC302E" w:rsidRPr="00BD58C0">
        <w:rPr>
          <w:rFonts w:ascii="Times New Roman" w:eastAsiaTheme="minorEastAsia" w:hAnsi="Times New Roman" w:cs="Times New Roman"/>
          <w:iCs/>
          <w:sz w:val="24"/>
          <w:szCs w:val="24"/>
        </w:rPr>
        <w:t xml:space="preserve"> both</w:t>
      </w:r>
      <w:r w:rsidR="004A39E0" w:rsidRPr="00BD58C0">
        <w:rPr>
          <w:rFonts w:ascii="Times New Roman" w:eastAsiaTheme="minorEastAsia" w:hAnsi="Times New Roman" w:cs="Times New Roman"/>
          <w:iCs/>
          <w:sz w:val="24"/>
          <w:szCs w:val="24"/>
        </w:rPr>
        <w:t xml:space="preserve"> Malaysia and globally. </w:t>
      </w:r>
    </w:p>
    <w:p w14:paraId="0B3DC6C8" w14:textId="65DE081D" w:rsidR="007845D6" w:rsidRPr="00BD58C0" w:rsidRDefault="007845D6" w:rsidP="007D66D4">
      <w:pPr>
        <w:spacing w:after="0" w:line="360" w:lineRule="auto"/>
        <w:jc w:val="both"/>
        <w:rPr>
          <w:rFonts w:ascii="Times New Roman" w:hAnsi="Times New Roman" w:cs="Times New Roman"/>
          <w:sz w:val="24"/>
          <w:szCs w:val="24"/>
        </w:rPr>
      </w:pPr>
    </w:p>
    <w:p w14:paraId="11EA307B" w14:textId="50CBA816" w:rsidR="00AB6F3E" w:rsidRPr="00BD58C0" w:rsidRDefault="00AB6F3E" w:rsidP="007D66D4">
      <w:pPr>
        <w:spacing w:after="0" w:line="360" w:lineRule="auto"/>
        <w:jc w:val="both"/>
        <w:rPr>
          <w:rFonts w:ascii="Times New Roman" w:hAnsi="Times New Roman" w:cs="Times New Roman"/>
          <w:sz w:val="24"/>
          <w:szCs w:val="24"/>
        </w:rPr>
      </w:pPr>
    </w:p>
    <w:p w14:paraId="2FFC26A4" w14:textId="77632277" w:rsidR="00665D73" w:rsidRPr="00BD58C0" w:rsidRDefault="00665D73" w:rsidP="007D66D4">
      <w:pPr>
        <w:spacing w:after="0" w:line="360" w:lineRule="auto"/>
        <w:jc w:val="both"/>
        <w:rPr>
          <w:rFonts w:ascii="Times New Roman" w:hAnsi="Times New Roman" w:cs="Times New Roman"/>
          <w:sz w:val="24"/>
          <w:szCs w:val="24"/>
        </w:rPr>
      </w:pPr>
    </w:p>
    <w:p w14:paraId="312E149C" w14:textId="4FD9755E" w:rsidR="00665D73" w:rsidRPr="00BD58C0" w:rsidRDefault="00665D73" w:rsidP="007D66D4">
      <w:pPr>
        <w:spacing w:after="0" w:line="360" w:lineRule="auto"/>
        <w:jc w:val="both"/>
        <w:rPr>
          <w:rFonts w:ascii="Times New Roman" w:hAnsi="Times New Roman" w:cs="Times New Roman"/>
          <w:sz w:val="24"/>
          <w:szCs w:val="24"/>
        </w:rPr>
      </w:pPr>
    </w:p>
    <w:p w14:paraId="6478890A" w14:textId="7F2E2211" w:rsidR="00665D73" w:rsidRPr="00BD58C0" w:rsidRDefault="00665D73" w:rsidP="007D66D4">
      <w:pPr>
        <w:spacing w:after="0" w:line="360" w:lineRule="auto"/>
        <w:jc w:val="both"/>
        <w:rPr>
          <w:rFonts w:ascii="Times New Roman" w:hAnsi="Times New Roman" w:cs="Times New Roman"/>
          <w:sz w:val="24"/>
          <w:szCs w:val="24"/>
        </w:rPr>
      </w:pPr>
    </w:p>
    <w:p w14:paraId="27DDD36C" w14:textId="0404A9C9" w:rsidR="00665D73" w:rsidRPr="00BD58C0" w:rsidRDefault="00665D73" w:rsidP="007D66D4">
      <w:pPr>
        <w:spacing w:after="0" w:line="360" w:lineRule="auto"/>
        <w:jc w:val="both"/>
        <w:rPr>
          <w:rFonts w:ascii="Times New Roman" w:hAnsi="Times New Roman" w:cs="Times New Roman"/>
          <w:sz w:val="24"/>
          <w:szCs w:val="24"/>
        </w:rPr>
      </w:pPr>
    </w:p>
    <w:p w14:paraId="41F22570" w14:textId="61D2F94B" w:rsidR="00665D73" w:rsidRPr="00BD58C0" w:rsidRDefault="00665D73" w:rsidP="007D66D4">
      <w:pPr>
        <w:spacing w:after="0" w:line="360" w:lineRule="auto"/>
        <w:jc w:val="both"/>
        <w:rPr>
          <w:rFonts w:ascii="Times New Roman" w:hAnsi="Times New Roman" w:cs="Times New Roman"/>
          <w:sz w:val="24"/>
          <w:szCs w:val="24"/>
        </w:rPr>
      </w:pPr>
    </w:p>
    <w:p w14:paraId="0CB7E637" w14:textId="139F13EA" w:rsidR="0093069C" w:rsidRPr="00BD58C0" w:rsidRDefault="0093069C" w:rsidP="00665D73">
      <w:pPr>
        <w:rPr>
          <w:rFonts w:ascii="Times New Roman" w:hAnsi="Times New Roman" w:cs="Times New Roman"/>
          <w:sz w:val="24"/>
          <w:szCs w:val="24"/>
        </w:rPr>
      </w:pPr>
    </w:p>
    <w:p w14:paraId="58CBAB55" w14:textId="3BC29ED0" w:rsidR="00C75F06" w:rsidRPr="00BD58C0" w:rsidRDefault="00C75F06" w:rsidP="00665D73">
      <w:pPr>
        <w:rPr>
          <w:rFonts w:ascii="Times New Roman" w:hAnsi="Times New Roman" w:cs="Times New Roman"/>
          <w:sz w:val="24"/>
          <w:szCs w:val="24"/>
        </w:rPr>
      </w:pPr>
    </w:p>
    <w:p w14:paraId="34537059" w14:textId="77777777" w:rsidR="00C75F06" w:rsidRPr="00BD58C0" w:rsidRDefault="00C75F06" w:rsidP="00665D73">
      <w:pPr>
        <w:rPr>
          <w:rFonts w:ascii="Times New Roman" w:hAnsi="Times New Roman" w:cs="Times New Roman"/>
          <w:sz w:val="24"/>
          <w:szCs w:val="24"/>
        </w:rPr>
      </w:pPr>
    </w:p>
    <w:p w14:paraId="07019E16" w14:textId="77777777" w:rsidR="00AA0234" w:rsidRPr="00BD58C0" w:rsidRDefault="00AA0234" w:rsidP="00665D73">
      <w:pPr>
        <w:rPr>
          <w:rFonts w:ascii="Times New Roman" w:hAnsi="Times New Roman" w:cs="Times New Roman"/>
          <w:sz w:val="24"/>
          <w:szCs w:val="24"/>
        </w:rPr>
      </w:pPr>
    </w:p>
    <w:p w14:paraId="2EBA24FC" w14:textId="3C11AA1D" w:rsidR="00665D73" w:rsidRPr="00BD58C0" w:rsidRDefault="00665D73" w:rsidP="00665D73">
      <w:pPr>
        <w:rPr>
          <w:rFonts w:ascii="Times New Roman" w:hAnsi="Times New Roman" w:cs="Times New Roman"/>
          <w:sz w:val="24"/>
          <w:szCs w:val="24"/>
        </w:rPr>
      </w:pPr>
      <w:r w:rsidRPr="00BD58C0">
        <w:rPr>
          <w:rFonts w:ascii="Times New Roman" w:hAnsi="Times New Roman" w:cs="Times New Roman"/>
          <w:sz w:val="24"/>
          <w:szCs w:val="24"/>
        </w:rPr>
        <w:lastRenderedPageBreak/>
        <w:t>Highlights</w:t>
      </w:r>
    </w:p>
    <w:p w14:paraId="3629A865" w14:textId="59125950" w:rsidR="00665D73" w:rsidRPr="00BD58C0" w:rsidRDefault="00665D73" w:rsidP="00665D73">
      <w:pPr>
        <w:pStyle w:val="ListParagraph"/>
        <w:widowControl w:val="0"/>
        <w:numPr>
          <w:ilvl w:val="0"/>
          <w:numId w:val="19"/>
        </w:numPr>
        <w:tabs>
          <w:tab w:val="left" w:pos="820"/>
          <w:tab w:val="left" w:pos="821"/>
        </w:tabs>
        <w:autoSpaceDE w:val="0"/>
        <w:autoSpaceDN w:val="0"/>
        <w:spacing w:after="0" w:line="360" w:lineRule="auto"/>
        <w:ind w:right="104"/>
        <w:contextualSpacing w:val="0"/>
        <w:rPr>
          <w:rFonts w:ascii="Times New Roman" w:hAnsi="Times New Roman" w:cs="Times New Roman"/>
          <w:sz w:val="24"/>
          <w:szCs w:val="24"/>
        </w:rPr>
      </w:pPr>
      <w:r w:rsidRPr="00BD58C0">
        <w:rPr>
          <w:rFonts w:ascii="Times New Roman" w:hAnsi="Times New Roman" w:cs="Times New Roman"/>
          <w:sz w:val="24"/>
          <w:szCs w:val="24"/>
        </w:rPr>
        <w:t>Life cycle cost</w:t>
      </w:r>
      <w:r w:rsidR="001E6151">
        <w:rPr>
          <w:rFonts w:ascii="Times New Roman" w:hAnsi="Times New Roman" w:cs="Times New Roman"/>
          <w:sz w:val="24"/>
          <w:szCs w:val="24"/>
        </w:rPr>
        <w:t>-</w:t>
      </w:r>
      <w:r w:rsidRPr="00BD58C0">
        <w:rPr>
          <w:rFonts w:ascii="Times New Roman" w:hAnsi="Times New Roman" w:cs="Times New Roman"/>
          <w:sz w:val="24"/>
          <w:szCs w:val="24"/>
        </w:rPr>
        <w:t>benefit analysis</w:t>
      </w:r>
      <w:r w:rsidR="00CA42A5" w:rsidRPr="00BD58C0">
        <w:rPr>
          <w:rFonts w:ascii="Times New Roman" w:hAnsi="Times New Roman" w:cs="Times New Roman"/>
          <w:sz w:val="24"/>
          <w:szCs w:val="24"/>
        </w:rPr>
        <w:t xml:space="preserve"> (LCCBA)</w:t>
      </w:r>
      <w:r w:rsidRPr="00BD58C0">
        <w:rPr>
          <w:rFonts w:ascii="Times New Roman" w:hAnsi="Times New Roman" w:cs="Times New Roman"/>
          <w:sz w:val="24"/>
          <w:szCs w:val="24"/>
        </w:rPr>
        <w:t xml:space="preserve"> </w:t>
      </w:r>
      <w:r w:rsidR="005E55D4" w:rsidRPr="00BD58C0">
        <w:rPr>
          <w:rFonts w:ascii="Times New Roman" w:hAnsi="Times New Roman" w:cs="Times New Roman"/>
          <w:sz w:val="24"/>
          <w:szCs w:val="24"/>
        </w:rPr>
        <w:t>on</w:t>
      </w:r>
      <w:r w:rsidRPr="00BD58C0">
        <w:rPr>
          <w:rFonts w:ascii="Times New Roman" w:hAnsi="Times New Roman" w:cs="Times New Roman"/>
          <w:sz w:val="24"/>
          <w:szCs w:val="24"/>
        </w:rPr>
        <w:t xml:space="preserve"> palm oil mill effluent treatment </w:t>
      </w:r>
    </w:p>
    <w:p w14:paraId="1540247B" w14:textId="00A2865A" w:rsidR="001A7476" w:rsidRPr="00BD58C0" w:rsidRDefault="001A7476" w:rsidP="00665D73">
      <w:pPr>
        <w:pStyle w:val="ListParagraph"/>
        <w:widowControl w:val="0"/>
        <w:numPr>
          <w:ilvl w:val="0"/>
          <w:numId w:val="19"/>
        </w:numPr>
        <w:tabs>
          <w:tab w:val="left" w:pos="820"/>
          <w:tab w:val="left" w:pos="821"/>
        </w:tabs>
        <w:autoSpaceDE w:val="0"/>
        <w:autoSpaceDN w:val="0"/>
        <w:spacing w:after="0" w:line="360" w:lineRule="auto"/>
        <w:ind w:right="104"/>
        <w:contextualSpacing w:val="0"/>
        <w:rPr>
          <w:rFonts w:ascii="Times New Roman" w:hAnsi="Times New Roman" w:cs="Times New Roman"/>
          <w:sz w:val="24"/>
          <w:szCs w:val="24"/>
        </w:rPr>
      </w:pPr>
      <w:r w:rsidRPr="00BD58C0">
        <w:rPr>
          <w:rFonts w:ascii="Times New Roman" w:hAnsi="Times New Roman" w:cs="Times New Roman"/>
          <w:sz w:val="24"/>
          <w:szCs w:val="24"/>
        </w:rPr>
        <w:t>Analytical hierarchy process</w:t>
      </w:r>
      <w:r w:rsidR="00CA42A5" w:rsidRPr="00BD58C0">
        <w:rPr>
          <w:rFonts w:ascii="Times New Roman" w:hAnsi="Times New Roman" w:cs="Times New Roman"/>
          <w:sz w:val="24"/>
          <w:szCs w:val="24"/>
        </w:rPr>
        <w:t xml:space="preserve"> (AHP)</w:t>
      </w:r>
      <w:r w:rsidRPr="00BD58C0">
        <w:rPr>
          <w:rFonts w:ascii="Times New Roman" w:hAnsi="Times New Roman" w:cs="Times New Roman"/>
          <w:sz w:val="24"/>
          <w:szCs w:val="24"/>
        </w:rPr>
        <w:t xml:space="preserve"> ranks policy options</w:t>
      </w:r>
    </w:p>
    <w:p w14:paraId="7599E288" w14:textId="00D0B2DE" w:rsidR="00B06248" w:rsidRPr="00BD58C0" w:rsidRDefault="00607359" w:rsidP="00665D73">
      <w:pPr>
        <w:pStyle w:val="ListParagraph"/>
        <w:widowControl w:val="0"/>
        <w:numPr>
          <w:ilvl w:val="0"/>
          <w:numId w:val="19"/>
        </w:numPr>
        <w:tabs>
          <w:tab w:val="left" w:pos="820"/>
          <w:tab w:val="left" w:pos="821"/>
        </w:tabs>
        <w:autoSpaceDE w:val="0"/>
        <w:autoSpaceDN w:val="0"/>
        <w:spacing w:after="0" w:line="360" w:lineRule="auto"/>
        <w:ind w:right="104"/>
        <w:contextualSpacing w:val="0"/>
        <w:rPr>
          <w:rFonts w:ascii="Times New Roman" w:hAnsi="Times New Roman" w:cs="Times New Roman"/>
          <w:sz w:val="24"/>
          <w:szCs w:val="24"/>
        </w:rPr>
      </w:pPr>
      <w:r w:rsidRPr="00BD58C0">
        <w:rPr>
          <w:rFonts w:ascii="Times New Roman" w:hAnsi="Times New Roman" w:cs="Times New Roman"/>
          <w:sz w:val="24"/>
          <w:szCs w:val="24"/>
        </w:rPr>
        <w:t xml:space="preserve">Combining </w:t>
      </w:r>
      <w:r w:rsidR="00CA42A5" w:rsidRPr="00BD58C0">
        <w:rPr>
          <w:rFonts w:ascii="Times New Roman" w:hAnsi="Times New Roman" w:cs="Times New Roman"/>
          <w:sz w:val="24"/>
          <w:szCs w:val="24"/>
        </w:rPr>
        <w:t>LCCBA</w:t>
      </w:r>
      <w:r w:rsidRPr="00BD58C0">
        <w:rPr>
          <w:rFonts w:ascii="Times New Roman" w:hAnsi="Times New Roman" w:cs="Times New Roman"/>
          <w:sz w:val="24"/>
          <w:szCs w:val="24"/>
        </w:rPr>
        <w:t xml:space="preserve"> and </w:t>
      </w:r>
      <w:r w:rsidR="00CA42A5" w:rsidRPr="00BD58C0">
        <w:rPr>
          <w:rFonts w:ascii="Times New Roman" w:hAnsi="Times New Roman" w:cs="Times New Roman"/>
          <w:sz w:val="24"/>
          <w:szCs w:val="24"/>
        </w:rPr>
        <w:t>AHP</w:t>
      </w:r>
      <w:r w:rsidRPr="00BD58C0">
        <w:rPr>
          <w:rFonts w:ascii="Times New Roman" w:hAnsi="Times New Roman" w:cs="Times New Roman"/>
          <w:sz w:val="24"/>
          <w:szCs w:val="24"/>
        </w:rPr>
        <w:t xml:space="preserve"> </w:t>
      </w:r>
      <w:r w:rsidR="001371D7" w:rsidRPr="00BD58C0">
        <w:rPr>
          <w:rFonts w:ascii="Times New Roman" w:hAnsi="Times New Roman" w:cs="Times New Roman"/>
          <w:sz w:val="24"/>
          <w:szCs w:val="24"/>
        </w:rPr>
        <w:t>offer</w:t>
      </w:r>
      <w:r w:rsidR="00655711" w:rsidRPr="00BD58C0">
        <w:rPr>
          <w:rFonts w:ascii="Times New Roman" w:hAnsi="Times New Roman" w:cs="Times New Roman"/>
          <w:sz w:val="24"/>
          <w:szCs w:val="24"/>
        </w:rPr>
        <w:t>s</w:t>
      </w:r>
      <w:r w:rsidRPr="00BD58C0">
        <w:rPr>
          <w:rFonts w:ascii="Times New Roman" w:hAnsi="Times New Roman" w:cs="Times New Roman"/>
          <w:sz w:val="24"/>
          <w:szCs w:val="24"/>
        </w:rPr>
        <w:t xml:space="preserve"> insights linking economic analysis </w:t>
      </w:r>
      <w:r w:rsidR="00B31E79" w:rsidRPr="00BD58C0">
        <w:rPr>
          <w:rFonts w:ascii="Times New Roman" w:hAnsi="Times New Roman" w:cs="Times New Roman"/>
          <w:sz w:val="24"/>
          <w:szCs w:val="24"/>
        </w:rPr>
        <w:t>&amp;</w:t>
      </w:r>
      <w:r w:rsidRPr="00BD58C0">
        <w:rPr>
          <w:rFonts w:ascii="Times New Roman" w:hAnsi="Times New Roman" w:cs="Times New Roman"/>
          <w:sz w:val="24"/>
          <w:szCs w:val="24"/>
        </w:rPr>
        <w:t xml:space="preserve"> policy options</w:t>
      </w:r>
    </w:p>
    <w:p w14:paraId="752A6A5F" w14:textId="77777777" w:rsidR="00665D73" w:rsidRPr="00BD58C0" w:rsidRDefault="00665D73" w:rsidP="007D66D4">
      <w:pPr>
        <w:spacing w:after="0" w:line="360" w:lineRule="auto"/>
        <w:jc w:val="both"/>
        <w:rPr>
          <w:rFonts w:ascii="Times New Roman" w:hAnsi="Times New Roman" w:cs="Times New Roman"/>
          <w:sz w:val="24"/>
          <w:szCs w:val="24"/>
        </w:rPr>
      </w:pPr>
    </w:p>
    <w:p w14:paraId="5906120F" w14:textId="592D216A" w:rsidR="00463870" w:rsidRPr="00BD58C0" w:rsidRDefault="00463870" w:rsidP="007D66D4">
      <w:pPr>
        <w:spacing w:after="0" w:line="360" w:lineRule="auto"/>
        <w:jc w:val="both"/>
        <w:rPr>
          <w:rFonts w:ascii="Times New Roman" w:hAnsi="Times New Roman" w:cs="Times New Roman"/>
          <w:sz w:val="24"/>
          <w:szCs w:val="24"/>
        </w:rPr>
      </w:pPr>
    </w:p>
    <w:p w14:paraId="3367D2D3" w14:textId="310FB109" w:rsidR="00665D73" w:rsidRPr="00BD58C0" w:rsidRDefault="00665D73" w:rsidP="007D66D4">
      <w:pPr>
        <w:spacing w:after="0" w:line="360" w:lineRule="auto"/>
        <w:jc w:val="both"/>
        <w:rPr>
          <w:rFonts w:ascii="Times New Roman" w:hAnsi="Times New Roman" w:cs="Times New Roman"/>
          <w:sz w:val="24"/>
          <w:szCs w:val="24"/>
        </w:rPr>
      </w:pPr>
    </w:p>
    <w:p w14:paraId="42076B94" w14:textId="31B6E748" w:rsidR="00665D73" w:rsidRPr="00BD58C0" w:rsidRDefault="00665D73" w:rsidP="007D66D4">
      <w:pPr>
        <w:spacing w:after="0" w:line="360" w:lineRule="auto"/>
        <w:jc w:val="both"/>
        <w:rPr>
          <w:rFonts w:ascii="Times New Roman" w:hAnsi="Times New Roman" w:cs="Times New Roman"/>
          <w:sz w:val="24"/>
          <w:szCs w:val="24"/>
        </w:rPr>
      </w:pPr>
    </w:p>
    <w:p w14:paraId="50D378D1" w14:textId="5BCEC496" w:rsidR="00665D73" w:rsidRPr="00BD58C0" w:rsidRDefault="00665D73" w:rsidP="007D66D4">
      <w:pPr>
        <w:spacing w:after="0" w:line="360" w:lineRule="auto"/>
        <w:jc w:val="both"/>
        <w:rPr>
          <w:rFonts w:ascii="Times New Roman" w:hAnsi="Times New Roman" w:cs="Times New Roman"/>
          <w:sz w:val="24"/>
          <w:szCs w:val="24"/>
        </w:rPr>
      </w:pPr>
    </w:p>
    <w:p w14:paraId="2658A674" w14:textId="29C15419" w:rsidR="00665D73" w:rsidRPr="00BD58C0" w:rsidRDefault="00665D73" w:rsidP="007D66D4">
      <w:pPr>
        <w:spacing w:after="0" w:line="360" w:lineRule="auto"/>
        <w:jc w:val="both"/>
        <w:rPr>
          <w:rFonts w:ascii="Times New Roman" w:hAnsi="Times New Roman" w:cs="Times New Roman"/>
          <w:sz w:val="24"/>
          <w:szCs w:val="24"/>
        </w:rPr>
      </w:pPr>
    </w:p>
    <w:p w14:paraId="78C3F97A" w14:textId="1146B895" w:rsidR="00665D73" w:rsidRPr="00BD58C0" w:rsidRDefault="00665D73" w:rsidP="007D66D4">
      <w:pPr>
        <w:spacing w:after="0" w:line="360" w:lineRule="auto"/>
        <w:jc w:val="both"/>
        <w:rPr>
          <w:rFonts w:ascii="Times New Roman" w:hAnsi="Times New Roman" w:cs="Times New Roman"/>
          <w:sz w:val="24"/>
          <w:szCs w:val="24"/>
        </w:rPr>
      </w:pPr>
    </w:p>
    <w:p w14:paraId="6123D7F6" w14:textId="3720DC2C" w:rsidR="00665D73" w:rsidRPr="00BD58C0" w:rsidRDefault="00665D73" w:rsidP="007D66D4">
      <w:pPr>
        <w:spacing w:after="0" w:line="360" w:lineRule="auto"/>
        <w:jc w:val="both"/>
        <w:rPr>
          <w:rFonts w:ascii="Times New Roman" w:hAnsi="Times New Roman" w:cs="Times New Roman"/>
          <w:sz w:val="24"/>
          <w:szCs w:val="24"/>
        </w:rPr>
      </w:pPr>
    </w:p>
    <w:p w14:paraId="02AB5BBB" w14:textId="02EABCF3" w:rsidR="00665D73" w:rsidRPr="00BD58C0" w:rsidRDefault="00665D73" w:rsidP="007D66D4">
      <w:pPr>
        <w:spacing w:after="0" w:line="360" w:lineRule="auto"/>
        <w:jc w:val="both"/>
        <w:rPr>
          <w:rFonts w:ascii="Times New Roman" w:hAnsi="Times New Roman" w:cs="Times New Roman"/>
          <w:sz w:val="24"/>
          <w:szCs w:val="24"/>
        </w:rPr>
      </w:pPr>
    </w:p>
    <w:p w14:paraId="025F699C" w14:textId="21633A0B" w:rsidR="00665D73" w:rsidRPr="00BD58C0" w:rsidRDefault="00665D73" w:rsidP="007D66D4">
      <w:pPr>
        <w:spacing w:after="0" w:line="360" w:lineRule="auto"/>
        <w:jc w:val="both"/>
        <w:rPr>
          <w:rFonts w:ascii="Times New Roman" w:hAnsi="Times New Roman" w:cs="Times New Roman"/>
          <w:sz w:val="24"/>
          <w:szCs w:val="24"/>
        </w:rPr>
      </w:pPr>
    </w:p>
    <w:p w14:paraId="76B688EF" w14:textId="53B020C9" w:rsidR="00665D73" w:rsidRPr="00BD58C0" w:rsidRDefault="00665D73" w:rsidP="007D66D4">
      <w:pPr>
        <w:spacing w:after="0" w:line="360" w:lineRule="auto"/>
        <w:jc w:val="both"/>
        <w:rPr>
          <w:rFonts w:ascii="Times New Roman" w:hAnsi="Times New Roman" w:cs="Times New Roman"/>
          <w:sz w:val="24"/>
          <w:szCs w:val="24"/>
        </w:rPr>
      </w:pPr>
    </w:p>
    <w:p w14:paraId="26E6AD17" w14:textId="7A8B1EAC" w:rsidR="00665D73" w:rsidRPr="00BD58C0" w:rsidRDefault="00665D73" w:rsidP="007D66D4">
      <w:pPr>
        <w:spacing w:after="0" w:line="360" w:lineRule="auto"/>
        <w:jc w:val="both"/>
        <w:rPr>
          <w:rFonts w:ascii="Times New Roman" w:hAnsi="Times New Roman" w:cs="Times New Roman"/>
          <w:sz w:val="24"/>
          <w:szCs w:val="24"/>
        </w:rPr>
      </w:pPr>
    </w:p>
    <w:p w14:paraId="4624AC16" w14:textId="07EAAEB9" w:rsidR="00665D73" w:rsidRPr="00BD58C0" w:rsidRDefault="00665D73" w:rsidP="007D66D4">
      <w:pPr>
        <w:spacing w:after="0" w:line="360" w:lineRule="auto"/>
        <w:jc w:val="both"/>
        <w:rPr>
          <w:rFonts w:ascii="Times New Roman" w:hAnsi="Times New Roman" w:cs="Times New Roman"/>
          <w:sz w:val="24"/>
          <w:szCs w:val="24"/>
        </w:rPr>
      </w:pPr>
    </w:p>
    <w:p w14:paraId="513DA3CE" w14:textId="44C2034E" w:rsidR="00665D73" w:rsidRPr="00BD58C0" w:rsidRDefault="00665D73" w:rsidP="007D66D4">
      <w:pPr>
        <w:spacing w:after="0" w:line="360" w:lineRule="auto"/>
        <w:jc w:val="both"/>
        <w:rPr>
          <w:rFonts w:ascii="Times New Roman" w:hAnsi="Times New Roman" w:cs="Times New Roman"/>
          <w:sz w:val="24"/>
          <w:szCs w:val="24"/>
        </w:rPr>
      </w:pPr>
    </w:p>
    <w:p w14:paraId="6205AFA2" w14:textId="0F2FD410" w:rsidR="00665D73" w:rsidRPr="00BD58C0" w:rsidRDefault="00665D73" w:rsidP="007D66D4">
      <w:pPr>
        <w:spacing w:after="0" w:line="360" w:lineRule="auto"/>
        <w:jc w:val="both"/>
        <w:rPr>
          <w:rFonts w:ascii="Times New Roman" w:hAnsi="Times New Roman" w:cs="Times New Roman"/>
          <w:sz w:val="24"/>
          <w:szCs w:val="24"/>
        </w:rPr>
      </w:pPr>
    </w:p>
    <w:p w14:paraId="38E7271B" w14:textId="16D4009E" w:rsidR="00665D73" w:rsidRPr="00BD58C0" w:rsidRDefault="00665D73" w:rsidP="007D66D4">
      <w:pPr>
        <w:spacing w:after="0" w:line="360" w:lineRule="auto"/>
        <w:jc w:val="both"/>
        <w:rPr>
          <w:rFonts w:ascii="Times New Roman" w:hAnsi="Times New Roman" w:cs="Times New Roman"/>
          <w:sz w:val="24"/>
          <w:szCs w:val="24"/>
        </w:rPr>
      </w:pPr>
    </w:p>
    <w:p w14:paraId="5E285DA7" w14:textId="4D9DA89B" w:rsidR="00665D73" w:rsidRPr="00BD58C0" w:rsidRDefault="00665D73" w:rsidP="007D66D4">
      <w:pPr>
        <w:spacing w:after="0" w:line="360" w:lineRule="auto"/>
        <w:jc w:val="both"/>
        <w:rPr>
          <w:rFonts w:ascii="Times New Roman" w:hAnsi="Times New Roman" w:cs="Times New Roman"/>
          <w:sz w:val="24"/>
          <w:szCs w:val="24"/>
        </w:rPr>
      </w:pPr>
    </w:p>
    <w:p w14:paraId="345A3374" w14:textId="0374A743" w:rsidR="00665D73" w:rsidRPr="00BD58C0" w:rsidRDefault="00665D73" w:rsidP="007D66D4">
      <w:pPr>
        <w:spacing w:after="0" w:line="360" w:lineRule="auto"/>
        <w:jc w:val="both"/>
        <w:rPr>
          <w:rFonts w:ascii="Times New Roman" w:hAnsi="Times New Roman" w:cs="Times New Roman"/>
          <w:sz w:val="24"/>
          <w:szCs w:val="24"/>
        </w:rPr>
      </w:pPr>
    </w:p>
    <w:p w14:paraId="2D4158B5" w14:textId="3EF4E767" w:rsidR="00665D73" w:rsidRPr="00BD58C0" w:rsidRDefault="00665D73" w:rsidP="007D66D4">
      <w:pPr>
        <w:spacing w:after="0" w:line="360" w:lineRule="auto"/>
        <w:jc w:val="both"/>
        <w:rPr>
          <w:rFonts w:ascii="Times New Roman" w:hAnsi="Times New Roman" w:cs="Times New Roman"/>
          <w:sz w:val="24"/>
          <w:szCs w:val="24"/>
        </w:rPr>
      </w:pPr>
    </w:p>
    <w:p w14:paraId="545E377A" w14:textId="05DCEF3F" w:rsidR="00665D73" w:rsidRPr="00BD58C0" w:rsidRDefault="00665D73" w:rsidP="007D66D4">
      <w:pPr>
        <w:spacing w:after="0" w:line="360" w:lineRule="auto"/>
        <w:jc w:val="both"/>
        <w:rPr>
          <w:rFonts w:ascii="Times New Roman" w:hAnsi="Times New Roman" w:cs="Times New Roman"/>
          <w:sz w:val="24"/>
          <w:szCs w:val="24"/>
        </w:rPr>
      </w:pPr>
    </w:p>
    <w:p w14:paraId="07D2F3B2" w14:textId="77777777" w:rsidR="00440A77" w:rsidRPr="00BD58C0" w:rsidRDefault="00440A77" w:rsidP="007D66D4">
      <w:pPr>
        <w:spacing w:after="0" w:line="360" w:lineRule="auto"/>
        <w:jc w:val="both"/>
        <w:rPr>
          <w:rFonts w:ascii="Times New Roman" w:hAnsi="Times New Roman" w:cs="Times New Roman"/>
          <w:sz w:val="24"/>
          <w:szCs w:val="24"/>
        </w:rPr>
      </w:pPr>
    </w:p>
    <w:p w14:paraId="2328016E" w14:textId="77777777" w:rsidR="00665D73" w:rsidRPr="00BD58C0" w:rsidRDefault="00665D73" w:rsidP="007D66D4">
      <w:pPr>
        <w:spacing w:after="0" w:line="360" w:lineRule="auto"/>
        <w:jc w:val="both"/>
        <w:rPr>
          <w:rFonts w:ascii="Times New Roman" w:hAnsi="Times New Roman" w:cs="Times New Roman"/>
          <w:sz w:val="24"/>
          <w:szCs w:val="24"/>
        </w:rPr>
      </w:pPr>
    </w:p>
    <w:p w14:paraId="13782D31" w14:textId="5E5BE67D" w:rsidR="00D163DF" w:rsidRPr="00BD58C0" w:rsidRDefault="006676C0" w:rsidP="000F4E2E">
      <w:pPr>
        <w:spacing w:after="0" w:line="480" w:lineRule="auto"/>
        <w:rPr>
          <w:rFonts w:ascii="Times New Roman" w:hAnsi="Times New Roman" w:cs="Times New Roman"/>
          <w:sz w:val="24"/>
          <w:szCs w:val="24"/>
        </w:rPr>
      </w:pPr>
      <w:r w:rsidRPr="00BD58C0">
        <w:rPr>
          <w:rFonts w:ascii="Times New Roman" w:hAnsi="Times New Roman" w:cs="Times New Roman"/>
          <w:sz w:val="24"/>
          <w:szCs w:val="24"/>
        </w:rPr>
        <w:t xml:space="preserve">Keywords: </w:t>
      </w:r>
      <w:r w:rsidR="00913D4F" w:rsidRPr="00BD58C0">
        <w:rPr>
          <w:rFonts w:ascii="Times New Roman" w:hAnsi="Times New Roman" w:cs="Times New Roman"/>
          <w:sz w:val="24"/>
          <w:szCs w:val="24"/>
        </w:rPr>
        <w:t>Analytic</w:t>
      </w:r>
      <w:r w:rsidR="008F18A3" w:rsidRPr="00BD58C0">
        <w:rPr>
          <w:rFonts w:ascii="Times New Roman" w:hAnsi="Times New Roman" w:cs="Times New Roman"/>
          <w:sz w:val="24"/>
          <w:szCs w:val="24"/>
        </w:rPr>
        <w:t>al</w:t>
      </w:r>
      <w:r w:rsidR="00913D4F" w:rsidRPr="00BD58C0">
        <w:rPr>
          <w:rFonts w:ascii="Times New Roman" w:hAnsi="Times New Roman" w:cs="Times New Roman"/>
          <w:sz w:val="24"/>
          <w:szCs w:val="24"/>
        </w:rPr>
        <w:t xml:space="preserve"> hierarchy process, Biogas, </w:t>
      </w:r>
      <w:r w:rsidR="00D163DF" w:rsidRPr="00BD58C0">
        <w:rPr>
          <w:rFonts w:ascii="Times New Roman" w:hAnsi="Times New Roman" w:cs="Times New Roman"/>
          <w:sz w:val="24"/>
          <w:szCs w:val="24"/>
        </w:rPr>
        <w:t>Economic analysis</w:t>
      </w:r>
      <w:r w:rsidR="00913D4F" w:rsidRPr="00BD58C0">
        <w:rPr>
          <w:rFonts w:ascii="Times New Roman" w:hAnsi="Times New Roman" w:cs="Times New Roman"/>
          <w:sz w:val="24"/>
          <w:szCs w:val="24"/>
        </w:rPr>
        <w:t>,</w:t>
      </w:r>
      <w:r w:rsidR="00463870" w:rsidRPr="00BD58C0">
        <w:rPr>
          <w:rFonts w:ascii="Times New Roman" w:hAnsi="Times New Roman" w:cs="Times New Roman"/>
          <w:sz w:val="24"/>
          <w:szCs w:val="24"/>
        </w:rPr>
        <w:t xml:space="preserve"> Multi criteria </w:t>
      </w:r>
      <w:r w:rsidR="00F335E8" w:rsidRPr="00BD58C0">
        <w:rPr>
          <w:rFonts w:ascii="Times New Roman" w:hAnsi="Times New Roman" w:cs="Times New Roman"/>
          <w:sz w:val="24"/>
          <w:szCs w:val="24"/>
        </w:rPr>
        <w:t>analysis</w:t>
      </w:r>
      <w:r w:rsidR="00463870" w:rsidRPr="00BD58C0">
        <w:rPr>
          <w:rFonts w:ascii="Times New Roman" w:hAnsi="Times New Roman" w:cs="Times New Roman"/>
          <w:sz w:val="24"/>
          <w:szCs w:val="24"/>
        </w:rPr>
        <w:t>,</w:t>
      </w:r>
      <w:r w:rsidR="00913D4F" w:rsidRPr="00BD58C0">
        <w:rPr>
          <w:rFonts w:ascii="Times New Roman" w:hAnsi="Times New Roman" w:cs="Times New Roman"/>
          <w:sz w:val="24"/>
          <w:szCs w:val="24"/>
        </w:rPr>
        <w:t xml:space="preserve"> </w:t>
      </w:r>
      <w:r w:rsidR="00FB5B17" w:rsidRPr="00BD58C0">
        <w:rPr>
          <w:rFonts w:ascii="Times New Roman" w:hAnsi="Times New Roman" w:cs="Times New Roman"/>
          <w:sz w:val="24"/>
          <w:szCs w:val="24"/>
        </w:rPr>
        <w:t xml:space="preserve">Policy, </w:t>
      </w:r>
      <w:r w:rsidR="00247FE8" w:rsidRPr="00BD58C0">
        <w:rPr>
          <w:rFonts w:ascii="Times New Roman" w:hAnsi="Times New Roman" w:cs="Times New Roman"/>
          <w:sz w:val="24"/>
          <w:szCs w:val="24"/>
        </w:rPr>
        <w:t>Renewable energy</w:t>
      </w:r>
    </w:p>
    <w:p w14:paraId="047B1DCF" w14:textId="046BDC46" w:rsidR="00B77657" w:rsidRPr="00BD58C0" w:rsidRDefault="002331AF" w:rsidP="000F4E2E">
      <w:pPr>
        <w:spacing w:after="0" w:line="480" w:lineRule="auto"/>
        <w:rPr>
          <w:rFonts w:ascii="Times New Roman" w:hAnsi="Times New Roman" w:cs="Times New Roman"/>
          <w:sz w:val="24"/>
          <w:szCs w:val="24"/>
        </w:rPr>
      </w:pPr>
      <w:r w:rsidRPr="009F1B00">
        <w:rPr>
          <w:rFonts w:ascii="Times New Roman" w:hAnsi="Times New Roman" w:cs="Times New Roman"/>
          <w:sz w:val="24"/>
          <w:szCs w:val="24"/>
        </w:rPr>
        <w:t xml:space="preserve">Word count: </w:t>
      </w:r>
      <w:r w:rsidR="00F77EDC" w:rsidRPr="009F1B00">
        <w:rPr>
          <w:rFonts w:ascii="Times New Roman" w:hAnsi="Times New Roman" w:cs="Times New Roman"/>
          <w:sz w:val="24"/>
          <w:szCs w:val="24"/>
        </w:rPr>
        <w:t>8,</w:t>
      </w:r>
      <w:r w:rsidR="00760954" w:rsidRPr="009F1B00">
        <w:rPr>
          <w:rFonts w:ascii="Times New Roman" w:hAnsi="Times New Roman" w:cs="Times New Roman"/>
          <w:sz w:val="24"/>
          <w:szCs w:val="24"/>
        </w:rPr>
        <w:t>4</w:t>
      </w:r>
      <w:r w:rsidR="009F1B00" w:rsidRPr="009F1B00">
        <w:rPr>
          <w:rFonts w:ascii="Times New Roman" w:hAnsi="Times New Roman" w:cs="Times New Roman"/>
          <w:sz w:val="24"/>
          <w:szCs w:val="24"/>
        </w:rPr>
        <w:t>27</w:t>
      </w:r>
      <w:r w:rsidR="00A7776B" w:rsidRPr="009F1B00">
        <w:rPr>
          <w:rFonts w:ascii="Times New Roman" w:hAnsi="Times New Roman" w:cs="Times New Roman"/>
          <w:sz w:val="24"/>
          <w:szCs w:val="24"/>
        </w:rPr>
        <w:t xml:space="preserve"> words</w:t>
      </w:r>
    </w:p>
    <w:p w14:paraId="1764E6D2" w14:textId="06BA2CE1" w:rsidR="00EE3E65" w:rsidRPr="00BD58C0" w:rsidRDefault="00EE3E65" w:rsidP="000F4E2E">
      <w:pPr>
        <w:spacing w:after="0" w:line="480" w:lineRule="auto"/>
        <w:rPr>
          <w:rFonts w:ascii="Times New Roman" w:hAnsi="Times New Roman" w:cs="Times New Roman"/>
          <w:b/>
          <w:bCs/>
          <w:sz w:val="24"/>
          <w:szCs w:val="24"/>
        </w:rPr>
      </w:pPr>
      <w:r w:rsidRPr="00BD58C0">
        <w:rPr>
          <w:rFonts w:ascii="Times New Roman" w:hAnsi="Times New Roman" w:cs="Times New Roman"/>
          <w:b/>
          <w:bCs/>
          <w:sz w:val="24"/>
          <w:szCs w:val="24"/>
        </w:rPr>
        <w:lastRenderedPageBreak/>
        <w:t>Abbreviations</w:t>
      </w:r>
    </w:p>
    <w:tbl>
      <w:tblPr>
        <w:tblStyle w:val="PlainTable21"/>
        <w:tblW w:w="0" w:type="auto"/>
        <w:tblLook w:val="0680" w:firstRow="0" w:lastRow="0" w:firstColumn="1" w:lastColumn="0" w:noHBand="1" w:noVBand="1"/>
      </w:tblPr>
      <w:tblGrid>
        <w:gridCol w:w="2410"/>
        <w:gridCol w:w="5103"/>
      </w:tblGrid>
      <w:tr w:rsidR="00BD58C0" w:rsidRPr="00BD58C0" w14:paraId="5F00D57A"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67F004F" w14:textId="3C75B3A3"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POMs</w:t>
            </w:r>
          </w:p>
        </w:tc>
        <w:tc>
          <w:tcPr>
            <w:tcW w:w="5103" w:type="dxa"/>
          </w:tcPr>
          <w:p w14:paraId="313BD255" w14:textId="38C81B0D"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Palm oil mills</w:t>
            </w:r>
          </w:p>
        </w:tc>
      </w:tr>
      <w:tr w:rsidR="00BD58C0" w:rsidRPr="00BD58C0" w14:paraId="49B260C7"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E0A97EA" w14:textId="0EDA2614"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POME</w:t>
            </w:r>
          </w:p>
        </w:tc>
        <w:tc>
          <w:tcPr>
            <w:tcW w:w="5103" w:type="dxa"/>
          </w:tcPr>
          <w:p w14:paraId="3772C9BE" w14:textId="629CEC39"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Palm oil mill effluent</w:t>
            </w:r>
          </w:p>
        </w:tc>
      </w:tr>
      <w:tr w:rsidR="00BD58C0" w:rsidRPr="00BD58C0" w14:paraId="6AEDE30B"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B379B91" w14:textId="7E7D5AFF"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CO</w:t>
            </w:r>
            <w:r w:rsidRPr="00BD58C0">
              <w:rPr>
                <w:rFonts w:ascii="Times New Roman" w:hAnsi="Times New Roman" w:cs="Times New Roman"/>
                <w:b w:val="0"/>
                <w:bCs w:val="0"/>
                <w:sz w:val="24"/>
                <w:szCs w:val="24"/>
                <w:vertAlign w:val="subscript"/>
              </w:rPr>
              <w:t>2</w:t>
            </w:r>
          </w:p>
        </w:tc>
        <w:tc>
          <w:tcPr>
            <w:tcW w:w="5103" w:type="dxa"/>
          </w:tcPr>
          <w:p w14:paraId="7F57EB61" w14:textId="2572CF6C"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Carbon dioxide</w:t>
            </w:r>
          </w:p>
        </w:tc>
      </w:tr>
      <w:tr w:rsidR="00BD58C0" w:rsidRPr="00BD58C0" w14:paraId="2C60C8F9"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32C121C" w14:textId="6F49E89C"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LCCBA</w:t>
            </w:r>
          </w:p>
        </w:tc>
        <w:tc>
          <w:tcPr>
            <w:tcW w:w="5103" w:type="dxa"/>
          </w:tcPr>
          <w:p w14:paraId="0CBF926B" w14:textId="055D61A8"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Life cycle cost-benefit analysis</w:t>
            </w:r>
          </w:p>
        </w:tc>
      </w:tr>
      <w:tr w:rsidR="00BD58C0" w:rsidRPr="00BD58C0" w14:paraId="69D09A6F"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80AB17B" w14:textId="6C307B73"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LCC</w:t>
            </w:r>
          </w:p>
        </w:tc>
        <w:tc>
          <w:tcPr>
            <w:tcW w:w="5103" w:type="dxa"/>
          </w:tcPr>
          <w:p w14:paraId="6D4777EC" w14:textId="6ED8EA17"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Life cycle cost</w:t>
            </w:r>
          </w:p>
        </w:tc>
      </w:tr>
      <w:tr w:rsidR="00BD58C0" w:rsidRPr="00BD58C0" w14:paraId="5CC8663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2C17E5A" w14:textId="1287BD3B" w:rsidR="00D07798" w:rsidRPr="00BD58C0" w:rsidRDefault="00EE3E6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CBA</w:t>
            </w:r>
          </w:p>
        </w:tc>
        <w:tc>
          <w:tcPr>
            <w:tcW w:w="5103" w:type="dxa"/>
          </w:tcPr>
          <w:p w14:paraId="5418F6FF" w14:textId="243AFB8E" w:rsidR="00D07798" w:rsidRPr="00BD58C0" w:rsidRDefault="00EE3E6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w:t>
            </w:r>
            <w:r w:rsidR="001606A5">
              <w:rPr>
                <w:rFonts w:ascii="Times New Roman" w:hAnsi="Times New Roman" w:cs="Times New Roman"/>
                <w:sz w:val="24"/>
                <w:szCs w:val="24"/>
              </w:rPr>
              <w:t>-</w:t>
            </w:r>
            <w:r w:rsidRPr="00BD58C0">
              <w:rPr>
                <w:rFonts w:ascii="Times New Roman" w:hAnsi="Times New Roman" w:cs="Times New Roman"/>
                <w:sz w:val="24"/>
                <w:szCs w:val="24"/>
              </w:rPr>
              <w:t>benefit analysis</w:t>
            </w:r>
          </w:p>
        </w:tc>
      </w:tr>
      <w:tr w:rsidR="00BD58C0" w:rsidRPr="00BD58C0" w14:paraId="569B3A1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F06F539" w14:textId="2D462DDF" w:rsidR="00D07798"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CLB</w:t>
            </w:r>
          </w:p>
        </w:tc>
        <w:tc>
          <w:tcPr>
            <w:tcW w:w="5103" w:type="dxa"/>
          </w:tcPr>
          <w:p w14:paraId="18FA54FD" w14:textId="457AFBFB" w:rsidR="00D07798"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Covered lagoon bio-digester</w:t>
            </w:r>
          </w:p>
        </w:tc>
      </w:tr>
      <w:tr w:rsidR="00BD58C0" w:rsidRPr="00BD58C0" w14:paraId="22429D73"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C1139F6" w14:textId="36246900" w:rsidR="00D07798"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CSTR</w:t>
            </w:r>
          </w:p>
        </w:tc>
        <w:tc>
          <w:tcPr>
            <w:tcW w:w="5103" w:type="dxa"/>
          </w:tcPr>
          <w:p w14:paraId="5BE95A86" w14:textId="16F40F7F" w:rsidR="00D07798"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Continuous stirred tank reactor</w:t>
            </w:r>
          </w:p>
        </w:tc>
      </w:tr>
      <w:tr w:rsidR="00BD58C0" w:rsidRPr="00BD58C0" w14:paraId="732A780D"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B7AC271" w14:textId="648FD55E" w:rsidR="005D7F4A"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AHP</w:t>
            </w:r>
          </w:p>
        </w:tc>
        <w:tc>
          <w:tcPr>
            <w:tcW w:w="5103" w:type="dxa"/>
          </w:tcPr>
          <w:p w14:paraId="6F8241FD" w14:textId="3D34E2A4" w:rsidR="005D7F4A"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Analytic</w:t>
            </w:r>
            <w:r w:rsidR="00BA7382" w:rsidRPr="00BD58C0">
              <w:rPr>
                <w:rFonts w:ascii="Times New Roman" w:hAnsi="Times New Roman" w:cs="Times New Roman"/>
                <w:sz w:val="24"/>
                <w:szCs w:val="24"/>
              </w:rPr>
              <w:t>al</w:t>
            </w:r>
            <w:r w:rsidRPr="00BD58C0">
              <w:rPr>
                <w:rFonts w:ascii="Times New Roman" w:hAnsi="Times New Roman" w:cs="Times New Roman"/>
                <w:sz w:val="24"/>
                <w:szCs w:val="24"/>
              </w:rPr>
              <w:t xml:space="preserve"> </w:t>
            </w:r>
            <w:r w:rsidR="00211A49" w:rsidRPr="00BD58C0">
              <w:rPr>
                <w:rFonts w:ascii="Times New Roman" w:hAnsi="Times New Roman" w:cs="Times New Roman"/>
                <w:sz w:val="24"/>
                <w:szCs w:val="24"/>
              </w:rPr>
              <w:t>h</w:t>
            </w:r>
            <w:r w:rsidRPr="00BD58C0">
              <w:rPr>
                <w:rFonts w:ascii="Times New Roman" w:hAnsi="Times New Roman" w:cs="Times New Roman"/>
                <w:sz w:val="24"/>
                <w:szCs w:val="24"/>
              </w:rPr>
              <w:t xml:space="preserve">ierarchy </w:t>
            </w:r>
            <w:r w:rsidR="00211A49" w:rsidRPr="00BD58C0">
              <w:rPr>
                <w:rFonts w:ascii="Times New Roman" w:hAnsi="Times New Roman" w:cs="Times New Roman"/>
                <w:sz w:val="24"/>
                <w:szCs w:val="24"/>
              </w:rPr>
              <w:t>p</w:t>
            </w:r>
            <w:r w:rsidRPr="00BD58C0">
              <w:rPr>
                <w:rFonts w:ascii="Times New Roman" w:hAnsi="Times New Roman" w:cs="Times New Roman"/>
                <w:sz w:val="24"/>
                <w:szCs w:val="24"/>
              </w:rPr>
              <w:t>rocess</w:t>
            </w:r>
          </w:p>
        </w:tc>
      </w:tr>
      <w:tr w:rsidR="00BD58C0" w:rsidRPr="00BD58C0" w14:paraId="21F38D5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E1C4210" w14:textId="7A0F565C" w:rsidR="005D7F4A"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LCA</w:t>
            </w:r>
          </w:p>
        </w:tc>
        <w:tc>
          <w:tcPr>
            <w:tcW w:w="5103" w:type="dxa"/>
          </w:tcPr>
          <w:p w14:paraId="2D1F39A7" w14:textId="411E8CC9" w:rsidR="005D7F4A"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Life cycle assessment</w:t>
            </w:r>
          </w:p>
        </w:tc>
      </w:tr>
      <w:tr w:rsidR="00BD58C0" w:rsidRPr="00BD58C0" w14:paraId="7A7D396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764910A" w14:textId="71D9C332" w:rsidR="005D7F4A"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ROI</w:t>
            </w:r>
          </w:p>
        </w:tc>
        <w:tc>
          <w:tcPr>
            <w:tcW w:w="5103" w:type="dxa"/>
          </w:tcPr>
          <w:p w14:paraId="281CF8B0" w14:textId="23489C47" w:rsidR="005D7F4A"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Return on investment</w:t>
            </w:r>
          </w:p>
        </w:tc>
      </w:tr>
      <w:tr w:rsidR="00BD58C0" w:rsidRPr="00BD58C0" w14:paraId="333C8D69"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24666D3C" w14:textId="7142B593"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 xml:space="preserve">PP </w:t>
            </w:r>
          </w:p>
        </w:tc>
        <w:tc>
          <w:tcPr>
            <w:tcW w:w="5103" w:type="dxa"/>
          </w:tcPr>
          <w:p w14:paraId="08795EF5" w14:textId="3F2A27EA"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Payback period</w:t>
            </w:r>
          </w:p>
        </w:tc>
      </w:tr>
      <w:tr w:rsidR="00BD58C0" w:rsidRPr="00BD58C0" w14:paraId="123364D1"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A44AC34" w14:textId="6A230513"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NPV</w:t>
            </w:r>
          </w:p>
        </w:tc>
        <w:tc>
          <w:tcPr>
            <w:tcW w:w="5103" w:type="dxa"/>
          </w:tcPr>
          <w:p w14:paraId="078EF400" w14:textId="68B94EA7"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Net present value</w:t>
            </w:r>
          </w:p>
        </w:tc>
      </w:tr>
      <w:tr w:rsidR="00BD58C0" w:rsidRPr="00BD58C0" w14:paraId="027F078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BCFF075" w14:textId="3C90335A"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IRR</w:t>
            </w:r>
          </w:p>
        </w:tc>
        <w:tc>
          <w:tcPr>
            <w:tcW w:w="5103" w:type="dxa"/>
          </w:tcPr>
          <w:p w14:paraId="334894BE" w14:textId="0E87226B"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Internal rate of return</w:t>
            </w:r>
          </w:p>
        </w:tc>
      </w:tr>
      <w:tr w:rsidR="00BD58C0" w:rsidRPr="00BD58C0" w14:paraId="6F4088E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8AE766A" w14:textId="0265AAB0" w:rsidR="001A4A3A" w:rsidRPr="00BD58C0" w:rsidRDefault="001A4A3A"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USD</w:t>
            </w:r>
          </w:p>
        </w:tc>
        <w:tc>
          <w:tcPr>
            <w:tcW w:w="5103" w:type="dxa"/>
          </w:tcPr>
          <w:p w14:paraId="780191BA" w14:textId="055DB997" w:rsidR="001A4A3A" w:rsidRPr="00BD58C0" w:rsidRDefault="001A4A3A"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United States Dollar</w:t>
            </w:r>
          </w:p>
        </w:tc>
      </w:tr>
      <w:tr w:rsidR="00BD58C0" w:rsidRPr="00BD58C0" w14:paraId="2EE12449"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9A43478" w14:textId="2E62D876"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EQA</w:t>
            </w:r>
          </w:p>
        </w:tc>
        <w:tc>
          <w:tcPr>
            <w:tcW w:w="5103" w:type="dxa"/>
          </w:tcPr>
          <w:p w14:paraId="4B7DA99F" w14:textId="2116FF82"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Environmental Quality Act</w:t>
            </w:r>
          </w:p>
        </w:tc>
      </w:tr>
      <w:tr w:rsidR="00BD58C0" w:rsidRPr="00BD58C0" w14:paraId="4DCE5A11"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097A3E4" w14:textId="2228BB26"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DOE</w:t>
            </w:r>
          </w:p>
        </w:tc>
        <w:tc>
          <w:tcPr>
            <w:tcW w:w="5103" w:type="dxa"/>
          </w:tcPr>
          <w:p w14:paraId="64773F90" w14:textId="0FA06272"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Department of Environment</w:t>
            </w:r>
          </w:p>
        </w:tc>
      </w:tr>
      <w:tr w:rsidR="00BD58C0" w:rsidRPr="00BD58C0" w14:paraId="32ABF9C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71E40FB" w14:textId="77CCFC06"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MPOB</w:t>
            </w:r>
          </w:p>
        </w:tc>
        <w:tc>
          <w:tcPr>
            <w:tcW w:w="5103" w:type="dxa"/>
          </w:tcPr>
          <w:p w14:paraId="7EAFA077" w14:textId="0DED5E28"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Malaysian Palm Oil Board</w:t>
            </w:r>
          </w:p>
        </w:tc>
      </w:tr>
      <w:tr w:rsidR="00BD58C0" w:rsidRPr="00BD58C0" w14:paraId="6D91188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FBCDAA8" w14:textId="414DFC7D"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MIDA</w:t>
            </w:r>
          </w:p>
        </w:tc>
        <w:tc>
          <w:tcPr>
            <w:tcW w:w="5103" w:type="dxa"/>
          </w:tcPr>
          <w:p w14:paraId="3B1D4948" w14:textId="67DC2299"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Malaysian Investment Development Authority</w:t>
            </w:r>
          </w:p>
        </w:tc>
      </w:tr>
      <w:tr w:rsidR="00BD58C0" w:rsidRPr="00BD58C0" w14:paraId="0E2F2DC4"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8DFFE85" w14:textId="5962208C" w:rsidR="00964906" w:rsidRPr="00BD58C0" w:rsidRDefault="0096490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ITA</w:t>
            </w:r>
          </w:p>
        </w:tc>
        <w:tc>
          <w:tcPr>
            <w:tcW w:w="5103" w:type="dxa"/>
          </w:tcPr>
          <w:p w14:paraId="74341C50" w14:textId="7ECAE3B5" w:rsidR="00964906" w:rsidRPr="00BD58C0" w:rsidRDefault="00964906"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Investment tax allowance</w:t>
            </w:r>
          </w:p>
        </w:tc>
      </w:tr>
      <w:tr w:rsidR="00BD58C0" w:rsidRPr="00BD58C0" w14:paraId="711C2E15"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558DA1B" w14:textId="2BCAE8A1" w:rsidR="00964906" w:rsidRPr="00BD58C0" w:rsidRDefault="00964906" w:rsidP="00EB2472">
            <w:pPr>
              <w:spacing w:line="360" w:lineRule="auto"/>
              <w:rPr>
                <w:rFonts w:ascii="Times New Roman" w:hAnsi="Times New Roman" w:cs="Times New Roman"/>
                <w:b w:val="0"/>
                <w:bCs w:val="0"/>
                <w:sz w:val="24"/>
                <w:szCs w:val="24"/>
              </w:rPr>
            </w:pPr>
            <w:proofErr w:type="spellStart"/>
            <w:r w:rsidRPr="00BD58C0">
              <w:rPr>
                <w:rFonts w:ascii="Times New Roman" w:hAnsi="Times New Roman" w:cs="Times New Roman"/>
                <w:b w:val="0"/>
                <w:bCs w:val="0"/>
                <w:sz w:val="24"/>
                <w:szCs w:val="24"/>
              </w:rPr>
              <w:t>FiT</w:t>
            </w:r>
            <w:proofErr w:type="spellEnd"/>
          </w:p>
        </w:tc>
        <w:tc>
          <w:tcPr>
            <w:tcW w:w="5103" w:type="dxa"/>
          </w:tcPr>
          <w:p w14:paraId="0CB40478" w14:textId="3182EA69" w:rsidR="00964906" w:rsidRPr="00BD58C0" w:rsidRDefault="000A56BB"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F</w:t>
            </w:r>
            <w:r w:rsidR="00964906" w:rsidRPr="00BD58C0">
              <w:rPr>
                <w:rFonts w:ascii="Times New Roman" w:hAnsi="Times New Roman" w:cs="Times New Roman"/>
                <w:sz w:val="24"/>
                <w:szCs w:val="24"/>
              </w:rPr>
              <w:t>eed-in tariff</w:t>
            </w:r>
          </w:p>
        </w:tc>
      </w:tr>
      <w:tr w:rsidR="00BD58C0" w:rsidRPr="00BD58C0" w14:paraId="214F324E"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1C3D608" w14:textId="56B1F34D" w:rsidR="00260C70" w:rsidRPr="00BD58C0" w:rsidRDefault="00260C70" w:rsidP="00EB2472">
            <w:pPr>
              <w:spacing w:line="360" w:lineRule="auto"/>
              <w:rPr>
                <w:rFonts w:ascii="Times New Roman" w:hAnsi="Times New Roman" w:cs="Times New Roman"/>
                <w:b w:val="0"/>
                <w:bCs w:val="0"/>
                <w:sz w:val="24"/>
                <w:szCs w:val="24"/>
              </w:rPr>
            </w:pPr>
            <w:r w:rsidRPr="00BD58C0">
              <w:rPr>
                <w:rFonts w:ascii="Times New Roman" w:eastAsiaTheme="minorEastAsia" w:hAnsi="Times New Roman" w:cs="Times New Roman"/>
                <w:b w:val="0"/>
                <w:bCs w:val="0"/>
                <w:iCs/>
                <w:sz w:val="24"/>
                <w:szCs w:val="24"/>
              </w:rPr>
              <w:t>MW</w:t>
            </w:r>
          </w:p>
        </w:tc>
        <w:tc>
          <w:tcPr>
            <w:tcW w:w="5103" w:type="dxa"/>
          </w:tcPr>
          <w:p w14:paraId="50F6A61B" w14:textId="03CFB741" w:rsidR="00260C70" w:rsidRPr="00BD58C0" w:rsidRDefault="00260C70"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eastAsiaTheme="minorEastAsia" w:hAnsi="Times New Roman" w:cs="Times New Roman"/>
                <w:iCs/>
                <w:sz w:val="24"/>
                <w:szCs w:val="24"/>
                <w:lang w:val="en-US"/>
              </w:rPr>
              <w:t xml:space="preserve">Megawatt </w:t>
            </w:r>
          </w:p>
        </w:tc>
      </w:tr>
      <w:tr w:rsidR="00BD58C0" w:rsidRPr="00BD58C0" w14:paraId="67353C1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9B38DD6" w14:textId="3DB9E8A2" w:rsidR="00260C70" w:rsidRPr="00BD58C0" w:rsidRDefault="00260C70"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JKR</w:t>
            </w:r>
          </w:p>
        </w:tc>
        <w:tc>
          <w:tcPr>
            <w:tcW w:w="5103" w:type="dxa"/>
          </w:tcPr>
          <w:p w14:paraId="28553093" w14:textId="201E64A1" w:rsidR="00260C70" w:rsidRPr="00BD58C0" w:rsidRDefault="00260C70"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BD58C0">
              <w:rPr>
                <w:rFonts w:ascii="Times New Roman" w:hAnsi="Times New Roman" w:cs="Times New Roman"/>
                <w:sz w:val="24"/>
                <w:szCs w:val="24"/>
              </w:rPr>
              <w:t>Jabatan</w:t>
            </w:r>
            <w:proofErr w:type="spellEnd"/>
            <w:r w:rsidRPr="00BD58C0">
              <w:rPr>
                <w:rFonts w:ascii="Times New Roman" w:hAnsi="Times New Roman" w:cs="Times New Roman"/>
                <w:sz w:val="24"/>
                <w:szCs w:val="24"/>
              </w:rPr>
              <w:t xml:space="preserve"> </w:t>
            </w:r>
            <w:proofErr w:type="spellStart"/>
            <w:r w:rsidRPr="00BD58C0">
              <w:rPr>
                <w:rFonts w:ascii="Times New Roman" w:hAnsi="Times New Roman" w:cs="Times New Roman"/>
                <w:sz w:val="24"/>
                <w:szCs w:val="24"/>
              </w:rPr>
              <w:t>Kerja</w:t>
            </w:r>
            <w:proofErr w:type="spellEnd"/>
            <w:r w:rsidRPr="00BD58C0">
              <w:rPr>
                <w:rFonts w:ascii="Times New Roman" w:hAnsi="Times New Roman" w:cs="Times New Roman"/>
                <w:sz w:val="24"/>
                <w:szCs w:val="24"/>
              </w:rPr>
              <w:t xml:space="preserve"> Raya</w:t>
            </w:r>
          </w:p>
        </w:tc>
      </w:tr>
      <w:tr w:rsidR="00BD58C0" w:rsidRPr="00BD58C0" w14:paraId="6887706D"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F965698" w14:textId="12818B1A" w:rsidR="00260C70" w:rsidRPr="00BD58C0" w:rsidRDefault="00260C70"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kWh</w:t>
            </w:r>
          </w:p>
        </w:tc>
        <w:tc>
          <w:tcPr>
            <w:tcW w:w="5103" w:type="dxa"/>
          </w:tcPr>
          <w:p w14:paraId="5584F3BD" w14:textId="00ED0B1C" w:rsidR="00260C70" w:rsidRPr="00BD58C0" w:rsidRDefault="00C050EA"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kilowatt-</w:t>
            </w:r>
            <w:r w:rsidR="00260C70" w:rsidRPr="00BD58C0">
              <w:rPr>
                <w:rFonts w:ascii="Times New Roman" w:hAnsi="Times New Roman" w:cs="Times New Roman"/>
                <w:sz w:val="24"/>
                <w:szCs w:val="24"/>
              </w:rPr>
              <w:t>hour</w:t>
            </w:r>
          </w:p>
        </w:tc>
      </w:tr>
      <w:tr w:rsidR="00BD58C0" w:rsidRPr="00BD58C0" w14:paraId="3BEA1ACA"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B3B2007" w14:textId="243AC1D3" w:rsidR="004948A8" w:rsidRPr="00BD58C0" w:rsidRDefault="004948A8" w:rsidP="00EB2472">
            <w:pPr>
              <w:spacing w:line="360" w:lineRule="auto"/>
              <w:rPr>
                <w:rFonts w:ascii="Times New Roman" w:hAnsi="Times New Roman" w:cs="Times New Roman"/>
                <w:b w:val="0"/>
                <w:bCs w:val="0"/>
                <w:sz w:val="24"/>
                <w:szCs w:val="24"/>
                <w:vertAlign w:val="subscript"/>
              </w:rPr>
            </w:pPr>
            <w:r w:rsidRPr="00BD58C0">
              <w:rPr>
                <w:rFonts w:ascii="Times New Roman" w:hAnsi="Times New Roman" w:cs="Times New Roman"/>
                <w:b w:val="0"/>
                <w:bCs w:val="0"/>
                <w:sz w:val="24"/>
                <w:szCs w:val="24"/>
              </w:rPr>
              <w:t>C</w:t>
            </w:r>
            <w:r w:rsidRPr="00BD58C0">
              <w:rPr>
                <w:rFonts w:ascii="Times New Roman" w:hAnsi="Times New Roman" w:cs="Times New Roman"/>
                <w:b w:val="0"/>
                <w:bCs w:val="0"/>
                <w:sz w:val="24"/>
                <w:szCs w:val="24"/>
                <w:vertAlign w:val="subscript"/>
              </w:rPr>
              <w:t>i</w:t>
            </w:r>
          </w:p>
        </w:tc>
        <w:tc>
          <w:tcPr>
            <w:tcW w:w="5103" w:type="dxa"/>
          </w:tcPr>
          <w:p w14:paraId="5648A4E0" w14:textId="5B21ED64" w:rsidR="004948A8" w:rsidRPr="00BD58C0" w:rsidRDefault="004948A8"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 per unit electricity</w:t>
            </w:r>
          </w:p>
        </w:tc>
      </w:tr>
      <w:tr w:rsidR="00BD58C0" w:rsidRPr="00BD58C0" w14:paraId="0C63D8C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55371D0" w14:textId="6DF1BBF4"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t</w:t>
            </w:r>
          </w:p>
        </w:tc>
        <w:tc>
          <w:tcPr>
            <w:tcW w:w="5103" w:type="dxa"/>
          </w:tcPr>
          <w:p w14:paraId="1D421D1E" w14:textId="25B80154" w:rsidR="004948A8" w:rsidRPr="00BD58C0" w:rsidRDefault="004948A8"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Plant lifespan</w:t>
            </w:r>
          </w:p>
        </w:tc>
      </w:tr>
      <w:tr w:rsidR="00BD58C0" w:rsidRPr="00BD58C0" w14:paraId="4EEF2F3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E28E859" w14:textId="05C35CD6"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r</w:t>
            </w:r>
          </w:p>
        </w:tc>
        <w:tc>
          <w:tcPr>
            <w:tcW w:w="5103" w:type="dxa"/>
          </w:tcPr>
          <w:p w14:paraId="2266704E" w14:textId="3D22BAA8"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Interest rate</w:t>
            </w:r>
          </w:p>
        </w:tc>
      </w:tr>
      <w:tr w:rsidR="00BD58C0" w:rsidRPr="00BD58C0" w14:paraId="7917F236"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F637C48" w14:textId="113D41B7" w:rsidR="004948A8" w:rsidRPr="00BD58C0" w:rsidRDefault="004948A8" w:rsidP="00EB2472">
            <w:pPr>
              <w:spacing w:line="360" w:lineRule="auto"/>
              <w:rPr>
                <w:rFonts w:ascii="Times New Roman" w:hAnsi="Times New Roman" w:cs="Times New Roman"/>
                <w:b w:val="0"/>
                <w:bCs w:val="0"/>
                <w:sz w:val="24"/>
                <w:szCs w:val="24"/>
              </w:rPr>
            </w:pPr>
            <w:proofErr w:type="spellStart"/>
            <w:r w:rsidRPr="00BD58C0">
              <w:rPr>
                <w:rFonts w:ascii="Times New Roman" w:hAnsi="Times New Roman" w:cs="Times New Roman"/>
                <w:b w:val="0"/>
                <w:bCs w:val="0"/>
                <w:sz w:val="24"/>
                <w:szCs w:val="24"/>
              </w:rPr>
              <w:t>EW</w:t>
            </w:r>
            <w:r w:rsidRPr="00BD58C0">
              <w:rPr>
                <w:rFonts w:ascii="Times New Roman" w:hAnsi="Times New Roman" w:cs="Times New Roman"/>
                <w:b w:val="0"/>
                <w:bCs w:val="0"/>
                <w:sz w:val="24"/>
                <w:szCs w:val="24"/>
                <w:vertAlign w:val="subscript"/>
              </w:rPr>
              <w:t>r</w:t>
            </w:r>
            <w:proofErr w:type="spellEnd"/>
          </w:p>
        </w:tc>
        <w:tc>
          <w:tcPr>
            <w:tcW w:w="5103" w:type="dxa"/>
          </w:tcPr>
          <w:p w14:paraId="76A37DA4" w14:textId="760ECA11"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iCs/>
                <w:sz w:val="24"/>
                <w:szCs w:val="24"/>
              </w:rPr>
              <w:t>Earth works rate</w:t>
            </w:r>
          </w:p>
        </w:tc>
      </w:tr>
      <w:tr w:rsidR="00BD58C0" w:rsidRPr="00BD58C0" w14:paraId="75BEB3A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CF33F67" w14:textId="108E695E" w:rsidR="004948A8" w:rsidRPr="00BD58C0" w:rsidRDefault="004948A8" w:rsidP="00EB2472">
            <w:pPr>
              <w:spacing w:line="360" w:lineRule="auto"/>
              <w:rPr>
                <w:rFonts w:ascii="Times New Roman" w:hAnsi="Times New Roman" w:cs="Times New Roman"/>
                <w:b w:val="0"/>
                <w:bCs w:val="0"/>
                <w:sz w:val="24"/>
                <w:szCs w:val="24"/>
                <w:vertAlign w:val="subscript"/>
              </w:rPr>
            </w:pPr>
            <w:r w:rsidRPr="00BD58C0">
              <w:rPr>
                <w:rFonts w:ascii="Times New Roman" w:hAnsi="Times New Roman" w:cs="Times New Roman"/>
                <w:b w:val="0"/>
                <w:bCs w:val="0"/>
                <w:sz w:val="24"/>
                <w:szCs w:val="24"/>
              </w:rPr>
              <w:t>D</w:t>
            </w:r>
            <w:r w:rsidRPr="00BD58C0">
              <w:rPr>
                <w:rFonts w:ascii="Times New Roman" w:hAnsi="Times New Roman" w:cs="Times New Roman"/>
                <w:b w:val="0"/>
                <w:bCs w:val="0"/>
                <w:sz w:val="24"/>
                <w:szCs w:val="24"/>
                <w:vertAlign w:val="subscript"/>
              </w:rPr>
              <w:t>r</w:t>
            </w:r>
          </w:p>
        </w:tc>
        <w:tc>
          <w:tcPr>
            <w:tcW w:w="5103" w:type="dxa"/>
          </w:tcPr>
          <w:p w14:paraId="3AD4188D" w14:textId="3B394040"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Dumping rate</w:t>
            </w:r>
          </w:p>
        </w:tc>
      </w:tr>
      <w:tr w:rsidR="00BD58C0" w:rsidRPr="00BD58C0" w14:paraId="04360B37"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E55A4C9" w14:textId="71EFB2FB"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lastRenderedPageBreak/>
              <w:t>ACC</w:t>
            </w:r>
          </w:p>
        </w:tc>
        <w:tc>
          <w:tcPr>
            <w:tcW w:w="5103" w:type="dxa"/>
          </w:tcPr>
          <w:p w14:paraId="169F9C26" w14:textId="7FBEF136"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Annualised capital cost</w:t>
            </w:r>
          </w:p>
        </w:tc>
      </w:tr>
      <w:tr w:rsidR="00BD58C0" w:rsidRPr="00BD58C0" w14:paraId="16B2891D"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BEE7195" w14:textId="22591F27"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AO</w:t>
            </w:r>
          </w:p>
        </w:tc>
        <w:tc>
          <w:tcPr>
            <w:tcW w:w="5103" w:type="dxa"/>
          </w:tcPr>
          <w:p w14:paraId="45883DAA" w14:textId="363C8FBD"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operational cost</w:t>
            </w:r>
          </w:p>
        </w:tc>
      </w:tr>
      <w:tr w:rsidR="00BD58C0" w:rsidRPr="00BD58C0" w14:paraId="63CE2C4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733678B" w14:textId="131B925E"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TCC</w:t>
            </w:r>
          </w:p>
        </w:tc>
        <w:tc>
          <w:tcPr>
            <w:tcW w:w="5103" w:type="dxa"/>
          </w:tcPr>
          <w:p w14:paraId="5A17F2E5" w14:textId="1AC53062" w:rsidR="004948A8" w:rsidRPr="00BD58C0" w:rsidRDefault="004948A8"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Total capital cost</w:t>
            </w:r>
          </w:p>
        </w:tc>
      </w:tr>
      <w:tr w:rsidR="00BD58C0" w:rsidRPr="00BD58C0" w14:paraId="0822BC74"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DA303AF" w14:textId="56F28F6E"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AO</w:t>
            </w:r>
          </w:p>
        </w:tc>
        <w:tc>
          <w:tcPr>
            <w:tcW w:w="5103" w:type="dxa"/>
          </w:tcPr>
          <w:p w14:paraId="71D15E7C" w14:textId="4A840E88"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operational cost</w:t>
            </w:r>
          </w:p>
        </w:tc>
      </w:tr>
      <w:tr w:rsidR="00BD58C0" w:rsidRPr="00BD58C0" w14:paraId="798B552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9F050FD" w14:textId="6074D6B8" w:rsidR="004948A8" w:rsidRPr="00BD58C0" w:rsidRDefault="004948A8" w:rsidP="00EB2472">
            <w:pPr>
              <w:spacing w:line="360" w:lineRule="auto"/>
              <w:rPr>
                <w:rFonts w:ascii="Times New Roman" w:hAnsi="Times New Roman" w:cs="Times New Roman"/>
                <w:b w:val="0"/>
                <w:bCs w:val="0"/>
                <w:sz w:val="24"/>
                <w:szCs w:val="24"/>
                <w:vertAlign w:val="subscript"/>
              </w:rPr>
            </w:pPr>
            <w:proofErr w:type="spellStart"/>
            <w:r w:rsidRPr="00BD58C0">
              <w:rPr>
                <w:rFonts w:ascii="Times New Roman" w:hAnsi="Times New Roman" w:cs="Times New Roman"/>
                <w:b w:val="0"/>
                <w:bCs w:val="0"/>
                <w:sz w:val="24"/>
                <w:szCs w:val="24"/>
              </w:rPr>
              <w:t>AI</w:t>
            </w:r>
            <w:r w:rsidRPr="00BD58C0">
              <w:rPr>
                <w:rFonts w:ascii="Times New Roman" w:hAnsi="Times New Roman" w:cs="Times New Roman"/>
                <w:b w:val="0"/>
                <w:bCs w:val="0"/>
                <w:sz w:val="24"/>
                <w:szCs w:val="24"/>
                <w:vertAlign w:val="subscript"/>
              </w:rPr>
              <w:t>i</w:t>
            </w:r>
            <w:proofErr w:type="spellEnd"/>
          </w:p>
        </w:tc>
        <w:tc>
          <w:tcPr>
            <w:tcW w:w="5103" w:type="dxa"/>
          </w:tcPr>
          <w:p w14:paraId="335FB40E" w14:textId="735CC3AE"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quantity of input (energy)</w:t>
            </w:r>
          </w:p>
        </w:tc>
      </w:tr>
      <w:tr w:rsidR="00BD58C0" w:rsidRPr="00BD58C0" w14:paraId="24903EF5"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404512F" w14:textId="5609FF7F"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AM</w:t>
            </w:r>
          </w:p>
        </w:tc>
        <w:tc>
          <w:tcPr>
            <w:tcW w:w="5103" w:type="dxa"/>
          </w:tcPr>
          <w:p w14:paraId="34AB23FC" w14:textId="3A28B992"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maintenance cost</w:t>
            </w:r>
          </w:p>
        </w:tc>
      </w:tr>
      <w:tr w:rsidR="00BD58C0" w:rsidRPr="00BD58C0" w14:paraId="50FE096A"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1439F8B" w14:textId="768BC430"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AL</w:t>
            </w:r>
          </w:p>
        </w:tc>
        <w:tc>
          <w:tcPr>
            <w:tcW w:w="5103" w:type="dxa"/>
          </w:tcPr>
          <w:p w14:paraId="2A4C6CFE" w14:textId="6C5B028D"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 xml:space="preserve">Annual </w:t>
            </w:r>
            <w:proofErr w:type="spellStart"/>
            <w:r w:rsidRPr="00BD58C0">
              <w:rPr>
                <w:rFonts w:ascii="Times New Roman" w:hAnsi="Times New Roman" w:cs="Times New Roman"/>
                <w:sz w:val="24"/>
                <w:szCs w:val="24"/>
              </w:rPr>
              <w:t>labor</w:t>
            </w:r>
            <w:proofErr w:type="spellEnd"/>
            <w:r w:rsidRPr="00BD58C0">
              <w:rPr>
                <w:rFonts w:ascii="Times New Roman" w:hAnsi="Times New Roman" w:cs="Times New Roman"/>
                <w:sz w:val="24"/>
                <w:szCs w:val="24"/>
              </w:rPr>
              <w:t xml:space="preserve"> cost</w:t>
            </w:r>
          </w:p>
        </w:tc>
      </w:tr>
      <w:tr w:rsidR="00BD58C0" w:rsidRPr="00BD58C0" w14:paraId="705A70AF"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FA5A482" w14:textId="5B798D29"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EC</w:t>
            </w:r>
          </w:p>
        </w:tc>
        <w:tc>
          <w:tcPr>
            <w:tcW w:w="5103" w:type="dxa"/>
          </w:tcPr>
          <w:p w14:paraId="20A4E10D" w14:textId="6E3805BF"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Excavation cost</w:t>
            </w:r>
          </w:p>
        </w:tc>
      </w:tr>
      <w:tr w:rsidR="00BD58C0" w:rsidRPr="00BD58C0" w14:paraId="100CEACA"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E2827D7" w14:textId="2267E74B"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CS</w:t>
            </w:r>
          </w:p>
        </w:tc>
        <w:tc>
          <w:tcPr>
            <w:tcW w:w="5103" w:type="dxa"/>
          </w:tcPr>
          <w:p w14:paraId="058D128A" w14:textId="20FA8147"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 of site clearance</w:t>
            </w:r>
          </w:p>
        </w:tc>
      </w:tr>
      <w:tr w:rsidR="00BD58C0" w:rsidRPr="00BD58C0" w14:paraId="59FBC474"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BCC436B" w14:textId="20B1C96E"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CCF</w:t>
            </w:r>
          </w:p>
        </w:tc>
        <w:tc>
          <w:tcPr>
            <w:tcW w:w="5103" w:type="dxa"/>
          </w:tcPr>
          <w:p w14:paraId="06432C01" w14:textId="16AD0380"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 of cut and fill</w:t>
            </w:r>
          </w:p>
        </w:tc>
      </w:tr>
      <w:tr w:rsidR="00BD58C0" w:rsidRPr="00BD58C0" w14:paraId="649B25B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E6B477D" w14:textId="6781C5B4"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AOC</w:t>
            </w:r>
          </w:p>
        </w:tc>
        <w:tc>
          <w:tcPr>
            <w:tcW w:w="5103" w:type="dxa"/>
          </w:tcPr>
          <w:p w14:paraId="04A26220" w14:textId="0F4D05EB"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BD58C0">
              <w:rPr>
                <w:rFonts w:ascii="Times New Roman" w:hAnsi="Times New Roman" w:cs="Times New Roman"/>
                <w:iCs/>
                <w:sz w:val="24"/>
                <w:szCs w:val="24"/>
              </w:rPr>
              <w:t>Area of cleared land (hectares)</w:t>
            </w:r>
          </w:p>
        </w:tc>
      </w:tr>
      <w:tr w:rsidR="00BD58C0" w:rsidRPr="00BD58C0" w14:paraId="1429325C"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B53AB2D" w14:textId="34675760"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VCL</w:t>
            </w:r>
          </w:p>
        </w:tc>
        <w:tc>
          <w:tcPr>
            <w:tcW w:w="5103" w:type="dxa"/>
          </w:tcPr>
          <w:p w14:paraId="23DA98EB" w14:textId="7E880752"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Volume of cleared land (m</w:t>
            </w:r>
            <w:r w:rsidRPr="00BD58C0">
              <w:rPr>
                <w:rFonts w:ascii="Times New Roman" w:hAnsi="Times New Roman" w:cs="Times New Roman"/>
                <w:sz w:val="24"/>
                <w:szCs w:val="24"/>
                <w:vertAlign w:val="superscript"/>
              </w:rPr>
              <w:t>3</w:t>
            </w:r>
            <w:r w:rsidRPr="00BD58C0">
              <w:rPr>
                <w:rFonts w:ascii="Times New Roman" w:hAnsi="Times New Roman" w:cs="Times New Roman"/>
                <w:sz w:val="24"/>
                <w:szCs w:val="24"/>
              </w:rPr>
              <w:t>)</w:t>
            </w:r>
          </w:p>
        </w:tc>
      </w:tr>
      <w:tr w:rsidR="00BD58C0" w:rsidRPr="00BD58C0" w14:paraId="10398D7B"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DC44BCF" w14:textId="64968D2F"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AR</w:t>
            </w:r>
          </w:p>
        </w:tc>
        <w:tc>
          <w:tcPr>
            <w:tcW w:w="5103" w:type="dxa"/>
          </w:tcPr>
          <w:p w14:paraId="1E9D3651" w14:textId="1ED6E4B6" w:rsidR="004948A8" w:rsidRPr="00BD58C0" w:rsidRDefault="004948A8"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revenues</w:t>
            </w:r>
          </w:p>
        </w:tc>
      </w:tr>
      <w:tr w:rsidR="00BD58C0" w:rsidRPr="00BD58C0" w14:paraId="7D4F2E21"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07D7426" w14:textId="700BAD3B" w:rsidR="00DC4C95" w:rsidRPr="00BD58C0" w:rsidRDefault="00DC4C95" w:rsidP="00EB2472">
            <w:pPr>
              <w:spacing w:line="360" w:lineRule="auto"/>
              <w:rPr>
                <w:rFonts w:ascii="Times New Roman" w:hAnsi="Times New Roman" w:cs="Times New Roman"/>
                <w:b w:val="0"/>
                <w:bCs w:val="0"/>
                <w:sz w:val="24"/>
                <w:szCs w:val="24"/>
                <w:vertAlign w:val="subscript"/>
              </w:rPr>
            </w:pPr>
            <w:proofErr w:type="spellStart"/>
            <w:r w:rsidRPr="00BD58C0">
              <w:rPr>
                <w:rFonts w:ascii="Times New Roman" w:hAnsi="Times New Roman" w:cs="Times New Roman"/>
                <w:b w:val="0"/>
                <w:bCs w:val="0"/>
                <w:sz w:val="24"/>
                <w:szCs w:val="24"/>
              </w:rPr>
              <w:t>A</w:t>
            </w:r>
            <w:r w:rsidR="00751BB2" w:rsidRPr="00BD58C0">
              <w:rPr>
                <w:rFonts w:ascii="Times New Roman" w:hAnsi="Times New Roman" w:cs="Times New Roman"/>
                <w:b w:val="0"/>
                <w:bCs w:val="0"/>
                <w:sz w:val="24"/>
                <w:szCs w:val="24"/>
                <w:vertAlign w:val="subscript"/>
              </w:rPr>
              <w:t>o</w:t>
            </w:r>
            <w:proofErr w:type="spellEnd"/>
          </w:p>
        </w:tc>
        <w:tc>
          <w:tcPr>
            <w:tcW w:w="5103" w:type="dxa"/>
          </w:tcPr>
          <w:p w14:paraId="27DDA6A7" w14:textId="002B3EA3" w:rsidR="00DC4C95" w:rsidRPr="00BD58C0" w:rsidRDefault="00DC4C9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quantity of value-added product (energy)</w:t>
            </w:r>
          </w:p>
        </w:tc>
      </w:tr>
      <w:tr w:rsidR="00BD58C0" w:rsidRPr="00BD58C0" w14:paraId="2C55343F"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E6C52DA" w14:textId="4D372DCA" w:rsidR="00DC4C95" w:rsidRPr="00BD58C0" w:rsidRDefault="00DC4C95" w:rsidP="00EB2472">
            <w:pPr>
              <w:spacing w:line="360" w:lineRule="auto"/>
              <w:rPr>
                <w:rFonts w:ascii="Times New Roman" w:hAnsi="Times New Roman" w:cs="Times New Roman"/>
                <w:b w:val="0"/>
                <w:bCs w:val="0"/>
                <w:sz w:val="24"/>
                <w:szCs w:val="24"/>
                <w:vertAlign w:val="subscript"/>
              </w:rPr>
            </w:pPr>
            <w:r w:rsidRPr="00BD58C0">
              <w:rPr>
                <w:rFonts w:ascii="Times New Roman" w:hAnsi="Times New Roman" w:cs="Times New Roman"/>
                <w:b w:val="0"/>
                <w:bCs w:val="0"/>
                <w:sz w:val="24"/>
                <w:szCs w:val="24"/>
              </w:rPr>
              <w:t>P</w:t>
            </w:r>
            <w:r w:rsidRPr="00BD58C0">
              <w:rPr>
                <w:rFonts w:ascii="Times New Roman" w:hAnsi="Times New Roman" w:cs="Times New Roman"/>
                <w:b w:val="0"/>
                <w:bCs w:val="0"/>
                <w:sz w:val="24"/>
                <w:szCs w:val="24"/>
                <w:vertAlign w:val="subscript"/>
              </w:rPr>
              <w:t>o</w:t>
            </w:r>
          </w:p>
        </w:tc>
        <w:tc>
          <w:tcPr>
            <w:tcW w:w="5103" w:type="dxa"/>
          </w:tcPr>
          <w:p w14:paraId="1CB379D2" w14:textId="4EB82FC3" w:rsidR="00DC4C95" w:rsidRPr="00BD58C0" w:rsidRDefault="00DC4C95" w:rsidP="00EB247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Unit price</w:t>
            </w:r>
          </w:p>
        </w:tc>
      </w:tr>
      <w:tr w:rsidR="00BD58C0" w:rsidRPr="00BD58C0" w14:paraId="736E8C3F"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2CCBE9E" w14:textId="308FD722"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WACC</w:t>
            </w:r>
          </w:p>
        </w:tc>
        <w:tc>
          <w:tcPr>
            <w:tcW w:w="5103" w:type="dxa"/>
          </w:tcPr>
          <w:p w14:paraId="33B9A152" w14:textId="453BC06C"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Weighted average cost of capital</w:t>
            </w:r>
          </w:p>
        </w:tc>
      </w:tr>
      <w:tr w:rsidR="00BD58C0" w:rsidRPr="00BD58C0" w14:paraId="27B4D70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1DE3EE1" w14:textId="527F0DD4" w:rsidR="00DC4C95" w:rsidRPr="00BD58C0" w:rsidRDefault="00DC4C95" w:rsidP="00EB2472">
            <w:pPr>
              <w:spacing w:line="360" w:lineRule="auto"/>
              <w:rPr>
                <w:rFonts w:ascii="Times New Roman" w:hAnsi="Times New Roman" w:cs="Times New Roman"/>
                <w:b w:val="0"/>
                <w:bCs w:val="0"/>
                <w:sz w:val="24"/>
                <w:szCs w:val="24"/>
                <w:vertAlign w:val="subscript"/>
              </w:rPr>
            </w:pPr>
            <w:r w:rsidRPr="00BD58C0">
              <w:rPr>
                <w:rFonts w:ascii="Times New Roman" w:hAnsi="Times New Roman" w:cs="Times New Roman"/>
                <w:b w:val="0"/>
                <w:bCs w:val="0"/>
                <w:sz w:val="24"/>
                <w:szCs w:val="24"/>
              </w:rPr>
              <w:t>A</w:t>
            </w:r>
            <w:r w:rsidRPr="00BD58C0">
              <w:rPr>
                <w:rFonts w:ascii="Times New Roman" w:hAnsi="Times New Roman" w:cs="Times New Roman"/>
                <w:b w:val="0"/>
                <w:bCs w:val="0"/>
                <w:sz w:val="24"/>
                <w:szCs w:val="24"/>
                <w:vertAlign w:val="subscript"/>
              </w:rPr>
              <w:t>NNP</w:t>
            </w:r>
          </w:p>
        </w:tc>
        <w:tc>
          <w:tcPr>
            <w:tcW w:w="5103" w:type="dxa"/>
          </w:tcPr>
          <w:p w14:paraId="761F3EB0" w14:textId="41183F53" w:rsidR="00DC4C95" w:rsidRPr="00BD58C0" w:rsidRDefault="00DC4C95"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BD58C0">
              <w:rPr>
                <w:rFonts w:ascii="Times New Roman" w:hAnsi="Times New Roman" w:cs="Times New Roman"/>
                <w:iCs/>
                <w:sz w:val="24"/>
                <w:szCs w:val="24"/>
              </w:rPr>
              <w:t>Net annual profit after income tax</w:t>
            </w:r>
          </w:p>
        </w:tc>
      </w:tr>
      <w:tr w:rsidR="00BD58C0" w:rsidRPr="00BD58C0" w14:paraId="0F65B9C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477AF68" w14:textId="36FB33CE"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AD</w:t>
            </w:r>
          </w:p>
        </w:tc>
        <w:tc>
          <w:tcPr>
            <w:tcW w:w="5103" w:type="dxa"/>
          </w:tcPr>
          <w:p w14:paraId="2E911880" w14:textId="3399CC48"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BD58C0">
              <w:rPr>
                <w:rFonts w:ascii="Times New Roman" w:hAnsi="Times New Roman" w:cs="Times New Roman"/>
                <w:iCs/>
                <w:sz w:val="24"/>
                <w:szCs w:val="24"/>
              </w:rPr>
              <w:t>Annual depreciation</w:t>
            </w:r>
          </w:p>
        </w:tc>
      </w:tr>
      <w:tr w:rsidR="00BD58C0" w:rsidRPr="00BD58C0" w14:paraId="05049BBB"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48B9D3C" w14:textId="506542B5" w:rsidR="00086683" w:rsidRPr="00BD58C0" w:rsidRDefault="00086683"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d</w:t>
            </w:r>
          </w:p>
        </w:tc>
        <w:tc>
          <w:tcPr>
            <w:tcW w:w="5103" w:type="dxa"/>
          </w:tcPr>
          <w:p w14:paraId="4B1BCFED" w14:textId="141913C9" w:rsidR="00086683" w:rsidRPr="00BD58C0" w:rsidRDefault="00086683"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BD58C0">
              <w:rPr>
                <w:rFonts w:ascii="Times New Roman" w:hAnsi="Times New Roman" w:cs="Times New Roman"/>
                <w:iCs/>
                <w:sz w:val="24"/>
                <w:szCs w:val="24"/>
              </w:rPr>
              <w:t>Discount rate</w:t>
            </w:r>
          </w:p>
        </w:tc>
      </w:tr>
      <w:tr w:rsidR="00BD58C0" w:rsidRPr="00BD58C0" w14:paraId="03934A5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3C4B936" w14:textId="6D056E18" w:rsidR="00086683" w:rsidRPr="00BD58C0" w:rsidRDefault="00086683" w:rsidP="00EB2472">
            <w:pPr>
              <w:spacing w:line="360" w:lineRule="auto"/>
              <w:rPr>
                <w:rFonts w:ascii="Times New Roman" w:hAnsi="Times New Roman" w:cs="Times New Roman"/>
                <w:b w:val="0"/>
                <w:bCs w:val="0"/>
                <w:sz w:val="24"/>
                <w:szCs w:val="24"/>
                <w:vertAlign w:val="subscript"/>
              </w:rPr>
            </w:pPr>
            <w:r w:rsidRPr="00BD58C0">
              <w:rPr>
                <w:rFonts w:ascii="Times New Roman" w:hAnsi="Times New Roman" w:cs="Times New Roman"/>
                <w:b w:val="0"/>
                <w:bCs w:val="0"/>
                <w:sz w:val="24"/>
                <w:szCs w:val="24"/>
              </w:rPr>
              <w:t>A</w:t>
            </w:r>
            <w:r w:rsidRPr="00BD58C0">
              <w:rPr>
                <w:rFonts w:ascii="Times New Roman" w:hAnsi="Times New Roman" w:cs="Times New Roman"/>
                <w:b w:val="0"/>
                <w:bCs w:val="0"/>
                <w:sz w:val="24"/>
                <w:szCs w:val="24"/>
                <w:vertAlign w:val="subscript"/>
              </w:rPr>
              <w:t>P</w:t>
            </w:r>
          </w:p>
        </w:tc>
        <w:tc>
          <w:tcPr>
            <w:tcW w:w="5103" w:type="dxa"/>
          </w:tcPr>
          <w:p w14:paraId="6D0212AC" w14:textId="38F92570" w:rsidR="00086683" w:rsidRPr="00BD58C0" w:rsidRDefault="00086683"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BD58C0">
              <w:rPr>
                <w:rFonts w:ascii="Times New Roman" w:hAnsi="Times New Roman" w:cs="Times New Roman"/>
                <w:iCs/>
                <w:sz w:val="24"/>
                <w:szCs w:val="24"/>
              </w:rPr>
              <w:t>Annual profit</w:t>
            </w:r>
          </w:p>
        </w:tc>
      </w:tr>
      <w:tr w:rsidR="00BD58C0" w:rsidRPr="00BD58C0" w14:paraId="46C9E9C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1AE76375" w14:textId="63C1E1E7"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IT</w:t>
            </w:r>
          </w:p>
        </w:tc>
        <w:tc>
          <w:tcPr>
            <w:tcW w:w="5103" w:type="dxa"/>
          </w:tcPr>
          <w:p w14:paraId="39DF4E41" w14:textId="5F5377BA"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income tax value</w:t>
            </w:r>
          </w:p>
        </w:tc>
      </w:tr>
      <w:tr w:rsidR="00BD58C0" w:rsidRPr="00BD58C0" w14:paraId="2DF32B22"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EA224ED" w14:textId="5286DAB8"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RS</w:t>
            </w:r>
          </w:p>
        </w:tc>
        <w:tc>
          <w:tcPr>
            <w:tcW w:w="5103" w:type="dxa"/>
          </w:tcPr>
          <w:p w14:paraId="2D6F9D52" w14:textId="57E6A817"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Revenue from sales</w:t>
            </w:r>
          </w:p>
        </w:tc>
      </w:tr>
      <w:tr w:rsidR="00BD58C0" w:rsidRPr="00BD58C0" w14:paraId="338B97F0"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D730673" w14:textId="2D3AD75E"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TE</w:t>
            </w:r>
          </w:p>
        </w:tc>
        <w:tc>
          <w:tcPr>
            <w:tcW w:w="5103" w:type="dxa"/>
          </w:tcPr>
          <w:p w14:paraId="20CB5514" w14:textId="1CB09C00"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Total expenses</w:t>
            </w:r>
          </w:p>
        </w:tc>
      </w:tr>
      <w:tr w:rsidR="00BD58C0" w:rsidRPr="00BD58C0" w14:paraId="1595E6AB"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99F19AA" w14:textId="2BEB6252"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TI</w:t>
            </w:r>
          </w:p>
        </w:tc>
        <w:tc>
          <w:tcPr>
            <w:tcW w:w="5103" w:type="dxa"/>
          </w:tcPr>
          <w:p w14:paraId="77A87B7A" w14:textId="123C0C36"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Total investment</w:t>
            </w:r>
          </w:p>
        </w:tc>
      </w:tr>
      <w:tr w:rsidR="00BD58C0" w:rsidRPr="00BD58C0" w14:paraId="3FBBC579"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0D5FADF" w14:textId="371F6E23"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ACF</w:t>
            </w:r>
          </w:p>
        </w:tc>
        <w:tc>
          <w:tcPr>
            <w:tcW w:w="5103" w:type="dxa"/>
          </w:tcPr>
          <w:p w14:paraId="6C0610B4" w14:textId="1F5B7683"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cash flow</w:t>
            </w:r>
          </w:p>
        </w:tc>
      </w:tr>
      <w:tr w:rsidR="00BD58C0" w:rsidRPr="00BD58C0" w14:paraId="5598D6DE"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D39B06A" w14:textId="55BC8987"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TNB</w:t>
            </w:r>
          </w:p>
        </w:tc>
        <w:tc>
          <w:tcPr>
            <w:tcW w:w="5103" w:type="dxa"/>
          </w:tcPr>
          <w:p w14:paraId="0931C680" w14:textId="3CF4DFCD"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eastAsiaTheme="minorEastAsia" w:hAnsi="Times New Roman" w:cs="Times New Roman"/>
                <w:iCs/>
                <w:sz w:val="24"/>
                <w:szCs w:val="24"/>
                <w:lang w:val="en-GB"/>
              </w:rPr>
              <w:t xml:space="preserve">Tenaga Nasional </w:t>
            </w:r>
            <w:proofErr w:type="spellStart"/>
            <w:r w:rsidRPr="00BD58C0">
              <w:rPr>
                <w:rFonts w:ascii="Times New Roman" w:eastAsiaTheme="minorEastAsia" w:hAnsi="Times New Roman" w:cs="Times New Roman"/>
                <w:iCs/>
                <w:sz w:val="24"/>
                <w:szCs w:val="24"/>
                <w:lang w:val="en-GB"/>
              </w:rPr>
              <w:t>Berhad</w:t>
            </w:r>
            <w:proofErr w:type="spellEnd"/>
          </w:p>
        </w:tc>
      </w:tr>
      <w:tr w:rsidR="00BD58C0" w:rsidRPr="00BD58C0" w14:paraId="08F0246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D0CB80D" w14:textId="6BB84857"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GMM</w:t>
            </w:r>
          </w:p>
        </w:tc>
        <w:tc>
          <w:tcPr>
            <w:tcW w:w="5103" w:type="dxa"/>
          </w:tcPr>
          <w:p w14:paraId="3BFD8BFC" w14:textId="17BC187C"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eastAsiaTheme="minorEastAsia" w:hAnsi="Times New Roman" w:cs="Times New Roman"/>
                <w:iCs/>
                <w:sz w:val="24"/>
                <w:szCs w:val="24"/>
                <w:lang w:val="en-US"/>
              </w:rPr>
              <w:t>Geometric mean</w:t>
            </w:r>
          </w:p>
        </w:tc>
      </w:tr>
      <w:tr w:rsidR="00BD58C0" w:rsidRPr="00BD58C0" w14:paraId="4A2507B5"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A599096" w14:textId="2E806585"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CR</w:t>
            </w:r>
          </w:p>
        </w:tc>
        <w:tc>
          <w:tcPr>
            <w:tcW w:w="5103" w:type="dxa"/>
          </w:tcPr>
          <w:p w14:paraId="090CC66D" w14:textId="0EC373FD"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Consistency Ratio</w:t>
            </w:r>
          </w:p>
        </w:tc>
      </w:tr>
      <w:tr w:rsidR="00BD58C0" w:rsidRPr="00BD58C0" w14:paraId="12EC767F"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2F0C3B64" w14:textId="1F753AA9"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CI</w:t>
            </w:r>
          </w:p>
        </w:tc>
        <w:tc>
          <w:tcPr>
            <w:tcW w:w="5103" w:type="dxa"/>
          </w:tcPr>
          <w:p w14:paraId="034F43E6" w14:textId="6F582CE0"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Consistency Index</w:t>
            </w:r>
          </w:p>
        </w:tc>
      </w:tr>
      <w:tr w:rsidR="00BD58C0" w:rsidRPr="00BD58C0" w14:paraId="1D105758"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083654F8" w14:textId="60A6F1C3" w:rsidR="002A146B" w:rsidRPr="00BD58C0" w:rsidRDefault="009F1B00" w:rsidP="00EB2472">
            <w:pPr>
              <w:spacing w:line="360" w:lineRule="auto"/>
              <w:rPr>
                <w:rFonts w:ascii="Times New Roman" w:hAnsi="Times New Roman" w:cs="Times New Roman"/>
                <w:b w:val="0"/>
                <w:bCs w:val="0"/>
                <w:sz w:val="24"/>
                <w:szCs w:val="24"/>
              </w:rPr>
            </w:pPr>
            <m:oMathPara>
              <m:oMathParaPr>
                <m:jc m:val="left"/>
              </m:oMathParaPr>
              <m:oMath>
                <m:sSub>
                  <m:sSubPr>
                    <m:ctrlPr>
                      <w:rPr>
                        <w:rFonts w:ascii="Cambria Math" w:eastAsiaTheme="minorEastAsia" w:hAnsi="Cambria Math" w:cs="Times New Roman"/>
                        <w:b w:val="0"/>
                        <w:bCs w:val="0"/>
                        <w:iCs/>
                        <w:sz w:val="24"/>
                        <w:szCs w:val="24"/>
                        <w:lang w:val="en-US"/>
                      </w:rPr>
                    </m:ctrlPr>
                  </m:sSubPr>
                  <m:e>
                    <m:r>
                      <m:rPr>
                        <m:sty m:val="b"/>
                      </m:rPr>
                      <w:rPr>
                        <w:rFonts w:ascii="Cambria Math" w:eastAsiaTheme="minorEastAsia" w:hAnsi="Cambria Math" w:cs="Times New Roman"/>
                        <w:sz w:val="24"/>
                        <w:szCs w:val="24"/>
                        <w:lang w:val="en-US"/>
                      </w:rPr>
                      <m:t>λ</m:t>
                    </m:r>
                  </m:e>
                  <m:sub>
                    <m:r>
                      <m:rPr>
                        <m:sty m:val="b"/>
                      </m:rPr>
                      <w:rPr>
                        <w:rFonts w:ascii="Cambria Math" w:eastAsiaTheme="minorEastAsia" w:hAnsi="Cambria Math" w:cs="Times New Roman"/>
                        <w:sz w:val="24"/>
                        <w:szCs w:val="24"/>
                        <w:lang w:val="en-US"/>
                      </w:rPr>
                      <m:t>max</m:t>
                    </m:r>
                  </m:sub>
                </m:sSub>
              </m:oMath>
            </m:oMathPara>
          </w:p>
        </w:tc>
        <w:tc>
          <w:tcPr>
            <w:tcW w:w="5103" w:type="dxa"/>
          </w:tcPr>
          <w:p w14:paraId="27665D27" w14:textId="1535A4C8" w:rsidR="002A146B" w:rsidRPr="00BD58C0" w:rsidRDefault="00CD4D26"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Largest e</w:t>
            </w:r>
            <w:r w:rsidR="002A146B" w:rsidRPr="00BD58C0">
              <w:rPr>
                <w:rFonts w:ascii="Times New Roman" w:eastAsiaTheme="minorEastAsia" w:hAnsi="Times New Roman" w:cs="Times New Roman"/>
                <w:iCs/>
                <w:sz w:val="24"/>
                <w:szCs w:val="24"/>
                <w:lang w:val="en-US"/>
              </w:rPr>
              <w:t xml:space="preserve">igenvalue </w:t>
            </w:r>
          </w:p>
        </w:tc>
      </w:tr>
      <w:tr w:rsidR="00BD58C0" w:rsidRPr="00BD58C0" w14:paraId="09D69B25"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E24BFDF" w14:textId="75635CFF"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RI</w:t>
            </w:r>
          </w:p>
        </w:tc>
        <w:tc>
          <w:tcPr>
            <w:tcW w:w="5103" w:type="dxa"/>
          </w:tcPr>
          <w:p w14:paraId="62E1C1D9" w14:textId="7FF39B1E"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Random Index</w:t>
            </w:r>
          </w:p>
        </w:tc>
      </w:tr>
      <w:tr w:rsidR="00BD58C0" w:rsidRPr="00BD58C0" w14:paraId="72CB9303"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4DAF18D" w14:textId="28D47255" w:rsidR="00EA0A86" w:rsidRPr="00BD58C0" w:rsidRDefault="00814546" w:rsidP="00EB2472">
            <w:pPr>
              <w:spacing w:line="360" w:lineRule="auto"/>
              <w:rPr>
                <w:rFonts w:ascii="Times New Roman" w:hAnsi="Times New Roman" w:cs="Times New Roman"/>
                <w:b w:val="0"/>
                <w:bCs w:val="0"/>
                <w:sz w:val="24"/>
                <w:szCs w:val="24"/>
                <w:vertAlign w:val="subscript"/>
              </w:rPr>
            </w:pPr>
            <w:proofErr w:type="spellStart"/>
            <w:r w:rsidRPr="00BD58C0">
              <w:rPr>
                <w:rFonts w:ascii="Times New Roman" w:hAnsi="Times New Roman" w:cs="Times New Roman"/>
                <w:b w:val="0"/>
                <w:bCs w:val="0"/>
                <w:sz w:val="24"/>
                <w:szCs w:val="24"/>
              </w:rPr>
              <w:lastRenderedPageBreak/>
              <w:t>P</w:t>
            </w:r>
            <w:r w:rsidRPr="00BD58C0">
              <w:rPr>
                <w:rFonts w:ascii="Times New Roman" w:hAnsi="Times New Roman" w:cs="Times New Roman"/>
                <w:b w:val="0"/>
                <w:bCs w:val="0"/>
                <w:sz w:val="24"/>
                <w:szCs w:val="24"/>
                <w:vertAlign w:val="subscript"/>
              </w:rPr>
              <w:t>j</w:t>
            </w:r>
            <w:proofErr w:type="spellEnd"/>
          </w:p>
        </w:tc>
        <w:tc>
          <w:tcPr>
            <w:tcW w:w="5103" w:type="dxa"/>
          </w:tcPr>
          <w:p w14:paraId="4E717CBF" w14:textId="5FC351CA" w:rsidR="00EA0A86" w:rsidRPr="00BD58C0" w:rsidRDefault="00814546"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Pairwise judgement</w:t>
            </w:r>
          </w:p>
        </w:tc>
      </w:tr>
      <w:tr w:rsidR="00BD58C0" w:rsidRPr="00BD58C0" w14:paraId="47BD20C5"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7C7879F4" w14:textId="04B80046" w:rsidR="009F13A5" w:rsidRPr="00BD58C0" w:rsidRDefault="009F13A5"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n</w:t>
            </w:r>
          </w:p>
        </w:tc>
        <w:tc>
          <w:tcPr>
            <w:tcW w:w="5103" w:type="dxa"/>
          </w:tcPr>
          <w:p w14:paraId="34EB7390" w14:textId="5F19CC44" w:rsidR="009F13A5" w:rsidRPr="00BD58C0" w:rsidRDefault="009F13A5"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Number of elements</w:t>
            </w:r>
          </w:p>
        </w:tc>
      </w:tr>
      <w:tr w:rsidR="00BD58C0" w:rsidRPr="00BD58C0" w14:paraId="16C21729"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4AF2FA2C" w14:textId="6EC7A556" w:rsidR="00814546" w:rsidRPr="00BD58C0" w:rsidRDefault="0081454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w:t>
            </w:r>
          </w:p>
        </w:tc>
        <w:tc>
          <w:tcPr>
            <w:tcW w:w="5103" w:type="dxa"/>
          </w:tcPr>
          <w:p w14:paraId="66744D30" w14:textId="736D2E93" w:rsidR="00814546" w:rsidRPr="00BD58C0" w:rsidRDefault="00814546"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Product</w:t>
            </w:r>
          </w:p>
        </w:tc>
      </w:tr>
      <w:tr w:rsidR="00BD58C0" w:rsidRPr="00BD58C0" w14:paraId="7306B127"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175BCC7" w14:textId="60122719" w:rsidR="00814546" w:rsidRPr="00BD58C0" w:rsidRDefault="00814546" w:rsidP="00EB2472">
            <w:pPr>
              <w:spacing w:line="360" w:lineRule="auto"/>
              <w:rPr>
                <w:rFonts w:ascii="Times New Roman" w:hAnsi="Times New Roman" w:cs="Times New Roman"/>
                <w:b w:val="0"/>
                <w:bCs w:val="0"/>
                <w:sz w:val="24"/>
                <w:szCs w:val="24"/>
                <w:vertAlign w:val="subscript"/>
              </w:rPr>
            </w:pPr>
            <w:proofErr w:type="spellStart"/>
            <w:r w:rsidRPr="00BD58C0">
              <w:rPr>
                <w:rFonts w:ascii="Times New Roman" w:hAnsi="Times New Roman" w:cs="Times New Roman"/>
                <w:b w:val="0"/>
                <w:bCs w:val="0"/>
                <w:sz w:val="24"/>
                <w:szCs w:val="24"/>
              </w:rPr>
              <w:t>a</w:t>
            </w:r>
            <w:r w:rsidRPr="00BD58C0">
              <w:rPr>
                <w:rFonts w:ascii="Times New Roman" w:hAnsi="Times New Roman" w:cs="Times New Roman"/>
                <w:b w:val="0"/>
                <w:bCs w:val="0"/>
                <w:sz w:val="24"/>
                <w:szCs w:val="24"/>
                <w:vertAlign w:val="subscript"/>
              </w:rPr>
              <w:t>ij</w:t>
            </w:r>
            <w:proofErr w:type="spellEnd"/>
          </w:p>
        </w:tc>
        <w:tc>
          <w:tcPr>
            <w:tcW w:w="5103" w:type="dxa"/>
          </w:tcPr>
          <w:p w14:paraId="2CD7EF5E" w14:textId="6904EAFA" w:rsidR="00814546" w:rsidRPr="00BD58C0" w:rsidRDefault="009F13A5"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Preference of alternative ‘</w:t>
            </w:r>
            <w:proofErr w:type="spellStart"/>
            <w:r w:rsidRPr="00BD58C0">
              <w:rPr>
                <w:rFonts w:ascii="Times New Roman" w:eastAsiaTheme="minorEastAsia" w:hAnsi="Times New Roman" w:cs="Times New Roman"/>
                <w:iCs/>
                <w:sz w:val="24"/>
                <w:szCs w:val="24"/>
              </w:rPr>
              <w:t>i</w:t>
            </w:r>
            <w:proofErr w:type="spellEnd"/>
            <w:r w:rsidRPr="00BD58C0">
              <w:rPr>
                <w:rFonts w:ascii="Times New Roman" w:eastAsiaTheme="minorEastAsia" w:hAnsi="Times New Roman" w:cs="Times New Roman"/>
                <w:iCs/>
                <w:sz w:val="24"/>
                <w:szCs w:val="24"/>
              </w:rPr>
              <w:t>’ over alternative ‘j’</w:t>
            </w:r>
          </w:p>
        </w:tc>
      </w:tr>
      <w:tr w:rsidR="00BD58C0" w:rsidRPr="00BD58C0" w14:paraId="30B4D7AD"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3ABB75F7" w14:textId="4DEFEA5C" w:rsidR="004948A8" w:rsidRPr="00BD58C0" w:rsidRDefault="004948A8"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GDP</w:t>
            </w:r>
          </w:p>
        </w:tc>
        <w:tc>
          <w:tcPr>
            <w:tcW w:w="5103" w:type="dxa"/>
          </w:tcPr>
          <w:p w14:paraId="44A95F2B" w14:textId="472FF211" w:rsidR="004948A8" w:rsidRPr="00BD58C0" w:rsidRDefault="004948A8"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Gross domestic product</w:t>
            </w:r>
          </w:p>
        </w:tc>
      </w:tr>
      <w:tr w:rsidR="00BD58C0" w:rsidRPr="00BD58C0" w14:paraId="5A20BE0E"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6A92BD2B" w14:textId="4E705E42" w:rsidR="00ED14C0" w:rsidRPr="00BD58C0" w:rsidRDefault="00ED14C0"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ETSs</w:t>
            </w:r>
          </w:p>
        </w:tc>
        <w:tc>
          <w:tcPr>
            <w:tcW w:w="5103" w:type="dxa"/>
          </w:tcPr>
          <w:p w14:paraId="1A701D4C" w14:textId="29824A74" w:rsidR="00ED14C0" w:rsidRPr="00BD58C0" w:rsidRDefault="00ED14C0"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lang w:val="en-US"/>
              </w:rPr>
            </w:pPr>
            <w:r w:rsidRPr="00BD58C0">
              <w:rPr>
                <w:rFonts w:ascii="Times New Roman" w:hAnsi="Times New Roman" w:cs="Times New Roman"/>
                <w:sz w:val="24"/>
                <w:szCs w:val="24"/>
              </w:rPr>
              <w:t>Emission trading systems</w:t>
            </w:r>
          </w:p>
        </w:tc>
      </w:tr>
      <w:tr w:rsidR="00BD58C0" w:rsidRPr="00BD58C0" w14:paraId="6D21E5F4"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5C092541" w14:textId="395AF75E" w:rsidR="008B1786" w:rsidRPr="00BD58C0" w:rsidRDefault="008B1786"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KETS</w:t>
            </w:r>
          </w:p>
        </w:tc>
        <w:tc>
          <w:tcPr>
            <w:tcW w:w="5103" w:type="dxa"/>
          </w:tcPr>
          <w:p w14:paraId="65E7151D" w14:textId="71D09614" w:rsidR="008B1786" w:rsidRPr="00BD58C0" w:rsidRDefault="008B1786"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Korean ETS</w:t>
            </w:r>
          </w:p>
        </w:tc>
      </w:tr>
      <w:tr w:rsidR="00BD58C0" w:rsidRPr="00BD58C0" w14:paraId="4C9A8703" w14:textId="77777777" w:rsidTr="00C54FAB">
        <w:tc>
          <w:tcPr>
            <w:cnfStyle w:val="001000000000" w:firstRow="0" w:lastRow="0" w:firstColumn="1" w:lastColumn="0" w:oddVBand="0" w:evenVBand="0" w:oddHBand="0" w:evenHBand="0" w:firstRowFirstColumn="0" w:firstRowLastColumn="0" w:lastRowFirstColumn="0" w:lastRowLastColumn="0"/>
            <w:tcW w:w="2410" w:type="dxa"/>
          </w:tcPr>
          <w:p w14:paraId="2571EF49" w14:textId="3506A52E" w:rsidR="00B43449" w:rsidRPr="00BD58C0" w:rsidRDefault="00B43449" w:rsidP="00EB2472">
            <w:pPr>
              <w:spacing w:line="360" w:lineRule="auto"/>
              <w:rPr>
                <w:rFonts w:ascii="Times New Roman" w:hAnsi="Times New Roman" w:cs="Times New Roman"/>
                <w:b w:val="0"/>
                <w:bCs w:val="0"/>
                <w:sz w:val="24"/>
                <w:szCs w:val="24"/>
              </w:rPr>
            </w:pPr>
            <w:r w:rsidRPr="00BD58C0">
              <w:rPr>
                <w:rFonts w:ascii="Times New Roman" w:hAnsi="Times New Roman" w:cs="Times New Roman"/>
                <w:b w:val="0"/>
                <w:bCs w:val="0"/>
                <w:sz w:val="24"/>
                <w:szCs w:val="24"/>
              </w:rPr>
              <w:t>PKS</w:t>
            </w:r>
          </w:p>
        </w:tc>
        <w:tc>
          <w:tcPr>
            <w:tcW w:w="5103" w:type="dxa"/>
          </w:tcPr>
          <w:p w14:paraId="1EF58921" w14:textId="6F1D18B6" w:rsidR="00B43449" w:rsidRPr="00BD58C0" w:rsidRDefault="00B43449" w:rsidP="00EB24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Palm kernel shells</w:t>
            </w:r>
          </w:p>
        </w:tc>
      </w:tr>
    </w:tbl>
    <w:p w14:paraId="6001E5BD" w14:textId="5967605D" w:rsidR="00704A1A" w:rsidRPr="00BD58C0" w:rsidRDefault="00704A1A" w:rsidP="00A4282F">
      <w:pPr>
        <w:spacing w:after="0" w:line="360" w:lineRule="auto"/>
        <w:jc w:val="both"/>
        <w:rPr>
          <w:rFonts w:ascii="Times New Roman" w:hAnsi="Times New Roman" w:cs="Times New Roman"/>
          <w:b/>
          <w:bCs/>
          <w:sz w:val="24"/>
          <w:szCs w:val="24"/>
        </w:rPr>
      </w:pPr>
    </w:p>
    <w:p w14:paraId="6DE8A49A" w14:textId="10FF9977" w:rsidR="0047456B" w:rsidRPr="00BD58C0" w:rsidRDefault="0047456B" w:rsidP="00A4282F">
      <w:pPr>
        <w:spacing w:after="0" w:line="360" w:lineRule="auto"/>
        <w:jc w:val="both"/>
        <w:rPr>
          <w:rFonts w:ascii="Times New Roman" w:hAnsi="Times New Roman" w:cs="Times New Roman"/>
          <w:b/>
          <w:bCs/>
          <w:sz w:val="24"/>
          <w:szCs w:val="24"/>
        </w:rPr>
      </w:pPr>
    </w:p>
    <w:p w14:paraId="38AF24E6" w14:textId="32276E03" w:rsidR="0047456B" w:rsidRPr="00BD58C0" w:rsidRDefault="0047456B" w:rsidP="00A4282F">
      <w:pPr>
        <w:spacing w:after="0" w:line="360" w:lineRule="auto"/>
        <w:jc w:val="both"/>
        <w:rPr>
          <w:rFonts w:ascii="Times New Roman" w:hAnsi="Times New Roman" w:cs="Times New Roman"/>
          <w:b/>
          <w:bCs/>
          <w:sz w:val="24"/>
          <w:szCs w:val="24"/>
        </w:rPr>
      </w:pPr>
    </w:p>
    <w:p w14:paraId="2DB4367E" w14:textId="759B4B99" w:rsidR="0047456B" w:rsidRPr="00BD58C0" w:rsidRDefault="0047456B" w:rsidP="00A4282F">
      <w:pPr>
        <w:spacing w:after="0" w:line="360" w:lineRule="auto"/>
        <w:jc w:val="both"/>
        <w:rPr>
          <w:rFonts w:ascii="Times New Roman" w:hAnsi="Times New Roman" w:cs="Times New Roman"/>
          <w:b/>
          <w:bCs/>
          <w:sz w:val="24"/>
          <w:szCs w:val="24"/>
        </w:rPr>
      </w:pPr>
    </w:p>
    <w:p w14:paraId="61B025E4" w14:textId="3DAA78AA" w:rsidR="0047456B" w:rsidRPr="00BD58C0" w:rsidRDefault="0047456B" w:rsidP="00A4282F">
      <w:pPr>
        <w:spacing w:after="0" w:line="360" w:lineRule="auto"/>
        <w:jc w:val="both"/>
        <w:rPr>
          <w:rFonts w:ascii="Times New Roman" w:hAnsi="Times New Roman" w:cs="Times New Roman"/>
          <w:b/>
          <w:bCs/>
          <w:sz w:val="24"/>
          <w:szCs w:val="24"/>
        </w:rPr>
      </w:pPr>
    </w:p>
    <w:p w14:paraId="4FE3ED9F" w14:textId="761FBAC2" w:rsidR="0047456B" w:rsidRPr="00BD58C0" w:rsidRDefault="0047456B" w:rsidP="00A4282F">
      <w:pPr>
        <w:spacing w:after="0" w:line="360" w:lineRule="auto"/>
        <w:jc w:val="both"/>
        <w:rPr>
          <w:rFonts w:ascii="Times New Roman" w:hAnsi="Times New Roman" w:cs="Times New Roman"/>
          <w:b/>
          <w:bCs/>
          <w:sz w:val="24"/>
          <w:szCs w:val="24"/>
        </w:rPr>
      </w:pPr>
    </w:p>
    <w:p w14:paraId="3A4CA80D" w14:textId="29D7D311" w:rsidR="0047456B" w:rsidRPr="00BD58C0" w:rsidRDefault="0047456B" w:rsidP="00A4282F">
      <w:pPr>
        <w:spacing w:after="0" w:line="360" w:lineRule="auto"/>
        <w:jc w:val="both"/>
        <w:rPr>
          <w:rFonts w:ascii="Times New Roman" w:hAnsi="Times New Roman" w:cs="Times New Roman"/>
          <w:b/>
          <w:bCs/>
          <w:sz w:val="24"/>
          <w:szCs w:val="24"/>
        </w:rPr>
      </w:pPr>
    </w:p>
    <w:p w14:paraId="57C8EC92" w14:textId="52287C1F" w:rsidR="0047456B" w:rsidRPr="00BD58C0" w:rsidRDefault="0047456B" w:rsidP="00A4282F">
      <w:pPr>
        <w:spacing w:after="0" w:line="360" w:lineRule="auto"/>
        <w:jc w:val="both"/>
        <w:rPr>
          <w:rFonts w:ascii="Times New Roman" w:hAnsi="Times New Roman" w:cs="Times New Roman"/>
          <w:b/>
          <w:bCs/>
          <w:sz w:val="24"/>
          <w:szCs w:val="24"/>
        </w:rPr>
      </w:pPr>
    </w:p>
    <w:p w14:paraId="762E9E5B" w14:textId="757DF4E1" w:rsidR="0047456B" w:rsidRPr="00BD58C0" w:rsidRDefault="0047456B" w:rsidP="00A4282F">
      <w:pPr>
        <w:spacing w:after="0" w:line="360" w:lineRule="auto"/>
        <w:jc w:val="both"/>
        <w:rPr>
          <w:rFonts w:ascii="Times New Roman" w:hAnsi="Times New Roman" w:cs="Times New Roman"/>
          <w:b/>
          <w:bCs/>
          <w:sz w:val="24"/>
          <w:szCs w:val="24"/>
        </w:rPr>
      </w:pPr>
    </w:p>
    <w:p w14:paraId="7C284443" w14:textId="2FCFA72A" w:rsidR="0047456B" w:rsidRPr="00BD58C0" w:rsidRDefault="0047456B" w:rsidP="00A4282F">
      <w:pPr>
        <w:spacing w:after="0" w:line="360" w:lineRule="auto"/>
        <w:jc w:val="both"/>
        <w:rPr>
          <w:rFonts w:ascii="Times New Roman" w:hAnsi="Times New Roman" w:cs="Times New Roman"/>
          <w:b/>
          <w:bCs/>
          <w:sz w:val="24"/>
          <w:szCs w:val="24"/>
        </w:rPr>
      </w:pPr>
    </w:p>
    <w:p w14:paraId="4C4CD498" w14:textId="2B4DB9E8" w:rsidR="0047456B" w:rsidRPr="00BD58C0" w:rsidRDefault="0047456B" w:rsidP="00A4282F">
      <w:pPr>
        <w:spacing w:after="0" w:line="360" w:lineRule="auto"/>
        <w:jc w:val="both"/>
        <w:rPr>
          <w:rFonts w:ascii="Times New Roman" w:hAnsi="Times New Roman" w:cs="Times New Roman"/>
          <w:b/>
          <w:bCs/>
          <w:sz w:val="24"/>
          <w:szCs w:val="24"/>
        </w:rPr>
      </w:pPr>
    </w:p>
    <w:p w14:paraId="5FE1B479" w14:textId="70D572D3" w:rsidR="00EB2472" w:rsidRPr="00BD58C0" w:rsidRDefault="00EB2472" w:rsidP="00A4282F">
      <w:pPr>
        <w:spacing w:after="0" w:line="360" w:lineRule="auto"/>
        <w:jc w:val="both"/>
        <w:rPr>
          <w:rFonts w:ascii="Times New Roman" w:hAnsi="Times New Roman" w:cs="Times New Roman"/>
          <w:b/>
          <w:bCs/>
          <w:sz w:val="24"/>
          <w:szCs w:val="24"/>
        </w:rPr>
      </w:pPr>
    </w:p>
    <w:p w14:paraId="47A305EF" w14:textId="54277046" w:rsidR="00EB2472" w:rsidRPr="00BD58C0" w:rsidRDefault="00EB2472" w:rsidP="00A4282F">
      <w:pPr>
        <w:spacing w:after="0" w:line="360" w:lineRule="auto"/>
        <w:jc w:val="both"/>
        <w:rPr>
          <w:rFonts w:ascii="Times New Roman" w:hAnsi="Times New Roman" w:cs="Times New Roman"/>
          <w:b/>
          <w:bCs/>
          <w:sz w:val="24"/>
          <w:szCs w:val="24"/>
        </w:rPr>
      </w:pPr>
    </w:p>
    <w:p w14:paraId="080B0E17" w14:textId="2B2847F9" w:rsidR="00EB2472" w:rsidRPr="00BD58C0" w:rsidRDefault="00EB2472" w:rsidP="00A4282F">
      <w:pPr>
        <w:spacing w:after="0" w:line="360" w:lineRule="auto"/>
        <w:jc w:val="both"/>
        <w:rPr>
          <w:rFonts w:ascii="Times New Roman" w:hAnsi="Times New Roman" w:cs="Times New Roman"/>
          <w:b/>
          <w:bCs/>
          <w:sz w:val="24"/>
          <w:szCs w:val="24"/>
        </w:rPr>
      </w:pPr>
    </w:p>
    <w:p w14:paraId="435DD71A" w14:textId="0211CA67" w:rsidR="00EB2472" w:rsidRPr="00BD58C0" w:rsidRDefault="00EB2472" w:rsidP="00A4282F">
      <w:pPr>
        <w:spacing w:after="0" w:line="360" w:lineRule="auto"/>
        <w:jc w:val="both"/>
        <w:rPr>
          <w:rFonts w:ascii="Times New Roman" w:hAnsi="Times New Roman" w:cs="Times New Roman"/>
          <w:b/>
          <w:bCs/>
          <w:sz w:val="24"/>
          <w:szCs w:val="24"/>
        </w:rPr>
      </w:pPr>
    </w:p>
    <w:p w14:paraId="7F8E8F9B" w14:textId="1B282460" w:rsidR="00EB2472" w:rsidRPr="00BD58C0" w:rsidRDefault="00EB2472" w:rsidP="00A4282F">
      <w:pPr>
        <w:spacing w:after="0" w:line="360" w:lineRule="auto"/>
        <w:jc w:val="both"/>
        <w:rPr>
          <w:rFonts w:ascii="Times New Roman" w:hAnsi="Times New Roman" w:cs="Times New Roman"/>
          <w:b/>
          <w:bCs/>
          <w:sz w:val="24"/>
          <w:szCs w:val="24"/>
        </w:rPr>
      </w:pPr>
    </w:p>
    <w:p w14:paraId="6E08330A" w14:textId="4B9B015D" w:rsidR="00EB2472" w:rsidRPr="00BD58C0" w:rsidRDefault="00EB2472" w:rsidP="00A4282F">
      <w:pPr>
        <w:spacing w:after="0" w:line="360" w:lineRule="auto"/>
        <w:jc w:val="both"/>
        <w:rPr>
          <w:rFonts w:ascii="Times New Roman" w:hAnsi="Times New Roman" w:cs="Times New Roman"/>
          <w:b/>
          <w:bCs/>
          <w:sz w:val="24"/>
          <w:szCs w:val="24"/>
        </w:rPr>
      </w:pPr>
    </w:p>
    <w:p w14:paraId="14903B02" w14:textId="7C34769E" w:rsidR="00EB2472" w:rsidRPr="00BD58C0" w:rsidRDefault="00EB2472" w:rsidP="00A4282F">
      <w:pPr>
        <w:spacing w:after="0" w:line="360" w:lineRule="auto"/>
        <w:jc w:val="both"/>
        <w:rPr>
          <w:rFonts w:ascii="Times New Roman" w:hAnsi="Times New Roman" w:cs="Times New Roman"/>
          <w:b/>
          <w:bCs/>
          <w:sz w:val="24"/>
          <w:szCs w:val="24"/>
        </w:rPr>
      </w:pPr>
    </w:p>
    <w:p w14:paraId="03B782C3" w14:textId="322033F4" w:rsidR="00EB2472" w:rsidRPr="00BD58C0" w:rsidRDefault="00EB2472" w:rsidP="00A4282F">
      <w:pPr>
        <w:spacing w:after="0" w:line="360" w:lineRule="auto"/>
        <w:jc w:val="both"/>
        <w:rPr>
          <w:rFonts w:ascii="Times New Roman" w:hAnsi="Times New Roman" w:cs="Times New Roman"/>
          <w:b/>
          <w:bCs/>
          <w:sz w:val="24"/>
          <w:szCs w:val="24"/>
        </w:rPr>
      </w:pPr>
    </w:p>
    <w:p w14:paraId="1875EB90" w14:textId="7EDAB792" w:rsidR="00EB2472" w:rsidRPr="00BD58C0" w:rsidRDefault="00EB2472" w:rsidP="00A4282F">
      <w:pPr>
        <w:spacing w:after="0" w:line="360" w:lineRule="auto"/>
        <w:jc w:val="both"/>
        <w:rPr>
          <w:rFonts w:ascii="Times New Roman" w:hAnsi="Times New Roman" w:cs="Times New Roman"/>
          <w:b/>
          <w:bCs/>
          <w:sz w:val="24"/>
          <w:szCs w:val="24"/>
        </w:rPr>
      </w:pPr>
    </w:p>
    <w:p w14:paraId="27C14816" w14:textId="3CF74B22" w:rsidR="00EB2472" w:rsidRPr="00BD58C0" w:rsidRDefault="00EB2472" w:rsidP="00A4282F">
      <w:pPr>
        <w:spacing w:after="0" w:line="360" w:lineRule="auto"/>
        <w:jc w:val="both"/>
        <w:rPr>
          <w:rFonts w:ascii="Times New Roman" w:hAnsi="Times New Roman" w:cs="Times New Roman"/>
          <w:b/>
          <w:bCs/>
          <w:sz w:val="24"/>
          <w:szCs w:val="24"/>
        </w:rPr>
      </w:pPr>
    </w:p>
    <w:p w14:paraId="760A3AB4" w14:textId="017B060D" w:rsidR="00EB2472" w:rsidRPr="00BD58C0" w:rsidRDefault="00EB2472" w:rsidP="00A4282F">
      <w:pPr>
        <w:spacing w:after="0" w:line="360" w:lineRule="auto"/>
        <w:jc w:val="both"/>
        <w:rPr>
          <w:rFonts w:ascii="Times New Roman" w:hAnsi="Times New Roman" w:cs="Times New Roman"/>
          <w:b/>
          <w:bCs/>
          <w:sz w:val="24"/>
          <w:szCs w:val="24"/>
        </w:rPr>
      </w:pPr>
    </w:p>
    <w:p w14:paraId="5070808C" w14:textId="77777777" w:rsidR="00EB2472" w:rsidRPr="00BD58C0" w:rsidRDefault="00EB2472" w:rsidP="00A4282F">
      <w:pPr>
        <w:spacing w:after="0" w:line="360" w:lineRule="auto"/>
        <w:jc w:val="both"/>
        <w:rPr>
          <w:rFonts w:ascii="Times New Roman" w:hAnsi="Times New Roman" w:cs="Times New Roman"/>
          <w:b/>
          <w:bCs/>
          <w:sz w:val="24"/>
          <w:szCs w:val="24"/>
        </w:rPr>
      </w:pPr>
    </w:p>
    <w:p w14:paraId="670C4F50" w14:textId="06FA4C4B" w:rsidR="009C7AB9" w:rsidRPr="00BD58C0" w:rsidRDefault="00A4282F" w:rsidP="00A4282F">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lastRenderedPageBreak/>
        <w:t>1.</w:t>
      </w:r>
      <w:r w:rsidR="00F335E8" w:rsidRPr="00BD58C0">
        <w:rPr>
          <w:rFonts w:ascii="Times New Roman" w:hAnsi="Times New Roman" w:cs="Times New Roman"/>
          <w:b/>
          <w:bCs/>
          <w:sz w:val="24"/>
          <w:szCs w:val="24"/>
        </w:rPr>
        <w:tab/>
      </w:r>
      <w:r w:rsidR="00FD1369" w:rsidRPr="00BD58C0">
        <w:rPr>
          <w:rFonts w:ascii="Times New Roman" w:hAnsi="Times New Roman" w:cs="Times New Roman"/>
          <w:b/>
          <w:bCs/>
          <w:sz w:val="24"/>
          <w:szCs w:val="24"/>
        </w:rPr>
        <w:t>Introduction</w:t>
      </w:r>
    </w:p>
    <w:p w14:paraId="195A8207" w14:textId="403B02A3" w:rsidR="00C0287E" w:rsidRPr="00BD58C0" w:rsidRDefault="00C0287E" w:rsidP="00C0287E">
      <w:pPr>
        <w:spacing w:after="0" w:line="360" w:lineRule="auto"/>
        <w:jc w:val="both"/>
        <w:rPr>
          <w:rFonts w:ascii="Times New Roman" w:hAnsi="Times New Roman" w:cs="Times New Roman"/>
          <w:b/>
          <w:bCs/>
          <w:sz w:val="24"/>
          <w:szCs w:val="24"/>
        </w:rPr>
      </w:pPr>
    </w:p>
    <w:p w14:paraId="7A0BBF3C" w14:textId="4B5D2175" w:rsidR="006C473F" w:rsidRPr="00BD58C0" w:rsidRDefault="00FD1369" w:rsidP="006C473F">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Malaysia</w:t>
      </w:r>
      <w:r w:rsidR="001837C6" w:rsidRPr="00BD58C0">
        <w:rPr>
          <w:rFonts w:ascii="Times New Roman" w:hAnsi="Times New Roman" w:cs="Times New Roman"/>
          <w:sz w:val="24"/>
          <w:szCs w:val="24"/>
        </w:rPr>
        <w:t xml:space="preserve"> </w:t>
      </w:r>
      <w:r w:rsidR="00501B7D" w:rsidRPr="00BD58C0">
        <w:rPr>
          <w:rFonts w:ascii="Times New Roman" w:hAnsi="Times New Roman" w:cs="Times New Roman"/>
          <w:sz w:val="24"/>
          <w:szCs w:val="24"/>
        </w:rPr>
        <w:t xml:space="preserve">is </w:t>
      </w:r>
      <w:r w:rsidR="001E1E42" w:rsidRPr="00BD58C0">
        <w:rPr>
          <w:rFonts w:ascii="Times New Roman" w:hAnsi="Times New Roman" w:cs="Times New Roman"/>
          <w:sz w:val="24"/>
          <w:szCs w:val="24"/>
        </w:rPr>
        <w:t>rapidly developing</w:t>
      </w:r>
      <w:r w:rsidR="00906486" w:rsidRPr="00BD58C0">
        <w:rPr>
          <w:rFonts w:ascii="Times New Roman" w:hAnsi="Times New Roman" w:cs="Times New Roman"/>
          <w:sz w:val="24"/>
          <w:szCs w:val="24"/>
        </w:rPr>
        <w:t xml:space="preserve"> to</w:t>
      </w:r>
      <w:r w:rsidR="00337EFA" w:rsidRPr="00BD58C0">
        <w:rPr>
          <w:rFonts w:ascii="Times New Roman" w:hAnsi="Times New Roman" w:cs="Times New Roman"/>
          <w:sz w:val="24"/>
          <w:szCs w:val="24"/>
        </w:rPr>
        <w:t>wards</w:t>
      </w:r>
      <w:r w:rsidR="00906486" w:rsidRPr="00BD58C0">
        <w:rPr>
          <w:rFonts w:ascii="Times New Roman" w:hAnsi="Times New Roman" w:cs="Times New Roman"/>
          <w:sz w:val="24"/>
          <w:szCs w:val="24"/>
        </w:rPr>
        <w:t xml:space="preserve"> </w:t>
      </w:r>
      <w:r w:rsidR="00BB1CE3" w:rsidRPr="00BD58C0">
        <w:rPr>
          <w:rFonts w:ascii="Times New Roman" w:hAnsi="Times New Roman" w:cs="Times New Roman"/>
          <w:sz w:val="24"/>
          <w:szCs w:val="24"/>
        </w:rPr>
        <w:t xml:space="preserve">a more </w:t>
      </w:r>
      <w:r w:rsidR="004A39E0" w:rsidRPr="00BD58C0">
        <w:rPr>
          <w:rFonts w:ascii="Times New Roman" w:hAnsi="Times New Roman" w:cs="Times New Roman"/>
          <w:sz w:val="24"/>
          <w:szCs w:val="24"/>
        </w:rPr>
        <w:t xml:space="preserve">industrial </w:t>
      </w:r>
      <w:r w:rsidR="00BB1CE3" w:rsidRPr="00BD58C0">
        <w:rPr>
          <w:rFonts w:ascii="Times New Roman" w:hAnsi="Times New Roman" w:cs="Times New Roman"/>
          <w:sz w:val="24"/>
          <w:szCs w:val="24"/>
        </w:rPr>
        <w:t>economy</w:t>
      </w:r>
      <w:r w:rsidR="00906486" w:rsidRPr="00BD58C0">
        <w:rPr>
          <w:rFonts w:ascii="Times New Roman" w:hAnsi="Times New Roman" w:cs="Times New Roman"/>
          <w:sz w:val="24"/>
          <w:szCs w:val="24"/>
        </w:rPr>
        <w:t xml:space="preserve"> [1]. </w:t>
      </w:r>
      <w:r w:rsidR="007A0161" w:rsidRPr="00BD58C0">
        <w:rPr>
          <w:rFonts w:ascii="Times New Roman" w:hAnsi="Times New Roman" w:cs="Times New Roman"/>
          <w:sz w:val="24"/>
          <w:szCs w:val="24"/>
        </w:rPr>
        <w:t xml:space="preserve">To power its development and economic growth, </w:t>
      </w:r>
      <w:r w:rsidR="00885E3A" w:rsidRPr="00BD58C0">
        <w:rPr>
          <w:rFonts w:ascii="Times New Roman" w:hAnsi="Times New Roman" w:cs="Times New Roman"/>
          <w:sz w:val="24"/>
          <w:szCs w:val="24"/>
        </w:rPr>
        <w:t xml:space="preserve">Malaysia </w:t>
      </w:r>
      <w:r w:rsidR="007A0161" w:rsidRPr="00BD58C0">
        <w:rPr>
          <w:rFonts w:ascii="Times New Roman" w:hAnsi="Times New Roman" w:cs="Times New Roman"/>
          <w:sz w:val="24"/>
          <w:szCs w:val="24"/>
        </w:rPr>
        <w:t>relies on</w:t>
      </w:r>
      <w:r w:rsidR="001837C6" w:rsidRPr="00BD58C0">
        <w:rPr>
          <w:rFonts w:ascii="Times New Roman" w:hAnsi="Times New Roman" w:cs="Times New Roman"/>
          <w:sz w:val="24"/>
          <w:szCs w:val="24"/>
        </w:rPr>
        <w:t xml:space="preserve"> </w:t>
      </w:r>
      <w:r w:rsidR="00885E3A" w:rsidRPr="00BD58C0">
        <w:rPr>
          <w:rFonts w:ascii="Times New Roman" w:hAnsi="Times New Roman" w:cs="Times New Roman"/>
          <w:sz w:val="24"/>
          <w:szCs w:val="24"/>
        </w:rPr>
        <w:t>fossil fuels</w:t>
      </w:r>
      <w:r w:rsidR="001837C6" w:rsidRPr="00BD58C0">
        <w:rPr>
          <w:rFonts w:ascii="Times New Roman" w:hAnsi="Times New Roman" w:cs="Times New Roman"/>
          <w:sz w:val="24"/>
          <w:szCs w:val="24"/>
        </w:rPr>
        <w:t>, which</w:t>
      </w:r>
      <w:r w:rsidR="0079462F" w:rsidRPr="00BD58C0">
        <w:rPr>
          <w:rFonts w:ascii="Times New Roman" w:hAnsi="Times New Roman" w:cs="Times New Roman"/>
          <w:sz w:val="24"/>
          <w:szCs w:val="24"/>
        </w:rPr>
        <w:t xml:space="preserve"> </w:t>
      </w:r>
      <w:r w:rsidR="001837C6" w:rsidRPr="00BD58C0">
        <w:rPr>
          <w:rFonts w:ascii="Times New Roman" w:hAnsi="Times New Roman" w:cs="Times New Roman"/>
          <w:sz w:val="24"/>
          <w:szCs w:val="24"/>
        </w:rPr>
        <w:t>are</w:t>
      </w:r>
      <w:r w:rsidR="00BB1CE3" w:rsidRPr="00BD58C0">
        <w:rPr>
          <w:rFonts w:ascii="Times New Roman" w:hAnsi="Times New Roman" w:cs="Times New Roman"/>
          <w:sz w:val="24"/>
          <w:szCs w:val="24"/>
        </w:rPr>
        <w:t xml:space="preserve"> expected to </w:t>
      </w:r>
      <w:r w:rsidR="001837C6" w:rsidRPr="00BD58C0">
        <w:rPr>
          <w:rFonts w:ascii="Times New Roman" w:hAnsi="Times New Roman" w:cs="Times New Roman"/>
          <w:sz w:val="24"/>
          <w:szCs w:val="24"/>
        </w:rPr>
        <w:t xml:space="preserve">constitute </w:t>
      </w:r>
      <w:r w:rsidR="004A39E0" w:rsidRPr="00BD58C0">
        <w:rPr>
          <w:rFonts w:ascii="Times New Roman" w:hAnsi="Times New Roman" w:cs="Times New Roman"/>
          <w:sz w:val="24"/>
          <w:szCs w:val="24"/>
        </w:rPr>
        <w:t>&gt;</w:t>
      </w:r>
      <w:r w:rsidR="00885E3A" w:rsidRPr="00BD58C0">
        <w:rPr>
          <w:rFonts w:ascii="Times New Roman" w:hAnsi="Times New Roman" w:cs="Times New Roman"/>
          <w:sz w:val="24"/>
          <w:szCs w:val="24"/>
        </w:rPr>
        <w:t xml:space="preserve">90% </w:t>
      </w:r>
      <w:r w:rsidR="00BB1CE3" w:rsidRPr="00BD58C0">
        <w:rPr>
          <w:rFonts w:ascii="Times New Roman" w:hAnsi="Times New Roman" w:cs="Times New Roman"/>
          <w:sz w:val="24"/>
          <w:szCs w:val="24"/>
        </w:rPr>
        <w:t xml:space="preserve">of the </w:t>
      </w:r>
      <w:r w:rsidR="007A0161" w:rsidRPr="00BD58C0">
        <w:rPr>
          <w:rFonts w:ascii="Times New Roman" w:hAnsi="Times New Roman" w:cs="Times New Roman"/>
          <w:sz w:val="24"/>
          <w:szCs w:val="24"/>
        </w:rPr>
        <w:t xml:space="preserve">energy </w:t>
      </w:r>
      <w:r w:rsidR="00BB1CE3" w:rsidRPr="00BD58C0">
        <w:rPr>
          <w:rFonts w:ascii="Times New Roman" w:hAnsi="Times New Roman" w:cs="Times New Roman"/>
          <w:sz w:val="24"/>
          <w:szCs w:val="24"/>
        </w:rPr>
        <w:t xml:space="preserve">mix </w:t>
      </w:r>
      <w:r w:rsidR="00885E3A" w:rsidRPr="00BD58C0">
        <w:rPr>
          <w:rFonts w:ascii="Times New Roman" w:hAnsi="Times New Roman" w:cs="Times New Roman"/>
          <w:sz w:val="24"/>
          <w:szCs w:val="24"/>
        </w:rPr>
        <w:t>by 2040 [</w:t>
      </w:r>
      <w:r w:rsidR="00AB50B5" w:rsidRPr="00BD58C0">
        <w:rPr>
          <w:rFonts w:ascii="Times New Roman" w:hAnsi="Times New Roman" w:cs="Times New Roman"/>
          <w:sz w:val="24"/>
          <w:szCs w:val="24"/>
        </w:rPr>
        <w:t>2</w:t>
      </w:r>
      <w:r w:rsidR="00885E3A" w:rsidRPr="00BD58C0">
        <w:rPr>
          <w:rFonts w:ascii="Times New Roman" w:hAnsi="Times New Roman" w:cs="Times New Roman"/>
          <w:sz w:val="24"/>
          <w:szCs w:val="24"/>
        </w:rPr>
        <w:t xml:space="preserve">]. </w:t>
      </w:r>
      <w:r w:rsidR="001C5413" w:rsidRPr="00BD58C0">
        <w:rPr>
          <w:rFonts w:ascii="Times New Roman" w:hAnsi="Times New Roman" w:cs="Times New Roman"/>
          <w:sz w:val="24"/>
          <w:szCs w:val="24"/>
        </w:rPr>
        <w:t>Breakdown of the country’s total primary energy supply i</w:t>
      </w:r>
      <w:r w:rsidR="00276548" w:rsidRPr="00BD58C0">
        <w:rPr>
          <w:rFonts w:ascii="Times New Roman" w:hAnsi="Times New Roman" w:cs="Times New Roman"/>
          <w:sz w:val="24"/>
          <w:szCs w:val="24"/>
        </w:rPr>
        <w:t>n 2018</w:t>
      </w:r>
      <w:r w:rsidR="008F3712" w:rsidRPr="00BD58C0">
        <w:rPr>
          <w:rFonts w:ascii="Times New Roman" w:hAnsi="Times New Roman" w:cs="Times New Roman"/>
          <w:sz w:val="24"/>
          <w:szCs w:val="24"/>
        </w:rPr>
        <w:t xml:space="preserve"> saw </w:t>
      </w:r>
      <w:r w:rsidR="00276548" w:rsidRPr="00BD58C0">
        <w:rPr>
          <w:rFonts w:ascii="Times New Roman" w:hAnsi="Times New Roman" w:cs="Times New Roman"/>
          <w:sz w:val="24"/>
          <w:szCs w:val="24"/>
        </w:rPr>
        <w:t xml:space="preserve">natural gas </w:t>
      </w:r>
      <w:r w:rsidR="008F3712" w:rsidRPr="00BD58C0">
        <w:rPr>
          <w:rFonts w:ascii="Times New Roman" w:hAnsi="Times New Roman" w:cs="Times New Roman"/>
          <w:sz w:val="24"/>
          <w:szCs w:val="24"/>
        </w:rPr>
        <w:t>with</w:t>
      </w:r>
      <w:r w:rsidR="00276548" w:rsidRPr="00BD58C0">
        <w:rPr>
          <w:rFonts w:ascii="Times New Roman" w:hAnsi="Times New Roman" w:cs="Times New Roman"/>
          <w:sz w:val="24"/>
          <w:szCs w:val="24"/>
        </w:rPr>
        <w:t xml:space="preserve"> the highest contribution (41.0%), followed by crude oil and petroleum products (29.5%), coal and coke (22.3%), hydropower (6.2%), biodiesel (0.4%), biomass (0.2%), solar (0.2%) and biogas (0.2%) [</w:t>
      </w:r>
      <w:r w:rsidR="00B24C11" w:rsidRPr="00BD58C0">
        <w:rPr>
          <w:rFonts w:ascii="Times New Roman" w:hAnsi="Times New Roman" w:cs="Times New Roman"/>
          <w:sz w:val="24"/>
          <w:szCs w:val="24"/>
        </w:rPr>
        <w:t>3</w:t>
      </w:r>
      <w:r w:rsidR="00276548" w:rsidRPr="00BD58C0">
        <w:rPr>
          <w:rFonts w:ascii="Times New Roman" w:hAnsi="Times New Roman" w:cs="Times New Roman"/>
          <w:sz w:val="24"/>
          <w:szCs w:val="24"/>
        </w:rPr>
        <w:t xml:space="preserve">]. To curtail its overreliance on fossil fuels, </w:t>
      </w:r>
      <w:r w:rsidR="00F0756D" w:rsidRPr="00BD58C0">
        <w:rPr>
          <w:rFonts w:ascii="Times New Roman" w:hAnsi="Times New Roman" w:cs="Times New Roman"/>
          <w:sz w:val="24"/>
          <w:szCs w:val="24"/>
        </w:rPr>
        <w:t>the Malaysian government set a target</w:t>
      </w:r>
      <w:r w:rsidR="00276548" w:rsidRPr="00BD58C0">
        <w:rPr>
          <w:rFonts w:ascii="Times New Roman" w:hAnsi="Times New Roman" w:cs="Times New Roman"/>
          <w:sz w:val="24"/>
          <w:szCs w:val="24"/>
        </w:rPr>
        <w:t xml:space="preserve"> in 2018</w:t>
      </w:r>
      <w:r w:rsidR="00B77DCB" w:rsidRPr="00BD58C0">
        <w:rPr>
          <w:rFonts w:ascii="Times New Roman" w:hAnsi="Times New Roman" w:cs="Times New Roman"/>
          <w:sz w:val="24"/>
          <w:szCs w:val="24"/>
        </w:rPr>
        <w:t xml:space="preserve"> </w:t>
      </w:r>
      <w:r w:rsidR="00F0756D" w:rsidRPr="00BD58C0">
        <w:rPr>
          <w:rFonts w:ascii="Times New Roman" w:hAnsi="Times New Roman" w:cs="Times New Roman"/>
          <w:sz w:val="24"/>
          <w:szCs w:val="24"/>
        </w:rPr>
        <w:t>of 20% renewable energy</w:t>
      </w:r>
      <w:r w:rsidR="00B70DEF" w:rsidRPr="00BD58C0">
        <w:rPr>
          <w:rFonts w:ascii="Times New Roman" w:hAnsi="Times New Roman" w:cs="Times New Roman"/>
          <w:sz w:val="24"/>
          <w:szCs w:val="24"/>
        </w:rPr>
        <w:t xml:space="preserve"> </w:t>
      </w:r>
      <w:r w:rsidR="00F0756D" w:rsidRPr="00BD58C0">
        <w:rPr>
          <w:rFonts w:ascii="Times New Roman" w:hAnsi="Times New Roman" w:cs="Times New Roman"/>
          <w:sz w:val="24"/>
          <w:szCs w:val="24"/>
        </w:rPr>
        <w:t>capacity in its energy mix by 2025 [</w:t>
      </w:r>
      <w:r w:rsidR="00B24C11" w:rsidRPr="00BD58C0">
        <w:rPr>
          <w:rFonts w:ascii="Times New Roman" w:hAnsi="Times New Roman" w:cs="Times New Roman"/>
          <w:sz w:val="24"/>
          <w:szCs w:val="24"/>
        </w:rPr>
        <w:t>4</w:t>
      </w:r>
      <w:r w:rsidR="00F0756D" w:rsidRPr="00BD58C0">
        <w:rPr>
          <w:rFonts w:ascii="Times New Roman" w:hAnsi="Times New Roman" w:cs="Times New Roman"/>
          <w:sz w:val="24"/>
          <w:szCs w:val="24"/>
        </w:rPr>
        <w:t>]. However,</w:t>
      </w:r>
      <w:r w:rsidR="001837C6" w:rsidRPr="00BD58C0">
        <w:rPr>
          <w:rFonts w:ascii="Times New Roman" w:hAnsi="Times New Roman" w:cs="Times New Roman"/>
          <w:sz w:val="24"/>
          <w:szCs w:val="24"/>
        </w:rPr>
        <w:t xml:space="preserve"> </w:t>
      </w:r>
      <w:r w:rsidR="00CC47F6" w:rsidRPr="00BD58C0">
        <w:rPr>
          <w:rFonts w:ascii="Times New Roman" w:hAnsi="Times New Roman" w:cs="Times New Roman"/>
          <w:sz w:val="24"/>
          <w:szCs w:val="24"/>
        </w:rPr>
        <w:t xml:space="preserve">as </w:t>
      </w:r>
      <w:r w:rsidR="004A39E0" w:rsidRPr="00BD58C0">
        <w:rPr>
          <w:rFonts w:ascii="Times New Roman" w:hAnsi="Times New Roman" w:cs="Times New Roman"/>
          <w:sz w:val="24"/>
          <w:szCs w:val="24"/>
        </w:rPr>
        <w:t xml:space="preserve">renewable energy </w:t>
      </w:r>
      <w:r w:rsidR="001837C6" w:rsidRPr="00BD58C0">
        <w:rPr>
          <w:rFonts w:ascii="Times New Roman" w:hAnsi="Times New Roman" w:cs="Times New Roman"/>
          <w:sz w:val="24"/>
          <w:szCs w:val="24"/>
        </w:rPr>
        <w:t xml:space="preserve">currently </w:t>
      </w:r>
      <w:r w:rsidR="00BC6FA0" w:rsidRPr="00BD58C0">
        <w:rPr>
          <w:rFonts w:ascii="Times New Roman" w:hAnsi="Times New Roman" w:cs="Times New Roman"/>
          <w:sz w:val="24"/>
          <w:szCs w:val="24"/>
        </w:rPr>
        <w:t>contribute</w:t>
      </w:r>
      <w:r w:rsidR="001837C6" w:rsidRPr="00BD58C0">
        <w:rPr>
          <w:rFonts w:ascii="Times New Roman" w:hAnsi="Times New Roman" w:cs="Times New Roman"/>
          <w:sz w:val="24"/>
          <w:szCs w:val="24"/>
        </w:rPr>
        <w:t>s</w:t>
      </w:r>
      <w:r w:rsidR="00BC6FA0" w:rsidRPr="00BD58C0">
        <w:rPr>
          <w:rFonts w:ascii="Times New Roman" w:hAnsi="Times New Roman" w:cs="Times New Roman"/>
          <w:sz w:val="24"/>
          <w:szCs w:val="24"/>
        </w:rPr>
        <w:t xml:space="preserve"> </w:t>
      </w:r>
      <w:r w:rsidR="00F0756D" w:rsidRPr="00BD58C0">
        <w:rPr>
          <w:rFonts w:ascii="Times New Roman" w:hAnsi="Times New Roman" w:cs="Times New Roman"/>
          <w:sz w:val="24"/>
          <w:szCs w:val="24"/>
        </w:rPr>
        <w:t xml:space="preserve">only </w:t>
      </w:r>
      <w:r w:rsidR="00BC6FA0" w:rsidRPr="00BD58C0">
        <w:rPr>
          <w:rFonts w:ascii="Times New Roman" w:hAnsi="Times New Roman" w:cs="Times New Roman"/>
          <w:sz w:val="24"/>
          <w:szCs w:val="24"/>
        </w:rPr>
        <w:t xml:space="preserve">about 1-2% </w:t>
      </w:r>
      <w:r w:rsidR="00BB1CE3" w:rsidRPr="00BD58C0">
        <w:rPr>
          <w:rFonts w:ascii="Times New Roman" w:hAnsi="Times New Roman" w:cs="Times New Roman"/>
          <w:sz w:val="24"/>
          <w:szCs w:val="24"/>
        </w:rPr>
        <w:t>of</w:t>
      </w:r>
      <w:r w:rsidR="00BC6FA0" w:rsidRPr="00BD58C0">
        <w:rPr>
          <w:rFonts w:ascii="Times New Roman" w:hAnsi="Times New Roman" w:cs="Times New Roman"/>
          <w:sz w:val="24"/>
          <w:szCs w:val="24"/>
        </w:rPr>
        <w:t xml:space="preserve"> the</w:t>
      </w:r>
      <w:r w:rsidR="000777EF" w:rsidRPr="00BD58C0">
        <w:rPr>
          <w:rFonts w:ascii="Times New Roman" w:hAnsi="Times New Roman" w:cs="Times New Roman"/>
          <w:sz w:val="24"/>
          <w:szCs w:val="24"/>
        </w:rPr>
        <w:t xml:space="preserve"> total</w:t>
      </w:r>
      <w:r w:rsidR="00BC6FA0" w:rsidRPr="00BD58C0">
        <w:rPr>
          <w:rFonts w:ascii="Times New Roman" w:hAnsi="Times New Roman" w:cs="Times New Roman"/>
          <w:sz w:val="24"/>
          <w:szCs w:val="24"/>
        </w:rPr>
        <w:t xml:space="preserve"> energy mix</w:t>
      </w:r>
      <w:r w:rsidR="00A707A1" w:rsidRPr="00BD58C0">
        <w:rPr>
          <w:rFonts w:ascii="Times New Roman" w:hAnsi="Times New Roman" w:cs="Times New Roman"/>
          <w:sz w:val="24"/>
          <w:szCs w:val="24"/>
        </w:rPr>
        <w:t xml:space="preserve"> </w:t>
      </w:r>
      <w:r w:rsidR="00431108" w:rsidRPr="00BD58C0">
        <w:rPr>
          <w:rFonts w:ascii="Times New Roman" w:hAnsi="Times New Roman" w:cs="Times New Roman"/>
          <w:sz w:val="24"/>
          <w:szCs w:val="24"/>
        </w:rPr>
        <w:t>[</w:t>
      </w:r>
      <w:r w:rsidR="00B24C11" w:rsidRPr="00BD58C0">
        <w:rPr>
          <w:rFonts w:ascii="Times New Roman" w:hAnsi="Times New Roman" w:cs="Times New Roman"/>
          <w:sz w:val="24"/>
          <w:szCs w:val="24"/>
        </w:rPr>
        <w:t>5</w:t>
      </w:r>
      <w:r w:rsidR="00431108" w:rsidRPr="00BD58C0">
        <w:rPr>
          <w:rFonts w:ascii="Times New Roman" w:hAnsi="Times New Roman" w:cs="Times New Roman"/>
          <w:sz w:val="24"/>
          <w:szCs w:val="24"/>
        </w:rPr>
        <w:t>]</w:t>
      </w:r>
      <w:r w:rsidR="00A707A1" w:rsidRPr="00BD58C0">
        <w:rPr>
          <w:rFonts w:ascii="Times New Roman" w:hAnsi="Times New Roman" w:cs="Times New Roman"/>
          <w:sz w:val="24"/>
          <w:szCs w:val="24"/>
        </w:rPr>
        <w:t>,</w:t>
      </w:r>
      <w:r w:rsidR="00CC47F6" w:rsidRPr="00BD58C0">
        <w:rPr>
          <w:rFonts w:ascii="Times New Roman" w:hAnsi="Times New Roman" w:cs="Times New Roman"/>
          <w:sz w:val="24"/>
          <w:szCs w:val="24"/>
        </w:rPr>
        <w:t xml:space="preserve"> </w:t>
      </w:r>
      <w:r w:rsidR="006C473F" w:rsidRPr="00BD58C0">
        <w:rPr>
          <w:rFonts w:ascii="Times New Roman" w:hAnsi="Times New Roman" w:cs="Times New Roman"/>
          <w:sz w:val="24"/>
          <w:szCs w:val="24"/>
        </w:rPr>
        <w:t>i</w:t>
      </w:r>
      <w:r w:rsidR="00F0756D" w:rsidRPr="00BD58C0">
        <w:rPr>
          <w:rFonts w:ascii="Times New Roman" w:hAnsi="Times New Roman" w:cs="Times New Roman"/>
          <w:sz w:val="24"/>
          <w:szCs w:val="24"/>
        </w:rPr>
        <w:t>ncreased efforts are needed</w:t>
      </w:r>
      <w:r w:rsidR="006C473F" w:rsidRPr="00BD58C0">
        <w:rPr>
          <w:rFonts w:ascii="Times New Roman" w:hAnsi="Times New Roman" w:cs="Times New Roman"/>
          <w:sz w:val="24"/>
          <w:szCs w:val="24"/>
        </w:rPr>
        <w:t xml:space="preserve"> if Malaysia is to meet </w:t>
      </w:r>
      <w:r w:rsidR="000F2A60" w:rsidRPr="00BD58C0">
        <w:rPr>
          <w:rFonts w:ascii="Times New Roman" w:hAnsi="Times New Roman" w:cs="Times New Roman"/>
          <w:sz w:val="24"/>
          <w:szCs w:val="24"/>
        </w:rPr>
        <w:t>its</w:t>
      </w:r>
      <w:r w:rsidR="006C473F" w:rsidRPr="00BD58C0">
        <w:rPr>
          <w:rFonts w:ascii="Times New Roman" w:hAnsi="Times New Roman" w:cs="Times New Roman"/>
          <w:sz w:val="24"/>
          <w:szCs w:val="24"/>
        </w:rPr>
        <w:t xml:space="preserve"> target.</w:t>
      </w:r>
      <w:r w:rsidR="00F0756D" w:rsidRPr="00BD58C0">
        <w:rPr>
          <w:rFonts w:ascii="Times New Roman" w:hAnsi="Times New Roman" w:cs="Times New Roman"/>
          <w:sz w:val="24"/>
          <w:szCs w:val="24"/>
        </w:rPr>
        <w:t xml:space="preserve"> </w:t>
      </w:r>
    </w:p>
    <w:p w14:paraId="2D2AB7C0" w14:textId="67F14E00" w:rsidR="00862434" w:rsidRPr="00BD58C0" w:rsidRDefault="00A63CE9" w:rsidP="006C473F">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Malaysia </w:t>
      </w:r>
      <w:r w:rsidR="00E025E5" w:rsidRPr="00BD58C0">
        <w:rPr>
          <w:rFonts w:ascii="Times New Roman" w:hAnsi="Times New Roman" w:cs="Times New Roman"/>
          <w:sz w:val="24"/>
          <w:szCs w:val="24"/>
        </w:rPr>
        <w:t>has abundant</w:t>
      </w:r>
      <w:r w:rsidRPr="00BD58C0">
        <w:rPr>
          <w:rFonts w:ascii="Times New Roman" w:hAnsi="Times New Roman" w:cs="Times New Roman"/>
          <w:sz w:val="24"/>
          <w:szCs w:val="24"/>
        </w:rPr>
        <w:t xml:space="preserve"> biomass</w:t>
      </w:r>
      <w:r w:rsidR="002F2851" w:rsidRPr="00BD58C0">
        <w:rPr>
          <w:rFonts w:ascii="Times New Roman" w:hAnsi="Times New Roman" w:cs="Times New Roman"/>
          <w:sz w:val="24"/>
          <w:szCs w:val="24"/>
        </w:rPr>
        <w:t xml:space="preserve"> </w:t>
      </w:r>
      <w:r w:rsidR="004A39E0" w:rsidRPr="00BD58C0">
        <w:rPr>
          <w:rFonts w:ascii="Times New Roman" w:hAnsi="Times New Roman" w:cs="Times New Roman"/>
          <w:sz w:val="24"/>
          <w:szCs w:val="24"/>
        </w:rPr>
        <w:t>waste</w:t>
      </w:r>
      <w:r w:rsidRPr="00BD58C0">
        <w:rPr>
          <w:rFonts w:ascii="Times New Roman" w:hAnsi="Times New Roman" w:cs="Times New Roman"/>
          <w:sz w:val="24"/>
          <w:szCs w:val="24"/>
        </w:rPr>
        <w:t xml:space="preserve"> due to its suitable climate for agricultural activities</w:t>
      </w:r>
      <w:r w:rsidR="0057400E" w:rsidRPr="00BD58C0">
        <w:rPr>
          <w:rFonts w:ascii="Times New Roman" w:hAnsi="Times New Roman" w:cs="Times New Roman"/>
          <w:sz w:val="24"/>
          <w:szCs w:val="24"/>
        </w:rPr>
        <w:t xml:space="preserve">, </w:t>
      </w:r>
      <w:r w:rsidR="00253EF2" w:rsidRPr="00BD58C0">
        <w:rPr>
          <w:rFonts w:ascii="Times New Roman" w:hAnsi="Times New Roman" w:cs="Times New Roman"/>
          <w:sz w:val="24"/>
          <w:szCs w:val="24"/>
        </w:rPr>
        <w:t>forestry,</w:t>
      </w:r>
      <w:r w:rsidRPr="00BD58C0">
        <w:rPr>
          <w:rFonts w:ascii="Times New Roman" w:hAnsi="Times New Roman" w:cs="Times New Roman"/>
          <w:sz w:val="24"/>
          <w:szCs w:val="24"/>
        </w:rPr>
        <w:t xml:space="preserve"> </w:t>
      </w:r>
      <w:r w:rsidR="0057400E" w:rsidRPr="00BD58C0">
        <w:rPr>
          <w:rFonts w:ascii="Times New Roman" w:hAnsi="Times New Roman" w:cs="Times New Roman"/>
          <w:sz w:val="24"/>
          <w:szCs w:val="24"/>
        </w:rPr>
        <w:t xml:space="preserve">and </w:t>
      </w:r>
      <w:r w:rsidRPr="00BD58C0">
        <w:rPr>
          <w:rFonts w:ascii="Times New Roman" w:hAnsi="Times New Roman" w:cs="Times New Roman"/>
          <w:sz w:val="24"/>
          <w:szCs w:val="24"/>
        </w:rPr>
        <w:t>timber industries</w:t>
      </w:r>
      <w:r w:rsidR="006C473F"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57400E" w:rsidRPr="00BD58C0">
        <w:rPr>
          <w:rFonts w:ascii="Times New Roman" w:hAnsi="Times New Roman" w:cs="Times New Roman"/>
          <w:sz w:val="24"/>
          <w:szCs w:val="24"/>
        </w:rPr>
        <w:t xml:space="preserve">which typically </w:t>
      </w:r>
      <w:r w:rsidRPr="00BD58C0">
        <w:rPr>
          <w:rFonts w:ascii="Times New Roman" w:hAnsi="Times New Roman" w:cs="Times New Roman"/>
          <w:sz w:val="24"/>
          <w:szCs w:val="24"/>
        </w:rPr>
        <w:t>generat</w:t>
      </w:r>
      <w:r w:rsidR="0057400E" w:rsidRPr="00BD58C0">
        <w:rPr>
          <w:rFonts w:ascii="Times New Roman" w:hAnsi="Times New Roman" w:cs="Times New Roman"/>
          <w:sz w:val="24"/>
          <w:szCs w:val="24"/>
        </w:rPr>
        <w:t>e</w:t>
      </w:r>
      <w:r w:rsidRPr="00BD58C0">
        <w:rPr>
          <w:rFonts w:ascii="Times New Roman" w:hAnsi="Times New Roman" w:cs="Times New Roman"/>
          <w:sz w:val="24"/>
          <w:szCs w:val="24"/>
        </w:rPr>
        <w:t xml:space="preserve"> a large amount</w:t>
      </w:r>
      <w:r w:rsidR="000F6A90" w:rsidRPr="00BD58C0">
        <w:rPr>
          <w:rFonts w:ascii="Times New Roman" w:hAnsi="Times New Roman" w:cs="Times New Roman"/>
          <w:sz w:val="24"/>
          <w:szCs w:val="24"/>
        </w:rPr>
        <w:t xml:space="preserve"> of</w:t>
      </w:r>
      <w:r w:rsidRPr="00BD58C0">
        <w:rPr>
          <w:rFonts w:ascii="Times New Roman" w:hAnsi="Times New Roman" w:cs="Times New Roman"/>
          <w:sz w:val="24"/>
          <w:szCs w:val="24"/>
        </w:rPr>
        <w:t xml:space="preserve"> waste annually [</w:t>
      </w:r>
      <w:r w:rsidR="00B24C11" w:rsidRPr="00BD58C0">
        <w:rPr>
          <w:rFonts w:ascii="Times New Roman" w:hAnsi="Times New Roman" w:cs="Times New Roman"/>
          <w:sz w:val="24"/>
          <w:szCs w:val="24"/>
        </w:rPr>
        <w:t>6</w:t>
      </w:r>
      <w:r w:rsidRPr="00BD58C0">
        <w:rPr>
          <w:rFonts w:ascii="Times New Roman" w:hAnsi="Times New Roman" w:cs="Times New Roman"/>
          <w:sz w:val="24"/>
          <w:szCs w:val="24"/>
        </w:rPr>
        <w:t>]. Utilising biomass waste for bioenergy production and other value-added products</w:t>
      </w:r>
      <w:r w:rsidR="00FD4028"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E74A58" w:rsidRPr="00BD58C0">
        <w:rPr>
          <w:rFonts w:ascii="Times New Roman" w:hAnsi="Times New Roman" w:cs="Times New Roman"/>
          <w:sz w:val="24"/>
          <w:szCs w:val="24"/>
        </w:rPr>
        <w:t>such as furniture and composite for wood production</w:t>
      </w:r>
      <w:r w:rsidR="00FD4028" w:rsidRPr="00BD58C0">
        <w:rPr>
          <w:rFonts w:ascii="Times New Roman" w:hAnsi="Times New Roman" w:cs="Times New Roman"/>
          <w:sz w:val="24"/>
          <w:szCs w:val="24"/>
        </w:rPr>
        <w:t>,</w:t>
      </w:r>
      <w:r w:rsidR="00E74A58" w:rsidRPr="00BD58C0">
        <w:rPr>
          <w:rFonts w:ascii="Times New Roman" w:hAnsi="Times New Roman" w:cs="Times New Roman"/>
          <w:sz w:val="24"/>
          <w:szCs w:val="24"/>
        </w:rPr>
        <w:t xml:space="preserve"> </w:t>
      </w:r>
      <w:r w:rsidR="000F6A90" w:rsidRPr="00BD58C0">
        <w:rPr>
          <w:rFonts w:ascii="Times New Roman" w:hAnsi="Times New Roman" w:cs="Times New Roman"/>
          <w:sz w:val="24"/>
          <w:szCs w:val="24"/>
        </w:rPr>
        <w:t>is</w:t>
      </w:r>
      <w:r w:rsidRPr="00BD58C0">
        <w:rPr>
          <w:rFonts w:ascii="Times New Roman" w:hAnsi="Times New Roman" w:cs="Times New Roman"/>
          <w:sz w:val="24"/>
          <w:szCs w:val="24"/>
        </w:rPr>
        <w:t xml:space="preserve"> commonly practised [</w:t>
      </w:r>
      <w:r w:rsidR="00B24C11" w:rsidRPr="00BD58C0">
        <w:rPr>
          <w:rFonts w:ascii="Times New Roman" w:hAnsi="Times New Roman" w:cs="Times New Roman"/>
          <w:sz w:val="24"/>
          <w:szCs w:val="24"/>
        </w:rPr>
        <w:t>6</w:t>
      </w:r>
      <w:r w:rsidRPr="00BD58C0">
        <w:rPr>
          <w:rFonts w:ascii="Times New Roman" w:hAnsi="Times New Roman" w:cs="Times New Roman"/>
          <w:sz w:val="24"/>
          <w:szCs w:val="24"/>
        </w:rPr>
        <w:t xml:space="preserve">]. </w:t>
      </w:r>
      <w:r w:rsidR="005A54F7" w:rsidRPr="00BD58C0">
        <w:rPr>
          <w:rFonts w:ascii="Times New Roman" w:hAnsi="Times New Roman" w:cs="Times New Roman"/>
          <w:sz w:val="24"/>
          <w:szCs w:val="24"/>
        </w:rPr>
        <w:t xml:space="preserve">Approximately 16% </w:t>
      </w:r>
      <w:r w:rsidR="0057400E" w:rsidRPr="00BD58C0">
        <w:rPr>
          <w:rFonts w:ascii="Times New Roman" w:hAnsi="Times New Roman" w:cs="Times New Roman"/>
          <w:sz w:val="24"/>
          <w:szCs w:val="24"/>
        </w:rPr>
        <w:t xml:space="preserve">of </w:t>
      </w:r>
      <w:r w:rsidR="005A54F7" w:rsidRPr="00BD58C0">
        <w:rPr>
          <w:rFonts w:ascii="Times New Roman" w:hAnsi="Times New Roman" w:cs="Times New Roman"/>
          <w:sz w:val="24"/>
          <w:szCs w:val="24"/>
        </w:rPr>
        <w:t xml:space="preserve">biomass </w:t>
      </w:r>
      <w:r w:rsidR="002F2851" w:rsidRPr="00BD58C0">
        <w:rPr>
          <w:rFonts w:ascii="Times New Roman" w:hAnsi="Times New Roman" w:cs="Times New Roman"/>
          <w:sz w:val="24"/>
          <w:szCs w:val="24"/>
        </w:rPr>
        <w:t xml:space="preserve">waste </w:t>
      </w:r>
      <w:r w:rsidR="0057400E" w:rsidRPr="00BD58C0">
        <w:rPr>
          <w:rFonts w:ascii="Times New Roman" w:hAnsi="Times New Roman" w:cs="Times New Roman"/>
          <w:sz w:val="24"/>
          <w:szCs w:val="24"/>
        </w:rPr>
        <w:t xml:space="preserve">is used </w:t>
      </w:r>
      <w:r w:rsidR="002F2851" w:rsidRPr="00BD58C0">
        <w:rPr>
          <w:rFonts w:ascii="Times New Roman" w:hAnsi="Times New Roman" w:cs="Times New Roman"/>
          <w:sz w:val="24"/>
          <w:szCs w:val="24"/>
        </w:rPr>
        <w:t>for</w:t>
      </w:r>
      <w:r w:rsidR="0057400E" w:rsidRPr="00BD58C0">
        <w:rPr>
          <w:rFonts w:ascii="Times New Roman" w:hAnsi="Times New Roman" w:cs="Times New Roman"/>
          <w:sz w:val="24"/>
          <w:szCs w:val="24"/>
        </w:rPr>
        <w:t xml:space="preserve"> energy </w:t>
      </w:r>
      <w:r w:rsidR="002F2851" w:rsidRPr="00BD58C0">
        <w:rPr>
          <w:rFonts w:ascii="Times New Roman" w:hAnsi="Times New Roman" w:cs="Times New Roman"/>
          <w:sz w:val="24"/>
          <w:szCs w:val="24"/>
        </w:rPr>
        <w:t xml:space="preserve">production </w:t>
      </w:r>
      <w:r w:rsidR="0057400E" w:rsidRPr="00BD58C0">
        <w:rPr>
          <w:rFonts w:ascii="Times New Roman" w:hAnsi="Times New Roman" w:cs="Times New Roman"/>
          <w:sz w:val="24"/>
          <w:szCs w:val="24"/>
        </w:rPr>
        <w:t xml:space="preserve">in Malaysia, </w:t>
      </w:r>
      <w:r w:rsidR="00E70DA4" w:rsidRPr="00BD58C0">
        <w:rPr>
          <w:rFonts w:ascii="Times New Roman" w:hAnsi="Times New Roman" w:cs="Times New Roman"/>
          <w:sz w:val="24"/>
          <w:szCs w:val="24"/>
        </w:rPr>
        <w:t>mainly from</w:t>
      </w:r>
      <w:r w:rsidR="005A54F7" w:rsidRPr="00BD58C0">
        <w:rPr>
          <w:rFonts w:ascii="Times New Roman" w:hAnsi="Times New Roman" w:cs="Times New Roman"/>
          <w:sz w:val="24"/>
          <w:szCs w:val="24"/>
        </w:rPr>
        <w:t xml:space="preserve"> </w:t>
      </w:r>
      <w:r w:rsidR="00B04961" w:rsidRPr="00BD58C0">
        <w:rPr>
          <w:rFonts w:ascii="Times New Roman" w:hAnsi="Times New Roman" w:cs="Times New Roman"/>
          <w:sz w:val="24"/>
          <w:szCs w:val="24"/>
        </w:rPr>
        <w:t>oil palm</w:t>
      </w:r>
      <w:r w:rsidR="005A54F7" w:rsidRPr="00BD58C0">
        <w:rPr>
          <w:rFonts w:ascii="Times New Roman" w:hAnsi="Times New Roman" w:cs="Times New Roman"/>
          <w:sz w:val="24"/>
          <w:szCs w:val="24"/>
        </w:rPr>
        <w:t xml:space="preserve"> </w:t>
      </w:r>
      <w:r w:rsidR="0057400E" w:rsidRPr="00BD58C0">
        <w:rPr>
          <w:rFonts w:ascii="Times New Roman" w:hAnsi="Times New Roman" w:cs="Times New Roman"/>
          <w:sz w:val="24"/>
          <w:szCs w:val="24"/>
        </w:rPr>
        <w:t>waste</w:t>
      </w:r>
      <w:r w:rsidR="002F2851" w:rsidRPr="00BD58C0">
        <w:rPr>
          <w:rFonts w:ascii="Times New Roman" w:hAnsi="Times New Roman" w:cs="Times New Roman"/>
          <w:sz w:val="24"/>
          <w:szCs w:val="24"/>
        </w:rPr>
        <w:t xml:space="preserve"> (51%) and </w:t>
      </w:r>
      <w:r w:rsidR="005A54F7" w:rsidRPr="00BD58C0">
        <w:rPr>
          <w:rFonts w:ascii="Times New Roman" w:hAnsi="Times New Roman" w:cs="Times New Roman"/>
          <w:sz w:val="24"/>
          <w:szCs w:val="24"/>
        </w:rPr>
        <w:t xml:space="preserve">wood waste </w:t>
      </w:r>
      <w:r w:rsidR="0057400E" w:rsidRPr="00BD58C0">
        <w:rPr>
          <w:rFonts w:ascii="Times New Roman" w:hAnsi="Times New Roman" w:cs="Times New Roman"/>
          <w:sz w:val="24"/>
          <w:szCs w:val="24"/>
        </w:rPr>
        <w:t>(</w:t>
      </w:r>
      <w:r w:rsidR="005A54F7" w:rsidRPr="00BD58C0">
        <w:rPr>
          <w:rFonts w:ascii="Times New Roman" w:hAnsi="Times New Roman" w:cs="Times New Roman"/>
          <w:sz w:val="24"/>
          <w:szCs w:val="24"/>
        </w:rPr>
        <w:t>22%</w:t>
      </w:r>
      <w:r w:rsidR="0057400E" w:rsidRPr="00BD58C0">
        <w:rPr>
          <w:rFonts w:ascii="Times New Roman" w:hAnsi="Times New Roman" w:cs="Times New Roman"/>
          <w:sz w:val="24"/>
          <w:szCs w:val="24"/>
        </w:rPr>
        <w:t>)</w:t>
      </w:r>
      <w:r w:rsidR="007115C1" w:rsidRPr="00BD58C0">
        <w:rPr>
          <w:rFonts w:ascii="Times New Roman" w:hAnsi="Times New Roman" w:cs="Times New Roman"/>
          <w:sz w:val="24"/>
          <w:szCs w:val="24"/>
        </w:rPr>
        <w:t xml:space="preserve"> [</w:t>
      </w:r>
      <w:r w:rsidR="00B24C11" w:rsidRPr="00BD58C0">
        <w:rPr>
          <w:rFonts w:ascii="Times New Roman" w:hAnsi="Times New Roman" w:cs="Times New Roman"/>
          <w:sz w:val="24"/>
          <w:szCs w:val="24"/>
        </w:rPr>
        <w:t>7</w:t>
      </w:r>
      <w:r w:rsidR="007115C1" w:rsidRPr="00BD58C0">
        <w:rPr>
          <w:rFonts w:ascii="Times New Roman" w:hAnsi="Times New Roman" w:cs="Times New Roman"/>
          <w:sz w:val="24"/>
          <w:szCs w:val="24"/>
        </w:rPr>
        <w:t>]</w:t>
      </w:r>
      <w:r w:rsidR="005A54F7" w:rsidRPr="00BD58C0">
        <w:rPr>
          <w:rFonts w:ascii="Times New Roman" w:hAnsi="Times New Roman" w:cs="Times New Roman"/>
          <w:sz w:val="24"/>
          <w:szCs w:val="24"/>
        </w:rPr>
        <w:t>.</w:t>
      </w:r>
      <w:r w:rsidR="007115C1" w:rsidRPr="00BD58C0">
        <w:rPr>
          <w:rFonts w:ascii="Times New Roman" w:hAnsi="Times New Roman" w:cs="Times New Roman"/>
          <w:sz w:val="24"/>
          <w:szCs w:val="24"/>
        </w:rPr>
        <w:t xml:space="preserve"> </w:t>
      </w:r>
      <w:r w:rsidR="005F69C9" w:rsidRPr="00BD58C0">
        <w:rPr>
          <w:rFonts w:ascii="Times New Roman" w:hAnsi="Times New Roman" w:cs="Times New Roman"/>
          <w:sz w:val="24"/>
          <w:szCs w:val="24"/>
        </w:rPr>
        <w:t>Consequently</w:t>
      </w:r>
      <w:r w:rsidR="00C54ECC" w:rsidRPr="00BD58C0">
        <w:rPr>
          <w:rFonts w:ascii="Times New Roman" w:hAnsi="Times New Roman" w:cs="Times New Roman"/>
          <w:sz w:val="24"/>
          <w:szCs w:val="24"/>
        </w:rPr>
        <w:t xml:space="preserve">, waste residue from </w:t>
      </w:r>
      <w:r w:rsidR="0045021F" w:rsidRPr="00BD58C0">
        <w:rPr>
          <w:rFonts w:ascii="Times New Roman" w:hAnsi="Times New Roman" w:cs="Times New Roman"/>
          <w:sz w:val="24"/>
          <w:szCs w:val="24"/>
        </w:rPr>
        <w:t xml:space="preserve">oil </w:t>
      </w:r>
      <w:r w:rsidR="00C54ECC" w:rsidRPr="00BD58C0">
        <w:rPr>
          <w:rFonts w:ascii="Times New Roman" w:hAnsi="Times New Roman" w:cs="Times New Roman"/>
          <w:sz w:val="24"/>
          <w:szCs w:val="24"/>
        </w:rPr>
        <w:t xml:space="preserve">palm could </w:t>
      </w:r>
      <w:r w:rsidR="005F69C9" w:rsidRPr="00BD58C0">
        <w:rPr>
          <w:rFonts w:ascii="Times New Roman" w:hAnsi="Times New Roman" w:cs="Times New Roman"/>
          <w:sz w:val="24"/>
          <w:szCs w:val="24"/>
        </w:rPr>
        <w:t>be used for</w:t>
      </w:r>
      <w:r w:rsidR="008E4C3A" w:rsidRPr="00BD58C0">
        <w:rPr>
          <w:rFonts w:ascii="Times New Roman" w:hAnsi="Times New Roman" w:cs="Times New Roman"/>
          <w:sz w:val="24"/>
          <w:szCs w:val="24"/>
        </w:rPr>
        <w:t xml:space="preserve"> co-generation and grid-connected biomass-based energy generation</w:t>
      </w:r>
      <w:r w:rsidR="00B87B06" w:rsidRPr="00BD58C0">
        <w:rPr>
          <w:rFonts w:ascii="Times New Roman" w:hAnsi="Times New Roman" w:cs="Times New Roman"/>
          <w:sz w:val="24"/>
          <w:szCs w:val="24"/>
        </w:rPr>
        <w:t xml:space="preserve"> [</w:t>
      </w:r>
      <w:r w:rsidR="00B24C11" w:rsidRPr="00BD58C0">
        <w:rPr>
          <w:rFonts w:ascii="Times New Roman" w:hAnsi="Times New Roman" w:cs="Times New Roman"/>
          <w:sz w:val="24"/>
          <w:szCs w:val="24"/>
        </w:rPr>
        <w:t>7</w:t>
      </w:r>
      <w:r w:rsidR="00B87B06" w:rsidRPr="00BD58C0">
        <w:rPr>
          <w:rFonts w:ascii="Times New Roman" w:hAnsi="Times New Roman" w:cs="Times New Roman"/>
          <w:sz w:val="24"/>
          <w:szCs w:val="24"/>
        </w:rPr>
        <w:t>]</w:t>
      </w:r>
      <w:r w:rsidR="00564B6F" w:rsidRPr="00BD58C0">
        <w:rPr>
          <w:rFonts w:ascii="Times New Roman" w:hAnsi="Times New Roman" w:cs="Times New Roman"/>
          <w:sz w:val="24"/>
          <w:szCs w:val="24"/>
        </w:rPr>
        <w:t xml:space="preserve">. </w:t>
      </w:r>
      <w:r w:rsidR="005F69C9" w:rsidRPr="00BD58C0">
        <w:rPr>
          <w:rFonts w:ascii="Times New Roman" w:hAnsi="Times New Roman" w:cs="Times New Roman"/>
          <w:sz w:val="24"/>
          <w:szCs w:val="24"/>
        </w:rPr>
        <w:t>R</w:t>
      </w:r>
      <w:r w:rsidR="00FD1369" w:rsidRPr="00BD58C0">
        <w:rPr>
          <w:rFonts w:ascii="Times New Roman" w:hAnsi="Times New Roman" w:cs="Times New Roman"/>
          <w:sz w:val="24"/>
          <w:szCs w:val="24"/>
        </w:rPr>
        <w:t xml:space="preserve">esiduals generated from palm oil mills </w:t>
      </w:r>
      <w:r w:rsidR="00B21804" w:rsidRPr="00BD58C0">
        <w:rPr>
          <w:rFonts w:ascii="Times New Roman" w:hAnsi="Times New Roman" w:cs="Times New Roman"/>
          <w:sz w:val="24"/>
          <w:szCs w:val="24"/>
        </w:rPr>
        <w:t xml:space="preserve">(POMs) </w:t>
      </w:r>
      <w:r w:rsidR="00FD1369" w:rsidRPr="00BD58C0">
        <w:rPr>
          <w:rFonts w:ascii="Times New Roman" w:hAnsi="Times New Roman" w:cs="Times New Roman"/>
          <w:sz w:val="24"/>
          <w:szCs w:val="24"/>
        </w:rPr>
        <w:t xml:space="preserve">are </w:t>
      </w:r>
      <w:r w:rsidR="005F69C9" w:rsidRPr="00BD58C0">
        <w:rPr>
          <w:rFonts w:ascii="Times New Roman" w:hAnsi="Times New Roman" w:cs="Times New Roman"/>
          <w:sz w:val="24"/>
          <w:szCs w:val="24"/>
        </w:rPr>
        <w:t xml:space="preserve">mostly </w:t>
      </w:r>
      <w:r w:rsidR="00FD1369" w:rsidRPr="00BD58C0">
        <w:rPr>
          <w:rFonts w:ascii="Times New Roman" w:hAnsi="Times New Roman" w:cs="Times New Roman"/>
          <w:sz w:val="24"/>
          <w:szCs w:val="24"/>
        </w:rPr>
        <w:t>empty fruit bunches</w:t>
      </w:r>
      <w:r w:rsidR="00CA468E" w:rsidRPr="00BD58C0">
        <w:rPr>
          <w:rFonts w:ascii="Times New Roman" w:hAnsi="Times New Roman" w:cs="Times New Roman"/>
          <w:sz w:val="24"/>
          <w:szCs w:val="24"/>
        </w:rPr>
        <w:t xml:space="preserve"> and palm oil mill effluent (POME)</w:t>
      </w:r>
      <w:r w:rsidR="006A3274" w:rsidRPr="00BD58C0">
        <w:rPr>
          <w:rFonts w:ascii="Times New Roman" w:hAnsi="Times New Roman" w:cs="Times New Roman"/>
          <w:sz w:val="24"/>
          <w:szCs w:val="24"/>
        </w:rPr>
        <w:t xml:space="preserve"> </w:t>
      </w:r>
      <w:r w:rsidR="00C83D6A" w:rsidRPr="00BD58C0">
        <w:rPr>
          <w:rFonts w:ascii="Times New Roman" w:hAnsi="Times New Roman" w:cs="Times New Roman"/>
          <w:sz w:val="24"/>
          <w:szCs w:val="24"/>
        </w:rPr>
        <w:t>[</w:t>
      </w:r>
      <w:r w:rsidR="00B24C11" w:rsidRPr="00BD58C0">
        <w:rPr>
          <w:rFonts w:ascii="Times New Roman" w:hAnsi="Times New Roman" w:cs="Times New Roman"/>
          <w:sz w:val="24"/>
          <w:szCs w:val="24"/>
        </w:rPr>
        <w:t>8</w:t>
      </w:r>
      <w:r w:rsidR="00C83D6A" w:rsidRPr="00BD58C0">
        <w:rPr>
          <w:rFonts w:ascii="Times New Roman" w:hAnsi="Times New Roman" w:cs="Times New Roman"/>
          <w:sz w:val="24"/>
          <w:szCs w:val="24"/>
        </w:rPr>
        <w:t>]</w:t>
      </w:r>
      <w:r w:rsidR="0057400E" w:rsidRPr="00BD58C0">
        <w:rPr>
          <w:rFonts w:ascii="Times New Roman" w:hAnsi="Times New Roman" w:cs="Times New Roman"/>
          <w:sz w:val="24"/>
          <w:szCs w:val="24"/>
        </w:rPr>
        <w:t xml:space="preserve">, </w:t>
      </w:r>
      <w:r w:rsidR="005F69C9" w:rsidRPr="00BD58C0">
        <w:rPr>
          <w:rFonts w:ascii="Times New Roman" w:hAnsi="Times New Roman" w:cs="Times New Roman"/>
          <w:sz w:val="24"/>
          <w:szCs w:val="24"/>
        </w:rPr>
        <w:t xml:space="preserve">both </w:t>
      </w:r>
      <w:r w:rsidR="0057400E" w:rsidRPr="00BD58C0">
        <w:rPr>
          <w:rFonts w:ascii="Times New Roman" w:hAnsi="Times New Roman" w:cs="Times New Roman"/>
          <w:sz w:val="24"/>
          <w:szCs w:val="24"/>
        </w:rPr>
        <w:t>of which can be used to produce energy</w:t>
      </w:r>
      <w:r w:rsidR="00FD1369" w:rsidRPr="00BD58C0">
        <w:rPr>
          <w:rFonts w:ascii="Times New Roman" w:hAnsi="Times New Roman" w:cs="Times New Roman"/>
          <w:sz w:val="24"/>
          <w:szCs w:val="24"/>
        </w:rPr>
        <w:t xml:space="preserve">. </w:t>
      </w:r>
    </w:p>
    <w:p w14:paraId="645E25D5" w14:textId="4EB6667A" w:rsidR="002A7041" w:rsidRPr="00BD58C0" w:rsidRDefault="00FD1369" w:rsidP="00132A7C">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POME is commonly treated </w:t>
      </w:r>
      <w:r w:rsidR="00713D27" w:rsidRPr="00BD58C0">
        <w:rPr>
          <w:rFonts w:ascii="Times New Roman" w:hAnsi="Times New Roman" w:cs="Times New Roman"/>
          <w:sz w:val="24"/>
          <w:szCs w:val="24"/>
        </w:rPr>
        <w:t xml:space="preserve">either via </w:t>
      </w:r>
      <w:r w:rsidRPr="00BD58C0">
        <w:rPr>
          <w:rFonts w:ascii="Times New Roman" w:hAnsi="Times New Roman" w:cs="Times New Roman"/>
          <w:sz w:val="24"/>
          <w:szCs w:val="24"/>
        </w:rPr>
        <w:t xml:space="preserve">the use of an anaerobic pond </w:t>
      </w:r>
      <w:r w:rsidR="00713D27" w:rsidRPr="00BD58C0">
        <w:rPr>
          <w:rFonts w:ascii="Times New Roman" w:hAnsi="Times New Roman" w:cs="Times New Roman"/>
          <w:sz w:val="24"/>
          <w:szCs w:val="24"/>
        </w:rPr>
        <w:t>or</w:t>
      </w:r>
      <w:r w:rsidRPr="00BD58C0">
        <w:rPr>
          <w:rFonts w:ascii="Times New Roman" w:hAnsi="Times New Roman" w:cs="Times New Roman"/>
          <w:sz w:val="24"/>
          <w:szCs w:val="24"/>
        </w:rPr>
        <w:t xml:space="preserve"> an open digester tank</w:t>
      </w:r>
      <w:r w:rsidR="0045021F"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45021F" w:rsidRPr="00BD58C0">
        <w:rPr>
          <w:rFonts w:ascii="Times New Roman" w:hAnsi="Times New Roman" w:cs="Times New Roman"/>
          <w:sz w:val="24"/>
          <w:szCs w:val="24"/>
        </w:rPr>
        <w:t xml:space="preserve">These systems </w:t>
      </w:r>
      <w:r w:rsidR="009A6C58" w:rsidRPr="00BD58C0">
        <w:rPr>
          <w:rFonts w:ascii="Times New Roman" w:hAnsi="Times New Roman" w:cs="Times New Roman"/>
          <w:sz w:val="24"/>
          <w:szCs w:val="24"/>
        </w:rPr>
        <w:t>are</w:t>
      </w:r>
      <w:r w:rsidRPr="00BD58C0">
        <w:rPr>
          <w:rFonts w:ascii="Times New Roman" w:hAnsi="Times New Roman" w:cs="Times New Roman"/>
          <w:sz w:val="24"/>
          <w:szCs w:val="24"/>
        </w:rPr>
        <w:t xml:space="preserve"> implemented by 80% of </w:t>
      </w:r>
      <w:r w:rsidR="007F7739" w:rsidRPr="00BD58C0">
        <w:rPr>
          <w:rFonts w:ascii="Times New Roman" w:hAnsi="Times New Roman" w:cs="Times New Roman"/>
          <w:sz w:val="24"/>
          <w:szCs w:val="24"/>
        </w:rPr>
        <w:t>Malaysia’s</w:t>
      </w:r>
      <w:r w:rsidRPr="00BD58C0">
        <w:rPr>
          <w:rFonts w:ascii="Times New Roman" w:hAnsi="Times New Roman" w:cs="Times New Roman"/>
          <w:sz w:val="24"/>
          <w:szCs w:val="24"/>
        </w:rPr>
        <w:t xml:space="preserve"> </w:t>
      </w:r>
      <w:r w:rsidR="00B21804" w:rsidRPr="00BD58C0">
        <w:rPr>
          <w:rFonts w:ascii="Times New Roman" w:hAnsi="Times New Roman" w:cs="Times New Roman"/>
          <w:sz w:val="24"/>
          <w:szCs w:val="24"/>
        </w:rPr>
        <w:t>POMs</w:t>
      </w:r>
      <w:r w:rsidR="003A2B1D" w:rsidRPr="00BD58C0">
        <w:rPr>
          <w:rFonts w:ascii="Times New Roman" w:hAnsi="Times New Roman" w:cs="Times New Roman"/>
          <w:sz w:val="24"/>
          <w:szCs w:val="24"/>
        </w:rPr>
        <w:t xml:space="preserve"> </w:t>
      </w:r>
      <w:r w:rsidR="0045021F" w:rsidRPr="00BD58C0">
        <w:rPr>
          <w:rFonts w:ascii="Times New Roman" w:hAnsi="Times New Roman" w:cs="Times New Roman"/>
          <w:sz w:val="24"/>
          <w:szCs w:val="24"/>
        </w:rPr>
        <w:t>and</w:t>
      </w:r>
      <w:r w:rsidR="00713D27" w:rsidRPr="00BD58C0">
        <w:rPr>
          <w:rFonts w:ascii="Times New Roman" w:hAnsi="Times New Roman" w:cs="Times New Roman"/>
          <w:sz w:val="24"/>
          <w:szCs w:val="24"/>
        </w:rPr>
        <w:t xml:space="preserve"> </w:t>
      </w:r>
      <w:r w:rsidR="00B221B5" w:rsidRPr="00BD58C0">
        <w:rPr>
          <w:rFonts w:ascii="Times New Roman" w:hAnsi="Times New Roman" w:cs="Times New Roman"/>
          <w:sz w:val="24"/>
          <w:szCs w:val="24"/>
        </w:rPr>
        <w:t>emit substantial</w:t>
      </w:r>
      <w:r w:rsidR="00713D27" w:rsidRPr="00BD58C0">
        <w:rPr>
          <w:rFonts w:ascii="Times New Roman" w:hAnsi="Times New Roman" w:cs="Times New Roman"/>
          <w:sz w:val="24"/>
          <w:szCs w:val="24"/>
        </w:rPr>
        <w:t xml:space="preserve"> greenhouse gases into the atmosphere, mainly carbon dioxide (CO</w:t>
      </w:r>
      <w:r w:rsidR="00713D27" w:rsidRPr="00BD58C0">
        <w:rPr>
          <w:rFonts w:ascii="Times New Roman" w:hAnsi="Times New Roman" w:cs="Times New Roman"/>
          <w:sz w:val="24"/>
          <w:szCs w:val="24"/>
          <w:vertAlign w:val="subscript"/>
        </w:rPr>
        <w:t>2</w:t>
      </w:r>
      <w:r w:rsidR="00713D27" w:rsidRPr="00BD58C0">
        <w:rPr>
          <w:rFonts w:ascii="Times New Roman" w:hAnsi="Times New Roman" w:cs="Times New Roman"/>
          <w:sz w:val="24"/>
          <w:szCs w:val="24"/>
        </w:rPr>
        <w:t>) and methane</w:t>
      </w:r>
      <w:r w:rsidR="0064344F" w:rsidRPr="00BD58C0">
        <w:rPr>
          <w:rFonts w:ascii="Times New Roman" w:hAnsi="Times New Roman" w:cs="Times New Roman"/>
          <w:sz w:val="24"/>
          <w:szCs w:val="24"/>
        </w:rPr>
        <w:t xml:space="preserve"> (CH</w:t>
      </w:r>
      <w:r w:rsidR="0064344F" w:rsidRPr="00BD58C0">
        <w:rPr>
          <w:rFonts w:ascii="Times New Roman" w:hAnsi="Times New Roman" w:cs="Times New Roman"/>
          <w:sz w:val="24"/>
          <w:szCs w:val="24"/>
          <w:vertAlign w:val="subscript"/>
        </w:rPr>
        <w:t>4</w:t>
      </w:r>
      <w:r w:rsidR="0064344F" w:rsidRPr="00BD58C0">
        <w:rPr>
          <w:rFonts w:ascii="Times New Roman" w:hAnsi="Times New Roman" w:cs="Times New Roman"/>
          <w:sz w:val="24"/>
          <w:szCs w:val="24"/>
        </w:rPr>
        <w:t>)</w:t>
      </w:r>
      <w:r w:rsidR="00713D27" w:rsidRPr="00BD58C0">
        <w:rPr>
          <w:rFonts w:ascii="Times New Roman" w:hAnsi="Times New Roman" w:cs="Times New Roman"/>
          <w:sz w:val="24"/>
          <w:szCs w:val="24"/>
        </w:rPr>
        <w:t xml:space="preserve"> </w:t>
      </w:r>
      <w:r w:rsidR="00127E3F" w:rsidRPr="00BD58C0">
        <w:rPr>
          <w:rFonts w:ascii="Times New Roman" w:hAnsi="Times New Roman" w:cs="Times New Roman"/>
          <w:sz w:val="24"/>
          <w:szCs w:val="24"/>
        </w:rPr>
        <w:t>[</w:t>
      </w:r>
      <w:r w:rsidR="00B24C11" w:rsidRPr="00BD58C0">
        <w:rPr>
          <w:rFonts w:ascii="Times New Roman" w:hAnsi="Times New Roman" w:cs="Times New Roman"/>
          <w:sz w:val="24"/>
          <w:szCs w:val="24"/>
        </w:rPr>
        <w:t>9</w:t>
      </w:r>
      <w:r w:rsidR="00127E3F" w:rsidRPr="00BD58C0">
        <w:rPr>
          <w:rFonts w:ascii="Times New Roman" w:hAnsi="Times New Roman" w:cs="Times New Roman"/>
          <w:sz w:val="24"/>
          <w:szCs w:val="24"/>
        </w:rPr>
        <w:t>]</w:t>
      </w:r>
      <w:r w:rsidR="00713D27" w:rsidRPr="00BD58C0">
        <w:rPr>
          <w:rFonts w:ascii="Times New Roman" w:hAnsi="Times New Roman" w:cs="Times New Roman"/>
          <w:sz w:val="24"/>
          <w:szCs w:val="24"/>
        </w:rPr>
        <w:t xml:space="preserve">. A more </w:t>
      </w:r>
      <w:r w:rsidR="006C473F" w:rsidRPr="00BD58C0">
        <w:rPr>
          <w:rFonts w:ascii="Times New Roman" w:hAnsi="Times New Roman" w:cs="Times New Roman"/>
          <w:sz w:val="24"/>
          <w:szCs w:val="24"/>
        </w:rPr>
        <w:t>environmentally friendly</w:t>
      </w:r>
      <w:r w:rsidR="00713D27" w:rsidRPr="00BD58C0">
        <w:rPr>
          <w:rFonts w:ascii="Times New Roman" w:hAnsi="Times New Roman" w:cs="Times New Roman"/>
          <w:sz w:val="24"/>
          <w:szCs w:val="24"/>
        </w:rPr>
        <w:t xml:space="preserve"> alternative would be </w:t>
      </w:r>
      <w:r w:rsidR="0045021F" w:rsidRPr="00BD58C0">
        <w:rPr>
          <w:rFonts w:ascii="Times New Roman" w:hAnsi="Times New Roman" w:cs="Times New Roman"/>
          <w:sz w:val="24"/>
          <w:szCs w:val="24"/>
        </w:rPr>
        <w:t xml:space="preserve">for POME to be treated in a </w:t>
      </w:r>
      <w:r w:rsidR="00713D27" w:rsidRPr="00BD58C0">
        <w:rPr>
          <w:rFonts w:ascii="Times New Roman" w:hAnsi="Times New Roman" w:cs="Times New Roman"/>
          <w:sz w:val="24"/>
          <w:szCs w:val="24"/>
        </w:rPr>
        <w:t>biogas plant</w:t>
      </w:r>
      <w:r w:rsidRPr="00BD58C0">
        <w:rPr>
          <w:rFonts w:ascii="Times New Roman" w:hAnsi="Times New Roman" w:cs="Times New Roman"/>
          <w:sz w:val="24"/>
          <w:szCs w:val="24"/>
        </w:rPr>
        <w:t xml:space="preserve">, </w:t>
      </w:r>
      <w:r w:rsidR="00713D27" w:rsidRPr="00BD58C0">
        <w:rPr>
          <w:rFonts w:ascii="Times New Roman" w:hAnsi="Times New Roman" w:cs="Times New Roman"/>
          <w:sz w:val="24"/>
          <w:szCs w:val="24"/>
        </w:rPr>
        <w:t xml:space="preserve">but </w:t>
      </w:r>
      <w:r w:rsidRPr="00BD58C0">
        <w:rPr>
          <w:rFonts w:ascii="Times New Roman" w:hAnsi="Times New Roman" w:cs="Times New Roman"/>
          <w:sz w:val="24"/>
          <w:szCs w:val="24"/>
        </w:rPr>
        <w:t xml:space="preserve">only 92 of the </w:t>
      </w:r>
      <w:r w:rsidR="008E04C2" w:rsidRPr="00BD58C0">
        <w:rPr>
          <w:rFonts w:ascii="Times New Roman" w:hAnsi="Times New Roman" w:cs="Times New Roman"/>
          <w:sz w:val="24"/>
          <w:szCs w:val="24"/>
        </w:rPr>
        <w:t xml:space="preserve">country’s </w:t>
      </w:r>
      <w:r w:rsidRPr="00BD58C0">
        <w:rPr>
          <w:rFonts w:ascii="Times New Roman" w:hAnsi="Times New Roman" w:cs="Times New Roman"/>
          <w:sz w:val="24"/>
          <w:szCs w:val="24"/>
        </w:rPr>
        <w:t xml:space="preserve">454 </w:t>
      </w:r>
      <w:r w:rsidR="00B21804" w:rsidRPr="00BD58C0">
        <w:rPr>
          <w:rFonts w:ascii="Times New Roman" w:hAnsi="Times New Roman" w:cs="Times New Roman"/>
          <w:sz w:val="24"/>
          <w:szCs w:val="24"/>
        </w:rPr>
        <w:t>POMs</w:t>
      </w:r>
      <w:r w:rsidR="008E04C2" w:rsidRPr="00BD58C0">
        <w:rPr>
          <w:rFonts w:ascii="Times New Roman" w:hAnsi="Times New Roman" w:cs="Times New Roman"/>
          <w:sz w:val="24"/>
          <w:szCs w:val="24"/>
        </w:rPr>
        <w:t xml:space="preserve"> </w:t>
      </w:r>
      <w:r w:rsidR="002A7041" w:rsidRPr="00BD58C0">
        <w:rPr>
          <w:rFonts w:ascii="Times New Roman" w:hAnsi="Times New Roman" w:cs="Times New Roman"/>
          <w:sz w:val="24"/>
          <w:szCs w:val="24"/>
        </w:rPr>
        <w:t xml:space="preserve">are </w:t>
      </w:r>
      <w:r w:rsidR="00337EFA" w:rsidRPr="00BD58C0">
        <w:rPr>
          <w:rFonts w:ascii="Times New Roman" w:hAnsi="Times New Roman" w:cs="Times New Roman"/>
          <w:sz w:val="24"/>
          <w:szCs w:val="24"/>
        </w:rPr>
        <w:t xml:space="preserve">currently </w:t>
      </w:r>
      <w:r w:rsidR="002A7041" w:rsidRPr="00BD58C0">
        <w:rPr>
          <w:rFonts w:ascii="Times New Roman" w:hAnsi="Times New Roman" w:cs="Times New Roman"/>
          <w:sz w:val="24"/>
          <w:szCs w:val="24"/>
        </w:rPr>
        <w:t>equipped with one</w:t>
      </w:r>
      <w:r w:rsidR="00114571" w:rsidRPr="00BD58C0">
        <w:rPr>
          <w:rFonts w:ascii="Times New Roman" w:hAnsi="Times New Roman" w:cs="Times New Roman"/>
          <w:sz w:val="24"/>
          <w:szCs w:val="24"/>
        </w:rPr>
        <w:t xml:space="preserve"> [</w:t>
      </w:r>
      <w:r w:rsidR="00B24C11" w:rsidRPr="00BD58C0">
        <w:rPr>
          <w:rFonts w:ascii="Times New Roman" w:hAnsi="Times New Roman" w:cs="Times New Roman"/>
          <w:sz w:val="24"/>
          <w:szCs w:val="24"/>
        </w:rPr>
        <w:t>10</w:t>
      </w:r>
      <w:r w:rsidR="00114571" w:rsidRPr="00BD58C0">
        <w:rPr>
          <w:rFonts w:ascii="Times New Roman" w:hAnsi="Times New Roman" w:cs="Times New Roman"/>
          <w:sz w:val="24"/>
          <w:szCs w:val="24"/>
        </w:rPr>
        <w:t xml:space="preserve">]. </w:t>
      </w:r>
      <w:r w:rsidR="002A7041" w:rsidRPr="00BD58C0">
        <w:rPr>
          <w:rFonts w:ascii="Times New Roman" w:hAnsi="Times New Roman" w:cs="Times New Roman"/>
          <w:sz w:val="24"/>
          <w:szCs w:val="24"/>
        </w:rPr>
        <w:t>As biogas only contributes approximately 0.2% to the energy production mix [1</w:t>
      </w:r>
      <w:r w:rsidR="00210089" w:rsidRPr="00BD58C0">
        <w:rPr>
          <w:rFonts w:ascii="Times New Roman" w:hAnsi="Times New Roman" w:cs="Times New Roman"/>
          <w:sz w:val="24"/>
          <w:szCs w:val="24"/>
        </w:rPr>
        <w:t>1</w:t>
      </w:r>
      <w:r w:rsidR="002A7041" w:rsidRPr="00BD58C0">
        <w:rPr>
          <w:rFonts w:ascii="Times New Roman" w:hAnsi="Times New Roman" w:cs="Times New Roman"/>
          <w:sz w:val="24"/>
          <w:szCs w:val="24"/>
        </w:rPr>
        <w:t>], there is substantial untapped potential for biogas development</w:t>
      </w:r>
      <w:r w:rsidR="0006730D" w:rsidRPr="00BD58C0">
        <w:rPr>
          <w:rFonts w:ascii="Times New Roman" w:hAnsi="Times New Roman" w:cs="Times New Roman"/>
          <w:sz w:val="24"/>
          <w:szCs w:val="24"/>
        </w:rPr>
        <w:t xml:space="preserve"> in Malaysia</w:t>
      </w:r>
      <w:r w:rsidR="002A7041" w:rsidRPr="00BD58C0">
        <w:rPr>
          <w:rFonts w:ascii="Times New Roman" w:hAnsi="Times New Roman" w:cs="Times New Roman"/>
          <w:sz w:val="24"/>
          <w:szCs w:val="24"/>
        </w:rPr>
        <w:t xml:space="preserve">. </w:t>
      </w:r>
      <w:r w:rsidR="006448B0" w:rsidRPr="00BD58C0">
        <w:rPr>
          <w:rFonts w:ascii="Times New Roman" w:hAnsi="Times New Roman" w:cs="Times New Roman"/>
          <w:sz w:val="24"/>
          <w:szCs w:val="24"/>
        </w:rPr>
        <w:t xml:space="preserve">One way of harnessing it </w:t>
      </w:r>
      <w:r w:rsidR="00780A95" w:rsidRPr="00BD58C0">
        <w:rPr>
          <w:rFonts w:ascii="Times New Roman" w:hAnsi="Times New Roman" w:cs="Times New Roman"/>
          <w:sz w:val="24"/>
          <w:szCs w:val="24"/>
        </w:rPr>
        <w:t xml:space="preserve">is </w:t>
      </w:r>
      <w:r w:rsidR="006448B0" w:rsidRPr="00BD58C0">
        <w:rPr>
          <w:rFonts w:ascii="Times New Roman" w:hAnsi="Times New Roman" w:cs="Times New Roman"/>
          <w:sz w:val="24"/>
          <w:szCs w:val="24"/>
        </w:rPr>
        <w:t xml:space="preserve">by </w:t>
      </w:r>
      <w:r w:rsidR="002A7041" w:rsidRPr="00BD58C0">
        <w:rPr>
          <w:rFonts w:ascii="Times New Roman" w:hAnsi="Times New Roman" w:cs="Times New Roman"/>
          <w:sz w:val="24"/>
          <w:szCs w:val="24"/>
        </w:rPr>
        <w:t>encourag</w:t>
      </w:r>
      <w:r w:rsidR="006448B0" w:rsidRPr="00BD58C0">
        <w:rPr>
          <w:rFonts w:ascii="Times New Roman" w:hAnsi="Times New Roman" w:cs="Times New Roman"/>
          <w:sz w:val="24"/>
          <w:szCs w:val="24"/>
        </w:rPr>
        <w:t>ing</w:t>
      </w:r>
      <w:r w:rsidR="002A7041" w:rsidRPr="00BD58C0">
        <w:rPr>
          <w:rFonts w:ascii="Times New Roman" w:hAnsi="Times New Roman" w:cs="Times New Roman"/>
          <w:sz w:val="24"/>
          <w:szCs w:val="24"/>
        </w:rPr>
        <w:t xml:space="preserve"> </w:t>
      </w:r>
      <w:r w:rsidR="00316D9F" w:rsidRPr="00BD58C0">
        <w:rPr>
          <w:rFonts w:ascii="Times New Roman" w:hAnsi="Times New Roman" w:cs="Times New Roman"/>
          <w:sz w:val="24"/>
          <w:szCs w:val="24"/>
        </w:rPr>
        <w:t>use of</w:t>
      </w:r>
      <w:r w:rsidR="002A7041" w:rsidRPr="00BD58C0">
        <w:rPr>
          <w:rFonts w:ascii="Times New Roman" w:hAnsi="Times New Roman" w:cs="Times New Roman"/>
          <w:sz w:val="24"/>
          <w:szCs w:val="24"/>
        </w:rPr>
        <w:t xml:space="preserve"> a closed anaerobic digestion system for converting POME into renewable biogas which can then </w:t>
      </w:r>
      <w:r w:rsidR="00F736B0" w:rsidRPr="00BD58C0">
        <w:rPr>
          <w:rFonts w:ascii="Times New Roman" w:hAnsi="Times New Roman" w:cs="Times New Roman"/>
          <w:sz w:val="24"/>
          <w:szCs w:val="24"/>
        </w:rPr>
        <w:t xml:space="preserve">be </w:t>
      </w:r>
      <w:r w:rsidR="002A7041" w:rsidRPr="00BD58C0">
        <w:rPr>
          <w:rFonts w:ascii="Times New Roman" w:hAnsi="Times New Roman" w:cs="Times New Roman"/>
          <w:sz w:val="24"/>
          <w:szCs w:val="24"/>
        </w:rPr>
        <w:t xml:space="preserve">converted into electricity </w:t>
      </w:r>
      <w:r w:rsidR="00FB2209" w:rsidRPr="00BD58C0">
        <w:rPr>
          <w:rFonts w:ascii="Times New Roman" w:hAnsi="Times New Roman" w:cs="Times New Roman"/>
          <w:sz w:val="24"/>
          <w:szCs w:val="24"/>
        </w:rPr>
        <w:t>[</w:t>
      </w:r>
      <w:r w:rsidR="000215AD" w:rsidRPr="00BD58C0">
        <w:rPr>
          <w:rFonts w:ascii="Times New Roman" w:hAnsi="Times New Roman" w:cs="Times New Roman"/>
          <w:sz w:val="24"/>
          <w:szCs w:val="24"/>
        </w:rPr>
        <w:t>9</w:t>
      </w:r>
      <w:r w:rsidR="00FB2209" w:rsidRPr="00BD58C0">
        <w:rPr>
          <w:rFonts w:ascii="Times New Roman" w:hAnsi="Times New Roman" w:cs="Times New Roman"/>
          <w:sz w:val="24"/>
          <w:szCs w:val="24"/>
        </w:rPr>
        <w:t>]</w:t>
      </w:r>
      <w:r w:rsidR="002A7041" w:rsidRPr="00BD58C0">
        <w:rPr>
          <w:rFonts w:ascii="Times New Roman" w:hAnsi="Times New Roman" w:cs="Times New Roman"/>
          <w:sz w:val="24"/>
          <w:szCs w:val="24"/>
        </w:rPr>
        <w:t>.</w:t>
      </w:r>
      <w:r w:rsidR="00673841" w:rsidRPr="00BD58C0">
        <w:rPr>
          <w:rFonts w:ascii="Times New Roman" w:hAnsi="Times New Roman" w:cs="Times New Roman"/>
          <w:sz w:val="24"/>
          <w:szCs w:val="24"/>
        </w:rPr>
        <w:t xml:space="preserve"> </w:t>
      </w:r>
      <w:r w:rsidR="006578C1" w:rsidRPr="00BD58C0">
        <w:rPr>
          <w:rFonts w:ascii="Times New Roman" w:hAnsi="Times New Roman" w:cs="Times New Roman"/>
          <w:sz w:val="24"/>
          <w:szCs w:val="24"/>
        </w:rPr>
        <w:t xml:space="preserve">If </w:t>
      </w:r>
      <w:r w:rsidR="000B2073" w:rsidRPr="00BD58C0">
        <w:rPr>
          <w:rFonts w:ascii="Times New Roman" w:hAnsi="Times New Roman" w:cs="Times New Roman"/>
          <w:sz w:val="24"/>
          <w:szCs w:val="24"/>
        </w:rPr>
        <w:t>all</w:t>
      </w:r>
      <w:r w:rsidR="006578C1" w:rsidRPr="00BD58C0">
        <w:rPr>
          <w:rFonts w:ascii="Times New Roman" w:hAnsi="Times New Roman" w:cs="Times New Roman"/>
          <w:sz w:val="24"/>
          <w:szCs w:val="24"/>
        </w:rPr>
        <w:t xml:space="preserve"> </w:t>
      </w:r>
      <w:r w:rsidR="00E6310C" w:rsidRPr="00BD58C0">
        <w:rPr>
          <w:rFonts w:ascii="Times New Roman" w:hAnsi="Times New Roman" w:cs="Times New Roman"/>
          <w:sz w:val="24"/>
          <w:szCs w:val="24"/>
        </w:rPr>
        <w:t xml:space="preserve">of the </w:t>
      </w:r>
      <w:r w:rsidR="006578C1" w:rsidRPr="00BD58C0">
        <w:rPr>
          <w:rFonts w:ascii="Times New Roman" w:hAnsi="Times New Roman" w:cs="Times New Roman"/>
          <w:sz w:val="24"/>
          <w:szCs w:val="24"/>
        </w:rPr>
        <w:t xml:space="preserve">POME was to be anaerobically digested, </w:t>
      </w:r>
      <w:r w:rsidR="00F736B0" w:rsidRPr="00BD58C0">
        <w:rPr>
          <w:rFonts w:ascii="Times New Roman" w:hAnsi="Times New Roman" w:cs="Times New Roman"/>
          <w:sz w:val="24"/>
          <w:szCs w:val="24"/>
        </w:rPr>
        <w:t xml:space="preserve">Malaysia’s </w:t>
      </w:r>
      <w:r w:rsidR="00453B16" w:rsidRPr="00BD58C0">
        <w:rPr>
          <w:rFonts w:ascii="Times New Roman" w:hAnsi="Times New Roman" w:cs="Times New Roman"/>
          <w:sz w:val="24"/>
          <w:szCs w:val="24"/>
        </w:rPr>
        <w:t>451 POMs could generate 68 million m</w:t>
      </w:r>
      <w:r w:rsidR="00453B16" w:rsidRPr="00BD58C0">
        <w:rPr>
          <w:rFonts w:ascii="Times New Roman" w:hAnsi="Times New Roman" w:cs="Times New Roman"/>
          <w:sz w:val="24"/>
          <w:szCs w:val="24"/>
          <w:vertAlign w:val="superscript"/>
        </w:rPr>
        <w:t>3</w:t>
      </w:r>
      <w:r w:rsidR="00D74907" w:rsidRPr="00BD58C0">
        <w:rPr>
          <w:rFonts w:ascii="Times New Roman" w:hAnsi="Times New Roman" w:cs="Times New Roman"/>
          <w:sz w:val="24"/>
          <w:szCs w:val="24"/>
        </w:rPr>
        <w:t xml:space="preserve"> of POME</w:t>
      </w:r>
      <w:r w:rsidR="00F736B0" w:rsidRPr="00BD58C0">
        <w:rPr>
          <w:rFonts w:ascii="Times New Roman" w:hAnsi="Times New Roman" w:cs="Times New Roman"/>
          <w:sz w:val="24"/>
          <w:szCs w:val="24"/>
        </w:rPr>
        <w:t>,</w:t>
      </w:r>
      <w:r w:rsidR="00D74907" w:rsidRPr="00BD58C0">
        <w:rPr>
          <w:rFonts w:ascii="Times New Roman" w:hAnsi="Times New Roman" w:cs="Times New Roman"/>
          <w:sz w:val="24"/>
          <w:szCs w:val="24"/>
        </w:rPr>
        <w:t xml:space="preserve"> which has the ability to generate 500 MW of </w:t>
      </w:r>
      <w:r w:rsidR="00D74907" w:rsidRPr="00BD58C0">
        <w:rPr>
          <w:rFonts w:ascii="Times New Roman" w:hAnsi="Times New Roman" w:cs="Times New Roman"/>
          <w:sz w:val="24"/>
          <w:szCs w:val="24"/>
        </w:rPr>
        <w:lastRenderedPageBreak/>
        <w:t>electricity</w:t>
      </w:r>
      <w:r w:rsidR="00BC4362" w:rsidRPr="00BD58C0">
        <w:rPr>
          <w:rFonts w:ascii="Times New Roman" w:hAnsi="Times New Roman" w:cs="Times New Roman"/>
          <w:sz w:val="24"/>
          <w:szCs w:val="24"/>
        </w:rPr>
        <w:t xml:space="preserve"> </w:t>
      </w:r>
      <w:r w:rsidR="00C71FB5" w:rsidRPr="00BD58C0">
        <w:rPr>
          <w:rFonts w:ascii="Times New Roman" w:hAnsi="Times New Roman" w:cs="Times New Roman"/>
          <w:sz w:val="24"/>
          <w:szCs w:val="24"/>
        </w:rPr>
        <w:t>[</w:t>
      </w:r>
      <w:r w:rsidR="00210089" w:rsidRPr="00BD58C0">
        <w:rPr>
          <w:rFonts w:ascii="Times New Roman" w:hAnsi="Times New Roman" w:cs="Times New Roman"/>
          <w:sz w:val="24"/>
          <w:szCs w:val="24"/>
        </w:rPr>
        <w:t>12</w:t>
      </w:r>
      <w:r w:rsidR="00C71FB5" w:rsidRPr="00BD58C0">
        <w:rPr>
          <w:rFonts w:ascii="Times New Roman" w:hAnsi="Times New Roman" w:cs="Times New Roman"/>
          <w:sz w:val="24"/>
          <w:szCs w:val="24"/>
        </w:rPr>
        <w:t>]</w:t>
      </w:r>
      <w:r w:rsidR="00D74907" w:rsidRPr="00BD58C0">
        <w:rPr>
          <w:rFonts w:ascii="Times New Roman" w:hAnsi="Times New Roman" w:cs="Times New Roman"/>
          <w:sz w:val="24"/>
          <w:szCs w:val="24"/>
        </w:rPr>
        <w:t xml:space="preserve">. </w:t>
      </w:r>
      <w:r w:rsidR="002A7041" w:rsidRPr="00BD58C0">
        <w:rPr>
          <w:rFonts w:ascii="Times New Roman" w:hAnsi="Times New Roman" w:cs="Times New Roman"/>
          <w:sz w:val="24"/>
          <w:szCs w:val="24"/>
        </w:rPr>
        <w:t xml:space="preserve">However, lack of </w:t>
      </w:r>
      <w:r w:rsidR="00337EFA" w:rsidRPr="00BD58C0">
        <w:rPr>
          <w:rFonts w:ascii="Times New Roman" w:hAnsi="Times New Roman" w:cs="Times New Roman"/>
          <w:sz w:val="24"/>
          <w:szCs w:val="24"/>
        </w:rPr>
        <w:t xml:space="preserve">policy </w:t>
      </w:r>
      <w:r w:rsidR="002A7041" w:rsidRPr="00BD58C0">
        <w:rPr>
          <w:rFonts w:ascii="Times New Roman" w:hAnsi="Times New Roman" w:cs="Times New Roman"/>
          <w:sz w:val="24"/>
          <w:szCs w:val="24"/>
        </w:rPr>
        <w:t xml:space="preserve">support from relevant authorities and government for the adoption of </w:t>
      </w:r>
      <w:r w:rsidR="006C473F" w:rsidRPr="00BD58C0">
        <w:rPr>
          <w:rFonts w:ascii="Times New Roman" w:hAnsi="Times New Roman" w:cs="Times New Roman"/>
          <w:sz w:val="24"/>
          <w:szCs w:val="24"/>
        </w:rPr>
        <w:t xml:space="preserve">the required </w:t>
      </w:r>
      <w:r w:rsidR="0045021F" w:rsidRPr="00BD58C0">
        <w:rPr>
          <w:rFonts w:ascii="Times New Roman" w:hAnsi="Times New Roman" w:cs="Times New Roman"/>
          <w:sz w:val="24"/>
          <w:szCs w:val="24"/>
        </w:rPr>
        <w:t xml:space="preserve">renewable energy </w:t>
      </w:r>
      <w:r w:rsidR="002A7041" w:rsidRPr="00BD58C0">
        <w:rPr>
          <w:rFonts w:ascii="Times New Roman" w:hAnsi="Times New Roman" w:cs="Times New Roman"/>
          <w:sz w:val="24"/>
          <w:szCs w:val="24"/>
        </w:rPr>
        <w:t>technolog</w:t>
      </w:r>
      <w:r w:rsidR="006C473F" w:rsidRPr="00BD58C0">
        <w:rPr>
          <w:rFonts w:ascii="Times New Roman" w:hAnsi="Times New Roman" w:cs="Times New Roman"/>
          <w:sz w:val="24"/>
          <w:szCs w:val="24"/>
        </w:rPr>
        <w:t>ies</w:t>
      </w:r>
      <w:r w:rsidR="002A7041" w:rsidRPr="00BD58C0">
        <w:rPr>
          <w:rFonts w:ascii="Times New Roman" w:hAnsi="Times New Roman" w:cs="Times New Roman"/>
          <w:sz w:val="24"/>
          <w:szCs w:val="24"/>
        </w:rPr>
        <w:t xml:space="preserve"> has resulted in slow growth </w:t>
      </w:r>
      <w:r w:rsidR="00BA6599" w:rsidRPr="00BD58C0">
        <w:rPr>
          <w:rFonts w:ascii="Times New Roman" w:hAnsi="Times New Roman" w:cs="Times New Roman"/>
          <w:sz w:val="24"/>
          <w:szCs w:val="24"/>
        </w:rPr>
        <w:t>in this area</w:t>
      </w:r>
      <w:r w:rsidR="002A7041" w:rsidRPr="00BD58C0">
        <w:rPr>
          <w:rFonts w:ascii="Times New Roman" w:hAnsi="Times New Roman" w:cs="Times New Roman"/>
          <w:sz w:val="24"/>
          <w:szCs w:val="24"/>
        </w:rPr>
        <w:t>.</w:t>
      </w:r>
    </w:p>
    <w:p w14:paraId="429E3EBA" w14:textId="5CF2F05B" w:rsidR="00C17458" w:rsidRPr="00BD58C0" w:rsidRDefault="00FE240A" w:rsidP="007741C7">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Lack</w:t>
      </w:r>
      <w:r w:rsidR="00A7512B" w:rsidRPr="00BD58C0">
        <w:rPr>
          <w:rFonts w:ascii="Times New Roman" w:hAnsi="Times New Roman" w:cs="Times New Roman"/>
          <w:sz w:val="24"/>
          <w:szCs w:val="24"/>
        </w:rPr>
        <w:t xml:space="preserve"> of policy support is</w:t>
      </w:r>
      <w:r w:rsidRPr="00BD58C0">
        <w:rPr>
          <w:rFonts w:ascii="Times New Roman" w:hAnsi="Times New Roman" w:cs="Times New Roman"/>
          <w:sz w:val="24"/>
          <w:szCs w:val="24"/>
        </w:rPr>
        <w:t xml:space="preserve"> partly</w:t>
      </w:r>
      <w:r w:rsidR="00A7512B" w:rsidRPr="00BD58C0">
        <w:rPr>
          <w:rFonts w:ascii="Times New Roman" w:hAnsi="Times New Roman" w:cs="Times New Roman"/>
          <w:sz w:val="24"/>
          <w:szCs w:val="24"/>
        </w:rPr>
        <w:t xml:space="preserve"> due to </w:t>
      </w:r>
      <w:r w:rsidR="005F162B" w:rsidRPr="00BD58C0">
        <w:rPr>
          <w:rFonts w:ascii="Times New Roman" w:hAnsi="Times New Roman" w:cs="Times New Roman"/>
          <w:sz w:val="24"/>
          <w:szCs w:val="24"/>
        </w:rPr>
        <w:t>the absence</w:t>
      </w:r>
      <w:r w:rsidR="00A7512B" w:rsidRPr="00BD58C0">
        <w:rPr>
          <w:rFonts w:ascii="Times New Roman" w:hAnsi="Times New Roman" w:cs="Times New Roman"/>
          <w:sz w:val="24"/>
          <w:szCs w:val="24"/>
        </w:rPr>
        <w:t xml:space="preserve"> of detailed information to guide policymakers on viable alternatives, especially </w:t>
      </w:r>
      <w:r w:rsidR="006764D5" w:rsidRPr="00BD58C0">
        <w:rPr>
          <w:rFonts w:ascii="Times New Roman" w:hAnsi="Times New Roman" w:cs="Times New Roman"/>
          <w:sz w:val="24"/>
          <w:szCs w:val="24"/>
        </w:rPr>
        <w:t xml:space="preserve">with respect to </w:t>
      </w:r>
      <w:r w:rsidR="006448B0" w:rsidRPr="00BD58C0">
        <w:rPr>
          <w:rFonts w:ascii="Times New Roman" w:hAnsi="Times New Roman" w:cs="Times New Roman"/>
          <w:sz w:val="24"/>
          <w:szCs w:val="24"/>
        </w:rPr>
        <w:t>the economics of POME treatment in the energy generation process</w:t>
      </w:r>
      <w:r w:rsidR="00635CF9" w:rsidRPr="00BD58C0">
        <w:rPr>
          <w:rFonts w:ascii="Times New Roman" w:hAnsi="Times New Roman" w:cs="Times New Roman"/>
          <w:sz w:val="24"/>
          <w:szCs w:val="24"/>
        </w:rPr>
        <w:t xml:space="preserve">. </w:t>
      </w:r>
      <w:r w:rsidR="00214A7A" w:rsidRPr="00BD58C0">
        <w:rPr>
          <w:rFonts w:ascii="Times New Roman" w:hAnsi="Times New Roman" w:cs="Times New Roman"/>
          <w:sz w:val="24"/>
          <w:szCs w:val="24"/>
        </w:rPr>
        <w:t xml:space="preserve">There is limited </w:t>
      </w:r>
      <w:r w:rsidR="00635CF9" w:rsidRPr="00BD58C0">
        <w:rPr>
          <w:rFonts w:ascii="Times New Roman" w:hAnsi="Times New Roman" w:cs="Times New Roman"/>
          <w:sz w:val="24"/>
          <w:szCs w:val="24"/>
        </w:rPr>
        <w:t>information</w:t>
      </w:r>
      <w:r w:rsidR="00214A7A" w:rsidRPr="00BD58C0">
        <w:rPr>
          <w:rFonts w:ascii="Times New Roman" w:hAnsi="Times New Roman" w:cs="Times New Roman"/>
          <w:sz w:val="24"/>
          <w:szCs w:val="24"/>
        </w:rPr>
        <w:t>, in particular,</w:t>
      </w:r>
      <w:r w:rsidR="00635CF9" w:rsidRPr="00BD58C0">
        <w:rPr>
          <w:rFonts w:ascii="Times New Roman" w:hAnsi="Times New Roman" w:cs="Times New Roman"/>
          <w:sz w:val="24"/>
          <w:szCs w:val="24"/>
        </w:rPr>
        <w:t xml:space="preserve"> on the capital and operational costs for POME treatment technologies.</w:t>
      </w:r>
      <w:r w:rsidR="007F42D0" w:rsidRPr="00BD58C0">
        <w:rPr>
          <w:rFonts w:ascii="Times New Roman" w:hAnsi="Times New Roman" w:cs="Times New Roman"/>
          <w:sz w:val="24"/>
          <w:szCs w:val="24"/>
        </w:rPr>
        <w:t xml:space="preserve"> </w:t>
      </w:r>
      <w:r w:rsidR="00D41734" w:rsidRPr="00BD58C0">
        <w:rPr>
          <w:rFonts w:ascii="Times New Roman" w:hAnsi="Times New Roman" w:cs="Times New Roman"/>
          <w:sz w:val="24"/>
          <w:szCs w:val="24"/>
        </w:rPr>
        <w:t xml:space="preserve">This study addresses this gap, aiming to provide more comprehensive economic information and expert ranking of policy options to guide decision makers. </w:t>
      </w:r>
      <w:r w:rsidR="00F66617" w:rsidRPr="00BD58C0">
        <w:rPr>
          <w:rFonts w:ascii="Times New Roman" w:hAnsi="Times New Roman" w:cs="Times New Roman"/>
          <w:sz w:val="24"/>
          <w:szCs w:val="24"/>
        </w:rPr>
        <w:t xml:space="preserve">This is achieved through two objectives: first, </w:t>
      </w:r>
      <w:r w:rsidR="006448B0" w:rsidRPr="00BD58C0">
        <w:rPr>
          <w:rFonts w:ascii="Times New Roman" w:hAnsi="Times New Roman" w:cs="Times New Roman"/>
          <w:sz w:val="24"/>
          <w:szCs w:val="24"/>
        </w:rPr>
        <w:t xml:space="preserve">by </w:t>
      </w:r>
      <w:r w:rsidR="0045021F" w:rsidRPr="00BD58C0">
        <w:rPr>
          <w:rFonts w:ascii="Times New Roman" w:hAnsi="Times New Roman" w:cs="Times New Roman"/>
          <w:sz w:val="24"/>
          <w:szCs w:val="24"/>
        </w:rPr>
        <w:t xml:space="preserve">undertaking a </w:t>
      </w:r>
      <w:r w:rsidR="006448B0" w:rsidRPr="00BD58C0">
        <w:rPr>
          <w:rFonts w:ascii="Times New Roman" w:hAnsi="Times New Roman" w:cs="Times New Roman"/>
          <w:sz w:val="24"/>
          <w:szCs w:val="24"/>
        </w:rPr>
        <w:t>life cycle cost-benefit</w:t>
      </w:r>
      <w:r w:rsidR="00D15C50" w:rsidRPr="00BD58C0">
        <w:rPr>
          <w:rFonts w:ascii="Times New Roman" w:hAnsi="Times New Roman" w:cs="Times New Roman"/>
          <w:sz w:val="24"/>
          <w:szCs w:val="24"/>
        </w:rPr>
        <w:t xml:space="preserve"> analysis</w:t>
      </w:r>
      <w:r w:rsidR="006448B0" w:rsidRPr="00BD58C0">
        <w:rPr>
          <w:rFonts w:ascii="Times New Roman" w:hAnsi="Times New Roman" w:cs="Times New Roman"/>
          <w:sz w:val="24"/>
          <w:szCs w:val="24"/>
        </w:rPr>
        <w:t xml:space="preserve"> </w:t>
      </w:r>
      <w:r w:rsidR="00D15C50" w:rsidRPr="00BD58C0">
        <w:rPr>
          <w:rFonts w:ascii="Times New Roman" w:hAnsi="Times New Roman" w:cs="Times New Roman"/>
          <w:sz w:val="24"/>
          <w:szCs w:val="24"/>
        </w:rPr>
        <w:t>(LCCBA)</w:t>
      </w:r>
      <w:r w:rsidR="0045021F" w:rsidRPr="00BD58C0">
        <w:rPr>
          <w:rFonts w:ascii="Times New Roman" w:hAnsi="Times New Roman" w:cs="Times New Roman"/>
          <w:sz w:val="24"/>
          <w:szCs w:val="24"/>
        </w:rPr>
        <w:t>, bringing together</w:t>
      </w:r>
      <w:r w:rsidR="00143AD0" w:rsidRPr="00BD58C0">
        <w:rPr>
          <w:rFonts w:ascii="Times New Roman" w:hAnsi="Times New Roman" w:cs="Times New Roman"/>
          <w:sz w:val="24"/>
          <w:szCs w:val="24"/>
        </w:rPr>
        <w:t xml:space="preserve"> </w:t>
      </w:r>
      <w:r w:rsidR="001A5D60" w:rsidRPr="00BD58C0">
        <w:rPr>
          <w:rFonts w:ascii="Times New Roman" w:hAnsi="Times New Roman" w:cs="Times New Roman"/>
          <w:sz w:val="24"/>
          <w:szCs w:val="24"/>
        </w:rPr>
        <w:t>life cycle cost</w:t>
      </w:r>
      <w:r w:rsidR="00F349A1" w:rsidRPr="00BD58C0">
        <w:rPr>
          <w:rFonts w:ascii="Times New Roman" w:hAnsi="Times New Roman" w:cs="Times New Roman"/>
          <w:sz w:val="24"/>
          <w:szCs w:val="24"/>
        </w:rPr>
        <w:t xml:space="preserve"> (LCC)</w:t>
      </w:r>
      <w:r w:rsidR="00137968" w:rsidRPr="00BD58C0">
        <w:rPr>
          <w:rFonts w:ascii="Times New Roman" w:hAnsi="Times New Roman" w:cs="Times New Roman"/>
          <w:sz w:val="24"/>
          <w:szCs w:val="24"/>
        </w:rPr>
        <w:t xml:space="preserve">, </w:t>
      </w:r>
      <w:r w:rsidR="006D6281" w:rsidRPr="00BD58C0">
        <w:rPr>
          <w:rFonts w:ascii="Times New Roman" w:hAnsi="Times New Roman" w:cs="Times New Roman"/>
          <w:sz w:val="24"/>
          <w:szCs w:val="24"/>
        </w:rPr>
        <w:t xml:space="preserve">while at the same time </w:t>
      </w:r>
      <w:r w:rsidR="00E952B9" w:rsidRPr="00BD58C0">
        <w:rPr>
          <w:rFonts w:ascii="Times New Roman" w:hAnsi="Times New Roman" w:cs="Times New Roman"/>
          <w:sz w:val="24"/>
          <w:szCs w:val="24"/>
        </w:rPr>
        <w:t>providing</w:t>
      </w:r>
      <w:r w:rsidR="00137968" w:rsidRPr="00BD58C0">
        <w:rPr>
          <w:rFonts w:ascii="Times New Roman" w:hAnsi="Times New Roman" w:cs="Times New Roman"/>
          <w:sz w:val="24"/>
          <w:szCs w:val="24"/>
        </w:rPr>
        <w:t xml:space="preserve"> detailed costing calculation </w:t>
      </w:r>
      <w:r w:rsidR="001A5D60" w:rsidRPr="00BD58C0">
        <w:rPr>
          <w:rFonts w:ascii="Times New Roman" w:hAnsi="Times New Roman" w:cs="Times New Roman"/>
          <w:sz w:val="24"/>
          <w:szCs w:val="24"/>
        </w:rPr>
        <w:t xml:space="preserve">and </w:t>
      </w:r>
      <w:r w:rsidR="00396527" w:rsidRPr="00BD58C0">
        <w:rPr>
          <w:rFonts w:ascii="Times New Roman" w:hAnsi="Times New Roman" w:cs="Times New Roman"/>
          <w:sz w:val="24"/>
          <w:szCs w:val="24"/>
        </w:rPr>
        <w:t>c</w:t>
      </w:r>
      <w:r w:rsidR="00151AA0" w:rsidRPr="00BD58C0">
        <w:rPr>
          <w:rFonts w:ascii="Times New Roman" w:hAnsi="Times New Roman" w:cs="Times New Roman"/>
          <w:sz w:val="24"/>
          <w:szCs w:val="24"/>
        </w:rPr>
        <w:t>ost-</w:t>
      </w:r>
      <w:r w:rsidR="00396527" w:rsidRPr="00BD58C0">
        <w:rPr>
          <w:rFonts w:ascii="Times New Roman" w:hAnsi="Times New Roman" w:cs="Times New Roman"/>
          <w:sz w:val="24"/>
          <w:szCs w:val="24"/>
        </w:rPr>
        <w:t>b</w:t>
      </w:r>
      <w:r w:rsidR="00151AA0" w:rsidRPr="00BD58C0">
        <w:rPr>
          <w:rFonts w:ascii="Times New Roman" w:hAnsi="Times New Roman" w:cs="Times New Roman"/>
          <w:sz w:val="24"/>
          <w:szCs w:val="24"/>
        </w:rPr>
        <w:t xml:space="preserve">enefit </w:t>
      </w:r>
      <w:r w:rsidR="00396527" w:rsidRPr="00BD58C0">
        <w:rPr>
          <w:rFonts w:ascii="Times New Roman" w:hAnsi="Times New Roman" w:cs="Times New Roman"/>
          <w:sz w:val="24"/>
          <w:szCs w:val="24"/>
        </w:rPr>
        <w:t>a</w:t>
      </w:r>
      <w:r w:rsidR="00151AA0" w:rsidRPr="00BD58C0">
        <w:rPr>
          <w:rFonts w:ascii="Times New Roman" w:hAnsi="Times New Roman" w:cs="Times New Roman"/>
          <w:sz w:val="24"/>
          <w:szCs w:val="24"/>
        </w:rPr>
        <w:t>nalysis (</w:t>
      </w:r>
      <w:r w:rsidR="001A5D60" w:rsidRPr="00BD58C0">
        <w:rPr>
          <w:rFonts w:ascii="Times New Roman" w:hAnsi="Times New Roman" w:cs="Times New Roman"/>
          <w:sz w:val="24"/>
          <w:szCs w:val="24"/>
        </w:rPr>
        <w:t>CBA</w:t>
      </w:r>
      <w:r w:rsidR="00151AA0" w:rsidRPr="00BD58C0">
        <w:rPr>
          <w:rFonts w:ascii="Times New Roman" w:hAnsi="Times New Roman" w:cs="Times New Roman"/>
          <w:sz w:val="24"/>
          <w:szCs w:val="24"/>
        </w:rPr>
        <w:t>)</w:t>
      </w:r>
      <w:r w:rsidR="00D15C50" w:rsidRPr="00BD58C0">
        <w:rPr>
          <w:rFonts w:ascii="Times New Roman" w:hAnsi="Times New Roman" w:cs="Times New Roman"/>
          <w:sz w:val="24"/>
          <w:szCs w:val="24"/>
        </w:rPr>
        <w:t xml:space="preserve"> </w:t>
      </w:r>
      <w:r w:rsidR="0045021F" w:rsidRPr="00BD58C0">
        <w:rPr>
          <w:rFonts w:ascii="Times New Roman" w:hAnsi="Times New Roman" w:cs="Times New Roman"/>
          <w:sz w:val="24"/>
          <w:szCs w:val="24"/>
        </w:rPr>
        <w:t xml:space="preserve">for </w:t>
      </w:r>
      <w:r w:rsidR="006448B0" w:rsidRPr="00BD58C0">
        <w:rPr>
          <w:rFonts w:ascii="Times New Roman" w:hAnsi="Times New Roman" w:cs="Times New Roman"/>
          <w:sz w:val="24"/>
          <w:szCs w:val="24"/>
        </w:rPr>
        <w:t>the covered lagoon bio-digester (CLB) and the continuous stirred tank reactor (CSTR)</w:t>
      </w:r>
      <w:r w:rsidR="00895490" w:rsidRPr="00BD58C0">
        <w:rPr>
          <w:rFonts w:ascii="Times New Roman" w:hAnsi="Times New Roman" w:cs="Times New Roman"/>
          <w:sz w:val="24"/>
          <w:szCs w:val="24"/>
        </w:rPr>
        <w:t xml:space="preserve"> treatment technologies</w:t>
      </w:r>
      <w:r w:rsidR="006448B0" w:rsidRPr="00BD58C0">
        <w:rPr>
          <w:rFonts w:ascii="Times New Roman" w:hAnsi="Times New Roman" w:cs="Times New Roman"/>
          <w:sz w:val="24"/>
          <w:szCs w:val="24"/>
        </w:rPr>
        <w:t>.</w:t>
      </w:r>
      <w:r w:rsidR="005C1D01" w:rsidRPr="00BD58C0">
        <w:rPr>
          <w:rFonts w:ascii="Times New Roman" w:hAnsi="Times New Roman" w:cs="Times New Roman"/>
          <w:sz w:val="24"/>
          <w:szCs w:val="24"/>
        </w:rPr>
        <w:t xml:space="preserve"> </w:t>
      </w:r>
      <w:bookmarkStart w:id="2" w:name="_Hlk85448596"/>
      <w:r w:rsidR="002642BE" w:rsidRPr="00BD58C0">
        <w:rPr>
          <w:rFonts w:ascii="Times New Roman" w:hAnsi="Times New Roman" w:cs="Times New Roman"/>
          <w:sz w:val="24"/>
          <w:szCs w:val="24"/>
        </w:rPr>
        <w:t xml:space="preserve">Combining LCC and CBA </w:t>
      </w:r>
      <w:r w:rsidR="009D3001" w:rsidRPr="00BD58C0">
        <w:rPr>
          <w:rFonts w:ascii="Times New Roman" w:hAnsi="Times New Roman" w:cs="Times New Roman"/>
          <w:sz w:val="24"/>
          <w:szCs w:val="24"/>
        </w:rPr>
        <w:t xml:space="preserve">is an approach that has been widely used </w:t>
      </w:r>
      <w:r w:rsidR="00E97A11" w:rsidRPr="00BD58C0">
        <w:rPr>
          <w:rFonts w:ascii="Times New Roman" w:hAnsi="Times New Roman" w:cs="Times New Roman"/>
          <w:sz w:val="24"/>
          <w:szCs w:val="24"/>
        </w:rPr>
        <w:t xml:space="preserve">by studies focussing </w:t>
      </w:r>
      <w:r w:rsidR="00A032AA" w:rsidRPr="00BD58C0">
        <w:rPr>
          <w:rFonts w:ascii="Times New Roman" w:hAnsi="Times New Roman" w:cs="Times New Roman"/>
          <w:sz w:val="24"/>
          <w:szCs w:val="24"/>
        </w:rPr>
        <w:t xml:space="preserve">on renewable energy. </w:t>
      </w:r>
      <w:r w:rsidR="00E97A11" w:rsidRPr="00BD58C0">
        <w:rPr>
          <w:rFonts w:ascii="Times New Roman" w:hAnsi="Times New Roman" w:cs="Times New Roman"/>
          <w:sz w:val="24"/>
          <w:szCs w:val="24"/>
        </w:rPr>
        <w:t>For instance, [1</w:t>
      </w:r>
      <w:r w:rsidR="00496416" w:rsidRPr="00BD58C0">
        <w:rPr>
          <w:rFonts w:ascii="Times New Roman" w:hAnsi="Times New Roman" w:cs="Times New Roman"/>
          <w:sz w:val="24"/>
          <w:szCs w:val="24"/>
        </w:rPr>
        <w:t>3</w:t>
      </w:r>
      <w:r w:rsidR="00E97A11" w:rsidRPr="00BD58C0">
        <w:rPr>
          <w:rFonts w:ascii="Times New Roman" w:hAnsi="Times New Roman" w:cs="Times New Roman"/>
          <w:sz w:val="24"/>
          <w:szCs w:val="24"/>
        </w:rPr>
        <w:t xml:space="preserve">] </w:t>
      </w:r>
      <w:r w:rsidR="007741C7" w:rsidRPr="00BD58C0">
        <w:rPr>
          <w:rFonts w:ascii="Times New Roman" w:hAnsi="Times New Roman" w:cs="Times New Roman"/>
          <w:sz w:val="24"/>
          <w:szCs w:val="24"/>
        </w:rPr>
        <w:t xml:space="preserve">used </w:t>
      </w:r>
      <w:r w:rsidR="0045552F" w:rsidRPr="00BD58C0">
        <w:rPr>
          <w:rFonts w:ascii="Times New Roman" w:hAnsi="Times New Roman" w:cs="Times New Roman"/>
          <w:sz w:val="24"/>
          <w:szCs w:val="24"/>
        </w:rPr>
        <w:t>LCCBA</w:t>
      </w:r>
      <w:r w:rsidR="007741C7" w:rsidRPr="00BD58C0">
        <w:rPr>
          <w:rFonts w:ascii="Times New Roman" w:hAnsi="Times New Roman" w:cs="Times New Roman"/>
          <w:sz w:val="24"/>
          <w:szCs w:val="24"/>
        </w:rPr>
        <w:t xml:space="preserve"> for the economic assessment of palm oil-based biodiesel production in Indonesia</w:t>
      </w:r>
      <w:r w:rsidR="0083375B" w:rsidRPr="00BD58C0">
        <w:rPr>
          <w:rFonts w:ascii="Times New Roman" w:hAnsi="Times New Roman" w:cs="Times New Roman"/>
          <w:sz w:val="24"/>
          <w:szCs w:val="24"/>
        </w:rPr>
        <w:t xml:space="preserve"> in order </w:t>
      </w:r>
      <w:r w:rsidR="007741C7" w:rsidRPr="00BD58C0">
        <w:rPr>
          <w:rFonts w:ascii="Times New Roman" w:hAnsi="Times New Roman" w:cs="Times New Roman"/>
          <w:sz w:val="24"/>
          <w:szCs w:val="24"/>
        </w:rPr>
        <w:t xml:space="preserve">to improve understanding </w:t>
      </w:r>
      <w:r w:rsidR="0083375B" w:rsidRPr="00BD58C0">
        <w:rPr>
          <w:rFonts w:ascii="Times New Roman" w:hAnsi="Times New Roman" w:cs="Times New Roman"/>
          <w:sz w:val="24"/>
          <w:szCs w:val="24"/>
        </w:rPr>
        <w:t xml:space="preserve">of </w:t>
      </w:r>
      <w:r w:rsidR="007741C7" w:rsidRPr="00BD58C0">
        <w:rPr>
          <w:rFonts w:ascii="Times New Roman" w:hAnsi="Times New Roman" w:cs="Times New Roman"/>
          <w:sz w:val="24"/>
          <w:szCs w:val="24"/>
        </w:rPr>
        <w:t xml:space="preserve">consequences and potential benefits </w:t>
      </w:r>
      <w:r w:rsidR="0083375B" w:rsidRPr="00BD58C0">
        <w:rPr>
          <w:rFonts w:ascii="Times New Roman" w:hAnsi="Times New Roman" w:cs="Times New Roman"/>
          <w:sz w:val="24"/>
          <w:szCs w:val="24"/>
        </w:rPr>
        <w:t xml:space="preserve">from </w:t>
      </w:r>
      <w:r w:rsidR="004010A4" w:rsidRPr="00BD58C0">
        <w:rPr>
          <w:rFonts w:ascii="Times New Roman" w:hAnsi="Times New Roman" w:cs="Times New Roman"/>
          <w:sz w:val="24"/>
          <w:szCs w:val="24"/>
        </w:rPr>
        <w:t>sterner</w:t>
      </w:r>
      <w:r w:rsidR="007741C7" w:rsidRPr="00BD58C0">
        <w:rPr>
          <w:rFonts w:ascii="Times New Roman" w:hAnsi="Times New Roman" w:cs="Times New Roman"/>
          <w:sz w:val="24"/>
          <w:szCs w:val="24"/>
        </w:rPr>
        <w:t xml:space="preserve"> policy implementation. Study by [1</w:t>
      </w:r>
      <w:r w:rsidR="00496416" w:rsidRPr="00BD58C0">
        <w:rPr>
          <w:rFonts w:ascii="Times New Roman" w:hAnsi="Times New Roman" w:cs="Times New Roman"/>
          <w:sz w:val="24"/>
          <w:szCs w:val="24"/>
        </w:rPr>
        <w:t>4</w:t>
      </w:r>
      <w:r w:rsidR="007741C7" w:rsidRPr="00BD58C0">
        <w:rPr>
          <w:rFonts w:ascii="Times New Roman" w:hAnsi="Times New Roman" w:cs="Times New Roman"/>
          <w:sz w:val="24"/>
          <w:szCs w:val="24"/>
        </w:rPr>
        <w:t xml:space="preserve">] used LCCBA to evaluate the economic assessment of </w:t>
      </w:r>
      <w:r w:rsidR="004010A4" w:rsidRPr="00BD58C0">
        <w:rPr>
          <w:rFonts w:ascii="Times New Roman" w:hAnsi="Times New Roman" w:cs="Times New Roman"/>
          <w:sz w:val="24"/>
          <w:szCs w:val="24"/>
        </w:rPr>
        <w:t>b</w:t>
      </w:r>
      <w:r w:rsidR="007741C7" w:rsidRPr="00BD58C0">
        <w:rPr>
          <w:rFonts w:ascii="Times New Roman" w:hAnsi="Times New Roman" w:cs="Times New Roman"/>
          <w:sz w:val="24"/>
          <w:szCs w:val="24"/>
        </w:rPr>
        <w:t xml:space="preserve">ridge deck de-icing using </w:t>
      </w:r>
      <w:r w:rsidR="0037471D" w:rsidRPr="00BD58C0">
        <w:rPr>
          <w:rFonts w:ascii="Times New Roman" w:hAnsi="Times New Roman" w:cs="Times New Roman"/>
          <w:sz w:val="24"/>
          <w:szCs w:val="24"/>
        </w:rPr>
        <w:t xml:space="preserve">a </w:t>
      </w:r>
      <w:r w:rsidR="007741C7" w:rsidRPr="00BD58C0">
        <w:rPr>
          <w:rFonts w:ascii="Times New Roman" w:hAnsi="Times New Roman" w:cs="Times New Roman"/>
          <w:sz w:val="24"/>
          <w:szCs w:val="24"/>
        </w:rPr>
        <w:t>geothermal heat pump system</w:t>
      </w:r>
      <w:r w:rsidR="00D025D3" w:rsidRPr="00BD58C0">
        <w:rPr>
          <w:rFonts w:ascii="Times New Roman" w:hAnsi="Times New Roman" w:cs="Times New Roman"/>
          <w:sz w:val="24"/>
          <w:szCs w:val="24"/>
        </w:rPr>
        <w:t xml:space="preserve"> as </w:t>
      </w:r>
      <w:r w:rsidR="007741C7" w:rsidRPr="00BD58C0">
        <w:rPr>
          <w:rFonts w:ascii="Times New Roman" w:hAnsi="Times New Roman" w:cs="Times New Roman"/>
          <w:sz w:val="24"/>
          <w:szCs w:val="24"/>
        </w:rPr>
        <w:t xml:space="preserve">an economically viable and sustainable alternative. </w:t>
      </w:r>
      <w:r w:rsidR="00115E16" w:rsidRPr="00BD58C0">
        <w:rPr>
          <w:rFonts w:ascii="Times New Roman" w:hAnsi="Times New Roman" w:cs="Times New Roman"/>
          <w:sz w:val="24"/>
          <w:szCs w:val="24"/>
        </w:rPr>
        <w:t xml:space="preserve">In other words, </w:t>
      </w:r>
      <w:r w:rsidR="007741C7" w:rsidRPr="00BD58C0">
        <w:rPr>
          <w:rFonts w:ascii="Times New Roman" w:hAnsi="Times New Roman" w:cs="Times New Roman"/>
          <w:sz w:val="24"/>
          <w:szCs w:val="24"/>
        </w:rPr>
        <w:t>LCCBA is a</w:t>
      </w:r>
      <w:r w:rsidR="00E27FE2" w:rsidRPr="00BD58C0">
        <w:rPr>
          <w:rFonts w:ascii="Times New Roman" w:hAnsi="Times New Roman" w:cs="Times New Roman"/>
          <w:sz w:val="24"/>
          <w:szCs w:val="24"/>
        </w:rPr>
        <w:t>n effective method for</w:t>
      </w:r>
      <w:r w:rsidR="007741C7" w:rsidRPr="00BD58C0">
        <w:rPr>
          <w:rFonts w:ascii="Times New Roman" w:hAnsi="Times New Roman" w:cs="Times New Roman"/>
          <w:sz w:val="24"/>
          <w:szCs w:val="24"/>
        </w:rPr>
        <w:t xml:space="preserve"> assess</w:t>
      </w:r>
      <w:r w:rsidR="00E27FE2" w:rsidRPr="00BD58C0">
        <w:rPr>
          <w:rFonts w:ascii="Times New Roman" w:hAnsi="Times New Roman" w:cs="Times New Roman"/>
          <w:sz w:val="24"/>
          <w:szCs w:val="24"/>
        </w:rPr>
        <w:t>ing</w:t>
      </w:r>
      <w:r w:rsidR="007741C7" w:rsidRPr="00BD58C0">
        <w:rPr>
          <w:rFonts w:ascii="Times New Roman" w:hAnsi="Times New Roman" w:cs="Times New Roman"/>
          <w:sz w:val="24"/>
          <w:szCs w:val="24"/>
        </w:rPr>
        <w:t xml:space="preserve"> the anticipated costs and benefits of various alternatives, </w:t>
      </w:r>
      <w:r w:rsidR="008F3873" w:rsidRPr="00BD58C0">
        <w:rPr>
          <w:rFonts w:ascii="Times New Roman" w:hAnsi="Times New Roman" w:cs="Times New Roman"/>
          <w:sz w:val="24"/>
          <w:szCs w:val="24"/>
        </w:rPr>
        <w:t xml:space="preserve">thereby </w:t>
      </w:r>
      <w:r w:rsidR="00102C40" w:rsidRPr="00BD58C0">
        <w:rPr>
          <w:rFonts w:ascii="Times New Roman" w:hAnsi="Times New Roman" w:cs="Times New Roman"/>
          <w:sz w:val="24"/>
          <w:szCs w:val="24"/>
        </w:rPr>
        <w:t>aiding policymaking</w:t>
      </w:r>
      <w:r w:rsidR="007741C7" w:rsidRPr="00BD58C0">
        <w:rPr>
          <w:rFonts w:ascii="Times New Roman" w:hAnsi="Times New Roman" w:cs="Times New Roman"/>
          <w:sz w:val="24"/>
          <w:szCs w:val="24"/>
        </w:rPr>
        <w:t xml:space="preserve"> [1</w:t>
      </w:r>
      <w:r w:rsidR="00496416" w:rsidRPr="00BD58C0">
        <w:rPr>
          <w:rFonts w:ascii="Times New Roman" w:hAnsi="Times New Roman" w:cs="Times New Roman"/>
          <w:sz w:val="24"/>
          <w:szCs w:val="24"/>
        </w:rPr>
        <w:t>5</w:t>
      </w:r>
      <w:r w:rsidR="007741C7" w:rsidRPr="00BD58C0">
        <w:rPr>
          <w:rFonts w:ascii="Times New Roman" w:hAnsi="Times New Roman" w:cs="Times New Roman"/>
          <w:sz w:val="24"/>
          <w:szCs w:val="24"/>
        </w:rPr>
        <w:t>].</w:t>
      </w:r>
      <w:r w:rsidR="008E178B" w:rsidRPr="00BD58C0">
        <w:rPr>
          <w:rFonts w:ascii="Times New Roman" w:hAnsi="Times New Roman" w:cs="Times New Roman"/>
          <w:sz w:val="24"/>
          <w:szCs w:val="24"/>
        </w:rPr>
        <w:t xml:space="preserve"> </w:t>
      </w:r>
    </w:p>
    <w:p w14:paraId="10207BBA" w14:textId="49D49688" w:rsidR="002A7041" w:rsidRPr="00BD58C0" w:rsidRDefault="008E178B" w:rsidP="00C17458">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As a result, </w:t>
      </w:r>
      <w:r w:rsidR="00320A24" w:rsidRPr="00BD58C0">
        <w:rPr>
          <w:rFonts w:ascii="Times New Roman" w:hAnsi="Times New Roman" w:cs="Times New Roman"/>
          <w:sz w:val="24"/>
          <w:szCs w:val="24"/>
        </w:rPr>
        <w:t>th</w:t>
      </w:r>
      <w:r w:rsidR="00411BC5" w:rsidRPr="00BD58C0">
        <w:rPr>
          <w:rFonts w:ascii="Times New Roman" w:hAnsi="Times New Roman" w:cs="Times New Roman"/>
          <w:sz w:val="24"/>
          <w:szCs w:val="24"/>
        </w:rPr>
        <w:t>e</w:t>
      </w:r>
      <w:r w:rsidR="00320A24" w:rsidRPr="00BD58C0">
        <w:rPr>
          <w:rFonts w:ascii="Times New Roman" w:hAnsi="Times New Roman" w:cs="Times New Roman"/>
          <w:sz w:val="24"/>
          <w:szCs w:val="24"/>
        </w:rPr>
        <w:t xml:space="preserve"> present study</w:t>
      </w:r>
      <w:r w:rsidR="002C1396" w:rsidRPr="00BD58C0">
        <w:rPr>
          <w:rFonts w:ascii="Times New Roman" w:hAnsi="Times New Roman" w:cs="Times New Roman"/>
          <w:sz w:val="24"/>
          <w:szCs w:val="24"/>
        </w:rPr>
        <w:t xml:space="preserve"> also</w:t>
      </w:r>
      <w:r w:rsidR="00320A24" w:rsidRPr="00BD58C0">
        <w:rPr>
          <w:rFonts w:ascii="Times New Roman" w:hAnsi="Times New Roman" w:cs="Times New Roman"/>
          <w:sz w:val="24"/>
          <w:szCs w:val="24"/>
        </w:rPr>
        <w:t xml:space="preserve"> employs LCCBA</w:t>
      </w:r>
      <w:r w:rsidR="002C1396" w:rsidRPr="00BD58C0">
        <w:rPr>
          <w:rFonts w:ascii="Times New Roman" w:hAnsi="Times New Roman" w:cs="Times New Roman"/>
          <w:sz w:val="24"/>
          <w:szCs w:val="24"/>
        </w:rPr>
        <w:t xml:space="preserve">, as it </w:t>
      </w:r>
      <w:r w:rsidR="00E036A0" w:rsidRPr="00BD58C0">
        <w:rPr>
          <w:rFonts w:ascii="Times New Roman" w:hAnsi="Times New Roman" w:cs="Times New Roman"/>
          <w:sz w:val="24"/>
          <w:szCs w:val="24"/>
        </w:rPr>
        <w:t>generates</w:t>
      </w:r>
      <w:r w:rsidR="002C1396" w:rsidRPr="00BD58C0">
        <w:rPr>
          <w:rFonts w:ascii="Times New Roman" w:hAnsi="Times New Roman" w:cs="Times New Roman"/>
          <w:sz w:val="24"/>
          <w:szCs w:val="24"/>
        </w:rPr>
        <w:t xml:space="preserve"> detailed costing information</w:t>
      </w:r>
      <w:r w:rsidR="00E036A0" w:rsidRPr="00BD58C0">
        <w:rPr>
          <w:rFonts w:ascii="Times New Roman" w:hAnsi="Times New Roman" w:cs="Times New Roman"/>
          <w:sz w:val="24"/>
          <w:szCs w:val="24"/>
        </w:rPr>
        <w:t xml:space="preserve">, which </w:t>
      </w:r>
      <w:r w:rsidR="007741C7" w:rsidRPr="00BD58C0">
        <w:rPr>
          <w:rFonts w:ascii="Times New Roman" w:hAnsi="Times New Roman" w:cs="Times New Roman"/>
          <w:sz w:val="24"/>
          <w:szCs w:val="24"/>
        </w:rPr>
        <w:t xml:space="preserve">is crucial in developing an understanding of the on-ground situation in POMs, as well as for redefining the policy landscape, allowing incentives to be adjusted to better support investments in </w:t>
      </w:r>
      <w:r w:rsidR="00204E7C" w:rsidRPr="00BD58C0">
        <w:rPr>
          <w:rFonts w:ascii="Times New Roman" w:hAnsi="Times New Roman" w:cs="Times New Roman"/>
          <w:sz w:val="24"/>
          <w:szCs w:val="24"/>
        </w:rPr>
        <w:t>CLB and CSTR systems</w:t>
      </w:r>
      <w:r w:rsidR="007741C7" w:rsidRPr="00BD58C0">
        <w:rPr>
          <w:rFonts w:ascii="Times New Roman" w:hAnsi="Times New Roman" w:cs="Times New Roman"/>
          <w:sz w:val="24"/>
          <w:szCs w:val="24"/>
        </w:rPr>
        <w:t>.</w:t>
      </w:r>
      <w:bookmarkEnd w:id="2"/>
      <w:r w:rsidR="00C17458" w:rsidRPr="00BD58C0">
        <w:rPr>
          <w:rFonts w:ascii="Times New Roman" w:hAnsi="Times New Roman" w:cs="Times New Roman"/>
          <w:sz w:val="24"/>
          <w:szCs w:val="24"/>
        </w:rPr>
        <w:t xml:space="preserve"> </w:t>
      </w:r>
      <w:r w:rsidR="00895490" w:rsidRPr="00BD58C0">
        <w:rPr>
          <w:rFonts w:ascii="Times New Roman" w:hAnsi="Times New Roman" w:cs="Times New Roman"/>
          <w:sz w:val="24"/>
          <w:szCs w:val="24"/>
        </w:rPr>
        <w:t xml:space="preserve">These </w:t>
      </w:r>
      <w:r w:rsidR="006448B0" w:rsidRPr="00BD58C0">
        <w:rPr>
          <w:rFonts w:ascii="Times New Roman" w:hAnsi="Times New Roman" w:cs="Times New Roman"/>
          <w:sz w:val="24"/>
          <w:szCs w:val="24"/>
        </w:rPr>
        <w:t xml:space="preserve">technologies were selected because </w:t>
      </w:r>
      <w:r w:rsidR="006D6281" w:rsidRPr="00BD58C0">
        <w:rPr>
          <w:rFonts w:ascii="Times New Roman" w:hAnsi="Times New Roman" w:cs="Times New Roman"/>
          <w:sz w:val="24"/>
          <w:szCs w:val="24"/>
        </w:rPr>
        <w:t>t</w:t>
      </w:r>
      <w:r w:rsidR="004C0014" w:rsidRPr="00BD58C0">
        <w:rPr>
          <w:rFonts w:ascii="Times New Roman" w:hAnsi="Times New Roman" w:cs="Times New Roman"/>
          <w:sz w:val="24"/>
          <w:szCs w:val="24"/>
        </w:rPr>
        <w:t>he</w:t>
      </w:r>
      <w:r w:rsidR="00676E12" w:rsidRPr="00BD58C0">
        <w:rPr>
          <w:rFonts w:ascii="Times New Roman" w:hAnsi="Times New Roman" w:cs="Times New Roman"/>
          <w:sz w:val="24"/>
          <w:szCs w:val="24"/>
        </w:rPr>
        <w:t>se</w:t>
      </w:r>
      <w:r w:rsidR="004C0014" w:rsidRPr="00BD58C0">
        <w:rPr>
          <w:rFonts w:ascii="Times New Roman" w:hAnsi="Times New Roman" w:cs="Times New Roman"/>
          <w:sz w:val="24"/>
          <w:szCs w:val="24"/>
        </w:rPr>
        <w:t xml:space="preserve"> technologies</w:t>
      </w:r>
      <w:r w:rsidR="00F15E4B" w:rsidRPr="00BD58C0">
        <w:rPr>
          <w:rFonts w:ascii="Times New Roman" w:hAnsi="Times New Roman" w:cs="Times New Roman"/>
          <w:sz w:val="24"/>
          <w:szCs w:val="24"/>
        </w:rPr>
        <w:t xml:space="preserve"> </w:t>
      </w:r>
      <w:r w:rsidR="006448B0" w:rsidRPr="00BD58C0">
        <w:rPr>
          <w:rFonts w:ascii="Times New Roman" w:hAnsi="Times New Roman" w:cs="Times New Roman"/>
          <w:sz w:val="24"/>
          <w:szCs w:val="24"/>
        </w:rPr>
        <w:t xml:space="preserve">are commercially available and used by </w:t>
      </w:r>
      <w:r w:rsidR="00400474" w:rsidRPr="00BD58C0">
        <w:rPr>
          <w:rFonts w:ascii="Times New Roman" w:hAnsi="Times New Roman" w:cs="Times New Roman"/>
          <w:sz w:val="24"/>
          <w:szCs w:val="24"/>
        </w:rPr>
        <w:t xml:space="preserve">the </w:t>
      </w:r>
      <w:r w:rsidR="00AE27A0" w:rsidRPr="00BD58C0">
        <w:rPr>
          <w:rFonts w:ascii="Times New Roman" w:hAnsi="Times New Roman" w:cs="Times New Roman"/>
          <w:sz w:val="24"/>
          <w:szCs w:val="24"/>
        </w:rPr>
        <w:t>m</w:t>
      </w:r>
      <w:r w:rsidR="00921CC0" w:rsidRPr="00BD58C0">
        <w:rPr>
          <w:rFonts w:ascii="Times New Roman" w:hAnsi="Times New Roman" w:cs="Times New Roman"/>
          <w:sz w:val="24"/>
          <w:szCs w:val="24"/>
        </w:rPr>
        <w:t xml:space="preserve">ajority of the </w:t>
      </w:r>
      <w:r w:rsidR="00B21804" w:rsidRPr="00BD58C0">
        <w:rPr>
          <w:rFonts w:ascii="Times New Roman" w:hAnsi="Times New Roman" w:cs="Times New Roman"/>
          <w:sz w:val="24"/>
          <w:szCs w:val="24"/>
        </w:rPr>
        <w:t>POMs</w:t>
      </w:r>
      <w:r w:rsidR="006448B0" w:rsidRPr="00BD58C0">
        <w:rPr>
          <w:rFonts w:ascii="Times New Roman" w:hAnsi="Times New Roman" w:cs="Times New Roman"/>
          <w:sz w:val="24"/>
          <w:szCs w:val="24"/>
        </w:rPr>
        <w:t xml:space="preserve"> with biogas facilities in Malaysia.</w:t>
      </w:r>
      <w:r w:rsidR="006413E4" w:rsidRPr="00BD58C0">
        <w:rPr>
          <w:rFonts w:ascii="Times New Roman" w:hAnsi="Times New Roman" w:cs="Times New Roman"/>
          <w:sz w:val="24"/>
          <w:szCs w:val="24"/>
        </w:rPr>
        <w:t xml:space="preserve"> </w:t>
      </w:r>
      <w:r w:rsidR="006448B0" w:rsidRPr="00BD58C0">
        <w:rPr>
          <w:rFonts w:ascii="Times New Roman" w:hAnsi="Times New Roman" w:cs="Times New Roman"/>
          <w:sz w:val="24"/>
          <w:szCs w:val="24"/>
        </w:rPr>
        <w:t>However, high risk</w:t>
      </w:r>
      <w:r w:rsidR="0006121E" w:rsidRPr="00BD58C0">
        <w:rPr>
          <w:rFonts w:ascii="Times New Roman" w:hAnsi="Times New Roman" w:cs="Times New Roman"/>
          <w:sz w:val="24"/>
          <w:szCs w:val="24"/>
        </w:rPr>
        <w:t>s</w:t>
      </w:r>
      <w:r w:rsidR="00895490" w:rsidRPr="00BD58C0">
        <w:rPr>
          <w:rFonts w:ascii="Times New Roman" w:hAnsi="Times New Roman" w:cs="Times New Roman"/>
          <w:sz w:val="24"/>
          <w:szCs w:val="24"/>
        </w:rPr>
        <w:t>,</w:t>
      </w:r>
      <w:r w:rsidR="0006121E" w:rsidRPr="00BD58C0">
        <w:rPr>
          <w:rFonts w:ascii="Times New Roman" w:hAnsi="Times New Roman" w:cs="Times New Roman"/>
          <w:sz w:val="24"/>
          <w:szCs w:val="24"/>
        </w:rPr>
        <w:t xml:space="preserve"> such as </w:t>
      </w:r>
      <w:r w:rsidR="000F5524" w:rsidRPr="00BD58C0">
        <w:rPr>
          <w:rFonts w:ascii="Times New Roman" w:hAnsi="Times New Roman" w:cs="Times New Roman"/>
          <w:sz w:val="24"/>
          <w:szCs w:val="24"/>
        </w:rPr>
        <w:t>investment</w:t>
      </w:r>
      <w:r w:rsidR="0006121E" w:rsidRPr="00BD58C0">
        <w:rPr>
          <w:rFonts w:ascii="Times New Roman" w:hAnsi="Times New Roman" w:cs="Times New Roman"/>
          <w:sz w:val="24"/>
          <w:szCs w:val="24"/>
        </w:rPr>
        <w:t xml:space="preserve"> cost</w:t>
      </w:r>
      <w:r w:rsidR="0068215A" w:rsidRPr="00BD58C0">
        <w:rPr>
          <w:rFonts w:ascii="Times New Roman" w:hAnsi="Times New Roman" w:cs="Times New Roman"/>
          <w:sz w:val="24"/>
          <w:szCs w:val="24"/>
        </w:rPr>
        <w:t>s</w:t>
      </w:r>
      <w:r w:rsidR="00656850" w:rsidRPr="00BD58C0">
        <w:rPr>
          <w:rFonts w:ascii="Times New Roman" w:hAnsi="Times New Roman" w:cs="Times New Roman"/>
          <w:sz w:val="24"/>
          <w:szCs w:val="24"/>
        </w:rPr>
        <w:t xml:space="preserve"> and </w:t>
      </w:r>
      <w:r w:rsidR="009D2E73" w:rsidRPr="00BD58C0">
        <w:rPr>
          <w:rFonts w:ascii="Times New Roman" w:hAnsi="Times New Roman" w:cs="Times New Roman"/>
          <w:sz w:val="24"/>
          <w:szCs w:val="24"/>
        </w:rPr>
        <w:t xml:space="preserve">longer payback periods </w:t>
      </w:r>
      <w:r w:rsidR="006448B0" w:rsidRPr="00BD58C0">
        <w:rPr>
          <w:rFonts w:ascii="Times New Roman" w:hAnsi="Times New Roman" w:cs="Times New Roman"/>
          <w:sz w:val="24"/>
          <w:szCs w:val="24"/>
        </w:rPr>
        <w:t>ha</w:t>
      </w:r>
      <w:r w:rsidR="006C473F" w:rsidRPr="00BD58C0">
        <w:rPr>
          <w:rFonts w:ascii="Times New Roman" w:hAnsi="Times New Roman" w:cs="Times New Roman"/>
          <w:sz w:val="24"/>
          <w:szCs w:val="24"/>
        </w:rPr>
        <w:t>ve</w:t>
      </w:r>
      <w:r w:rsidR="006448B0" w:rsidRPr="00BD58C0">
        <w:rPr>
          <w:rFonts w:ascii="Times New Roman" w:hAnsi="Times New Roman" w:cs="Times New Roman"/>
          <w:sz w:val="24"/>
          <w:szCs w:val="24"/>
        </w:rPr>
        <w:t xml:space="preserve"> reduced interest among stakeholders </w:t>
      </w:r>
      <w:r w:rsidR="00337EFA" w:rsidRPr="00BD58C0">
        <w:rPr>
          <w:rFonts w:ascii="Times New Roman" w:hAnsi="Times New Roman" w:cs="Times New Roman"/>
          <w:sz w:val="24"/>
          <w:szCs w:val="24"/>
        </w:rPr>
        <w:t xml:space="preserve">in </w:t>
      </w:r>
      <w:r w:rsidR="006448B0" w:rsidRPr="00BD58C0">
        <w:rPr>
          <w:rFonts w:ascii="Times New Roman" w:hAnsi="Times New Roman" w:cs="Times New Roman"/>
          <w:sz w:val="24"/>
          <w:szCs w:val="24"/>
        </w:rPr>
        <w:t>providing the requisite finance [1</w:t>
      </w:r>
      <w:r w:rsidR="00496416" w:rsidRPr="00BD58C0">
        <w:rPr>
          <w:rFonts w:ascii="Times New Roman" w:hAnsi="Times New Roman" w:cs="Times New Roman"/>
          <w:sz w:val="24"/>
          <w:szCs w:val="24"/>
        </w:rPr>
        <w:t>6</w:t>
      </w:r>
      <w:r w:rsidR="006448B0" w:rsidRPr="00BD58C0">
        <w:rPr>
          <w:rFonts w:ascii="Times New Roman" w:hAnsi="Times New Roman" w:cs="Times New Roman"/>
          <w:sz w:val="24"/>
          <w:szCs w:val="24"/>
        </w:rPr>
        <w:t xml:space="preserve">]. </w:t>
      </w:r>
      <w:r w:rsidR="005E092C" w:rsidRPr="00BD58C0">
        <w:rPr>
          <w:rFonts w:ascii="Times New Roman" w:hAnsi="Times New Roman" w:cs="Times New Roman"/>
          <w:sz w:val="24"/>
          <w:szCs w:val="24"/>
        </w:rPr>
        <w:t xml:space="preserve">This study </w:t>
      </w:r>
      <w:r w:rsidR="000F5AD8" w:rsidRPr="00BD58C0">
        <w:rPr>
          <w:rFonts w:ascii="Times New Roman" w:hAnsi="Times New Roman" w:cs="Times New Roman"/>
          <w:sz w:val="24"/>
          <w:szCs w:val="24"/>
        </w:rPr>
        <w:t>includes d</w:t>
      </w:r>
      <w:r w:rsidR="00F349A1" w:rsidRPr="00BD58C0">
        <w:rPr>
          <w:rFonts w:ascii="Times New Roman" w:hAnsi="Times New Roman" w:cs="Times New Roman"/>
          <w:sz w:val="24"/>
          <w:szCs w:val="24"/>
        </w:rPr>
        <w:t>etailed costing</w:t>
      </w:r>
      <w:r w:rsidR="00EC4C61" w:rsidRPr="00BD58C0">
        <w:rPr>
          <w:rFonts w:ascii="Times New Roman" w:hAnsi="Times New Roman" w:cs="Times New Roman"/>
          <w:sz w:val="24"/>
          <w:szCs w:val="24"/>
        </w:rPr>
        <w:t>s</w:t>
      </w:r>
      <w:r w:rsidR="0017697D" w:rsidRPr="00BD58C0">
        <w:rPr>
          <w:rFonts w:ascii="Times New Roman" w:hAnsi="Times New Roman" w:cs="Times New Roman"/>
          <w:sz w:val="24"/>
          <w:szCs w:val="24"/>
        </w:rPr>
        <w:t xml:space="preserve">, </w:t>
      </w:r>
      <w:r w:rsidR="00400474" w:rsidRPr="00BD58C0">
        <w:rPr>
          <w:rFonts w:ascii="Times New Roman" w:hAnsi="Times New Roman" w:cs="Times New Roman"/>
          <w:sz w:val="24"/>
          <w:szCs w:val="24"/>
        </w:rPr>
        <w:t xml:space="preserve">thereby </w:t>
      </w:r>
      <w:r w:rsidR="0017697D" w:rsidRPr="00BD58C0">
        <w:rPr>
          <w:rFonts w:ascii="Times New Roman" w:hAnsi="Times New Roman" w:cs="Times New Roman"/>
          <w:sz w:val="24"/>
          <w:szCs w:val="24"/>
        </w:rPr>
        <w:t>giving a</w:t>
      </w:r>
      <w:r w:rsidR="00F349A1" w:rsidRPr="00BD58C0">
        <w:rPr>
          <w:rFonts w:ascii="Times New Roman" w:hAnsi="Times New Roman" w:cs="Times New Roman"/>
          <w:sz w:val="24"/>
          <w:szCs w:val="24"/>
        </w:rPr>
        <w:t xml:space="preserve"> broader picture of the economic feasibility of the POME treatment process</w:t>
      </w:r>
      <w:r w:rsidR="00337EFA" w:rsidRPr="00BD58C0">
        <w:rPr>
          <w:rFonts w:ascii="Times New Roman" w:hAnsi="Times New Roman" w:cs="Times New Roman"/>
          <w:sz w:val="24"/>
          <w:szCs w:val="24"/>
        </w:rPr>
        <w:t xml:space="preserve"> in </w:t>
      </w:r>
      <w:r w:rsidR="00B15A0F" w:rsidRPr="00BD58C0">
        <w:rPr>
          <w:rFonts w:ascii="Times New Roman" w:hAnsi="Times New Roman" w:cs="Times New Roman"/>
          <w:sz w:val="24"/>
          <w:szCs w:val="24"/>
        </w:rPr>
        <w:t>L</w:t>
      </w:r>
      <w:r w:rsidR="00337EFA" w:rsidRPr="00BD58C0">
        <w:rPr>
          <w:rFonts w:ascii="Times New Roman" w:hAnsi="Times New Roman" w:cs="Times New Roman"/>
          <w:sz w:val="24"/>
          <w:szCs w:val="24"/>
        </w:rPr>
        <w:t>CC</w:t>
      </w:r>
      <w:r w:rsidR="00947D88" w:rsidRPr="00BD58C0">
        <w:rPr>
          <w:rFonts w:ascii="Times New Roman" w:hAnsi="Times New Roman" w:cs="Times New Roman"/>
          <w:sz w:val="24"/>
          <w:szCs w:val="24"/>
        </w:rPr>
        <w:t xml:space="preserve"> </w:t>
      </w:r>
      <w:r w:rsidR="00400474" w:rsidRPr="00BD58C0">
        <w:rPr>
          <w:rFonts w:ascii="Times New Roman" w:hAnsi="Times New Roman" w:cs="Times New Roman"/>
          <w:sz w:val="24"/>
          <w:szCs w:val="24"/>
        </w:rPr>
        <w:t xml:space="preserve">compared to existing </w:t>
      </w:r>
      <w:r w:rsidR="006F78DA" w:rsidRPr="00BD58C0">
        <w:rPr>
          <w:rFonts w:ascii="Times New Roman" w:hAnsi="Times New Roman" w:cs="Times New Roman"/>
          <w:sz w:val="24"/>
          <w:szCs w:val="24"/>
        </w:rPr>
        <w:t>studies</w:t>
      </w:r>
      <w:r w:rsidR="00F349A1" w:rsidRPr="00BD58C0">
        <w:rPr>
          <w:rFonts w:ascii="Times New Roman" w:hAnsi="Times New Roman" w:cs="Times New Roman"/>
          <w:sz w:val="24"/>
          <w:szCs w:val="24"/>
        </w:rPr>
        <w:t xml:space="preserve">. </w:t>
      </w:r>
    </w:p>
    <w:p w14:paraId="1296E386" w14:textId="02694642" w:rsidR="00656904" w:rsidRPr="00BD58C0" w:rsidRDefault="005261DB" w:rsidP="00FC26AB">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Second,</w:t>
      </w:r>
      <w:r w:rsidR="00574452" w:rsidRPr="00BD58C0">
        <w:rPr>
          <w:rFonts w:ascii="Times New Roman" w:hAnsi="Times New Roman" w:cs="Times New Roman"/>
          <w:sz w:val="24"/>
          <w:szCs w:val="24"/>
        </w:rPr>
        <w:t xml:space="preserve"> </w:t>
      </w:r>
      <w:r w:rsidR="00337EFA" w:rsidRPr="00BD58C0">
        <w:rPr>
          <w:rFonts w:ascii="Times New Roman" w:hAnsi="Times New Roman" w:cs="Times New Roman"/>
          <w:sz w:val="24"/>
          <w:szCs w:val="24"/>
        </w:rPr>
        <w:t xml:space="preserve">policy options that are </w:t>
      </w:r>
      <w:r w:rsidR="000C3F8D" w:rsidRPr="00BD58C0">
        <w:rPr>
          <w:rFonts w:ascii="Times New Roman" w:hAnsi="Times New Roman" w:cs="Times New Roman"/>
          <w:sz w:val="24"/>
          <w:szCs w:val="24"/>
        </w:rPr>
        <w:t xml:space="preserve">most </w:t>
      </w:r>
      <w:r w:rsidR="002F1494" w:rsidRPr="00BD58C0">
        <w:rPr>
          <w:rFonts w:ascii="Times New Roman" w:hAnsi="Times New Roman" w:cs="Times New Roman"/>
          <w:sz w:val="24"/>
          <w:szCs w:val="24"/>
        </w:rPr>
        <w:t>appeal</w:t>
      </w:r>
      <w:r w:rsidR="000C3F8D" w:rsidRPr="00BD58C0">
        <w:rPr>
          <w:rFonts w:ascii="Times New Roman" w:hAnsi="Times New Roman" w:cs="Times New Roman"/>
          <w:sz w:val="24"/>
          <w:szCs w:val="24"/>
        </w:rPr>
        <w:t>ing to the management staff of POMs</w:t>
      </w:r>
      <w:r w:rsidR="001279B6" w:rsidRPr="00BD58C0">
        <w:rPr>
          <w:rFonts w:ascii="Times New Roman" w:hAnsi="Times New Roman" w:cs="Times New Roman"/>
          <w:sz w:val="24"/>
          <w:szCs w:val="24"/>
        </w:rPr>
        <w:t xml:space="preserve"> were identified</w:t>
      </w:r>
      <w:r w:rsidR="00337EFA" w:rsidRPr="00BD58C0">
        <w:rPr>
          <w:rFonts w:ascii="Times New Roman" w:hAnsi="Times New Roman" w:cs="Times New Roman"/>
          <w:sz w:val="24"/>
          <w:szCs w:val="24"/>
        </w:rPr>
        <w:t>,</w:t>
      </w:r>
      <w:r w:rsidR="00515F63" w:rsidRPr="00BD58C0">
        <w:rPr>
          <w:rFonts w:ascii="Times New Roman" w:hAnsi="Times New Roman" w:cs="Times New Roman"/>
          <w:sz w:val="24"/>
          <w:szCs w:val="24"/>
        </w:rPr>
        <w:t xml:space="preserve"> thereby</w:t>
      </w:r>
      <w:r w:rsidR="000C3F8D" w:rsidRPr="00BD58C0">
        <w:rPr>
          <w:rFonts w:ascii="Times New Roman" w:hAnsi="Times New Roman" w:cs="Times New Roman"/>
          <w:sz w:val="24"/>
          <w:szCs w:val="24"/>
        </w:rPr>
        <w:t xml:space="preserve"> </w:t>
      </w:r>
      <w:r w:rsidR="00337EFA" w:rsidRPr="00BD58C0">
        <w:rPr>
          <w:rFonts w:ascii="Times New Roman" w:hAnsi="Times New Roman" w:cs="Times New Roman"/>
          <w:sz w:val="24"/>
          <w:szCs w:val="24"/>
        </w:rPr>
        <w:t xml:space="preserve">enabling </w:t>
      </w:r>
      <w:r w:rsidR="000C3F8D" w:rsidRPr="00BD58C0">
        <w:rPr>
          <w:rFonts w:ascii="Times New Roman" w:hAnsi="Times New Roman" w:cs="Times New Roman"/>
          <w:sz w:val="24"/>
          <w:szCs w:val="24"/>
        </w:rPr>
        <w:t xml:space="preserve">recommendations for </w:t>
      </w:r>
      <w:r w:rsidR="002F1494" w:rsidRPr="00BD58C0">
        <w:rPr>
          <w:rFonts w:ascii="Times New Roman" w:hAnsi="Times New Roman" w:cs="Times New Roman"/>
          <w:sz w:val="24"/>
          <w:szCs w:val="24"/>
        </w:rPr>
        <w:t>the development of a policy framework on the treatment of POME for energy generation.</w:t>
      </w:r>
      <w:r w:rsidR="00B9580E" w:rsidRPr="00BD58C0">
        <w:rPr>
          <w:rFonts w:ascii="Times New Roman" w:hAnsi="Times New Roman" w:cs="Times New Roman"/>
          <w:sz w:val="24"/>
          <w:szCs w:val="24"/>
        </w:rPr>
        <w:t xml:space="preserve"> T</w:t>
      </w:r>
      <w:r w:rsidR="00A047D9" w:rsidRPr="00BD58C0">
        <w:rPr>
          <w:rFonts w:ascii="Times New Roman" w:hAnsi="Times New Roman" w:cs="Times New Roman"/>
          <w:sz w:val="24"/>
          <w:szCs w:val="24"/>
        </w:rPr>
        <w:t>h</w:t>
      </w:r>
      <w:r w:rsidR="00B9580E" w:rsidRPr="00BD58C0">
        <w:rPr>
          <w:rFonts w:ascii="Times New Roman" w:hAnsi="Times New Roman" w:cs="Times New Roman"/>
          <w:sz w:val="24"/>
          <w:szCs w:val="24"/>
        </w:rPr>
        <w:t xml:space="preserve">e </w:t>
      </w:r>
      <w:r w:rsidR="00260C70" w:rsidRPr="00BD58C0">
        <w:rPr>
          <w:rFonts w:ascii="Times New Roman" w:hAnsi="Times New Roman" w:cs="Times New Roman"/>
          <w:sz w:val="24"/>
          <w:szCs w:val="24"/>
        </w:rPr>
        <w:t>a</w:t>
      </w:r>
      <w:r w:rsidR="000C3F8D" w:rsidRPr="00BD58C0">
        <w:rPr>
          <w:rFonts w:ascii="Times New Roman" w:hAnsi="Times New Roman" w:cs="Times New Roman"/>
          <w:sz w:val="24"/>
          <w:szCs w:val="24"/>
        </w:rPr>
        <w:t>nalytic</w:t>
      </w:r>
      <w:r w:rsidR="00A047D9" w:rsidRPr="00BD58C0">
        <w:rPr>
          <w:rFonts w:ascii="Times New Roman" w:hAnsi="Times New Roman" w:cs="Times New Roman"/>
          <w:sz w:val="24"/>
          <w:szCs w:val="24"/>
        </w:rPr>
        <w:t>al</w:t>
      </w:r>
      <w:r w:rsidR="000C3F8D" w:rsidRPr="00BD58C0">
        <w:rPr>
          <w:rFonts w:ascii="Times New Roman" w:hAnsi="Times New Roman" w:cs="Times New Roman"/>
          <w:sz w:val="24"/>
          <w:szCs w:val="24"/>
        </w:rPr>
        <w:t xml:space="preserve"> </w:t>
      </w:r>
      <w:r w:rsidR="00211A49" w:rsidRPr="00BD58C0">
        <w:rPr>
          <w:rFonts w:ascii="Times New Roman" w:hAnsi="Times New Roman" w:cs="Times New Roman"/>
          <w:sz w:val="24"/>
          <w:szCs w:val="24"/>
        </w:rPr>
        <w:t>h</w:t>
      </w:r>
      <w:r w:rsidR="000C3F8D" w:rsidRPr="00BD58C0">
        <w:rPr>
          <w:rFonts w:ascii="Times New Roman" w:hAnsi="Times New Roman" w:cs="Times New Roman"/>
          <w:sz w:val="24"/>
          <w:szCs w:val="24"/>
        </w:rPr>
        <w:t xml:space="preserve">ierarchy </w:t>
      </w:r>
      <w:r w:rsidR="00211A49" w:rsidRPr="00BD58C0">
        <w:rPr>
          <w:rFonts w:ascii="Times New Roman" w:hAnsi="Times New Roman" w:cs="Times New Roman"/>
          <w:sz w:val="24"/>
          <w:szCs w:val="24"/>
        </w:rPr>
        <w:t>p</w:t>
      </w:r>
      <w:r w:rsidR="000C3F8D" w:rsidRPr="00BD58C0">
        <w:rPr>
          <w:rFonts w:ascii="Times New Roman" w:hAnsi="Times New Roman" w:cs="Times New Roman"/>
          <w:sz w:val="24"/>
          <w:szCs w:val="24"/>
        </w:rPr>
        <w:t>rocess (AHP), a general theory of measurement which allows ranking of different options based on importance</w:t>
      </w:r>
      <w:r w:rsidR="00CB1A52" w:rsidRPr="00BD58C0">
        <w:rPr>
          <w:rFonts w:ascii="Times New Roman" w:hAnsi="Times New Roman" w:cs="Times New Roman"/>
          <w:sz w:val="24"/>
          <w:szCs w:val="24"/>
        </w:rPr>
        <w:t xml:space="preserve"> has been </w:t>
      </w:r>
      <w:r w:rsidR="00CB1A52" w:rsidRPr="00BD58C0">
        <w:rPr>
          <w:rFonts w:ascii="Times New Roman" w:hAnsi="Times New Roman" w:cs="Times New Roman"/>
          <w:sz w:val="24"/>
          <w:szCs w:val="24"/>
        </w:rPr>
        <w:lastRenderedPageBreak/>
        <w:t>adopted</w:t>
      </w:r>
      <w:r w:rsidR="000C3F8D" w:rsidRPr="00BD58C0">
        <w:rPr>
          <w:rFonts w:ascii="Times New Roman" w:hAnsi="Times New Roman" w:cs="Times New Roman"/>
          <w:sz w:val="24"/>
          <w:szCs w:val="24"/>
        </w:rPr>
        <w:t xml:space="preserve"> </w:t>
      </w:r>
      <w:r w:rsidR="00744FE6" w:rsidRPr="00BD58C0">
        <w:rPr>
          <w:rFonts w:ascii="Times New Roman" w:hAnsi="Times New Roman" w:cs="Times New Roman"/>
          <w:sz w:val="24"/>
          <w:szCs w:val="24"/>
        </w:rPr>
        <w:t>[</w:t>
      </w:r>
      <w:r w:rsidR="00496416" w:rsidRPr="00BD58C0">
        <w:rPr>
          <w:rFonts w:ascii="Times New Roman" w:hAnsi="Times New Roman" w:cs="Times New Roman"/>
          <w:sz w:val="24"/>
          <w:szCs w:val="24"/>
        </w:rPr>
        <w:t>17</w:t>
      </w:r>
      <w:r w:rsidR="00744FE6" w:rsidRPr="00BD58C0">
        <w:rPr>
          <w:rFonts w:ascii="Times New Roman" w:hAnsi="Times New Roman" w:cs="Times New Roman"/>
          <w:sz w:val="24"/>
          <w:szCs w:val="24"/>
        </w:rPr>
        <w:t>]</w:t>
      </w:r>
      <w:r w:rsidR="000C3F8D" w:rsidRPr="00BD58C0">
        <w:rPr>
          <w:rFonts w:ascii="Times New Roman" w:hAnsi="Times New Roman" w:cs="Times New Roman"/>
          <w:sz w:val="24"/>
          <w:szCs w:val="24"/>
        </w:rPr>
        <w:t xml:space="preserve">. </w:t>
      </w:r>
      <w:r w:rsidR="00337EFA" w:rsidRPr="00BD58C0">
        <w:rPr>
          <w:rFonts w:ascii="Times New Roman" w:hAnsi="Times New Roman" w:cs="Times New Roman"/>
          <w:sz w:val="24"/>
          <w:szCs w:val="24"/>
        </w:rPr>
        <w:t>I</w:t>
      </w:r>
      <w:r w:rsidR="00A7080E" w:rsidRPr="00BD58C0">
        <w:rPr>
          <w:rFonts w:ascii="Times New Roman" w:hAnsi="Times New Roman" w:cs="Times New Roman"/>
          <w:sz w:val="24"/>
          <w:szCs w:val="24"/>
        </w:rPr>
        <w:t>nput data were presented to POM management staff during interviews, while survey</w:t>
      </w:r>
      <w:r w:rsidR="00FC26AB" w:rsidRPr="00BD58C0">
        <w:rPr>
          <w:rFonts w:ascii="Times New Roman" w:hAnsi="Times New Roman" w:cs="Times New Roman"/>
          <w:sz w:val="24"/>
          <w:szCs w:val="24"/>
        </w:rPr>
        <w:t>s</w:t>
      </w:r>
      <w:r w:rsidR="00A7080E" w:rsidRPr="00BD58C0">
        <w:rPr>
          <w:rFonts w:ascii="Times New Roman" w:hAnsi="Times New Roman" w:cs="Times New Roman"/>
          <w:sz w:val="24"/>
          <w:szCs w:val="24"/>
        </w:rPr>
        <w:t xml:space="preserve"> with </w:t>
      </w:r>
      <w:r w:rsidR="00FC26AB" w:rsidRPr="00BD58C0">
        <w:rPr>
          <w:rFonts w:ascii="Times New Roman" w:hAnsi="Times New Roman" w:cs="Times New Roman"/>
          <w:sz w:val="24"/>
          <w:szCs w:val="24"/>
        </w:rPr>
        <w:t xml:space="preserve">a separate group of </w:t>
      </w:r>
      <w:r w:rsidR="00A7080E" w:rsidRPr="00BD58C0">
        <w:rPr>
          <w:rFonts w:ascii="Times New Roman" w:hAnsi="Times New Roman" w:cs="Times New Roman"/>
          <w:sz w:val="24"/>
          <w:szCs w:val="24"/>
        </w:rPr>
        <w:t>experts</w:t>
      </w:r>
      <w:r w:rsidR="00134ECA" w:rsidRPr="00BD58C0">
        <w:rPr>
          <w:rFonts w:ascii="Times New Roman" w:hAnsi="Times New Roman" w:cs="Times New Roman"/>
          <w:sz w:val="24"/>
          <w:szCs w:val="24"/>
        </w:rPr>
        <w:t xml:space="preserve"> were </w:t>
      </w:r>
      <w:r w:rsidR="00D218B3" w:rsidRPr="00BD58C0">
        <w:rPr>
          <w:rFonts w:ascii="Times New Roman" w:hAnsi="Times New Roman" w:cs="Times New Roman"/>
          <w:sz w:val="24"/>
          <w:szCs w:val="24"/>
        </w:rPr>
        <w:t>carried out</w:t>
      </w:r>
      <w:r w:rsidR="00A7080E" w:rsidRPr="00BD58C0">
        <w:rPr>
          <w:rFonts w:ascii="Times New Roman" w:hAnsi="Times New Roman" w:cs="Times New Roman"/>
          <w:sz w:val="24"/>
          <w:szCs w:val="24"/>
        </w:rPr>
        <w:t xml:space="preserve">. </w:t>
      </w:r>
      <w:r w:rsidR="00030C8A" w:rsidRPr="00BD58C0">
        <w:rPr>
          <w:rFonts w:ascii="Times New Roman" w:hAnsi="Times New Roman" w:cs="Times New Roman"/>
          <w:sz w:val="24"/>
          <w:szCs w:val="24"/>
        </w:rPr>
        <w:t>Coupling information on costs with data from the AHP allowed</w:t>
      </w:r>
      <w:r w:rsidR="00893C9D" w:rsidRPr="00BD58C0">
        <w:rPr>
          <w:rFonts w:ascii="Times New Roman" w:hAnsi="Times New Roman" w:cs="Times New Roman"/>
          <w:sz w:val="24"/>
          <w:szCs w:val="24"/>
        </w:rPr>
        <w:t xml:space="preserve"> for</w:t>
      </w:r>
      <w:r w:rsidR="00030C8A" w:rsidRPr="00BD58C0">
        <w:rPr>
          <w:rFonts w:ascii="Times New Roman" w:hAnsi="Times New Roman" w:cs="Times New Roman"/>
          <w:sz w:val="24"/>
          <w:szCs w:val="24"/>
        </w:rPr>
        <w:t xml:space="preserve"> a more holistic understanding of the prerequisites for enhancing investment and innovation processes in biogas generation from POME.</w:t>
      </w:r>
    </w:p>
    <w:p w14:paraId="6F858116" w14:textId="36B7BDF7" w:rsidR="00131ECA" w:rsidRPr="00BD58C0" w:rsidRDefault="00EE7B28" w:rsidP="00F86B9B">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b/>
      </w:r>
    </w:p>
    <w:p w14:paraId="038DE524" w14:textId="4B4DA0BA" w:rsidR="00A7080E" w:rsidRPr="00BD58C0" w:rsidRDefault="00A7080E" w:rsidP="00713D27">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2.</w:t>
      </w:r>
      <w:r w:rsidR="00F335E8" w:rsidRPr="00BD58C0">
        <w:rPr>
          <w:rFonts w:ascii="Times New Roman" w:hAnsi="Times New Roman" w:cs="Times New Roman"/>
          <w:b/>
          <w:bCs/>
          <w:sz w:val="24"/>
          <w:szCs w:val="24"/>
        </w:rPr>
        <w:tab/>
      </w:r>
      <w:r w:rsidRPr="00BD58C0">
        <w:rPr>
          <w:rFonts w:ascii="Times New Roman" w:hAnsi="Times New Roman" w:cs="Times New Roman"/>
          <w:b/>
          <w:bCs/>
          <w:sz w:val="24"/>
          <w:szCs w:val="24"/>
        </w:rPr>
        <w:t>Background</w:t>
      </w:r>
    </w:p>
    <w:p w14:paraId="402A593D" w14:textId="33AE6116" w:rsidR="00A7080E" w:rsidRPr="00BD58C0" w:rsidRDefault="00A7080E" w:rsidP="00713D27">
      <w:pPr>
        <w:spacing w:after="0" w:line="360" w:lineRule="auto"/>
        <w:jc w:val="both"/>
        <w:rPr>
          <w:rFonts w:ascii="Times New Roman" w:hAnsi="Times New Roman" w:cs="Times New Roman"/>
          <w:sz w:val="24"/>
          <w:szCs w:val="24"/>
        </w:rPr>
      </w:pPr>
    </w:p>
    <w:p w14:paraId="43CF605C" w14:textId="13AE59F7" w:rsidR="00A7080E" w:rsidRPr="00BD58C0" w:rsidRDefault="005F6040" w:rsidP="00B36981">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The</w:t>
      </w:r>
      <w:r w:rsidR="007500A6" w:rsidRPr="00BD58C0">
        <w:rPr>
          <w:rFonts w:ascii="Times New Roman" w:hAnsi="Times New Roman" w:cs="Times New Roman"/>
          <w:sz w:val="24"/>
          <w:szCs w:val="24"/>
        </w:rPr>
        <w:t xml:space="preserve"> environmental impacts of the two different POME treatment technologies</w:t>
      </w:r>
      <w:r w:rsidR="004F50EF" w:rsidRPr="00BD58C0">
        <w:rPr>
          <w:rFonts w:ascii="Times New Roman" w:hAnsi="Times New Roman" w:cs="Times New Roman"/>
          <w:sz w:val="24"/>
          <w:szCs w:val="24"/>
        </w:rPr>
        <w:t xml:space="preserve">, </w:t>
      </w:r>
      <w:r w:rsidR="007500A6" w:rsidRPr="00BD58C0">
        <w:rPr>
          <w:rFonts w:ascii="Times New Roman" w:hAnsi="Times New Roman" w:cs="Times New Roman"/>
          <w:sz w:val="24"/>
          <w:szCs w:val="24"/>
        </w:rPr>
        <w:t>the CLB</w:t>
      </w:r>
      <w:r w:rsidR="00337EFA" w:rsidRPr="00BD58C0">
        <w:rPr>
          <w:rFonts w:ascii="Times New Roman" w:hAnsi="Times New Roman" w:cs="Times New Roman"/>
          <w:sz w:val="24"/>
          <w:szCs w:val="24"/>
        </w:rPr>
        <w:t xml:space="preserve"> </w:t>
      </w:r>
      <w:r w:rsidR="007500A6" w:rsidRPr="00BD58C0">
        <w:rPr>
          <w:rFonts w:ascii="Times New Roman" w:hAnsi="Times New Roman" w:cs="Times New Roman"/>
          <w:sz w:val="24"/>
          <w:szCs w:val="24"/>
        </w:rPr>
        <w:t>and the CSTR</w:t>
      </w:r>
      <w:r w:rsidR="0016048D" w:rsidRPr="00BD58C0">
        <w:rPr>
          <w:rFonts w:ascii="Times New Roman" w:hAnsi="Times New Roman" w:cs="Times New Roman"/>
          <w:sz w:val="24"/>
          <w:szCs w:val="24"/>
        </w:rPr>
        <w:t>, using LCA, were quantified by [</w:t>
      </w:r>
      <w:r w:rsidR="00496416" w:rsidRPr="00BD58C0">
        <w:rPr>
          <w:rFonts w:ascii="Times New Roman" w:hAnsi="Times New Roman" w:cs="Times New Roman"/>
          <w:sz w:val="24"/>
          <w:szCs w:val="24"/>
        </w:rPr>
        <w:t>18</w:t>
      </w:r>
      <w:r w:rsidR="0016048D" w:rsidRPr="00BD58C0">
        <w:rPr>
          <w:rFonts w:ascii="Times New Roman" w:hAnsi="Times New Roman" w:cs="Times New Roman"/>
          <w:sz w:val="24"/>
          <w:szCs w:val="24"/>
        </w:rPr>
        <w:t>]</w:t>
      </w:r>
      <w:r w:rsidR="007C7870" w:rsidRPr="00BD58C0">
        <w:rPr>
          <w:rFonts w:ascii="Times New Roman" w:hAnsi="Times New Roman" w:cs="Times New Roman"/>
          <w:sz w:val="24"/>
          <w:szCs w:val="24"/>
        </w:rPr>
        <w:t>.</w:t>
      </w:r>
      <w:r w:rsidR="00CA701A" w:rsidRPr="00BD58C0">
        <w:rPr>
          <w:rFonts w:ascii="Times New Roman" w:hAnsi="Times New Roman" w:cs="Times New Roman"/>
          <w:sz w:val="24"/>
          <w:szCs w:val="24"/>
        </w:rPr>
        <w:t xml:space="preserve"> </w:t>
      </w:r>
      <w:r w:rsidR="00337EFA" w:rsidRPr="00BD58C0">
        <w:rPr>
          <w:rFonts w:ascii="Times New Roman" w:hAnsi="Times New Roman" w:cs="Times New Roman"/>
          <w:sz w:val="24"/>
          <w:szCs w:val="24"/>
        </w:rPr>
        <w:t>The</w:t>
      </w:r>
      <w:r w:rsidR="004930A8" w:rsidRPr="00BD58C0">
        <w:rPr>
          <w:rFonts w:ascii="Times New Roman" w:hAnsi="Times New Roman" w:cs="Times New Roman"/>
          <w:sz w:val="24"/>
          <w:szCs w:val="24"/>
        </w:rPr>
        <w:t xml:space="preserve"> findings</w:t>
      </w:r>
      <w:r w:rsidR="007500A6" w:rsidRPr="00BD58C0">
        <w:rPr>
          <w:rFonts w:ascii="Times New Roman" w:hAnsi="Times New Roman" w:cs="Times New Roman"/>
          <w:sz w:val="24"/>
          <w:szCs w:val="24"/>
        </w:rPr>
        <w:t xml:space="preserve"> showed that global warming potential, eutrophication potential and acidification potential were the most significant environmental impacts resulting from POME</w:t>
      </w:r>
      <w:r w:rsidR="004930A8" w:rsidRPr="00BD58C0">
        <w:rPr>
          <w:rFonts w:ascii="Times New Roman" w:hAnsi="Times New Roman" w:cs="Times New Roman"/>
          <w:sz w:val="24"/>
          <w:szCs w:val="24"/>
        </w:rPr>
        <w:t xml:space="preserve"> treatment</w:t>
      </w:r>
      <w:r w:rsidR="007500A6" w:rsidRPr="00BD58C0">
        <w:rPr>
          <w:rFonts w:ascii="Times New Roman" w:hAnsi="Times New Roman" w:cs="Times New Roman"/>
          <w:sz w:val="24"/>
          <w:szCs w:val="24"/>
        </w:rPr>
        <w:t xml:space="preserve"> for energy generation for both systems. LCA showed that </w:t>
      </w:r>
      <w:r w:rsidR="00581C79" w:rsidRPr="00BD58C0">
        <w:rPr>
          <w:rFonts w:ascii="Times New Roman" w:hAnsi="Times New Roman" w:cs="Times New Roman"/>
          <w:sz w:val="24"/>
          <w:szCs w:val="24"/>
        </w:rPr>
        <w:t xml:space="preserve">while </w:t>
      </w:r>
      <w:r w:rsidR="007500A6" w:rsidRPr="00BD58C0">
        <w:rPr>
          <w:rFonts w:ascii="Times New Roman" w:hAnsi="Times New Roman" w:cs="Times New Roman"/>
          <w:sz w:val="24"/>
          <w:szCs w:val="24"/>
        </w:rPr>
        <w:t xml:space="preserve">both the CLB and CSTR systems result in a net environmental benefit by lowering global warming potential and acidification potential, </w:t>
      </w:r>
      <w:r w:rsidR="00581C79" w:rsidRPr="00BD58C0">
        <w:rPr>
          <w:rFonts w:ascii="Times New Roman" w:hAnsi="Times New Roman" w:cs="Times New Roman"/>
          <w:sz w:val="24"/>
          <w:szCs w:val="24"/>
        </w:rPr>
        <w:t>the</w:t>
      </w:r>
      <w:r w:rsidR="008A6FCF" w:rsidRPr="00BD58C0">
        <w:rPr>
          <w:rFonts w:ascii="Times New Roman" w:hAnsi="Times New Roman" w:cs="Times New Roman"/>
          <w:sz w:val="24"/>
          <w:szCs w:val="24"/>
        </w:rPr>
        <w:t xml:space="preserve"> systems</w:t>
      </w:r>
      <w:r w:rsidR="007500A6" w:rsidRPr="00BD58C0">
        <w:rPr>
          <w:rFonts w:ascii="Times New Roman" w:hAnsi="Times New Roman" w:cs="Times New Roman"/>
          <w:sz w:val="24"/>
          <w:szCs w:val="24"/>
        </w:rPr>
        <w:t xml:space="preserve"> increase the potential for eutrophication. Nevertheless, </w:t>
      </w:r>
      <w:r w:rsidR="00895490" w:rsidRPr="00BD58C0">
        <w:rPr>
          <w:rFonts w:ascii="Times New Roman" w:hAnsi="Times New Roman" w:cs="Times New Roman"/>
          <w:sz w:val="24"/>
          <w:szCs w:val="24"/>
        </w:rPr>
        <w:t xml:space="preserve">the </w:t>
      </w:r>
      <w:r w:rsidR="007500A6" w:rsidRPr="00BD58C0">
        <w:rPr>
          <w:rFonts w:ascii="Times New Roman" w:hAnsi="Times New Roman" w:cs="Times New Roman"/>
          <w:sz w:val="24"/>
          <w:szCs w:val="24"/>
        </w:rPr>
        <w:t xml:space="preserve">eutrophication potential can be lowered by measures such as increasing the usage of POME anaerobic sludge for composting and covering the open pond wall with a lining </w:t>
      </w:r>
      <w:r w:rsidR="006F1ED4" w:rsidRPr="00BD58C0">
        <w:rPr>
          <w:rFonts w:ascii="Times New Roman" w:hAnsi="Times New Roman" w:cs="Times New Roman"/>
          <w:sz w:val="24"/>
          <w:szCs w:val="24"/>
        </w:rPr>
        <w:t>[</w:t>
      </w:r>
      <w:r w:rsidR="00496416" w:rsidRPr="00BD58C0">
        <w:rPr>
          <w:rFonts w:ascii="Times New Roman" w:hAnsi="Times New Roman" w:cs="Times New Roman"/>
          <w:sz w:val="24"/>
          <w:szCs w:val="24"/>
        </w:rPr>
        <w:t>18</w:t>
      </w:r>
      <w:r w:rsidR="006F1ED4" w:rsidRPr="00BD58C0">
        <w:rPr>
          <w:rFonts w:ascii="Times New Roman" w:hAnsi="Times New Roman" w:cs="Times New Roman"/>
          <w:sz w:val="24"/>
          <w:szCs w:val="24"/>
        </w:rPr>
        <w:t>]</w:t>
      </w:r>
      <w:r w:rsidR="007500A6" w:rsidRPr="00BD58C0">
        <w:rPr>
          <w:rFonts w:ascii="Times New Roman" w:hAnsi="Times New Roman" w:cs="Times New Roman"/>
          <w:sz w:val="24"/>
          <w:szCs w:val="24"/>
        </w:rPr>
        <w:t>.</w:t>
      </w:r>
      <w:r w:rsidR="00AE6A14" w:rsidRPr="00BD58C0">
        <w:rPr>
          <w:rFonts w:ascii="Times New Roman" w:hAnsi="Times New Roman" w:cs="Times New Roman"/>
          <w:sz w:val="24"/>
          <w:szCs w:val="24"/>
        </w:rPr>
        <w:t xml:space="preserve"> While these insights using LCA are useful, the study d</w:t>
      </w:r>
      <w:r w:rsidR="00945C06" w:rsidRPr="00BD58C0">
        <w:rPr>
          <w:rFonts w:ascii="Times New Roman" w:hAnsi="Times New Roman" w:cs="Times New Roman"/>
          <w:sz w:val="24"/>
          <w:szCs w:val="24"/>
        </w:rPr>
        <w:t>id</w:t>
      </w:r>
      <w:r w:rsidR="00AE6A14" w:rsidRPr="00BD58C0">
        <w:rPr>
          <w:rFonts w:ascii="Times New Roman" w:hAnsi="Times New Roman" w:cs="Times New Roman"/>
          <w:sz w:val="24"/>
          <w:szCs w:val="24"/>
        </w:rPr>
        <w:t xml:space="preserve"> not provide insights into the economic costs and benefits of the CLB and CSTR.</w:t>
      </w:r>
    </w:p>
    <w:p w14:paraId="5DAEFD2F" w14:textId="70EC63EC" w:rsidR="0081759D" w:rsidRPr="00BD58C0" w:rsidRDefault="00945C06" w:rsidP="00443650">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Economic investigations have nevertheless taken place previously. </w:t>
      </w:r>
      <w:r w:rsidR="00512B53" w:rsidRPr="00BD58C0">
        <w:rPr>
          <w:rFonts w:ascii="Times New Roman" w:hAnsi="Times New Roman" w:cs="Times New Roman"/>
          <w:sz w:val="24"/>
          <w:szCs w:val="24"/>
        </w:rPr>
        <w:t>A f</w:t>
      </w:r>
      <w:r w:rsidR="006B1B7B" w:rsidRPr="00BD58C0">
        <w:rPr>
          <w:rFonts w:ascii="Times New Roman" w:hAnsi="Times New Roman" w:cs="Times New Roman"/>
          <w:sz w:val="24"/>
          <w:szCs w:val="24"/>
        </w:rPr>
        <w:t>irst strand of studies</w:t>
      </w:r>
      <w:r w:rsidR="00512B53" w:rsidRPr="00BD58C0">
        <w:rPr>
          <w:rFonts w:ascii="Times New Roman" w:hAnsi="Times New Roman" w:cs="Times New Roman"/>
          <w:sz w:val="24"/>
          <w:szCs w:val="24"/>
        </w:rPr>
        <w:t xml:space="preserve"> focusses on one </w:t>
      </w:r>
      <w:r w:rsidR="004B047B" w:rsidRPr="00BD58C0">
        <w:rPr>
          <w:rFonts w:ascii="Times New Roman" w:hAnsi="Times New Roman" w:cs="Times New Roman"/>
          <w:sz w:val="24"/>
          <w:szCs w:val="24"/>
        </w:rPr>
        <w:t>type of biogas technology, either the CLB or the digester tank system</w:t>
      </w:r>
      <w:r w:rsidR="00722CAC" w:rsidRPr="00BD58C0">
        <w:rPr>
          <w:rFonts w:ascii="Times New Roman" w:hAnsi="Times New Roman" w:cs="Times New Roman"/>
          <w:sz w:val="24"/>
          <w:szCs w:val="24"/>
        </w:rPr>
        <w:t xml:space="preserve"> for the treatment of POME for energy generation</w:t>
      </w:r>
      <w:r w:rsidR="004B047B" w:rsidRPr="00BD58C0">
        <w:rPr>
          <w:rFonts w:ascii="Times New Roman" w:hAnsi="Times New Roman" w:cs="Times New Roman"/>
          <w:sz w:val="24"/>
          <w:szCs w:val="24"/>
        </w:rPr>
        <w:t>.</w:t>
      </w:r>
      <w:r w:rsidR="006B1B7B" w:rsidRPr="00BD58C0">
        <w:rPr>
          <w:rFonts w:ascii="Times New Roman" w:hAnsi="Times New Roman" w:cs="Times New Roman"/>
          <w:sz w:val="24"/>
          <w:szCs w:val="24"/>
        </w:rPr>
        <w:t xml:space="preserve"> </w:t>
      </w:r>
      <w:r w:rsidR="00443650" w:rsidRPr="00BD58C0">
        <w:rPr>
          <w:rFonts w:ascii="Times New Roman" w:hAnsi="Times New Roman" w:cs="Times New Roman"/>
          <w:sz w:val="24"/>
          <w:szCs w:val="24"/>
        </w:rPr>
        <w:t>A study by [1</w:t>
      </w:r>
      <w:r w:rsidR="00496416" w:rsidRPr="00BD58C0">
        <w:rPr>
          <w:rFonts w:ascii="Times New Roman" w:hAnsi="Times New Roman" w:cs="Times New Roman"/>
          <w:sz w:val="24"/>
          <w:szCs w:val="24"/>
        </w:rPr>
        <w:t>9</w:t>
      </w:r>
      <w:r w:rsidR="00443650" w:rsidRPr="00BD58C0">
        <w:rPr>
          <w:rFonts w:ascii="Times New Roman" w:hAnsi="Times New Roman" w:cs="Times New Roman"/>
          <w:sz w:val="24"/>
          <w:szCs w:val="24"/>
        </w:rPr>
        <w:t xml:space="preserve">] was based on a LCCBA of electricity generation from bio methanation of POME treatment and land application of digester effluent in Malaysia. Different reactor temperatures of 45ºC, 50ºC and 55ºC were compared, while the economic aspects considered were the annual return on investment (ROI) and payback period (PP). The most economically feasible option was the one with a reactor temperature of 55ºC, with the highest ROI of 58% and lowest PP of 1.5 years. Capital costs did not cover the costs for POME pre-treatment. </w:t>
      </w:r>
      <w:r w:rsidR="00F67962" w:rsidRPr="00BD58C0">
        <w:rPr>
          <w:rFonts w:ascii="Times New Roman" w:hAnsi="Times New Roman" w:cs="Times New Roman"/>
          <w:sz w:val="24"/>
          <w:szCs w:val="24"/>
        </w:rPr>
        <w:t>E</w:t>
      </w:r>
      <w:r w:rsidR="000B59DB" w:rsidRPr="00BD58C0">
        <w:rPr>
          <w:rFonts w:ascii="Times New Roman" w:hAnsi="Times New Roman" w:cs="Times New Roman"/>
          <w:sz w:val="24"/>
          <w:szCs w:val="24"/>
        </w:rPr>
        <w:t>stimation</w:t>
      </w:r>
      <w:r w:rsidR="00337059" w:rsidRPr="00BD58C0">
        <w:rPr>
          <w:rFonts w:ascii="Times New Roman" w:hAnsi="Times New Roman" w:cs="Times New Roman"/>
          <w:sz w:val="24"/>
          <w:szCs w:val="24"/>
        </w:rPr>
        <w:t>s</w:t>
      </w:r>
      <w:r w:rsidR="000B59DB" w:rsidRPr="00BD58C0">
        <w:rPr>
          <w:rFonts w:ascii="Times New Roman" w:hAnsi="Times New Roman" w:cs="Times New Roman"/>
          <w:sz w:val="24"/>
          <w:szCs w:val="24"/>
        </w:rPr>
        <w:t xml:space="preserve"> of costs in terms of </w:t>
      </w:r>
      <w:r w:rsidR="003741C1" w:rsidRPr="00BD58C0">
        <w:rPr>
          <w:rFonts w:ascii="Times New Roman" w:hAnsi="Times New Roman" w:cs="Times New Roman"/>
          <w:sz w:val="24"/>
          <w:szCs w:val="24"/>
        </w:rPr>
        <w:t>CBA</w:t>
      </w:r>
      <w:r w:rsidR="000B59DB" w:rsidRPr="00BD58C0">
        <w:rPr>
          <w:rFonts w:ascii="Times New Roman" w:hAnsi="Times New Roman" w:cs="Times New Roman"/>
          <w:sz w:val="24"/>
          <w:szCs w:val="24"/>
        </w:rPr>
        <w:t xml:space="preserve"> </w:t>
      </w:r>
      <w:r w:rsidR="00437E4C" w:rsidRPr="00BD58C0">
        <w:rPr>
          <w:rFonts w:ascii="Times New Roman" w:hAnsi="Times New Roman" w:cs="Times New Roman"/>
          <w:sz w:val="24"/>
          <w:szCs w:val="24"/>
        </w:rPr>
        <w:t>were</w:t>
      </w:r>
      <w:r w:rsidR="000B59DB" w:rsidRPr="00BD58C0">
        <w:rPr>
          <w:rFonts w:ascii="Times New Roman" w:hAnsi="Times New Roman" w:cs="Times New Roman"/>
          <w:sz w:val="24"/>
          <w:szCs w:val="24"/>
        </w:rPr>
        <w:t xml:space="preserve"> reported by </w:t>
      </w:r>
      <w:r w:rsidR="00D016FB" w:rsidRPr="00BD58C0">
        <w:rPr>
          <w:rFonts w:ascii="Times New Roman" w:hAnsi="Times New Roman" w:cs="Times New Roman"/>
          <w:sz w:val="24"/>
          <w:szCs w:val="24"/>
        </w:rPr>
        <w:t>[</w:t>
      </w:r>
      <w:r w:rsidR="00496416" w:rsidRPr="00BD58C0">
        <w:rPr>
          <w:rFonts w:ascii="Times New Roman" w:hAnsi="Times New Roman" w:cs="Times New Roman"/>
          <w:sz w:val="24"/>
          <w:szCs w:val="24"/>
        </w:rPr>
        <w:t>20</w:t>
      </w:r>
      <w:r w:rsidR="00D016FB" w:rsidRPr="00BD58C0">
        <w:rPr>
          <w:rFonts w:ascii="Times New Roman" w:hAnsi="Times New Roman" w:cs="Times New Roman"/>
          <w:sz w:val="24"/>
          <w:szCs w:val="24"/>
          <w:lang w:val="en-US"/>
        </w:rPr>
        <w:t>]</w:t>
      </w:r>
      <w:r w:rsidR="00234893" w:rsidRPr="00BD58C0">
        <w:rPr>
          <w:rFonts w:ascii="Times New Roman" w:hAnsi="Times New Roman" w:cs="Times New Roman"/>
          <w:sz w:val="24"/>
          <w:szCs w:val="24"/>
        </w:rPr>
        <w:t xml:space="preserve"> and </w:t>
      </w:r>
      <w:r w:rsidR="006D1440" w:rsidRPr="00BD58C0">
        <w:rPr>
          <w:rFonts w:ascii="Times New Roman" w:hAnsi="Times New Roman" w:cs="Times New Roman"/>
          <w:sz w:val="24"/>
          <w:szCs w:val="24"/>
        </w:rPr>
        <w:t>[</w:t>
      </w:r>
      <w:r w:rsidR="00496416" w:rsidRPr="00BD58C0">
        <w:rPr>
          <w:rFonts w:ascii="Times New Roman" w:hAnsi="Times New Roman" w:cs="Times New Roman"/>
          <w:sz w:val="24"/>
          <w:szCs w:val="24"/>
        </w:rPr>
        <w:t>21</w:t>
      </w:r>
      <w:r w:rsidR="006D1440" w:rsidRPr="00BD58C0">
        <w:rPr>
          <w:rFonts w:ascii="Times New Roman" w:hAnsi="Times New Roman" w:cs="Times New Roman"/>
          <w:sz w:val="24"/>
          <w:szCs w:val="24"/>
        </w:rPr>
        <w:t>]</w:t>
      </w:r>
      <w:r w:rsidR="00722CAC" w:rsidRPr="00BD58C0">
        <w:rPr>
          <w:rFonts w:ascii="Times New Roman" w:hAnsi="Times New Roman" w:cs="Times New Roman"/>
          <w:sz w:val="24"/>
          <w:szCs w:val="24"/>
        </w:rPr>
        <w:t xml:space="preserve">. </w:t>
      </w:r>
      <w:r w:rsidR="00992F6A" w:rsidRPr="00BD58C0">
        <w:rPr>
          <w:rFonts w:ascii="Times New Roman" w:hAnsi="Times New Roman" w:cs="Times New Roman"/>
          <w:sz w:val="24"/>
          <w:szCs w:val="24"/>
        </w:rPr>
        <w:t>The former study [</w:t>
      </w:r>
      <w:r w:rsidR="00496416" w:rsidRPr="00BD58C0">
        <w:rPr>
          <w:rFonts w:ascii="Times New Roman" w:hAnsi="Times New Roman" w:cs="Times New Roman"/>
          <w:sz w:val="24"/>
          <w:szCs w:val="24"/>
        </w:rPr>
        <w:t>20</w:t>
      </w:r>
      <w:r w:rsidR="00992F6A" w:rsidRPr="00BD58C0">
        <w:rPr>
          <w:rFonts w:ascii="Times New Roman" w:hAnsi="Times New Roman" w:cs="Times New Roman"/>
          <w:sz w:val="24"/>
          <w:szCs w:val="24"/>
        </w:rPr>
        <w:t>]</w:t>
      </w:r>
      <w:r w:rsidR="00992F6A" w:rsidRPr="00BD58C0">
        <w:rPr>
          <w:rFonts w:ascii="Times New Roman" w:hAnsi="Times New Roman" w:cs="Times New Roman"/>
          <w:sz w:val="24"/>
          <w:szCs w:val="24"/>
          <w:lang w:val="en-US"/>
        </w:rPr>
        <w:t xml:space="preserve"> reported the benefits from implementing a carbon emission reduction scheme by evaluating the </w:t>
      </w:r>
      <w:r w:rsidR="00992F6A" w:rsidRPr="00BD58C0">
        <w:rPr>
          <w:rFonts w:ascii="Times New Roman" w:hAnsi="Times New Roman" w:cs="Times New Roman"/>
          <w:sz w:val="24"/>
          <w:szCs w:val="24"/>
        </w:rPr>
        <w:t xml:space="preserve">net present value (NPV), internal rate of return (IRR) and PP </w:t>
      </w:r>
      <w:r w:rsidR="00992F6A" w:rsidRPr="00BD58C0">
        <w:rPr>
          <w:rFonts w:ascii="Times New Roman" w:hAnsi="Times New Roman" w:cs="Times New Roman"/>
          <w:sz w:val="24"/>
          <w:szCs w:val="24"/>
          <w:lang w:val="en-US"/>
        </w:rPr>
        <w:t>of using biogas for four different purposes: boilers, electricity generation, flaring and cooking gas.</w:t>
      </w:r>
      <w:r w:rsidR="00A31A8B" w:rsidRPr="00BD58C0">
        <w:rPr>
          <w:rFonts w:ascii="Times New Roman" w:hAnsi="Times New Roman" w:cs="Times New Roman"/>
          <w:sz w:val="24"/>
          <w:szCs w:val="24"/>
          <w:lang w:val="en-US"/>
        </w:rPr>
        <w:t xml:space="preserve"> However, no detailed breakdown of investment and operational costs was shown</w:t>
      </w:r>
      <w:r w:rsidR="00A31A8B" w:rsidRPr="00BD58C0">
        <w:rPr>
          <w:rFonts w:ascii="Times New Roman" w:hAnsi="Times New Roman" w:cs="Times New Roman"/>
          <w:sz w:val="24"/>
          <w:szCs w:val="24"/>
        </w:rPr>
        <w:t xml:space="preserve">. </w:t>
      </w:r>
      <w:r w:rsidR="0055530A" w:rsidRPr="00BD58C0">
        <w:rPr>
          <w:rFonts w:ascii="Times New Roman" w:hAnsi="Times New Roman" w:cs="Times New Roman"/>
          <w:sz w:val="24"/>
          <w:szCs w:val="24"/>
        </w:rPr>
        <w:t>The lat</w:t>
      </w:r>
      <w:r w:rsidR="00A31A8B" w:rsidRPr="00BD58C0">
        <w:rPr>
          <w:rFonts w:ascii="Times New Roman" w:hAnsi="Times New Roman" w:cs="Times New Roman"/>
          <w:sz w:val="24"/>
          <w:szCs w:val="24"/>
        </w:rPr>
        <w:t>ter</w:t>
      </w:r>
      <w:r w:rsidR="0055530A" w:rsidRPr="00BD58C0">
        <w:rPr>
          <w:rFonts w:ascii="Times New Roman" w:hAnsi="Times New Roman" w:cs="Times New Roman"/>
          <w:sz w:val="24"/>
          <w:szCs w:val="24"/>
        </w:rPr>
        <w:t xml:space="preserve"> study [</w:t>
      </w:r>
      <w:r w:rsidR="00496416" w:rsidRPr="00BD58C0">
        <w:rPr>
          <w:rFonts w:ascii="Times New Roman" w:hAnsi="Times New Roman" w:cs="Times New Roman"/>
          <w:sz w:val="24"/>
          <w:szCs w:val="24"/>
        </w:rPr>
        <w:t>21</w:t>
      </w:r>
      <w:r w:rsidR="0055530A" w:rsidRPr="00BD58C0">
        <w:rPr>
          <w:rFonts w:ascii="Times New Roman" w:hAnsi="Times New Roman" w:cs="Times New Roman"/>
          <w:sz w:val="24"/>
          <w:szCs w:val="24"/>
        </w:rPr>
        <w:t>]</w:t>
      </w:r>
      <w:r w:rsidR="00A31A8B" w:rsidRPr="00BD58C0">
        <w:rPr>
          <w:rFonts w:ascii="Times New Roman" w:hAnsi="Times New Roman" w:cs="Times New Roman"/>
          <w:sz w:val="24"/>
          <w:szCs w:val="24"/>
        </w:rPr>
        <w:t xml:space="preserve">, </w:t>
      </w:r>
      <w:r w:rsidR="0055530A" w:rsidRPr="00BD58C0">
        <w:rPr>
          <w:rFonts w:ascii="Times New Roman" w:hAnsi="Times New Roman" w:cs="Times New Roman"/>
          <w:sz w:val="24"/>
          <w:szCs w:val="24"/>
        </w:rPr>
        <w:t xml:space="preserve">compared six different biorefinery alternatives in Colombia, including production of biogas from </w:t>
      </w:r>
      <w:r w:rsidR="0055530A" w:rsidRPr="00BD58C0">
        <w:rPr>
          <w:rFonts w:ascii="Times New Roman" w:hAnsi="Times New Roman" w:cs="Times New Roman"/>
          <w:sz w:val="24"/>
          <w:szCs w:val="24"/>
        </w:rPr>
        <w:lastRenderedPageBreak/>
        <w:t xml:space="preserve">POME. Economic benefits from the compared alternatives came from electricity generation. With respect to the biogas generation alternative, NPV was 2.5 </w:t>
      </w:r>
      <w:proofErr w:type="gramStart"/>
      <w:r w:rsidR="0055530A" w:rsidRPr="00BD58C0">
        <w:rPr>
          <w:rFonts w:ascii="Times New Roman" w:hAnsi="Times New Roman" w:cs="Times New Roman"/>
          <w:sz w:val="24"/>
          <w:szCs w:val="24"/>
        </w:rPr>
        <w:t>Million</w:t>
      </w:r>
      <w:proofErr w:type="gramEnd"/>
      <w:r w:rsidR="0055530A" w:rsidRPr="00BD58C0">
        <w:rPr>
          <w:rFonts w:ascii="Times New Roman" w:hAnsi="Times New Roman" w:cs="Times New Roman"/>
          <w:sz w:val="24"/>
          <w:szCs w:val="24"/>
        </w:rPr>
        <w:t xml:space="preserve"> USD, IRR 24% and a PP of 6 years. However, no detailed breakdown of capital costs was reported in this study</w:t>
      </w:r>
      <w:r w:rsidR="00834CAD" w:rsidRPr="00BD58C0">
        <w:rPr>
          <w:rFonts w:ascii="Times New Roman" w:hAnsi="Times New Roman" w:cs="Times New Roman"/>
          <w:sz w:val="24"/>
          <w:szCs w:val="24"/>
        </w:rPr>
        <w:t>,</w:t>
      </w:r>
      <w:r w:rsidR="005C3583" w:rsidRPr="00BD58C0">
        <w:rPr>
          <w:rFonts w:ascii="Times New Roman" w:hAnsi="Times New Roman" w:cs="Times New Roman"/>
          <w:sz w:val="24"/>
          <w:szCs w:val="24"/>
        </w:rPr>
        <w:t xml:space="preserve"> </w:t>
      </w:r>
      <w:r w:rsidR="00834CAD" w:rsidRPr="00BD58C0">
        <w:rPr>
          <w:rFonts w:ascii="Times New Roman" w:hAnsi="Times New Roman" w:cs="Times New Roman"/>
          <w:sz w:val="24"/>
          <w:szCs w:val="24"/>
        </w:rPr>
        <w:t xml:space="preserve">meaning </w:t>
      </w:r>
      <w:r w:rsidR="005C3583" w:rsidRPr="00BD58C0">
        <w:rPr>
          <w:rFonts w:ascii="Times New Roman" w:hAnsi="Times New Roman" w:cs="Times New Roman"/>
          <w:sz w:val="24"/>
          <w:szCs w:val="24"/>
        </w:rPr>
        <w:t xml:space="preserve">it was not possible to compare across the two options. </w:t>
      </w:r>
    </w:p>
    <w:p w14:paraId="11A0873A" w14:textId="09412391" w:rsidR="00E91FFF" w:rsidRPr="00BD58C0" w:rsidRDefault="00D456D7" w:rsidP="00B36981">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A</w:t>
      </w:r>
      <w:r w:rsidR="00515C99" w:rsidRPr="00BD58C0">
        <w:rPr>
          <w:rFonts w:ascii="Times New Roman" w:hAnsi="Times New Roman" w:cs="Times New Roman"/>
          <w:sz w:val="24"/>
          <w:szCs w:val="24"/>
        </w:rPr>
        <w:t xml:space="preserve"> second strand of s</w:t>
      </w:r>
      <w:r w:rsidR="00234893" w:rsidRPr="00BD58C0">
        <w:rPr>
          <w:rFonts w:ascii="Times New Roman" w:hAnsi="Times New Roman" w:cs="Times New Roman"/>
          <w:sz w:val="24"/>
          <w:szCs w:val="24"/>
        </w:rPr>
        <w:t xml:space="preserve">tudies </w:t>
      </w:r>
      <w:r w:rsidR="00515C99" w:rsidRPr="00BD58C0">
        <w:rPr>
          <w:rFonts w:ascii="Times New Roman" w:hAnsi="Times New Roman" w:cs="Times New Roman"/>
          <w:sz w:val="24"/>
          <w:szCs w:val="24"/>
        </w:rPr>
        <w:t xml:space="preserve">compares the </w:t>
      </w:r>
      <w:r w:rsidRPr="00BD58C0">
        <w:rPr>
          <w:rFonts w:ascii="Times New Roman" w:hAnsi="Times New Roman" w:cs="Times New Roman"/>
          <w:sz w:val="24"/>
          <w:szCs w:val="24"/>
        </w:rPr>
        <w:t>CLB</w:t>
      </w:r>
      <w:r w:rsidR="00515C99" w:rsidRPr="00BD58C0">
        <w:rPr>
          <w:rFonts w:ascii="Times New Roman" w:hAnsi="Times New Roman" w:cs="Times New Roman"/>
          <w:sz w:val="24"/>
          <w:szCs w:val="24"/>
        </w:rPr>
        <w:t xml:space="preserve"> and digester tank system in order to provide evidence on </w:t>
      </w:r>
      <w:r w:rsidR="007C7870" w:rsidRPr="00BD58C0">
        <w:rPr>
          <w:rFonts w:ascii="Times New Roman" w:hAnsi="Times New Roman" w:cs="Times New Roman"/>
          <w:sz w:val="24"/>
          <w:szCs w:val="24"/>
        </w:rPr>
        <w:t xml:space="preserve">the </w:t>
      </w:r>
      <w:r w:rsidR="002F0172" w:rsidRPr="00BD58C0">
        <w:rPr>
          <w:rFonts w:ascii="Times New Roman" w:hAnsi="Times New Roman" w:cs="Times New Roman"/>
          <w:sz w:val="24"/>
          <w:szCs w:val="24"/>
        </w:rPr>
        <w:t>economic aspects</w:t>
      </w:r>
      <w:r w:rsidR="00781B12" w:rsidRPr="00BD58C0">
        <w:rPr>
          <w:rFonts w:ascii="Times New Roman" w:hAnsi="Times New Roman" w:cs="Times New Roman"/>
          <w:sz w:val="24"/>
          <w:szCs w:val="24"/>
        </w:rPr>
        <w:t xml:space="preserve"> of</w:t>
      </w:r>
      <w:r w:rsidR="00234893" w:rsidRPr="00BD58C0">
        <w:rPr>
          <w:rFonts w:ascii="Times New Roman" w:hAnsi="Times New Roman" w:cs="Times New Roman"/>
          <w:sz w:val="24"/>
          <w:szCs w:val="24"/>
        </w:rPr>
        <w:t xml:space="preserve"> </w:t>
      </w:r>
      <w:r w:rsidR="00231053" w:rsidRPr="00BD58C0">
        <w:rPr>
          <w:rFonts w:ascii="Times New Roman" w:hAnsi="Times New Roman" w:cs="Times New Roman"/>
          <w:sz w:val="24"/>
          <w:szCs w:val="24"/>
        </w:rPr>
        <w:t>utilising biogas from POME treatment for on-grid electricity</w:t>
      </w:r>
      <w:r w:rsidR="00BF4D1D" w:rsidRPr="00BD58C0">
        <w:rPr>
          <w:rFonts w:ascii="Times New Roman" w:hAnsi="Times New Roman" w:cs="Times New Roman"/>
          <w:sz w:val="24"/>
          <w:szCs w:val="24"/>
        </w:rPr>
        <w:t xml:space="preserve"> in Malaysia </w:t>
      </w:r>
      <w:r w:rsidR="005654E4" w:rsidRPr="00BD58C0">
        <w:rPr>
          <w:rFonts w:ascii="Times New Roman" w:hAnsi="Times New Roman" w:cs="Times New Roman"/>
          <w:sz w:val="24"/>
          <w:szCs w:val="24"/>
        </w:rPr>
        <w:t xml:space="preserve">(see </w:t>
      </w:r>
      <w:r w:rsidR="004F0972" w:rsidRPr="00BD58C0">
        <w:rPr>
          <w:rFonts w:ascii="Times New Roman" w:hAnsi="Times New Roman" w:cs="Times New Roman"/>
          <w:sz w:val="24"/>
          <w:szCs w:val="24"/>
        </w:rPr>
        <w:t>[</w:t>
      </w:r>
      <w:r w:rsidR="00284D64" w:rsidRPr="00BD58C0">
        <w:rPr>
          <w:rFonts w:ascii="Times New Roman" w:hAnsi="Times New Roman" w:cs="Times New Roman"/>
          <w:sz w:val="24"/>
          <w:szCs w:val="24"/>
        </w:rPr>
        <w:t>22</w:t>
      </w:r>
      <w:r w:rsidR="004F0972" w:rsidRPr="00BD58C0">
        <w:rPr>
          <w:rFonts w:ascii="Times New Roman" w:hAnsi="Times New Roman" w:cs="Times New Roman"/>
          <w:sz w:val="24"/>
          <w:szCs w:val="24"/>
        </w:rPr>
        <w:t>]</w:t>
      </w:r>
      <w:r w:rsidR="00781B12" w:rsidRPr="00BD58C0">
        <w:rPr>
          <w:rFonts w:ascii="Times New Roman" w:hAnsi="Times New Roman" w:cs="Times New Roman"/>
          <w:sz w:val="24"/>
          <w:szCs w:val="24"/>
        </w:rPr>
        <w:t>, as well as</w:t>
      </w:r>
      <w:r w:rsidR="00234893" w:rsidRPr="00BD58C0">
        <w:rPr>
          <w:rFonts w:ascii="Times New Roman" w:hAnsi="Times New Roman" w:cs="Times New Roman"/>
          <w:sz w:val="24"/>
          <w:szCs w:val="24"/>
        </w:rPr>
        <w:t xml:space="preserve"> [</w:t>
      </w:r>
      <w:r w:rsidR="00210089" w:rsidRPr="00BD58C0">
        <w:rPr>
          <w:rFonts w:ascii="Times New Roman" w:hAnsi="Times New Roman" w:cs="Times New Roman"/>
          <w:sz w:val="24"/>
          <w:szCs w:val="24"/>
        </w:rPr>
        <w:t>2</w:t>
      </w:r>
      <w:r w:rsidR="00284D64" w:rsidRPr="00BD58C0">
        <w:rPr>
          <w:rFonts w:ascii="Times New Roman" w:hAnsi="Times New Roman" w:cs="Times New Roman"/>
          <w:sz w:val="24"/>
          <w:szCs w:val="24"/>
        </w:rPr>
        <w:t>3</w:t>
      </w:r>
      <w:r w:rsidR="002F0172" w:rsidRPr="00BD58C0">
        <w:rPr>
          <w:rFonts w:ascii="Times New Roman" w:hAnsi="Times New Roman" w:cs="Times New Roman"/>
          <w:sz w:val="24"/>
          <w:szCs w:val="24"/>
        </w:rPr>
        <w:t>,</w:t>
      </w:r>
      <w:r w:rsidR="000215AD" w:rsidRPr="00BD58C0">
        <w:rPr>
          <w:rFonts w:ascii="Times New Roman" w:hAnsi="Times New Roman" w:cs="Times New Roman"/>
          <w:sz w:val="24"/>
          <w:szCs w:val="24"/>
        </w:rPr>
        <w:t>9</w:t>
      </w:r>
      <w:r w:rsidR="00234893" w:rsidRPr="00BD58C0">
        <w:rPr>
          <w:rFonts w:ascii="Times New Roman" w:hAnsi="Times New Roman" w:cs="Times New Roman"/>
          <w:sz w:val="24"/>
          <w:szCs w:val="24"/>
        </w:rPr>
        <w:t>]</w:t>
      </w:r>
      <w:r w:rsidR="00086C6E" w:rsidRPr="00BD58C0">
        <w:rPr>
          <w:rFonts w:ascii="Times New Roman" w:hAnsi="Times New Roman" w:cs="Times New Roman"/>
          <w:sz w:val="24"/>
          <w:szCs w:val="24"/>
        </w:rPr>
        <w:t>)</w:t>
      </w:r>
      <w:r w:rsidR="00231053" w:rsidRPr="00BD58C0">
        <w:rPr>
          <w:rFonts w:ascii="Times New Roman" w:hAnsi="Times New Roman" w:cs="Times New Roman"/>
          <w:sz w:val="24"/>
          <w:szCs w:val="24"/>
        </w:rPr>
        <w:t>. However,</w:t>
      </w:r>
      <w:r w:rsidR="00234893" w:rsidRPr="00BD58C0">
        <w:rPr>
          <w:rFonts w:ascii="Times New Roman" w:hAnsi="Times New Roman" w:cs="Times New Roman"/>
          <w:sz w:val="24"/>
          <w:szCs w:val="24"/>
        </w:rPr>
        <w:t xml:space="preserve"> </w:t>
      </w:r>
      <w:r w:rsidR="00781B12" w:rsidRPr="00BD58C0">
        <w:rPr>
          <w:rFonts w:ascii="Times New Roman" w:hAnsi="Times New Roman" w:cs="Times New Roman"/>
          <w:sz w:val="24"/>
          <w:szCs w:val="24"/>
        </w:rPr>
        <w:t>these</w:t>
      </w:r>
      <w:r w:rsidR="002F0172" w:rsidRPr="00BD58C0">
        <w:rPr>
          <w:rFonts w:ascii="Times New Roman" w:hAnsi="Times New Roman" w:cs="Times New Roman"/>
          <w:sz w:val="24"/>
          <w:szCs w:val="24"/>
        </w:rPr>
        <w:t xml:space="preserve"> studies </w:t>
      </w:r>
      <w:r w:rsidR="00337059" w:rsidRPr="00BD58C0">
        <w:rPr>
          <w:rFonts w:ascii="Times New Roman" w:hAnsi="Times New Roman" w:cs="Times New Roman"/>
          <w:sz w:val="24"/>
          <w:szCs w:val="24"/>
        </w:rPr>
        <w:t>focused only</w:t>
      </w:r>
      <w:r w:rsidR="002F0172" w:rsidRPr="00BD58C0">
        <w:rPr>
          <w:rFonts w:ascii="Times New Roman" w:hAnsi="Times New Roman" w:cs="Times New Roman"/>
          <w:sz w:val="24"/>
          <w:szCs w:val="24"/>
        </w:rPr>
        <w:t xml:space="preserve"> on </w:t>
      </w:r>
      <w:r w:rsidR="008F3049" w:rsidRPr="00BD58C0">
        <w:rPr>
          <w:rFonts w:ascii="Times New Roman" w:hAnsi="Times New Roman" w:cs="Times New Roman"/>
          <w:sz w:val="24"/>
          <w:szCs w:val="24"/>
        </w:rPr>
        <w:t>CBA</w:t>
      </w:r>
      <w:r w:rsidR="00337059" w:rsidRPr="00BD58C0">
        <w:rPr>
          <w:rFonts w:ascii="Times New Roman" w:hAnsi="Times New Roman" w:cs="Times New Roman"/>
          <w:sz w:val="24"/>
          <w:szCs w:val="24"/>
        </w:rPr>
        <w:t>, providing</w:t>
      </w:r>
      <w:r w:rsidR="002F0172" w:rsidRPr="00BD58C0">
        <w:rPr>
          <w:rFonts w:ascii="Times New Roman" w:hAnsi="Times New Roman" w:cs="Times New Roman"/>
          <w:sz w:val="24"/>
          <w:szCs w:val="24"/>
        </w:rPr>
        <w:t xml:space="preserve"> no</w:t>
      </w:r>
      <w:r w:rsidR="00AF612C" w:rsidRPr="00BD58C0">
        <w:rPr>
          <w:rFonts w:ascii="Times New Roman" w:hAnsi="Times New Roman" w:cs="Times New Roman"/>
          <w:sz w:val="24"/>
          <w:szCs w:val="24"/>
        </w:rPr>
        <w:t xml:space="preserve"> detailed breakdown of</w:t>
      </w:r>
      <w:r w:rsidR="00BE66EA" w:rsidRPr="00BD58C0">
        <w:rPr>
          <w:rFonts w:ascii="Times New Roman" w:hAnsi="Times New Roman" w:cs="Times New Roman"/>
          <w:sz w:val="24"/>
          <w:szCs w:val="24"/>
        </w:rPr>
        <w:t xml:space="preserve"> </w:t>
      </w:r>
      <w:r w:rsidR="00F01FB9" w:rsidRPr="00BD58C0">
        <w:rPr>
          <w:rFonts w:ascii="Times New Roman" w:hAnsi="Times New Roman" w:cs="Times New Roman"/>
          <w:sz w:val="24"/>
          <w:szCs w:val="24"/>
        </w:rPr>
        <w:t xml:space="preserve">capital </w:t>
      </w:r>
      <w:r w:rsidR="00370D57" w:rsidRPr="00BD58C0">
        <w:rPr>
          <w:rFonts w:ascii="Times New Roman" w:hAnsi="Times New Roman" w:cs="Times New Roman"/>
          <w:sz w:val="24"/>
          <w:szCs w:val="24"/>
        </w:rPr>
        <w:t>and operational cost</w:t>
      </w:r>
      <w:r w:rsidR="00337059" w:rsidRPr="00BD58C0">
        <w:rPr>
          <w:rFonts w:ascii="Times New Roman" w:hAnsi="Times New Roman" w:cs="Times New Roman"/>
          <w:sz w:val="24"/>
          <w:szCs w:val="24"/>
        </w:rPr>
        <w:t>s</w:t>
      </w:r>
      <w:r w:rsidR="002F0172" w:rsidRPr="00BD58C0">
        <w:rPr>
          <w:rFonts w:ascii="Times New Roman" w:hAnsi="Times New Roman" w:cs="Times New Roman"/>
          <w:sz w:val="24"/>
          <w:szCs w:val="24"/>
        </w:rPr>
        <w:t xml:space="preserve"> </w:t>
      </w:r>
      <w:r w:rsidR="00337059" w:rsidRPr="00BD58C0">
        <w:rPr>
          <w:rFonts w:ascii="Times New Roman" w:hAnsi="Times New Roman" w:cs="Times New Roman"/>
          <w:sz w:val="24"/>
          <w:szCs w:val="24"/>
        </w:rPr>
        <w:t xml:space="preserve">for </w:t>
      </w:r>
      <w:r w:rsidR="002F0172" w:rsidRPr="00BD58C0">
        <w:rPr>
          <w:rFonts w:ascii="Times New Roman" w:hAnsi="Times New Roman" w:cs="Times New Roman"/>
          <w:sz w:val="24"/>
          <w:szCs w:val="24"/>
        </w:rPr>
        <w:t xml:space="preserve">each system. </w:t>
      </w:r>
      <w:r w:rsidR="00317771" w:rsidRPr="00BD58C0">
        <w:rPr>
          <w:rFonts w:ascii="Times New Roman" w:hAnsi="Times New Roman" w:cs="Times New Roman"/>
          <w:sz w:val="24"/>
          <w:szCs w:val="24"/>
        </w:rPr>
        <w:t xml:space="preserve">For instance, </w:t>
      </w:r>
      <w:r w:rsidR="004F0972" w:rsidRPr="00BD58C0">
        <w:rPr>
          <w:rFonts w:ascii="Times New Roman" w:hAnsi="Times New Roman" w:cs="Times New Roman"/>
          <w:sz w:val="24"/>
          <w:szCs w:val="24"/>
        </w:rPr>
        <w:t>[</w:t>
      </w:r>
      <w:r w:rsidR="00284D64" w:rsidRPr="00BD58C0">
        <w:rPr>
          <w:rFonts w:ascii="Times New Roman" w:hAnsi="Times New Roman" w:cs="Times New Roman"/>
          <w:sz w:val="24"/>
          <w:szCs w:val="24"/>
        </w:rPr>
        <w:t>22</w:t>
      </w:r>
      <w:r w:rsidR="004F0972" w:rsidRPr="00BD58C0">
        <w:rPr>
          <w:rFonts w:ascii="Times New Roman" w:hAnsi="Times New Roman" w:cs="Times New Roman"/>
          <w:sz w:val="24"/>
          <w:szCs w:val="24"/>
        </w:rPr>
        <w:t>]</w:t>
      </w:r>
      <w:r w:rsidR="00BD2E96" w:rsidRPr="00BD58C0">
        <w:rPr>
          <w:rFonts w:ascii="Times New Roman" w:hAnsi="Times New Roman" w:cs="Times New Roman"/>
          <w:sz w:val="24"/>
          <w:szCs w:val="24"/>
        </w:rPr>
        <w:t xml:space="preserve"> show</w:t>
      </w:r>
      <w:r w:rsidR="008101CD" w:rsidRPr="00BD58C0">
        <w:rPr>
          <w:rFonts w:ascii="Times New Roman" w:hAnsi="Times New Roman" w:cs="Times New Roman"/>
          <w:sz w:val="24"/>
          <w:szCs w:val="24"/>
        </w:rPr>
        <w:t>ed</w:t>
      </w:r>
      <w:r w:rsidR="00BD2E96" w:rsidRPr="00BD58C0">
        <w:rPr>
          <w:rFonts w:ascii="Times New Roman" w:hAnsi="Times New Roman" w:cs="Times New Roman"/>
          <w:sz w:val="24"/>
          <w:szCs w:val="24"/>
        </w:rPr>
        <w:t xml:space="preserve"> that the PP of </w:t>
      </w:r>
      <w:r w:rsidR="00337059" w:rsidRPr="00BD58C0">
        <w:rPr>
          <w:rFonts w:ascii="Times New Roman" w:hAnsi="Times New Roman" w:cs="Times New Roman"/>
          <w:sz w:val="24"/>
          <w:szCs w:val="24"/>
        </w:rPr>
        <w:t xml:space="preserve">the </w:t>
      </w:r>
      <w:r w:rsidR="00CB7ACD" w:rsidRPr="00BD58C0">
        <w:rPr>
          <w:rFonts w:ascii="Times New Roman" w:hAnsi="Times New Roman" w:cs="Times New Roman"/>
          <w:sz w:val="24"/>
          <w:szCs w:val="24"/>
        </w:rPr>
        <w:t>CLB</w:t>
      </w:r>
      <w:r w:rsidR="00BD2E96" w:rsidRPr="00BD58C0">
        <w:rPr>
          <w:rFonts w:ascii="Times New Roman" w:hAnsi="Times New Roman" w:cs="Times New Roman"/>
          <w:sz w:val="24"/>
          <w:szCs w:val="24"/>
        </w:rPr>
        <w:t xml:space="preserve"> </w:t>
      </w:r>
      <w:r w:rsidR="008101CD" w:rsidRPr="00BD58C0">
        <w:rPr>
          <w:rFonts w:ascii="Times New Roman" w:hAnsi="Times New Roman" w:cs="Times New Roman"/>
          <w:sz w:val="24"/>
          <w:szCs w:val="24"/>
        </w:rPr>
        <w:t>wa</w:t>
      </w:r>
      <w:r w:rsidR="00BD2E96" w:rsidRPr="00BD58C0">
        <w:rPr>
          <w:rFonts w:ascii="Times New Roman" w:hAnsi="Times New Roman" w:cs="Times New Roman"/>
          <w:sz w:val="24"/>
          <w:szCs w:val="24"/>
        </w:rPr>
        <w:t>s 6.2 years</w:t>
      </w:r>
      <w:r w:rsidR="00FC26AB" w:rsidRPr="00BD58C0">
        <w:rPr>
          <w:rFonts w:ascii="Times New Roman" w:hAnsi="Times New Roman" w:cs="Times New Roman"/>
          <w:sz w:val="24"/>
          <w:szCs w:val="24"/>
        </w:rPr>
        <w:t>,</w:t>
      </w:r>
      <w:r w:rsidR="00BD2E96" w:rsidRPr="00BD58C0">
        <w:rPr>
          <w:rFonts w:ascii="Times New Roman" w:hAnsi="Times New Roman" w:cs="Times New Roman"/>
          <w:sz w:val="24"/>
          <w:szCs w:val="24"/>
        </w:rPr>
        <w:t xml:space="preserve"> while </w:t>
      </w:r>
      <w:r w:rsidR="00337059" w:rsidRPr="00BD58C0">
        <w:rPr>
          <w:rFonts w:ascii="Times New Roman" w:hAnsi="Times New Roman" w:cs="Times New Roman"/>
          <w:sz w:val="24"/>
          <w:szCs w:val="24"/>
        </w:rPr>
        <w:t xml:space="preserve">the </w:t>
      </w:r>
      <w:r w:rsidR="00231053" w:rsidRPr="00BD58C0">
        <w:rPr>
          <w:rFonts w:ascii="Times New Roman" w:hAnsi="Times New Roman" w:cs="Times New Roman"/>
          <w:sz w:val="24"/>
          <w:szCs w:val="24"/>
        </w:rPr>
        <w:t>digester tank system ha</w:t>
      </w:r>
      <w:r w:rsidR="00337059" w:rsidRPr="00BD58C0">
        <w:rPr>
          <w:rFonts w:ascii="Times New Roman" w:hAnsi="Times New Roman" w:cs="Times New Roman"/>
          <w:sz w:val="24"/>
          <w:szCs w:val="24"/>
        </w:rPr>
        <w:t>d</w:t>
      </w:r>
      <w:r w:rsidR="00231053" w:rsidRPr="00BD58C0">
        <w:rPr>
          <w:rFonts w:ascii="Times New Roman" w:hAnsi="Times New Roman" w:cs="Times New Roman"/>
          <w:sz w:val="24"/>
          <w:szCs w:val="24"/>
        </w:rPr>
        <w:t xml:space="preserve"> a PP of 8.3 years. </w:t>
      </w:r>
      <w:r w:rsidR="00136DF1" w:rsidRPr="00BD58C0">
        <w:rPr>
          <w:rFonts w:ascii="Times New Roman" w:hAnsi="Times New Roman" w:cs="Times New Roman"/>
          <w:sz w:val="24"/>
          <w:szCs w:val="24"/>
        </w:rPr>
        <w:t>Also, the IRR values were compared</w:t>
      </w:r>
      <w:r w:rsidR="00337059" w:rsidRPr="00BD58C0">
        <w:rPr>
          <w:rFonts w:ascii="Times New Roman" w:hAnsi="Times New Roman" w:cs="Times New Roman"/>
          <w:sz w:val="24"/>
          <w:szCs w:val="24"/>
        </w:rPr>
        <w:t xml:space="preserve">, showing </w:t>
      </w:r>
      <w:r w:rsidR="00FC26AB" w:rsidRPr="00BD58C0">
        <w:rPr>
          <w:rFonts w:ascii="Times New Roman" w:hAnsi="Times New Roman" w:cs="Times New Roman"/>
          <w:sz w:val="24"/>
          <w:szCs w:val="24"/>
        </w:rPr>
        <w:t xml:space="preserve">that </w:t>
      </w:r>
      <w:r w:rsidR="00337059" w:rsidRPr="00BD58C0">
        <w:rPr>
          <w:rFonts w:ascii="Times New Roman" w:hAnsi="Times New Roman" w:cs="Times New Roman"/>
          <w:sz w:val="24"/>
          <w:szCs w:val="24"/>
        </w:rPr>
        <w:t xml:space="preserve">the </w:t>
      </w:r>
      <w:r w:rsidR="00814042" w:rsidRPr="00BD58C0">
        <w:rPr>
          <w:rFonts w:ascii="Times New Roman" w:hAnsi="Times New Roman" w:cs="Times New Roman"/>
          <w:sz w:val="24"/>
          <w:szCs w:val="24"/>
        </w:rPr>
        <w:t>CLB</w:t>
      </w:r>
      <w:r w:rsidR="00136DF1" w:rsidRPr="00BD58C0">
        <w:rPr>
          <w:rFonts w:ascii="Times New Roman" w:hAnsi="Times New Roman" w:cs="Times New Roman"/>
          <w:sz w:val="24"/>
          <w:szCs w:val="24"/>
        </w:rPr>
        <w:t xml:space="preserve"> </w:t>
      </w:r>
      <w:r w:rsidR="00337059" w:rsidRPr="00BD58C0">
        <w:rPr>
          <w:rFonts w:ascii="Times New Roman" w:hAnsi="Times New Roman" w:cs="Times New Roman"/>
          <w:sz w:val="24"/>
          <w:szCs w:val="24"/>
        </w:rPr>
        <w:t xml:space="preserve">yielded </w:t>
      </w:r>
      <w:r w:rsidR="00613507" w:rsidRPr="00BD58C0">
        <w:rPr>
          <w:rFonts w:ascii="Times New Roman" w:hAnsi="Times New Roman" w:cs="Times New Roman"/>
          <w:sz w:val="24"/>
          <w:szCs w:val="24"/>
        </w:rPr>
        <w:t>a value of 16.1%</w:t>
      </w:r>
      <w:r w:rsidR="00FC26AB" w:rsidRPr="00BD58C0">
        <w:rPr>
          <w:rFonts w:ascii="Times New Roman" w:hAnsi="Times New Roman" w:cs="Times New Roman"/>
          <w:sz w:val="24"/>
          <w:szCs w:val="24"/>
        </w:rPr>
        <w:t>,</w:t>
      </w:r>
      <w:r w:rsidR="00613507" w:rsidRPr="00BD58C0">
        <w:rPr>
          <w:rFonts w:ascii="Times New Roman" w:hAnsi="Times New Roman" w:cs="Times New Roman"/>
          <w:sz w:val="24"/>
          <w:szCs w:val="24"/>
        </w:rPr>
        <w:t xml:space="preserve"> whereas </w:t>
      </w:r>
      <w:r w:rsidR="00337059" w:rsidRPr="00BD58C0">
        <w:rPr>
          <w:rFonts w:ascii="Times New Roman" w:hAnsi="Times New Roman" w:cs="Times New Roman"/>
          <w:sz w:val="24"/>
          <w:szCs w:val="24"/>
        </w:rPr>
        <w:t xml:space="preserve">the </w:t>
      </w:r>
      <w:r w:rsidR="00613507" w:rsidRPr="00BD58C0">
        <w:rPr>
          <w:rFonts w:ascii="Times New Roman" w:hAnsi="Times New Roman" w:cs="Times New Roman"/>
          <w:sz w:val="24"/>
          <w:szCs w:val="24"/>
        </w:rPr>
        <w:t xml:space="preserve">digester tank </w:t>
      </w:r>
      <w:r w:rsidR="00337059" w:rsidRPr="00BD58C0">
        <w:rPr>
          <w:rFonts w:ascii="Times New Roman" w:hAnsi="Times New Roman" w:cs="Times New Roman"/>
          <w:sz w:val="24"/>
          <w:szCs w:val="24"/>
        </w:rPr>
        <w:t xml:space="preserve">gave </w:t>
      </w:r>
      <w:r w:rsidR="00613507" w:rsidRPr="00BD58C0">
        <w:rPr>
          <w:rFonts w:ascii="Times New Roman" w:hAnsi="Times New Roman" w:cs="Times New Roman"/>
          <w:sz w:val="24"/>
          <w:szCs w:val="24"/>
        </w:rPr>
        <w:t xml:space="preserve">a value of 12.1%. </w:t>
      </w:r>
      <w:r w:rsidR="00930DE2" w:rsidRPr="00BD58C0">
        <w:rPr>
          <w:rFonts w:ascii="Times New Roman" w:hAnsi="Times New Roman" w:cs="Times New Roman"/>
          <w:sz w:val="24"/>
          <w:szCs w:val="24"/>
        </w:rPr>
        <w:t>This</w:t>
      </w:r>
      <w:r w:rsidR="00613507" w:rsidRPr="00BD58C0">
        <w:rPr>
          <w:rFonts w:ascii="Times New Roman" w:hAnsi="Times New Roman" w:cs="Times New Roman"/>
          <w:sz w:val="24"/>
          <w:szCs w:val="24"/>
        </w:rPr>
        <w:t xml:space="preserve"> show</w:t>
      </w:r>
      <w:r w:rsidR="00990E1F" w:rsidRPr="00BD58C0">
        <w:rPr>
          <w:rFonts w:ascii="Times New Roman" w:hAnsi="Times New Roman" w:cs="Times New Roman"/>
          <w:sz w:val="24"/>
          <w:szCs w:val="24"/>
        </w:rPr>
        <w:t>ed</w:t>
      </w:r>
      <w:r w:rsidR="00613507" w:rsidRPr="00BD58C0">
        <w:rPr>
          <w:rFonts w:ascii="Times New Roman" w:hAnsi="Times New Roman" w:cs="Times New Roman"/>
          <w:sz w:val="24"/>
          <w:szCs w:val="24"/>
        </w:rPr>
        <w:t xml:space="preserve"> </w:t>
      </w:r>
      <w:r w:rsidR="00FC26AB" w:rsidRPr="00BD58C0">
        <w:rPr>
          <w:rFonts w:ascii="Times New Roman" w:hAnsi="Times New Roman" w:cs="Times New Roman"/>
          <w:sz w:val="24"/>
          <w:szCs w:val="24"/>
        </w:rPr>
        <w:t>the</w:t>
      </w:r>
      <w:r w:rsidR="00613507" w:rsidRPr="00BD58C0">
        <w:rPr>
          <w:rFonts w:ascii="Times New Roman" w:hAnsi="Times New Roman" w:cs="Times New Roman"/>
          <w:sz w:val="24"/>
          <w:szCs w:val="24"/>
        </w:rPr>
        <w:t xml:space="preserve"> </w:t>
      </w:r>
      <w:r w:rsidR="00814042" w:rsidRPr="00BD58C0">
        <w:rPr>
          <w:rFonts w:ascii="Times New Roman" w:hAnsi="Times New Roman" w:cs="Times New Roman"/>
          <w:sz w:val="24"/>
          <w:szCs w:val="24"/>
        </w:rPr>
        <w:t>CLB</w:t>
      </w:r>
      <w:r w:rsidR="00613507" w:rsidRPr="00BD58C0">
        <w:rPr>
          <w:rFonts w:ascii="Times New Roman" w:hAnsi="Times New Roman" w:cs="Times New Roman"/>
          <w:sz w:val="24"/>
          <w:szCs w:val="24"/>
        </w:rPr>
        <w:t xml:space="preserve"> </w:t>
      </w:r>
      <w:r w:rsidR="00990E1F" w:rsidRPr="00BD58C0">
        <w:rPr>
          <w:rFonts w:ascii="Times New Roman" w:hAnsi="Times New Roman" w:cs="Times New Roman"/>
          <w:sz w:val="24"/>
          <w:szCs w:val="24"/>
        </w:rPr>
        <w:t xml:space="preserve">to be more </w:t>
      </w:r>
      <w:r w:rsidR="00613507" w:rsidRPr="00BD58C0">
        <w:rPr>
          <w:rFonts w:ascii="Times New Roman" w:hAnsi="Times New Roman" w:cs="Times New Roman"/>
          <w:sz w:val="24"/>
          <w:szCs w:val="24"/>
        </w:rPr>
        <w:t xml:space="preserve">economically feasible </w:t>
      </w:r>
      <w:r w:rsidR="00990E1F" w:rsidRPr="00BD58C0">
        <w:rPr>
          <w:rFonts w:ascii="Times New Roman" w:hAnsi="Times New Roman" w:cs="Times New Roman"/>
          <w:sz w:val="24"/>
          <w:szCs w:val="24"/>
        </w:rPr>
        <w:t xml:space="preserve">than </w:t>
      </w:r>
      <w:r w:rsidR="00FC26AB" w:rsidRPr="00BD58C0">
        <w:rPr>
          <w:rFonts w:ascii="Times New Roman" w:hAnsi="Times New Roman" w:cs="Times New Roman"/>
          <w:sz w:val="24"/>
          <w:szCs w:val="24"/>
        </w:rPr>
        <w:t xml:space="preserve">the </w:t>
      </w:r>
      <w:r w:rsidR="00613507" w:rsidRPr="00BD58C0">
        <w:rPr>
          <w:rFonts w:ascii="Times New Roman" w:hAnsi="Times New Roman" w:cs="Times New Roman"/>
          <w:sz w:val="24"/>
          <w:szCs w:val="24"/>
        </w:rPr>
        <w:t>digester tank system.</w:t>
      </w:r>
      <w:r w:rsidR="00990E1F" w:rsidRPr="00BD58C0">
        <w:rPr>
          <w:rFonts w:ascii="Times New Roman" w:hAnsi="Times New Roman" w:cs="Times New Roman"/>
          <w:sz w:val="24"/>
          <w:szCs w:val="24"/>
        </w:rPr>
        <w:t xml:space="preserve"> </w:t>
      </w:r>
      <w:r w:rsidR="002701C0" w:rsidRPr="00BD58C0">
        <w:rPr>
          <w:rFonts w:ascii="Times New Roman" w:hAnsi="Times New Roman" w:cs="Times New Roman"/>
          <w:sz w:val="24"/>
          <w:szCs w:val="24"/>
        </w:rPr>
        <w:t>However</w:t>
      </w:r>
      <w:r w:rsidR="00990E1F" w:rsidRPr="00BD58C0">
        <w:rPr>
          <w:rFonts w:ascii="Times New Roman" w:hAnsi="Times New Roman" w:cs="Times New Roman"/>
          <w:sz w:val="24"/>
          <w:szCs w:val="24"/>
        </w:rPr>
        <w:t xml:space="preserve">, </w:t>
      </w:r>
      <w:r w:rsidR="002701C0" w:rsidRPr="00BD58C0">
        <w:rPr>
          <w:rFonts w:ascii="Times New Roman" w:hAnsi="Times New Roman" w:cs="Times New Roman"/>
          <w:sz w:val="24"/>
          <w:szCs w:val="24"/>
        </w:rPr>
        <w:t xml:space="preserve">as noted, </w:t>
      </w:r>
      <w:r w:rsidR="006635B4" w:rsidRPr="00BD58C0">
        <w:rPr>
          <w:rFonts w:ascii="Times New Roman" w:hAnsi="Times New Roman" w:cs="Times New Roman"/>
          <w:sz w:val="24"/>
          <w:szCs w:val="24"/>
        </w:rPr>
        <w:t xml:space="preserve">no detailed </w:t>
      </w:r>
      <w:r w:rsidR="00990E1F" w:rsidRPr="00BD58C0">
        <w:rPr>
          <w:rFonts w:ascii="Times New Roman" w:hAnsi="Times New Roman" w:cs="Times New Roman"/>
          <w:sz w:val="24"/>
          <w:szCs w:val="24"/>
        </w:rPr>
        <w:t>information</w:t>
      </w:r>
      <w:r w:rsidR="00B46D13" w:rsidRPr="00BD58C0">
        <w:rPr>
          <w:rFonts w:ascii="Times New Roman" w:hAnsi="Times New Roman" w:cs="Times New Roman"/>
          <w:sz w:val="24"/>
          <w:szCs w:val="24"/>
        </w:rPr>
        <w:t xml:space="preserve"> </w:t>
      </w:r>
      <w:r w:rsidR="006635B4" w:rsidRPr="00BD58C0">
        <w:rPr>
          <w:rFonts w:ascii="Times New Roman" w:hAnsi="Times New Roman" w:cs="Times New Roman"/>
          <w:sz w:val="24"/>
          <w:szCs w:val="24"/>
        </w:rPr>
        <w:t xml:space="preserve">was </w:t>
      </w:r>
      <w:r w:rsidR="00B36847" w:rsidRPr="00BD58C0">
        <w:rPr>
          <w:rFonts w:ascii="Times New Roman" w:hAnsi="Times New Roman" w:cs="Times New Roman"/>
          <w:sz w:val="24"/>
          <w:szCs w:val="24"/>
        </w:rPr>
        <w:t>provided on</w:t>
      </w:r>
      <w:r w:rsidR="00065E15" w:rsidRPr="00BD58C0">
        <w:rPr>
          <w:rFonts w:ascii="Times New Roman" w:hAnsi="Times New Roman" w:cs="Times New Roman"/>
          <w:sz w:val="24"/>
          <w:szCs w:val="24"/>
        </w:rPr>
        <w:t xml:space="preserve"> </w:t>
      </w:r>
      <w:r w:rsidR="00B46D13" w:rsidRPr="00BD58C0">
        <w:rPr>
          <w:rFonts w:ascii="Times New Roman" w:hAnsi="Times New Roman" w:cs="Times New Roman"/>
          <w:sz w:val="24"/>
          <w:szCs w:val="24"/>
        </w:rPr>
        <w:t>capital</w:t>
      </w:r>
      <w:r w:rsidR="00AF1D67" w:rsidRPr="00BD58C0">
        <w:rPr>
          <w:rFonts w:ascii="Times New Roman" w:hAnsi="Times New Roman" w:cs="Times New Roman"/>
          <w:sz w:val="24"/>
          <w:szCs w:val="24"/>
        </w:rPr>
        <w:t xml:space="preserve"> </w:t>
      </w:r>
      <w:r w:rsidR="00065E15" w:rsidRPr="00BD58C0">
        <w:rPr>
          <w:rFonts w:ascii="Times New Roman" w:hAnsi="Times New Roman" w:cs="Times New Roman"/>
          <w:sz w:val="24"/>
          <w:szCs w:val="24"/>
        </w:rPr>
        <w:t xml:space="preserve">and operational costs </w:t>
      </w:r>
      <w:r w:rsidR="00B46D13" w:rsidRPr="00BD58C0">
        <w:rPr>
          <w:rFonts w:ascii="Times New Roman" w:hAnsi="Times New Roman" w:cs="Times New Roman"/>
          <w:sz w:val="24"/>
          <w:szCs w:val="24"/>
        </w:rPr>
        <w:t xml:space="preserve">for </w:t>
      </w:r>
      <w:r w:rsidR="00065E15" w:rsidRPr="00BD58C0">
        <w:rPr>
          <w:rFonts w:ascii="Times New Roman" w:hAnsi="Times New Roman" w:cs="Times New Roman"/>
          <w:sz w:val="24"/>
          <w:szCs w:val="24"/>
        </w:rPr>
        <w:t xml:space="preserve">both </w:t>
      </w:r>
      <w:r w:rsidR="00814042" w:rsidRPr="00BD58C0">
        <w:rPr>
          <w:rFonts w:ascii="Times New Roman" w:hAnsi="Times New Roman" w:cs="Times New Roman"/>
          <w:sz w:val="24"/>
          <w:szCs w:val="24"/>
        </w:rPr>
        <w:t>CLB</w:t>
      </w:r>
      <w:r w:rsidR="00865F3A" w:rsidRPr="00BD58C0">
        <w:rPr>
          <w:rFonts w:ascii="Times New Roman" w:hAnsi="Times New Roman" w:cs="Times New Roman"/>
          <w:sz w:val="24"/>
          <w:szCs w:val="24"/>
        </w:rPr>
        <w:t xml:space="preserve"> and digester tank for the treatment of PO</w:t>
      </w:r>
      <w:r w:rsidR="00B46D13" w:rsidRPr="00BD58C0">
        <w:rPr>
          <w:rFonts w:ascii="Times New Roman" w:hAnsi="Times New Roman" w:cs="Times New Roman"/>
          <w:sz w:val="24"/>
          <w:szCs w:val="24"/>
        </w:rPr>
        <w:t xml:space="preserve">ME </w:t>
      </w:r>
      <w:r w:rsidR="00865F3A" w:rsidRPr="00BD58C0">
        <w:rPr>
          <w:rFonts w:ascii="Times New Roman" w:hAnsi="Times New Roman" w:cs="Times New Roman"/>
          <w:sz w:val="24"/>
          <w:szCs w:val="24"/>
        </w:rPr>
        <w:t>for energy generation</w:t>
      </w:r>
      <w:r w:rsidR="00F923EC" w:rsidRPr="00BD58C0">
        <w:rPr>
          <w:rFonts w:ascii="Times New Roman" w:hAnsi="Times New Roman" w:cs="Times New Roman"/>
          <w:sz w:val="24"/>
          <w:szCs w:val="24"/>
        </w:rPr>
        <w:t xml:space="preserve">. </w:t>
      </w:r>
      <w:r w:rsidR="00E548BE" w:rsidRPr="00BD58C0">
        <w:rPr>
          <w:rFonts w:ascii="Times New Roman" w:hAnsi="Times New Roman" w:cs="Times New Roman"/>
          <w:sz w:val="24"/>
          <w:szCs w:val="24"/>
        </w:rPr>
        <w:t>This</w:t>
      </w:r>
      <w:r w:rsidR="00201EBE" w:rsidRPr="00BD58C0">
        <w:rPr>
          <w:rFonts w:ascii="Times New Roman" w:hAnsi="Times New Roman" w:cs="Times New Roman"/>
          <w:sz w:val="24"/>
          <w:szCs w:val="24"/>
        </w:rPr>
        <w:t xml:space="preserve"> </w:t>
      </w:r>
      <w:r w:rsidR="00E877B3" w:rsidRPr="00BD58C0">
        <w:rPr>
          <w:rFonts w:ascii="Times New Roman" w:hAnsi="Times New Roman" w:cs="Times New Roman"/>
          <w:sz w:val="24"/>
          <w:szCs w:val="24"/>
        </w:rPr>
        <w:t xml:space="preserve">gap is addressed by </w:t>
      </w:r>
      <w:r w:rsidR="00411BC5" w:rsidRPr="00BD58C0">
        <w:rPr>
          <w:rFonts w:ascii="Times New Roman" w:hAnsi="Times New Roman" w:cs="Times New Roman"/>
          <w:sz w:val="24"/>
          <w:szCs w:val="24"/>
        </w:rPr>
        <w:t xml:space="preserve">the </w:t>
      </w:r>
      <w:r w:rsidR="00DB5155" w:rsidRPr="00BD58C0">
        <w:rPr>
          <w:rFonts w:ascii="Times New Roman" w:hAnsi="Times New Roman" w:cs="Times New Roman"/>
          <w:sz w:val="24"/>
          <w:szCs w:val="24"/>
        </w:rPr>
        <w:t>present</w:t>
      </w:r>
      <w:r w:rsidR="00E548BE" w:rsidRPr="00BD58C0">
        <w:rPr>
          <w:rFonts w:ascii="Times New Roman" w:hAnsi="Times New Roman" w:cs="Times New Roman"/>
          <w:sz w:val="24"/>
          <w:szCs w:val="24"/>
        </w:rPr>
        <w:t xml:space="preserve"> study</w:t>
      </w:r>
      <w:r w:rsidR="00E877B3" w:rsidRPr="00BD58C0">
        <w:rPr>
          <w:rFonts w:ascii="Times New Roman" w:hAnsi="Times New Roman" w:cs="Times New Roman"/>
          <w:sz w:val="24"/>
          <w:szCs w:val="24"/>
        </w:rPr>
        <w:t xml:space="preserve">, as it provides </w:t>
      </w:r>
      <w:r w:rsidR="00F923EC" w:rsidRPr="00BD58C0">
        <w:rPr>
          <w:rFonts w:ascii="Times New Roman" w:hAnsi="Times New Roman" w:cs="Times New Roman"/>
          <w:sz w:val="24"/>
          <w:szCs w:val="24"/>
        </w:rPr>
        <w:t>detailed</w:t>
      </w:r>
      <w:r w:rsidR="00065E15" w:rsidRPr="00BD58C0">
        <w:rPr>
          <w:rFonts w:ascii="Times New Roman" w:hAnsi="Times New Roman" w:cs="Times New Roman"/>
          <w:sz w:val="24"/>
          <w:szCs w:val="24"/>
        </w:rPr>
        <w:t xml:space="preserve"> information</w:t>
      </w:r>
      <w:r w:rsidR="00F923EC" w:rsidRPr="00BD58C0">
        <w:rPr>
          <w:rFonts w:ascii="Times New Roman" w:hAnsi="Times New Roman" w:cs="Times New Roman"/>
          <w:sz w:val="24"/>
          <w:szCs w:val="24"/>
        </w:rPr>
        <w:t xml:space="preserve"> on costs for each system. Such </w:t>
      </w:r>
      <w:r w:rsidR="00B359E2" w:rsidRPr="00BD58C0">
        <w:rPr>
          <w:rFonts w:ascii="Times New Roman" w:hAnsi="Times New Roman" w:cs="Times New Roman"/>
          <w:sz w:val="24"/>
          <w:szCs w:val="24"/>
        </w:rPr>
        <w:t>details</w:t>
      </w:r>
      <w:r w:rsidR="00F923EC" w:rsidRPr="00BD58C0">
        <w:rPr>
          <w:rFonts w:ascii="Times New Roman" w:hAnsi="Times New Roman" w:cs="Times New Roman"/>
          <w:sz w:val="24"/>
          <w:szCs w:val="24"/>
        </w:rPr>
        <w:t xml:space="preserve"> are imperative </w:t>
      </w:r>
      <w:r w:rsidR="00094B5B" w:rsidRPr="00BD58C0">
        <w:rPr>
          <w:rFonts w:ascii="Times New Roman" w:hAnsi="Times New Roman" w:cs="Times New Roman"/>
          <w:sz w:val="24"/>
          <w:szCs w:val="24"/>
        </w:rPr>
        <w:t>to better reflect the on-ground situation</w:t>
      </w:r>
      <w:r w:rsidR="00F923EC" w:rsidRPr="00BD58C0">
        <w:rPr>
          <w:rFonts w:ascii="Times New Roman" w:hAnsi="Times New Roman" w:cs="Times New Roman"/>
          <w:sz w:val="24"/>
          <w:szCs w:val="24"/>
        </w:rPr>
        <w:t>, as well as facilitate</w:t>
      </w:r>
      <w:r w:rsidR="00094B5B" w:rsidRPr="00BD58C0">
        <w:rPr>
          <w:rFonts w:ascii="Times New Roman" w:hAnsi="Times New Roman" w:cs="Times New Roman"/>
          <w:sz w:val="24"/>
          <w:szCs w:val="24"/>
        </w:rPr>
        <w:t xml:space="preserve"> </w:t>
      </w:r>
      <w:r w:rsidR="00990E1F" w:rsidRPr="00BD58C0">
        <w:rPr>
          <w:rFonts w:ascii="Times New Roman" w:hAnsi="Times New Roman" w:cs="Times New Roman"/>
          <w:sz w:val="24"/>
          <w:szCs w:val="24"/>
        </w:rPr>
        <w:t>the development of a policy framework for Malaysia.</w:t>
      </w:r>
      <w:r w:rsidR="00AF612C" w:rsidRPr="00BD58C0">
        <w:rPr>
          <w:rFonts w:ascii="Times New Roman" w:hAnsi="Times New Roman" w:cs="Times New Roman"/>
          <w:sz w:val="24"/>
          <w:szCs w:val="24"/>
        </w:rPr>
        <w:t xml:space="preserve"> </w:t>
      </w:r>
      <w:r w:rsidR="00E91F4E" w:rsidRPr="00BD58C0">
        <w:rPr>
          <w:rFonts w:ascii="Times New Roman" w:hAnsi="Times New Roman" w:cs="Times New Roman"/>
          <w:sz w:val="24"/>
          <w:szCs w:val="24"/>
        </w:rPr>
        <w:t>Combining</w:t>
      </w:r>
      <w:r w:rsidR="00FA5BB1" w:rsidRPr="00BD58C0">
        <w:rPr>
          <w:rFonts w:ascii="Times New Roman" w:hAnsi="Times New Roman" w:cs="Times New Roman"/>
          <w:sz w:val="24"/>
          <w:szCs w:val="24"/>
        </w:rPr>
        <w:t xml:space="preserve"> LCC and CBA </w:t>
      </w:r>
      <w:r w:rsidR="00E91F4E" w:rsidRPr="00BD58C0">
        <w:rPr>
          <w:rFonts w:ascii="Times New Roman" w:hAnsi="Times New Roman" w:cs="Times New Roman"/>
          <w:sz w:val="24"/>
          <w:szCs w:val="24"/>
        </w:rPr>
        <w:t>in an</w:t>
      </w:r>
      <w:r w:rsidR="00FA5BB1" w:rsidRPr="00BD58C0">
        <w:rPr>
          <w:rFonts w:ascii="Times New Roman" w:hAnsi="Times New Roman" w:cs="Times New Roman"/>
          <w:sz w:val="24"/>
          <w:szCs w:val="24"/>
        </w:rPr>
        <w:t xml:space="preserve"> economic assessment enabl</w:t>
      </w:r>
      <w:r w:rsidR="00C96133" w:rsidRPr="00BD58C0">
        <w:rPr>
          <w:rFonts w:ascii="Times New Roman" w:hAnsi="Times New Roman" w:cs="Times New Roman"/>
          <w:sz w:val="24"/>
          <w:szCs w:val="24"/>
        </w:rPr>
        <w:t>e</w:t>
      </w:r>
      <w:r w:rsidR="001A3D08" w:rsidRPr="00BD58C0">
        <w:rPr>
          <w:rFonts w:ascii="Times New Roman" w:hAnsi="Times New Roman" w:cs="Times New Roman"/>
          <w:sz w:val="24"/>
          <w:szCs w:val="24"/>
        </w:rPr>
        <w:t>s</w:t>
      </w:r>
      <w:r w:rsidR="00FA5BB1" w:rsidRPr="00BD58C0">
        <w:rPr>
          <w:rFonts w:ascii="Times New Roman" w:hAnsi="Times New Roman" w:cs="Times New Roman"/>
          <w:sz w:val="24"/>
          <w:szCs w:val="24"/>
        </w:rPr>
        <w:t xml:space="preserve"> a</w:t>
      </w:r>
      <w:r w:rsidR="00D15D82" w:rsidRPr="00BD58C0">
        <w:rPr>
          <w:rFonts w:ascii="Times New Roman" w:hAnsi="Times New Roman" w:cs="Times New Roman"/>
          <w:sz w:val="24"/>
          <w:szCs w:val="24"/>
        </w:rPr>
        <w:t xml:space="preserve"> more</w:t>
      </w:r>
      <w:r w:rsidR="00FA5BB1" w:rsidRPr="00BD58C0">
        <w:rPr>
          <w:rFonts w:ascii="Times New Roman" w:hAnsi="Times New Roman" w:cs="Times New Roman"/>
          <w:sz w:val="24"/>
          <w:szCs w:val="24"/>
        </w:rPr>
        <w:t xml:space="preserve"> holistic understanding of costs and benefits</w:t>
      </w:r>
      <w:r w:rsidR="001A3D08" w:rsidRPr="00BD58C0">
        <w:rPr>
          <w:rFonts w:ascii="Times New Roman" w:hAnsi="Times New Roman" w:cs="Times New Roman"/>
          <w:sz w:val="24"/>
          <w:szCs w:val="24"/>
        </w:rPr>
        <w:t xml:space="preserve"> for each </w:t>
      </w:r>
      <w:r w:rsidR="00FA5BB1" w:rsidRPr="00BD58C0">
        <w:rPr>
          <w:rFonts w:ascii="Times New Roman" w:hAnsi="Times New Roman" w:cs="Times New Roman"/>
          <w:sz w:val="24"/>
          <w:szCs w:val="24"/>
        </w:rPr>
        <w:t>system</w:t>
      </w:r>
      <w:r w:rsidR="00271CCA" w:rsidRPr="00BD58C0">
        <w:rPr>
          <w:rFonts w:ascii="Times New Roman" w:hAnsi="Times New Roman" w:cs="Times New Roman"/>
          <w:sz w:val="24"/>
          <w:szCs w:val="24"/>
        </w:rPr>
        <w:t xml:space="preserve"> and </w:t>
      </w:r>
      <w:r w:rsidR="008739E5" w:rsidRPr="00BD58C0">
        <w:rPr>
          <w:rFonts w:ascii="Times New Roman" w:hAnsi="Times New Roman" w:cs="Times New Roman"/>
          <w:sz w:val="24"/>
          <w:szCs w:val="24"/>
        </w:rPr>
        <w:t>provides detailed breakdown of capital and operational costs for both systems.</w:t>
      </w:r>
    </w:p>
    <w:p w14:paraId="3AA0F4CE" w14:textId="22C75B4C" w:rsidR="005329B7" w:rsidRPr="00BD58C0" w:rsidRDefault="00E32718" w:rsidP="00864F9F">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Having detailed costing data for both technologies using LCCBA is</w:t>
      </w:r>
      <w:r w:rsidR="002B7C9D" w:rsidRPr="00BD58C0">
        <w:rPr>
          <w:rFonts w:ascii="Times New Roman" w:hAnsi="Times New Roman" w:cs="Times New Roman"/>
          <w:sz w:val="24"/>
          <w:szCs w:val="24"/>
        </w:rPr>
        <w:t xml:space="preserve"> </w:t>
      </w:r>
      <w:r w:rsidRPr="00BD58C0">
        <w:rPr>
          <w:rFonts w:ascii="Times New Roman" w:hAnsi="Times New Roman" w:cs="Times New Roman"/>
          <w:sz w:val="24"/>
          <w:szCs w:val="24"/>
        </w:rPr>
        <w:t>crucial for POM managers</w:t>
      </w:r>
      <w:r w:rsidR="00675AD3" w:rsidRPr="00BD58C0">
        <w:rPr>
          <w:rFonts w:ascii="Times New Roman" w:hAnsi="Times New Roman" w:cs="Times New Roman"/>
          <w:sz w:val="24"/>
          <w:szCs w:val="24"/>
        </w:rPr>
        <w:t>. However, such</w:t>
      </w:r>
      <w:r w:rsidRPr="00BD58C0">
        <w:rPr>
          <w:rFonts w:ascii="Times New Roman" w:hAnsi="Times New Roman" w:cs="Times New Roman"/>
          <w:sz w:val="24"/>
          <w:szCs w:val="24"/>
        </w:rPr>
        <w:t xml:space="preserve"> information alone is not enough. </w:t>
      </w:r>
      <w:r w:rsidR="00EF3B7B" w:rsidRPr="00BD58C0">
        <w:rPr>
          <w:rFonts w:ascii="Times New Roman" w:hAnsi="Times New Roman" w:cs="Times New Roman"/>
          <w:sz w:val="24"/>
          <w:szCs w:val="24"/>
        </w:rPr>
        <w:t xml:space="preserve">For POMs to confidently invest in </w:t>
      </w:r>
      <w:r w:rsidR="00675AD3" w:rsidRPr="00BD58C0">
        <w:rPr>
          <w:rFonts w:ascii="Times New Roman" w:hAnsi="Times New Roman" w:cs="Times New Roman"/>
          <w:sz w:val="24"/>
          <w:szCs w:val="24"/>
        </w:rPr>
        <w:t>biogas</w:t>
      </w:r>
      <w:r w:rsidR="00EF3B7B" w:rsidRPr="00BD58C0">
        <w:rPr>
          <w:rFonts w:ascii="Times New Roman" w:hAnsi="Times New Roman" w:cs="Times New Roman"/>
          <w:sz w:val="24"/>
          <w:szCs w:val="24"/>
        </w:rPr>
        <w:t xml:space="preserve"> technologies, </w:t>
      </w:r>
      <w:r w:rsidR="00675AD3" w:rsidRPr="00BD58C0">
        <w:rPr>
          <w:rFonts w:ascii="Times New Roman" w:hAnsi="Times New Roman" w:cs="Times New Roman"/>
          <w:sz w:val="24"/>
          <w:szCs w:val="24"/>
        </w:rPr>
        <w:t>POMs</w:t>
      </w:r>
      <w:r w:rsidR="00EF3B7B" w:rsidRPr="00BD58C0">
        <w:rPr>
          <w:rFonts w:ascii="Times New Roman" w:hAnsi="Times New Roman" w:cs="Times New Roman"/>
          <w:sz w:val="24"/>
          <w:szCs w:val="24"/>
        </w:rPr>
        <w:t xml:space="preserve"> also need </w:t>
      </w:r>
      <w:r w:rsidR="00675AD3" w:rsidRPr="00BD58C0">
        <w:rPr>
          <w:rFonts w:ascii="Times New Roman" w:hAnsi="Times New Roman" w:cs="Times New Roman"/>
          <w:sz w:val="24"/>
          <w:szCs w:val="24"/>
        </w:rPr>
        <w:t xml:space="preserve">to be supported by </w:t>
      </w:r>
      <w:r w:rsidR="00EF3B7B" w:rsidRPr="00BD58C0">
        <w:rPr>
          <w:rFonts w:ascii="Times New Roman" w:hAnsi="Times New Roman" w:cs="Times New Roman"/>
          <w:sz w:val="24"/>
          <w:szCs w:val="24"/>
        </w:rPr>
        <w:t xml:space="preserve">a favourable policy environment. </w:t>
      </w:r>
      <w:r w:rsidR="00675AD3" w:rsidRPr="00BD58C0">
        <w:rPr>
          <w:rFonts w:ascii="Times New Roman" w:hAnsi="Times New Roman" w:cs="Times New Roman"/>
          <w:sz w:val="24"/>
          <w:szCs w:val="24"/>
        </w:rPr>
        <w:t xml:space="preserve">Coupling, information on costing data with an understanding of what POM managers perceive a favourable policy environment </w:t>
      </w:r>
      <w:r w:rsidR="00436E5E" w:rsidRPr="00BD58C0">
        <w:rPr>
          <w:rFonts w:ascii="Times New Roman" w:hAnsi="Times New Roman" w:cs="Times New Roman"/>
          <w:sz w:val="24"/>
          <w:szCs w:val="24"/>
        </w:rPr>
        <w:t>can</w:t>
      </w:r>
      <w:r w:rsidR="00EF3B7B" w:rsidRPr="00BD58C0">
        <w:rPr>
          <w:rFonts w:ascii="Times New Roman" w:hAnsi="Times New Roman" w:cs="Times New Roman"/>
          <w:sz w:val="24"/>
          <w:szCs w:val="24"/>
        </w:rPr>
        <w:t xml:space="preserve"> facilitate investments </w:t>
      </w:r>
      <w:r w:rsidR="0083733D" w:rsidRPr="00BD58C0">
        <w:rPr>
          <w:rFonts w:ascii="Times New Roman" w:hAnsi="Times New Roman" w:cs="Times New Roman"/>
          <w:sz w:val="24"/>
          <w:szCs w:val="24"/>
        </w:rPr>
        <w:t xml:space="preserve">in </w:t>
      </w:r>
      <w:r w:rsidR="00675AD3" w:rsidRPr="00BD58C0">
        <w:rPr>
          <w:rFonts w:ascii="Times New Roman" w:hAnsi="Times New Roman" w:cs="Times New Roman"/>
          <w:sz w:val="24"/>
          <w:szCs w:val="24"/>
        </w:rPr>
        <w:t xml:space="preserve">the generation of biogas from POME. </w:t>
      </w:r>
      <w:r w:rsidR="00D01630" w:rsidRPr="00BD58C0">
        <w:rPr>
          <w:rFonts w:ascii="Times New Roman" w:hAnsi="Times New Roman" w:cs="Times New Roman"/>
          <w:sz w:val="24"/>
          <w:szCs w:val="24"/>
        </w:rPr>
        <w:t>To</w:t>
      </w:r>
      <w:r w:rsidR="001502C2" w:rsidRPr="00BD58C0">
        <w:rPr>
          <w:rFonts w:ascii="Times New Roman" w:hAnsi="Times New Roman" w:cs="Times New Roman"/>
          <w:sz w:val="24"/>
          <w:szCs w:val="24"/>
        </w:rPr>
        <w:t xml:space="preserve"> better</w:t>
      </w:r>
      <w:r w:rsidR="00D01630" w:rsidRPr="00BD58C0">
        <w:rPr>
          <w:rFonts w:ascii="Times New Roman" w:hAnsi="Times New Roman" w:cs="Times New Roman"/>
          <w:sz w:val="24"/>
          <w:szCs w:val="24"/>
        </w:rPr>
        <w:t xml:space="preserve"> understand this, </w:t>
      </w:r>
      <w:r w:rsidR="00ED21C9" w:rsidRPr="00BD58C0">
        <w:rPr>
          <w:rFonts w:ascii="Times New Roman" w:hAnsi="Times New Roman" w:cs="Times New Roman"/>
          <w:sz w:val="24"/>
          <w:szCs w:val="24"/>
        </w:rPr>
        <w:t xml:space="preserve">the </w:t>
      </w:r>
      <w:r w:rsidR="00D01630" w:rsidRPr="00BD58C0">
        <w:rPr>
          <w:rFonts w:ascii="Times New Roman" w:hAnsi="Times New Roman" w:cs="Times New Roman"/>
          <w:sz w:val="24"/>
          <w:szCs w:val="24"/>
        </w:rPr>
        <w:t xml:space="preserve">AHP method </w:t>
      </w:r>
      <w:r w:rsidR="00217467" w:rsidRPr="00BD58C0">
        <w:rPr>
          <w:rFonts w:ascii="Times New Roman" w:hAnsi="Times New Roman" w:cs="Times New Roman"/>
          <w:sz w:val="24"/>
          <w:szCs w:val="24"/>
        </w:rPr>
        <w:t>was employed. AHP is a system of ranking different options against each other based on importance</w:t>
      </w:r>
      <w:r w:rsidR="00DA760E" w:rsidRPr="00BD58C0">
        <w:rPr>
          <w:rFonts w:ascii="Times New Roman" w:hAnsi="Times New Roman" w:cs="Times New Roman"/>
          <w:sz w:val="24"/>
          <w:szCs w:val="24"/>
        </w:rPr>
        <w:t xml:space="preserve">. </w:t>
      </w:r>
      <w:r w:rsidR="00217467" w:rsidRPr="00BD58C0">
        <w:rPr>
          <w:rFonts w:ascii="Times New Roman" w:hAnsi="Times New Roman" w:cs="Times New Roman"/>
          <w:sz w:val="24"/>
          <w:szCs w:val="24"/>
        </w:rPr>
        <w:t>In</w:t>
      </w:r>
      <w:r w:rsidR="005621F3" w:rsidRPr="00BD58C0">
        <w:rPr>
          <w:rFonts w:ascii="Times New Roman" w:hAnsi="Times New Roman" w:cs="Times New Roman"/>
          <w:sz w:val="24"/>
          <w:szCs w:val="24"/>
        </w:rPr>
        <w:t xml:space="preserve"> th</w:t>
      </w:r>
      <w:r w:rsidR="00411BC5" w:rsidRPr="00BD58C0">
        <w:rPr>
          <w:rFonts w:ascii="Times New Roman" w:hAnsi="Times New Roman" w:cs="Times New Roman"/>
          <w:sz w:val="24"/>
          <w:szCs w:val="24"/>
        </w:rPr>
        <w:t>e</w:t>
      </w:r>
      <w:r w:rsidR="00201EBE" w:rsidRPr="00BD58C0">
        <w:rPr>
          <w:rFonts w:ascii="Times New Roman" w:hAnsi="Times New Roman" w:cs="Times New Roman"/>
          <w:sz w:val="24"/>
          <w:szCs w:val="24"/>
        </w:rPr>
        <w:t xml:space="preserve"> present</w:t>
      </w:r>
      <w:r w:rsidR="005621F3" w:rsidRPr="00BD58C0">
        <w:rPr>
          <w:rFonts w:ascii="Times New Roman" w:hAnsi="Times New Roman" w:cs="Times New Roman"/>
          <w:sz w:val="24"/>
          <w:szCs w:val="24"/>
        </w:rPr>
        <w:t xml:space="preserve"> study, POMs with a biogas plant in the state of Johor, Malaysia were identified, and</w:t>
      </w:r>
      <w:r w:rsidR="00494467" w:rsidRPr="00BD58C0">
        <w:rPr>
          <w:rFonts w:ascii="Times New Roman" w:hAnsi="Times New Roman" w:cs="Times New Roman"/>
          <w:sz w:val="24"/>
          <w:szCs w:val="24"/>
        </w:rPr>
        <w:t xml:space="preserve"> </w:t>
      </w:r>
      <w:r w:rsidR="005621F3" w:rsidRPr="00BD58C0">
        <w:rPr>
          <w:rFonts w:ascii="Times New Roman" w:hAnsi="Times New Roman" w:cs="Times New Roman"/>
          <w:sz w:val="24"/>
          <w:szCs w:val="24"/>
        </w:rPr>
        <w:t xml:space="preserve">managers, </w:t>
      </w:r>
      <w:r w:rsidR="00BF05D8" w:rsidRPr="00BD58C0">
        <w:rPr>
          <w:rFonts w:ascii="Times New Roman" w:hAnsi="Times New Roman" w:cs="Times New Roman"/>
          <w:sz w:val="24"/>
          <w:szCs w:val="24"/>
        </w:rPr>
        <w:t>engineers,</w:t>
      </w:r>
      <w:r w:rsidR="005621F3" w:rsidRPr="00BD58C0">
        <w:rPr>
          <w:rFonts w:ascii="Times New Roman" w:hAnsi="Times New Roman" w:cs="Times New Roman"/>
          <w:sz w:val="24"/>
          <w:szCs w:val="24"/>
        </w:rPr>
        <w:t xml:space="preserve"> and executives </w:t>
      </w:r>
      <w:r w:rsidR="00ED21C9" w:rsidRPr="00BD58C0">
        <w:rPr>
          <w:rFonts w:ascii="Times New Roman" w:hAnsi="Times New Roman" w:cs="Times New Roman"/>
          <w:sz w:val="24"/>
          <w:szCs w:val="24"/>
        </w:rPr>
        <w:t xml:space="preserve">were interviewed </w:t>
      </w:r>
      <w:r w:rsidR="00A17C41" w:rsidRPr="00BD58C0">
        <w:rPr>
          <w:rFonts w:ascii="Times New Roman" w:hAnsi="Times New Roman" w:cs="Times New Roman"/>
          <w:sz w:val="24"/>
          <w:szCs w:val="24"/>
        </w:rPr>
        <w:t>to</w:t>
      </w:r>
      <w:r w:rsidR="005621F3" w:rsidRPr="00BD58C0">
        <w:rPr>
          <w:rFonts w:ascii="Times New Roman" w:hAnsi="Times New Roman" w:cs="Times New Roman"/>
          <w:sz w:val="24"/>
          <w:szCs w:val="24"/>
        </w:rPr>
        <w:t xml:space="preserve"> examine the</w:t>
      </w:r>
      <w:r w:rsidR="00050AEA">
        <w:rPr>
          <w:rFonts w:ascii="Times New Roman" w:hAnsi="Times New Roman" w:cs="Times New Roman"/>
          <w:sz w:val="24"/>
          <w:szCs w:val="24"/>
        </w:rPr>
        <w:t xml:space="preserve"> interviewees’</w:t>
      </w:r>
      <w:r w:rsidR="005621F3" w:rsidRPr="00BD58C0">
        <w:rPr>
          <w:rFonts w:ascii="Times New Roman" w:hAnsi="Times New Roman" w:cs="Times New Roman"/>
          <w:sz w:val="24"/>
          <w:szCs w:val="24"/>
        </w:rPr>
        <w:t xml:space="preserve"> views on the specific policies and measures the Malaysian government should adopt in order to facilitate investment in biogas generation from POME</w:t>
      </w:r>
      <w:r w:rsidR="00D01630" w:rsidRPr="00BD58C0">
        <w:rPr>
          <w:rFonts w:ascii="Times New Roman" w:hAnsi="Times New Roman" w:cs="Times New Roman"/>
          <w:sz w:val="24"/>
          <w:szCs w:val="24"/>
        </w:rPr>
        <w:t xml:space="preserve">. </w:t>
      </w:r>
    </w:p>
    <w:p w14:paraId="747A3650" w14:textId="0891431C" w:rsidR="001549BE" w:rsidRPr="00BD58C0" w:rsidRDefault="001549BE" w:rsidP="00864F9F">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The main overarching environmental legislation currently in place in Malaysia is the Environmental Quality Act (EQA) 1974, which was introduced by the Department of Environment </w:t>
      </w:r>
      <w:r w:rsidRPr="00BD58C0">
        <w:rPr>
          <w:rFonts w:ascii="Times New Roman" w:hAnsi="Times New Roman" w:cs="Times New Roman"/>
          <w:sz w:val="24"/>
          <w:szCs w:val="24"/>
        </w:rPr>
        <w:lastRenderedPageBreak/>
        <w:t xml:space="preserve">(DOE). The </w:t>
      </w:r>
      <w:r w:rsidR="005329B7" w:rsidRPr="00BD58C0">
        <w:rPr>
          <w:rFonts w:ascii="Times New Roman" w:hAnsi="Times New Roman" w:cs="Times New Roman"/>
          <w:sz w:val="24"/>
          <w:szCs w:val="24"/>
        </w:rPr>
        <w:t xml:space="preserve">primary </w:t>
      </w:r>
      <w:r w:rsidRPr="00BD58C0">
        <w:rPr>
          <w:rFonts w:ascii="Times New Roman" w:hAnsi="Times New Roman" w:cs="Times New Roman"/>
          <w:sz w:val="24"/>
          <w:szCs w:val="24"/>
        </w:rPr>
        <w:t>purpose of the EQA is the prevention, abatement, and control of pollution</w:t>
      </w:r>
      <w:r w:rsidR="005329B7" w:rsidRPr="00BD58C0">
        <w:rPr>
          <w:rFonts w:ascii="Times New Roman" w:hAnsi="Times New Roman" w:cs="Times New Roman"/>
          <w:sz w:val="24"/>
          <w:szCs w:val="24"/>
        </w:rPr>
        <w:t>,</w:t>
      </w:r>
      <w:r w:rsidRPr="00BD58C0">
        <w:rPr>
          <w:rFonts w:ascii="Times New Roman" w:hAnsi="Times New Roman" w:cs="Times New Roman"/>
          <w:sz w:val="24"/>
          <w:szCs w:val="24"/>
        </w:rPr>
        <w:t xml:space="preserve"> and the enhancement of the environment in Malaysia. </w:t>
      </w:r>
      <w:r w:rsidR="00FC26AB" w:rsidRPr="00BD58C0">
        <w:rPr>
          <w:rFonts w:ascii="Times New Roman" w:hAnsi="Times New Roman" w:cs="Times New Roman"/>
          <w:sz w:val="24"/>
          <w:szCs w:val="24"/>
        </w:rPr>
        <w:t>Regarding</w:t>
      </w:r>
      <w:r w:rsidRPr="00BD58C0">
        <w:rPr>
          <w:rFonts w:ascii="Times New Roman" w:hAnsi="Times New Roman" w:cs="Times New Roman"/>
          <w:sz w:val="24"/>
          <w:szCs w:val="24"/>
        </w:rPr>
        <w:t xml:space="preserve"> the allowable level of discharge of biological oxygen demand from crude palm oil specifically</w:t>
      </w:r>
      <w:r w:rsidR="007C7870" w:rsidRPr="00BD58C0">
        <w:rPr>
          <w:rFonts w:ascii="Times New Roman" w:hAnsi="Times New Roman" w:cs="Times New Roman"/>
          <w:sz w:val="24"/>
          <w:szCs w:val="24"/>
        </w:rPr>
        <w:t>, this</w:t>
      </w:r>
      <w:r w:rsidR="00F856C8"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has been set at 100 mg/L </w:t>
      </w:r>
      <w:r w:rsidR="00891090" w:rsidRPr="00BD58C0">
        <w:rPr>
          <w:rFonts w:ascii="Times New Roman" w:hAnsi="Times New Roman" w:cs="Times New Roman"/>
          <w:sz w:val="24"/>
          <w:szCs w:val="24"/>
        </w:rPr>
        <w:t>[</w:t>
      </w:r>
      <w:r w:rsidR="00210089" w:rsidRPr="00BD58C0">
        <w:rPr>
          <w:rFonts w:ascii="Times New Roman" w:hAnsi="Times New Roman" w:cs="Times New Roman"/>
          <w:sz w:val="24"/>
          <w:szCs w:val="24"/>
        </w:rPr>
        <w:t>2</w:t>
      </w:r>
      <w:r w:rsidR="00284D64" w:rsidRPr="00BD58C0">
        <w:rPr>
          <w:rFonts w:ascii="Times New Roman" w:hAnsi="Times New Roman" w:cs="Times New Roman"/>
          <w:sz w:val="24"/>
          <w:szCs w:val="24"/>
        </w:rPr>
        <w:t>4</w:t>
      </w:r>
      <w:r w:rsidR="00891090" w:rsidRPr="00BD58C0">
        <w:rPr>
          <w:rFonts w:ascii="Times New Roman" w:hAnsi="Times New Roman" w:cs="Times New Roman"/>
          <w:sz w:val="24"/>
          <w:szCs w:val="24"/>
        </w:rPr>
        <w:t>]</w:t>
      </w:r>
      <w:r w:rsidRPr="00BD58C0">
        <w:rPr>
          <w:rFonts w:ascii="Times New Roman" w:hAnsi="Times New Roman" w:cs="Times New Roman"/>
          <w:sz w:val="24"/>
          <w:szCs w:val="24"/>
        </w:rPr>
        <w:t xml:space="preserve">. Also, effective from 1 January 2014, the Malaysian Palm Oil Board (MPOB) made it compulsory for all existing and upcoming POMs involved in the processing of oil palm to install methane-capturing facilities or emission avoidance measures </w:t>
      </w:r>
      <w:r w:rsidR="00470982" w:rsidRPr="00BD58C0">
        <w:rPr>
          <w:rFonts w:ascii="Times New Roman" w:hAnsi="Times New Roman" w:cs="Times New Roman"/>
          <w:sz w:val="24"/>
          <w:szCs w:val="24"/>
        </w:rPr>
        <w:t>[2</w:t>
      </w:r>
      <w:r w:rsidR="00284D64" w:rsidRPr="00BD58C0">
        <w:rPr>
          <w:rFonts w:ascii="Times New Roman" w:hAnsi="Times New Roman" w:cs="Times New Roman"/>
          <w:sz w:val="24"/>
          <w:szCs w:val="24"/>
        </w:rPr>
        <w:t>5</w:t>
      </w:r>
      <w:r w:rsidR="00470982" w:rsidRPr="00BD58C0">
        <w:rPr>
          <w:rFonts w:ascii="Times New Roman" w:hAnsi="Times New Roman" w:cs="Times New Roman"/>
          <w:sz w:val="24"/>
          <w:szCs w:val="24"/>
        </w:rPr>
        <w:t>]</w:t>
      </w:r>
      <w:r w:rsidRPr="00BD58C0">
        <w:rPr>
          <w:rFonts w:ascii="Times New Roman" w:hAnsi="Times New Roman" w:cs="Times New Roman"/>
          <w:sz w:val="24"/>
          <w:szCs w:val="24"/>
        </w:rPr>
        <w:t xml:space="preserve">. The only guidelines that currently exist on setting up biogas facilities in POMs focus on </w:t>
      </w:r>
      <w:r w:rsidR="007C7870" w:rsidRPr="00BD58C0">
        <w:rPr>
          <w:rFonts w:ascii="Times New Roman" w:hAnsi="Times New Roman" w:cs="Times New Roman"/>
          <w:sz w:val="24"/>
          <w:szCs w:val="24"/>
        </w:rPr>
        <w:t xml:space="preserve">the </w:t>
      </w:r>
      <w:r w:rsidRPr="00BD58C0">
        <w:rPr>
          <w:rFonts w:ascii="Times New Roman" w:hAnsi="Times New Roman" w:cs="Times New Roman"/>
          <w:sz w:val="24"/>
          <w:szCs w:val="24"/>
        </w:rPr>
        <w:t xml:space="preserve">installation of anaerobic digesters and safety measures for the treatment of POME for energy generation. As for existing pond systems, there are no regulations that cover the pond wall. </w:t>
      </w:r>
    </w:p>
    <w:p w14:paraId="53D411F5" w14:textId="77777777" w:rsidR="008D02BF" w:rsidRPr="00BD58C0" w:rsidRDefault="001549BE" w:rsidP="0086014A">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To promote environmental conservation and resource management, the Malaysian Investment Development Authority (MIDA) provides an investment tax allowance (ITA) for the purchase of green technology equipment/assets. </w:t>
      </w:r>
      <w:bookmarkStart w:id="3" w:name="_Hlk30924677"/>
      <w:r w:rsidRPr="00BD58C0">
        <w:rPr>
          <w:rFonts w:ascii="Times New Roman" w:hAnsi="Times New Roman" w:cs="Times New Roman"/>
          <w:sz w:val="24"/>
          <w:szCs w:val="24"/>
        </w:rPr>
        <w:t>The ITA is an allowance of 100% on qualifying capital expenditure (plant, equipment, factory, machinery used for approved projects), which can be offset against 70% of statutory income up to 2020. An ITA has to be fully utili</w:t>
      </w:r>
      <w:r w:rsidR="00AC6A88" w:rsidRPr="00BD58C0">
        <w:rPr>
          <w:rFonts w:ascii="Times New Roman" w:hAnsi="Times New Roman" w:cs="Times New Roman"/>
          <w:sz w:val="24"/>
          <w:szCs w:val="24"/>
        </w:rPr>
        <w:t>s</w:t>
      </w:r>
      <w:r w:rsidRPr="00BD58C0">
        <w:rPr>
          <w:rFonts w:ascii="Times New Roman" w:hAnsi="Times New Roman" w:cs="Times New Roman"/>
          <w:sz w:val="24"/>
          <w:szCs w:val="24"/>
        </w:rPr>
        <w:t>ed by carrying forward any unutili</w:t>
      </w:r>
      <w:r w:rsidR="00AC6A88" w:rsidRPr="00BD58C0">
        <w:rPr>
          <w:rFonts w:ascii="Times New Roman" w:hAnsi="Times New Roman" w:cs="Times New Roman"/>
          <w:sz w:val="24"/>
          <w:szCs w:val="24"/>
        </w:rPr>
        <w:t>s</w:t>
      </w:r>
      <w:r w:rsidRPr="00BD58C0">
        <w:rPr>
          <w:rFonts w:ascii="Times New Roman" w:hAnsi="Times New Roman" w:cs="Times New Roman"/>
          <w:sz w:val="24"/>
          <w:szCs w:val="24"/>
        </w:rPr>
        <w:t xml:space="preserve">ed allowance into the following year </w:t>
      </w:r>
      <w:r w:rsidR="005644AD" w:rsidRPr="00BD58C0">
        <w:rPr>
          <w:rFonts w:ascii="Times New Roman" w:hAnsi="Times New Roman" w:cs="Times New Roman"/>
          <w:sz w:val="24"/>
          <w:szCs w:val="24"/>
        </w:rPr>
        <w:t>[2</w:t>
      </w:r>
      <w:r w:rsidR="00284D64" w:rsidRPr="00BD58C0">
        <w:rPr>
          <w:rFonts w:ascii="Times New Roman" w:hAnsi="Times New Roman" w:cs="Times New Roman"/>
          <w:sz w:val="24"/>
          <w:szCs w:val="24"/>
        </w:rPr>
        <w:t>6</w:t>
      </w:r>
      <w:r w:rsidR="005644AD" w:rsidRPr="00BD58C0">
        <w:rPr>
          <w:rFonts w:ascii="Times New Roman" w:hAnsi="Times New Roman" w:cs="Times New Roman"/>
          <w:sz w:val="24"/>
          <w:szCs w:val="24"/>
        </w:rPr>
        <w:t>]</w:t>
      </w:r>
      <w:r w:rsidRPr="00BD58C0">
        <w:rPr>
          <w:rFonts w:ascii="Times New Roman" w:hAnsi="Times New Roman" w:cs="Times New Roman"/>
          <w:sz w:val="24"/>
          <w:szCs w:val="24"/>
        </w:rPr>
        <w:t>.</w:t>
      </w:r>
      <w:bookmarkEnd w:id="3"/>
      <w:r w:rsidRPr="00BD58C0">
        <w:rPr>
          <w:rFonts w:ascii="Times New Roman" w:hAnsi="Times New Roman" w:cs="Times New Roman"/>
          <w:sz w:val="24"/>
          <w:szCs w:val="24"/>
        </w:rPr>
        <w:t xml:space="preserve"> However, the major drawback of the ITA is the complicated application procedure, which involves gaining approval from both the MIDA and </w:t>
      </w:r>
      <w:proofErr w:type="spellStart"/>
      <w:r w:rsidRPr="00BD58C0">
        <w:rPr>
          <w:rFonts w:ascii="Times New Roman" w:hAnsi="Times New Roman" w:cs="Times New Roman"/>
          <w:sz w:val="24"/>
          <w:szCs w:val="24"/>
        </w:rPr>
        <w:t>GreenTech</w:t>
      </w:r>
      <w:proofErr w:type="spellEnd"/>
      <w:r w:rsidRPr="00BD58C0">
        <w:rPr>
          <w:rFonts w:ascii="Times New Roman" w:hAnsi="Times New Roman" w:cs="Times New Roman"/>
          <w:sz w:val="24"/>
          <w:szCs w:val="24"/>
        </w:rPr>
        <w:t xml:space="preserve"> before an ITA can be awarded. Such drawbacks mean that relevant groups fail to make use of the ITA as an initiative to encourage the implementation of green technology in Malaysia. </w:t>
      </w:r>
    </w:p>
    <w:p w14:paraId="0F82975F" w14:textId="273DC48B" w:rsidR="001549BE" w:rsidRPr="00BD58C0" w:rsidRDefault="001549BE" w:rsidP="0086014A">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Another method </w:t>
      </w:r>
      <w:r w:rsidR="000D585A" w:rsidRPr="00BD58C0">
        <w:rPr>
          <w:rFonts w:ascii="Times New Roman" w:hAnsi="Times New Roman" w:cs="Times New Roman"/>
          <w:sz w:val="24"/>
          <w:szCs w:val="24"/>
        </w:rPr>
        <w:t xml:space="preserve">for </w:t>
      </w:r>
      <w:r w:rsidRPr="00BD58C0">
        <w:rPr>
          <w:rFonts w:ascii="Times New Roman" w:hAnsi="Times New Roman" w:cs="Times New Roman"/>
          <w:sz w:val="24"/>
          <w:szCs w:val="24"/>
        </w:rPr>
        <w:t xml:space="preserve">promoting the use of green technology and </w:t>
      </w:r>
      <w:r w:rsidR="00990E1F" w:rsidRPr="00BD58C0">
        <w:rPr>
          <w:rFonts w:ascii="Times New Roman" w:hAnsi="Times New Roman" w:cs="Times New Roman"/>
          <w:sz w:val="24"/>
          <w:szCs w:val="24"/>
        </w:rPr>
        <w:t xml:space="preserve">renewable energy </w:t>
      </w:r>
      <w:r w:rsidRPr="00BD58C0">
        <w:rPr>
          <w:rFonts w:ascii="Times New Roman" w:hAnsi="Times New Roman" w:cs="Times New Roman"/>
          <w:sz w:val="24"/>
          <w:szCs w:val="24"/>
        </w:rPr>
        <w:t>in Malaysia is the feed-in tariff (</w:t>
      </w:r>
      <w:proofErr w:type="spellStart"/>
      <w:r w:rsidRPr="00BD58C0">
        <w:rPr>
          <w:rFonts w:ascii="Times New Roman" w:hAnsi="Times New Roman" w:cs="Times New Roman"/>
          <w:sz w:val="24"/>
          <w:szCs w:val="24"/>
        </w:rPr>
        <w:t>FiT</w:t>
      </w:r>
      <w:proofErr w:type="spellEnd"/>
      <w:r w:rsidRPr="00BD58C0">
        <w:rPr>
          <w:rFonts w:ascii="Times New Roman" w:hAnsi="Times New Roman" w:cs="Times New Roman"/>
          <w:sz w:val="24"/>
          <w:szCs w:val="24"/>
        </w:rPr>
        <w:t xml:space="preserve">). This mechanism obliges energy utilities to buy </w:t>
      </w:r>
      <w:r w:rsidR="00990E1F" w:rsidRPr="00BD58C0">
        <w:rPr>
          <w:rFonts w:ascii="Times New Roman" w:hAnsi="Times New Roman" w:cs="Times New Roman"/>
          <w:sz w:val="24"/>
          <w:szCs w:val="24"/>
        </w:rPr>
        <w:t>renewable energy</w:t>
      </w:r>
      <w:r w:rsidRPr="00BD58C0">
        <w:rPr>
          <w:rFonts w:ascii="Times New Roman" w:hAnsi="Times New Roman" w:cs="Times New Roman"/>
          <w:sz w:val="24"/>
          <w:szCs w:val="24"/>
        </w:rPr>
        <w:t xml:space="preserve"> from producers at a mandated price. According to the </w:t>
      </w:r>
      <w:r w:rsidR="00990E1F" w:rsidRPr="00BD58C0">
        <w:rPr>
          <w:rFonts w:ascii="Times New Roman" w:hAnsi="Times New Roman" w:cs="Times New Roman"/>
          <w:sz w:val="24"/>
          <w:szCs w:val="24"/>
        </w:rPr>
        <w:t>Renewable Energy</w:t>
      </w:r>
      <w:r w:rsidRPr="00BD58C0">
        <w:rPr>
          <w:rFonts w:ascii="Times New Roman" w:hAnsi="Times New Roman" w:cs="Times New Roman"/>
          <w:sz w:val="24"/>
          <w:szCs w:val="24"/>
        </w:rPr>
        <w:t xml:space="preserve"> Act </w:t>
      </w:r>
      <w:r w:rsidR="0016782E" w:rsidRPr="00BD58C0">
        <w:rPr>
          <w:rFonts w:ascii="Times New Roman" w:hAnsi="Times New Roman" w:cs="Times New Roman"/>
          <w:sz w:val="24"/>
          <w:szCs w:val="24"/>
        </w:rPr>
        <w:t xml:space="preserve">of </w:t>
      </w:r>
      <w:r w:rsidRPr="00BD58C0">
        <w:rPr>
          <w:rFonts w:ascii="Times New Roman" w:hAnsi="Times New Roman" w:cs="Times New Roman"/>
          <w:sz w:val="24"/>
          <w:szCs w:val="24"/>
        </w:rPr>
        <w:t>2011, the tariffs for particular technologies differ according to the capacity (&lt; 4 MW, 4-10 MW, 10-30 MW) of the electricity generating facilities. An extra bonus is given to facilities if locally manufactured or assembled technology</w:t>
      </w:r>
      <w:r w:rsidR="006132CE" w:rsidRPr="00BD58C0">
        <w:rPr>
          <w:rFonts w:ascii="Times New Roman" w:hAnsi="Times New Roman" w:cs="Times New Roman"/>
          <w:sz w:val="24"/>
          <w:szCs w:val="24"/>
        </w:rPr>
        <w:t xml:space="preserve"> is used</w:t>
      </w:r>
      <w:r w:rsidRPr="00BD58C0">
        <w:rPr>
          <w:rFonts w:ascii="Times New Roman" w:hAnsi="Times New Roman" w:cs="Times New Roman"/>
          <w:sz w:val="24"/>
          <w:szCs w:val="24"/>
        </w:rPr>
        <w:t>, and if the</w:t>
      </w:r>
      <w:r w:rsidR="006132CE" w:rsidRPr="00BD58C0">
        <w:rPr>
          <w:rFonts w:ascii="Times New Roman" w:hAnsi="Times New Roman" w:cs="Times New Roman"/>
          <w:sz w:val="24"/>
          <w:szCs w:val="24"/>
        </w:rPr>
        <w:t xml:space="preserve"> facilities </w:t>
      </w:r>
      <w:r w:rsidRPr="00BD58C0">
        <w:rPr>
          <w:rFonts w:ascii="Times New Roman" w:hAnsi="Times New Roman" w:cs="Times New Roman"/>
          <w:sz w:val="24"/>
          <w:szCs w:val="24"/>
        </w:rPr>
        <w:t xml:space="preserve">achieve high efficiency in electricity generation </w:t>
      </w:r>
      <w:r w:rsidR="004464DE" w:rsidRPr="00BD58C0">
        <w:rPr>
          <w:rFonts w:ascii="Times New Roman" w:hAnsi="Times New Roman" w:cs="Times New Roman"/>
          <w:sz w:val="24"/>
          <w:szCs w:val="24"/>
        </w:rPr>
        <w:t>[2</w:t>
      </w:r>
      <w:r w:rsidR="00284D64" w:rsidRPr="00BD58C0">
        <w:rPr>
          <w:rFonts w:ascii="Times New Roman" w:hAnsi="Times New Roman" w:cs="Times New Roman"/>
          <w:sz w:val="24"/>
          <w:szCs w:val="24"/>
        </w:rPr>
        <w:t>7</w:t>
      </w:r>
      <w:r w:rsidR="004464DE"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0D585A" w:rsidRPr="00BD58C0">
        <w:rPr>
          <w:rFonts w:ascii="Times New Roman" w:hAnsi="Times New Roman" w:cs="Times New Roman"/>
          <w:sz w:val="24"/>
          <w:szCs w:val="24"/>
        </w:rPr>
        <w:t xml:space="preserve">Regarding the </w:t>
      </w:r>
      <w:r w:rsidR="00DD0794" w:rsidRPr="00BD58C0">
        <w:rPr>
          <w:rFonts w:ascii="Times New Roman" w:hAnsi="Times New Roman" w:cs="Times New Roman"/>
          <w:sz w:val="24"/>
          <w:szCs w:val="24"/>
        </w:rPr>
        <w:t xml:space="preserve">efficacy of </w:t>
      </w:r>
      <w:r w:rsidR="000D585A" w:rsidRPr="00BD58C0">
        <w:rPr>
          <w:rFonts w:ascii="Times New Roman" w:hAnsi="Times New Roman" w:cs="Times New Roman"/>
          <w:sz w:val="24"/>
          <w:szCs w:val="24"/>
        </w:rPr>
        <w:t xml:space="preserve">the </w:t>
      </w:r>
      <w:r w:rsidR="00990E1F" w:rsidRPr="00BD58C0">
        <w:rPr>
          <w:rFonts w:ascii="Times New Roman" w:hAnsi="Times New Roman" w:cs="Times New Roman"/>
          <w:sz w:val="24"/>
          <w:szCs w:val="24"/>
        </w:rPr>
        <w:t>Renewable Energy</w:t>
      </w:r>
      <w:r w:rsidR="00DD0794" w:rsidRPr="00BD58C0">
        <w:rPr>
          <w:rFonts w:ascii="Times New Roman" w:hAnsi="Times New Roman" w:cs="Times New Roman"/>
          <w:sz w:val="24"/>
          <w:szCs w:val="24"/>
        </w:rPr>
        <w:t xml:space="preserve"> Act 2011</w:t>
      </w:r>
      <w:r w:rsidR="000D585A" w:rsidRPr="00BD58C0">
        <w:rPr>
          <w:rFonts w:ascii="Times New Roman" w:hAnsi="Times New Roman" w:cs="Times New Roman"/>
          <w:sz w:val="24"/>
          <w:szCs w:val="24"/>
        </w:rPr>
        <w:t>,</w:t>
      </w:r>
      <w:r w:rsidR="00DD0794" w:rsidRPr="00BD58C0">
        <w:rPr>
          <w:rFonts w:ascii="Times New Roman" w:hAnsi="Times New Roman" w:cs="Times New Roman"/>
          <w:sz w:val="24"/>
          <w:szCs w:val="24"/>
        </w:rPr>
        <w:t xml:space="preserve"> </w:t>
      </w:r>
      <w:r w:rsidR="00243A2C" w:rsidRPr="00BD58C0">
        <w:rPr>
          <w:rFonts w:ascii="Times New Roman" w:hAnsi="Times New Roman" w:cs="Times New Roman"/>
          <w:sz w:val="24"/>
          <w:szCs w:val="24"/>
        </w:rPr>
        <w:t>[2</w:t>
      </w:r>
      <w:r w:rsidR="00284D64" w:rsidRPr="00BD58C0">
        <w:rPr>
          <w:rFonts w:ascii="Times New Roman" w:hAnsi="Times New Roman" w:cs="Times New Roman"/>
          <w:sz w:val="24"/>
          <w:szCs w:val="24"/>
        </w:rPr>
        <w:t>8</w:t>
      </w:r>
      <w:r w:rsidR="00243A2C" w:rsidRPr="00BD58C0">
        <w:rPr>
          <w:rFonts w:ascii="Times New Roman" w:hAnsi="Times New Roman" w:cs="Times New Roman"/>
          <w:sz w:val="24"/>
          <w:szCs w:val="24"/>
        </w:rPr>
        <w:t xml:space="preserve">] </w:t>
      </w:r>
      <w:r w:rsidR="00DD0794" w:rsidRPr="00BD58C0">
        <w:rPr>
          <w:rFonts w:ascii="Times New Roman" w:hAnsi="Times New Roman" w:cs="Times New Roman"/>
          <w:sz w:val="24"/>
          <w:szCs w:val="24"/>
        </w:rPr>
        <w:t xml:space="preserve">concluded that </w:t>
      </w:r>
      <w:r w:rsidR="000D585A" w:rsidRPr="00BD58C0">
        <w:rPr>
          <w:rFonts w:ascii="Times New Roman" w:hAnsi="Times New Roman" w:cs="Times New Roman"/>
          <w:sz w:val="24"/>
          <w:szCs w:val="24"/>
        </w:rPr>
        <w:t>it</w:t>
      </w:r>
      <w:r w:rsidR="00DD0794" w:rsidRPr="00BD58C0">
        <w:rPr>
          <w:rFonts w:ascii="Times New Roman" w:hAnsi="Times New Roman" w:cs="Times New Roman"/>
          <w:sz w:val="24"/>
          <w:szCs w:val="24"/>
        </w:rPr>
        <w:t xml:space="preserve"> depends on the effectiveness of </w:t>
      </w:r>
      <w:proofErr w:type="spellStart"/>
      <w:r w:rsidR="00DD0794" w:rsidRPr="00BD58C0">
        <w:rPr>
          <w:rFonts w:ascii="Times New Roman" w:hAnsi="Times New Roman" w:cs="Times New Roman"/>
          <w:sz w:val="24"/>
          <w:szCs w:val="24"/>
        </w:rPr>
        <w:t>FiT</w:t>
      </w:r>
      <w:proofErr w:type="spellEnd"/>
      <w:r w:rsidR="00DD0794" w:rsidRPr="00BD58C0">
        <w:rPr>
          <w:rFonts w:ascii="Times New Roman" w:hAnsi="Times New Roman" w:cs="Times New Roman"/>
          <w:sz w:val="24"/>
          <w:szCs w:val="24"/>
        </w:rPr>
        <w:t xml:space="preserve"> implementation. </w:t>
      </w:r>
      <w:r w:rsidR="00722569" w:rsidRPr="00BD58C0">
        <w:rPr>
          <w:rFonts w:ascii="Times New Roman" w:hAnsi="Times New Roman" w:cs="Times New Roman"/>
          <w:sz w:val="24"/>
          <w:szCs w:val="24"/>
        </w:rPr>
        <w:t xml:space="preserve">However, </w:t>
      </w:r>
      <w:proofErr w:type="spellStart"/>
      <w:r w:rsidR="00722569" w:rsidRPr="00BD58C0">
        <w:rPr>
          <w:rFonts w:ascii="Times New Roman" w:hAnsi="Times New Roman" w:cs="Times New Roman"/>
          <w:sz w:val="24"/>
          <w:szCs w:val="24"/>
        </w:rPr>
        <w:t>FiT</w:t>
      </w:r>
      <w:proofErr w:type="spellEnd"/>
      <w:r w:rsidR="00722569" w:rsidRPr="00BD58C0">
        <w:rPr>
          <w:rFonts w:ascii="Times New Roman" w:hAnsi="Times New Roman" w:cs="Times New Roman"/>
          <w:sz w:val="24"/>
          <w:szCs w:val="24"/>
        </w:rPr>
        <w:t xml:space="preserve"> was found to be an unsustainable mechanism to support </w:t>
      </w:r>
      <w:r w:rsidR="000D585A" w:rsidRPr="00BD58C0">
        <w:rPr>
          <w:rFonts w:ascii="Times New Roman" w:hAnsi="Times New Roman" w:cs="Times New Roman"/>
          <w:sz w:val="24"/>
          <w:szCs w:val="24"/>
        </w:rPr>
        <w:t xml:space="preserve">long-term </w:t>
      </w:r>
      <w:r w:rsidR="00895490" w:rsidRPr="00BD58C0">
        <w:rPr>
          <w:rFonts w:ascii="Times New Roman" w:hAnsi="Times New Roman" w:cs="Times New Roman"/>
          <w:sz w:val="24"/>
          <w:szCs w:val="24"/>
        </w:rPr>
        <w:t>r</w:t>
      </w:r>
      <w:r w:rsidR="00990E1F" w:rsidRPr="00BD58C0">
        <w:rPr>
          <w:rFonts w:ascii="Times New Roman" w:hAnsi="Times New Roman" w:cs="Times New Roman"/>
          <w:sz w:val="24"/>
          <w:szCs w:val="24"/>
        </w:rPr>
        <w:t xml:space="preserve">enewable </w:t>
      </w:r>
      <w:r w:rsidR="00895490" w:rsidRPr="00BD58C0">
        <w:rPr>
          <w:rFonts w:ascii="Times New Roman" w:hAnsi="Times New Roman" w:cs="Times New Roman"/>
          <w:sz w:val="24"/>
          <w:szCs w:val="24"/>
        </w:rPr>
        <w:t>e</w:t>
      </w:r>
      <w:r w:rsidR="00990E1F" w:rsidRPr="00BD58C0">
        <w:rPr>
          <w:rFonts w:ascii="Times New Roman" w:hAnsi="Times New Roman" w:cs="Times New Roman"/>
          <w:sz w:val="24"/>
          <w:szCs w:val="24"/>
        </w:rPr>
        <w:t>nergy</w:t>
      </w:r>
      <w:r w:rsidR="00722569" w:rsidRPr="00BD58C0">
        <w:rPr>
          <w:rFonts w:ascii="Times New Roman" w:hAnsi="Times New Roman" w:cs="Times New Roman"/>
          <w:sz w:val="24"/>
          <w:szCs w:val="24"/>
        </w:rPr>
        <w:t xml:space="preserve"> </w:t>
      </w:r>
      <w:r w:rsidR="00065ED6" w:rsidRPr="00BD58C0">
        <w:rPr>
          <w:rFonts w:ascii="Times New Roman" w:hAnsi="Times New Roman" w:cs="Times New Roman"/>
          <w:sz w:val="24"/>
          <w:szCs w:val="24"/>
        </w:rPr>
        <w:t>growth</w:t>
      </w:r>
      <w:r w:rsidR="00CC3CC9" w:rsidRPr="00BD58C0">
        <w:rPr>
          <w:rFonts w:ascii="Times New Roman" w:hAnsi="Times New Roman" w:cs="Times New Roman"/>
          <w:sz w:val="24"/>
          <w:szCs w:val="24"/>
        </w:rPr>
        <w:t xml:space="preserve"> due to </w:t>
      </w:r>
      <w:r w:rsidR="00990E1F" w:rsidRPr="00BD58C0">
        <w:rPr>
          <w:rFonts w:ascii="Times New Roman" w:hAnsi="Times New Roman" w:cs="Times New Roman"/>
          <w:sz w:val="24"/>
          <w:szCs w:val="24"/>
        </w:rPr>
        <w:t>stiff</w:t>
      </w:r>
      <w:r w:rsidR="00CC3CC9" w:rsidRPr="00BD58C0">
        <w:rPr>
          <w:rFonts w:ascii="Times New Roman" w:hAnsi="Times New Roman" w:cs="Times New Roman"/>
          <w:sz w:val="24"/>
          <w:szCs w:val="24"/>
        </w:rPr>
        <w:t xml:space="preserve"> competition between </w:t>
      </w:r>
      <w:r w:rsidR="00895490" w:rsidRPr="00BD58C0">
        <w:rPr>
          <w:rFonts w:ascii="Times New Roman" w:hAnsi="Times New Roman" w:cs="Times New Roman"/>
          <w:sz w:val="24"/>
          <w:szCs w:val="24"/>
        </w:rPr>
        <w:t>r</w:t>
      </w:r>
      <w:r w:rsidR="00990E1F" w:rsidRPr="00BD58C0">
        <w:rPr>
          <w:rFonts w:ascii="Times New Roman" w:hAnsi="Times New Roman" w:cs="Times New Roman"/>
          <w:sz w:val="24"/>
          <w:szCs w:val="24"/>
        </w:rPr>
        <w:t xml:space="preserve">enewable </w:t>
      </w:r>
      <w:r w:rsidR="00895490" w:rsidRPr="00BD58C0">
        <w:rPr>
          <w:rFonts w:ascii="Times New Roman" w:hAnsi="Times New Roman" w:cs="Times New Roman"/>
          <w:sz w:val="24"/>
          <w:szCs w:val="24"/>
        </w:rPr>
        <w:t>e</w:t>
      </w:r>
      <w:r w:rsidR="00990E1F" w:rsidRPr="00BD58C0">
        <w:rPr>
          <w:rFonts w:ascii="Times New Roman" w:hAnsi="Times New Roman" w:cs="Times New Roman"/>
          <w:sz w:val="24"/>
          <w:szCs w:val="24"/>
        </w:rPr>
        <w:t>nergy</w:t>
      </w:r>
      <w:r w:rsidR="00CC3CC9" w:rsidRPr="00BD58C0">
        <w:rPr>
          <w:rFonts w:ascii="Times New Roman" w:hAnsi="Times New Roman" w:cs="Times New Roman"/>
          <w:sz w:val="24"/>
          <w:szCs w:val="24"/>
        </w:rPr>
        <w:t xml:space="preserve"> technologies [</w:t>
      </w:r>
      <w:r w:rsidR="00087989" w:rsidRPr="00BD58C0">
        <w:rPr>
          <w:rFonts w:ascii="Times New Roman" w:hAnsi="Times New Roman" w:cs="Times New Roman"/>
          <w:sz w:val="24"/>
          <w:szCs w:val="24"/>
        </w:rPr>
        <w:t>2</w:t>
      </w:r>
      <w:r w:rsidR="00B10596" w:rsidRPr="00BD58C0">
        <w:rPr>
          <w:rFonts w:ascii="Times New Roman" w:hAnsi="Times New Roman" w:cs="Times New Roman"/>
          <w:sz w:val="24"/>
          <w:szCs w:val="24"/>
        </w:rPr>
        <w:t>9</w:t>
      </w:r>
      <w:r w:rsidR="002725F6" w:rsidRPr="00BD58C0">
        <w:rPr>
          <w:rFonts w:ascii="Times New Roman" w:hAnsi="Times New Roman" w:cs="Times New Roman"/>
          <w:sz w:val="24"/>
          <w:szCs w:val="24"/>
        </w:rPr>
        <w:t xml:space="preserve">] and </w:t>
      </w:r>
      <w:r w:rsidR="00990E1F" w:rsidRPr="00BD58C0">
        <w:rPr>
          <w:rFonts w:ascii="Times New Roman" w:hAnsi="Times New Roman" w:cs="Times New Roman"/>
          <w:sz w:val="24"/>
          <w:szCs w:val="24"/>
        </w:rPr>
        <w:t>because</w:t>
      </w:r>
      <w:r w:rsidR="00FC26AB" w:rsidRPr="00BD58C0">
        <w:rPr>
          <w:rFonts w:ascii="Times New Roman" w:hAnsi="Times New Roman" w:cs="Times New Roman"/>
          <w:sz w:val="24"/>
          <w:szCs w:val="24"/>
        </w:rPr>
        <w:t xml:space="preserve"> each </w:t>
      </w:r>
      <w:r w:rsidR="002725F6" w:rsidRPr="00BD58C0">
        <w:rPr>
          <w:rFonts w:ascii="Times New Roman" w:hAnsi="Times New Roman" w:cs="Times New Roman"/>
          <w:sz w:val="24"/>
          <w:szCs w:val="24"/>
        </w:rPr>
        <w:t xml:space="preserve">technology may require a different </w:t>
      </w:r>
      <w:proofErr w:type="spellStart"/>
      <w:r w:rsidR="002725F6" w:rsidRPr="00BD58C0">
        <w:rPr>
          <w:rFonts w:ascii="Times New Roman" w:hAnsi="Times New Roman" w:cs="Times New Roman"/>
          <w:sz w:val="24"/>
          <w:szCs w:val="24"/>
        </w:rPr>
        <w:t>FiT</w:t>
      </w:r>
      <w:proofErr w:type="spellEnd"/>
      <w:r w:rsidR="002725F6" w:rsidRPr="00BD58C0">
        <w:rPr>
          <w:rFonts w:ascii="Times New Roman" w:hAnsi="Times New Roman" w:cs="Times New Roman"/>
          <w:sz w:val="24"/>
          <w:szCs w:val="24"/>
        </w:rPr>
        <w:t xml:space="preserve"> mechanism [</w:t>
      </w:r>
      <w:r w:rsidR="00B10596" w:rsidRPr="00BD58C0">
        <w:rPr>
          <w:rFonts w:ascii="Times New Roman" w:hAnsi="Times New Roman" w:cs="Times New Roman"/>
          <w:sz w:val="24"/>
          <w:szCs w:val="24"/>
        </w:rPr>
        <w:t>30</w:t>
      </w:r>
      <w:r w:rsidR="002725F6" w:rsidRPr="00BD58C0">
        <w:rPr>
          <w:rFonts w:ascii="Times New Roman" w:hAnsi="Times New Roman" w:cs="Times New Roman"/>
          <w:sz w:val="24"/>
          <w:szCs w:val="24"/>
        </w:rPr>
        <w:t xml:space="preserve">] to benefit the country and public. The current </w:t>
      </w:r>
      <w:proofErr w:type="spellStart"/>
      <w:r w:rsidR="002725F6" w:rsidRPr="00BD58C0">
        <w:rPr>
          <w:rFonts w:ascii="Times New Roman" w:hAnsi="Times New Roman" w:cs="Times New Roman"/>
          <w:sz w:val="24"/>
          <w:szCs w:val="24"/>
        </w:rPr>
        <w:t>FiT</w:t>
      </w:r>
      <w:proofErr w:type="spellEnd"/>
      <w:r w:rsidR="002725F6" w:rsidRPr="00BD58C0">
        <w:rPr>
          <w:rFonts w:ascii="Times New Roman" w:hAnsi="Times New Roman" w:cs="Times New Roman"/>
          <w:sz w:val="24"/>
          <w:szCs w:val="24"/>
        </w:rPr>
        <w:t xml:space="preserve"> mechanism indirectly imposes a heavy burden </w:t>
      </w:r>
      <w:r w:rsidR="00990E1F" w:rsidRPr="00BD58C0">
        <w:rPr>
          <w:rFonts w:ascii="Times New Roman" w:hAnsi="Times New Roman" w:cs="Times New Roman"/>
          <w:sz w:val="24"/>
          <w:szCs w:val="24"/>
        </w:rPr>
        <w:t xml:space="preserve">on </w:t>
      </w:r>
      <w:r w:rsidR="002725F6" w:rsidRPr="00BD58C0">
        <w:rPr>
          <w:rFonts w:ascii="Times New Roman" w:hAnsi="Times New Roman" w:cs="Times New Roman"/>
          <w:sz w:val="24"/>
          <w:szCs w:val="24"/>
        </w:rPr>
        <w:t xml:space="preserve">the public when electricity costs </w:t>
      </w:r>
      <w:r w:rsidR="00990E1F" w:rsidRPr="00BD58C0">
        <w:rPr>
          <w:rFonts w:ascii="Times New Roman" w:hAnsi="Times New Roman" w:cs="Times New Roman"/>
          <w:sz w:val="24"/>
          <w:szCs w:val="24"/>
        </w:rPr>
        <w:t xml:space="preserve">rise </w:t>
      </w:r>
      <w:r w:rsidR="002725F6" w:rsidRPr="00BD58C0">
        <w:rPr>
          <w:rFonts w:ascii="Times New Roman" w:hAnsi="Times New Roman" w:cs="Times New Roman"/>
          <w:sz w:val="24"/>
          <w:szCs w:val="24"/>
        </w:rPr>
        <w:t>[2</w:t>
      </w:r>
      <w:r w:rsidR="00B10596" w:rsidRPr="00BD58C0">
        <w:rPr>
          <w:rFonts w:ascii="Times New Roman" w:hAnsi="Times New Roman" w:cs="Times New Roman"/>
          <w:sz w:val="24"/>
          <w:szCs w:val="24"/>
        </w:rPr>
        <w:t>8</w:t>
      </w:r>
      <w:r w:rsidR="002725F6" w:rsidRPr="00BD58C0">
        <w:rPr>
          <w:rFonts w:ascii="Times New Roman" w:hAnsi="Times New Roman" w:cs="Times New Roman"/>
          <w:sz w:val="24"/>
          <w:szCs w:val="24"/>
        </w:rPr>
        <w:t>]. [2</w:t>
      </w:r>
      <w:r w:rsidR="00B10596" w:rsidRPr="00BD58C0">
        <w:rPr>
          <w:rFonts w:ascii="Times New Roman" w:hAnsi="Times New Roman" w:cs="Times New Roman"/>
          <w:sz w:val="24"/>
          <w:szCs w:val="24"/>
        </w:rPr>
        <w:t>8</w:t>
      </w:r>
      <w:r w:rsidR="002725F6" w:rsidRPr="00BD58C0">
        <w:rPr>
          <w:rFonts w:ascii="Times New Roman" w:hAnsi="Times New Roman" w:cs="Times New Roman"/>
          <w:sz w:val="24"/>
          <w:szCs w:val="24"/>
        </w:rPr>
        <w:t xml:space="preserve">] concluded that </w:t>
      </w:r>
      <w:r w:rsidR="00990E1F" w:rsidRPr="00BD58C0">
        <w:rPr>
          <w:rFonts w:ascii="Times New Roman" w:hAnsi="Times New Roman" w:cs="Times New Roman"/>
          <w:sz w:val="24"/>
          <w:szCs w:val="24"/>
        </w:rPr>
        <w:t xml:space="preserve">the </w:t>
      </w:r>
      <w:proofErr w:type="spellStart"/>
      <w:r w:rsidR="002725F6" w:rsidRPr="00BD58C0">
        <w:rPr>
          <w:rFonts w:ascii="Times New Roman" w:hAnsi="Times New Roman" w:cs="Times New Roman"/>
          <w:sz w:val="24"/>
          <w:szCs w:val="24"/>
        </w:rPr>
        <w:t>FiT</w:t>
      </w:r>
      <w:proofErr w:type="spellEnd"/>
      <w:r w:rsidR="002725F6" w:rsidRPr="00BD58C0">
        <w:rPr>
          <w:rFonts w:ascii="Times New Roman" w:hAnsi="Times New Roman" w:cs="Times New Roman"/>
          <w:sz w:val="24"/>
          <w:szCs w:val="24"/>
        </w:rPr>
        <w:t xml:space="preserve"> </w:t>
      </w:r>
      <w:r w:rsidR="002725F6" w:rsidRPr="00BD58C0">
        <w:rPr>
          <w:rFonts w:ascii="Times New Roman" w:hAnsi="Times New Roman" w:cs="Times New Roman"/>
          <w:sz w:val="24"/>
          <w:szCs w:val="24"/>
        </w:rPr>
        <w:lastRenderedPageBreak/>
        <w:t xml:space="preserve">is still considered effective in establishing </w:t>
      </w:r>
      <w:r w:rsidR="00990E1F" w:rsidRPr="00BD58C0">
        <w:rPr>
          <w:rFonts w:ascii="Times New Roman" w:hAnsi="Times New Roman" w:cs="Times New Roman"/>
          <w:sz w:val="24"/>
          <w:szCs w:val="24"/>
        </w:rPr>
        <w:t xml:space="preserve">a renewable energy </w:t>
      </w:r>
      <w:r w:rsidR="002725F6" w:rsidRPr="00BD58C0">
        <w:rPr>
          <w:rFonts w:ascii="Times New Roman" w:hAnsi="Times New Roman" w:cs="Times New Roman"/>
          <w:sz w:val="24"/>
          <w:szCs w:val="24"/>
        </w:rPr>
        <w:t>market in the country</w:t>
      </w:r>
      <w:r w:rsidR="00F94594" w:rsidRPr="00BD58C0">
        <w:rPr>
          <w:rFonts w:ascii="Times New Roman" w:hAnsi="Times New Roman" w:cs="Times New Roman"/>
          <w:sz w:val="24"/>
          <w:szCs w:val="24"/>
        </w:rPr>
        <w:t>,</w:t>
      </w:r>
      <w:r w:rsidR="002725F6" w:rsidRPr="00BD58C0">
        <w:rPr>
          <w:rFonts w:ascii="Times New Roman" w:hAnsi="Times New Roman" w:cs="Times New Roman"/>
          <w:sz w:val="24"/>
          <w:szCs w:val="24"/>
        </w:rPr>
        <w:t xml:space="preserve"> as </w:t>
      </w:r>
      <w:proofErr w:type="spellStart"/>
      <w:r w:rsidR="002725F6" w:rsidRPr="00BD58C0">
        <w:rPr>
          <w:rFonts w:ascii="Times New Roman" w:hAnsi="Times New Roman" w:cs="Times New Roman"/>
          <w:sz w:val="24"/>
          <w:szCs w:val="24"/>
        </w:rPr>
        <w:t>FiT</w:t>
      </w:r>
      <w:proofErr w:type="spellEnd"/>
      <w:r w:rsidR="002725F6" w:rsidRPr="00BD58C0">
        <w:rPr>
          <w:rFonts w:ascii="Times New Roman" w:hAnsi="Times New Roman" w:cs="Times New Roman"/>
          <w:sz w:val="24"/>
          <w:szCs w:val="24"/>
        </w:rPr>
        <w:t xml:space="preserve"> implementation supports </w:t>
      </w:r>
      <w:r w:rsidR="00990E1F" w:rsidRPr="00BD58C0">
        <w:rPr>
          <w:rFonts w:ascii="Times New Roman" w:hAnsi="Times New Roman" w:cs="Times New Roman"/>
          <w:sz w:val="24"/>
          <w:szCs w:val="24"/>
        </w:rPr>
        <w:t>small-scale</w:t>
      </w:r>
      <w:r w:rsidR="002725F6" w:rsidRPr="00BD58C0">
        <w:rPr>
          <w:rFonts w:ascii="Times New Roman" w:hAnsi="Times New Roman" w:cs="Times New Roman"/>
          <w:sz w:val="24"/>
          <w:szCs w:val="24"/>
        </w:rPr>
        <w:t xml:space="preserve"> </w:t>
      </w:r>
      <w:r w:rsidR="00990E1F" w:rsidRPr="00BD58C0">
        <w:rPr>
          <w:rFonts w:ascii="Times New Roman" w:hAnsi="Times New Roman" w:cs="Times New Roman"/>
          <w:sz w:val="24"/>
          <w:szCs w:val="24"/>
        </w:rPr>
        <w:t xml:space="preserve">renewable energy </w:t>
      </w:r>
      <w:r w:rsidR="002725F6" w:rsidRPr="00BD58C0">
        <w:rPr>
          <w:rFonts w:ascii="Times New Roman" w:hAnsi="Times New Roman" w:cs="Times New Roman"/>
          <w:sz w:val="24"/>
          <w:szCs w:val="24"/>
        </w:rPr>
        <w:t xml:space="preserve">generation. Nevertheless, future amendments to the </w:t>
      </w:r>
      <w:r w:rsidR="00990E1F" w:rsidRPr="00BD58C0">
        <w:rPr>
          <w:rFonts w:ascii="Times New Roman" w:hAnsi="Times New Roman" w:cs="Times New Roman"/>
          <w:sz w:val="24"/>
          <w:szCs w:val="24"/>
        </w:rPr>
        <w:t>Renewable Energy</w:t>
      </w:r>
      <w:r w:rsidR="002725F6" w:rsidRPr="00BD58C0">
        <w:rPr>
          <w:rFonts w:ascii="Times New Roman" w:hAnsi="Times New Roman" w:cs="Times New Roman"/>
          <w:sz w:val="24"/>
          <w:szCs w:val="24"/>
        </w:rPr>
        <w:t xml:space="preserve"> Act 2011 </w:t>
      </w:r>
      <w:r w:rsidR="00990E1F" w:rsidRPr="00BD58C0">
        <w:rPr>
          <w:rFonts w:ascii="Times New Roman" w:hAnsi="Times New Roman" w:cs="Times New Roman"/>
          <w:sz w:val="24"/>
          <w:szCs w:val="24"/>
        </w:rPr>
        <w:t xml:space="preserve">are </w:t>
      </w:r>
      <w:r w:rsidR="002725F6" w:rsidRPr="00BD58C0">
        <w:rPr>
          <w:rFonts w:ascii="Times New Roman" w:hAnsi="Times New Roman" w:cs="Times New Roman"/>
          <w:sz w:val="24"/>
          <w:szCs w:val="24"/>
        </w:rPr>
        <w:t>needed [2</w:t>
      </w:r>
      <w:r w:rsidR="00B10596" w:rsidRPr="00BD58C0">
        <w:rPr>
          <w:rFonts w:ascii="Times New Roman" w:hAnsi="Times New Roman" w:cs="Times New Roman"/>
          <w:sz w:val="24"/>
          <w:szCs w:val="24"/>
        </w:rPr>
        <w:t>8</w:t>
      </w:r>
      <w:r w:rsidR="002725F6" w:rsidRPr="00BD58C0">
        <w:rPr>
          <w:rFonts w:ascii="Times New Roman" w:hAnsi="Times New Roman" w:cs="Times New Roman"/>
          <w:sz w:val="24"/>
          <w:szCs w:val="24"/>
        </w:rPr>
        <w:t>].</w:t>
      </w:r>
      <w:r w:rsidR="003D0EBE" w:rsidRPr="00BD58C0">
        <w:rPr>
          <w:rFonts w:ascii="Times New Roman" w:hAnsi="Times New Roman" w:cs="Times New Roman"/>
          <w:sz w:val="24"/>
          <w:szCs w:val="24"/>
        </w:rPr>
        <w:t xml:space="preserve"> Information from the present study could inform </w:t>
      </w:r>
      <w:r w:rsidR="008D02BF" w:rsidRPr="00BD58C0">
        <w:rPr>
          <w:rFonts w:ascii="Times New Roman" w:hAnsi="Times New Roman" w:cs="Times New Roman"/>
          <w:sz w:val="24"/>
          <w:szCs w:val="24"/>
        </w:rPr>
        <w:t xml:space="preserve">such </w:t>
      </w:r>
      <w:r w:rsidR="003D0EBE" w:rsidRPr="00BD58C0">
        <w:rPr>
          <w:rFonts w:ascii="Times New Roman" w:hAnsi="Times New Roman" w:cs="Times New Roman"/>
          <w:sz w:val="24"/>
          <w:szCs w:val="24"/>
        </w:rPr>
        <w:t>amendments.</w:t>
      </w:r>
    </w:p>
    <w:p w14:paraId="1C3939F1" w14:textId="77777777" w:rsidR="00483BD7" w:rsidRPr="00BD58C0" w:rsidRDefault="00483BD7" w:rsidP="00C0287E">
      <w:pPr>
        <w:spacing w:after="0" w:line="360" w:lineRule="auto"/>
        <w:jc w:val="both"/>
        <w:rPr>
          <w:rFonts w:ascii="Times New Roman" w:hAnsi="Times New Roman" w:cs="Times New Roman"/>
          <w:sz w:val="24"/>
          <w:szCs w:val="24"/>
        </w:rPr>
      </w:pPr>
    </w:p>
    <w:p w14:paraId="2F3514C9" w14:textId="7C1BE458" w:rsidR="0053568F" w:rsidRPr="00BD58C0" w:rsidRDefault="00BF0A57" w:rsidP="00C0287E">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3.</w:t>
      </w:r>
      <w:r w:rsidR="00F335E8" w:rsidRPr="00BD58C0">
        <w:rPr>
          <w:rFonts w:ascii="Times New Roman" w:hAnsi="Times New Roman" w:cs="Times New Roman"/>
          <w:b/>
          <w:bCs/>
          <w:sz w:val="24"/>
          <w:szCs w:val="24"/>
        </w:rPr>
        <w:tab/>
      </w:r>
      <w:r w:rsidR="00FD1369" w:rsidRPr="00BD58C0">
        <w:rPr>
          <w:rFonts w:ascii="Times New Roman" w:hAnsi="Times New Roman" w:cs="Times New Roman"/>
          <w:b/>
          <w:bCs/>
          <w:sz w:val="24"/>
          <w:szCs w:val="24"/>
        </w:rPr>
        <w:t>Method</w:t>
      </w:r>
      <w:r w:rsidR="00214B62" w:rsidRPr="00BD58C0">
        <w:rPr>
          <w:rFonts w:ascii="Times New Roman" w:hAnsi="Times New Roman" w:cs="Times New Roman"/>
          <w:b/>
          <w:bCs/>
          <w:sz w:val="24"/>
          <w:szCs w:val="24"/>
        </w:rPr>
        <w:t>s</w:t>
      </w:r>
    </w:p>
    <w:p w14:paraId="789C784B" w14:textId="25BFDF91" w:rsidR="0053568F" w:rsidRPr="00BD58C0" w:rsidRDefault="0053568F" w:rsidP="00C0287E">
      <w:pPr>
        <w:spacing w:after="0" w:line="360" w:lineRule="auto"/>
        <w:jc w:val="both"/>
        <w:rPr>
          <w:rFonts w:ascii="Times New Roman" w:hAnsi="Times New Roman" w:cs="Times New Roman"/>
          <w:b/>
          <w:bCs/>
          <w:sz w:val="24"/>
          <w:szCs w:val="24"/>
        </w:rPr>
      </w:pPr>
    </w:p>
    <w:p w14:paraId="55CF2083" w14:textId="0EBCCCFC" w:rsidR="00A93F5A" w:rsidRPr="00BD58C0" w:rsidRDefault="00BF0A57" w:rsidP="00C0287E">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3</w:t>
      </w:r>
      <w:r w:rsidR="00FD1369" w:rsidRPr="00BD58C0">
        <w:rPr>
          <w:rFonts w:ascii="Times New Roman" w:hAnsi="Times New Roman" w:cs="Times New Roman"/>
          <w:b/>
          <w:bCs/>
          <w:sz w:val="24"/>
          <w:szCs w:val="24"/>
        </w:rPr>
        <w:t>.1</w:t>
      </w:r>
      <w:r w:rsidR="00343EFA" w:rsidRPr="00BD58C0">
        <w:rPr>
          <w:rFonts w:ascii="Times New Roman" w:hAnsi="Times New Roman" w:cs="Times New Roman"/>
          <w:b/>
          <w:bCs/>
          <w:sz w:val="24"/>
          <w:szCs w:val="24"/>
        </w:rPr>
        <w:t>.</w:t>
      </w:r>
      <w:r w:rsidR="00FD1369" w:rsidRPr="00BD58C0">
        <w:rPr>
          <w:rFonts w:ascii="Times New Roman" w:hAnsi="Times New Roman" w:cs="Times New Roman"/>
          <w:b/>
          <w:bCs/>
          <w:sz w:val="24"/>
          <w:szCs w:val="24"/>
        </w:rPr>
        <w:tab/>
      </w:r>
      <w:r w:rsidR="00A93F5A" w:rsidRPr="00BD58C0">
        <w:rPr>
          <w:rFonts w:ascii="Times New Roman" w:hAnsi="Times New Roman" w:cs="Times New Roman"/>
          <w:b/>
          <w:bCs/>
          <w:sz w:val="24"/>
          <w:szCs w:val="24"/>
        </w:rPr>
        <w:t>Life cycle cost-benefit</w:t>
      </w:r>
      <w:r w:rsidR="00F81DD3" w:rsidRPr="00BD58C0">
        <w:rPr>
          <w:rFonts w:ascii="Times New Roman" w:hAnsi="Times New Roman" w:cs="Times New Roman"/>
          <w:b/>
          <w:bCs/>
          <w:sz w:val="24"/>
          <w:szCs w:val="24"/>
        </w:rPr>
        <w:t xml:space="preserve"> analysis (LCCBA)</w:t>
      </w:r>
    </w:p>
    <w:p w14:paraId="7C108E26" w14:textId="77777777" w:rsidR="00720623" w:rsidRPr="00BD58C0" w:rsidRDefault="00720623" w:rsidP="00C0287E">
      <w:pPr>
        <w:spacing w:after="0" w:line="360" w:lineRule="auto"/>
        <w:jc w:val="both"/>
        <w:rPr>
          <w:rFonts w:ascii="Times New Roman" w:hAnsi="Times New Roman" w:cs="Times New Roman"/>
          <w:b/>
          <w:bCs/>
          <w:sz w:val="24"/>
          <w:szCs w:val="24"/>
        </w:rPr>
      </w:pPr>
    </w:p>
    <w:p w14:paraId="4CF07D24" w14:textId="6C43041D" w:rsidR="0053568F" w:rsidRPr="00BD58C0" w:rsidRDefault="00BF0A57" w:rsidP="00C0287E">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3</w:t>
      </w:r>
      <w:r w:rsidR="00724C1C" w:rsidRPr="00BD58C0">
        <w:rPr>
          <w:rFonts w:ascii="Times New Roman" w:hAnsi="Times New Roman" w:cs="Times New Roman"/>
          <w:i/>
          <w:iCs/>
          <w:sz w:val="24"/>
          <w:szCs w:val="24"/>
        </w:rPr>
        <w:t>.1.1.</w:t>
      </w:r>
      <w:r w:rsidR="00F335E8" w:rsidRPr="00BD58C0">
        <w:rPr>
          <w:rFonts w:ascii="Times New Roman" w:hAnsi="Times New Roman" w:cs="Times New Roman"/>
          <w:i/>
          <w:iCs/>
          <w:sz w:val="24"/>
          <w:szCs w:val="24"/>
        </w:rPr>
        <w:tab/>
      </w:r>
      <w:r w:rsidR="00FD1369" w:rsidRPr="00BD58C0">
        <w:rPr>
          <w:rFonts w:ascii="Times New Roman" w:hAnsi="Times New Roman" w:cs="Times New Roman"/>
          <w:i/>
          <w:iCs/>
          <w:sz w:val="24"/>
          <w:szCs w:val="24"/>
        </w:rPr>
        <w:t>Goal and scope of the study</w:t>
      </w:r>
    </w:p>
    <w:p w14:paraId="43D7841E" w14:textId="3DF44A57" w:rsidR="00874353" w:rsidRPr="00BD58C0" w:rsidRDefault="00874353" w:rsidP="00C0287E">
      <w:pPr>
        <w:spacing w:after="0" w:line="360" w:lineRule="auto"/>
        <w:jc w:val="both"/>
        <w:rPr>
          <w:rFonts w:ascii="Times New Roman" w:hAnsi="Times New Roman" w:cs="Times New Roman"/>
          <w:i/>
          <w:iCs/>
          <w:sz w:val="24"/>
          <w:szCs w:val="24"/>
        </w:rPr>
      </w:pPr>
    </w:p>
    <w:p w14:paraId="6C80D623" w14:textId="7F3E0EB7" w:rsidR="009C3C3B" w:rsidRPr="00BD58C0" w:rsidRDefault="00FD1369" w:rsidP="0086014A">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The goal of th</w:t>
      </w:r>
      <w:r w:rsidR="00D75075" w:rsidRPr="00BD58C0">
        <w:rPr>
          <w:rFonts w:ascii="Times New Roman" w:hAnsi="Times New Roman" w:cs="Times New Roman"/>
          <w:sz w:val="24"/>
          <w:szCs w:val="24"/>
        </w:rPr>
        <w:t>is</w:t>
      </w:r>
      <w:r w:rsidRPr="00BD58C0">
        <w:rPr>
          <w:rFonts w:ascii="Times New Roman" w:hAnsi="Times New Roman" w:cs="Times New Roman"/>
          <w:sz w:val="24"/>
          <w:szCs w:val="24"/>
        </w:rPr>
        <w:t xml:space="preserve"> study was to estimate the</w:t>
      </w:r>
      <w:r w:rsidR="00B259FD" w:rsidRPr="00BD58C0">
        <w:rPr>
          <w:rFonts w:ascii="Times New Roman" w:hAnsi="Times New Roman" w:cs="Times New Roman"/>
          <w:sz w:val="24"/>
          <w:szCs w:val="24"/>
        </w:rPr>
        <w:t xml:space="preserve"> </w:t>
      </w:r>
      <w:r w:rsidR="00F81DD3" w:rsidRPr="00BD58C0">
        <w:rPr>
          <w:rFonts w:ascii="Times New Roman" w:hAnsi="Times New Roman" w:cs="Times New Roman"/>
          <w:sz w:val="24"/>
          <w:szCs w:val="24"/>
        </w:rPr>
        <w:t>LCCBA</w:t>
      </w:r>
      <w:r w:rsidRPr="00BD58C0">
        <w:rPr>
          <w:rFonts w:ascii="Times New Roman" w:hAnsi="Times New Roman" w:cs="Times New Roman"/>
          <w:sz w:val="24"/>
          <w:szCs w:val="24"/>
        </w:rPr>
        <w:t xml:space="preserve"> for the </w:t>
      </w:r>
      <w:r w:rsidR="008F4081" w:rsidRPr="00BD58C0">
        <w:rPr>
          <w:rFonts w:ascii="Times New Roman" w:hAnsi="Times New Roman" w:cs="Times New Roman"/>
          <w:sz w:val="24"/>
          <w:szCs w:val="24"/>
        </w:rPr>
        <w:t xml:space="preserve">two </w:t>
      </w:r>
      <w:r w:rsidR="007A430C" w:rsidRPr="00BD58C0">
        <w:rPr>
          <w:rFonts w:ascii="Times New Roman" w:hAnsi="Times New Roman" w:cs="Times New Roman"/>
          <w:sz w:val="24"/>
          <w:szCs w:val="24"/>
        </w:rPr>
        <w:t xml:space="preserve">selected </w:t>
      </w:r>
      <w:r w:rsidRPr="00BD58C0">
        <w:rPr>
          <w:rFonts w:ascii="Times New Roman" w:hAnsi="Times New Roman" w:cs="Times New Roman"/>
          <w:sz w:val="24"/>
          <w:szCs w:val="24"/>
        </w:rPr>
        <w:t>technologies</w:t>
      </w:r>
      <w:r w:rsidR="000D585A" w:rsidRPr="00BD58C0">
        <w:rPr>
          <w:rFonts w:ascii="Times New Roman" w:hAnsi="Times New Roman" w:cs="Times New Roman"/>
          <w:sz w:val="24"/>
          <w:szCs w:val="24"/>
        </w:rPr>
        <w:t xml:space="preserve"> </w:t>
      </w:r>
      <w:r w:rsidR="008F4081" w:rsidRPr="00BD58C0">
        <w:rPr>
          <w:rFonts w:ascii="Times New Roman" w:hAnsi="Times New Roman" w:cs="Times New Roman"/>
          <w:sz w:val="24"/>
          <w:szCs w:val="24"/>
        </w:rPr>
        <w:t xml:space="preserve">for </w:t>
      </w:r>
      <w:r w:rsidRPr="00BD58C0">
        <w:rPr>
          <w:rFonts w:ascii="Times New Roman" w:hAnsi="Times New Roman" w:cs="Times New Roman"/>
          <w:sz w:val="24"/>
          <w:szCs w:val="24"/>
        </w:rPr>
        <w:t>energy generation</w:t>
      </w:r>
      <w:r w:rsidR="00863467" w:rsidRPr="00BD58C0">
        <w:rPr>
          <w:rFonts w:ascii="Times New Roman" w:hAnsi="Times New Roman" w:cs="Times New Roman"/>
          <w:sz w:val="24"/>
          <w:szCs w:val="24"/>
        </w:rPr>
        <w:t>. F</w:t>
      </w:r>
      <w:r w:rsidR="003E13D5" w:rsidRPr="00BD58C0">
        <w:rPr>
          <w:rFonts w:ascii="Times New Roman" w:hAnsi="Times New Roman" w:cs="Times New Roman"/>
          <w:sz w:val="24"/>
          <w:szCs w:val="24"/>
        </w:rPr>
        <w:t xml:space="preserve">or </w:t>
      </w:r>
      <w:r w:rsidR="0016782E" w:rsidRPr="00BD58C0">
        <w:rPr>
          <w:rFonts w:ascii="Times New Roman" w:hAnsi="Times New Roman" w:cs="Times New Roman"/>
          <w:sz w:val="24"/>
          <w:szCs w:val="24"/>
        </w:rPr>
        <w:t xml:space="preserve">an </w:t>
      </w:r>
      <w:r w:rsidR="003E13D5" w:rsidRPr="00BD58C0">
        <w:rPr>
          <w:rFonts w:ascii="Times New Roman" w:hAnsi="Times New Roman" w:cs="Times New Roman"/>
          <w:sz w:val="24"/>
          <w:szCs w:val="24"/>
        </w:rPr>
        <w:t xml:space="preserve">overview of </w:t>
      </w:r>
      <w:r w:rsidR="0016782E" w:rsidRPr="00BD58C0">
        <w:rPr>
          <w:rFonts w:ascii="Times New Roman" w:hAnsi="Times New Roman" w:cs="Times New Roman"/>
          <w:sz w:val="24"/>
          <w:szCs w:val="24"/>
        </w:rPr>
        <w:t xml:space="preserve">the </w:t>
      </w:r>
      <w:r w:rsidR="003E13D5" w:rsidRPr="00BD58C0">
        <w:rPr>
          <w:rFonts w:ascii="Times New Roman" w:hAnsi="Times New Roman" w:cs="Times New Roman"/>
          <w:sz w:val="24"/>
          <w:szCs w:val="24"/>
        </w:rPr>
        <w:t>two POME</w:t>
      </w:r>
      <w:r w:rsidR="000037F3" w:rsidRPr="00BD58C0">
        <w:rPr>
          <w:rFonts w:ascii="Times New Roman" w:hAnsi="Times New Roman" w:cs="Times New Roman"/>
          <w:sz w:val="24"/>
          <w:szCs w:val="24"/>
        </w:rPr>
        <w:t xml:space="preserve"> </w:t>
      </w:r>
      <w:r w:rsidR="003E13D5" w:rsidRPr="00BD58C0">
        <w:rPr>
          <w:rFonts w:ascii="Times New Roman" w:hAnsi="Times New Roman" w:cs="Times New Roman"/>
          <w:sz w:val="24"/>
          <w:szCs w:val="24"/>
        </w:rPr>
        <w:t>treatment technologies</w:t>
      </w:r>
      <w:r w:rsidR="000037F3" w:rsidRPr="00BD58C0">
        <w:rPr>
          <w:rFonts w:ascii="Times New Roman" w:hAnsi="Times New Roman" w:cs="Times New Roman"/>
          <w:sz w:val="24"/>
          <w:szCs w:val="24"/>
        </w:rPr>
        <w:t xml:space="preserve"> </w:t>
      </w:r>
      <w:r w:rsidR="00084316" w:rsidRPr="00BD58C0">
        <w:rPr>
          <w:rFonts w:ascii="Times New Roman" w:hAnsi="Times New Roman" w:cs="Times New Roman"/>
          <w:sz w:val="24"/>
          <w:szCs w:val="24"/>
        </w:rPr>
        <w:t xml:space="preserve">see </w:t>
      </w:r>
      <w:r w:rsidR="000037F3" w:rsidRPr="00BD58C0">
        <w:rPr>
          <w:rFonts w:ascii="Times New Roman" w:hAnsi="Times New Roman" w:cs="Times New Roman"/>
          <w:sz w:val="24"/>
          <w:szCs w:val="24"/>
        </w:rPr>
        <w:t>Fig. A</w:t>
      </w:r>
      <w:r w:rsidR="002A146B" w:rsidRPr="00BD58C0">
        <w:rPr>
          <w:rFonts w:ascii="Times New Roman" w:hAnsi="Times New Roman" w:cs="Times New Roman"/>
          <w:sz w:val="24"/>
          <w:szCs w:val="24"/>
        </w:rPr>
        <w:t>.</w:t>
      </w:r>
      <w:r w:rsidR="000037F3" w:rsidRPr="00BD58C0">
        <w:rPr>
          <w:rFonts w:ascii="Times New Roman" w:hAnsi="Times New Roman" w:cs="Times New Roman"/>
          <w:sz w:val="24"/>
          <w:szCs w:val="24"/>
        </w:rPr>
        <w:t>1 and Fig. A</w:t>
      </w:r>
      <w:r w:rsidR="002A146B" w:rsidRPr="00BD58C0">
        <w:rPr>
          <w:rFonts w:ascii="Times New Roman" w:hAnsi="Times New Roman" w:cs="Times New Roman"/>
          <w:sz w:val="24"/>
          <w:szCs w:val="24"/>
        </w:rPr>
        <w:t>.</w:t>
      </w:r>
      <w:r w:rsidR="000037F3" w:rsidRPr="00BD58C0">
        <w:rPr>
          <w:rFonts w:ascii="Times New Roman" w:hAnsi="Times New Roman" w:cs="Times New Roman"/>
          <w:sz w:val="24"/>
          <w:szCs w:val="24"/>
        </w:rPr>
        <w:t>2</w:t>
      </w:r>
      <w:r w:rsidR="008D02BF" w:rsidRPr="00BD58C0">
        <w:rPr>
          <w:rFonts w:ascii="Times New Roman" w:hAnsi="Times New Roman" w:cs="Times New Roman"/>
          <w:sz w:val="24"/>
          <w:szCs w:val="24"/>
        </w:rPr>
        <w:t xml:space="preserve"> in the supplementary material</w:t>
      </w:r>
      <w:r w:rsidR="003E13D5" w:rsidRPr="00BD58C0">
        <w:rPr>
          <w:rFonts w:ascii="Times New Roman" w:hAnsi="Times New Roman" w:cs="Times New Roman"/>
          <w:sz w:val="24"/>
          <w:szCs w:val="24"/>
        </w:rPr>
        <w:t xml:space="preserve">. </w:t>
      </w:r>
      <w:r w:rsidR="00D96ADB" w:rsidRPr="00BD58C0">
        <w:rPr>
          <w:rFonts w:ascii="Times New Roman" w:hAnsi="Times New Roman" w:cs="Times New Roman"/>
          <w:sz w:val="24"/>
          <w:szCs w:val="24"/>
        </w:rPr>
        <w:t>Th</w:t>
      </w:r>
      <w:r w:rsidR="008F4081" w:rsidRPr="00BD58C0">
        <w:rPr>
          <w:rFonts w:ascii="Times New Roman" w:hAnsi="Times New Roman" w:cs="Times New Roman"/>
          <w:sz w:val="24"/>
          <w:szCs w:val="24"/>
        </w:rPr>
        <w:t>e</w:t>
      </w:r>
      <w:r w:rsidR="00D96ADB" w:rsidRPr="00BD58C0">
        <w:rPr>
          <w:rFonts w:ascii="Times New Roman" w:hAnsi="Times New Roman" w:cs="Times New Roman"/>
          <w:sz w:val="24"/>
          <w:szCs w:val="24"/>
        </w:rPr>
        <w:t xml:space="preserve"> study </w:t>
      </w:r>
      <w:r w:rsidR="00B86524" w:rsidRPr="00BD58C0">
        <w:rPr>
          <w:rFonts w:ascii="Times New Roman" w:hAnsi="Times New Roman" w:cs="Times New Roman"/>
          <w:sz w:val="24"/>
          <w:szCs w:val="24"/>
        </w:rPr>
        <w:t>wa</w:t>
      </w:r>
      <w:r w:rsidR="00D96ADB" w:rsidRPr="00BD58C0">
        <w:rPr>
          <w:rFonts w:ascii="Times New Roman" w:hAnsi="Times New Roman" w:cs="Times New Roman"/>
          <w:sz w:val="24"/>
          <w:szCs w:val="24"/>
        </w:rPr>
        <w:t xml:space="preserve">s carried out in two </w:t>
      </w:r>
      <w:r w:rsidR="00B21804" w:rsidRPr="00BD58C0">
        <w:rPr>
          <w:rFonts w:ascii="Times New Roman" w:hAnsi="Times New Roman" w:cs="Times New Roman"/>
          <w:sz w:val="24"/>
          <w:szCs w:val="24"/>
        </w:rPr>
        <w:t>POMs</w:t>
      </w:r>
      <w:r w:rsidR="00D96ADB" w:rsidRPr="00BD58C0">
        <w:rPr>
          <w:rFonts w:ascii="Times New Roman" w:hAnsi="Times New Roman" w:cs="Times New Roman"/>
          <w:sz w:val="24"/>
          <w:szCs w:val="24"/>
        </w:rPr>
        <w:t xml:space="preserve"> in Malaysia</w:t>
      </w:r>
      <w:r w:rsidR="00740C14"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from gate to gate, </w:t>
      </w:r>
      <w:r w:rsidR="00740C14" w:rsidRPr="00BD58C0">
        <w:rPr>
          <w:rFonts w:ascii="Times New Roman" w:hAnsi="Times New Roman" w:cs="Times New Roman"/>
          <w:sz w:val="24"/>
          <w:szCs w:val="24"/>
        </w:rPr>
        <w:t>including</w:t>
      </w:r>
      <w:r w:rsidRPr="00BD58C0">
        <w:rPr>
          <w:rFonts w:ascii="Times New Roman" w:hAnsi="Times New Roman" w:cs="Times New Roman"/>
          <w:sz w:val="24"/>
          <w:szCs w:val="24"/>
        </w:rPr>
        <w:t xml:space="preserve"> POME transfer from </w:t>
      </w:r>
      <w:r w:rsidR="001A7695" w:rsidRPr="00BD58C0">
        <w:rPr>
          <w:rFonts w:ascii="Times New Roman" w:hAnsi="Times New Roman" w:cs="Times New Roman"/>
          <w:sz w:val="24"/>
          <w:szCs w:val="24"/>
        </w:rPr>
        <w:t xml:space="preserve">the </w:t>
      </w:r>
      <w:r w:rsidRPr="00BD58C0">
        <w:rPr>
          <w:rFonts w:ascii="Times New Roman" w:hAnsi="Times New Roman" w:cs="Times New Roman"/>
          <w:sz w:val="24"/>
          <w:szCs w:val="24"/>
        </w:rPr>
        <w:t xml:space="preserve">POM, pre-treatment of POME, biogas generation in an anaerobic digester, purification of biogas, </w:t>
      </w:r>
      <w:r w:rsidR="005A2BEE" w:rsidRPr="00BD58C0">
        <w:rPr>
          <w:rFonts w:ascii="Times New Roman" w:hAnsi="Times New Roman" w:cs="Times New Roman"/>
          <w:sz w:val="24"/>
          <w:szCs w:val="24"/>
        </w:rPr>
        <w:t xml:space="preserve">utilisation of gas engine to combust </w:t>
      </w:r>
      <w:r w:rsidRPr="00BD58C0">
        <w:rPr>
          <w:rFonts w:ascii="Times New Roman" w:hAnsi="Times New Roman" w:cs="Times New Roman"/>
          <w:sz w:val="24"/>
          <w:szCs w:val="24"/>
        </w:rPr>
        <w:t xml:space="preserve">biogas for energy generation, </w:t>
      </w:r>
      <w:r w:rsidR="00D450BF" w:rsidRPr="00BD58C0">
        <w:rPr>
          <w:rFonts w:ascii="Times New Roman" w:hAnsi="Times New Roman" w:cs="Times New Roman"/>
          <w:sz w:val="24"/>
          <w:szCs w:val="24"/>
        </w:rPr>
        <w:t xml:space="preserve">and </w:t>
      </w:r>
      <w:r w:rsidRPr="00BD58C0">
        <w:rPr>
          <w:rFonts w:ascii="Times New Roman" w:hAnsi="Times New Roman" w:cs="Times New Roman"/>
          <w:sz w:val="24"/>
          <w:szCs w:val="24"/>
        </w:rPr>
        <w:t xml:space="preserve">post-treatment of digestate POME before </w:t>
      </w:r>
      <w:r w:rsidR="003F175A" w:rsidRPr="00BD58C0">
        <w:rPr>
          <w:rFonts w:ascii="Times New Roman" w:hAnsi="Times New Roman" w:cs="Times New Roman"/>
          <w:sz w:val="24"/>
          <w:szCs w:val="24"/>
        </w:rPr>
        <w:t xml:space="preserve">being </w:t>
      </w:r>
      <w:r w:rsidRPr="00BD58C0">
        <w:rPr>
          <w:rFonts w:ascii="Times New Roman" w:hAnsi="Times New Roman" w:cs="Times New Roman"/>
          <w:sz w:val="24"/>
          <w:szCs w:val="24"/>
        </w:rPr>
        <w:t>directed for land application</w:t>
      </w:r>
      <w:r w:rsidR="008F4081"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8F4081" w:rsidRPr="00BD58C0">
        <w:rPr>
          <w:rFonts w:ascii="Times New Roman" w:hAnsi="Times New Roman" w:cs="Times New Roman"/>
          <w:sz w:val="24"/>
          <w:szCs w:val="24"/>
        </w:rPr>
        <w:t xml:space="preserve">with the </w:t>
      </w:r>
      <w:r w:rsidRPr="00BD58C0">
        <w:rPr>
          <w:rFonts w:ascii="Times New Roman" w:hAnsi="Times New Roman" w:cs="Times New Roman"/>
          <w:sz w:val="24"/>
          <w:szCs w:val="24"/>
        </w:rPr>
        <w:t xml:space="preserve">electricity generated </w:t>
      </w:r>
      <w:r w:rsidR="003F175A" w:rsidRPr="00BD58C0">
        <w:rPr>
          <w:rFonts w:ascii="Times New Roman" w:hAnsi="Times New Roman" w:cs="Times New Roman"/>
          <w:sz w:val="24"/>
          <w:szCs w:val="24"/>
        </w:rPr>
        <w:t xml:space="preserve">being </w:t>
      </w:r>
      <w:r w:rsidRPr="00BD58C0">
        <w:rPr>
          <w:rFonts w:ascii="Times New Roman" w:hAnsi="Times New Roman" w:cs="Times New Roman"/>
          <w:sz w:val="24"/>
          <w:szCs w:val="24"/>
        </w:rPr>
        <w:t xml:space="preserve">transmitted to the national grid. </w:t>
      </w:r>
      <w:r w:rsidR="000636D5" w:rsidRPr="00BD58C0">
        <w:rPr>
          <w:rFonts w:ascii="Times New Roman" w:hAnsi="Times New Roman" w:cs="Times New Roman"/>
          <w:sz w:val="24"/>
          <w:szCs w:val="24"/>
        </w:rPr>
        <w:t xml:space="preserve">Transmission of electricity to the grid was credited for the revenue from the sales of the recovered </w:t>
      </w:r>
      <w:r w:rsidR="008F4081" w:rsidRPr="00BD58C0">
        <w:rPr>
          <w:rFonts w:ascii="Times New Roman" w:hAnsi="Times New Roman" w:cs="Times New Roman"/>
          <w:sz w:val="24"/>
          <w:szCs w:val="24"/>
        </w:rPr>
        <w:t xml:space="preserve">energy </w:t>
      </w:r>
      <w:r w:rsidR="000636D5" w:rsidRPr="00BD58C0">
        <w:rPr>
          <w:rFonts w:ascii="Times New Roman" w:hAnsi="Times New Roman" w:cs="Times New Roman"/>
          <w:sz w:val="24"/>
          <w:szCs w:val="24"/>
        </w:rPr>
        <w:t>resources</w:t>
      </w:r>
      <w:r w:rsidR="00A47ADA" w:rsidRPr="00BD58C0">
        <w:rPr>
          <w:rStyle w:val="FootnoteReference"/>
          <w:rFonts w:ascii="Times New Roman" w:hAnsi="Times New Roman" w:cs="Times New Roman"/>
          <w:sz w:val="24"/>
          <w:szCs w:val="24"/>
        </w:rPr>
        <w:footnoteReference w:id="1"/>
      </w:r>
      <w:r w:rsidR="000636D5" w:rsidRPr="00BD58C0">
        <w:rPr>
          <w:rFonts w:ascii="Times New Roman" w:hAnsi="Times New Roman" w:cs="Times New Roman"/>
          <w:sz w:val="24"/>
          <w:szCs w:val="24"/>
        </w:rPr>
        <w:t xml:space="preserve">. </w:t>
      </w:r>
      <w:r w:rsidR="002B42A4" w:rsidRPr="00BD58C0">
        <w:rPr>
          <w:rFonts w:ascii="Times New Roman" w:hAnsi="Times New Roman" w:cs="Times New Roman"/>
          <w:sz w:val="24"/>
          <w:szCs w:val="24"/>
        </w:rPr>
        <w:t>All</w:t>
      </w:r>
      <w:r w:rsidR="002133D4" w:rsidRPr="00BD58C0">
        <w:rPr>
          <w:rFonts w:ascii="Times New Roman" w:hAnsi="Times New Roman" w:cs="Times New Roman"/>
          <w:sz w:val="24"/>
          <w:szCs w:val="24"/>
        </w:rPr>
        <w:t xml:space="preserve"> costing</w:t>
      </w:r>
      <w:r w:rsidR="002B42A4" w:rsidRPr="00BD58C0">
        <w:rPr>
          <w:rFonts w:ascii="Times New Roman" w:hAnsi="Times New Roman" w:cs="Times New Roman"/>
          <w:sz w:val="24"/>
          <w:szCs w:val="24"/>
        </w:rPr>
        <w:t xml:space="preserve"> information was obtained directly from the </w:t>
      </w:r>
      <w:r w:rsidR="00B21804" w:rsidRPr="00BD58C0">
        <w:rPr>
          <w:rFonts w:ascii="Times New Roman" w:hAnsi="Times New Roman" w:cs="Times New Roman"/>
          <w:sz w:val="24"/>
          <w:szCs w:val="24"/>
        </w:rPr>
        <w:t>POMs</w:t>
      </w:r>
      <w:r w:rsidR="00B34730" w:rsidRPr="00BD58C0">
        <w:rPr>
          <w:rFonts w:ascii="Times New Roman" w:hAnsi="Times New Roman" w:cs="Times New Roman"/>
          <w:sz w:val="24"/>
          <w:szCs w:val="24"/>
        </w:rPr>
        <w:t>,</w:t>
      </w:r>
      <w:r w:rsidR="002B42A4" w:rsidRPr="00BD58C0">
        <w:rPr>
          <w:rFonts w:ascii="Times New Roman" w:hAnsi="Times New Roman" w:cs="Times New Roman"/>
          <w:sz w:val="24"/>
          <w:szCs w:val="24"/>
        </w:rPr>
        <w:t xml:space="preserve"> except for the </w:t>
      </w:r>
      <w:r w:rsidR="00CE58A1" w:rsidRPr="00BD58C0">
        <w:rPr>
          <w:rFonts w:ascii="Times New Roman" w:hAnsi="Times New Roman" w:cs="Times New Roman"/>
          <w:sz w:val="24"/>
          <w:szCs w:val="24"/>
        </w:rPr>
        <w:t xml:space="preserve">excavation costs of </w:t>
      </w:r>
      <w:r w:rsidR="001A7695" w:rsidRPr="00BD58C0">
        <w:rPr>
          <w:rFonts w:ascii="Times New Roman" w:hAnsi="Times New Roman" w:cs="Times New Roman"/>
          <w:sz w:val="24"/>
          <w:szCs w:val="24"/>
        </w:rPr>
        <w:t xml:space="preserve">the </w:t>
      </w:r>
      <w:r w:rsidR="00CE58A1" w:rsidRPr="00BD58C0">
        <w:rPr>
          <w:rFonts w:ascii="Times New Roman" w:hAnsi="Times New Roman" w:cs="Times New Roman"/>
          <w:sz w:val="24"/>
          <w:szCs w:val="24"/>
        </w:rPr>
        <w:t>ponding system</w:t>
      </w:r>
      <w:r w:rsidR="00B55B86" w:rsidRPr="00BD58C0">
        <w:rPr>
          <w:rFonts w:ascii="Times New Roman" w:hAnsi="Times New Roman" w:cs="Times New Roman"/>
          <w:sz w:val="24"/>
          <w:szCs w:val="24"/>
        </w:rPr>
        <w:t>,</w:t>
      </w:r>
      <w:r w:rsidR="002133D4" w:rsidRPr="00BD58C0">
        <w:rPr>
          <w:rFonts w:ascii="Times New Roman" w:hAnsi="Times New Roman" w:cs="Times New Roman"/>
          <w:sz w:val="24"/>
          <w:szCs w:val="24"/>
        </w:rPr>
        <w:t xml:space="preserve"> which</w:t>
      </w:r>
      <w:r w:rsidR="00815A8A" w:rsidRPr="00BD58C0">
        <w:rPr>
          <w:rFonts w:ascii="Times New Roman" w:hAnsi="Times New Roman" w:cs="Times New Roman"/>
          <w:sz w:val="24"/>
          <w:szCs w:val="24"/>
        </w:rPr>
        <w:t xml:space="preserve"> was</w:t>
      </w:r>
      <w:r w:rsidR="00CE58A1" w:rsidRPr="00BD58C0">
        <w:rPr>
          <w:rFonts w:ascii="Times New Roman" w:hAnsi="Times New Roman" w:cs="Times New Roman"/>
          <w:sz w:val="24"/>
          <w:szCs w:val="24"/>
        </w:rPr>
        <w:t xml:space="preserve"> calculated based on </w:t>
      </w:r>
      <w:r w:rsidR="00B14AF5" w:rsidRPr="00BD58C0">
        <w:rPr>
          <w:rFonts w:ascii="Times New Roman" w:hAnsi="Times New Roman" w:cs="Times New Roman"/>
          <w:sz w:val="24"/>
          <w:szCs w:val="24"/>
        </w:rPr>
        <w:t xml:space="preserve">values obtained from </w:t>
      </w:r>
      <w:r w:rsidR="009A5E1B" w:rsidRPr="00BD58C0">
        <w:rPr>
          <w:rFonts w:ascii="Times New Roman" w:hAnsi="Times New Roman" w:cs="Times New Roman"/>
          <w:sz w:val="24"/>
          <w:szCs w:val="24"/>
        </w:rPr>
        <w:t>[</w:t>
      </w:r>
      <w:r w:rsidR="004F61DD" w:rsidRPr="00BD58C0">
        <w:rPr>
          <w:rFonts w:ascii="Times New Roman" w:hAnsi="Times New Roman" w:cs="Times New Roman"/>
          <w:sz w:val="24"/>
          <w:szCs w:val="24"/>
        </w:rPr>
        <w:t>31</w:t>
      </w:r>
      <w:r w:rsidR="009A5E1B" w:rsidRPr="00BD58C0">
        <w:rPr>
          <w:rFonts w:ascii="Times New Roman" w:hAnsi="Times New Roman" w:cs="Times New Roman"/>
          <w:sz w:val="24"/>
          <w:szCs w:val="24"/>
        </w:rPr>
        <w:t>,</w:t>
      </w:r>
      <w:r w:rsidR="004F61DD" w:rsidRPr="00BD58C0">
        <w:rPr>
          <w:rFonts w:ascii="Times New Roman" w:hAnsi="Times New Roman" w:cs="Times New Roman"/>
          <w:sz w:val="24"/>
          <w:szCs w:val="24"/>
        </w:rPr>
        <w:t>32</w:t>
      </w:r>
      <w:r w:rsidR="009A5E1B" w:rsidRPr="00BD58C0">
        <w:rPr>
          <w:rFonts w:ascii="Times New Roman" w:hAnsi="Times New Roman" w:cs="Times New Roman"/>
          <w:sz w:val="24"/>
          <w:szCs w:val="24"/>
        </w:rPr>
        <w:t>]</w:t>
      </w:r>
      <w:r w:rsidR="00B14AF5" w:rsidRPr="00BD58C0">
        <w:rPr>
          <w:rFonts w:ascii="Times New Roman" w:hAnsi="Times New Roman" w:cs="Times New Roman"/>
          <w:sz w:val="24"/>
          <w:szCs w:val="24"/>
        </w:rPr>
        <w:t xml:space="preserve">. </w:t>
      </w:r>
    </w:p>
    <w:p w14:paraId="4C41C80E" w14:textId="188CA9D7" w:rsidR="00D65984" w:rsidRPr="00BD58C0" w:rsidRDefault="007C1E2B" w:rsidP="000D2A16">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The functional unit for the POME treatment was defined as the </w:t>
      </w:r>
      <w:r w:rsidR="00466C99" w:rsidRPr="00BD58C0">
        <w:rPr>
          <w:rFonts w:ascii="Times New Roman" w:hAnsi="Times New Roman" w:cs="Times New Roman"/>
          <w:sz w:val="24"/>
          <w:szCs w:val="24"/>
        </w:rPr>
        <w:t>t</w:t>
      </w:r>
      <w:r w:rsidRPr="00BD58C0">
        <w:rPr>
          <w:rFonts w:ascii="Times New Roman" w:hAnsi="Times New Roman" w:cs="Times New Roman"/>
          <w:sz w:val="24"/>
          <w:szCs w:val="24"/>
        </w:rPr>
        <w:t xml:space="preserve">reatment of POME for 1 kWh of electricity generation. </w:t>
      </w:r>
      <w:r w:rsidR="008C2336" w:rsidRPr="00BD58C0">
        <w:rPr>
          <w:rFonts w:ascii="Times New Roman" w:hAnsi="Times New Roman" w:cs="Times New Roman"/>
          <w:sz w:val="24"/>
          <w:szCs w:val="24"/>
        </w:rPr>
        <w:t>The lifetime of the POME treatment plant was assumed to be 20 year</w:t>
      </w:r>
      <w:r w:rsidR="000D24BC" w:rsidRPr="00BD58C0">
        <w:rPr>
          <w:rFonts w:ascii="Times New Roman" w:hAnsi="Times New Roman" w:cs="Times New Roman"/>
          <w:sz w:val="24"/>
          <w:szCs w:val="24"/>
        </w:rPr>
        <w:t>s</w:t>
      </w:r>
      <w:r w:rsidR="00417F3F" w:rsidRPr="00BD58C0">
        <w:rPr>
          <w:rFonts w:ascii="Times New Roman" w:hAnsi="Times New Roman" w:cs="Times New Roman"/>
          <w:sz w:val="24"/>
          <w:szCs w:val="24"/>
        </w:rPr>
        <w:t xml:space="preserve"> </w:t>
      </w:r>
      <w:r w:rsidR="00D2379D" w:rsidRPr="00BD58C0">
        <w:rPr>
          <w:rFonts w:ascii="Times New Roman" w:hAnsi="Times New Roman" w:cs="Times New Roman"/>
          <w:sz w:val="24"/>
          <w:szCs w:val="24"/>
        </w:rPr>
        <w:t xml:space="preserve">for </w:t>
      </w:r>
      <w:r w:rsidR="00D16697" w:rsidRPr="00BD58C0">
        <w:rPr>
          <w:rFonts w:ascii="Times New Roman" w:hAnsi="Times New Roman" w:cs="Times New Roman"/>
          <w:sz w:val="24"/>
          <w:szCs w:val="24"/>
        </w:rPr>
        <w:t>both POMs</w:t>
      </w:r>
      <w:r w:rsidR="00D450BF" w:rsidRPr="00BD58C0">
        <w:rPr>
          <w:rFonts w:ascii="Times New Roman" w:hAnsi="Times New Roman" w:cs="Times New Roman"/>
          <w:sz w:val="24"/>
          <w:szCs w:val="24"/>
        </w:rPr>
        <w:t>,</w:t>
      </w:r>
      <w:r w:rsidR="00BE5B58" w:rsidRPr="00BD58C0">
        <w:rPr>
          <w:rFonts w:ascii="Times New Roman" w:hAnsi="Times New Roman" w:cs="Times New Roman"/>
          <w:sz w:val="24"/>
          <w:szCs w:val="24"/>
        </w:rPr>
        <w:t xml:space="preserve"> based on</w:t>
      </w:r>
      <w:r w:rsidR="00D16697" w:rsidRPr="00BD58C0">
        <w:rPr>
          <w:rFonts w:ascii="Times New Roman" w:hAnsi="Times New Roman" w:cs="Times New Roman"/>
          <w:sz w:val="24"/>
          <w:szCs w:val="24"/>
        </w:rPr>
        <w:t xml:space="preserve"> </w:t>
      </w:r>
      <w:r w:rsidR="00BE5B58" w:rsidRPr="00BD58C0">
        <w:rPr>
          <w:rFonts w:ascii="Times New Roman" w:hAnsi="Times New Roman" w:cs="Times New Roman"/>
          <w:sz w:val="24"/>
          <w:szCs w:val="24"/>
        </w:rPr>
        <w:t>information obtained from the representative</w:t>
      </w:r>
      <w:r w:rsidR="00D450BF" w:rsidRPr="00BD58C0">
        <w:rPr>
          <w:rFonts w:ascii="Times New Roman" w:hAnsi="Times New Roman" w:cs="Times New Roman"/>
          <w:sz w:val="24"/>
          <w:szCs w:val="24"/>
        </w:rPr>
        <w:t>s</w:t>
      </w:r>
      <w:r w:rsidR="00BE5B58" w:rsidRPr="00BD58C0">
        <w:rPr>
          <w:rFonts w:ascii="Times New Roman" w:hAnsi="Times New Roman" w:cs="Times New Roman"/>
          <w:sz w:val="24"/>
          <w:szCs w:val="24"/>
        </w:rPr>
        <w:t xml:space="preserve"> of the mill</w:t>
      </w:r>
      <w:r w:rsidR="00D450BF" w:rsidRPr="00BD58C0">
        <w:rPr>
          <w:rFonts w:ascii="Times New Roman" w:hAnsi="Times New Roman" w:cs="Times New Roman"/>
          <w:sz w:val="24"/>
          <w:szCs w:val="24"/>
        </w:rPr>
        <w:t>s</w:t>
      </w:r>
      <w:r w:rsidR="008C2336" w:rsidRPr="00BD58C0">
        <w:rPr>
          <w:rFonts w:ascii="Times New Roman" w:hAnsi="Times New Roman" w:cs="Times New Roman"/>
          <w:sz w:val="24"/>
          <w:szCs w:val="24"/>
        </w:rPr>
        <w:t xml:space="preserve">. </w:t>
      </w:r>
      <w:r w:rsidR="00D16697" w:rsidRPr="00BD58C0">
        <w:rPr>
          <w:rFonts w:ascii="Times New Roman" w:hAnsi="Times New Roman" w:cs="Times New Roman"/>
          <w:sz w:val="24"/>
          <w:szCs w:val="24"/>
        </w:rPr>
        <w:t>L</w:t>
      </w:r>
      <w:r w:rsidR="00E86F7A" w:rsidRPr="00BD58C0">
        <w:rPr>
          <w:rFonts w:ascii="Times New Roman" w:hAnsi="Times New Roman" w:cs="Times New Roman"/>
          <w:sz w:val="24"/>
          <w:szCs w:val="24"/>
        </w:rPr>
        <w:t xml:space="preserve">ifetime refers to the </w:t>
      </w:r>
      <w:r w:rsidR="00D82A30" w:rsidRPr="00BD58C0">
        <w:rPr>
          <w:rFonts w:ascii="Times New Roman" w:hAnsi="Times New Roman" w:cs="Times New Roman"/>
          <w:sz w:val="24"/>
          <w:szCs w:val="24"/>
        </w:rPr>
        <w:t>plant lifespan.</w:t>
      </w:r>
      <w:r w:rsidR="000D585A" w:rsidRPr="00BD58C0">
        <w:rPr>
          <w:rFonts w:ascii="Times New Roman" w:hAnsi="Times New Roman" w:cs="Times New Roman"/>
          <w:sz w:val="24"/>
          <w:szCs w:val="24"/>
        </w:rPr>
        <w:t xml:space="preserve"> </w:t>
      </w:r>
    </w:p>
    <w:p w14:paraId="06032F6B" w14:textId="1CA3F46C" w:rsidR="002E3E14" w:rsidRPr="00BD58C0" w:rsidRDefault="002E3E14" w:rsidP="00375DB5">
      <w:pPr>
        <w:spacing w:after="0" w:line="360" w:lineRule="auto"/>
        <w:jc w:val="both"/>
        <w:rPr>
          <w:rFonts w:ascii="Times New Roman" w:hAnsi="Times New Roman" w:cs="Times New Roman"/>
          <w:sz w:val="24"/>
          <w:szCs w:val="24"/>
        </w:rPr>
      </w:pPr>
    </w:p>
    <w:p w14:paraId="3B475986" w14:textId="4011FA0E" w:rsidR="004851D3" w:rsidRPr="00BD58C0" w:rsidRDefault="004851D3" w:rsidP="00375DB5">
      <w:pPr>
        <w:spacing w:after="0" w:line="360" w:lineRule="auto"/>
        <w:jc w:val="both"/>
        <w:rPr>
          <w:rFonts w:ascii="Times New Roman" w:hAnsi="Times New Roman" w:cs="Times New Roman"/>
          <w:sz w:val="24"/>
          <w:szCs w:val="24"/>
        </w:rPr>
      </w:pPr>
    </w:p>
    <w:p w14:paraId="0CB2BD5C" w14:textId="1B286C61" w:rsidR="000F13A3" w:rsidRPr="00BD58C0" w:rsidRDefault="000F13A3" w:rsidP="00375DB5">
      <w:pPr>
        <w:spacing w:after="0" w:line="360" w:lineRule="auto"/>
        <w:jc w:val="both"/>
        <w:rPr>
          <w:rFonts w:ascii="Times New Roman" w:hAnsi="Times New Roman" w:cs="Times New Roman"/>
          <w:sz w:val="24"/>
          <w:szCs w:val="24"/>
        </w:rPr>
      </w:pPr>
    </w:p>
    <w:p w14:paraId="0F89911E" w14:textId="77777777" w:rsidR="000F13A3" w:rsidRPr="00BD58C0" w:rsidRDefault="000F13A3" w:rsidP="00375DB5">
      <w:pPr>
        <w:spacing w:after="0" w:line="360" w:lineRule="auto"/>
        <w:jc w:val="both"/>
        <w:rPr>
          <w:rFonts w:ascii="Times New Roman" w:hAnsi="Times New Roman" w:cs="Times New Roman"/>
          <w:sz w:val="24"/>
          <w:szCs w:val="24"/>
        </w:rPr>
      </w:pPr>
    </w:p>
    <w:p w14:paraId="2D9664CE" w14:textId="523ECB88" w:rsidR="00563DF0" w:rsidRPr="00BD58C0" w:rsidRDefault="00BF0A57" w:rsidP="00C0287E">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lastRenderedPageBreak/>
        <w:t>3</w:t>
      </w:r>
      <w:r w:rsidR="0078684E" w:rsidRPr="00BD58C0">
        <w:rPr>
          <w:rFonts w:ascii="Times New Roman" w:hAnsi="Times New Roman" w:cs="Times New Roman"/>
          <w:i/>
          <w:iCs/>
          <w:sz w:val="24"/>
          <w:szCs w:val="24"/>
        </w:rPr>
        <w:t>.</w:t>
      </w:r>
      <w:r w:rsidR="00D65984" w:rsidRPr="00BD58C0">
        <w:rPr>
          <w:rFonts w:ascii="Times New Roman" w:hAnsi="Times New Roman" w:cs="Times New Roman"/>
          <w:i/>
          <w:iCs/>
          <w:sz w:val="24"/>
          <w:szCs w:val="24"/>
        </w:rPr>
        <w:t>1.</w:t>
      </w:r>
      <w:r w:rsidR="00A31370" w:rsidRPr="00BD58C0">
        <w:rPr>
          <w:rFonts w:ascii="Times New Roman" w:hAnsi="Times New Roman" w:cs="Times New Roman"/>
          <w:i/>
          <w:iCs/>
          <w:sz w:val="24"/>
          <w:szCs w:val="24"/>
        </w:rPr>
        <w:t>2</w:t>
      </w:r>
      <w:r w:rsidR="00D65984" w:rsidRPr="00BD58C0">
        <w:rPr>
          <w:rFonts w:ascii="Times New Roman" w:hAnsi="Times New Roman" w:cs="Times New Roman"/>
          <w:i/>
          <w:iCs/>
          <w:sz w:val="24"/>
          <w:szCs w:val="24"/>
        </w:rPr>
        <w:t>.</w:t>
      </w:r>
      <w:r w:rsidR="00F335E8" w:rsidRPr="00BD58C0">
        <w:rPr>
          <w:rFonts w:ascii="Times New Roman" w:hAnsi="Times New Roman" w:cs="Times New Roman"/>
          <w:i/>
          <w:iCs/>
          <w:sz w:val="24"/>
          <w:szCs w:val="24"/>
        </w:rPr>
        <w:tab/>
      </w:r>
      <w:r w:rsidR="00C91067" w:rsidRPr="00BD58C0">
        <w:rPr>
          <w:rFonts w:ascii="Times New Roman" w:hAnsi="Times New Roman" w:cs="Times New Roman"/>
          <w:i/>
          <w:iCs/>
          <w:sz w:val="24"/>
          <w:szCs w:val="24"/>
        </w:rPr>
        <w:t>Economic analysis</w:t>
      </w:r>
    </w:p>
    <w:p w14:paraId="4E12F05B" w14:textId="77777777" w:rsidR="00443A96" w:rsidRPr="00BD58C0" w:rsidRDefault="00443A96" w:rsidP="00C0287E">
      <w:pPr>
        <w:spacing w:after="0" w:line="360" w:lineRule="auto"/>
        <w:jc w:val="both"/>
        <w:rPr>
          <w:rFonts w:ascii="Times New Roman" w:hAnsi="Times New Roman" w:cs="Times New Roman"/>
          <w:i/>
          <w:iCs/>
          <w:sz w:val="24"/>
          <w:szCs w:val="24"/>
        </w:rPr>
      </w:pPr>
    </w:p>
    <w:p w14:paraId="06AE5C0B" w14:textId="0AC806FB" w:rsidR="00AC0717" w:rsidRPr="00BD58C0" w:rsidRDefault="00393C84" w:rsidP="00547AB8">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T</w:t>
      </w:r>
      <w:r w:rsidR="00357134" w:rsidRPr="00BD58C0">
        <w:rPr>
          <w:rFonts w:ascii="Times New Roman" w:hAnsi="Times New Roman" w:cs="Times New Roman"/>
          <w:sz w:val="24"/>
          <w:szCs w:val="24"/>
        </w:rPr>
        <w:t xml:space="preserve">he </w:t>
      </w:r>
      <w:r w:rsidR="001A7695" w:rsidRPr="00BD58C0">
        <w:rPr>
          <w:rFonts w:ascii="Times New Roman" w:hAnsi="Times New Roman" w:cs="Times New Roman"/>
          <w:sz w:val="24"/>
          <w:szCs w:val="24"/>
        </w:rPr>
        <w:t xml:space="preserve">method outlined here </w:t>
      </w:r>
      <w:r w:rsidR="00941473" w:rsidRPr="00BD58C0">
        <w:rPr>
          <w:rFonts w:ascii="Times New Roman" w:hAnsi="Times New Roman" w:cs="Times New Roman"/>
          <w:sz w:val="24"/>
          <w:szCs w:val="24"/>
        </w:rPr>
        <w:t>w</w:t>
      </w:r>
      <w:r w:rsidR="00BD3E3F" w:rsidRPr="00BD58C0">
        <w:rPr>
          <w:rFonts w:ascii="Times New Roman" w:hAnsi="Times New Roman" w:cs="Times New Roman"/>
          <w:sz w:val="24"/>
          <w:szCs w:val="24"/>
        </w:rPr>
        <w:t>as</w:t>
      </w:r>
      <w:r w:rsidR="00941473" w:rsidRPr="00BD58C0">
        <w:rPr>
          <w:rFonts w:ascii="Times New Roman" w:hAnsi="Times New Roman" w:cs="Times New Roman"/>
          <w:sz w:val="24"/>
          <w:szCs w:val="24"/>
        </w:rPr>
        <w:t xml:space="preserve"> used to</w:t>
      </w:r>
      <w:r w:rsidR="00735B91" w:rsidRPr="00BD58C0">
        <w:rPr>
          <w:rFonts w:ascii="Times New Roman" w:hAnsi="Times New Roman" w:cs="Times New Roman"/>
          <w:sz w:val="24"/>
          <w:szCs w:val="24"/>
        </w:rPr>
        <w:t xml:space="preserve"> </w:t>
      </w:r>
      <w:r w:rsidR="00E37C69" w:rsidRPr="00BD58C0">
        <w:rPr>
          <w:rFonts w:ascii="Times New Roman" w:hAnsi="Times New Roman" w:cs="Times New Roman"/>
          <w:sz w:val="24"/>
          <w:szCs w:val="24"/>
        </w:rPr>
        <w:t>evaluate</w:t>
      </w:r>
      <w:r w:rsidR="00D927DD" w:rsidRPr="00BD58C0">
        <w:rPr>
          <w:rFonts w:ascii="Times New Roman" w:hAnsi="Times New Roman" w:cs="Times New Roman"/>
          <w:sz w:val="24"/>
          <w:szCs w:val="24"/>
        </w:rPr>
        <w:t xml:space="preserve"> the economic feasibility of two different POME treatment technologies for energy </w:t>
      </w:r>
      <w:r w:rsidRPr="00BD58C0">
        <w:rPr>
          <w:rFonts w:ascii="Times New Roman" w:hAnsi="Times New Roman" w:cs="Times New Roman"/>
          <w:sz w:val="24"/>
          <w:szCs w:val="24"/>
        </w:rPr>
        <w:t xml:space="preserve">generation </w:t>
      </w:r>
      <w:r w:rsidR="00BD3E3F" w:rsidRPr="00BD58C0">
        <w:rPr>
          <w:rFonts w:ascii="Times New Roman" w:hAnsi="Times New Roman" w:cs="Times New Roman"/>
          <w:sz w:val="24"/>
          <w:szCs w:val="24"/>
        </w:rPr>
        <w:t>considering</w:t>
      </w:r>
      <w:r w:rsidRPr="00BD58C0">
        <w:rPr>
          <w:rFonts w:ascii="Times New Roman" w:hAnsi="Times New Roman" w:cs="Times New Roman"/>
          <w:sz w:val="24"/>
          <w:szCs w:val="24"/>
        </w:rPr>
        <w:t xml:space="preserve"> the</w:t>
      </w:r>
      <w:r w:rsidR="00D927DD" w:rsidRPr="00BD58C0">
        <w:rPr>
          <w:rFonts w:ascii="Times New Roman" w:hAnsi="Times New Roman" w:cs="Times New Roman"/>
          <w:sz w:val="24"/>
          <w:szCs w:val="24"/>
        </w:rPr>
        <w:t xml:space="preserve"> </w:t>
      </w:r>
      <w:r w:rsidR="000D585A" w:rsidRPr="00BD58C0">
        <w:rPr>
          <w:rFonts w:ascii="Times New Roman" w:hAnsi="Times New Roman" w:cs="Times New Roman"/>
          <w:sz w:val="24"/>
          <w:szCs w:val="24"/>
        </w:rPr>
        <w:t>LCC</w:t>
      </w:r>
      <w:r w:rsidR="009076A1" w:rsidRPr="00BD58C0">
        <w:rPr>
          <w:rFonts w:ascii="Times New Roman" w:hAnsi="Times New Roman" w:cs="Times New Roman"/>
          <w:sz w:val="24"/>
          <w:szCs w:val="24"/>
        </w:rPr>
        <w:t xml:space="preserve">, </w:t>
      </w:r>
      <w:r w:rsidR="00274D1B" w:rsidRPr="00BD58C0">
        <w:rPr>
          <w:rFonts w:ascii="Times New Roman" w:hAnsi="Times New Roman" w:cs="Times New Roman"/>
          <w:sz w:val="24"/>
          <w:szCs w:val="24"/>
        </w:rPr>
        <w:t xml:space="preserve">NPV, </w:t>
      </w:r>
      <w:r w:rsidR="00D927DD" w:rsidRPr="00BD58C0">
        <w:rPr>
          <w:rFonts w:ascii="Times New Roman" w:hAnsi="Times New Roman" w:cs="Times New Roman"/>
          <w:sz w:val="24"/>
          <w:szCs w:val="24"/>
        </w:rPr>
        <w:t>ROI</w:t>
      </w:r>
      <w:r w:rsidR="00274D1B" w:rsidRPr="00BD58C0">
        <w:rPr>
          <w:rFonts w:ascii="Times New Roman" w:hAnsi="Times New Roman" w:cs="Times New Roman"/>
          <w:sz w:val="24"/>
          <w:szCs w:val="24"/>
        </w:rPr>
        <w:t xml:space="preserve"> and </w:t>
      </w:r>
      <w:r w:rsidR="00D927DD" w:rsidRPr="00BD58C0">
        <w:rPr>
          <w:rFonts w:ascii="Times New Roman" w:hAnsi="Times New Roman" w:cs="Times New Roman"/>
          <w:sz w:val="24"/>
          <w:szCs w:val="24"/>
        </w:rPr>
        <w:t xml:space="preserve">PP </w:t>
      </w:r>
      <w:r w:rsidRPr="00BD58C0">
        <w:rPr>
          <w:rFonts w:ascii="Times New Roman" w:hAnsi="Times New Roman" w:cs="Times New Roman"/>
          <w:sz w:val="24"/>
          <w:szCs w:val="24"/>
        </w:rPr>
        <w:t xml:space="preserve">for each </w:t>
      </w:r>
      <w:r w:rsidR="0051503B" w:rsidRPr="00BD58C0">
        <w:rPr>
          <w:rFonts w:ascii="Times New Roman" w:hAnsi="Times New Roman" w:cs="Times New Roman"/>
          <w:sz w:val="24"/>
          <w:szCs w:val="24"/>
        </w:rPr>
        <w:t>option</w:t>
      </w:r>
      <w:r w:rsidR="00D927DD" w:rsidRPr="00BD58C0">
        <w:rPr>
          <w:rFonts w:ascii="Times New Roman" w:hAnsi="Times New Roman" w:cs="Times New Roman"/>
          <w:sz w:val="24"/>
          <w:szCs w:val="24"/>
        </w:rPr>
        <w:t xml:space="preserve">. </w:t>
      </w:r>
      <w:r w:rsidRPr="00BD58C0">
        <w:rPr>
          <w:rFonts w:ascii="Times New Roman" w:hAnsi="Times New Roman" w:cs="Times New Roman"/>
          <w:sz w:val="24"/>
          <w:szCs w:val="24"/>
        </w:rPr>
        <w:t>The</w:t>
      </w:r>
      <w:r w:rsidR="00D927DD" w:rsidRPr="00BD58C0">
        <w:rPr>
          <w:rFonts w:ascii="Times New Roman" w:hAnsi="Times New Roman" w:cs="Times New Roman"/>
          <w:sz w:val="24"/>
          <w:szCs w:val="24"/>
        </w:rPr>
        <w:t xml:space="preserve"> data </w:t>
      </w:r>
      <w:r w:rsidRPr="00BD58C0">
        <w:rPr>
          <w:rFonts w:ascii="Times New Roman" w:hAnsi="Times New Roman" w:cs="Times New Roman"/>
          <w:sz w:val="24"/>
          <w:szCs w:val="24"/>
        </w:rPr>
        <w:t>used</w:t>
      </w:r>
      <w:r w:rsidR="004772ED"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D927DD" w:rsidRPr="00BD58C0">
        <w:rPr>
          <w:rFonts w:ascii="Times New Roman" w:hAnsi="Times New Roman" w:cs="Times New Roman"/>
          <w:sz w:val="24"/>
          <w:szCs w:val="24"/>
        </w:rPr>
        <w:t xml:space="preserve">and calculations </w:t>
      </w:r>
      <w:r w:rsidRPr="00BD58C0">
        <w:rPr>
          <w:rFonts w:ascii="Times New Roman" w:hAnsi="Times New Roman" w:cs="Times New Roman"/>
          <w:sz w:val="24"/>
          <w:szCs w:val="24"/>
        </w:rPr>
        <w:t>made</w:t>
      </w:r>
      <w:r w:rsidR="004772ED"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D927DD" w:rsidRPr="00BD58C0">
        <w:rPr>
          <w:rFonts w:ascii="Times New Roman" w:hAnsi="Times New Roman" w:cs="Times New Roman"/>
          <w:sz w:val="24"/>
          <w:szCs w:val="24"/>
        </w:rPr>
        <w:t xml:space="preserve">are </w:t>
      </w:r>
      <w:r w:rsidR="00CE09EB" w:rsidRPr="00BD58C0">
        <w:rPr>
          <w:rFonts w:ascii="Times New Roman" w:hAnsi="Times New Roman" w:cs="Times New Roman"/>
          <w:sz w:val="24"/>
          <w:szCs w:val="24"/>
        </w:rPr>
        <w:t>explained</w:t>
      </w:r>
      <w:r w:rsidR="00D927DD" w:rsidRPr="00BD58C0">
        <w:rPr>
          <w:rFonts w:ascii="Times New Roman" w:hAnsi="Times New Roman" w:cs="Times New Roman"/>
          <w:sz w:val="24"/>
          <w:szCs w:val="24"/>
        </w:rPr>
        <w:t xml:space="preserve"> below.</w:t>
      </w:r>
    </w:p>
    <w:p w14:paraId="471F506B" w14:textId="77777777" w:rsidR="00483BD7" w:rsidRPr="00BD58C0" w:rsidRDefault="00483BD7" w:rsidP="00541CC4">
      <w:pPr>
        <w:spacing w:after="0" w:line="360" w:lineRule="auto"/>
        <w:jc w:val="both"/>
        <w:rPr>
          <w:rFonts w:ascii="Times New Roman" w:hAnsi="Times New Roman" w:cs="Times New Roman"/>
          <w:sz w:val="24"/>
          <w:szCs w:val="24"/>
        </w:rPr>
      </w:pPr>
    </w:p>
    <w:p w14:paraId="679D0116" w14:textId="2A0E8313" w:rsidR="00343EFA" w:rsidRPr="00BD58C0" w:rsidRDefault="00BF0A57" w:rsidP="00C0287E">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3</w:t>
      </w:r>
      <w:r w:rsidR="00343EFA" w:rsidRPr="00BD58C0">
        <w:rPr>
          <w:rFonts w:ascii="Times New Roman" w:hAnsi="Times New Roman" w:cs="Times New Roman"/>
          <w:i/>
          <w:iCs/>
          <w:sz w:val="24"/>
          <w:szCs w:val="24"/>
        </w:rPr>
        <w:t>.</w:t>
      </w:r>
      <w:r w:rsidR="00D65984" w:rsidRPr="00BD58C0">
        <w:rPr>
          <w:rFonts w:ascii="Times New Roman" w:hAnsi="Times New Roman" w:cs="Times New Roman"/>
          <w:i/>
          <w:iCs/>
          <w:sz w:val="24"/>
          <w:szCs w:val="24"/>
        </w:rPr>
        <w:t>1.</w:t>
      </w:r>
      <w:r w:rsidR="00A31370" w:rsidRPr="00BD58C0">
        <w:rPr>
          <w:rFonts w:ascii="Times New Roman" w:hAnsi="Times New Roman" w:cs="Times New Roman"/>
          <w:i/>
          <w:iCs/>
          <w:sz w:val="24"/>
          <w:szCs w:val="24"/>
        </w:rPr>
        <w:t>2</w:t>
      </w:r>
      <w:r w:rsidR="00D65984" w:rsidRPr="00BD58C0">
        <w:rPr>
          <w:rFonts w:ascii="Times New Roman" w:hAnsi="Times New Roman" w:cs="Times New Roman"/>
          <w:i/>
          <w:iCs/>
          <w:sz w:val="24"/>
          <w:szCs w:val="24"/>
        </w:rPr>
        <w:t>.1</w:t>
      </w:r>
      <w:r w:rsidR="001734C4" w:rsidRPr="00BD58C0">
        <w:rPr>
          <w:rFonts w:ascii="Times New Roman" w:hAnsi="Times New Roman" w:cs="Times New Roman"/>
          <w:i/>
          <w:iCs/>
          <w:sz w:val="24"/>
          <w:szCs w:val="24"/>
        </w:rPr>
        <w:t xml:space="preserve">. </w:t>
      </w:r>
      <w:r w:rsidR="00343EFA" w:rsidRPr="00BD58C0">
        <w:rPr>
          <w:rFonts w:ascii="Times New Roman" w:hAnsi="Times New Roman" w:cs="Times New Roman"/>
          <w:i/>
          <w:iCs/>
          <w:sz w:val="24"/>
          <w:szCs w:val="24"/>
        </w:rPr>
        <w:t>Life cycle cost</w:t>
      </w:r>
      <w:r w:rsidR="007B111C" w:rsidRPr="00BD58C0">
        <w:rPr>
          <w:rFonts w:ascii="Times New Roman" w:hAnsi="Times New Roman" w:cs="Times New Roman"/>
          <w:i/>
          <w:iCs/>
          <w:sz w:val="24"/>
          <w:szCs w:val="24"/>
        </w:rPr>
        <w:t>ing</w:t>
      </w:r>
      <w:r w:rsidR="00404DA6" w:rsidRPr="00BD58C0">
        <w:rPr>
          <w:rFonts w:ascii="Times New Roman" w:hAnsi="Times New Roman" w:cs="Times New Roman"/>
          <w:i/>
          <w:iCs/>
          <w:sz w:val="24"/>
          <w:szCs w:val="24"/>
        </w:rPr>
        <w:t xml:space="preserve"> (LCC)</w:t>
      </w:r>
    </w:p>
    <w:p w14:paraId="1FF5126B" w14:textId="2519BEE8" w:rsidR="0078684E" w:rsidRPr="00BD58C0" w:rsidRDefault="0078684E" w:rsidP="00C0287E">
      <w:pPr>
        <w:spacing w:after="0" w:line="360" w:lineRule="auto"/>
        <w:jc w:val="both"/>
        <w:rPr>
          <w:rFonts w:ascii="Times New Roman" w:hAnsi="Times New Roman" w:cs="Times New Roman"/>
          <w:i/>
          <w:iCs/>
          <w:sz w:val="24"/>
          <w:szCs w:val="24"/>
        </w:rPr>
      </w:pPr>
    </w:p>
    <w:p w14:paraId="322187B1" w14:textId="477C35AD" w:rsidR="00194239" w:rsidRPr="00BD58C0" w:rsidRDefault="00194239" w:rsidP="00B12523">
      <w:pPr>
        <w:spacing w:after="0" w:line="360" w:lineRule="auto"/>
        <w:ind w:firstLine="720"/>
        <w:jc w:val="both"/>
        <w:rPr>
          <w:rFonts w:ascii="Times New Roman" w:hAnsi="Times New Roman" w:cs="Times New Roman"/>
          <w:sz w:val="28"/>
          <w:szCs w:val="28"/>
        </w:rPr>
      </w:pPr>
      <w:r w:rsidRPr="00BD58C0">
        <w:rPr>
          <w:rFonts w:ascii="Times New Roman" w:hAnsi="Times New Roman" w:cs="Times New Roman"/>
          <w:sz w:val="24"/>
          <w:szCs w:val="24"/>
        </w:rPr>
        <w:t xml:space="preserve">LCC </w:t>
      </w:r>
      <w:r w:rsidR="009B0B87" w:rsidRPr="00BD58C0">
        <w:rPr>
          <w:rFonts w:ascii="Times New Roman" w:hAnsi="Times New Roman" w:cs="Times New Roman"/>
          <w:sz w:val="24"/>
          <w:szCs w:val="24"/>
        </w:rPr>
        <w:t xml:space="preserve">can </w:t>
      </w:r>
      <w:r w:rsidRPr="00BD58C0">
        <w:rPr>
          <w:rFonts w:ascii="Times New Roman" w:hAnsi="Times New Roman" w:cs="Times New Roman"/>
          <w:sz w:val="24"/>
          <w:szCs w:val="24"/>
        </w:rPr>
        <w:t>evaluate the economic performance of products</w:t>
      </w:r>
      <w:r w:rsidR="0017717D" w:rsidRPr="00BD58C0">
        <w:rPr>
          <w:rFonts w:ascii="Times New Roman" w:hAnsi="Times New Roman" w:cs="Times New Roman"/>
          <w:sz w:val="24"/>
          <w:szCs w:val="24"/>
        </w:rPr>
        <w:t xml:space="preserve"> comparing </w:t>
      </w:r>
      <w:r w:rsidRPr="00BD58C0">
        <w:rPr>
          <w:rFonts w:ascii="Times New Roman" w:hAnsi="Times New Roman" w:cs="Times New Roman"/>
          <w:sz w:val="24"/>
          <w:szCs w:val="24"/>
        </w:rPr>
        <w:t>cost</w:t>
      </w:r>
      <w:r w:rsidR="007B111C" w:rsidRPr="00BD58C0">
        <w:rPr>
          <w:rFonts w:ascii="Times New Roman" w:hAnsi="Times New Roman" w:cs="Times New Roman"/>
          <w:sz w:val="24"/>
          <w:szCs w:val="24"/>
        </w:rPr>
        <w:t>s</w:t>
      </w:r>
      <w:r w:rsidRPr="00BD58C0">
        <w:rPr>
          <w:rFonts w:ascii="Times New Roman" w:hAnsi="Times New Roman" w:cs="Times New Roman"/>
          <w:sz w:val="24"/>
          <w:szCs w:val="24"/>
        </w:rPr>
        <w:t xml:space="preserve"> over a specified period of time</w:t>
      </w:r>
      <w:r w:rsidR="00393C84"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17717D" w:rsidRPr="00BD58C0">
        <w:rPr>
          <w:rFonts w:ascii="Times New Roman" w:hAnsi="Times New Roman" w:cs="Times New Roman"/>
          <w:sz w:val="24"/>
          <w:szCs w:val="24"/>
        </w:rPr>
        <w:t>considering</w:t>
      </w:r>
      <w:r w:rsidRPr="00BD58C0">
        <w:rPr>
          <w:rFonts w:ascii="Times New Roman" w:hAnsi="Times New Roman" w:cs="Times New Roman"/>
          <w:sz w:val="24"/>
          <w:szCs w:val="24"/>
        </w:rPr>
        <w:t xml:space="preserve"> all related economic factors</w:t>
      </w:r>
      <w:r w:rsidR="00393C84" w:rsidRPr="00BD58C0">
        <w:rPr>
          <w:rFonts w:ascii="Times New Roman" w:hAnsi="Times New Roman" w:cs="Times New Roman"/>
          <w:sz w:val="24"/>
          <w:szCs w:val="24"/>
        </w:rPr>
        <w:t>,</w:t>
      </w:r>
      <w:r w:rsidRPr="00BD58C0">
        <w:rPr>
          <w:rFonts w:ascii="Times New Roman" w:hAnsi="Times New Roman" w:cs="Times New Roman"/>
          <w:sz w:val="24"/>
          <w:szCs w:val="24"/>
        </w:rPr>
        <w:t xml:space="preserve"> in terms of future operational costs and initial costs. ISO 15686 </w:t>
      </w:r>
      <w:r w:rsidR="00393C84" w:rsidRPr="00BD58C0">
        <w:rPr>
          <w:rFonts w:ascii="Times New Roman" w:hAnsi="Times New Roman" w:cs="Times New Roman"/>
          <w:sz w:val="24"/>
          <w:szCs w:val="24"/>
        </w:rPr>
        <w:t xml:space="preserve">suggests </w:t>
      </w:r>
      <w:r w:rsidRPr="00BD58C0">
        <w:rPr>
          <w:rFonts w:ascii="Times New Roman" w:hAnsi="Times New Roman" w:cs="Times New Roman"/>
          <w:sz w:val="24"/>
          <w:szCs w:val="24"/>
        </w:rPr>
        <w:t>a framework consisting of four step</w:t>
      </w:r>
      <w:r w:rsidR="00393C84" w:rsidRPr="00BD58C0">
        <w:rPr>
          <w:rFonts w:ascii="Times New Roman" w:hAnsi="Times New Roman" w:cs="Times New Roman"/>
          <w:sz w:val="24"/>
          <w:szCs w:val="24"/>
        </w:rPr>
        <w:t>s</w:t>
      </w:r>
      <w:r w:rsidRPr="00BD58C0">
        <w:rPr>
          <w:rFonts w:ascii="Times New Roman" w:hAnsi="Times New Roman" w:cs="Times New Roman"/>
          <w:sz w:val="24"/>
          <w:szCs w:val="24"/>
        </w:rPr>
        <w:t>: (1) alternative strategies should be defined for evaluation; (2) economic criteria</w:t>
      </w:r>
      <w:r w:rsidR="00393C84" w:rsidRPr="00BD58C0">
        <w:rPr>
          <w:rFonts w:ascii="Times New Roman" w:hAnsi="Times New Roman" w:cs="Times New Roman"/>
          <w:sz w:val="24"/>
          <w:szCs w:val="24"/>
        </w:rPr>
        <w:t xml:space="preserve"> should be identified</w:t>
      </w:r>
      <w:r w:rsidRPr="00BD58C0">
        <w:rPr>
          <w:rFonts w:ascii="Times New Roman" w:hAnsi="Times New Roman" w:cs="Times New Roman"/>
          <w:sz w:val="24"/>
          <w:szCs w:val="24"/>
        </w:rPr>
        <w:t xml:space="preserve">; (3) obtain and accumulate significant costs; (4) execute risk assessment </w:t>
      </w:r>
      <w:r w:rsidR="00393C84" w:rsidRPr="00BD58C0">
        <w:rPr>
          <w:rFonts w:ascii="Times New Roman" w:hAnsi="Times New Roman" w:cs="Times New Roman"/>
          <w:sz w:val="24"/>
          <w:szCs w:val="24"/>
        </w:rPr>
        <w:t>(</w:t>
      </w:r>
      <w:r w:rsidRPr="00BD58C0">
        <w:rPr>
          <w:rFonts w:ascii="Times New Roman" w:hAnsi="Times New Roman" w:cs="Times New Roman"/>
          <w:sz w:val="24"/>
          <w:szCs w:val="24"/>
        </w:rPr>
        <w:t>sensitivity analysis</w:t>
      </w:r>
      <w:r w:rsidR="00393C84" w:rsidRPr="00BD58C0">
        <w:rPr>
          <w:rFonts w:ascii="Times New Roman" w:hAnsi="Times New Roman" w:cs="Times New Roman"/>
          <w:sz w:val="24"/>
          <w:szCs w:val="24"/>
        </w:rPr>
        <w:t>)</w:t>
      </w:r>
      <w:r w:rsidR="000C3E36" w:rsidRPr="00BD58C0">
        <w:rPr>
          <w:rFonts w:ascii="Times New Roman" w:hAnsi="Times New Roman" w:cs="Times New Roman"/>
          <w:sz w:val="24"/>
          <w:szCs w:val="24"/>
        </w:rPr>
        <w:t xml:space="preserve"> [</w:t>
      </w:r>
      <w:r w:rsidR="00927638" w:rsidRPr="00BD58C0">
        <w:rPr>
          <w:rFonts w:ascii="Times New Roman" w:hAnsi="Times New Roman" w:cs="Times New Roman"/>
          <w:sz w:val="24"/>
          <w:szCs w:val="24"/>
        </w:rPr>
        <w:t>3</w:t>
      </w:r>
      <w:r w:rsidR="00BE3724" w:rsidRPr="00BD58C0">
        <w:rPr>
          <w:rFonts w:ascii="Times New Roman" w:hAnsi="Times New Roman" w:cs="Times New Roman"/>
          <w:sz w:val="24"/>
          <w:szCs w:val="24"/>
        </w:rPr>
        <w:t>3</w:t>
      </w:r>
      <w:r w:rsidR="000C3E36" w:rsidRPr="00BD58C0">
        <w:rPr>
          <w:rFonts w:ascii="Times New Roman" w:hAnsi="Times New Roman" w:cs="Times New Roman"/>
          <w:sz w:val="24"/>
          <w:szCs w:val="24"/>
        </w:rPr>
        <w:t>]</w:t>
      </w:r>
      <w:r w:rsidRPr="00BD58C0">
        <w:rPr>
          <w:rFonts w:ascii="Times New Roman" w:hAnsi="Times New Roman" w:cs="Times New Roman"/>
          <w:sz w:val="24"/>
          <w:szCs w:val="24"/>
        </w:rPr>
        <w:t xml:space="preserve">. LCC is in line with the life cycle method of </w:t>
      </w:r>
      <w:r w:rsidR="00393C84" w:rsidRPr="00BD58C0">
        <w:rPr>
          <w:rFonts w:ascii="Times New Roman" w:hAnsi="Times New Roman" w:cs="Times New Roman"/>
          <w:sz w:val="24"/>
          <w:szCs w:val="24"/>
        </w:rPr>
        <w:t xml:space="preserve">assessing </w:t>
      </w:r>
      <w:r w:rsidRPr="00BD58C0">
        <w:rPr>
          <w:rFonts w:ascii="Times New Roman" w:hAnsi="Times New Roman" w:cs="Times New Roman"/>
          <w:sz w:val="24"/>
          <w:szCs w:val="24"/>
        </w:rPr>
        <w:t>a product</w:t>
      </w:r>
      <w:r w:rsidR="007B111C"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7B111C" w:rsidRPr="00BD58C0">
        <w:rPr>
          <w:rFonts w:ascii="Times New Roman" w:hAnsi="Times New Roman" w:cs="Times New Roman"/>
          <w:sz w:val="24"/>
          <w:szCs w:val="24"/>
        </w:rPr>
        <w:t xml:space="preserve">covering </w:t>
      </w:r>
      <w:r w:rsidRPr="00BD58C0">
        <w:rPr>
          <w:rFonts w:ascii="Times New Roman" w:hAnsi="Times New Roman" w:cs="Times New Roman"/>
          <w:sz w:val="24"/>
          <w:szCs w:val="24"/>
        </w:rPr>
        <w:t>one or more actors in the product life cycle</w:t>
      </w:r>
      <w:r w:rsidR="00393C84"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7B111C" w:rsidRPr="00BD58C0">
        <w:rPr>
          <w:rFonts w:ascii="Times New Roman" w:hAnsi="Times New Roman" w:cs="Times New Roman"/>
          <w:sz w:val="24"/>
          <w:szCs w:val="24"/>
        </w:rPr>
        <w:t>and includ</w:t>
      </w:r>
      <w:r w:rsidR="00C75CAE" w:rsidRPr="00BD58C0">
        <w:rPr>
          <w:rFonts w:ascii="Times New Roman" w:hAnsi="Times New Roman" w:cs="Times New Roman"/>
          <w:sz w:val="24"/>
          <w:szCs w:val="24"/>
        </w:rPr>
        <w:t>ing</w:t>
      </w:r>
      <w:r w:rsidR="007B111C" w:rsidRPr="00BD58C0">
        <w:rPr>
          <w:rFonts w:ascii="Times New Roman" w:hAnsi="Times New Roman" w:cs="Times New Roman"/>
          <w:sz w:val="24"/>
          <w:szCs w:val="24"/>
        </w:rPr>
        <w:t xml:space="preserve"> </w:t>
      </w:r>
      <w:r w:rsidRPr="00BD58C0">
        <w:rPr>
          <w:rFonts w:ascii="Times New Roman" w:hAnsi="Times New Roman" w:cs="Times New Roman"/>
          <w:sz w:val="24"/>
          <w:szCs w:val="24"/>
        </w:rPr>
        <w:t>externalities that are targeted in future decision making</w:t>
      </w:r>
      <w:r w:rsidR="0035322B" w:rsidRPr="00BD58C0">
        <w:rPr>
          <w:rFonts w:ascii="Times New Roman" w:hAnsi="Times New Roman" w:cs="Times New Roman"/>
          <w:sz w:val="24"/>
          <w:szCs w:val="24"/>
        </w:rPr>
        <w:t xml:space="preserve"> [</w:t>
      </w:r>
      <w:r w:rsidR="00927638" w:rsidRPr="00BD58C0">
        <w:rPr>
          <w:rFonts w:ascii="Times New Roman" w:hAnsi="Times New Roman" w:cs="Times New Roman"/>
          <w:sz w:val="24"/>
          <w:szCs w:val="24"/>
        </w:rPr>
        <w:t>3</w:t>
      </w:r>
      <w:r w:rsidR="00BE3724" w:rsidRPr="00BD58C0">
        <w:rPr>
          <w:rFonts w:ascii="Times New Roman" w:hAnsi="Times New Roman" w:cs="Times New Roman"/>
          <w:sz w:val="24"/>
          <w:szCs w:val="24"/>
        </w:rPr>
        <w:t>4</w:t>
      </w:r>
      <w:r w:rsidR="0035322B" w:rsidRPr="00BD58C0">
        <w:rPr>
          <w:rFonts w:ascii="Times New Roman" w:hAnsi="Times New Roman" w:cs="Times New Roman"/>
          <w:sz w:val="24"/>
          <w:szCs w:val="24"/>
        </w:rPr>
        <w:t>]</w:t>
      </w:r>
      <w:r w:rsidRPr="00BD58C0">
        <w:rPr>
          <w:rFonts w:ascii="Times New Roman" w:hAnsi="Times New Roman" w:cs="Times New Roman"/>
          <w:sz w:val="24"/>
          <w:szCs w:val="24"/>
        </w:rPr>
        <w:t xml:space="preserve">. </w:t>
      </w:r>
      <w:r w:rsidR="007B111C" w:rsidRPr="00BD58C0">
        <w:rPr>
          <w:rFonts w:ascii="Times New Roman" w:hAnsi="Times New Roman" w:cs="Times New Roman"/>
          <w:sz w:val="24"/>
          <w:szCs w:val="24"/>
        </w:rPr>
        <w:t xml:space="preserve">The process considers </w:t>
      </w:r>
      <w:r w:rsidRPr="00BD58C0">
        <w:rPr>
          <w:rFonts w:ascii="Times New Roman" w:hAnsi="Times New Roman" w:cs="Times New Roman"/>
          <w:sz w:val="24"/>
          <w:szCs w:val="24"/>
        </w:rPr>
        <w:t>acquisition costs, operation costs, maintenance and repair costs</w:t>
      </w:r>
      <w:r w:rsidR="00D450BF" w:rsidRPr="00BD58C0">
        <w:rPr>
          <w:rFonts w:ascii="Times New Roman" w:hAnsi="Times New Roman" w:cs="Times New Roman"/>
          <w:sz w:val="24"/>
          <w:szCs w:val="24"/>
        </w:rPr>
        <w:t>,</w:t>
      </w:r>
      <w:r w:rsidRPr="00BD58C0">
        <w:rPr>
          <w:rFonts w:ascii="Times New Roman" w:hAnsi="Times New Roman" w:cs="Times New Roman"/>
          <w:sz w:val="24"/>
          <w:szCs w:val="24"/>
        </w:rPr>
        <w:t xml:space="preserve"> and disposal costs</w:t>
      </w:r>
      <w:r w:rsidR="005B28D2" w:rsidRPr="00BD58C0">
        <w:rPr>
          <w:rFonts w:ascii="Times New Roman" w:hAnsi="Times New Roman" w:cs="Times New Roman"/>
          <w:sz w:val="24"/>
          <w:szCs w:val="24"/>
        </w:rPr>
        <w:t xml:space="preserve"> [</w:t>
      </w:r>
      <w:r w:rsidR="00087989" w:rsidRPr="00BD58C0">
        <w:rPr>
          <w:rFonts w:ascii="Times New Roman" w:hAnsi="Times New Roman" w:cs="Times New Roman"/>
          <w:sz w:val="24"/>
          <w:szCs w:val="24"/>
        </w:rPr>
        <w:t>3</w:t>
      </w:r>
      <w:r w:rsidR="00BE3724" w:rsidRPr="00BD58C0">
        <w:rPr>
          <w:rFonts w:ascii="Times New Roman" w:hAnsi="Times New Roman" w:cs="Times New Roman"/>
          <w:sz w:val="24"/>
          <w:szCs w:val="24"/>
        </w:rPr>
        <w:t>5</w:t>
      </w:r>
      <w:r w:rsidR="005B28D2" w:rsidRPr="00BD58C0">
        <w:rPr>
          <w:rFonts w:ascii="Times New Roman" w:hAnsi="Times New Roman" w:cs="Times New Roman"/>
          <w:sz w:val="24"/>
          <w:szCs w:val="24"/>
        </w:rPr>
        <w:t>]</w:t>
      </w:r>
      <w:r w:rsidR="00F060DF" w:rsidRPr="00BD58C0">
        <w:rPr>
          <w:rFonts w:ascii="Times New Roman" w:hAnsi="Times New Roman" w:cs="Times New Roman"/>
          <w:sz w:val="24"/>
          <w:szCs w:val="24"/>
        </w:rPr>
        <w:t>,</w:t>
      </w:r>
      <w:r w:rsidR="0031487A" w:rsidRPr="00BD58C0">
        <w:rPr>
          <w:rFonts w:ascii="Times New Roman" w:hAnsi="Times New Roman" w:cs="Times New Roman"/>
          <w:sz w:val="24"/>
          <w:szCs w:val="24"/>
        </w:rPr>
        <w:t xml:space="preserve"> as well as externalities</w:t>
      </w:r>
      <w:r w:rsidRPr="00BD58C0">
        <w:rPr>
          <w:rFonts w:ascii="Times New Roman" w:hAnsi="Times New Roman" w:cs="Times New Roman"/>
          <w:sz w:val="24"/>
          <w:szCs w:val="24"/>
        </w:rPr>
        <w:t xml:space="preserve">. </w:t>
      </w:r>
      <w:r w:rsidR="00CB25A1" w:rsidRPr="00BD58C0">
        <w:rPr>
          <w:rFonts w:ascii="Times New Roman" w:hAnsi="Times New Roman" w:cs="Times New Roman"/>
          <w:sz w:val="24"/>
          <w:szCs w:val="24"/>
        </w:rPr>
        <w:t xml:space="preserve">However, </w:t>
      </w:r>
      <w:r w:rsidR="008F129B" w:rsidRPr="00BD58C0">
        <w:rPr>
          <w:rFonts w:ascii="Times New Roman" w:hAnsi="Times New Roman" w:cs="Times New Roman"/>
          <w:sz w:val="24"/>
          <w:szCs w:val="24"/>
        </w:rPr>
        <w:t xml:space="preserve">in this study, </w:t>
      </w:r>
      <w:r w:rsidR="00CB25A1" w:rsidRPr="00BD58C0">
        <w:rPr>
          <w:rFonts w:ascii="Times New Roman" w:hAnsi="Times New Roman" w:cs="Times New Roman"/>
          <w:sz w:val="24"/>
          <w:szCs w:val="24"/>
        </w:rPr>
        <w:t xml:space="preserve">externalities </w:t>
      </w:r>
      <w:r w:rsidR="008F129B" w:rsidRPr="00BD58C0">
        <w:rPr>
          <w:rFonts w:ascii="Times New Roman" w:hAnsi="Times New Roman" w:cs="Times New Roman"/>
          <w:sz w:val="24"/>
          <w:szCs w:val="24"/>
        </w:rPr>
        <w:t>have been excluded</w:t>
      </w:r>
      <w:r w:rsidR="00CB25A1" w:rsidRPr="00BD58C0">
        <w:rPr>
          <w:rFonts w:ascii="Times New Roman" w:hAnsi="Times New Roman" w:cs="Times New Roman"/>
          <w:sz w:val="24"/>
          <w:szCs w:val="24"/>
        </w:rPr>
        <w:t xml:space="preserve"> </w:t>
      </w:r>
      <w:r w:rsidR="000D6F52" w:rsidRPr="00BD58C0">
        <w:rPr>
          <w:rFonts w:ascii="Times New Roman" w:hAnsi="Times New Roman" w:cs="Times New Roman"/>
          <w:sz w:val="24"/>
          <w:szCs w:val="24"/>
        </w:rPr>
        <w:t>due to insufficient</w:t>
      </w:r>
      <w:r w:rsidR="00CB25A1" w:rsidRPr="00BD58C0">
        <w:rPr>
          <w:rFonts w:ascii="Times New Roman" w:hAnsi="Times New Roman" w:cs="Times New Roman"/>
          <w:sz w:val="24"/>
          <w:szCs w:val="24"/>
        </w:rPr>
        <w:t xml:space="preserve"> information.</w:t>
      </w:r>
    </w:p>
    <w:p w14:paraId="4B8601DE" w14:textId="2B0EDE9F" w:rsidR="005B32DF" w:rsidRPr="00BD58C0" w:rsidRDefault="00D149DE" w:rsidP="00365C69">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Table 1 summarises the costs involved </w:t>
      </w:r>
      <w:r w:rsidR="000529A2" w:rsidRPr="00BD58C0">
        <w:rPr>
          <w:rFonts w:ascii="Times New Roman" w:hAnsi="Times New Roman" w:cs="Times New Roman"/>
          <w:sz w:val="24"/>
          <w:szCs w:val="24"/>
        </w:rPr>
        <w:t>in the</w:t>
      </w:r>
      <w:r w:rsidRPr="00BD58C0">
        <w:rPr>
          <w:rFonts w:ascii="Times New Roman" w:hAnsi="Times New Roman" w:cs="Times New Roman"/>
          <w:sz w:val="24"/>
          <w:szCs w:val="24"/>
        </w:rPr>
        <w:t xml:space="preserve"> economic calculation</w:t>
      </w:r>
      <w:r w:rsidR="0051322A" w:rsidRPr="00BD58C0">
        <w:rPr>
          <w:rFonts w:ascii="Times New Roman" w:hAnsi="Times New Roman" w:cs="Times New Roman"/>
          <w:sz w:val="24"/>
          <w:szCs w:val="24"/>
        </w:rPr>
        <w:t xml:space="preserve"> </w:t>
      </w:r>
      <w:r w:rsidR="000529A2" w:rsidRPr="00BD58C0">
        <w:rPr>
          <w:rFonts w:ascii="Times New Roman" w:hAnsi="Times New Roman" w:cs="Times New Roman"/>
          <w:sz w:val="24"/>
          <w:szCs w:val="24"/>
        </w:rPr>
        <w:t>covering</w:t>
      </w:r>
      <w:r w:rsidR="0051322A" w:rsidRPr="00BD58C0">
        <w:rPr>
          <w:rFonts w:ascii="Times New Roman" w:hAnsi="Times New Roman" w:cs="Times New Roman"/>
          <w:sz w:val="24"/>
          <w:szCs w:val="24"/>
        </w:rPr>
        <w:t xml:space="preserve"> included and excluded cost items for LCC.</w:t>
      </w:r>
      <w:r w:rsidR="009449BB" w:rsidRPr="00BD58C0">
        <w:rPr>
          <w:rFonts w:ascii="Times New Roman" w:hAnsi="Times New Roman" w:cs="Times New Roman"/>
          <w:sz w:val="24"/>
          <w:szCs w:val="24"/>
        </w:rPr>
        <w:t xml:space="preserve"> </w:t>
      </w:r>
      <w:r w:rsidR="006A7564" w:rsidRPr="00BD58C0">
        <w:rPr>
          <w:rFonts w:ascii="Times New Roman" w:hAnsi="Times New Roman" w:cs="Times New Roman"/>
          <w:sz w:val="24"/>
          <w:szCs w:val="24"/>
        </w:rPr>
        <w:t xml:space="preserve">Since the elements involved </w:t>
      </w:r>
      <w:r w:rsidR="00C45AAF" w:rsidRPr="00BD58C0">
        <w:rPr>
          <w:rFonts w:ascii="Times New Roman" w:hAnsi="Times New Roman" w:cs="Times New Roman"/>
          <w:sz w:val="24"/>
          <w:szCs w:val="24"/>
        </w:rPr>
        <w:t>in</w:t>
      </w:r>
      <w:r w:rsidR="006A7564" w:rsidRPr="00BD58C0">
        <w:rPr>
          <w:rFonts w:ascii="Times New Roman" w:hAnsi="Times New Roman" w:cs="Times New Roman"/>
          <w:sz w:val="24"/>
          <w:szCs w:val="24"/>
        </w:rPr>
        <w:t xml:space="preserve"> </w:t>
      </w:r>
      <w:r w:rsidR="007B111C" w:rsidRPr="00BD58C0">
        <w:rPr>
          <w:rFonts w:ascii="Times New Roman" w:hAnsi="Times New Roman" w:cs="Times New Roman"/>
          <w:sz w:val="24"/>
          <w:szCs w:val="24"/>
        </w:rPr>
        <w:t xml:space="preserve">the </w:t>
      </w:r>
      <w:r w:rsidR="006A7564" w:rsidRPr="00BD58C0">
        <w:rPr>
          <w:rFonts w:ascii="Times New Roman" w:hAnsi="Times New Roman" w:cs="Times New Roman"/>
          <w:sz w:val="24"/>
          <w:szCs w:val="24"/>
        </w:rPr>
        <w:t xml:space="preserve">LCC calculation </w:t>
      </w:r>
      <w:r w:rsidR="00C45AAF" w:rsidRPr="00BD58C0">
        <w:rPr>
          <w:rFonts w:ascii="Times New Roman" w:hAnsi="Times New Roman" w:cs="Times New Roman"/>
          <w:sz w:val="24"/>
          <w:szCs w:val="24"/>
        </w:rPr>
        <w:t xml:space="preserve">were </w:t>
      </w:r>
      <w:r w:rsidR="006A7564" w:rsidRPr="00BD58C0">
        <w:rPr>
          <w:rFonts w:ascii="Times New Roman" w:hAnsi="Times New Roman" w:cs="Times New Roman"/>
          <w:sz w:val="24"/>
          <w:szCs w:val="24"/>
        </w:rPr>
        <w:t>based on annual costings, t</w:t>
      </w:r>
      <w:r w:rsidR="00AB794B" w:rsidRPr="00BD58C0">
        <w:rPr>
          <w:rFonts w:ascii="Times New Roman" w:hAnsi="Times New Roman" w:cs="Times New Roman"/>
          <w:sz w:val="24"/>
          <w:szCs w:val="24"/>
        </w:rPr>
        <w:t xml:space="preserve">he </w:t>
      </w:r>
      <w:r w:rsidR="00D40ABB" w:rsidRPr="00BD58C0">
        <w:rPr>
          <w:rFonts w:ascii="Times New Roman" w:hAnsi="Times New Roman" w:cs="Times New Roman"/>
          <w:sz w:val="24"/>
          <w:szCs w:val="24"/>
        </w:rPr>
        <w:t xml:space="preserve">total </w:t>
      </w:r>
      <w:r w:rsidR="00AB794B" w:rsidRPr="00BD58C0">
        <w:rPr>
          <w:rFonts w:ascii="Times New Roman" w:hAnsi="Times New Roman" w:cs="Times New Roman"/>
          <w:sz w:val="24"/>
          <w:szCs w:val="24"/>
        </w:rPr>
        <w:t xml:space="preserve">capital cost of </w:t>
      </w:r>
      <w:r w:rsidR="006A7564" w:rsidRPr="00BD58C0">
        <w:rPr>
          <w:rFonts w:ascii="Times New Roman" w:hAnsi="Times New Roman" w:cs="Times New Roman"/>
          <w:sz w:val="24"/>
          <w:szCs w:val="24"/>
        </w:rPr>
        <w:t>each syste</w:t>
      </w:r>
      <w:r w:rsidR="00D40ABB" w:rsidRPr="00BD58C0">
        <w:rPr>
          <w:rFonts w:ascii="Times New Roman" w:hAnsi="Times New Roman" w:cs="Times New Roman"/>
          <w:sz w:val="24"/>
          <w:szCs w:val="24"/>
        </w:rPr>
        <w:t xml:space="preserve">m </w:t>
      </w:r>
      <w:r w:rsidR="00AB794B" w:rsidRPr="00BD58C0">
        <w:rPr>
          <w:rFonts w:ascii="Times New Roman" w:hAnsi="Times New Roman" w:cs="Times New Roman"/>
          <w:sz w:val="24"/>
          <w:szCs w:val="24"/>
        </w:rPr>
        <w:t>was annualised</w:t>
      </w:r>
      <w:r w:rsidR="00C45AAF" w:rsidRPr="00BD58C0">
        <w:rPr>
          <w:rFonts w:ascii="Times New Roman" w:hAnsi="Times New Roman" w:cs="Times New Roman"/>
          <w:sz w:val="24"/>
          <w:szCs w:val="24"/>
        </w:rPr>
        <w:t>,</w:t>
      </w:r>
      <w:r w:rsidR="00AB794B" w:rsidRPr="00BD58C0">
        <w:rPr>
          <w:rFonts w:ascii="Times New Roman" w:hAnsi="Times New Roman" w:cs="Times New Roman"/>
          <w:sz w:val="24"/>
          <w:szCs w:val="24"/>
        </w:rPr>
        <w:t xml:space="preserve"> </w:t>
      </w:r>
      <w:r w:rsidR="00C45AAF" w:rsidRPr="00BD58C0">
        <w:rPr>
          <w:rFonts w:ascii="Times New Roman" w:hAnsi="Times New Roman" w:cs="Times New Roman"/>
          <w:sz w:val="24"/>
          <w:szCs w:val="24"/>
        </w:rPr>
        <w:t xml:space="preserve">assuming a </w:t>
      </w:r>
      <w:r w:rsidR="003B31E7" w:rsidRPr="00BD58C0">
        <w:rPr>
          <w:rFonts w:ascii="Times New Roman" w:hAnsi="Times New Roman" w:cs="Times New Roman"/>
          <w:sz w:val="24"/>
          <w:szCs w:val="24"/>
        </w:rPr>
        <w:t>20-year</w:t>
      </w:r>
      <w:r w:rsidR="00AB794B" w:rsidRPr="00BD58C0">
        <w:rPr>
          <w:rFonts w:ascii="Times New Roman" w:hAnsi="Times New Roman" w:cs="Times New Roman"/>
          <w:sz w:val="24"/>
          <w:szCs w:val="24"/>
        </w:rPr>
        <w:t xml:space="preserve"> </w:t>
      </w:r>
      <w:r w:rsidR="001562CD" w:rsidRPr="00BD58C0">
        <w:rPr>
          <w:rFonts w:ascii="Times New Roman" w:hAnsi="Times New Roman" w:cs="Times New Roman"/>
          <w:sz w:val="24"/>
          <w:szCs w:val="24"/>
        </w:rPr>
        <w:t>lifespan and</w:t>
      </w:r>
      <w:r w:rsidR="00AB794B" w:rsidRPr="00BD58C0">
        <w:rPr>
          <w:rFonts w:ascii="Times New Roman" w:hAnsi="Times New Roman" w:cs="Times New Roman"/>
          <w:sz w:val="24"/>
          <w:szCs w:val="24"/>
        </w:rPr>
        <w:t xml:space="preserve"> </w:t>
      </w:r>
      <w:r w:rsidR="00954804" w:rsidRPr="00BD58C0">
        <w:rPr>
          <w:rFonts w:ascii="Times New Roman" w:hAnsi="Times New Roman" w:cs="Times New Roman"/>
          <w:sz w:val="24"/>
          <w:szCs w:val="24"/>
        </w:rPr>
        <w:t>3.64</w:t>
      </w:r>
      <w:r w:rsidR="000C6579" w:rsidRPr="00BD58C0">
        <w:rPr>
          <w:rFonts w:ascii="Times New Roman" w:hAnsi="Times New Roman" w:cs="Times New Roman"/>
          <w:sz w:val="24"/>
          <w:szCs w:val="24"/>
        </w:rPr>
        <w:t xml:space="preserve">% </w:t>
      </w:r>
      <w:r w:rsidR="008F5CA5" w:rsidRPr="00BD58C0">
        <w:rPr>
          <w:rFonts w:ascii="Times New Roman" w:hAnsi="Times New Roman" w:cs="Times New Roman"/>
          <w:sz w:val="24"/>
          <w:szCs w:val="24"/>
        </w:rPr>
        <w:t xml:space="preserve">average </w:t>
      </w:r>
      <w:r w:rsidR="006A7564" w:rsidRPr="00BD58C0">
        <w:rPr>
          <w:rFonts w:ascii="Times New Roman" w:hAnsi="Times New Roman" w:cs="Times New Roman"/>
          <w:sz w:val="24"/>
          <w:szCs w:val="24"/>
        </w:rPr>
        <w:t xml:space="preserve">interest </w:t>
      </w:r>
      <w:r w:rsidR="00AB794B" w:rsidRPr="00BD58C0">
        <w:rPr>
          <w:rFonts w:ascii="Times New Roman" w:hAnsi="Times New Roman" w:cs="Times New Roman"/>
          <w:sz w:val="24"/>
          <w:szCs w:val="24"/>
        </w:rPr>
        <w:t>rate</w:t>
      </w:r>
      <w:r w:rsidR="00486FF5" w:rsidRPr="00BD58C0">
        <w:rPr>
          <w:rFonts w:ascii="Times New Roman" w:hAnsi="Times New Roman" w:cs="Times New Roman"/>
          <w:sz w:val="24"/>
          <w:szCs w:val="24"/>
        </w:rPr>
        <w:t xml:space="preserve"> for</w:t>
      </w:r>
      <w:r w:rsidR="0057775E" w:rsidRPr="00BD58C0">
        <w:rPr>
          <w:rFonts w:ascii="Times New Roman" w:hAnsi="Times New Roman" w:cs="Times New Roman"/>
          <w:sz w:val="24"/>
          <w:szCs w:val="24"/>
        </w:rPr>
        <w:t xml:space="preserve"> the </w:t>
      </w:r>
      <w:r w:rsidR="008F5CA5" w:rsidRPr="00BD58C0">
        <w:rPr>
          <w:rFonts w:ascii="Times New Roman" w:hAnsi="Times New Roman" w:cs="Times New Roman"/>
          <w:sz w:val="24"/>
          <w:szCs w:val="24"/>
        </w:rPr>
        <w:t>year</w:t>
      </w:r>
      <w:r w:rsidR="00486FF5" w:rsidRPr="00BD58C0">
        <w:rPr>
          <w:rFonts w:ascii="Times New Roman" w:hAnsi="Times New Roman" w:cs="Times New Roman"/>
          <w:sz w:val="24"/>
          <w:szCs w:val="24"/>
        </w:rPr>
        <w:t xml:space="preserve"> 20</w:t>
      </w:r>
      <w:r w:rsidR="00306587" w:rsidRPr="00BD58C0">
        <w:rPr>
          <w:rFonts w:ascii="Times New Roman" w:hAnsi="Times New Roman" w:cs="Times New Roman"/>
          <w:sz w:val="24"/>
          <w:szCs w:val="24"/>
        </w:rPr>
        <w:t>20</w:t>
      </w:r>
      <w:r w:rsidR="008F5CA5" w:rsidRPr="00BD58C0">
        <w:rPr>
          <w:rFonts w:ascii="Times New Roman" w:hAnsi="Times New Roman" w:cs="Times New Roman"/>
          <w:sz w:val="24"/>
          <w:szCs w:val="24"/>
        </w:rPr>
        <w:t xml:space="preserve"> (Jan-</w:t>
      </w:r>
      <w:r w:rsidR="00E0492D" w:rsidRPr="00BD58C0">
        <w:rPr>
          <w:rFonts w:ascii="Times New Roman" w:hAnsi="Times New Roman" w:cs="Times New Roman"/>
          <w:sz w:val="24"/>
          <w:szCs w:val="24"/>
        </w:rPr>
        <w:t>Sept</w:t>
      </w:r>
      <w:r w:rsidR="008F5CA5" w:rsidRPr="00BD58C0">
        <w:rPr>
          <w:rFonts w:ascii="Times New Roman" w:hAnsi="Times New Roman" w:cs="Times New Roman"/>
          <w:sz w:val="24"/>
          <w:szCs w:val="24"/>
        </w:rPr>
        <w:t>)</w:t>
      </w:r>
      <w:r w:rsidR="007B111C" w:rsidRPr="00BD58C0">
        <w:rPr>
          <w:rFonts w:ascii="Times New Roman" w:hAnsi="Times New Roman" w:cs="Times New Roman"/>
          <w:sz w:val="24"/>
          <w:szCs w:val="24"/>
        </w:rPr>
        <w:t>,</w:t>
      </w:r>
      <w:r w:rsidR="00486FF5" w:rsidRPr="00BD58C0">
        <w:rPr>
          <w:rFonts w:ascii="Times New Roman" w:hAnsi="Times New Roman" w:cs="Times New Roman"/>
          <w:sz w:val="24"/>
          <w:szCs w:val="24"/>
        </w:rPr>
        <w:t xml:space="preserve"> in Malaysia</w:t>
      </w:r>
      <w:r w:rsidR="00AB794B" w:rsidRPr="00BD58C0">
        <w:rPr>
          <w:rFonts w:ascii="Times New Roman" w:hAnsi="Times New Roman" w:cs="Times New Roman"/>
          <w:sz w:val="24"/>
          <w:szCs w:val="24"/>
        </w:rPr>
        <w:t xml:space="preserve"> [</w:t>
      </w:r>
      <w:r w:rsidR="00E162CB" w:rsidRPr="00BD58C0">
        <w:rPr>
          <w:rFonts w:ascii="Times New Roman" w:hAnsi="Times New Roman" w:cs="Times New Roman"/>
          <w:sz w:val="24"/>
          <w:szCs w:val="24"/>
        </w:rPr>
        <w:t>3</w:t>
      </w:r>
      <w:r w:rsidR="00BE3724" w:rsidRPr="00BD58C0">
        <w:rPr>
          <w:rFonts w:ascii="Times New Roman" w:hAnsi="Times New Roman" w:cs="Times New Roman"/>
          <w:sz w:val="24"/>
          <w:szCs w:val="24"/>
        </w:rPr>
        <w:t>6</w:t>
      </w:r>
      <w:r w:rsidR="00AB794B" w:rsidRPr="00BD58C0">
        <w:rPr>
          <w:rFonts w:ascii="Times New Roman" w:hAnsi="Times New Roman" w:cs="Times New Roman"/>
          <w:sz w:val="24"/>
          <w:szCs w:val="24"/>
        </w:rPr>
        <w:t xml:space="preserve">]. </w:t>
      </w:r>
      <w:r w:rsidR="009449BB" w:rsidRPr="00BD58C0">
        <w:rPr>
          <w:rFonts w:ascii="Times New Roman" w:hAnsi="Times New Roman" w:cs="Times New Roman"/>
          <w:sz w:val="24"/>
          <w:szCs w:val="24"/>
        </w:rPr>
        <w:t xml:space="preserve">Most of the cost values were obtained directly from </w:t>
      </w:r>
      <w:r w:rsidR="007B111C" w:rsidRPr="00BD58C0">
        <w:rPr>
          <w:rFonts w:ascii="Times New Roman" w:hAnsi="Times New Roman" w:cs="Times New Roman"/>
          <w:sz w:val="24"/>
          <w:szCs w:val="24"/>
        </w:rPr>
        <w:t xml:space="preserve">the </w:t>
      </w:r>
      <w:r w:rsidR="00FE0EED" w:rsidRPr="00BD58C0">
        <w:rPr>
          <w:rFonts w:ascii="Times New Roman" w:hAnsi="Times New Roman" w:cs="Times New Roman"/>
          <w:sz w:val="24"/>
          <w:szCs w:val="24"/>
        </w:rPr>
        <w:t>two-case</w:t>
      </w:r>
      <w:r w:rsidR="007B111C" w:rsidRPr="00BD58C0">
        <w:rPr>
          <w:rFonts w:ascii="Times New Roman" w:hAnsi="Times New Roman" w:cs="Times New Roman"/>
          <w:sz w:val="24"/>
          <w:szCs w:val="24"/>
        </w:rPr>
        <w:t xml:space="preserve"> study </w:t>
      </w:r>
      <w:r w:rsidR="00B21804" w:rsidRPr="00BD58C0">
        <w:rPr>
          <w:rFonts w:ascii="Times New Roman" w:hAnsi="Times New Roman" w:cs="Times New Roman"/>
          <w:sz w:val="24"/>
          <w:szCs w:val="24"/>
        </w:rPr>
        <w:t>POMs</w:t>
      </w:r>
      <w:r w:rsidR="007B111C" w:rsidRPr="00BD58C0">
        <w:rPr>
          <w:rFonts w:ascii="Times New Roman" w:hAnsi="Times New Roman" w:cs="Times New Roman"/>
          <w:sz w:val="24"/>
          <w:szCs w:val="24"/>
        </w:rPr>
        <w:t>.</w:t>
      </w:r>
      <w:r w:rsidR="009449BB" w:rsidRPr="00BD58C0">
        <w:rPr>
          <w:rFonts w:ascii="Times New Roman" w:hAnsi="Times New Roman" w:cs="Times New Roman"/>
          <w:sz w:val="24"/>
          <w:szCs w:val="24"/>
        </w:rPr>
        <w:t xml:space="preserve"> </w:t>
      </w:r>
      <w:r w:rsidR="007B111C" w:rsidRPr="00BD58C0">
        <w:rPr>
          <w:rFonts w:ascii="Times New Roman" w:hAnsi="Times New Roman" w:cs="Times New Roman"/>
          <w:sz w:val="24"/>
          <w:szCs w:val="24"/>
        </w:rPr>
        <w:t>E</w:t>
      </w:r>
      <w:r w:rsidR="009449BB" w:rsidRPr="00BD58C0">
        <w:rPr>
          <w:rFonts w:ascii="Times New Roman" w:hAnsi="Times New Roman" w:cs="Times New Roman"/>
          <w:sz w:val="24"/>
          <w:szCs w:val="24"/>
        </w:rPr>
        <w:t>xcavation</w:t>
      </w:r>
      <w:r w:rsidR="00010EEB" w:rsidRPr="00BD58C0">
        <w:rPr>
          <w:rFonts w:ascii="Times New Roman" w:hAnsi="Times New Roman" w:cs="Times New Roman"/>
          <w:sz w:val="24"/>
          <w:szCs w:val="24"/>
        </w:rPr>
        <w:t xml:space="preserve"> </w:t>
      </w:r>
      <w:r w:rsidR="009449BB" w:rsidRPr="00BD58C0">
        <w:rPr>
          <w:rFonts w:ascii="Times New Roman" w:hAnsi="Times New Roman" w:cs="Times New Roman"/>
          <w:sz w:val="24"/>
          <w:szCs w:val="24"/>
        </w:rPr>
        <w:t>costs were calculated using the guidelines by [</w:t>
      </w:r>
      <w:r w:rsidR="00BE3724" w:rsidRPr="00BD58C0">
        <w:rPr>
          <w:rFonts w:ascii="Times New Roman" w:hAnsi="Times New Roman" w:cs="Times New Roman"/>
          <w:sz w:val="24"/>
          <w:szCs w:val="24"/>
        </w:rPr>
        <w:t>31</w:t>
      </w:r>
      <w:r w:rsidR="00845650" w:rsidRPr="00BD58C0">
        <w:rPr>
          <w:rFonts w:ascii="Times New Roman" w:hAnsi="Times New Roman" w:cs="Times New Roman"/>
          <w:sz w:val="24"/>
          <w:szCs w:val="24"/>
        </w:rPr>
        <w:t>] and [</w:t>
      </w:r>
      <w:r w:rsidR="00BE3724" w:rsidRPr="00BD58C0">
        <w:rPr>
          <w:rFonts w:ascii="Times New Roman" w:hAnsi="Times New Roman" w:cs="Times New Roman"/>
          <w:sz w:val="24"/>
          <w:szCs w:val="24"/>
        </w:rPr>
        <w:t>32</w:t>
      </w:r>
      <w:r w:rsidR="009449BB" w:rsidRPr="00BD58C0">
        <w:rPr>
          <w:rFonts w:ascii="Times New Roman" w:hAnsi="Times New Roman" w:cs="Times New Roman"/>
          <w:sz w:val="24"/>
          <w:szCs w:val="24"/>
        </w:rPr>
        <w:t>].</w:t>
      </w:r>
      <w:r w:rsidR="00874A79" w:rsidRPr="00BD58C0">
        <w:rPr>
          <w:rFonts w:ascii="Times New Roman" w:hAnsi="Times New Roman" w:cs="Times New Roman"/>
          <w:sz w:val="24"/>
          <w:szCs w:val="24"/>
        </w:rPr>
        <w:t xml:space="preserve"> Input </w:t>
      </w:r>
      <w:r w:rsidR="007B111C" w:rsidRPr="00BD58C0">
        <w:rPr>
          <w:rFonts w:ascii="Times New Roman" w:hAnsi="Times New Roman" w:cs="Times New Roman"/>
          <w:sz w:val="24"/>
          <w:szCs w:val="24"/>
        </w:rPr>
        <w:t xml:space="preserve">data </w:t>
      </w:r>
      <w:r w:rsidR="00874A79" w:rsidRPr="00BD58C0">
        <w:rPr>
          <w:rFonts w:ascii="Times New Roman" w:hAnsi="Times New Roman" w:cs="Times New Roman"/>
          <w:sz w:val="24"/>
          <w:szCs w:val="24"/>
        </w:rPr>
        <w:t xml:space="preserve">for </w:t>
      </w:r>
      <w:r w:rsidR="007B111C" w:rsidRPr="00BD58C0">
        <w:rPr>
          <w:rFonts w:ascii="Times New Roman" w:hAnsi="Times New Roman" w:cs="Times New Roman"/>
          <w:sz w:val="24"/>
          <w:szCs w:val="24"/>
        </w:rPr>
        <w:t xml:space="preserve">the </w:t>
      </w:r>
      <w:r w:rsidR="00874A79" w:rsidRPr="00BD58C0">
        <w:rPr>
          <w:rFonts w:ascii="Times New Roman" w:hAnsi="Times New Roman" w:cs="Times New Roman"/>
          <w:sz w:val="24"/>
          <w:szCs w:val="24"/>
        </w:rPr>
        <w:t xml:space="preserve">LCC </w:t>
      </w:r>
      <w:r w:rsidR="00845650" w:rsidRPr="00BD58C0">
        <w:rPr>
          <w:rFonts w:ascii="Times New Roman" w:hAnsi="Times New Roman" w:cs="Times New Roman"/>
          <w:sz w:val="24"/>
          <w:szCs w:val="24"/>
        </w:rPr>
        <w:t>are</w:t>
      </w:r>
      <w:r w:rsidR="00874A79" w:rsidRPr="00BD58C0">
        <w:rPr>
          <w:rFonts w:ascii="Times New Roman" w:hAnsi="Times New Roman" w:cs="Times New Roman"/>
          <w:sz w:val="24"/>
          <w:szCs w:val="24"/>
        </w:rPr>
        <w:t xml:space="preserve"> listed in Table </w:t>
      </w:r>
      <w:r w:rsidRPr="00BD58C0">
        <w:rPr>
          <w:rFonts w:ascii="Times New Roman" w:hAnsi="Times New Roman" w:cs="Times New Roman"/>
          <w:sz w:val="24"/>
          <w:szCs w:val="24"/>
        </w:rPr>
        <w:t>2</w:t>
      </w:r>
      <w:r w:rsidR="00874A79" w:rsidRPr="00BD58C0">
        <w:rPr>
          <w:rFonts w:ascii="Times New Roman" w:hAnsi="Times New Roman" w:cs="Times New Roman"/>
          <w:sz w:val="24"/>
          <w:szCs w:val="24"/>
        </w:rPr>
        <w:t>.</w:t>
      </w:r>
    </w:p>
    <w:p w14:paraId="0651FD27" w14:textId="28D5A7C8" w:rsidR="008F0599" w:rsidRPr="00BD58C0" w:rsidRDefault="008F0599" w:rsidP="00AF73C7">
      <w:pPr>
        <w:spacing w:after="0" w:line="360" w:lineRule="auto"/>
        <w:jc w:val="both"/>
        <w:rPr>
          <w:rFonts w:ascii="Times New Roman" w:hAnsi="Times New Roman" w:cs="Times New Roman"/>
          <w:sz w:val="24"/>
          <w:szCs w:val="24"/>
        </w:rPr>
      </w:pPr>
    </w:p>
    <w:p w14:paraId="473FD50A" w14:textId="4511C1C3" w:rsidR="000E08D8" w:rsidRPr="00BD58C0" w:rsidRDefault="000E08D8" w:rsidP="00AF73C7">
      <w:pPr>
        <w:spacing w:after="0" w:line="360" w:lineRule="auto"/>
        <w:jc w:val="both"/>
        <w:rPr>
          <w:rFonts w:ascii="Times New Roman" w:hAnsi="Times New Roman" w:cs="Times New Roman"/>
          <w:sz w:val="24"/>
          <w:szCs w:val="24"/>
        </w:rPr>
      </w:pPr>
    </w:p>
    <w:p w14:paraId="5543239D" w14:textId="6F3C3114" w:rsidR="00CE1029" w:rsidRPr="00BD58C0" w:rsidRDefault="00CE1029" w:rsidP="00AF73C7">
      <w:pPr>
        <w:spacing w:after="0" w:line="360" w:lineRule="auto"/>
        <w:jc w:val="both"/>
        <w:rPr>
          <w:rFonts w:ascii="Times New Roman" w:hAnsi="Times New Roman" w:cs="Times New Roman"/>
          <w:sz w:val="24"/>
          <w:szCs w:val="24"/>
        </w:rPr>
      </w:pPr>
    </w:p>
    <w:p w14:paraId="7333BE74" w14:textId="7B91030D" w:rsidR="00CE1029" w:rsidRPr="00BD58C0" w:rsidRDefault="00CE1029" w:rsidP="00AF73C7">
      <w:pPr>
        <w:spacing w:after="0" w:line="360" w:lineRule="auto"/>
        <w:jc w:val="both"/>
        <w:rPr>
          <w:rFonts w:ascii="Times New Roman" w:hAnsi="Times New Roman" w:cs="Times New Roman"/>
          <w:sz w:val="24"/>
          <w:szCs w:val="24"/>
        </w:rPr>
      </w:pPr>
    </w:p>
    <w:p w14:paraId="052EFC24" w14:textId="505B1951" w:rsidR="00CE1029" w:rsidRPr="00BD58C0" w:rsidRDefault="00CE1029" w:rsidP="00AF73C7">
      <w:pPr>
        <w:spacing w:after="0" w:line="360" w:lineRule="auto"/>
        <w:jc w:val="both"/>
        <w:rPr>
          <w:rFonts w:ascii="Times New Roman" w:hAnsi="Times New Roman" w:cs="Times New Roman"/>
          <w:sz w:val="24"/>
          <w:szCs w:val="24"/>
        </w:rPr>
      </w:pPr>
    </w:p>
    <w:p w14:paraId="51E717CF" w14:textId="21F9CA9B" w:rsidR="00CE1029" w:rsidRPr="00BD58C0" w:rsidRDefault="00CE1029" w:rsidP="00AF73C7">
      <w:pPr>
        <w:spacing w:after="0" w:line="360" w:lineRule="auto"/>
        <w:jc w:val="both"/>
        <w:rPr>
          <w:rFonts w:ascii="Times New Roman" w:hAnsi="Times New Roman" w:cs="Times New Roman"/>
          <w:sz w:val="24"/>
          <w:szCs w:val="24"/>
        </w:rPr>
      </w:pPr>
    </w:p>
    <w:p w14:paraId="06DE6165" w14:textId="77777777" w:rsidR="00CE1029" w:rsidRPr="00BD58C0" w:rsidRDefault="00CE1029" w:rsidP="00AF73C7">
      <w:pPr>
        <w:spacing w:after="0" w:line="360" w:lineRule="auto"/>
        <w:jc w:val="both"/>
        <w:rPr>
          <w:rFonts w:ascii="Times New Roman" w:hAnsi="Times New Roman" w:cs="Times New Roman"/>
          <w:sz w:val="24"/>
          <w:szCs w:val="24"/>
        </w:rPr>
      </w:pPr>
    </w:p>
    <w:p w14:paraId="7B8E0852" w14:textId="3E7B3247" w:rsidR="00D149DE" w:rsidRPr="00BD58C0" w:rsidRDefault="00D149DE" w:rsidP="00260716">
      <w:pPr>
        <w:spacing w:after="0" w:line="360" w:lineRule="auto"/>
        <w:jc w:val="both"/>
        <w:rPr>
          <w:rFonts w:ascii="Times New Roman" w:hAnsi="Times New Roman" w:cs="Times New Roman"/>
          <w:sz w:val="24"/>
          <w:szCs w:val="24"/>
        </w:rPr>
      </w:pPr>
      <w:bookmarkStart w:id="4" w:name="_Hlk87166890"/>
      <w:r w:rsidRPr="00BD58C0">
        <w:rPr>
          <w:rFonts w:ascii="Times New Roman" w:hAnsi="Times New Roman" w:cs="Times New Roman"/>
          <w:b/>
          <w:bCs/>
          <w:sz w:val="24"/>
          <w:szCs w:val="24"/>
        </w:rPr>
        <w:lastRenderedPageBreak/>
        <w:t>Table 1</w:t>
      </w:r>
      <w:r w:rsidRPr="00BD58C0">
        <w:rPr>
          <w:rFonts w:ascii="Times New Roman" w:hAnsi="Times New Roman" w:cs="Times New Roman"/>
          <w:b/>
          <w:bCs/>
          <w:sz w:val="24"/>
          <w:szCs w:val="24"/>
        </w:rPr>
        <w:tab/>
      </w:r>
      <w:r w:rsidRPr="00BD58C0">
        <w:rPr>
          <w:rFonts w:ascii="Times New Roman" w:hAnsi="Times New Roman" w:cs="Times New Roman"/>
          <w:sz w:val="24"/>
          <w:szCs w:val="24"/>
        </w:rPr>
        <w:t>Costs involved for economic calculation</w:t>
      </w:r>
    </w:p>
    <w:tbl>
      <w:tblPr>
        <w:tblStyle w:val="PlainTable22"/>
        <w:tblW w:w="0" w:type="auto"/>
        <w:tblLook w:val="06A0" w:firstRow="1" w:lastRow="0" w:firstColumn="1" w:lastColumn="0" w:noHBand="1" w:noVBand="1"/>
      </w:tblPr>
      <w:tblGrid>
        <w:gridCol w:w="1509"/>
        <w:gridCol w:w="1593"/>
        <w:gridCol w:w="3135"/>
        <w:gridCol w:w="1934"/>
        <w:gridCol w:w="1189"/>
      </w:tblGrid>
      <w:tr w:rsidR="00BD58C0" w:rsidRPr="00BD58C0" w14:paraId="3565E96F" w14:textId="77777777" w:rsidTr="004948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14:paraId="2E4F6039" w14:textId="34E04135" w:rsidR="00193974" w:rsidRPr="00BD58C0" w:rsidRDefault="00193974"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Equation no.</w:t>
            </w:r>
          </w:p>
        </w:tc>
        <w:tc>
          <w:tcPr>
            <w:tcW w:w="1593" w:type="dxa"/>
          </w:tcPr>
          <w:p w14:paraId="362B472B" w14:textId="3598BA42" w:rsidR="00193974" w:rsidRPr="00BD58C0" w:rsidRDefault="00193974" w:rsidP="002607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58C0">
              <w:rPr>
                <w:rFonts w:ascii="Times New Roman" w:hAnsi="Times New Roman" w:cs="Times New Roman"/>
                <w:b w:val="0"/>
                <w:bCs w:val="0"/>
                <w:sz w:val="24"/>
                <w:szCs w:val="24"/>
              </w:rPr>
              <w:t>Type of cost</w:t>
            </w:r>
          </w:p>
        </w:tc>
        <w:tc>
          <w:tcPr>
            <w:tcW w:w="3135" w:type="dxa"/>
          </w:tcPr>
          <w:p w14:paraId="306BBF3C" w14:textId="139EF010" w:rsidR="00193974" w:rsidRPr="00BD58C0" w:rsidRDefault="00193974" w:rsidP="002607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58C0">
              <w:rPr>
                <w:rFonts w:ascii="Times New Roman" w:hAnsi="Times New Roman" w:cs="Times New Roman"/>
                <w:b w:val="0"/>
                <w:bCs w:val="0"/>
                <w:sz w:val="24"/>
                <w:szCs w:val="24"/>
              </w:rPr>
              <w:t xml:space="preserve">Inclusion </w:t>
            </w:r>
          </w:p>
        </w:tc>
        <w:tc>
          <w:tcPr>
            <w:tcW w:w="1934" w:type="dxa"/>
          </w:tcPr>
          <w:p w14:paraId="3388DE72" w14:textId="7A2BCFAF" w:rsidR="00193974" w:rsidRPr="00BD58C0" w:rsidRDefault="00193974" w:rsidP="002607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58C0">
              <w:rPr>
                <w:rFonts w:ascii="Times New Roman" w:hAnsi="Times New Roman" w:cs="Times New Roman"/>
                <w:b w:val="0"/>
                <w:bCs w:val="0"/>
                <w:sz w:val="24"/>
                <w:szCs w:val="24"/>
              </w:rPr>
              <w:t xml:space="preserve">Exclusion </w:t>
            </w:r>
          </w:p>
        </w:tc>
        <w:tc>
          <w:tcPr>
            <w:tcW w:w="1189" w:type="dxa"/>
          </w:tcPr>
          <w:p w14:paraId="437D34F8" w14:textId="1904F9B4" w:rsidR="00193974" w:rsidRPr="00BD58C0" w:rsidRDefault="00193974" w:rsidP="002607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D58C0">
              <w:rPr>
                <w:rFonts w:ascii="Times New Roman" w:hAnsi="Times New Roman" w:cs="Times New Roman"/>
                <w:b w:val="0"/>
                <w:bCs w:val="0"/>
                <w:sz w:val="24"/>
                <w:szCs w:val="24"/>
              </w:rPr>
              <w:t>Ref</w:t>
            </w:r>
            <w:r w:rsidR="00656850" w:rsidRPr="00BD58C0">
              <w:rPr>
                <w:rFonts w:ascii="Times New Roman" w:hAnsi="Times New Roman" w:cs="Times New Roman"/>
                <w:b w:val="0"/>
                <w:bCs w:val="0"/>
                <w:sz w:val="24"/>
                <w:szCs w:val="24"/>
              </w:rPr>
              <w:t>erence</w:t>
            </w:r>
          </w:p>
        </w:tc>
      </w:tr>
      <w:tr w:rsidR="00BD58C0" w:rsidRPr="00BD58C0" w14:paraId="1E766B66" w14:textId="77777777" w:rsidTr="004948A8">
        <w:tc>
          <w:tcPr>
            <w:cnfStyle w:val="001000000000" w:firstRow="0" w:lastRow="0" w:firstColumn="1" w:lastColumn="0" w:oddVBand="0" w:evenVBand="0" w:oddHBand="0" w:evenHBand="0" w:firstRowFirstColumn="0" w:firstRowLastColumn="0" w:lastRowFirstColumn="0" w:lastRowLastColumn="0"/>
            <w:tcW w:w="1509" w:type="dxa"/>
          </w:tcPr>
          <w:p w14:paraId="21B90AE9" w14:textId="16013B20" w:rsidR="00193974" w:rsidRPr="00BD58C0" w:rsidRDefault="00193974"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1</w:t>
            </w:r>
          </w:p>
        </w:tc>
        <w:tc>
          <w:tcPr>
            <w:tcW w:w="1593" w:type="dxa"/>
          </w:tcPr>
          <w:p w14:paraId="68FEFF31" w14:textId="77777777" w:rsidR="00193974" w:rsidRPr="00BD58C0" w:rsidRDefault="00193974"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LCC</w:t>
            </w:r>
          </w:p>
          <w:p w14:paraId="521E9727" w14:textId="70D5C3F4" w:rsidR="00193974" w:rsidRPr="00BD58C0" w:rsidRDefault="00193974" w:rsidP="0019397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E46057" w14:textId="50CD34CE" w:rsidR="00193974" w:rsidRPr="00BD58C0" w:rsidRDefault="00193974"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35" w:type="dxa"/>
          </w:tcPr>
          <w:p w14:paraId="5D81E581" w14:textId="77777777" w:rsidR="00627E02" w:rsidRPr="00BD58C0" w:rsidRDefault="00193974" w:rsidP="00260716">
            <w:pPr>
              <w:pStyle w:val="ListParagraph"/>
              <w:numPr>
                <w:ilvl w:val="0"/>
                <w:numId w:val="13"/>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Acquisition (annualised capital costs)</w:t>
            </w:r>
          </w:p>
          <w:p w14:paraId="40751E14" w14:textId="723B06D4" w:rsidR="00193974" w:rsidRPr="00BD58C0" w:rsidRDefault="00193974" w:rsidP="00260716">
            <w:pPr>
              <w:pStyle w:val="ListParagraph"/>
              <w:numPr>
                <w:ilvl w:val="0"/>
                <w:numId w:val="13"/>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Operation costs, maintenance and repair (annual operational costs)</w:t>
            </w:r>
          </w:p>
        </w:tc>
        <w:tc>
          <w:tcPr>
            <w:tcW w:w="1934" w:type="dxa"/>
          </w:tcPr>
          <w:p w14:paraId="0984FF08" w14:textId="23272653" w:rsidR="00193974" w:rsidRPr="00BD58C0" w:rsidRDefault="00A05FA6" w:rsidP="00C6481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p>
        </w:tc>
        <w:tc>
          <w:tcPr>
            <w:tcW w:w="1189" w:type="dxa"/>
          </w:tcPr>
          <w:p w14:paraId="1AC8A534" w14:textId="7DBE8E8B" w:rsidR="00193974" w:rsidRPr="00BD58C0" w:rsidRDefault="00193974"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r w:rsidR="00DE6B29" w:rsidRPr="00BD58C0">
              <w:rPr>
                <w:rFonts w:ascii="Times New Roman" w:hAnsi="Times New Roman" w:cs="Times New Roman"/>
                <w:sz w:val="24"/>
                <w:szCs w:val="24"/>
              </w:rPr>
              <w:t>1</w:t>
            </w:r>
            <w:r w:rsidR="0031008D" w:rsidRPr="00BD58C0">
              <w:rPr>
                <w:rFonts w:ascii="Times New Roman" w:hAnsi="Times New Roman" w:cs="Times New Roman"/>
                <w:sz w:val="24"/>
                <w:szCs w:val="24"/>
              </w:rPr>
              <w:t>3</w:t>
            </w:r>
            <w:r w:rsidRPr="00BD58C0">
              <w:rPr>
                <w:rFonts w:ascii="Times New Roman" w:hAnsi="Times New Roman" w:cs="Times New Roman"/>
                <w:sz w:val="24"/>
                <w:szCs w:val="24"/>
              </w:rPr>
              <w:t>]</w:t>
            </w:r>
          </w:p>
        </w:tc>
      </w:tr>
      <w:tr w:rsidR="00BD58C0" w:rsidRPr="00BD58C0" w14:paraId="1D823D24" w14:textId="77777777" w:rsidTr="004948A8">
        <w:tc>
          <w:tcPr>
            <w:cnfStyle w:val="001000000000" w:firstRow="0" w:lastRow="0" w:firstColumn="1" w:lastColumn="0" w:oddVBand="0" w:evenVBand="0" w:oddHBand="0" w:evenHBand="0" w:firstRowFirstColumn="0" w:firstRowLastColumn="0" w:lastRowFirstColumn="0" w:lastRowLastColumn="0"/>
            <w:tcW w:w="1509" w:type="dxa"/>
          </w:tcPr>
          <w:p w14:paraId="4002E1AD" w14:textId="4845F239" w:rsidR="00193974" w:rsidRPr="00BD58C0" w:rsidRDefault="00193974"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2</w:t>
            </w:r>
          </w:p>
        </w:tc>
        <w:tc>
          <w:tcPr>
            <w:tcW w:w="1593" w:type="dxa"/>
          </w:tcPr>
          <w:p w14:paraId="06E5CB7A" w14:textId="39236005" w:rsidR="00193974" w:rsidRPr="00BD58C0" w:rsidRDefault="00193974"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Annualised capital</w:t>
            </w:r>
            <w:r w:rsidR="00C64818" w:rsidRPr="00BD58C0">
              <w:rPr>
                <w:rFonts w:ascii="Times New Roman" w:hAnsi="Times New Roman" w:cs="Times New Roman"/>
                <w:sz w:val="24"/>
                <w:szCs w:val="24"/>
              </w:rPr>
              <w:t xml:space="preserve"> cost</w:t>
            </w:r>
            <w:r w:rsidR="00EF2914" w:rsidRPr="00BD58C0">
              <w:rPr>
                <w:rFonts w:ascii="Times New Roman" w:hAnsi="Times New Roman" w:cs="Times New Roman"/>
                <w:sz w:val="24"/>
                <w:szCs w:val="24"/>
              </w:rPr>
              <w:t xml:space="preserve"> </w:t>
            </w:r>
          </w:p>
          <w:p w14:paraId="49987779" w14:textId="05D49261" w:rsidR="00193974" w:rsidRPr="00BD58C0" w:rsidRDefault="00193974"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35" w:type="dxa"/>
          </w:tcPr>
          <w:p w14:paraId="533FC2A1" w14:textId="3C1FD84D" w:rsidR="00627E02" w:rsidRPr="00BD58C0" w:rsidRDefault="00A05FA6" w:rsidP="00260716">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Excavation costs for the ponding system (</w:t>
            </w:r>
            <w:r w:rsidR="00DC2EAA" w:rsidRPr="00BD58C0">
              <w:rPr>
                <w:rFonts w:ascii="Times New Roman" w:hAnsi="Times New Roman" w:cs="Times New Roman"/>
                <w:sz w:val="24"/>
                <w:szCs w:val="24"/>
              </w:rPr>
              <w:t>pre- and post-treatment</w:t>
            </w:r>
            <w:r w:rsidRPr="00BD58C0">
              <w:rPr>
                <w:rFonts w:ascii="Times New Roman" w:hAnsi="Times New Roman" w:cs="Times New Roman"/>
                <w:sz w:val="24"/>
                <w:szCs w:val="24"/>
              </w:rPr>
              <w:t xml:space="preserve"> of POME)</w:t>
            </w:r>
          </w:p>
          <w:p w14:paraId="188A94F2" w14:textId="77777777" w:rsidR="00627E02" w:rsidRPr="00BD58C0" w:rsidRDefault="00A05FA6" w:rsidP="00260716">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 xml:space="preserve">Anaerobic digesters (CLB and CSTR systems) </w:t>
            </w:r>
          </w:p>
          <w:p w14:paraId="43CA3D89" w14:textId="77777777" w:rsidR="00627E02" w:rsidRPr="00BD58C0" w:rsidRDefault="00A05FA6" w:rsidP="00260716">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Facilities for the purification of biogas</w:t>
            </w:r>
          </w:p>
          <w:p w14:paraId="7858E41F" w14:textId="77777777" w:rsidR="00627E02" w:rsidRPr="00BD58C0" w:rsidRDefault="00A05FA6" w:rsidP="00260716">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Energy generation by combusting the biogas</w:t>
            </w:r>
          </w:p>
          <w:p w14:paraId="3ED2C41A" w14:textId="15CD1986" w:rsidR="00193974" w:rsidRPr="00BD58C0" w:rsidRDefault="00A05FA6" w:rsidP="00260716">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Transmitting the electricity generated to the grid</w:t>
            </w:r>
          </w:p>
        </w:tc>
        <w:tc>
          <w:tcPr>
            <w:tcW w:w="1934" w:type="dxa"/>
          </w:tcPr>
          <w:p w14:paraId="6B5436C1" w14:textId="284C90E9" w:rsidR="00193974" w:rsidRPr="00BD58C0" w:rsidRDefault="00C64818" w:rsidP="00627E02">
            <w:pPr>
              <w:pStyle w:val="ListParagraph"/>
              <w:numPr>
                <w:ilvl w:val="0"/>
                <w:numId w:val="14"/>
              </w:numPr>
              <w:spacing w:line="360" w:lineRule="auto"/>
              <w:ind w:left="210" w:hanging="2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Costs of land and disposal</w:t>
            </w:r>
          </w:p>
        </w:tc>
        <w:tc>
          <w:tcPr>
            <w:tcW w:w="1189" w:type="dxa"/>
          </w:tcPr>
          <w:p w14:paraId="314775E2" w14:textId="54A86604" w:rsidR="00193974" w:rsidRPr="00BD58C0" w:rsidRDefault="00A377D0" w:rsidP="002607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r w:rsidR="00DE6B29" w:rsidRPr="00BD58C0">
              <w:rPr>
                <w:rFonts w:ascii="Times New Roman" w:hAnsi="Times New Roman" w:cs="Times New Roman"/>
                <w:sz w:val="24"/>
                <w:szCs w:val="24"/>
              </w:rPr>
              <w:t>1</w:t>
            </w:r>
            <w:r w:rsidR="0031008D" w:rsidRPr="00BD58C0">
              <w:rPr>
                <w:rFonts w:ascii="Times New Roman" w:hAnsi="Times New Roman" w:cs="Times New Roman"/>
                <w:sz w:val="24"/>
                <w:szCs w:val="24"/>
              </w:rPr>
              <w:t>3</w:t>
            </w:r>
            <w:r w:rsidRPr="00BD58C0">
              <w:rPr>
                <w:rFonts w:ascii="Times New Roman" w:hAnsi="Times New Roman" w:cs="Times New Roman"/>
                <w:sz w:val="24"/>
                <w:szCs w:val="24"/>
              </w:rPr>
              <w:t>]</w:t>
            </w:r>
          </w:p>
        </w:tc>
      </w:tr>
      <w:tr w:rsidR="00BD58C0" w:rsidRPr="00BD58C0" w14:paraId="265E8273" w14:textId="77777777" w:rsidTr="004948A8">
        <w:tc>
          <w:tcPr>
            <w:cnfStyle w:val="001000000000" w:firstRow="0" w:lastRow="0" w:firstColumn="1" w:lastColumn="0" w:oddVBand="0" w:evenVBand="0" w:oddHBand="0" w:evenHBand="0" w:firstRowFirstColumn="0" w:firstRowLastColumn="0" w:lastRowFirstColumn="0" w:lastRowLastColumn="0"/>
            <w:tcW w:w="1509" w:type="dxa"/>
          </w:tcPr>
          <w:p w14:paraId="5EB8BB77" w14:textId="2AC7CC0F" w:rsidR="00751AE7" w:rsidRPr="00BD58C0" w:rsidRDefault="00697DF2" w:rsidP="00751AE7">
            <w:pPr>
              <w:spacing w:line="360" w:lineRule="auto"/>
              <w:jc w:val="both"/>
              <w:rPr>
                <w:rFonts w:ascii="Times New Roman" w:hAnsi="Times New Roman" w:cs="Times New Roman"/>
                <w:sz w:val="24"/>
                <w:szCs w:val="24"/>
              </w:rPr>
            </w:pPr>
            <w:r w:rsidRPr="00BD58C0">
              <w:rPr>
                <w:rFonts w:ascii="Times New Roman" w:hAnsi="Times New Roman" w:cs="Times New Roman"/>
                <w:b w:val="0"/>
                <w:bCs w:val="0"/>
                <w:sz w:val="24"/>
                <w:szCs w:val="24"/>
              </w:rPr>
              <w:t>3</w:t>
            </w:r>
            <w:r w:rsidR="00751AE7" w:rsidRPr="00BD58C0">
              <w:rPr>
                <w:rFonts w:ascii="Times New Roman" w:hAnsi="Times New Roman" w:cs="Times New Roman"/>
                <w:b w:val="0"/>
                <w:bCs w:val="0"/>
                <w:sz w:val="24"/>
                <w:szCs w:val="24"/>
              </w:rPr>
              <w:t>-</w:t>
            </w:r>
            <w:r w:rsidRPr="00BD58C0">
              <w:rPr>
                <w:rFonts w:ascii="Times New Roman" w:hAnsi="Times New Roman" w:cs="Times New Roman"/>
                <w:b w:val="0"/>
                <w:bCs w:val="0"/>
                <w:sz w:val="24"/>
                <w:szCs w:val="24"/>
              </w:rPr>
              <w:t>5</w:t>
            </w:r>
          </w:p>
        </w:tc>
        <w:tc>
          <w:tcPr>
            <w:tcW w:w="1593" w:type="dxa"/>
          </w:tcPr>
          <w:p w14:paraId="6FFCB97E" w14:textId="1FCA0567" w:rsidR="00751AE7" w:rsidRPr="00BD58C0" w:rsidRDefault="006111A0" w:rsidP="00751A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 xml:space="preserve">Excavation costs </w:t>
            </w:r>
            <w:r w:rsidR="003B5265" w:rsidRPr="00BD58C0">
              <w:rPr>
                <w:rFonts w:ascii="Times New Roman" w:hAnsi="Times New Roman" w:cs="Times New Roman"/>
                <w:sz w:val="24"/>
                <w:szCs w:val="24"/>
              </w:rPr>
              <w:t>(annualised capital cost)</w:t>
            </w:r>
          </w:p>
        </w:tc>
        <w:tc>
          <w:tcPr>
            <w:tcW w:w="3135" w:type="dxa"/>
          </w:tcPr>
          <w:p w14:paraId="4424D186" w14:textId="77777777" w:rsidR="00751AE7" w:rsidRPr="00BD58C0" w:rsidRDefault="00751AE7" w:rsidP="00751AE7">
            <w:pPr>
              <w:pStyle w:val="ListParagraph"/>
              <w:numPr>
                <w:ilvl w:val="0"/>
                <w:numId w:val="16"/>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Excavation cost for ponding system</w:t>
            </w:r>
          </w:p>
          <w:p w14:paraId="4D64FAE1" w14:textId="5386ECC1" w:rsidR="00751AE7" w:rsidRPr="00BD58C0" w:rsidRDefault="00751AE7" w:rsidP="00751AE7">
            <w:pPr>
              <w:pStyle w:val="ListParagraph"/>
              <w:numPr>
                <w:ilvl w:val="0"/>
                <w:numId w:val="14"/>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Costs involved for the CLB and CSTR systems consist of site clearance, cut and fill and dumping the soil cleared</w:t>
            </w:r>
          </w:p>
        </w:tc>
        <w:tc>
          <w:tcPr>
            <w:tcW w:w="1934" w:type="dxa"/>
          </w:tcPr>
          <w:p w14:paraId="35F956FE" w14:textId="7A35883E" w:rsidR="00751AE7" w:rsidRPr="00BD58C0" w:rsidRDefault="00751AE7" w:rsidP="00751AE7">
            <w:pPr>
              <w:pStyle w:val="ListParagraph"/>
              <w:numPr>
                <w:ilvl w:val="0"/>
                <w:numId w:val="14"/>
              </w:numPr>
              <w:spacing w:line="360" w:lineRule="auto"/>
              <w:ind w:left="210" w:hanging="2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p>
        </w:tc>
        <w:tc>
          <w:tcPr>
            <w:tcW w:w="1189" w:type="dxa"/>
          </w:tcPr>
          <w:p w14:paraId="398B0C2A" w14:textId="78F83E23" w:rsidR="00751AE7" w:rsidRPr="00BD58C0" w:rsidRDefault="00751AE7" w:rsidP="00751A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r w:rsidR="006C3970" w:rsidRPr="00BD58C0">
              <w:rPr>
                <w:rFonts w:ascii="Times New Roman" w:hAnsi="Times New Roman" w:cs="Times New Roman"/>
                <w:sz w:val="24"/>
                <w:szCs w:val="24"/>
              </w:rPr>
              <w:t>31</w:t>
            </w:r>
            <w:r w:rsidRPr="00BD58C0">
              <w:rPr>
                <w:rFonts w:ascii="Times New Roman" w:hAnsi="Times New Roman" w:cs="Times New Roman"/>
                <w:sz w:val="24"/>
                <w:szCs w:val="24"/>
              </w:rPr>
              <w:t>,</w:t>
            </w:r>
            <w:r w:rsidR="006C3970" w:rsidRPr="00BD58C0">
              <w:rPr>
                <w:rFonts w:ascii="Times New Roman" w:hAnsi="Times New Roman" w:cs="Times New Roman"/>
                <w:sz w:val="24"/>
                <w:szCs w:val="24"/>
              </w:rPr>
              <w:t>32</w:t>
            </w:r>
            <w:r w:rsidRPr="00BD58C0">
              <w:rPr>
                <w:rFonts w:ascii="Times New Roman" w:hAnsi="Times New Roman" w:cs="Times New Roman"/>
                <w:sz w:val="24"/>
                <w:szCs w:val="24"/>
              </w:rPr>
              <w:t>]</w:t>
            </w:r>
          </w:p>
        </w:tc>
      </w:tr>
      <w:tr w:rsidR="00BD58C0" w:rsidRPr="00BD58C0" w14:paraId="060C79CE" w14:textId="77777777" w:rsidTr="004948A8">
        <w:tc>
          <w:tcPr>
            <w:cnfStyle w:val="001000000000" w:firstRow="0" w:lastRow="0" w:firstColumn="1" w:lastColumn="0" w:oddVBand="0" w:evenVBand="0" w:oddHBand="0" w:evenHBand="0" w:firstRowFirstColumn="0" w:firstRowLastColumn="0" w:lastRowFirstColumn="0" w:lastRowLastColumn="0"/>
            <w:tcW w:w="1509" w:type="dxa"/>
          </w:tcPr>
          <w:p w14:paraId="783134B8" w14:textId="398CBD04" w:rsidR="00751AE7" w:rsidRPr="00BD58C0" w:rsidRDefault="00697DF2" w:rsidP="00751AE7">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6</w:t>
            </w:r>
          </w:p>
        </w:tc>
        <w:tc>
          <w:tcPr>
            <w:tcW w:w="1593" w:type="dxa"/>
          </w:tcPr>
          <w:p w14:paraId="12C06225" w14:textId="1A3BE647" w:rsidR="00751AE7" w:rsidRPr="00BD58C0" w:rsidRDefault="00751AE7" w:rsidP="00751A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operational costs</w:t>
            </w:r>
          </w:p>
        </w:tc>
        <w:tc>
          <w:tcPr>
            <w:tcW w:w="3135" w:type="dxa"/>
          </w:tcPr>
          <w:p w14:paraId="7E77C709" w14:textId="77777777" w:rsidR="00751AE7" w:rsidRPr="00BD58C0" w:rsidRDefault="00751AE7" w:rsidP="00751AE7">
            <w:pPr>
              <w:pStyle w:val="ListParagraph"/>
              <w:numPr>
                <w:ilvl w:val="0"/>
                <w:numId w:val="15"/>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quantity of energy</w:t>
            </w:r>
          </w:p>
          <w:p w14:paraId="1E2DB56B" w14:textId="77777777" w:rsidR="00751AE7" w:rsidRPr="00BD58C0" w:rsidRDefault="00751AE7" w:rsidP="00751AE7">
            <w:pPr>
              <w:pStyle w:val="ListParagraph"/>
              <w:numPr>
                <w:ilvl w:val="0"/>
                <w:numId w:val="15"/>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Annual maintenance cost</w:t>
            </w:r>
          </w:p>
          <w:p w14:paraId="16B14974" w14:textId="6EAA8142" w:rsidR="00751AE7" w:rsidRPr="00BD58C0" w:rsidRDefault="00751AE7" w:rsidP="00751AE7">
            <w:pPr>
              <w:pStyle w:val="ListParagraph"/>
              <w:numPr>
                <w:ilvl w:val="0"/>
                <w:numId w:val="15"/>
              </w:numPr>
              <w:spacing w:line="360" w:lineRule="auto"/>
              <w:ind w:left="188"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 xml:space="preserve">Annual </w:t>
            </w:r>
            <w:proofErr w:type="spellStart"/>
            <w:r w:rsidRPr="00BD58C0">
              <w:rPr>
                <w:rFonts w:ascii="Times New Roman" w:hAnsi="Times New Roman" w:cs="Times New Roman"/>
                <w:sz w:val="24"/>
                <w:szCs w:val="24"/>
              </w:rPr>
              <w:t>labor</w:t>
            </w:r>
            <w:proofErr w:type="spellEnd"/>
            <w:r w:rsidRPr="00BD58C0">
              <w:rPr>
                <w:rFonts w:ascii="Times New Roman" w:hAnsi="Times New Roman" w:cs="Times New Roman"/>
                <w:sz w:val="24"/>
                <w:szCs w:val="24"/>
              </w:rPr>
              <w:t xml:space="preserve"> cost</w:t>
            </w:r>
          </w:p>
        </w:tc>
        <w:tc>
          <w:tcPr>
            <w:tcW w:w="1934" w:type="dxa"/>
          </w:tcPr>
          <w:p w14:paraId="682812EB" w14:textId="23835D7B" w:rsidR="00751AE7" w:rsidRPr="00BD58C0" w:rsidRDefault="00751AE7" w:rsidP="00751AE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p>
        </w:tc>
        <w:tc>
          <w:tcPr>
            <w:tcW w:w="1189" w:type="dxa"/>
          </w:tcPr>
          <w:p w14:paraId="7981DD1C" w14:textId="6C520EAA" w:rsidR="00751AE7" w:rsidRPr="00BD58C0" w:rsidRDefault="00751AE7" w:rsidP="00751AE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58C0">
              <w:rPr>
                <w:rFonts w:ascii="Times New Roman" w:hAnsi="Times New Roman" w:cs="Times New Roman"/>
                <w:sz w:val="24"/>
                <w:szCs w:val="24"/>
              </w:rPr>
              <w:t>[</w:t>
            </w:r>
            <w:r w:rsidR="006C3970" w:rsidRPr="00BD58C0">
              <w:rPr>
                <w:rFonts w:ascii="Times New Roman" w:hAnsi="Times New Roman" w:cs="Times New Roman"/>
                <w:sz w:val="24"/>
                <w:szCs w:val="24"/>
              </w:rPr>
              <w:t>1</w:t>
            </w:r>
            <w:r w:rsidR="0031008D" w:rsidRPr="00BD58C0">
              <w:rPr>
                <w:rFonts w:ascii="Times New Roman" w:hAnsi="Times New Roman" w:cs="Times New Roman"/>
                <w:sz w:val="24"/>
                <w:szCs w:val="24"/>
              </w:rPr>
              <w:t>3</w:t>
            </w:r>
            <w:r w:rsidRPr="00BD58C0">
              <w:rPr>
                <w:rFonts w:ascii="Times New Roman" w:hAnsi="Times New Roman" w:cs="Times New Roman"/>
                <w:sz w:val="24"/>
                <w:szCs w:val="24"/>
              </w:rPr>
              <w:t>]</w:t>
            </w:r>
          </w:p>
        </w:tc>
      </w:tr>
    </w:tbl>
    <w:p w14:paraId="5D3687BF" w14:textId="0B70734E" w:rsidR="005678A5" w:rsidRPr="00BD58C0" w:rsidRDefault="005678A5" w:rsidP="00260716">
      <w:pPr>
        <w:spacing w:after="0" w:line="360" w:lineRule="auto"/>
        <w:jc w:val="both"/>
        <w:rPr>
          <w:rFonts w:ascii="Times New Roman" w:hAnsi="Times New Roman" w:cs="Times New Roman"/>
          <w:sz w:val="24"/>
          <w:szCs w:val="24"/>
        </w:rPr>
      </w:pPr>
    </w:p>
    <w:bookmarkEnd w:id="4"/>
    <w:p w14:paraId="74043DC4" w14:textId="127EAD57" w:rsidR="00705068" w:rsidRPr="00BD58C0" w:rsidRDefault="00705068" w:rsidP="00260716">
      <w:pPr>
        <w:spacing w:after="0" w:line="360" w:lineRule="auto"/>
        <w:jc w:val="both"/>
        <w:rPr>
          <w:rFonts w:ascii="Times New Roman" w:hAnsi="Times New Roman" w:cs="Times New Roman"/>
          <w:sz w:val="24"/>
          <w:szCs w:val="24"/>
        </w:rPr>
      </w:pPr>
    </w:p>
    <w:p w14:paraId="20CCA884" w14:textId="160E6AF8" w:rsidR="00705068" w:rsidRPr="00BD58C0" w:rsidRDefault="00705068" w:rsidP="00260716">
      <w:pPr>
        <w:spacing w:after="0" w:line="360" w:lineRule="auto"/>
        <w:jc w:val="both"/>
        <w:rPr>
          <w:rFonts w:ascii="Times New Roman" w:hAnsi="Times New Roman" w:cs="Times New Roman"/>
          <w:sz w:val="24"/>
          <w:szCs w:val="24"/>
        </w:rPr>
      </w:pPr>
    </w:p>
    <w:p w14:paraId="422A59E0" w14:textId="77777777" w:rsidR="00705068" w:rsidRPr="00BD58C0" w:rsidRDefault="00705068" w:rsidP="00260716">
      <w:pPr>
        <w:spacing w:after="0" w:line="360" w:lineRule="auto"/>
        <w:jc w:val="both"/>
        <w:rPr>
          <w:rFonts w:ascii="Times New Roman" w:hAnsi="Times New Roman" w:cs="Times New Roman"/>
          <w:sz w:val="24"/>
          <w:szCs w:val="24"/>
        </w:rPr>
      </w:pPr>
    </w:p>
    <w:p w14:paraId="71849B84" w14:textId="75198F7A" w:rsidR="00874A79" w:rsidRPr="00BD58C0" w:rsidRDefault="00874A79" w:rsidP="00260716">
      <w:pPr>
        <w:spacing w:after="0" w:line="360" w:lineRule="auto"/>
        <w:jc w:val="both"/>
        <w:rPr>
          <w:rFonts w:ascii="Times New Roman" w:hAnsi="Times New Roman" w:cs="Times New Roman"/>
          <w:sz w:val="24"/>
          <w:szCs w:val="24"/>
        </w:rPr>
      </w:pPr>
      <w:bookmarkStart w:id="5" w:name="_Hlk87166911"/>
      <w:r w:rsidRPr="00BD58C0">
        <w:rPr>
          <w:rFonts w:ascii="Times New Roman" w:hAnsi="Times New Roman" w:cs="Times New Roman"/>
          <w:b/>
          <w:bCs/>
          <w:sz w:val="24"/>
          <w:szCs w:val="24"/>
        </w:rPr>
        <w:lastRenderedPageBreak/>
        <w:t xml:space="preserve">Table </w:t>
      </w:r>
      <w:r w:rsidR="00D149DE" w:rsidRPr="00BD58C0">
        <w:rPr>
          <w:rFonts w:ascii="Times New Roman" w:hAnsi="Times New Roman" w:cs="Times New Roman"/>
          <w:b/>
          <w:bCs/>
          <w:sz w:val="24"/>
          <w:szCs w:val="24"/>
        </w:rPr>
        <w:t>2</w:t>
      </w:r>
      <w:r w:rsidR="00157552" w:rsidRPr="00BD58C0">
        <w:rPr>
          <w:rFonts w:ascii="Times New Roman" w:hAnsi="Times New Roman" w:cs="Times New Roman"/>
          <w:b/>
          <w:bCs/>
          <w:sz w:val="24"/>
          <w:szCs w:val="24"/>
        </w:rPr>
        <w:tab/>
      </w:r>
      <w:r w:rsidR="0051322A" w:rsidRPr="00BD58C0">
        <w:rPr>
          <w:rFonts w:ascii="Times New Roman" w:hAnsi="Times New Roman" w:cs="Times New Roman"/>
          <w:sz w:val="24"/>
          <w:szCs w:val="24"/>
        </w:rPr>
        <w:t>Values</w:t>
      </w:r>
      <w:r w:rsidRPr="00BD58C0">
        <w:rPr>
          <w:rFonts w:ascii="Times New Roman" w:hAnsi="Times New Roman" w:cs="Times New Roman"/>
          <w:sz w:val="24"/>
          <w:szCs w:val="24"/>
        </w:rPr>
        <w:t xml:space="preserve"> for</w:t>
      </w:r>
      <w:r w:rsidR="0051322A" w:rsidRPr="00BD58C0">
        <w:rPr>
          <w:rFonts w:ascii="Times New Roman" w:hAnsi="Times New Roman" w:cs="Times New Roman"/>
          <w:sz w:val="24"/>
          <w:szCs w:val="24"/>
        </w:rPr>
        <w:t xml:space="preserve"> symbol </w:t>
      </w:r>
      <w:r w:rsidR="00DB0127" w:rsidRPr="00BD58C0">
        <w:rPr>
          <w:rFonts w:ascii="Times New Roman" w:hAnsi="Times New Roman" w:cs="Times New Roman"/>
          <w:sz w:val="24"/>
          <w:szCs w:val="24"/>
        </w:rPr>
        <w:t xml:space="preserve">used </w:t>
      </w:r>
      <w:r w:rsidR="0051322A" w:rsidRPr="00BD58C0">
        <w:rPr>
          <w:rFonts w:ascii="Times New Roman" w:hAnsi="Times New Roman" w:cs="Times New Roman"/>
          <w:sz w:val="24"/>
          <w:szCs w:val="24"/>
        </w:rPr>
        <w:t>in</w:t>
      </w:r>
      <w:r w:rsidRPr="00BD58C0">
        <w:rPr>
          <w:rFonts w:ascii="Times New Roman" w:hAnsi="Times New Roman" w:cs="Times New Roman"/>
          <w:sz w:val="24"/>
          <w:szCs w:val="24"/>
        </w:rPr>
        <w:t xml:space="preserve"> LCC</w:t>
      </w:r>
      <w:r w:rsidR="00DB0127" w:rsidRPr="00BD58C0">
        <w:rPr>
          <w:rFonts w:ascii="Times New Roman" w:hAnsi="Times New Roman" w:cs="Times New Roman"/>
          <w:sz w:val="24"/>
          <w:szCs w:val="24"/>
        </w:rPr>
        <w:t xml:space="preserve"> calculation</w:t>
      </w:r>
      <w:r w:rsidRPr="00BD58C0">
        <w:rPr>
          <w:rFonts w:ascii="Times New Roman" w:hAnsi="Times New Roman" w:cs="Times New Roman"/>
          <w:sz w:val="24"/>
          <w:szCs w:val="24"/>
        </w:rPr>
        <w:t xml:space="preserve"> </w:t>
      </w:r>
    </w:p>
    <w:tbl>
      <w:tblPr>
        <w:tblStyle w:val="PlainTable2"/>
        <w:tblW w:w="0" w:type="auto"/>
        <w:tblLook w:val="0620" w:firstRow="1" w:lastRow="0" w:firstColumn="0" w:lastColumn="0" w:noHBand="1" w:noVBand="1"/>
      </w:tblPr>
      <w:tblGrid>
        <w:gridCol w:w="2228"/>
        <w:gridCol w:w="1033"/>
        <w:gridCol w:w="2027"/>
        <w:gridCol w:w="1942"/>
        <w:gridCol w:w="1796"/>
      </w:tblGrid>
      <w:tr w:rsidR="00BD58C0" w:rsidRPr="00BD58C0" w14:paraId="74928C1E" w14:textId="77777777" w:rsidTr="00901B42">
        <w:trPr>
          <w:cnfStyle w:val="100000000000" w:firstRow="1" w:lastRow="0" w:firstColumn="0" w:lastColumn="0" w:oddVBand="0" w:evenVBand="0" w:oddHBand="0" w:evenHBand="0" w:firstRowFirstColumn="0" w:firstRowLastColumn="0" w:lastRowFirstColumn="0" w:lastRowLastColumn="0"/>
        </w:trPr>
        <w:tc>
          <w:tcPr>
            <w:tcW w:w="2228" w:type="dxa"/>
          </w:tcPr>
          <w:p w14:paraId="635985F3" w14:textId="479E2FD1" w:rsidR="003611E3" w:rsidRPr="00BD58C0" w:rsidRDefault="003611E3"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 xml:space="preserve">Item </w:t>
            </w:r>
          </w:p>
        </w:tc>
        <w:tc>
          <w:tcPr>
            <w:tcW w:w="1033" w:type="dxa"/>
          </w:tcPr>
          <w:p w14:paraId="4D184E87" w14:textId="20C34191" w:rsidR="003611E3" w:rsidRPr="00BD58C0" w:rsidRDefault="003611E3"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Symbol</w:t>
            </w:r>
          </w:p>
        </w:tc>
        <w:tc>
          <w:tcPr>
            <w:tcW w:w="2027" w:type="dxa"/>
          </w:tcPr>
          <w:p w14:paraId="4C25AAC8" w14:textId="526992EF" w:rsidR="003611E3" w:rsidRPr="00BD58C0" w:rsidRDefault="003611E3"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Range of electricity</w:t>
            </w:r>
          </w:p>
        </w:tc>
        <w:tc>
          <w:tcPr>
            <w:tcW w:w="1942" w:type="dxa"/>
          </w:tcPr>
          <w:p w14:paraId="7C74A107" w14:textId="6C3BC5F1" w:rsidR="003611E3" w:rsidRPr="00BD58C0" w:rsidRDefault="003611E3"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Value</w:t>
            </w:r>
          </w:p>
        </w:tc>
        <w:tc>
          <w:tcPr>
            <w:tcW w:w="1796" w:type="dxa"/>
          </w:tcPr>
          <w:p w14:paraId="21527D02" w14:textId="1933D477" w:rsidR="003611E3" w:rsidRPr="00BD58C0" w:rsidRDefault="003611E3" w:rsidP="00260716">
            <w:pPr>
              <w:spacing w:line="360" w:lineRule="auto"/>
              <w:jc w:val="both"/>
              <w:rPr>
                <w:rFonts w:ascii="Times New Roman" w:hAnsi="Times New Roman" w:cs="Times New Roman"/>
                <w:b w:val="0"/>
                <w:bCs w:val="0"/>
                <w:sz w:val="24"/>
                <w:szCs w:val="24"/>
              </w:rPr>
            </w:pPr>
            <w:r w:rsidRPr="00BD58C0">
              <w:rPr>
                <w:rFonts w:ascii="Times New Roman" w:hAnsi="Times New Roman" w:cs="Times New Roman"/>
                <w:b w:val="0"/>
                <w:bCs w:val="0"/>
                <w:sz w:val="24"/>
                <w:szCs w:val="24"/>
              </w:rPr>
              <w:t xml:space="preserve">Reference </w:t>
            </w:r>
          </w:p>
        </w:tc>
      </w:tr>
      <w:tr w:rsidR="00BD58C0" w:rsidRPr="00BD58C0" w14:paraId="3A5620F7" w14:textId="77777777" w:rsidTr="00901B42">
        <w:tc>
          <w:tcPr>
            <w:tcW w:w="2228" w:type="dxa"/>
          </w:tcPr>
          <w:p w14:paraId="4C71A37A" w14:textId="2DE39B3D" w:rsidR="003611E3" w:rsidRPr="00BD58C0" w:rsidRDefault="003611E3" w:rsidP="00260716">
            <w:pPr>
              <w:spacing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Biogas plant</w:t>
            </w:r>
          </w:p>
        </w:tc>
        <w:tc>
          <w:tcPr>
            <w:tcW w:w="1033" w:type="dxa"/>
          </w:tcPr>
          <w:p w14:paraId="0A9134E1" w14:textId="77777777" w:rsidR="003611E3" w:rsidRPr="00BD58C0" w:rsidRDefault="003611E3" w:rsidP="00260716">
            <w:pPr>
              <w:spacing w:line="360" w:lineRule="auto"/>
              <w:jc w:val="both"/>
              <w:rPr>
                <w:rFonts w:ascii="Times New Roman" w:hAnsi="Times New Roman" w:cs="Times New Roman"/>
                <w:sz w:val="24"/>
                <w:szCs w:val="24"/>
              </w:rPr>
            </w:pPr>
          </w:p>
        </w:tc>
        <w:tc>
          <w:tcPr>
            <w:tcW w:w="2027" w:type="dxa"/>
          </w:tcPr>
          <w:p w14:paraId="43E012F2"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3E996C6B" w14:textId="5C159ACA" w:rsidR="003611E3" w:rsidRPr="00BD58C0" w:rsidRDefault="003611E3" w:rsidP="00260716">
            <w:pPr>
              <w:spacing w:line="360" w:lineRule="auto"/>
              <w:jc w:val="both"/>
              <w:rPr>
                <w:rFonts w:ascii="Times New Roman" w:hAnsi="Times New Roman" w:cs="Times New Roman"/>
                <w:sz w:val="24"/>
                <w:szCs w:val="24"/>
              </w:rPr>
            </w:pPr>
          </w:p>
        </w:tc>
        <w:tc>
          <w:tcPr>
            <w:tcW w:w="1796" w:type="dxa"/>
          </w:tcPr>
          <w:p w14:paraId="1EE10A55" w14:textId="77777777" w:rsidR="003611E3" w:rsidRPr="00BD58C0" w:rsidRDefault="003611E3" w:rsidP="00260716">
            <w:pPr>
              <w:spacing w:line="360" w:lineRule="auto"/>
              <w:jc w:val="both"/>
              <w:rPr>
                <w:rFonts w:ascii="Times New Roman" w:hAnsi="Times New Roman" w:cs="Times New Roman"/>
                <w:sz w:val="24"/>
                <w:szCs w:val="24"/>
              </w:rPr>
            </w:pPr>
          </w:p>
        </w:tc>
      </w:tr>
      <w:tr w:rsidR="00BD58C0" w:rsidRPr="00BD58C0" w14:paraId="3A3792C8" w14:textId="77777777" w:rsidTr="00901B42">
        <w:tc>
          <w:tcPr>
            <w:tcW w:w="2228" w:type="dxa"/>
          </w:tcPr>
          <w:p w14:paraId="4D1DCD04" w14:textId="40F9D07F" w:rsidR="00120901" w:rsidRPr="00BD58C0" w:rsidRDefault="00120901"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 xml:space="preserve">Electricity </w:t>
            </w:r>
          </w:p>
        </w:tc>
        <w:tc>
          <w:tcPr>
            <w:tcW w:w="1033" w:type="dxa"/>
          </w:tcPr>
          <w:p w14:paraId="2D7B5D26" w14:textId="73503C09" w:rsidR="00120901" w:rsidRPr="00BD58C0" w:rsidRDefault="00120901" w:rsidP="00260716">
            <w:pPr>
              <w:spacing w:line="360" w:lineRule="auto"/>
              <w:jc w:val="both"/>
              <w:rPr>
                <w:rFonts w:ascii="Times New Roman" w:hAnsi="Times New Roman" w:cs="Times New Roman"/>
                <w:sz w:val="24"/>
                <w:szCs w:val="24"/>
                <w:vertAlign w:val="subscript"/>
              </w:rPr>
            </w:pPr>
            <w:r w:rsidRPr="00BD58C0">
              <w:rPr>
                <w:rFonts w:ascii="Times New Roman" w:hAnsi="Times New Roman" w:cs="Times New Roman"/>
                <w:sz w:val="24"/>
                <w:szCs w:val="24"/>
              </w:rPr>
              <w:t>C</w:t>
            </w:r>
            <w:r w:rsidRPr="00BD58C0">
              <w:rPr>
                <w:rFonts w:ascii="Times New Roman" w:hAnsi="Times New Roman" w:cs="Times New Roman"/>
                <w:sz w:val="24"/>
                <w:szCs w:val="24"/>
                <w:vertAlign w:val="subscript"/>
              </w:rPr>
              <w:t>i</w:t>
            </w:r>
          </w:p>
        </w:tc>
        <w:tc>
          <w:tcPr>
            <w:tcW w:w="2027" w:type="dxa"/>
          </w:tcPr>
          <w:p w14:paraId="6C53AB1C" w14:textId="4419E4C5" w:rsidR="00120901" w:rsidRPr="00BD58C0" w:rsidRDefault="00120901"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First 200 kWh</w:t>
            </w:r>
          </w:p>
        </w:tc>
        <w:tc>
          <w:tcPr>
            <w:tcW w:w="1942" w:type="dxa"/>
          </w:tcPr>
          <w:p w14:paraId="0B4EE434" w14:textId="4D1848FB" w:rsidR="00120901" w:rsidRPr="00BD58C0" w:rsidRDefault="00901B42"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USD</w:t>
            </w:r>
            <w:r w:rsidR="00120901" w:rsidRPr="00BD58C0">
              <w:rPr>
                <w:rFonts w:ascii="Times New Roman" w:hAnsi="Times New Roman" w:cs="Times New Roman"/>
                <w:sz w:val="24"/>
                <w:szCs w:val="24"/>
              </w:rPr>
              <w:t xml:space="preserve"> </w:t>
            </w:r>
            <w:r w:rsidRPr="00BD58C0">
              <w:rPr>
                <w:rFonts w:ascii="Times New Roman" w:hAnsi="Times New Roman" w:cs="Times New Roman"/>
                <w:sz w:val="24"/>
                <w:szCs w:val="24"/>
              </w:rPr>
              <w:t>0.092</w:t>
            </w:r>
            <w:r w:rsidR="00120901" w:rsidRPr="00BD58C0">
              <w:rPr>
                <w:rFonts w:ascii="Times New Roman" w:hAnsi="Times New Roman" w:cs="Times New Roman"/>
                <w:sz w:val="24"/>
                <w:szCs w:val="24"/>
              </w:rPr>
              <w:t>/kWh</w:t>
            </w:r>
          </w:p>
        </w:tc>
        <w:tc>
          <w:tcPr>
            <w:tcW w:w="1796" w:type="dxa"/>
            <w:vMerge w:val="restart"/>
          </w:tcPr>
          <w:p w14:paraId="6C956459" w14:textId="49D60D3F" w:rsidR="00120901" w:rsidRPr="00BD58C0" w:rsidRDefault="00120901"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w:t>
            </w:r>
            <w:r w:rsidR="00123327" w:rsidRPr="00BD58C0">
              <w:rPr>
                <w:rFonts w:ascii="Times New Roman" w:hAnsi="Times New Roman" w:cs="Times New Roman"/>
                <w:sz w:val="24"/>
                <w:szCs w:val="24"/>
              </w:rPr>
              <w:t>3</w:t>
            </w:r>
            <w:r w:rsidR="00807D6E" w:rsidRPr="00BD58C0">
              <w:rPr>
                <w:rFonts w:ascii="Times New Roman" w:hAnsi="Times New Roman" w:cs="Times New Roman"/>
                <w:sz w:val="24"/>
                <w:szCs w:val="24"/>
              </w:rPr>
              <w:t>7</w:t>
            </w:r>
            <w:r w:rsidRPr="00BD58C0">
              <w:rPr>
                <w:rFonts w:ascii="Times New Roman" w:hAnsi="Times New Roman" w:cs="Times New Roman"/>
                <w:sz w:val="24"/>
                <w:szCs w:val="24"/>
              </w:rPr>
              <w:t>]</w:t>
            </w:r>
          </w:p>
        </w:tc>
      </w:tr>
      <w:tr w:rsidR="00BD58C0" w:rsidRPr="00BD58C0" w14:paraId="46B0429C" w14:textId="77777777" w:rsidTr="00901B42">
        <w:tc>
          <w:tcPr>
            <w:tcW w:w="2228" w:type="dxa"/>
          </w:tcPr>
          <w:p w14:paraId="76C73BBE" w14:textId="77777777" w:rsidR="00120901" w:rsidRPr="00BD58C0" w:rsidRDefault="00120901" w:rsidP="00260716">
            <w:pPr>
              <w:spacing w:line="360" w:lineRule="auto"/>
              <w:jc w:val="both"/>
              <w:rPr>
                <w:rFonts w:ascii="Times New Roman" w:hAnsi="Times New Roman" w:cs="Times New Roman"/>
                <w:sz w:val="24"/>
                <w:szCs w:val="24"/>
              </w:rPr>
            </w:pPr>
          </w:p>
        </w:tc>
        <w:tc>
          <w:tcPr>
            <w:tcW w:w="1033" w:type="dxa"/>
          </w:tcPr>
          <w:p w14:paraId="544BCEC0" w14:textId="77777777" w:rsidR="00120901" w:rsidRPr="00BD58C0" w:rsidRDefault="00120901" w:rsidP="00260716">
            <w:pPr>
              <w:spacing w:line="360" w:lineRule="auto"/>
              <w:jc w:val="both"/>
              <w:rPr>
                <w:rFonts w:ascii="Times New Roman" w:hAnsi="Times New Roman" w:cs="Times New Roman"/>
                <w:sz w:val="24"/>
                <w:szCs w:val="24"/>
              </w:rPr>
            </w:pPr>
          </w:p>
        </w:tc>
        <w:tc>
          <w:tcPr>
            <w:tcW w:w="2027" w:type="dxa"/>
          </w:tcPr>
          <w:p w14:paraId="7B4776C9" w14:textId="0694B6D6" w:rsidR="00120901" w:rsidRPr="00BD58C0" w:rsidRDefault="00120901"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201 kWh onwards</w:t>
            </w:r>
          </w:p>
        </w:tc>
        <w:tc>
          <w:tcPr>
            <w:tcW w:w="1942" w:type="dxa"/>
          </w:tcPr>
          <w:p w14:paraId="7FA4F174" w14:textId="2E8C3524" w:rsidR="00120901" w:rsidRPr="00BD58C0" w:rsidRDefault="00901B42"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USD</w:t>
            </w:r>
            <w:r w:rsidR="00120901" w:rsidRPr="00BD58C0">
              <w:rPr>
                <w:rFonts w:ascii="Times New Roman" w:hAnsi="Times New Roman" w:cs="Times New Roman"/>
                <w:sz w:val="24"/>
                <w:szCs w:val="24"/>
              </w:rPr>
              <w:t xml:space="preserve"> </w:t>
            </w:r>
            <w:r w:rsidRPr="00BD58C0">
              <w:rPr>
                <w:rFonts w:ascii="Times New Roman" w:hAnsi="Times New Roman" w:cs="Times New Roman"/>
                <w:sz w:val="24"/>
                <w:szCs w:val="24"/>
              </w:rPr>
              <w:t>0.11</w:t>
            </w:r>
            <w:r w:rsidR="00120901" w:rsidRPr="00BD58C0">
              <w:rPr>
                <w:rFonts w:ascii="Times New Roman" w:hAnsi="Times New Roman" w:cs="Times New Roman"/>
                <w:sz w:val="24"/>
                <w:szCs w:val="24"/>
              </w:rPr>
              <w:t>/kWh</w:t>
            </w:r>
          </w:p>
        </w:tc>
        <w:tc>
          <w:tcPr>
            <w:tcW w:w="1796" w:type="dxa"/>
            <w:vMerge/>
          </w:tcPr>
          <w:p w14:paraId="75CFF9D4" w14:textId="77777777" w:rsidR="00120901" w:rsidRPr="00BD58C0" w:rsidRDefault="00120901" w:rsidP="00260716">
            <w:pPr>
              <w:spacing w:line="360" w:lineRule="auto"/>
              <w:jc w:val="both"/>
              <w:rPr>
                <w:rFonts w:ascii="Times New Roman" w:hAnsi="Times New Roman" w:cs="Times New Roman"/>
                <w:sz w:val="24"/>
                <w:szCs w:val="24"/>
              </w:rPr>
            </w:pPr>
          </w:p>
        </w:tc>
      </w:tr>
      <w:tr w:rsidR="00BD58C0" w:rsidRPr="00BD58C0" w14:paraId="12FF1CC9" w14:textId="77777777" w:rsidTr="00901B42">
        <w:tc>
          <w:tcPr>
            <w:tcW w:w="2228" w:type="dxa"/>
          </w:tcPr>
          <w:p w14:paraId="4E68C89B" w14:textId="58E08E86" w:rsidR="003611E3" w:rsidRPr="00BD58C0" w:rsidRDefault="003611E3" w:rsidP="00260716">
            <w:pPr>
              <w:spacing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 xml:space="preserve">Assumptions </w:t>
            </w:r>
          </w:p>
        </w:tc>
        <w:tc>
          <w:tcPr>
            <w:tcW w:w="1033" w:type="dxa"/>
          </w:tcPr>
          <w:p w14:paraId="5D179A7A" w14:textId="77777777" w:rsidR="003611E3" w:rsidRPr="00BD58C0" w:rsidRDefault="003611E3" w:rsidP="00260716">
            <w:pPr>
              <w:spacing w:line="360" w:lineRule="auto"/>
              <w:jc w:val="both"/>
              <w:rPr>
                <w:rFonts w:ascii="Times New Roman" w:hAnsi="Times New Roman" w:cs="Times New Roman"/>
                <w:sz w:val="24"/>
                <w:szCs w:val="24"/>
              </w:rPr>
            </w:pPr>
          </w:p>
        </w:tc>
        <w:tc>
          <w:tcPr>
            <w:tcW w:w="2027" w:type="dxa"/>
          </w:tcPr>
          <w:p w14:paraId="6543A6CB"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24E4D207" w14:textId="60D84E60" w:rsidR="003611E3" w:rsidRPr="00BD58C0" w:rsidRDefault="003611E3" w:rsidP="00260716">
            <w:pPr>
              <w:spacing w:line="360" w:lineRule="auto"/>
              <w:jc w:val="both"/>
              <w:rPr>
                <w:rFonts w:ascii="Times New Roman" w:hAnsi="Times New Roman" w:cs="Times New Roman"/>
                <w:sz w:val="24"/>
                <w:szCs w:val="24"/>
              </w:rPr>
            </w:pPr>
          </w:p>
        </w:tc>
        <w:tc>
          <w:tcPr>
            <w:tcW w:w="1796" w:type="dxa"/>
          </w:tcPr>
          <w:p w14:paraId="795A29B6" w14:textId="77777777" w:rsidR="003611E3" w:rsidRPr="00BD58C0" w:rsidRDefault="003611E3" w:rsidP="00260716">
            <w:pPr>
              <w:spacing w:line="360" w:lineRule="auto"/>
              <w:jc w:val="both"/>
              <w:rPr>
                <w:rFonts w:ascii="Times New Roman" w:hAnsi="Times New Roman" w:cs="Times New Roman"/>
                <w:sz w:val="24"/>
                <w:szCs w:val="24"/>
              </w:rPr>
            </w:pPr>
          </w:p>
        </w:tc>
      </w:tr>
      <w:tr w:rsidR="00BD58C0" w:rsidRPr="00BD58C0" w14:paraId="5C9CAF5C" w14:textId="77777777" w:rsidTr="00901B42">
        <w:tc>
          <w:tcPr>
            <w:tcW w:w="2228" w:type="dxa"/>
          </w:tcPr>
          <w:p w14:paraId="4ECE45E7" w14:textId="248CED63"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Plant lifespan</w:t>
            </w:r>
          </w:p>
        </w:tc>
        <w:tc>
          <w:tcPr>
            <w:tcW w:w="1033" w:type="dxa"/>
          </w:tcPr>
          <w:p w14:paraId="7EBF3987" w14:textId="42277F46" w:rsidR="003611E3" w:rsidRPr="00BD58C0" w:rsidRDefault="005E7E4C"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t</w:t>
            </w:r>
          </w:p>
        </w:tc>
        <w:tc>
          <w:tcPr>
            <w:tcW w:w="2027" w:type="dxa"/>
          </w:tcPr>
          <w:p w14:paraId="3673B442"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5A5C81CA" w14:textId="6F62A57E"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20 years</w:t>
            </w:r>
          </w:p>
        </w:tc>
        <w:tc>
          <w:tcPr>
            <w:tcW w:w="1796" w:type="dxa"/>
          </w:tcPr>
          <w:p w14:paraId="29EBF82D" w14:textId="766454B7"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Obtained from the mill</w:t>
            </w:r>
          </w:p>
        </w:tc>
      </w:tr>
      <w:tr w:rsidR="00BD58C0" w:rsidRPr="00BD58C0" w14:paraId="1B10E764" w14:textId="77777777" w:rsidTr="00901B42">
        <w:tc>
          <w:tcPr>
            <w:tcW w:w="2228" w:type="dxa"/>
          </w:tcPr>
          <w:p w14:paraId="5C3D4998" w14:textId="49341170"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Interest rate</w:t>
            </w:r>
          </w:p>
        </w:tc>
        <w:tc>
          <w:tcPr>
            <w:tcW w:w="1033" w:type="dxa"/>
          </w:tcPr>
          <w:p w14:paraId="363D2E00" w14:textId="1FC170FC" w:rsidR="003611E3" w:rsidRPr="00BD58C0" w:rsidRDefault="00C10137"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r</w:t>
            </w:r>
          </w:p>
        </w:tc>
        <w:tc>
          <w:tcPr>
            <w:tcW w:w="2027" w:type="dxa"/>
          </w:tcPr>
          <w:p w14:paraId="474B0DDD"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641A9169" w14:textId="3B46E02F" w:rsidR="003611E3" w:rsidRPr="00BD58C0" w:rsidRDefault="00B336F6"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3.64</w:t>
            </w:r>
            <w:r w:rsidR="003611E3" w:rsidRPr="00BD58C0">
              <w:rPr>
                <w:rFonts w:ascii="Times New Roman" w:hAnsi="Times New Roman" w:cs="Times New Roman"/>
                <w:sz w:val="24"/>
                <w:szCs w:val="24"/>
              </w:rPr>
              <w:t>%</w:t>
            </w:r>
          </w:p>
        </w:tc>
        <w:tc>
          <w:tcPr>
            <w:tcW w:w="1796" w:type="dxa"/>
          </w:tcPr>
          <w:p w14:paraId="6A495A0F" w14:textId="73E9D39F"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w:t>
            </w:r>
            <w:r w:rsidR="00F15375" w:rsidRPr="00BD58C0">
              <w:rPr>
                <w:rFonts w:ascii="Times New Roman" w:hAnsi="Times New Roman" w:cs="Times New Roman"/>
                <w:sz w:val="24"/>
                <w:szCs w:val="24"/>
              </w:rPr>
              <w:t>3</w:t>
            </w:r>
            <w:r w:rsidR="00807D6E" w:rsidRPr="00BD58C0">
              <w:rPr>
                <w:rFonts w:ascii="Times New Roman" w:hAnsi="Times New Roman" w:cs="Times New Roman"/>
                <w:sz w:val="24"/>
                <w:szCs w:val="24"/>
              </w:rPr>
              <w:t>6</w:t>
            </w:r>
            <w:r w:rsidRPr="00BD58C0">
              <w:rPr>
                <w:rFonts w:ascii="Times New Roman" w:hAnsi="Times New Roman" w:cs="Times New Roman"/>
                <w:sz w:val="24"/>
                <w:szCs w:val="24"/>
              </w:rPr>
              <w:t>]</w:t>
            </w:r>
          </w:p>
        </w:tc>
      </w:tr>
      <w:tr w:rsidR="00BD58C0" w:rsidRPr="00BD58C0" w14:paraId="270854A5" w14:textId="77777777" w:rsidTr="00901B42">
        <w:tc>
          <w:tcPr>
            <w:tcW w:w="2228" w:type="dxa"/>
          </w:tcPr>
          <w:p w14:paraId="0B5DFB45" w14:textId="2F125C2C"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Earth works rate</w:t>
            </w:r>
          </w:p>
        </w:tc>
        <w:tc>
          <w:tcPr>
            <w:tcW w:w="1033" w:type="dxa"/>
          </w:tcPr>
          <w:p w14:paraId="2F7D45D5" w14:textId="611A30B7" w:rsidR="003611E3" w:rsidRPr="00BD58C0" w:rsidRDefault="003611E3" w:rsidP="00260716">
            <w:pPr>
              <w:spacing w:line="360" w:lineRule="auto"/>
              <w:jc w:val="both"/>
              <w:rPr>
                <w:rFonts w:ascii="Times New Roman" w:hAnsi="Times New Roman" w:cs="Times New Roman"/>
                <w:sz w:val="24"/>
                <w:szCs w:val="24"/>
                <w:vertAlign w:val="subscript"/>
              </w:rPr>
            </w:pPr>
            <w:proofErr w:type="spellStart"/>
            <w:r w:rsidRPr="00BD58C0">
              <w:rPr>
                <w:rFonts w:ascii="Times New Roman" w:hAnsi="Times New Roman" w:cs="Times New Roman"/>
                <w:sz w:val="24"/>
                <w:szCs w:val="24"/>
              </w:rPr>
              <w:t>EW</w:t>
            </w:r>
            <w:r w:rsidRPr="00BD58C0">
              <w:rPr>
                <w:rFonts w:ascii="Times New Roman" w:hAnsi="Times New Roman" w:cs="Times New Roman"/>
                <w:sz w:val="24"/>
                <w:szCs w:val="24"/>
                <w:vertAlign w:val="subscript"/>
              </w:rPr>
              <w:t>r</w:t>
            </w:r>
            <w:proofErr w:type="spellEnd"/>
          </w:p>
        </w:tc>
        <w:tc>
          <w:tcPr>
            <w:tcW w:w="2027" w:type="dxa"/>
          </w:tcPr>
          <w:p w14:paraId="60B985B6"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73ECC5F5" w14:textId="22B07B2C" w:rsidR="003611E3" w:rsidRPr="00BD58C0" w:rsidRDefault="0055167A"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USD</w:t>
            </w:r>
            <w:r w:rsidR="003611E3" w:rsidRPr="00BD58C0">
              <w:rPr>
                <w:rFonts w:ascii="Times New Roman" w:hAnsi="Times New Roman" w:cs="Times New Roman"/>
                <w:sz w:val="24"/>
                <w:szCs w:val="24"/>
              </w:rPr>
              <w:t xml:space="preserve"> </w:t>
            </w:r>
            <w:r w:rsidRPr="00BD58C0">
              <w:rPr>
                <w:rFonts w:ascii="Times New Roman" w:hAnsi="Times New Roman" w:cs="Times New Roman"/>
                <w:sz w:val="24"/>
                <w:szCs w:val="24"/>
              </w:rPr>
              <w:t>778</w:t>
            </w:r>
            <w:r w:rsidR="003611E3" w:rsidRPr="00BD58C0">
              <w:rPr>
                <w:rFonts w:ascii="Times New Roman" w:hAnsi="Times New Roman" w:cs="Times New Roman"/>
                <w:sz w:val="24"/>
                <w:szCs w:val="24"/>
              </w:rPr>
              <w:t>.90</w:t>
            </w:r>
          </w:p>
        </w:tc>
        <w:tc>
          <w:tcPr>
            <w:tcW w:w="1796" w:type="dxa"/>
          </w:tcPr>
          <w:p w14:paraId="5D733014" w14:textId="40E54A45"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w:t>
            </w:r>
            <w:r w:rsidR="00807D6E" w:rsidRPr="00BD58C0">
              <w:rPr>
                <w:rFonts w:ascii="Times New Roman" w:hAnsi="Times New Roman" w:cs="Times New Roman"/>
                <w:sz w:val="24"/>
                <w:szCs w:val="24"/>
              </w:rPr>
              <w:t>32</w:t>
            </w:r>
            <w:r w:rsidRPr="00BD58C0">
              <w:rPr>
                <w:rFonts w:ascii="Times New Roman" w:hAnsi="Times New Roman" w:cs="Times New Roman"/>
                <w:sz w:val="24"/>
                <w:szCs w:val="24"/>
              </w:rPr>
              <w:t>]</w:t>
            </w:r>
          </w:p>
        </w:tc>
      </w:tr>
      <w:tr w:rsidR="00BD58C0" w:rsidRPr="00BD58C0" w14:paraId="7123404A" w14:textId="77777777" w:rsidTr="00901B42">
        <w:tc>
          <w:tcPr>
            <w:tcW w:w="2228" w:type="dxa"/>
          </w:tcPr>
          <w:p w14:paraId="01D8DCB8" w14:textId="1635C37A"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Dumping rate</w:t>
            </w:r>
          </w:p>
        </w:tc>
        <w:tc>
          <w:tcPr>
            <w:tcW w:w="1033" w:type="dxa"/>
          </w:tcPr>
          <w:p w14:paraId="77982CB2" w14:textId="4B4CF782" w:rsidR="003611E3" w:rsidRPr="00BD58C0" w:rsidRDefault="003611E3" w:rsidP="00260716">
            <w:pPr>
              <w:spacing w:line="360" w:lineRule="auto"/>
              <w:jc w:val="both"/>
              <w:rPr>
                <w:rFonts w:ascii="Times New Roman" w:hAnsi="Times New Roman" w:cs="Times New Roman"/>
                <w:sz w:val="24"/>
                <w:szCs w:val="24"/>
                <w:vertAlign w:val="subscript"/>
              </w:rPr>
            </w:pPr>
            <w:r w:rsidRPr="00BD58C0">
              <w:rPr>
                <w:rFonts w:ascii="Times New Roman" w:hAnsi="Times New Roman" w:cs="Times New Roman"/>
                <w:sz w:val="24"/>
                <w:szCs w:val="24"/>
              </w:rPr>
              <w:t>D</w:t>
            </w:r>
            <w:r w:rsidRPr="00BD58C0">
              <w:rPr>
                <w:rFonts w:ascii="Times New Roman" w:hAnsi="Times New Roman" w:cs="Times New Roman"/>
                <w:sz w:val="24"/>
                <w:szCs w:val="24"/>
                <w:vertAlign w:val="subscript"/>
              </w:rPr>
              <w:t>r</w:t>
            </w:r>
          </w:p>
        </w:tc>
        <w:tc>
          <w:tcPr>
            <w:tcW w:w="2027" w:type="dxa"/>
          </w:tcPr>
          <w:p w14:paraId="159A463E" w14:textId="77777777" w:rsidR="003611E3" w:rsidRPr="00BD58C0" w:rsidRDefault="003611E3" w:rsidP="00260716">
            <w:pPr>
              <w:spacing w:line="360" w:lineRule="auto"/>
              <w:jc w:val="both"/>
              <w:rPr>
                <w:rFonts w:ascii="Times New Roman" w:hAnsi="Times New Roman" w:cs="Times New Roman"/>
                <w:sz w:val="24"/>
                <w:szCs w:val="24"/>
              </w:rPr>
            </w:pPr>
          </w:p>
        </w:tc>
        <w:tc>
          <w:tcPr>
            <w:tcW w:w="1942" w:type="dxa"/>
          </w:tcPr>
          <w:p w14:paraId="23F7AF2A" w14:textId="464434EA" w:rsidR="003611E3" w:rsidRPr="00BD58C0" w:rsidRDefault="0055167A"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USD</w:t>
            </w:r>
            <w:r w:rsidR="003611E3" w:rsidRPr="00BD58C0">
              <w:rPr>
                <w:rFonts w:ascii="Times New Roman" w:hAnsi="Times New Roman" w:cs="Times New Roman"/>
                <w:sz w:val="24"/>
                <w:szCs w:val="24"/>
              </w:rPr>
              <w:t xml:space="preserve"> </w:t>
            </w:r>
            <w:r w:rsidRPr="00BD58C0">
              <w:rPr>
                <w:rFonts w:ascii="Times New Roman" w:hAnsi="Times New Roman" w:cs="Times New Roman"/>
                <w:sz w:val="24"/>
                <w:szCs w:val="24"/>
              </w:rPr>
              <w:t>1.68</w:t>
            </w:r>
          </w:p>
        </w:tc>
        <w:tc>
          <w:tcPr>
            <w:tcW w:w="1796" w:type="dxa"/>
          </w:tcPr>
          <w:p w14:paraId="7007AA75" w14:textId="4AE0BE9C" w:rsidR="003611E3" w:rsidRPr="00BD58C0" w:rsidRDefault="003611E3" w:rsidP="00260716">
            <w:pPr>
              <w:spacing w:line="360" w:lineRule="auto"/>
              <w:jc w:val="both"/>
              <w:rPr>
                <w:rFonts w:ascii="Times New Roman" w:hAnsi="Times New Roman" w:cs="Times New Roman"/>
                <w:sz w:val="24"/>
                <w:szCs w:val="24"/>
              </w:rPr>
            </w:pPr>
            <w:r w:rsidRPr="00BD58C0">
              <w:rPr>
                <w:rFonts w:ascii="Times New Roman" w:hAnsi="Times New Roman" w:cs="Times New Roman"/>
                <w:sz w:val="24"/>
                <w:szCs w:val="24"/>
              </w:rPr>
              <w:t>[</w:t>
            </w:r>
            <w:r w:rsidR="00807D6E" w:rsidRPr="00BD58C0">
              <w:rPr>
                <w:rFonts w:ascii="Times New Roman" w:hAnsi="Times New Roman" w:cs="Times New Roman"/>
                <w:sz w:val="24"/>
                <w:szCs w:val="24"/>
              </w:rPr>
              <w:t>31</w:t>
            </w:r>
            <w:r w:rsidRPr="00BD58C0">
              <w:rPr>
                <w:rFonts w:ascii="Times New Roman" w:hAnsi="Times New Roman" w:cs="Times New Roman"/>
                <w:sz w:val="24"/>
                <w:szCs w:val="24"/>
              </w:rPr>
              <w:t>]</w:t>
            </w:r>
          </w:p>
        </w:tc>
      </w:tr>
    </w:tbl>
    <w:p w14:paraId="247738DD" w14:textId="7191E62E" w:rsidR="004965EE" w:rsidRPr="00BD58C0" w:rsidRDefault="00610770" w:rsidP="004965EE">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Current e</w:t>
      </w:r>
      <w:r w:rsidR="004965EE" w:rsidRPr="00BD58C0">
        <w:rPr>
          <w:rFonts w:ascii="Times New Roman" w:eastAsiaTheme="minorEastAsia" w:hAnsi="Times New Roman" w:cs="Times New Roman"/>
          <w:iCs/>
          <w:sz w:val="24"/>
          <w:szCs w:val="24"/>
        </w:rPr>
        <w:t>xchange rate 1 USD = 4.12 Malaysia</w:t>
      </w:r>
      <w:r w:rsidR="00A16434" w:rsidRPr="00BD58C0">
        <w:rPr>
          <w:rFonts w:ascii="Times New Roman" w:eastAsiaTheme="minorEastAsia" w:hAnsi="Times New Roman" w:cs="Times New Roman"/>
          <w:iCs/>
          <w:sz w:val="24"/>
          <w:szCs w:val="24"/>
        </w:rPr>
        <w:t>n</w:t>
      </w:r>
      <w:r w:rsidR="004965EE" w:rsidRPr="00BD58C0">
        <w:rPr>
          <w:rFonts w:ascii="Times New Roman" w:eastAsiaTheme="minorEastAsia" w:hAnsi="Times New Roman" w:cs="Times New Roman"/>
          <w:iCs/>
          <w:sz w:val="24"/>
          <w:szCs w:val="24"/>
        </w:rPr>
        <w:t xml:space="preserve"> Ringgit (local currency) </w:t>
      </w:r>
    </w:p>
    <w:p w14:paraId="05385B17" w14:textId="77777777" w:rsidR="00EB19B7" w:rsidRPr="00BD58C0" w:rsidRDefault="00EB19B7" w:rsidP="004965EE">
      <w:pPr>
        <w:spacing w:after="0" w:line="360" w:lineRule="auto"/>
        <w:jc w:val="both"/>
        <w:rPr>
          <w:rFonts w:ascii="Times New Roman" w:eastAsiaTheme="minorEastAsia" w:hAnsi="Times New Roman" w:cs="Times New Roman"/>
          <w:iCs/>
          <w:sz w:val="24"/>
          <w:szCs w:val="24"/>
        </w:rPr>
      </w:pPr>
    </w:p>
    <w:bookmarkEnd w:id="5"/>
    <w:p w14:paraId="2BE02A05" w14:textId="7E0707B6" w:rsidR="005B28D2" w:rsidRPr="00BD58C0" w:rsidRDefault="00090013" w:rsidP="00260716">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LCC=</m:t>
        </m:r>
        <m:r>
          <m:rPr>
            <m:sty m:val="p"/>
          </m:rPr>
          <w:rPr>
            <w:rFonts w:ascii="Cambria Math" w:eastAsiaTheme="minorEastAsia" w:hAnsi="Cambria Math" w:cs="Times New Roman"/>
            <w:sz w:val="24"/>
            <w:szCs w:val="24"/>
          </w:rPr>
          <m:t>ACC+AO</m:t>
        </m:r>
      </m:oMath>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914EF0" w:rsidRPr="00BD58C0">
        <w:rPr>
          <w:rFonts w:ascii="Times New Roman" w:eastAsiaTheme="minorEastAsia" w:hAnsi="Times New Roman" w:cs="Times New Roman"/>
          <w:sz w:val="24"/>
          <w:szCs w:val="24"/>
        </w:rPr>
        <w:tab/>
      </w:r>
      <w:r w:rsidR="000F3645" w:rsidRPr="00BD58C0">
        <w:rPr>
          <w:rFonts w:ascii="Times New Roman" w:eastAsiaTheme="minorEastAsia" w:hAnsi="Times New Roman" w:cs="Times New Roman"/>
          <w:sz w:val="24"/>
          <w:szCs w:val="24"/>
        </w:rPr>
        <w:tab/>
        <w:t xml:space="preserve">    </w:t>
      </w:r>
      <w:r w:rsidR="00914EF0" w:rsidRPr="00BD58C0">
        <w:rPr>
          <w:rFonts w:ascii="Times New Roman" w:eastAsiaTheme="minorEastAsia" w:hAnsi="Times New Roman" w:cs="Times New Roman"/>
          <w:sz w:val="24"/>
          <w:szCs w:val="24"/>
        </w:rPr>
        <w:t xml:space="preserve"> </w:t>
      </w:r>
      <w:r w:rsidR="000F3645" w:rsidRPr="00BD58C0">
        <w:rPr>
          <w:rFonts w:ascii="Times New Roman" w:eastAsiaTheme="minorEastAsia" w:hAnsi="Times New Roman" w:cs="Times New Roman"/>
          <w:sz w:val="24"/>
          <w:szCs w:val="24"/>
        </w:rPr>
        <w:t xml:space="preserve">       </w:t>
      </w:r>
      <w:r w:rsidR="003D4560" w:rsidRPr="00BD58C0">
        <w:rPr>
          <w:rFonts w:ascii="Times New Roman" w:eastAsiaTheme="minorEastAsia" w:hAnsi="Times New Roman" w:cs="Times New Roman"/>
          <w:sz w:val="24"/>
          <w:szCs w:val="24"/>
        </w:rPr>
        <w:t xml:space="preserve">            </w:t>
      </w:r>
      <w:r w:rsidR="000F3645" w:rsidRPr="00BD58C0">
        <w:rPr>
          <w:rFonts w:ascii="Times New Roman" w:eastAsiaTheme="minorEastAsia" w:hAnsi="Times New Roman" w:cs="Times New Roman"/>
          <w:sz w:val="24"/>
          <w:szCs w:val="24"/>
        </w:rPr>
        <w:t xml:space="preserve"> </w:t>
      </w:r>
      <w:r w:rsidR="00914EF0" w:rsidRPr="00BD58C0">
        <w:rPr>
          <w:rFonts w:ascii="Times New Roman" w:eastAsiaTheme="minorEastAsia" w:hAnsi="Times New Roman" w:cs="Times New Roman"/>
          <w:sz w:val="24"/>
          <w:szCs w:val="24"/>
        </w:rPr>
        <w:t>(1)</w:t>
      </w:r>
    </w:p>
    <w:p w14:paraId="6EBFD909" w14:textId="77777777" w:rsidR="004443A3" w:rsidRPr="00BD58C0" w:rsidRDefault="004443A3" w:rsidP="00260716">
      <w:pPr>
        <w:spacing w:after="0" w:line="360" w:lineRule="auto"/>
        <w:jc w:val="both"/>
        <w:rPr>
          <w:rFonts w:ascii="Times New Roman" w:eastAsiaTheme="minorEastAsia" w:hAnsi="Times New Roman" w:cs="Times New Roman"/>
          <w:sz w:val="24"/>
          <w:szCs w:val="24"/>
        </w:rPr>
      </w:pPr>
    </w:p>
    <w:p w14:paraId="32AEC34F" w14:textId="46240F48" w:rsidR="00F86B9B" w:rsidRPr="00BD58C0" w:rsidRDefault="00944386" w:rsidP="00260716">
      <w:pPr>
        <w:spacing w:after="0" w:line="360" w:lineRule="auto"/>
        <w:jc w:val="both"/>
        <w:rPr>
          <w:rFonts w:ascii="Times New Roman" w:eastAsiaTheme="minorEastAsia" w:hAnsi="Times New Roman" w:cs="Times New Roman"/>
          <w:sz w:val="24"/>
          <w:szCs w:val="24"/>
        </w:rPr>
      </w:pPr>
      <w:r w:rsidRPr="00BD58C0">
        <w:rPr>
          <w:rFonts w:ascii="Times New Roman" w:eastAsiaTheme="minorEastAsia" w:hAnsi="Times New Roman" w:cs="Times New Roman"/>
          <w:sz w:val="24"/>
          <w:szCs w:val="24"/>
        </w:rPr>
        <w:t>where:</w:t>
      </w:r>
    </w:p>
    <w:p w14:paraId="354B4656" w14:textId="73B968D8" w:rsidR="00944386" w:rsidRPr="00BD58C0" w:rsidRDefault="0048310B" w:rsidP="00260716">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LCC</w:t>
      </w:r>
      <w:r w:rsidR="00944386" w:rsidRPr="00BD58C0">
        <w:rPr>
          <w:rFonts w:ascii="Times New Roman" w:hAnsi="Times New Roman" w:cs="Times New Roman"/>
          <w:sz w:val="24"/>
          <w:szCs w:val="24"/>
        </w:rPr>
        <w:t xml:space="preserve"> is </w:t>
      </w:r>
      <w:r w:rsidRPr="00BD58C0">
        <w:rPr>
          <w:rFonts w:ascii="Times New Roman" w:hAnsi="Times New Roman" w:cs="Times New Roman"/>
          <w:sz w:val="24"/>
          <w:szCs w:val="24"/>
        </w:rPr>
        <w:t>life cycle</w:t>
      </w:r>
      <w:r w:rsidR="00944386" w:rsidRPr="00BD58C0">
        <w:rPr>
          <w:rFonts w:ascii="Times New Roman" w:hAnsi="Times New Roman" w:cs="Times New Roman"/>
          <w:sz w:val="24"/>
          <w:szCs w:val="24"/>
        </w:rPr>
        <w:t xml:space="preserve"> cost</w:t>
      </w:r>
      <w:r w:rsidRPr="00BD58C0">
        <w:rPr>
          <w:rFonts w:ascii="Times New Roman" w:hAnsi="Times New Roman" w:cs="Times New Roman"/>
          <w:sz w:val="24"/>
          <w:szCs w:val="24"/>
        </w:rPr>
        <w:t xml:space="preserve"> (annual cost)</w:t>
      </w:r>
    </w:p>
    <w:p w14:paraId="7AABAFE1" w14:textId="675E8C68" w:rsidR="00944386" w:rsidRPr="00BD58C0" w:rsidRDefault="00944386" w:rsidP="00260716">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ACC is annualised capital cost</w:t>
      </w:r>
    </w:p>
    <w:p w14:paraId="23C1CB9C" w14:textId="032CC655" w:rsidR="00580FCC" w:rsidRPr="00BD58C0" w:rsidRDefault="00944386" w:rsidP="00260716">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002D0495" w:rsidRPr="00BD58C0">
        <w:rPr>
          <w:rFonts w:ascii="Times New Roman" w:hAnsi="Times New Roman" w:cs="Times New Roman"/>
          <w:sz w:val="24"/>
          <w:szCs w:val="24"/>
        </w:rPr>
        <w:t>O</w:t>
      </w:r>
      <w:r w:rsidRPr="00BD58C0">
        <w:rPr>
          <w:rFonts w:ascii="Times New Roman" w:hAnsi="Times New Roman" w:cs="Times New Roman"/>
          <w:sz w:val="24"/>
          <w:szCs w:val="24"/>
        </w:rPr>
        <w:t xml:space="preserve"> is annual </w:t>
      </w:r>
      <w:r w:rsidR="00702E13" w:rsidRPr="00BD58C0">
        <w:rPr>
          <w:rFonts w:ascii="Times New Roman" w:hAnsi="Times New Roman" w:cs="Times New Roman"/>
          <w:sz w:val="24"/>
          <w:szCs w:val="24"/>
        </w:rPr>
        <w:t>operational</w:t>
      </w:r>
      <w:r w:rsidRPr="00BD58C0">
        <w:rPr>
          <w:rFonts w:ascii="Times New Roman" w:hAnsi="Times New Roman" w:cs="Times New Roman"/>
          <w:sz w:val="24"/>
          <w:szCs w:val="24"/>
        </w:rPr>
        <w:t xml:space="preserve"> cost</w:t>
      </w:r>
    </w:p>
    <w:p w14:paraId="67C14AB9" w14:textId="77777777" w:rsidR="00DB32DD" w:rsidRPr="00BD58C0" w:rsidRDefault="00DB32DD" w:rsidP="00260716">
      <w:pPr>
        <w:spacing w:after="0" w:line="360" w:lineRule="auto"/>
        <w:jc w:val="both"/>
        <w:rPr>
          <w:rFonts w:ascii="Times New Roman" w:hAnsi="Times New Roman" w:cs="Times New Roman"/>
          <w:sz w:val="24"/>
          <w:szCs w:val="24"/>
        </w:rPr>
      </w:pPr>
    </w:p>
    <w:p w14:paraId="082AE68D" w14:textId="7C393C2D" w:rsidR="00944386" w:rsidRPr="00BD58C0" w:rsidRDefault="00940DCB" w:rsidP="00260716">
      <w:pPr>
        <w:spacing w:after="0" w:line="360" w:lineRule="auto"/>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ACC=</m:t>
        </m:r>
        <m:r>
          <w:rPr>
            <w:rFonts w:ascii="Cambria Math" w:hAnsi="Cambria Math" w:cs="Times New Roman"/>
            <w:sz w:val="24"/>
            <w:szCs w:val="24"/>
          </w:rPr>
          <m:t>[</m:t>
        </m:r>
        <m:r>
          <m:rPr>
            <m:sty m:val="p"/>
          </m:rPr>
          <w:rPr>
            <w:rFonts w:ascii="Cambria Math" w:hAnsi="Cambria Math" w:cs="Times New Roman"/>
            <w:sz w:val="24"/>
            <w:szCs w:val="24"/>
          </w:rPr>
          <m:t>r/(1-</m:t>
        </m:r>
        <m:d>
          <m:dPr>
            <m:ctrlPr>
              <w:rPr>
                <w:rFonts w:ascii="Cambria Math" w:hAnsi="Cambria Math" w:cs="Times New Roman"/>
                <w:iCs/>
                <w:sz w:val="24"/>
                <w:szCs w:val="24"/>
              </w:rPr>
            </m:ctrlPr>
          </m:dPr>
          <m:e>
            <m:r>
              <m:rPr>
                <m:sty m:val="p"/>
              </m:rPr>
              <w:rPr>
                <w:rFonts w:ascii="Cambria Math" w:hAnsi="Cambria Math" w:cs="Times New Roman"/>
                <w:sz w:val="24"/>
                <w:szCs w:val="24"/>
              </w:rPr>
              <m:t>1+r</m:t>
            </m:r>
          </m:e>
        </m:d>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i/>
                    <w:sz w:val="24"/>
                    <w:szCs w:val="24"/>
                  </w:rPr>
                </m:ctrlPr>
              </m:dPr>
              <m:e>
                <m:r>
                  <m:rPr>
                    <m:sty m:val="p"/>
                  </m:rPr>
                  <w:rPr>
                    <w:rFonts w:ascii="Cambria Math" w:hAnsi="Cambria Math" w:cs="Times New Roman"/>
                    <w:sz w:val="24"/>
                    <w:szCs w:val="24"/>
                  </w:rPr>
                  <m:t>-t</m:t>
                </m:r>
              </m:e>
            </m:d>
            <m:r>
              <w:rPr>
                <w:rFonts w:ascii="Cambria Math" w:hAnsi="Cambria Math" w:cs="Times New Roman"/>
                <w:sz w:val="24"/>
                <w:szCs w:val="24"/>
              </w:rPr>
              <m:t>)</m:t>
            </m:r>
          </m:e>
        </m:func>
        <m:r>
          <w:rPr>
            <w:rFonts w:ascii="Cambria Math" w:hAnsi="Cambria Math" w:cs="Times New Roman"/>
            <w:sz w:val="24"/>
            <w:szCs w:val="24"/>
          </w:rPr>
          <m:t>]</m:t>
        </m:r>
        <m:r>
          <m:rPr>
            <m:sty m:val="p"/>
          </m:rPr>
          <w:rPr>
            <w:rFonts w:ascii="Cambria Math" w:hAnsi="Cambria Math" w:cs="Times New Roman"/>
            <w:sz w:val="24"/>
            <w:szCs w:val="24"/>
          </w:rPr>
          <m:t>×TCC</m:t>
        </m:r>
      </m:oMath>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ED4E75" w:rsidRPr="00BD58C0">
        <w:rPr>
          <w:rFonts w:ascii="Times New Roman" w:eastAsiaTheme="minorEastAsia" w:hAnsi="Times New Roman" w:cs="Times New Roman"/>
          <w:iCs/>
          <w:sz w:val="24"/>
          <w:szCs w:val="24"/>
        </w:rPr>
        <w:tab/>
      </w:r>
      <w:r w:rsidR="00A34A3C" w:rsidRPr="00BD58C0">
        <w:rPr>
          <w:rFonts w:ascii="Times New Roman" w:eastAsiaTheme="minorEastAsia" w:hAnsi="Times New Roman" w:cs="Times New Roman"/>
          <w:iCs/>
          <w:sz w:val="24"/>
          <w:szCs w:val="24"/>
        </w:rPr>
        <w:t xml:space="preserve"> </w:t>
      </w:r>
      <w:r w:rsidR="00ED4E75" w:rsidRPr="00BD58C0">
        <w:rPr>
          <w:rFonts w:ascii="Times New Roman" w:eastAsiaTheme="minorEastAsia" w:hAnsi="Times New Roman" w:cs="Times New Roman"/>
          <w:iCs/>
          <w:sz w:val="24"/>
          <w:szCs w:val="24"/>
        </w:rPr>
        <w:t>(</w:t>
      </w:r>
      <w:r w:rsidR="00C549C5" w:rsidRPr="00BD58C0">
        <w:rPr>
          <w:rFonts w:ascii="Times New Roman" w:eastAsiaTheme="minorEastAsia" w:hAnsi="Times New Roman" w:cs="Times New Roman"/>
          <w:iCs/>
          <w:sz w:val="24"/>
          <w:szCs w:val="24"/>
        </w:rPr>
        <w:t>2</w:t>
      </w:r>
      <w:r w:rsidR="00ED4E75" w:rsidRPr="00BD58C0">
        <w:rPr>
          <w:rFonts w:ascii="Times New Roman" w:eastAsiaTheme="minorEastAsia" w:hAnsi="Times New Roman" w:cs="Times New Roman"/>
          <w:iCs/>
          <w:sz w:val="24"/>
          <w:szCs w:val="24"/>
        </w:rPr>
        <w:t>)</w:t>
      </w:r>
    </w:p>
    <w:p w14:paraId="75A0F036" w14:textId="77777777" w:rsidR="00B86126" w:rsidRPr="00BD58C0" w:rsidRDefault="00B86126" w:rsidP="00260716">
      <w:pPr>
        <w:spacing w:after="0" w:line="360" w:lineRule="auto"/>
        <w:jc w:val="both"/>
        <w:rPr>
          <w:rFonts w:ascii="Times New Roman" w:eastAsiaTheme="minorEastAsia" w:hAnsi="Times New Roman" w:cs="Times New Roman"/>
          <w:iCs/>
          <w:sz w:val="24"/>
          <w:szCs w:val="24"/>
        </w:rPr>
      </w:pPr>
    </w:p>
    <w:p w14:paraId="4780CF6F" w14:textId="3959AFD6" w:rsidR="00ED4E75" w:rsidRPr="00BD58C0" w:rsidRDefault="00ED4E75" w:rsidP="00260716">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1091F725" w14:textId="77777777" w:rsidR="00F45EBA" w:rsidRPr="00BD58C0" w:rsidRDefault="00F45EBA" w:rsidP="00F45EBA">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ACC is annualised capital cost</w:t>
      </w:r>
    </w:p>
    <w:p w14:paraId="17984CAD" w14:textId="15631FB8" w:rsidR="00FC0FEF" w:rsidRPr="00BD58C0" w:rsidRDefault="00CB7883"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r is interest rate</w:t>
      </w:r>
    </w:p>
    <w:p w14:paraId="16C49FA7" w14:textId="32CA0840" w:rsidR="00CB7883" w:rsidRPr="00BD58C0" w:rsidRDefault="00CB7883"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TC</w:t>
      </w:r>
      <w:r w:rsidR="001A493F" w:rsidRPr="00BD58C0">
        <w:rPr>
          <w:rFonts w:ascii="Times New Roman" w:hAnsi="Times New Roman" w:cs="Times New Roman"/>
          <w:sz w:val="24"/>
          <w:szCs w:val="24"/>
        </w:rPr>
        <w:t>C</w:t>
      </w:r>
      <w:r w:rsidRPr="00BD58C0">
        <w:rPr>
          <w:rFonts w:ascii="Times New Roman" w:hAnsi="Times New Roman" w:cs="Times New Roman"/>
          <w:sz w:val="24"/>
          <w:szCs w:val="24"/>
        </w:rPr>
        <w:t xml:space="preserve"> is total capital cost</w:t>
      </w:r>
    </w:p>
    <w:p w14:paraId="5D8D97C4" w14:textId="479B5F6E" w:rsidR="00CB7883" w:rsidRPr="00BD58C0" w:rsidRDefault="00CB7883"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 xml:space="preserve">t is the </w:t>
      </w:r>
      <w:r w:rsidR="005E7E4C" w:rsidRPr="00BD58C0">
        <w:rPr>
          <w:rFonts w:ascii="Times New Roman" w:hAnsi="Times New Roman" w:cs="Times New Roman"/>
          <w:sz w:val="24"/>
          <w:szCs w:val="24"/>
        </w:rPr>
        <w:t>plant lifespan</w:t>
      </w:r>
    </w:p>
    <w:p w14:paraId="2EA8C8C4" w14:textId="2A1C86CB" w:rsidR="00D00302" w:rsidRPr="00BD58C0" w:rsidRDefault="00D00302" w:rsidP="00D92FBF">
      <w:pPr>
        <w:spacing w:after="0" w:line="360" w:lineRule="auto"/>
        <w:rPr>
          <w:rFonts w:ascii="Times New Roman" w:hAnsi="Times New Roman" w:cs="Times New Roman"/>
          <w:sz w:val="24"/>
          <w:szCs w:val="24"/>
        </w:rPr>
      </w:pPr>
    </w:p>
    <w:p w14:paraId="071F1EFD" w14:textId="6872E4C0" w:rsidR="00F66784" w:rsidRPr="00BD58C0" w:rsidRDefault="00F66784" w:rsidP="00F66784">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Assumptions made for the calculation of the excavation cost are that: </w:t>
      </w:r>
      <w:proofErr w:type="spellStart"/>
      <w:r w:rsidRPr="00BD58C0">
        <w:rPr>
          <w:rFonts w:ascii="Times New Roman" w:hAnsi="Times New Roman" w:cs="Times New Roman"/>
          <w:sz w:val="24"/>
          <w:szCs w:val="24"/>
        </w:rPr>
        <w:t>i</w:t>
      </w:r>
      <w:proofErr w:type="spellEnd"/>
      <w:r w:rsidRPr="00BD58C0">
        <w:rPr>
          <w:rFonts w:ascii="Times New Roman" w:hAnsi="Times New Roman" w:cs="Times New Roman"/>
          <w:sz w:val="24"/>
          <w:szCs w:val="24"/>
        </w:rPr>
        <w:t xml:space="preserve">) the land area has a flat surface and is at a same level, ii) site clearance is to cut down the existing trees, iii) only cut </w:t>
      </w:r>
      <w:r w:rsidRPr="00BD58C0">
        <w:rPr>
          <w:rFonts w:ascii="Times New Roman" w:hAnsi="Times New Roman" w:cs="Times New Roman"/>
          <w:sz w:val="24"/>
          <w:szCs w:val="24"/>
        </w:rPr>
        <w:lastRenderedPageBreak/>
        <w:t xml:space="preserve">and fill processes are involved, iv) no concreting is involved as only earth materials have been used and v) that dumping is carried out within a 1 km radius of the site. </w:t>
      </w:r>
      <w:r w:rsidR="0045205E" w:rsidRPr="00BD58C0">
        <w:rPr>
          <w:rFonts w:ascii="Times New Roman" w:hAnsi="Times New Roman" w:cs="Times New Roman"/>
          <w:sz w:val="24"/>
          <w:szCs w:val="24"/>
        </w:rPr>
        <w:t>The e</w:t>
      </w:r>
      <w:r w:rsidR="00030C4A" w:rsidRPr="00BD58C0">
        <w:rPr>
          <w:rFonts w:ascii="Times New Roman" w:hAnsi="Times New Roman" w:cs="Times New Roman"/>
          <w:sz w:val="24"/>
          <w:szCs w:val="24"/>
        </w:rPr>
        <w:t>xcavation cost</w:t>
      </w:r>
      <w:r w:rsidR="006B6BC2" w:rsidRPr="00BD58C0">
        <w:rPr>
          <w:rFonts w:ascii="Times New Roman" w:hAnsi="Times New Roman" w:cs="Times New Roman"/>
          <w:sz w:val="24"/>
          <w:szCs w:val="24"/>
        </w:rPr>
        <w:t xml:space="preserve"> is part of the LCC</w:t>
      </w:r>
      <w:r w:rsidR="00603909" w:rsidRPr="00BD58C0">
        <w:rPr>
          <w:rFonts w:ascii="Times New Roman" w:hAnsi="Times New Roman" w:cs="Times New Roman"/>
          <w:sz w:val="24"/>
          <w:szCs w:val="24"/>
        </w:rPr>
        <w:t xml:space="preserve">, coming </w:t>
      </w:r>
      <w:r w:rsidR="006B6BC2" w:rsidRPr="00BD58C0">
        <w:rPr>
          <w:rFonts w:ascii="Times New Roman" w:hAnsi="Times New Roman" w:cs="Times New Roman"/>
          <w:sz w:val="24"/>
          <w:szCs w:val="24"/>
        </w:rPr>
        <w:t>under the</w:t>
      </w:r>
      <w:r w:rsidR="00030C4A" w:rsidRPr="00BD58C0">
        <w:rPr>
          <w:rFonts w:ascii="Times New Roman" w:hAnsi="Times New Roman" w:cs="Times New Roman"/>
          <w:sz w:val="24"/>
          <w:szCs w:val="24"/>
        </w:rPr>
        <w:t xml:space="preserve"> annualised capital cost</w:t>
      </w:r>
      <w:r w:rsidR="006B6BC2" w:rsidRPr="00BD58C0">
        <w:rPr>
          <w:rFonts w:ascii="Times New Roman" w:hAnsi="Times New Roman" w:cs="Times New Roman"/>
          <w:sz w:val="24"/>
          <w:szCs w:val="24"/>
        </w:rPr>
        <w:t xml:space="preserve">. </w:t>
      </w:r>
      <w:r w:rsidRPr="00BD58C0">
        <w:rPr>
          <w:rFonts w:ascii="Times New Roman" w:hAnsi="Times New Roman" w:cs="Times New Roman"/>
          <w:sz w:val="24"/>
          <w:szCs w:val="24"/>
        </w:rPr>
        <w:t>The excavation cost is the summation of on-site clearance costs and cut and fill costs, as follows:</w:t>
      </w:r>
    </w:p>
    <w:p w14:paraId="4FF485A2" w14:textId="77777777" w:rsidR="00F66784" w:rsidRPr="00BD58C0" w:rsidRDefault="00F66784" w:rsidP="00F66784">
      <w:pPr>
        <w:spacing w:after="0" w:line="360" w:lineRule="auto"/>
        <w:jc w:val="both"/>
        <w:rPr>
          <w:rFonts w:ascii="Times New Roman" w:hAnsi="Times New Roman" w:cs="Times New Roman"/>
          <w:sz w:val="24"/>
          <w:szCs w:val="24"/>
        </w:rPr>
      </w:pPr>
    </w:p>
    <w:p w14:paraId="72B77AC1" w14:textId="60594E0A" w:rsidR="00F66784" w:rsidRPr="00BD58C0" w:rsidRDefault="00F66784" w:rsidP="00F66784">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EC=CS+CCF</m:t>
        </m:r>
      </m:oMath>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t xml:space="preserve"> (3)</w:t>
      </w:r>
    </w:p>
    <w:p w14:paraId="03ED3554" w14:textId="77777777" w:rsidR="00F66784" w:rsidRPr="00BD58C0" w:rsidRDefault="00F66784" w:rsidP="00F66784">
      <w:pPr>
        <w:spacing w:after="0" w:line="360" w:lineRule="auto"/>
        <w:jc w:val="both"/>
        <w:rPr>
          <w:rFonts w:ascii="Times New Roman" w:eastAsiaTheme="minorEastAsia" w:hAnsi="Times New Roman" w:cs="Times New Roman"/>
          <w:sz w:val="24"/>
          <w:szCs w:val="24"/>
        </w:rPr>
      </w:pPr>
    </w:p>
    <w:p w14:paraId="748C8476" w14:textId="13DBFD36" w:rsidR="00F66784" w:rsidRPr="00BD58C0" w:rsidRDefault="00F66784" w:rsidP="00F66784">
      <w:pPr>
        <w:spacing w:after="0" w:line="360" w:lineRule="auto"/>
        <w:jc w:val="both"/>
        <w:rPr>
          <w:rFonts w:ascii="Times New Roman" w:eastAsiaTheme="minorEastAsia" w:hAnsi="Times New Roman" w:cs="Times New Roman"/>
          <w:sz w:val="24"/>
          <w:szCs w:val="24"/>
        </w:rPr>
      </w:pPr>
      <w:r w:rsidRPr="00BD58C0">
        <w:rPr>
          <w:rFonts w:ascii="Times New Roman" w:eastAsiaTheme="minorEastAsia" w:hAnsi="Times New Roman" w:cs="Times New Roman"/>
          <w:sz w:val="24"/>
          <w:szCs w:val="24"/>
        </w:rPr>
        <w:t>where:</w:t>
      </w:r>
    </w:p>
    <w:p w14:paraId="4DC28CBE"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EC is excavation cost</w:t>
      </w:r>
    </w:p>
    <w:p w14:paraId="3B9E21D3"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CS is cost of site clearance</w:t>
      </w:r>
    </w:p>
    <w:p w14:paraId="3C847C76"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CCF is cost of cut and fill</w:t>
      </w:r>
    </w:p>
    <w:p w14:paraId="41A7886B" w14:textId="77777777" w:rsidR="00F66784" w:rsidRPr="00BD58C0" w:rsidRDefault="00F66784" w:rsidP="00F66784">
      <w:pPr>
        <w:spacing w:after="0" w:line="360" w:lineRule="auto"/>
        <w:jc w:val="both"/>
        <w:rPr>
          <w:rFonts w:ascii="Times New Roman" w:hAnsi="Times New Roman" w:cs="Times New Roman"/>
          <w:sz w:val="24"/>
          <w:szCs w:val="24"/>
        </w:rPr>
      </w:pPr>
    </w:p>
    <w:p w14:paraId="53294AA2" w14:textId="6A6E168A" w:rsidR="00F66784" w:rsidRPr="00BD58C0" w:rsidRDefault="00F66784" w:rsidP="00F66784">
      <w:pPr>
        <w:spacing w:after="0" w:line="360" w:lineRule="auto"/>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CS=</m:t>
        </m:r>
        <m:sSub>
          <m:sSubPr>
            <m:ctrlPr>
              <w:rPr>
                <w:rFonts w:ascii="Cambria Math" w:hAnsi="Cambria Math" w:cs="Times New Roman"/>
                <w:iCs/>
                <w:sz w:val="24"/>
                <w:szCs w:val="24"/>
              </w:rPr>
            </m:ctrlPr>
          </m:sSubPr>
          <m:e>
            <m:r>
              <m:rPr>
                <m:sty m:val="p"/>
              </m:rPr>
              <w:rPr>
                <w:rFonts w:ascii="Cambria Math" w:hAnsi="Cambria Math" w:cs="Times New Roman"/>
                <w:sz w:val="24"/>
                <w:szCs w:val="24"/>
              </w:rPr>
              <m:t>EW</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×AOC</m:t>
        </m:r>
      </m:oMath>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t xml:space="preserve"> </w:t>
      </w:r>
      <w:r w:rsidRPr="00BD58C0">
        <w:rPr>
          <w:rFonts w:ascii="Times New Roman" w:eastAsiaTheme="minorEastAsia" w:hAnsi="Times New Roman" w:cs="Times New Roman"/>
          <w:iCs/>
          <w:sz w:val="24"/>
          <w:szCs w:val="24"/>
        </w:rPr>
        <w:tab/>
        <w:t xml:space="preserve"> (4)</w:t>
      </w:r>
    </w:p>
    <w:p w14:paraId="722119EA" w14:textId="77777777" w:rsidR="00F66784" w:rsidRPr="00BD58C0" w:rsidRDefault="00F66784" w:rsidP="00F66784">
      <w:pPr>
        <w:spacing w:after="0" w:line="360" w:lineRule="auto"/>
        <w:jc w:val="both"/>
        <w:rPr>
          <w:rFonts w:ascii="Times New Roman" w:eastAsiaTheme="minorEastAsia" w:hAnsi="Times New Roman" w:cs="Times New Roman"/>
          <w:iCs/>
          <w:sz w:val="24"/>
          <w:szCs w:val="24"/>
        </w:rPr>
      </w:pPr>
    </w:p>
    <w:p w14:paraId="510F90F4" w14:textId="3F6744F2" w:rsidR="00F66784" w:rsidRPr="00BD58C0" w:rsidRDefault="00F66784" w:rsidP="00F66784">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5D38AFFD"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CS is cost of site clearance</w:t>
      </w:r>
    </w:p>
    <w:p w14:paraId="62C46476" w14:textId="77777777" w:rsidR="00F66784" w:rsidRPr="00BD58C0" w:rsidRDefault="00F66784" w:rsidP="00F66784">
      <w:pPr>
        <w:spacing w:after="0" w:line="360" w:lineRule="auto"/>
        <w:jc w:val="both"/>
        <w:rPr>
          <w:rFonts w:ascii="Times New Roman" w:hAnsi="Times New Roman" w:cs="Times New Roman"/>
          <w:iCs/>
          <w:sz w:val="24"/>
          <w:szCs w:val="24"/>
        </w:rPr>
      </w:pPr>
      <w:proofErr w:type="spellStart"/>
      <w:r w:rsidRPr="00BD58C0">
        <w:rPr>
          <w:rFonts w:ascii="Times New Roman" w:hAnsi="Times New Roman" w:cs="Times New Roman"/>
          <w:iCs/>
          <w:sz w:val="24"/>
          <w:szCs w:val="24"/>
        </w:rPr>
        <w:t>EW</w:t>
      </w:r>
      <w:r w:rsidRPr="00BD58C0">
        <w:rPr>
          <w:rFonts w:ascii="Times New Roman" w:hAnsi="Times New Roman" w:cs="Times New Roman"/>
          <w:iCs/>
          <w:sz w:val="24"/>
          <w:szCs w:val="24"/>
          <w:vertAlign w:val="subscript"/>
        </w:rPr>
        <w:t>r</w:t>
      </w:r>
      <w:proofErr w:type="spellEnd"/>
      <w:r w:rsidRPr="00BD58C0">
        <w:rPr>
          <w:rFonts w:ascii="Times New Roman" w:hAnsi="Times New Roman" w:cs="Times New Roman"/>
          <w:iCs/>
          <w:sz w:val="24"/>
          <w:szCs w:val="24"/>
        </w:rPr>
        <w:t xml:space="preserve"> is earth works rate</w:t>
      </w:r>
    </w:p>
    <w:p w14:paraId="234EDDC2" w14:textId="227465AC" w:rsidR="00F66784" w:rsidRPr="00BD58C0" w:rsidRDefault="00F66784" w:rsidP="00F66784">
      <w:pPr>
        <w:spacing w:after="0" w:line="360" w:lineRule="auto"/>
        <w:jc w:val="both"/>
        <w:rPr>
          <w:rFonts w:ascii="Times New Roman" w:hAnsi="Times New Roman" w:cs="Times New Roman"/>
          <w:iCs/>
          <w:sz w:val="24"/>
          <w:szCs w:val="24"/>
        </w:rPr>
      </w:pPr>
      <w:r w:rsidRPr="00BD58C0">
        <w:rPr>
          <w:rFonts w:ascii="Times New Roman" w:hAnsi="Times New Roman" w:cs="Times New Roman"/>
          <w:iCs/>
          <w:sz w:val="24"/>
          <w:szCs w:val="24"/>
        </w:rPr>
        <w:t>AOC is area of cleared land (hectares)</w:t>
      </w:r>
    </w:p>
    <w:p w14:paraId="03CFBA47" w14:textId="77777777" w:rsidR="00580FCC" w:rsidRPr="00BD58C0" w:rsidRDefault="00580FCC" w:rsidP="00F66784">
      <w:pPr>
        <w:spacing w:after="0" w:line="360" w:lineRule="auto"/>
        <w:jc w:val="both"/>
        <w:rPr>
          <w:rFonts w:ascii="Times New Roman" w:hAnsi="Times New Roman" w:cs="Times New Roman"/>
          <w:iCs/>
          <w:sz w:val="24"/>
          <w:szCs w:val="24"/>
        </w:rPr>
      </w:pPr>
    </w:p>
    <w:p w14:paraId="239E1B9E" w14:textId="013570D9" w:rsidR="00F66784" w:rsidRPr="00BD58C0" w:rsidRDefault="00F66784" w:rsidP="00F66784">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CCF=</m:t>
        </m:r>
        <m:sSub>
          <m:sSubPr>
            <m:ctrlPr>
              <w:rPr>
                <w:rFonts w:ascii="Cambria Math" w:hAnsi="Cambria Math" w:cs="Times New Roman"/>
                <w:iCs/>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×VCL</m:t>
        </m:r>
      </m:oMath>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t xml:space="preserve"> (5)</w:t>
      </w:r>
    </w:p>
    <w:p w14:paraId="03964276" w14:textId="77777777" w:rsidR="00F66784" w:rsidRPr="00BD58C0" w:rsidRDefault="00F66784" w:rsidP="00F66784">
      <w:pPr>
        <w:spacing w:after="0" w:line="360" w:lineRule="auto"/>
        <w:jc w:val="both"/>
        <w:rPr>
          <w:rFonts w:ascii="Times New Roman" w:eastAsiaTheme="minorEastAsia" w:hAnsi="Times New Roman" w:cs="Times New Roman"/>
          <w:sz w:val="24"/>
          <w:szCs w:val="24"/>
        </w:rPr>
      </w:pPr>
    </w:p>
    <w:p w14:paraId="746F18A1" w14:textId="293B9E98" w:rsidR="00F66784" w:rsidRPr="00BD58C0" w:rsidRDefault="00F66784" w:rsidP="00F66784">
      <w:pPr>
        <w:spacing w:after="0" w:line="360" w:lineRule="auto"/>
        <w:jc w:val="both"/>
        <w:rPr>
          <w:rFonts w:ascii="Times New Roman" w:eastAsiaTheme="minorEastAsia" w:hAnsi="Times New Roman" w:cs="Times New Roman"/>
          <w:sz w:val="24"/>
          <w:szCs w:val="24"/>
        </w:rPr>
      </w:pPr>
      <w:r w:rsidRPr="00BD58C0">
        <w:rPr>
          <w:rFonts w:ascii="Times New Roman" w:eastAsiaTheme="minorEastAsia" w:hAnsi="Times New Roman" w:cs="Times New Roman"/>
          <w:sz w:val="24"/>
          <w:szCs w:val="24"/>
        </w:rPr>
        <w:t>where:</w:t>
      </w:r>
    </w:p>
    <w:p w14:paraId="6510DD42"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CCF is cost of cut and fill</w:t>
      </w:r>
    </w:p>
    <w:p w14:paraId="53052815" w14:textId="77777777" w:rsidR="00F66784"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D</w:t>
      </w:r>
      <w:r w:rsidRPr="00BD58C0">
        <w:rPr>
          <w:rFonts w:ascii="Times New Roman" w:hAnsi="Times New Roman" w:cs="Times New Roman"/>
          <w:sz w:val="24"/>
          <w:szCs w:val="24"/>
          <w:vertAlign w:val="subscript"/>
        </w:rPr>
        <w:t>r</w:t>
      </w:r>
      <w:r w:rsidRPr="00BD58C0">
        <w:rPr>
          <w:rFonts w:ascii="Times New Roman" w:hAnsi="Times New Roman" w:cs="Times New Roman"/>
          <w:sz w:val="24"/>
          <w:szCs w:val="24"/>
        </w:rPr>
        <w:t xml:space="preserve"> is dumping rate</w:t>
      </w:r>
    </w:p>
    <w:p w14:paraId="0A6007BF" w14:textId="6A3160F6" w:rsidR="00141B95" w:rsidRPr="00BD58C0" w:rsidRDefault="00F66784" w:rsidP="00F66784">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VCL is volume of cleared land (m</w:t>
      </w:r>
      <w:r w:rsidRPr="00BD58C0">
        <w:rPr>
          <w:rFonts w:ascii="Times New Roman" w:hAnsi="Times New Roman" w:cs="Times New Roman"/>
          <w:sz w:val="24"/>
          <w:szCs w:val="24"/>
          <w:vertAlign w:val="superscript"/>
        </w:rPr>
        <w:t>3</w:t>
      </w:r>
      <w:r w:rsidR="000D5915" w:rsidRPr="00BD58C0">
        <w:rPr>
          <w:rFonts w:ascii="Times New Roman" w:hAnsi="Times New Roman" w:cs="Times New Roman"/>
          <w:sz w:val="24"/>
          <w:szCs w:val="24"/>
        </w:rPr>
        <w:t>)</w:t>
      </w:r>
    </w:p>
    <w:p w14:paraId="24763E9B" w14:textId="77777777" w:rsidR="00AF1F5E" w:rsidRPr="00BD58C0" w:rsidRDefault="00AF1F5E" w:rsidP="00F66784">
      <w:pPr>
        <w:spacing w:after="0" w:line="360" w:lineRule="auto"/>
        <w:jc w:val="both"/>
        <w:rPr>
          <w:rFonts w:ascii="Times New Roman" w:hAnsi="Times New Roman" w:cs="Times New Roman"/>
          <w:sz w:val="24"/>
          <w:szCs w:val="24"/>
        </w:rPr>
      </w:pPr>
    </w:p>
    <w:p w14:paraId="3F803A21" w14:textId="3E222519" w:rsidR="00C549C5" w:rsidRPr="00BD58C0" w:rsidRDefault="00C549C5" w:rsidP="00C549C5">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AO=</m:t>
        </m:r>
        <m:nary>
          <m:naryPr>
            <m:chr m:val="∑"/>
            <m:limLoc m:val="undOvr"/>
            <m:subHide m:val="1"/>
            <m:supHide m:val="1"/>
            <m:ctrlPr>
              <w:rPr>
                <w:rFonts w:ascii="Cambria Math" w:hAnsi="Cambria Math" w:cs="Times New Roman"/>
                <w:sz w:val="24"/>
                <w:szCs w:val="24"/>
              </w:rPr>
            </m:ctrlPr>
          </m:naryP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(AI</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i</m:t>
                </m:r>
              </m:sub>
            </m:sSub>
          </m:e>
        </m:nary>
        <m:r>
          <m:rPr>
            <m:sty m:val="p"/>
          </m:rPr>
          <w:rPr>
            <w:rFonts w:ascii="Cambria Math" w:hAnsi="Cambria Math" w:cs="Times New Roman"/>
            <w:sz w:val="24"/>
            <w:szCs w:val="24"/>
          </w:rPr>
          <m:t>)</m:t>
        </m:r>
        <m:r>
          <m:rPr>
            <m:sty m:val="p"/>
          </m:rPr>
          <w:rPr>
            <w:rFonts w:ascii="Cambria Math" w:eastAsiaTheme="minorEastAsia" w:hAnsi="Cambria Math" w:cs="Times New Roman"/>
            <w:sz w:val="24"/>
            <w:szCs w:val="24"/>
          </w:rPr>
          <m:t>+AM+AL</m:t>
        </m:r>
      </m:oMath>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t xml:space="preserve"> (</w:t>
      </w:r>
      <w:r w:rsidR="00F66784" w:rsidRPr="00BD58C0">
        <w:rPr>
          <w:rFonts w:ascii="Times New Roman" w:eastAsiaTheme="minorEastAsia" w:hAnsi="Times New Roman" w:cs="Times New Roman"/>
          <w:sz w:val="24"/>
          <w:szCs w:val="24"/>
        </w:rPr>
        <w:t>6</w:t>
      </w:r>
      <w:r w:rsidRPr="00BD58C0">
        <w:rPr>
          <w:rFonts w:ascii="Times New Roman" w:eastAsiaTheme="minorEastAsia" w:hAnsi="Times New Roman" w:cs="Times New Roman"/>
          <w:sz w:val="24"/>
          <w:szCs w:val="24"/>
        </w:rPr>
        <w:t>)</w:t>
      </w:r>
    </w:p>
    <w:p w14:paraId="3EF607D3" w14:textId="77777777" w:rsidR="00221983" w:rsidRPr="00BD58C0" w:rsidRDefault="00221983" w:rsidP="00C549C5">
      <w:pPr>
        <w:spacing w:after="0" w:line="360" w:lineRule="auto"/>
        <w:jc w:val="both"/>
        <w:rPr>
          <w:rFonts w:ascii="Times New Roman" w:eastAsiaTheme="minorEastAsia" w:hAnsi="Times New Roman" w:cs="Times New Roman"/>
          <w:sz w:val="24"/>
          <w:szCs w:val="24"/>
        </w:rPr>
      </w:pPr>
    </w:p>
    <w:p w14:paraId="294D1DBC" w14:textId="103A3104" w:rsidR="00DF669D" w:rsidRPr="00BD58C0" w:rsidRDefault="00C549C5" w:rsidP="00C549C5">
      <w:pPr>
        <w:spacing w:after="0" w:line="360" w:lineRule="auto"/>
        <w:jc w:val="both"/>
        <w:rPr>
          <w:rFonts w:ascii="Times New Roman" w:eastAsiaTheme="minorEastAsia" w:hAnsi="Times New Roman" w:cs="Times New Roman"/>
          <w:sz w:val="24"/>
          <w:szCs w:val="24"/>
        </w:rPr>
      </w:pPr>
      <w:r w:rsidRPr="00BD58C0">
        <w:rPr>
          <w:rFonts w:ascii="Times New Roman" w:eastAsiaTheme="minorEastAsia" w:hAnsi="Times New Roman" w:cs="Times New Roman"/>
          <w:sz w:val="24"/>
          <w:szCs w:val="24"/>
        </w:rPr>
        <w:t>where:</w:t>
      </w:r>
    </w:p>
    <w:p w14:paraId="699DF757" w14:textId="71857E59" w:rsidR="0024072E" w:rsidRPr="00BD58C0" w:rsidRDefault="00DF669D" w:rsidP="00C549C5">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AO is annual operational cost</w:t>
      </w:r>
    </w:p>
    <w:p w14:paraId="49C2E707" w14:textId="155F837C" w:rsidR="00C549C5" w:rsidRPr="00BD58C0" w:rsidRDefault="00C549C5" w:rsidP="00C549C5">
      <w:pPr>
        <w:spacing w:after="0" w:line="360" w:lineRule="auto"/>
        <w:jc w:val="both"/>
        <w:rPr>
          <w:rFonts w:ascii="Times New Roman" w:hAnsi="Times New Roman" w:cs="Times New Roman"/>
          <w:sz w:val="24"/>
          <w:szCs w:val="24"/>
        </w:rPr>
      </w:pPr>
      <w:proofErr w:type="spellStart"/>
      <w:r w:rsidRPr="00BD58C0">
        <w:rPr>
          <w:rFonts w:ascii="Times New Roman" w:hAnsi="Times New Roman" w:cs="Times New Roman"/>
          <w:sz w:val="24"/>
          <w:szCs w:val="24"/>
        </w:rPr>
        <w:t>AI</w:t>
      </w:r>
      <w:r w:rsidRPr="00BD58C0">
        <w:rPr>
          <w:rFonts w:ascii="Times New Roman" w:hAnsi="Times New Roman" w:cs="Times New Roman"/>
          <w:sz w:val="24"/>
          <w:szCs w:val="24"/>
          <w:vertAlign w:val="subscript"/>
        </w:rPr>
        <w:t>i</w:t>
      </w:r>
      <w:proofErr w:type="spellEnd"/>
      <w:r w:rsidRPr="00BD58C0">
        <w:rPr>
          <w:rFonts w:ascii="Times New Roman" w:hAnsi="Times New Roman" w:cs="Times New Roman"/>
          <w:sz w:val="24"/>
          <w:szCs w:val="24"/>
          <w:vertAlign w:val="subscript"/>
        </w:rPr>
        <w:t xml:space="preserve"> </w:t>
      </w:r>
      <w:r w:rsidRPr="00BD58C0">
        <w:rPr>
          <w:rFonts w:ascii="Times New Roman" w:hAnsi="Times New Roman" w:cs="Times New Roman"/>
          <w:sz w:val="24"/>
          <w:szCs w:val="24"/>
        </w:rPr>
        <w:t>is annual quantity of input (energy)</w:t>
      </w:r>
    </w:p>
    <w:p w14:paraId="5525C937" w14:textId="343047A6" w:rsidR="00C549C5" w:rsidRPr="00BD58C0" w:rsidRDefault="00C549C5" w:rsidP="00C549C5">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lastRenderedPageBreak/>
        <w:t>C</w:t>
      </w:r>
      <w:r w:rsidRPr="00BD58C0">
        <w:rPr>
          <w:rFonts w:ascii="Times New Roman" w:hAnsi="Times New Roman" w:cs="Times New Roman"/>
          <w:sz w:val="24"/>
          <w:szCs w:val="24"/>
          <w:vertAlign w:val="subscript"/>
        </w:rPr>
        <w:t xml:space="preserve">i </w:t>
      </w:r>
      <w:r w:rsidRPr="00BD58C0">
        <w:rPr>
          <w:rFonts w:ascii="Times New Roman" w:hAnsi="Times New Roman" w:cs="Times New Roman"/>
          <w:sz w:val="24"/>
          <w:szCs w:val="24"/>
        </w:rPr>
        <w:t>is cost per unit</w:t>
      </w:r>
      <w:r w:rsidR="004948A8" w:rsidRPr="00BD58C0">
        <w:rPr>
          <w:rFonts w:ascii="Times New Roman" w:hAnsi="Times New Roman" w:cs="Times New Roman"/>
          <w:sz w:val="24"/>
          <w:szCs w:val="24"/>
        </w:rPr>
        <w:t xml:space="preserve"> electricity</w:t>
      </w:r>
    </w:p>
    <w:p w14:paraId="25A51C5F" w14:textId="77777777" w:rsidR="00C549C5" w:rsidRPr="00BD58C0" w:rsidRDefault="00C549C5" w:rsidP="00C549C5">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AM is annual maintenance cost</w:t>
      </w:r>
    </w:p>
    <w:p w14:paraId="4A3E36BD" w14:textId="47176559" w:rsidR="00C549C5" w:rsidRPr="00BD58C0" w:rsidRDefault="00C549C5" w:rsidP="00C549C5">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002E5B24" w:rsidRPr="00BD58C0">
        <w:rPr>
          <w:rFonts w:ascii="Times New Roman" w:hAnsi="Times New Roman" w:cs="Times New Roman"/>
          <w:sz w:val="24"/>
          <w:szCs w:val="24"/>
        </w:rPr>
        <w:t>L</w:t>
      </w:r>
      <w:r w:rsidRPr="00BD58C0">
        <w:rPr>
          <w:rFonts w:ascii="Times New Roman" w:hAnsi="Times New Roman" w:cs="Times New Roman"/>
          <w:sz w:val="24"/>
          <w:szCs w:val="24"/>
        </w:rPr>
        <w:t xml:space="preserve"> is annual </w:t>
      </w:r>
      <w:proofErr w:type="spellStart"/>
      <w:r w:rsidR="006E00C7" w:rsidRPr="00BD58C0">
        <w:rPr>
          <w:rFonts w:ascii="Times New Roman" w:hAnsi="Times New Roman" w:cs="Times New Roman"/>
          <w:sz w:val="24"/>
          <w:szCs w:val="24"/>
        </w:rPr>
        <w:t>labor</w:t>
      </w:r>
      <w:proofErr w:type="spellEnd"/>
      <w:r w:rsidRPr="00BD58C0">
        <w:rPr>
          <w:rFonts w:ascii="Times New Roman" w:hAnsi="Times New Roman" w:cs="Times New Roman"/>
          <w:sz w:val="24"/>
          <w:szCs w:val="24"/>
        </w:rPr>
        <w:t xml:space="preserve"> cost </w:t>
      </w:r>
    </w:p>
    <w:p w14:paraId="7D222395" w14:textId="5C9D5BDB" w:rsidR="00144B33" w:rsidRPr="00BD58C0" w:rsidRDefault="00144B33" w:rsidP="008A4F0C">
      <w:pPr>
        <w:spacing w:after="0" w:line="360" w:lineRule="auto"/>
        <w:jc w:val="both"/>
        <w:rPr>
          <w:rFonts w:ascii="Times New Roman" w:hAnsi="Times New Roman" w:cs="Times New Roman"/>
          <w:sz w:val="24"/>
          <w:szCs w:val="24"/>
        </w:rPr>
      </w:pPr>
    </w:p>
    <w:p w14:paraId="5D2F9BEE" w14:textId="23B99963" w:rsidR="00D541EE" w:rsidRPr="00BD58C0" w:rsidRDefault="00BF0A57" w:rsidP="00D92FBF">
      <w:pPr>
        <w:spacing w:after="0" w:line="360" w:lineRule="auto"/>
        <w:rPr>
          <w:rFonts w:ascii="Times New Roman" w:hAnsi="Times New Roman" w:cs="Times New Roman"/>
          <w:i/>
          <w:iCs/>
          <w:sz w:val="24"/>
          <w:szCs w:val="24"/>
        </w:rPr>
      </w:pPr>
      <w:r w:rsidRPr="00BD58C0">
        <w:rPr>
          <w:rFonts w:ascii="Times New Roman" w:hAnsi="Times New Roman" w:cs="Times New Roman"/>
          <w:i/>
          <w:iCs/>
          <w:sz w:val="24"/>
          <w:szCs w:val="24"/>
        </w:rPr>
        <w:t>3</w:t>
      </w:r>
      <w:r w:rsidR="00D541EE" w:rsidRPr="00BD58C0">
        <w:rPr>
          <w:rFonts w:ascii="Times New Roman" w:hAnsi="Times New Roman" w:cs="Times New Roman"/>
          <w:i/>
          <w:iCs/>
          <w:sz w:val="24"/>
          <w:szCs w:val="24"/>
        </w:rPr>
        <w:t>.</w:t>
      </w:r>
      <w:r w:rsidR="00DE6BEC" w:rsidRPr="00BD58C0">
        <w:rPr>
          <w:rFonts w:ascii="Times New Roman" w:hAnsi="Times New Roman" w:cs="Times New Roman"/>
          <w:i/>
          <w:iCs/>
          <w:sz w:val="24"/>
          <w:szCs w:val="24"/>
        </w:rPr>
        <w:t xml:space="preserve">1.3.2. </w:t>
      </w:r>
      <w:r w:rsidR="00D541EE" w:rsidRPr="00BD58C0">
        <w:rPr>
          <w:rFonts w:ascii="Times New Roman" w:hAnsi="Times New Roman" w:cs="Times New Roman"/>
          <w:i/>
          <w:iCs/>
          <w:sz w:val="24"/>
          <w:szCs w:val="24"/>
        </w:rPr>
        <w:t>Revenues</w:t>
      </w:r>
    </w:p>
    <w:p w14:paraId="5490549C" w14:textId="38B3B3B5" w:rsidR="00D541EE" w:rsidRPr="00BD58C0" w:rsidRDefault="00D541EE" w:rsidP="00D92FBF">
      <w:pPr>
        <w:spacing w:after="0" w:line="360" w:lineRule="auto"/>
        <w:rPr>
          <w:rFonts w:ascii="Times New Roman" w:hAnsi="Times New Roman" w:cs="Times New Roman"/>
          <w:i/>
          <w:iCs/>
          <w:sz w:val="24"/>
          <w:szCs w:val="24"/>
        </w:rPr>
      </w:pPr>
    </w:p>
    <w:p w14:paraId="6101F4D4" w14:textId="7B614BC4" w:rsidR="00204903" w:rsidRPr="00BD58C0" w:rsidRDefault="00EB5B9D" w:rsidP="00EB5B9D">
      <w:pPr>
        <w:spacing w:after="0" w:line="360" w:lineRule="auto"/>
        <w:ind w:firstLine="720"/>
        <w:rPr>
          <w:rFonts w:ascii="Times New Roman" w:hAnsi="Times New Roman" w:cs="Times New Roman"/>
          <w:sz w:val="24"/>
          <w:szCs w:val="24"/>
        </w:rPr>
      </w:pPr>
      <w:r w:rsidRPr="00BD58C0">
        <w:rPr>
          <w:rFonts w:ascii="Times New Roman" w:hAnsi="Times New Roman" w:cs="Times New Roman"/>
          <w:sz w:val="24"/>
          <w:szCs w:val="24"/>
        </w:rPr>
        <w:t xml:space="preserve">Revenues </w:t>
      </w:r>
      <w:r w:rsidR="002269F9" w:rsidRPr="00BD58C0">
        <w:rPr>
          <w:rFonts w:ascii="Times New Roman" w:hAnsi="Times New Roman" w:cs="Times New Roman"/>
          <w:sz w:val="24"/>
          <w:szCs w:val="24"/>
        </w:rPr>
        <w:t>(</w:t>
      </w:r>
      <w:r w:rsidRPr="00BD58C0">
        <w:rPr>
          <w:rFonts w:ascii="Times New Roman" w:hAnsi="Times New Roman" w:cs="Times New Roman"/>
          <w:sz w:val="24"/>
          <w:szCs w:val="24"/>
        </w:rPr>
        <w:t xml:space="preserve">Eq. </w:t>
      </w:r>
      <w:r w:rsidR="00A4656C" w:rsidRPr="00BD58C0">
        <w:rPr>
          <w:rFonts w:ascii="Times New Roman" w:hAnsi="Times New Roman" w:cs="Times New Roman"/>
          <w:sz w:val="24"/>
          <w:szCs w:val="24"/>
        </w:rPr>
        <w:t>7</w:t>
      </w:r>
      <w:r w:rsidR="002269F9" w:rsidRPr="00BD58C0">
        <w:rPr>
          <w:rFonts w:ascii="Times New Roman" w:hAnsi="Times New Roman" w:cs="Times New Roman"/>
          <w:sz w:val="24"/>
          <w:szCs w:val="24"/>
        </w:rPr>
        <w:t>)</w:t>
      </w:r>
      <w:r w:rsidRPr="00BD58C0">
        <w:rPr>
          <w:rFonts w:ascii="Times New Roman" w:hAnsi="Times New Roman" w:cs="Times New Roman"/>
          <w:sz w:val="24"/>
          <w:szCs w:val="24"/>
        </w:rPr>
        <w:t xml:space="preserve"> present the multiplication of annual quantity of value-added product multiplied by unit prices</w:t>
      </w:r>
      <w:r w:rsidR="00E3442B" w:rsidRPr="00BD58C0">
        <w:rPr>
          <w:rFonts w:ascii="Times New Roman" w:hAnsi="Times New Roman" w:cs="Times New Roman"/>
          <w:sz w:val="24"/>
          <w:szCs w:val="24"/>
        </w:rPr>
        <w:t xml:space="preserve">. </w:t>
      </w:r>
    </w:p>
    <w:p w14:paraId="36131B46" w14:textId="313F71DF" w:rsidR="00EB5B9D" w:rsidRPr="00BD58C0" w:rsidRDefault="00EB5B9D" w:rsidP="00D92FBF">
      <w:pPr>
        <w:spacing w:after="0" w:line="360" w:lineRule="auto"/>
        <w:rPr>
          <w:rFonts w:ascii="Times New Roman" w:hAnsi="Times New Roman" w:cs="Times New Roman"/>
          <w:sz w:val="24"/>
          <w:szCs w:val="24"/>
        </w:rPr>
      </w:pPr>
    </w:p>
    <w:p w14:paraId="6A00365A" w14:textId="75AFF51C" w:rsidR="0016326D" w:rsidRPr="00BD58C0" w:rsidRDefault="000D2184" w:rsidP="00D92FBF">
      <w:pPr>
        <w:spacing w:after="0" w:line="360" w:lineRule="auto"/>
        <w:rPr>
          <w:rFonts w:ascii="Times New Roman" w:hAnsi="Times New Roman" w:cs="Times New Roman"/>
          <w:iCs/>
          <w:sz w:val="24"/>
          <w:szCs w:val="24"/>
        </w:rPr>
      </w:pPr>
      <m:oMath>
        <m:r>
          <m:rPr>
            <m:sty m:val="p"/>
          </m:rPr>
          <w:rPr>
            <w:rFonts w:ascii="Cambria Math" w:hAnsi="Cambria Math" w:cs="Times New Roman"/>
            <w:sz w:val="24"/>
            <w:szCs w:val="24"/>
          </w:rPr>
          <m:t>AR=</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o</m:t>
            </m:r>
          </m:sub>
        </m:sSub>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o</m:t>
            </m:r>
          </m:sub>
        </m:sSub>
      </m:oMath>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r>
      <w:r w:rsidR="008B7B8D" w:rsidRPr="00BD58C0">
        <w:rPr>
          <w:rFonts w:ascii="Times New Roman" w:eastAsiaTheme="minorEastAsia" w:hAnsi="Times New Roman" w:cs="Times New Roman"/>
          <w:iCs/>
          <w:sz w:val="24"/>
          <w:szCs w:val="24"/>
        </w:rPr>
        <w:tab/>
        <w:t xml:space="preserve"> (</w:t>
      </w:r>
      <w:r w:rsidR="00A4656C" w:rsidRPr="00BD58C0">
        <w:rPr>
          <w:rFonts w:ascii="Times New Roman" w:eastAsiaTheme="minorEastAsia" w:hAnsi="Times New Roman" w:cs="Times New Roman"/>
          <w:iCs/>
          <w:sz w:val="24"/>
          <w:szCs w:val="24"/>
        </w:rPr>
        <w:t>7</w:t>
      </w:r>
      <w:r w:rsidR="008B7B8D" w:rsidRPr="00BD58C0">
        <w:rPr>
          <w:rFonts w:ascii="Times New Roman" w:eastAsiaTheme="minorEastAsia" w:hAnsi="Times New Roman" w:cs="Times New Roman"/>
          <w:iCs/>
          <w:sz w:val="24"/>
          <w:szCs w:val="24"/>
        </w:rPr>
        <w:t>)</w:t>
      </w:r>
    </w:p>
    <w:p w14:paraId="4EB02978" w14:textId="77777777" w:rsidR="00B86126" w:rsidRPr="00BD58C0" w:rsidRDefault="00B86126" w:rsidP="00D92FBF">
      <w:pPr>
        <w:spacing w:after="0" w:line="360" w:lineRule="auto"/>
        <w:rPr>
          <w:rFonts w:ascii="Times New Roman" w:hAnsi="Times New Roman" w:cs="Times New Roman"/>
          <w:sz w:val="24"/>
          <w:szCs w:val="24"/>
        </w:rPr>
      </w:pPr>
    </w:p>
    <w:p w14:paraId="17660AE5" w14:textId="2801CA83" w:rsidR="003137DE" w:rsidRPr="00BD58C0" w:rsidRDefault="00F004C1"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where:</w:t>
      </w:r>
    </w:p>
    <w:p w14:paraId="658FE7B9" w14:textId="6223EDC8" w:rsidR="00321B39" w:rsidRPr="00BD58C0" w:rsidRDefault="00321B39"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AR is annual revenues</w:t>
      </w:r>
    </w:p>
    <w:p w14:paraId="768545BD" w14:textId="592DAE28" w:rsidR="00321B39" w:rsidRPr="00BD58C0" w:rsidRDefault="00321B39" w:rsidP="00D92FBF">
      <w:pPr>
        <w:spacing w:after="0" w:line="360" w:lineRule="auto"/>
        <w:rPr>
          <w:rFonts w:ascii="Times New Roman" w:hAnsi="Times New Roman" w:cs="Times New Roman"/>
          <w:sz w:val="24"/>
          <w:szCs w:val="24"/>
        </w:rPr>
      </w:pPr>
      <w:proofErr w:type="spellStart"/>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o</w:t>
      </w:r>
      <w:proofErr w:type="spellEnd"/>
      <w:r w:rsidRPr="00BD58C0">
        <w:rPr>
          <w:rFonts w:ascii="Times New Roman" w:hAnsi="Times New Roman" w:cs="Times New Roman"/>
          <w:sz w:val="24"/>
          <w:szCs w:val="24"/>
          <w:vertAlign w:val="subscript"/>
        </w:rPr>
        <w:t xml:space="preserve"> </w:t>
      </w:r>
      <w:r w:rsidRPr="00BD58C0">
        <w:rPr>
          <w:rFonts w:ascii="Times New Roman" w:hAnsi="Times New Roman" w:cs="Times New Roman"/>
          <w:sz w:val="24"/>
          <w:szCs w:val="24"/>
        </w:rPr>
        <w:t>is annual quantity of value-added product (energy)</w:t>
      </w:r>
    </w:p>
    <w:p w14:paraId="487F2659" w14:textId="5FA31D65" w:rsidR="008A182E" w:rsidRPr="00BD58C0" w:rsidRDefault="008A182E" w:rsidP="00D92FBF">
      <w:pPr>
        <w:spacing w:after="0" w:line="360" w:lineRule="auto"/>
        <w:rPr>
          <w:rFonts w:ascii="Times New Roman" w:hAnsi="Times New Roman" w:cs="Times New Roman"/>
          <w:sz w:val="24"/>
          <w:szCs w:val="24"/>
        </w:rPr>
      </w:pPr>
      <w:r w:rsidRPr="00BD58C0">
        <w:rPr>
          <w:rFonts w:ascii="Times New Roman" w:hAnsi="Times New Roman" w:cs="Times New Roman"/>
          <w:sz w:val="24"/>
          <w:szCs w:val="24"/>
        </w:rPr>
        <w:t>P</w:t>
      </w:r>
      <w:r w:rsidRPr="00BD58C0">
        <w:rPr>
          <w:rFonts w:ascii="Times New Roman" w:hAnsi="Times New Roman" w:cs="Times New Roman"/>
          <w:sz w:val="24"/>
          <w:szCs w:val="24"/>
          <w:vertAlign w:val="subscript"/>
        </w:rPr>
        <w:t xml:space="preserve">o </w:t>
      </w:r>
      <w:r w:rsidR="00B11B22" w:rsidRPr="00BD58C0">
        <w:rPr>
          <w:rFonts w:ascii="Times New Roman" w:hAnsi="Times New Roman" w:cs="Times New Roman"/>
          <w:sz w:val="24"/>
          <w:szCs w:val="24"/>
        </w:rPr>
        <w:t>is unit price</w:t>
      </w:r>
    </w:p>
    <w:p w14:paraId="49C2621B" w14:textId="77777777" w:rsidR="00C25AA3" w:rsidRPr="00BD58C0" w:rsidRDefault="00C25AA3" w:rsidP="00D92FBF">
      <w:pPr>
        <w:spacing w:after="0" w:line="360" w:lineRule="auto"/>
        <w:rPr>
          <w:rFonts w:ascii="Times New Roman" w:hAnsi="Times New Roman" w:cs="Times New Roman"/>
          <w:i/>
          <w:iCs/>
          <w:sz w:val="24"/>
          <w:szCs w:val="24"/>
        </w:rPr>
      </w:pPr>
    </w:p>
    <w:p w14:paraId="3C2C170B" w14:textId="38AE1521" w:rsidR="00B11B22" w:rsidRPr="00BD58C0" w:rsidRDefault="00BF0A57" w:rsidP="00D92FBF">
      <w:pPr>
        <w:spacing w:after="0" w:line="360" w:lineRule="auto"/>
        <w:rPr>
          <w:rFonts w:ascii="Times New Roman" w:hAnsi="Times New Roman" w:cs="Times New Roman"/>
          <w:i/>
          <w:iCs/>
          <w:sz w:val="24"/>
          <w:szCs w:val="24"/>
        </w:rPr>
      </w:pPr>
      <w:r w:rsidRPr="00BD58C0">
        <w:rPr>
          <w:rFonts w:ascii="Times New Roman" w:hAnsi="Times New Roman" w:cs="Times New Roman"/>
          <w:i/>
          <w:iCs/>
          <w:sz w:val="24"/>
          <w:szCs w:val="24"/>
        </w:rPr>
        <w:t>3</w:t>
      </w:r>
      <w:r w:rsidR="00A40FD3" w:rsidRPr="00BD58C0">
        <w:rPr>
          <w:rFonts w:ascii="Times New Roman" w:hAnsi="Times New Roman" w:cs="Times New Roman"/>
          <w:i/>
          <w:iCs/>
          <w:sz w:val="24"/>
          <w:szCs w:val="24"/>
        </w:rPr>
        <w:t>.</w:t>
      </w:r>
      <w:r w:rsidR="00DE6BEC" w:rsidRPr="00BD58C0">
        <w:rPr>
          <w:rFonts w:ascii="Times New Roman" w:hAnsi="Times New Roman" w:cs="Times New Roman"/>
          <w:i/>
          <w:iCs/>
          <w:sz w:val="24"/>
          <w:szCs w:val="24"/>
        </w:rPr>
        <w:t>1.</w:t>
      </w:r>
      <w:r w:rsidR="00A31370" w:rsidRPr="00BD58C0">
        <w:rPr>
          <w:rFonts w:ascii="Times New Roman" w:hAnsi="Times New Roman" w:cs="Times New Roman"/>
          <w:i/>
          <w:iCs/>
          <w:sz w:val="24"/>
          <w:szCs w:val="24"/>
        </w:rPr>
        <w:t>2</w:t>
      </w:r>
      <w:r w:rsidR="00A40FD3" w:rsidRPr="00BD58C0">
        <w:rPr>
          <w:rFonts w:ascii="Times New Roman" w:hAnsi="Times New Roman" w:cs="Times New Roman"/>
          <w:i/>
          <w:iCs/>
          <w:sz w:val="24"/>
          <w:szCs w:val="24"/>
        </w:rPr>
        <w:t>.</w:t>
      </w:r>
      <w:r w:rsidR="00DE6BEC" w:rsidRPr="00BD58C0">
        <w:rPr>
          <w:rFonts w:ascii="Times New Roman" w:hAnsi="Times New Roman" w:cs="Times New Roman"/>
          <w:i/>
          <w:iCs/>
          <w:sz w:val="24"/>
          <w:szCs w:val="24"/>
        </w:rPr>
        <w:t xml:space="preserve">2. </w:t>
      </w:r>
      <w:r w:rsidR="006757C1" w:rsidRPr="00BD58C0">
        <w:rPr>
          <w:rFonts w:ascii="Times New Roman" w:hAnsi="Times New Roman" w:cs="Times New Roman"/>
          <w:i/>
          <w:iCs/>
          <w:sz w:val="24"/>
          <w:szCs w:val="24"/>
        </w:rPr>
        <w:t>Cost</w:t>
      </w:r>
      <w:r w:rsidR="001B3F98" w:rsidRPr="00BD58C0">
        <w:rPr>
          <w:rFonts w:ascii="Times New Roman" w:hAnsi="Times New Roman" w:cs="Times New Roman"/>
          <w:i/>
          <w:iCs/>
          <w:sz w:val="24"/>
          <w:szCs w:val="24"/>
        </w:rPr>
        <w:t>-</w:t>
      </w:r>
      <w:r w:rsidR="006757C1" w:rsidRPr="00BD58C0">
        <w:rPr>
          <w:rFonts w:ascii="Times New Roman" w:hAnsi="Times New Roman" w:cs="Times New Roman"/>
          <w:i/>
          <w:iCs/>
          <w:sz w:val="24"/>
          <w:szCs w:val="24"/>
        </w:rPr>
        <w:t>benefit analysis</w:t>
      </w:r>
      <w:r w:rsidR="00404DA6" w:rsidRPr="00BD58C0">
        <w:rPr>
          <w:rFonts w:ascii="Times New Roman" w:hAnsi="Times New Roman" w:cs="Times New Roman"/>
          <w:i/>
          <w:iCs/>
          <w:sz w:val="24"/>
          <w:szCs w:val="24"/>
        </w:rPr>
        <w:t xml:space="preserve"> (CBA)</w:t>
      </w:r>
    </w:p>
    <w:p w14:paraId="096D6C02" w14:textId="77777777" w:rsidR="00F335E8" w:rsidRPr="00BD58C0" w:rsidRDefault="00F335E8" w:rsidP="00D92FBF">
      <w:pPr>
        <w:spacing w:after="0" w:line="360" w:lineRule="auto"/>
        <w:rPr>
          <w:rFonts w:ascii="Times New Roman" w:hAnsi="Times New Roman" w:cs="Times New Roman"/>
          <w:i/>
          <w:iCs/>
          <w:sz w:val="24"/>
          <w:szCs w:val="24"/>
        </w:rPr>
      </w:pPr>
    </w:p>
    <w:p w14:paraId="22EF3BB6" w14:textId="4804ECB6" w:rsidR="0089255C" w:rsidRPr="00BD58C0" w:rsidRDefault="0089255C"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b/>
      </w:r>
      <w:r w:rsidR="00404DA6" w:rsidRPr="00BD58C0">
        <w:rPr>
          <w:rFonts w:ascii="Times New Roman" w:hAnsi="Times New Roman" w:cs="Times New Roman"/>
          <w:sz w:val="24"/>
          <w:szCs w:val="24"/>
        </w:rPr>
        <w:t xml:space="preserve">CBA can be employed to </w:t>
      </w:r>
      <w:r w:rsidR="00C45AAF" w:rsidRPr="00BD58C0">
        <w:rPr>
          <w:rFonts w:ascii="Times New Roman" w:hAnsi="Times New Roman" w:cs="Times New Roman"/>
          <w:sz w:val="24"/>
          <w:szCs w:val="24"/>
        </w:rPr>
        <w:t xml:space="preserve">estimate </w:t>
      </w:r>
      <w:r w:rsidR="00404DA6" w:rsidRPr="00BD58C0">
        <w:rPr>
          <w:rFonts w:ascii="Times New Roman" w:hAnsi="Times New Roman" w:cs="Times New Roman"/>
          <w:sz w:val="24"/>
          <w:szCs w:val="24"/>
        </w:rPr>
        <w:t>the total costs and benefits of a</w:t>
      </w:r>
      <w:r w:rsidR="001A1D74" w:rsidRPr="00BD58C0">
        <w:rPr>
          <w:rFonts w:ascii="Times New Roman" w:hAnsi="Times New Roman" w:cs="Times New Roman"/>
          <w:sz w:val="24"/>
          <w:szCs w:val="24"/>
        </w:rPr>
        <w:t>n activity</w:t>
      </w:r>
      <w:r w:rsidR="00404DA6" w:rsidRPr="00BD58C0">
        <w:rPr>
          <w:rFonts w:ascii="Times New Roman" w:hAnsi="Times New Roman" w:cs="Times New Roman"/>
          <w:sz w:val="24"/>
          <w:szCs w:val="24"/>
        </w:rPr>
        <w:t xml:space="preserve"> or </w:t>
      </w:r>
      <w:r w:rsidR="001A1D74" w:rsidRPr="00BD58C0">
        <w:rPr>
          <w:rFonts w:ascii="Times New Roman" w:hAnsi="Times New Roman" w:cs="Times New Roman"/>
          <w:sz w:val="24"/>
          <w:szCs w:val="24"/>
        </w:rPr>
        <w:t>a project</w:t>
      </w:r>
      <w:r w:rsidR="00404DA6" w:rsidRPr="00BD58C0">
        <w:rPr>
          <w:rFonts w:ascii="Times New Roman" w:hAnsi="Times New Roman" w:cs="Times New Roman"/>
          <w:sz w:val="24"/>
          <w:szCs w:val="24"/>
        </w:rPr>
        <w:t xml:space="preserve"> </w:t>
      </w:r>
      <w:r w:rsidR="009A4505" w:rsidRPr="00BD58C0">
        <w:rPr>
          <w:rFonts w:ascii="Times New Roman" w:hAnsi="Times New Roman" w:cs="Times New Roman"/>
          <w:sz w:val="24"/>
          <w:szCs w:val="24"/>
        </w:rPr>
        <w:t>[</w:t>
      </w:r>
      <w:r w:rsidR="004A7A80" w:rsidRPr="00BD58C0">
        <w:rPr>
          <w:rFonts w:ascii="Times New Roman" w:hAnsi="Times New Roman" w:cs="Times New Roman"/>
          <w:sz w:val="24"/>
          <w:szCs w:val="24"/>
        </w:rPr>
        <w:t>3</w:t>
      </w:r>
      <w:r w:rsidR="00916B4E" w:rsidRPr="00BD58C0">
        <w:rPr>
          <w:rFonts w:ascii="Times New Roman" w:hAnsi="Times New Roman" w:cs="Times New Roman"/>
          <w:sz w:val="24"/>
          <w:szCs w:val="24"/>
        </w:rPr>
        <w:t>8</w:t>
      </w:r>
      <w:r w:rsidR="009A4505" w:rsidRPr="00BD58C0">
        <w:rPr>
          <w:rFonts w:ascii="Times New Roman" w:hAnsi="Times New Roman" w:cs="Times New Roman"/>
          <w:sz w:val="24"/>
          <w:szCs w:val="24"/>
        </w:rPr>
        <w:t>]</w:t>
      </w:r>
      <w:r w:rsidR="00404DA6" w:rsidRPr="00BD58C0">
        <w:rPr>
          <w:rFonts w:ascii="Times New Roman" w:hAnsi="Times New Roman" w:cs="Times New Roman"/>
          <w:sz w:val="24"/>
          <w:szCs w:val="24"/>
        </w:rPr>
        <w:t xml:space="preserve">. In contrast, LCC does not include benefits </w:t>
      </w:r>
      <w:r w:rsidR="009A4505" w:rsidRPr="00BD58C0">
        <w:rPr>
          <w:rFonts w:ascii="Times New Roman" w:hAnsi="Times New Roman" w:cs="Times New Roman"/>
          <w:sz w:val="24"/>
          <w:szCs w:val="24"/>
        </w:rPr>
        <w:t>[</w:t>
      </w:r>
      <w:r w:rsidR="0077776C" w:rsidRPr="00BD58C0">
        <w:rPr>
          <w:rFonts w:ascii="Times New Roman" w:hAnsi="Times New Roman" w:cs="Times New Roman"/>
          <w:sz w:val="24"/>
          <w:szCs w:val="24"/>
        </w:rPr>
        <w:t>3</w:t>
      </w:r>
      <w:r w:rsidR="00916B4E" w:rsidRPr="00BD58C0">
        <w:rPr>
          <w:rFonts w:ascii="Times New Roman" w:hAnsi="Times New Roman" w:cs="Times New Roman"/>
          <w:sz w:val="24"/>
          <w:szCs w:val="24"/>
        </w:rPr>
        <w:t>9</w:t>
      </w:r>
      <w:r w:rsidR="009A4505" w:rsidRPr="00BD58C0">
        <w:rPr>
          <w:rFonts w:ascii="Times New Roman" w:hAnsi="Times New Roman" w:cs="Times New Roman"/>
          <w:sz w:val="24"/>
          <w:szCs w:val="24"/>
        </w:rPr>
        <w:t>]</w:t>
      </w:r>
      <w:r w:rsidR="00404DA6" w:rsidRPr="00BD58C0">
        <w:rPr>
          <w:rFonts w:ascii="Times New Roman" w:hAnsi="Times New Roman" w:cs="Times New Roman"/>
          <w:sz w:val="24"/>
          <w:szCs w:val="24"/>
        </w:rPr>
        <w:t>. L</w:t>
      </w:r>
      <w:r w:rsidR="0049168C" w:rsidRPr="00BD58C0">
        <w:rPr>
          <w:rFonts w:ascii="Times New Roman" w:hAnsi="Times New Roman" w:cs="Times New Roman"/>
          <w:sz w:val="24"/>
          <w:szCs w:val="24"/>
        </w:rPr>
        <w:t>CA</w:t>
      </w:r>
      <w:r w:rsidR="00404DA6" w:rsidRPr="00BD58C0">
        <w:rPr>
          <w:rFonts w:ascii="Times New Roman" w:hAnsi="Times New Roman" w:cs="Times New Roman"/>
          <w:sz w:val="24"/>
          <w:szCs w:val="24"/>
        </w:rPr>
        <w:t xml:space="preserve"> and LCC </w:t>
      </w:r>
      <w:r w:rsidR="00C56CA6" w:rsidRPr="00BD58C0">
        <w:rPr>
          <w:rFonts w:ascii="Times New Roman" w:hAnsi="Times New Roman" w:cs="Times New Roman"/>
          <w:sz w:val="24"/>
          <w:szCs w:val="24"/>
        </w:rPr>
        <w:t>focus on</w:t>
      </w:r>
      <w:r w:rsidR="00404DA6" w:rsidRPr="00BD58C0">
        <w:rPr>
          <w:rFonts w:ascii="Times New Roman" w:hAnsi="Times New Roman" w:cs="Times New Roman"/>
          <w:sz w:val="24"/>
          <w:szCs w:val="24"/>
        </w:rPr>
        <w:t xml:space="preserve"> the life cycles of the </w:t>
      </w:r>
      <w:r w:rsidR="00C56CA6" w:rsidRPr="00BD58C0">
        <w:rPr>
          <w:rFonts w:ascii="Times New Roman" w:hAnsi="Times New Roman" w:cs="Times New Roman"/>
          <w:sz w:val="24"/>
          <w:szCs w:val="24"/>
        </w:rPr>
        <w:t>evaluated</w:t>
      </w:r>
      <w:r w:rsidR="00404DA6" w:rsidRPr="00BD58C0">
        <w:rPr>
          <w:rFonts w:ascii="Times New Roman" w:hAnsi="Times New Roman" w:cs="Times New Roman"/>
          <w:sz w:val="24"/>
          <w:szCs w:val="24"/>
        </w:rPr>
        <w:t xml:space="preserve"> products</w:t>
      </w:r>
      <w:r w:rsidR="00EC6BFB" w:rsidRPr="00BD58C0">
        <w:rPr>
          <w:rFonts w:ascii="Times New Roman" w:hAnsi="Times New Roman" w:cs="Times New Roman"/>
          <w:sz w:val="24"/>
          <w:szCs w:val="24"/>
        </w:rPr>
        <w:t>,</w:t>
      </w:r>
      <w:r w:rsidR="00404DA6" w:rsidRPr="00BD58C0">
        <w:rPr>
          <w:rFonts w:ascii="Times New Roman" w:hAnsi="Times New Roman" w:cs="Times New Roman"/>
          <w:sz w:val="24"/>
          <w:szCs w:val="24"/>
        </w:rPr>
        <w:t xml:space="preserve"> while CBA </w:t>
      </w:r>
      <w:r w:rsidR="000A2809" w:rsidRPr="00BD58C0">
        <w:rPr>
          <w:rFonts w:ascii="Times New Roman" w:hAnsi="Times New Roman" w:cs="Times New Roman"/>
          <w:sz w:val="24"/>
          <w:szCs w:val="24"/>
        </w:rPr>
        <w:t>considers</w:t>
      </w:r>
      <w:r w:rsidR="00C56CA6" w:rsidRPr="00BD58C0">
        <w:rPr>
          <w:rFonts w:ascii="Times New Roman" w:hAnsi="Times New Roman" w:cs="Times New Roman"/>
          <w:sz w:val="24"/>
          <w:szCs w:val="24"/>
        </w:rPr>
        <w:t xml:space="preserve"> the</w:t>
      </w:r>
      <w:r w:rsidR="00404DA6" w:rsidRPr="00BD58C0">
        <w:rPr>
          <w:rFonts w:ascii="Times New Roman" w:hAnsi="Times New Roman" w:cs="Times New Roman"/>
          <w:sz w:val="24"/>
          <w:szCs w:val="24"/>
        </w:rPr>
        <w:t xml:space="preserve"> lifetime of a particular project, mak</w:t>
      </w:r>
      <w:r w:rsidR="00EC6BFB" w:rsidRPr="00BD58C0">
        <w:rPr>
          <w:rFonts w:ascii="Times New Roman" w:hAnsi="Times New Roman" w:cs="Times New Roman"/>
          <w:sz w:val="24"/>
          <w:szCs w:val="24"/>
        </w:rPr>
        <w:t>ing</w:t>
      </w:r>
      <w:r w:rsidR="00404DA6" w:rsidRPr="00BD58C0">
        <w:rPr>
          <w:rFonts w:ascii="Times New Roman" w:hAnsi="Times New Roman" w:cs="Times New Roman"/>
          <w:sz w:val="24"/>
          <w:szCs w:val="24"/>
        </w:rPr>
        <w:t xml:space="preserve"> the lifetime of used products secondary </w:t>
      </w:r>
      <w:r w:rsidR="009A4505" w:rsidRPr="00BD58C0">
        <w:rPr>
          <w:rFonts w:ascii="Times New Roman" w:hAnsi="Times New Roman" w:cs="Times New Roman"/>
          <w:sz w:val="24"/>
          <w:szCs w:val="24"/>
        </w:rPr>
        <w:t>[</w:t>
      </w:r>
      <w:r w:rsidR="000E2535" w:rsidRPr="00BD58C0">
        <w:rPr>
          <w:rFonts w:ascii="Times New Roman" w:hAnsi="Times New Roman" w:cs="Times New Roman"/>
          <w:sz w:val="24"/>
          <w:szCs w:val="24"/>
        </w:rPr>
        <w:t>40</w:t>
      </w:r>
      <w:r w:rsidR="009A4505" w:rsidRPr="00BD58C0">
        <w:rPr>
          <w:rFonts w:ascii="Times New Roman" w:hAnsi="Times New Roman" w:cs="Times New Roman"/>
          <w:sz w:val="24"/>
          <w:szCs w:val="24"/>
        </w:rPr>
        <w:t>]</w:t>
      </w:r>
      <w:r w:rsidR="00404DA6" w:rsidRPr="00BD58C0">
        <w:rPr>
          <w:rFonts w:ascii="Times New Roman" w:hAnsi="Times New Roman" w:cs="Times New Roman"/>
          <w:sz w:val="24"/>
          <w:szCs w:val="24"/>
        </w:rPr>
        <w:t xml:space="preserve">. </w:t>
      </w:r>
      <w:r w:rsidR="00EC6BFB" w:rsidRPr="00BD58C0">
        <w:rPr>
          <w:rFonts w:ascii="Times New Roman" w:hAnsi="Times New Roman" w:cs="Times New Roman"/>
          <w:sz w:val="24"/>
          <w:szCs w:val="24"/>
        </w:rPr>
        <w:t xml:space="preserve">Utilising </w:t>
      </w:r>
      <w:r w:rsidR="00404DA6" w:rsidRPr="00BD58C0">
        <w:rPr>
          <w:rFonts w:ascii="Times New Roman" w:hAnsi="Times New Roman" w:cs="Times New Roman"/>
          <w:sz w:val="24"/>
          <w:szCs w:val="24"/>
        </w:rPr>
        <w:t xml:space="preserve">both LCC and CBA makes the economic evaluation </w:t>
      </w:r>
      <w:r w:rsidR="00EC6BFB" w:rsidRPr="00BD58C0">
        <w:rPr>
          <w:rFonts w:ascii="Times New Roman" w:hAnsi="Times New Roman" w:cs="Times New Roman"/>
          <w:sz w:val="24"/>
          <w:szCs w:val="24"/>
        </w:rPr>
        <w:t xml:space="preserve">more </w:t>
      </w:r>
      <w:r w:rsidR="00404DA6" w:rsidRPr="00BD58C0">
        <w:rPr>
          <w:rFonts w:ascii="Times New Roman" w:hAnsi="Times New Roman" w:cs="Times New Roman"/>
          <w:sz w:val="24"/>
          <w:szCs w:val="24"/>
        </w:rPr>
        <w:t xml:space="preserve">complete. </w:t>
      </w:r>
      <w:r w:rsidR="002374AF" w:rsidRPr="00BD58C0">
        <w:rPr>
          <w:rFonts w:ascii="Times New Roman" w:hAnsi="Times New Roman" w:cs="Times New Roman"/>
          <w:sz w:val="24"/>
          <w:szCs w:val="24"/>
        </w:rPr>
        <w:t>The overall cost</w:t>
      </w:r>
      <w:r w:rsidR="00F650DC" w:rsidRPr="00BD58C0">
        <w:rPr>
          <w:rFonts w:ascii="Times New Roman" w:hAnsi="Times New Roman" w:cs="Times New Roman"/>
          <w:sz w:val="24"/>
          <w:szCs w:val="24"/>
        </w:rPr>
        <w:t>s</w:t>
      </w:r>
      <w:r w:rsidR="002374AF" w:rsidRPr="00BD58C0">
        <w:rPr>
          <w:rFonts w:ascii="Times New Roman" w:hAnsi="Times New Roman" w:cs="Times New Roman"/>
          <w:sz w:val="24"/>
          <w:szCs w:val="24"/>
        </w:rPr>
        <w:t xml:space="preserve"> and benefits of a project </w:t>
      </w:r>
      <w:r w:rsidR="001C3585" w:rsidRPr="00BD58C0">
        <w:rPr>
          <w:rFonts w:ascii="Times New Roman" w:hAnsi="Times New Roman" w:cs="Times New Roman"/>
          <w:sz w:val="24"/>
          <w:szCs w:val="24"/>
        </w:rPr>
        <w:t xml:space="preserve">offer </w:t>
      </w:r>
      <w:r w:rsidR="002374AF" w:rsidRPr="00BD58C0">
        <w:rPr>
          <w:rFonts w:ascii="Times New Roman" w:hAnsi="Times New Roman" w:cs="Times New Roman"/>
          <w:sz w:val="24"/>
          <w:szCs w:val="24"/>
        </w:rPr>
        <w:t>important insight</w:t>
      </w:r>
      <w:r w:rsidR="001C3585" w:rsidRPr="00BD58C0">
        <w:rPr>
          <w:rFonts w:ascii="Times New Roman" w:hAnsi="Times New Roman" w:cs="Times New Roman"/>
          <w:sz w:val="24"/>
          <w:szCs w:val="24"/>
        </w:rPr>
        <w:t>s</w:t>
      </w:r>
      <w:r w:rsidR="002374AF" w:rsidRPr="00BD58C0">
        <w:rPr>
          <w:rFonts w:ascii="Times New Roman" w:hAnsi="Times New Roman" w:cs="Times New Roman"/>
          <w:sz w:val="24"/>
          <w:szCs w:val="24"/>
        </w:rPr>
        <w:t xml:space="preserve"> for policy and decision makers</w:t>
      </w:r>
      <w:r w:rsidR="004370A6" w:rsidRPr="00BD58C0">
        <w:rPr>
          <w:rFonts w:ascii="Times New Roman" w:hAnsi="Times New Roman" w:cs="Times New Roman"/>
          <w:sz w:val="24"/>
          <w:szCs w:val="24"/>
        </w:rPr>
        <w:t xml:space="preserve"> [</w:t>
      </w:r>
      <w:r w:rsidR="00916B4E" w:rsidRPr="00BD58C0">
        <w:rPr>
          <w:rFonts w:ascii="Times New Roman" w:hAnsi="Times New Roman" w:cs="Times New Roman"/>
          <w:sz w:val="24"/>
          <w:szCs w:val="24"/>
        </w:rPr>
        <w:t>1</w:t>
      </w:r>
      <w:r w:rsidR="0031008D" w:rsidRPr="00BD58C0">
        <w:rPr>
          <w:rFonts w:ascii="Times New Roman" w:hAnsi="Times New Roman" w:cs="Times New Roman"/>
          <w:sz w:val="24"/>
          <w:szCs w:val="24"/>
        </w:rPr>
        <w:t>4</w:t>
      </w:r>
      <w:r w:rsidR="004370A6" w:rsidRPr="00BD58C0">
        <w:rPr>
          <w:rFonts w:ascii="Times New Roman" w:hAnsi="Times New Roman" w:cs="Times New Roman"/>
          <w:sz w:val="24"/>
          <w:szCs w:val="24"/>
        </w:rPr>
        <w:t>]</w:t>
      </w:r>
      <w:r w:rsidR="002374AF" w:rsidRPr="00BD58C0">
        <w:rPr>
          <w:rFonts w:ascii="Times New Roman" w:hAnsi="Times New Roman" w:cs="Times New Roman"/>
          <w:sz w:val="24"/>
          <w:szCs w:val="24"/>
        </w:rPr>
        <w:t xml:space="preserve">. Thus, LCCBA </w:t>
      </w:r>
      <w:r w:rsidR="00D276A3" w:rsidRPr="00BD58C0">
        <w:rPr>
          <w:rFonts w:ascii="Times New Roman" w:hAnsi="Times New Roman" w:cs="Times New Roman"/>
          <w:sz w:val="24"/>
          <w:szCs w:val="24"/>
        </w:rPr>
        <w:t xml:space="preserve">is a viable and strong method to assess the anticipated costs and benefits of various </w:t>
      </w:r>
      <w:r w:rsidR="000A2809" w:rsidRPr="00BD58C0">
        <w:rPr>
          <w:rFonts w:ascii="Times New Roman" w:hAnsi="Times New Roman" w:cs="Times New Roman"/>
          <w:sz w:val="24"/>
          <w:szCs w:val="24"/>
        </w:rPr>
        <w:t>alternatives, and</w:t>
      </w:r>
      <w:r w:rsidR="00D276A3" w:rsidRPr="00BD58C0">
        <w:rPr>
          <w:rFonts w:ascii="Times New Roman" w:hAnsi="Times New Roman" w:cs="Times New Roman"/>
          <w:sz w:val="24"/>
          <w:szCs w:val="24"/>
        </w:rPr>
        <w:t xml:space="preserve"> help in making final decisions [</w:t>
      </w:r>
      <w:r w:rsidR="00916B4E" w:rsidRPr="00BD58C0">
        <w:rPr>
          <w:rFonts w:ascii="Times New Roman" w:hAnsi="Times New Roman" w:cs="Times New Roman"/>
          <w:sz w:val="24"/>
          <w:szCs w:val="24"/>
        </w:rPr>
        <w:t>1</w:t>
      </w:r>
      <w:r w:rsidR="006374EA" w:rsidRPr="00BD58C0">
        <w:rPr>
          <w:rFonts w:ascii="Times New Roman" w:hAnsi="Times New Roman" w:cs="Times New Roman"/>
          <w:sz w:val="24"/>
          <w:szCs w:val="24"/>
        </w:rPr>
        <w:t>5</w:t>
      </w:r>
      <w:r w:rsidR="00D276A3"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Additional economic factors </w:t>
      </w:r>
      <w:r w:rsidR="00404DA6" w:rsidRPr="00BD58C0">
        <w:rPr>
          <w:rFonts w:ascii="Times New Roman" w:hAnsi="Times New Roman" w:cs="Times New Roman"/>
          <w:sz w:val="24"/>
          <w:szCs w:val="24"/>
        </w:rPr>
        <w:t>under CBA</w:t>
      </w:r>
      <w:r w:rsidR="00D3040E" w:rsidRPr="00BD58C0">
        <w:rPr>
          <w:rFonts w:ascii="Times New Roman" w:hAnsi="Times New Roman" w:cs="Times New Roman"/>
          <w:sz w:val="24"/>
          <w:szCs w:val="24"/>
        </w:rPr>
        <w:t>,</w:t>
      </w:r>
      <w:r w:rsidR="00404DA6" w:rsidRPr="00BD58C0">
        <w:rPr>
          <w:rFonts w:ascii="Times New Roman" w:hAnsi="Times New Roman" w:cs="Times New Roman"/>
          <w:sz w:val="24"/>
          <w:szCs w:val="24"/>
        </w:rPr>
        <w:t xml:space="preserve"> </w:t>
      </w:r>
      <w:r w:rsidRPr="00BD58C0">
        <w:rPr>
          <w:rFonts w:ascii="Times New Roman" w:hAnsi="Times New Roman" w:cs="Times New Roman"/>
          <w:sz w:val="24"/>
          <w:szCs w:val="24"/>
        </w:rPr>
        <w:t>such as ROI, PP and NPV</w:t>
      </w:r>
      <w:r w:rsidR="00D3040E" w:rsidRPr="00BD58C0">
        <w:rPr>
          <w:rFonts w:ascii="Times New Roman" w:hAnsi="Times New Roman" w:cs="Times New Roman"/>
          <w:sz w:val="24"/>
          <w:szCs w:val="24"/>
        </w:rPr>
        <w:t>,</w:t>
      </w:r>
      <w:r w:rsidRPr="00BD58C0">
        <w:rPr>
          <w:rFonts w:ascii="Times New Roman" w:hAnsi="Times New Roman" w:cs="Times New Roman"/>
          <w:sz w:val="24"/>
          <w:szCs w:val="24"/>
        </w:rPr>
        <w:t xml:space="preserve"> are necessary to evaluate the </w:t>
      </w:r>
      <w:r w:rsidR="0086005C" w:rsidRPr="00BD58C0">
        <w:rPr>
          <w:rFonts w:ascii="Times New Roman" w:hAnsi="Times New Roman" w:cs="Times New Roman"/>
          <w:sz w:val="24"/>
          <w:szCs w:val="24"/>
        </w:rPr>
        <w:t>desirability and feasibility</w:t>
      </w:r>
      <w:r w:rsidR="00856DB8" w:rsidRPr="00BD58C0">
        <w:rPr>
          <w:rFonts w:ascii="Times New Roman" w:hAnsi="Times New Roman" w:cs="Times New Roman"/>
          <w:sz w:val="24"/>
          <w:szCs w:val="24"/>
        </w:rPr>
        <w:t xml:space="preserve"> of a system [</w:t>
      </w:r>
      <w:r w:rsidR="00916B4E" w:rsidRPr="00BD58C0">
        <w:rPr>
          <w:rFonts w:ascii="Times New Roman" w:hAnsi="Times New Roman" w:cs="Times New Roman"/>
          <w:sz w:val="24"/>
          <w:szCs w:val="24"/>
        </w:rPr>
        <w:t>41</w:t>
      </w:r>
      <w:r w:rsidR="004E22BF" w:rsidRPr="00BD58C0">
        <w:rPr>
          <w:rFonts w:ascii="Times New Roman" w:hAnsi="Times New Roman" w:cs="Times New Roman"/>
          <w:sz w:val="24"/>
          <w:szCs w:val="24"/>
        </w:rPr>
        <w:t xml:space="preserve">]. </w:t>
      </w:r>
      <w:r w:rsidR="00E66955" w:rsidRPr="00BD58C0">
        <w:rPr>
          <w:rFonts w:ascii="Times New Roman" w:hAnsi="Times New Roman" w:cs="Times New Roman"/>
          <w:sz w:val="24"/>
          <w:szCs w:val="24"/>
        </w:rPr>
        <w:t>NPV (</w:t>
      </w:r>
      <w:proofErr w:type="spellStart"/>
      <w:r w:rsidR="00E66955" w:rsidRPr="00BD58C0">
        <w:rPr>
          <w:rFonts w:ascii="Times New Roman" w:hAnsi="Times New Roman" w:cs="Times New Roman"/>
          <w:sz w:val="24"/>
          <w:szCs w:val="24"/>
        </w:rPr>
        <w:t>Eq</w:t>
      </w:r>
      <w:r w:rsidR="00827ED2" w:rsidRPr="00BD58C0">
        <w:rPr>
          <w:rFonts w:ascii="Times New Roman" w:hAnsi="Times New Roman" w:cs="Times New Roman"/>
          <w:sz w:val="24"/>
          <w:szCs w:val="24"/>
        </w:rPr>
        <w:t>s</w:t>
      </w:r>
      <w:proofErr w:type="spellEnd"/>
      <w:r w:rsidR="00E85DAA" w:rsidRPr="00BD58C0">
        <w:rPr>
          <w:rFonts w:ascii="Times New Roman" w:hAnsi="Times New Roman" w:cs="Times New Roman"/>
          <w:sz w:val="24"/>
          <w:szCs w:val="24"/>
        </w:rPr>
        <w:t>.</w:t>
      </w:r>
      <w:r w:rsidR="00E66955" w:rsidRPr="00BD58C0">
        <w:rPr>
          <w:rFonts w:ascii="Times New Roman" w:hAnsi="Times New Roman" w:cs="Times New Roman"/>
          <w:sz w:val="24"/>
          <w:szCs w:val="24"/>
        </w:rPr>
        <w:t xml:space="preserve"> (</w:t>
      </w:r>
      <w:r w:rsidR="000A6D7E" w:rsidRPr="00BD58C0">
        <w:rPr>
          <w:rFonts w:ascii="Times New Roman" w:hAnsi="Times New Roman" w:cs="Times New Roman"/>
          <w:sz w:val="24"/>
          <w:szCs w:val="24"/>
        </w:rPr>
        <w:t>8</w:t>
      </w:r>
      <w:r w:rsidR="00827ED2" w:rsidRPr="00BD58C0">
        <w:rPr>
          <w:rFonts w:ascii="Times New Roman" w:hAnsi="Times New Roman" w:cs="Times New Roman"/>
          <w:sz w:val="24"/>
          <w:szCs w:val="24"/>
        </w:rPr>
        <w:t>-</w:t>
      </w:r>
      <w:r w:rsidR="00451B68" w:rsidRPr="00BD58C0">
        <w:rPr>
          <w:rFonts w:ascii="Times New Roman" w:hAnsi="Times New Roman" w:cs="Times New Roman"/>
          <w:sz w:val="24"/>
          <w:szCs w:val="24"/>
        </w:rPr>
        <w:t>1</w:t>
      </w:r>
      <w:r w:rsidR="004F68EC" w:rsidRPr="00BD58C0">
        <w:rPr>
          <w:rFonts w:ascii="Times New Roman" w:hAnsi="Times New Roman" w:cs="Times New Roman"/>
          <w:sz w:val="24"/>
          <w:szCs w:val="24"/>
        </w:rPr>
        <w:t>1</w:t>
      </w:r>
      <w:r w:rsidR="00E66955" w:rsidRPr="00BD58C0">
        <w:rPr>
          <w:rFonts w:ascii="Times New Roman" w:hAnsi="Times New Roman" w:cs="Times New Roman"/>
          <w:sz w:val="24"/>
          <w:szCs w:val="24"/>
        </w:rPr>
        <w:t xml:space="preserve">)) </w:t>
      </w:r>
      <w:r w:rsidR="00667DF3" w:rsidRPr="00BD58C0">
        <w:rPr>
          <w:rFonts w:ascii="Times New Roman" w:hAnsi="Times New Roman" w:cs="Times New Roman"/>
          <w:sz w:val="24"/>
          <w:szCs w:val="24"/>
        </w:rPr>
        <w:t xml:space="preserve">is </w:t>
      </w:r>
      <w:r w:rsidR="00E66955" w:rsidRPr="00BD58C0">
        <w:rPr>
          <w:rFonts w:ascii="Times New Roman" w:hAnsi="Times New Roman" w:cs="Times New Roman"/>
          <w:sz w:val="24"/>
          <w:szCs w:val="24"/>
        </w:rPr>
        <w:t xml:space="preserve">the overall financial </w:t>
      </w:r>
      <w:r w:rsidR="00E03D15" w:rsidRPr="00BD58C0">
        <w:rPr>
          <w:rFonts w:ascii="Times New Roman" w:hAnsi="Times New Roman" w:cs="Times New Roman"/>
          <w:sz w:val="24"/>
          <w:szCs w:val="24"/>
        </w:rPr>
        <w:t>status</w:t>
      </w:r>
      <w:r w:rsidR="00E66955" w:rsidRPr="00BD58C0">
        <w:rPr>
          <w:rFonts w:ascii="Times New Roman" w:hAnsi="Times New Roman" w:cs="Times New Roman"/>
          <w:sz w:val="24"/>
          <w:szCs w:val="24"/>
        </w:rPr>
        <w:t xml:space="preserve"> of a project. </w:t>
      </w:r>
      <w:r w:rsidR="00536474" w:rsidRPr="00BD58C0">
        <w:rPr>
          <w:rFonts w:ascii="Times New Roman" w:hAnsi="Times New Roman" w:cs="Times New Roman"/>
          <w:sz w:val="24"/>
          <w:szCs w:val="24"/>
        </w:rPr>
        <w:t>“</w:t>
      </w:r>
      <w:r w:rsidR="00667DF3" w:rsidRPr="00BD58C0">
        <w:rPr>
          <w:rFonts w:ascii="Times New Roman" w:hAnsi="Times New Roman" w:cs="Times New Roman"/>
          <w:sz w:val="24"/>
          <w:szCs w:val="24"/>
        </w:rPr>
        <w:t>I</w:t>
      </w:r>
      <w:r w:rsidR="00536474" w:rsidRPr="00BD58C0">
        <w:rPr>
          <w:rFonts w:ascii="Times New Roman" w:hAnsi="Times New Roman" w:cs="Times New Roman"/>
          <w:sz w:val="24"/>
          <w:szCs w:val="24"/>
        </w:rPr>
        <w:t xml:space="preserve">nvest if the NPV of investing exceeds zero” is </w:t>
      </w:r>
      <w:r w:rsidR="00D625CE" w:rsidRPr="00BD58C0">
        <w:rPr>
          <w:rFonts w:ascii="Times New Roman" w:hAnsi="Times New Roman" w:cs="Times New Roman"/>
          <w:sz w:val="24"/>
          <w:szCs w:val="24"/>
        </w:rPr>
        <w:t xml:space="preserve">a </w:t>
      </w:r>
      <w:r w:rsidR="00536474" w:rsidRPr="00BD58C0">
        <w:rPr>
          <w:rFonts w:ascii="Times New Roman" w:hAnsi="Times New Roman" w:cs="Times New Roman"/>
          <w:sz w:val="24"/>
          <w:szCs w:val="24"/>
        </w:rPr>
        <w:t xml:space="preserve">popular </w:t>
      </w:r>
      <w:r w:rsidR="00117721" w:rsidRPr="00BD58C0">
        <w:rPr>
          <w:rFonts w:ascii="Times New Roman" w:hAnsi="Times New Roman" w:cs="Times New Roman"/>
          <w:sz w:val="24"/>
          <w:szCs w:val="24"/>
        </w:rPr>
        <w:t xml:space="preserve">motto </w:t>
      </w:r>
      <w:r w:rsidR="00536474" w:rsidRPr="00BD58C0">
        <w:rPr>
          <w:rFonts w:ascii="Times New Roman" w:hAnsi="Times New Roman" w:cs="Times New Roman"/>
          <w:sz w:val="24"/>
          <w:szCs w:val="24"/>
        </w:rPr>
        <w:t>among managers [</w:t>
      </w:r>
      <w:r w:rsidR="009A379D" w:rsidRPr="00BD58C0">
        <w:rPr>
          <w:rFonts w:ascii="Times New Roman" w:hAnsi="Times New Roman" w:cs="Times New Roman"/>
          <w:sz w:val="24"/>
          <w:szCs w:val="24"/>
        </w:rPr>
        <w:t>4</w:t>
      </w:r>
      <w:r w:rsidR="00916B4E" w:rsidRPr="00BD58C0">
        <w:rPr>
          <w:rFonts w:ascii="Times New Roman" w:hAnsi="Times New Roman" w:cs="Times New Roman"/>
          <w:sz w:val="24"/>
          <w:szCs w:val="24"/>
        </w:rPr>
        <w:t>2</w:t>
      </w:r>
      <w:r w:rsidR="00536474" w:rsidRPr="00BD58C0">
        <w:rPr>
          <w:rFonts w:ascii="Times New Roman" w:hAnsi="Times New Roman" w:cs="Times New Roman"/>
          <w:sz w:val="24"/>
          <w:szCs w:val="24"/>
        </w:rPr>
        <w:t xml:space="preserve">]. From </w:t>
      </w:r>
      <w:r w:rsidR="00667DF3" w:rsidRPr="00BD58C0">
        <w:rPr>
          <w:rFonts w:ascii="Times New Roman" w:hAnsi="Times New Roman" w:cs="Times New Roman"/>
          <w:sz w:val="24"/>
          <w:szCs w:val="24"/>
        </w:rPr>
        <w:t xml:space="preserve">an </w:t>
      </w:r>
      <w:r w:rsidR="00536474" w:rsidRPr="00BD58C0">
        <w:rPr>
          <w:rFonts w:ascii="Times New Roman" w:hAnsi="Times New Roman" w:cs="Times New Roman"/>
          <w:sz w:val="24"/>
          <w:szCs w:val="24"/>
        </w:rPr>
        <w:t>NPV perspective, it is crucial to evaluate the eligibility of investments over their lifetime [</w:t>
      </w:r>
      <w:r w:rsidR="009A379D" w:rsidRPr="00BD58C0">
        <w:rPr>
          <w:rFonts w:ascii="Times New Roman" w:hAnsi="Times New Roman" w:cs="Times New Roman"/>
          <w:sz w:val="24"/>
          <w:szCs w:val="24"/>
        </w:rPr>
        <w:t>4</w:t>
      </w:r>
      <w:r w:rsidR="00916B4E" w:rsidRPr="00BD58C0">
        <w:rPr>
          <w:rFonts w:ascii="Times New Roman" w:hAnsi="Times New Roman" w:cs="Times New Roman"/>
          <w:sz w:val="24"/>
          <w:szCs w:val="24"/>
        </w:rPr>
        <w:t>3</w:t>
      </w:r>
      <w:r w:rsidR="00536474" w:rsidRPr="00BD58C0">
        <w:rPr>
          <w:rFonts w:ascii="Times New Roman" w:hAnsi="Times New Roman" w:cs="Times New Roman"/>
          <w:sz w:val="24"/>
          <w:szCs w:val="24"/>
        </w:rPr>
        <w:t xml:space="preserve">]. </w:t>
      </w:r>
      <w:r w:rsidR="00667DF3" w:rsidRPr="00BD58C0">
        <w:rPr>
          <w:rFonts w:ascii="Times New Roman" w:hAnsi="Times New Roman" w:cs="Times New Roman"/>
          <w:sz w:val="24"/>
          <w:szCs w:val="24"/>
        </w:rPr>
        <w:t xml:space="preserve">NPV </w:t>
      </w:r>
      <w:r w:rsidR="00E66955" w:rsidRPr="00BD58C0">
        <w:rPr>
          <w:rFonts w:ascii="Times New Roman" w:hAnsi="Times New Roman" w:cs="Times New Roman"/>
          <w:sz w:val="24"/>
          <w:szCs w:val="24"/>
        </w:rPr>
        <w:t>is calculated based on the discounted income and costs [</w:t>
      </w:r>
      <w:r w:rsidR="005B5687" w:rsidRPr="00BD58C0">
        <w:rPr>
          <w:rFonts w:ascii="Times New Roman" w:hAnsi="Times New Roman" w:cs="Times New Roman"/>
          <w:sz w:val="24"/>
          <w:szCs w:val="24"/>
        </w:rPr>
        <w:t>1</w:t>
      </w:r>
      <w:r w:rsidR="0031008D" w:rsidRPr="00BD58C0">
        <w:rPr>
          <w:rFonts w:ascii="Times New Roman" w:hAnsi="Times New Roman" w:cs="Times New Roman"/>
          <w:sz w:val="24"/>
          <w:szCs w:val="24"/>
        </w:rPr>
        <w:t>3</w:t>
      </w:r>
      <w:r w:rsidR="00E66955" w:rsidRPr="00BD58C0">
        <w:rPr>
          <w:rFonts w:ascii="Times New Roman" w:hAnsi="Times New Roman" w:cs="Times New Roman"/>
          <w:sz w:val="24"/>
          <w:szCs w:val="24"/>
        </w:rPr>
        <w:t>]</w:t>
      </w:r>
      <w:r w:rsidR="006209E1" w:rsidRPr="00BD58C0">
        <w:rPr>
          <w:rFonts w:ascii="Times New Roman" w:hAnsi="Times New Roman" w:cs="Times New Roman"/>
          <w:sz w:val="24"/>
          <w:szCs w:val="24"/>
        </w:rPr>
        <w:t>. The discount rate, or weighted average cost of capital (WACC)</w:t>
      </w:r>
      <w:r w:rsidR="00667DF3" w:rsidRPr="00BD58C0">
        <w:rPr>
          <w:rFonts w:ascii="Times New Roman" w:hAnsi="Times New Roman" w:cs="Times New Roman"/>
          <w:sz w:val="24"/>
          <w:szCs w:val="24"/>
        </w:rPr>
        <w:t>,</w:t>
      </w:r>
      <w:r w:rsidR="006209E1" w:rsidRPr="00BD58C0">
        <w:rPr>
          <w:rFonts w:ascii="Times New Roman" w:hAnsi="Times New Roman" w:cs="Times New Roman"/>
          <w:sz w:val="24"/>
          <w:szCs w:val="24"/>
        </w:rPr>
        <w:t xml:space="preserve"> was</w:t>
      </w:r>
      <w:r w:rsidR="00E66955" w:rsidRPr="00BD58C0">
        <w:rPr>
          <w:rFonts w:ascii="Times New Roman" w:hAnsi="Times New Roman" w:cs="Times New Roman"/>
          <w:sz w:val="24"/>
          <w:szCs w:val="24"/>
        </w:rPr>
        <w:t xml:space="preserve"> </w:t>
      </w:r>
      <w:r w:rsidR="006209E1" w:rsidRPr="00BD58C0">
        <w:rPr>
          <w:rFonts w:ascii="Times New Roman" w:hAnsi="Times New Roman" w:cs="Times New Roman"/>
          <w:sz w:val="24"/>
          <w:szCs w:val="24"/>
        </w:rPr>
        <w:t>set at 6%</w:t>
      </w:r>
      <w:r w:rsidR="00667DF3" w:rsidRPr="00BD58C0">
        <w:rPr>
          <w:rFonts w:ascii="Times New Roman" w:hAnsi="Times New Roman" w:cs="Times New Roman"/>
          <w:sz w:val="24"/>
          <w:szCs w:val="24"/>
        </w:rPr>
        <w:t>,</w:t>
      </w:r>
      <w:r w:rsidR="006209E1" w:rsidRPr="00BD58C0">
        <w:rPr>
          <w:rFonts w:ascii="Times New Roman" w:hAnsi="Times New Roman" w:cs="Times New Roman"/>
          <w:sz w:val="24"/>
          <w:szCs w:val="24"/>
        </w:rPr>
        <w:t xml:space="preserve"> based on </w:t>
      </w:r>
      <w:r w:rsidR="001D35F8" w:rsidRPr="00BD58C0">
        <w:rPr>
          <w:rFonts w:ascii="Times New Roman" w:hAnsi="Times New Roman" w:cs="Times New Roman"/>
          <w:sz w:val="24"/>
          <w:szCs w:val="24"/>
        </w:rPr>
        <w:t>[</w:t>
      </w:r>
      <w:r w:rsidR="00087989" w:rsidRPr="00BD58C0">
        <w:rPr>
          <w:rFonts w:ascii="Times New Roman" w:hAnsi="Times New Roman" w:cs="Times New Roman"/>
          <w:sz w:val="24"/>
          <w:szCs w:val="24"/>
        </w:rPr>
        <w:t>4</w:t>
      </w:r>
      <w:r w:rsidR="005B5687" w:rsidRPr="00BD58C0">
        <w:rPr>
          <w:rFonts w:ascii="Times New Roman" w:hAnsi="Times New Roman" w:cs="Times New Roman"/>
          <w:sz w:val="24"/>
          <w:szCs w:val="24"/>
        </w:rPr>
        <w:t>4</w:t>
      </w:r>
      <w:r w:rsidR="001D35F8" w:rsidRPr="00BD58C0">
        <w:rPr>
          <w:rFonts w:ascii="Times New Roman" w:hAnsi="Times New Roman" w:cs="Times New Roman"/>
          <w:sz w:val="24"/>
          <w:szCs w:val="24"/>
        </w:rPr>
        <w:t xml:space="preserve">]. </w:t>
      </w:r>
      <w:r w:rsidR="00667DF3" w:rsidRPr="00BD58C0">
        <w:rPr>
          <w:rFonts w:ascii="Times New Roman" w:hAnsi="Times New Roman" w:cs="Times New Roman"/>
          <w:sz w:val="24"/>
          <w:szCs w:val="24"/>
        </w:rPr>
        <w:t>T</w:t>
      </w:r>
      <w:r w:rsidR="00F4274B" w:rsidRPr="00BD58C0">
        <w:rPr>
          <w:rFonts w:ascii="Times New Roman" w:hAnsi="Times New Roman" w:cs="Times New Roman"/>
          <w:sz w:val="24"/>
          <w:szCs w:val="24"/>
        </w:rPr>
        <w:t xml:space="preserve">he current income tax rate value is assumed </w:t>
      </w:r>
      <w:r w:rsidR="00F4274B" w:rsidRPr="00BD58C0">
        <w:rPr>
          <w:rFonts w:ascii="Times New Roman" w:hAnsi="Times New Roman" w:cs="Times New Roman"/>
          <w:sz w:val="24"/>
          <w:szCs w:val="24"/>
        </w:rPr>
        <w:lastRenderedPageBreak/>
        <w:t>to be 24% based on [</w:t>
      </w:r>
      <w:r w:rsidR="00085AE3" w:rsidRPr="00BD58C0">
        <w:rPr>
          <w:rFonts w:ascii="Times New Roman" w:hAnsi="Times New Roman" w:cs="Times New Roman"/>
          <w:sz w:val="24"/>
          <w:szCs w:val="24"/>
        </w:rPr>
        <w:t>4</w:t>
      </w:r>
      <w:r w:rsidR="005B5687" w:rsidRPr="00BD58C0">
        <w:rPr>
          <w:rFonts w:ascii="Times New Roman" w:hAnsi="Times New Roman" w:cs="Times New Roman"/>
          <w:sz w:val="24"/>
          <w:szCs w:val="24"/>
        </w:rPr>
        <w:t>5</w:t>
      </w:r>
      <w:r w:rsidR="00F4274B" w:rsidRPr="00BD58C0">
        <w:rPr>
          <w:rFonts w:ascii="Times New Roman" w:hAnsi="Times New Roman" w:cs="Times New Roman"/>
          <w:sz w:val="24"/>
          <w:szCs w:val="24"/>
        </w:rPr>
        <w:t xml:space="preserve">]. </w:t>
      </w:r>
      <w:r w:rsidR="0060460A" w:rsidRPr="00BD58C0">
        <w:rPr>
          <w:rFonts w:ascii="Times New Roman" w:hAnsi="Times New Roman" w:cs="Times New Roman"/>
          <w:sz w:val="24"/>
          <w:szCs w:val="24"/>
        </w:rPr>
        <w:t xml:space="preserve">ROI is an annual interest rate </w:t>
      </w:r>
      <w:r w:rsidR="00C45AAF" w:rsidRPr="00BD58C0">
        <w:rPr>
          <w:rFonts w:ascii="Times New Roman" w:hAnsi="Times New Roman" w:cs="Times New Roman"/>
          <w:sz w:val="24"/>
          <w:szCs w:val="24"/>
        </w:rPr>
        <w:t>from</w:t>
      </w:r>
      <w:r w:rsidR="0060460A" w:rsidRPr="00BD58C0">
        <w:rPr>
          <w:rFonts w:ascii="Times New Roman" w:hAnsi="Times New Roman" w:cs="Times New Roman"/>
          <w:sz w:val="24"/>
          <w:szCs w:val="24"/>
        </w:rPr>
        <w:t xml:space="preserve"> the profits on the capital investment [</w:t>
      </w:r>
      <w:r w:rsidR="00085AE3" w:rsidRPr="00BD58C0">
        <w:rPr>
          <w:rFonts w:ascii="Times New Roman" w:hAnsi="Times New Roman" w:cs="Times New Roman"/>
          <w:sz w:val="24"/>
          <w:szCs w:val="24"/>
        </w:rPr>
        <w:t>4</w:t>
      </w:r>
      <w:r w:rsidR="005B5687" w:rsidRPr="00BD58C0">
        <w:rPr>
          <w:rFonts w:ascii="Times New Roman" w:hAnsi="Times New Roman" w:cs="Times New Roman"/>
          <w:sz w:val="24"/>
          <w:szCs w:val="24"/>
        </w:rPr>
        <w:t>6</w:t>
      </w:r>
      <w:r w:rsidR="0060460A" w:rsidRPr="00BD58C0">
        <w:rPr>
          <w:rFonts w:ascii="Times New Roman" w:hAnsi="Times New Roman" w:cs="Times New Roman"/>
          <w:sz w:val="24"/>
          <w:szCs w:val="24"/>
        </w:rPr>
        <w:t xml:space="preserve">]. Also, it is used to measure profitability. ROI is calculated using </w:t>
      </w:r>
      <w:r w:rsidR="00545A26" w:rsidRPr="00BD58C0">
        <w:rPr>
          <w:rFonts w:ascii="Times New Roman" w:hAnsi="Times New Roman" w:cs="Times New Roman"/>
          <w:sz w:val="24"/>
          <w:szCs w:val="24"/>
        </w:rPr>
        <w:t xml:space="preserve">Eq. </w:t>
      </w:r>
      <w:r w:rsidR="0075345D" w:rsidRPr="00BD58C0">
        <w:rPr>
          <w:rFonts w:ascii="Times New Roman" w:hAnsi="Times New Roman" w:cs="Times New Roman"/>
          <w:sz w:val="24"/>
          <w:szCs w:val="24"/>
        </w:rPr>
        <w:t>1</w:t>
      </w:r>
      <w:r w:rsidR="004F68EC" w:rsidRPr="00BD58C0">
        <w:rPr>
          <w:rFonts w:ascii="Times New Roman" w:hAnsi="Times New Roman" w:cs="Times New Roman"/>
          <w:sz w:val="24"/>
          <w:szCs w:val="24"/>
        </w:rPr>
        <w:t>2</w:t>
      </w:r>
      <w:r w:rsidR="0083787F" w:rsidRPr="00BD58C0">
        <w:rPr>
          <w:rFonts w:ascii="Times New Roman" w:hAnsi="Times New Roman" w:cs="Times New Roman"/>
          <w:sz w:val="24"/>
          <w:szCs w:val="24"/>
        </w:rPr>
        <w:t xml:space="preserve">. </w:t>
      </w:r>
      <w:r w:rsidR="009207A7" w:rsidRPr="00BD58C0">
        <w:rPr>
          <w:rFonts w:ascii="Times New Roman" w:hAnsi="Times New Roman" w:cs="Times New Roman"/>
          <w:sz w:val="24"/>
          <w:szCs w:val="24"/>
        </w:rPr>
        <w:t xml:space="preserve">PP </w:t>
      </w:r>
      <w:r w:rsidR="00D1478B" w:rsidRPr="00BD58C0">
        <w:rPr>
          <w:rFonts w:ascii="Times New Roman" w:hAnsi="Times New Roman" w:cs="Times New Roman"/>
          <w:sz w:val="24"/>
          <w:szCs w:val="24"/>
        </w:rPr>
        <w:t>(</w:t>
      </w:r>
      <w:proofErr w:type="spellStart"/>
      <w:r w:rsidR="00D1478B" w:rsidRPr="00BD58C0">
        <w:rPr>
          <w:rFonts w:ascii="Times New Roman" w:hAnsi="Times New Roman" w:cs="Times New Roman"/>
          <w:sz w:val="24"/>
          <w:szCs w:val="24"/>
        </w:rPr>
        <w:t>Eq</w:t>
      </w:r>
      <w:r w:rsidR="00E85DAA" w:rsidRPr="00BD58C0">
        <w:rPr>
          <w:rFonts w:ascii="Times New Roman" w:hAnsi="Times New Roman" w:cs="Times New Roman"/>
          <w:sz w:val="24"/>
          <w:szCs w:val="24"/>
        </w:rPr>
        <w:t>s</w:t>
      </w:r>
      <w:proofErr w:type="spellEnd"/>
      <w:r w:rsidR="00E85DAA" w:rsidRPr="00BD58C0">
        <w:rPr>
          <w:rFonts w:ascii="Times New Roman" w:hAnsi="Times New Roman" w:cs="Times New Roman"/>
          <w:sz w:val="24"/>
          <w:szCs w:val="24"/>
        </w:rPr>
        <w:t>. (1</w:t>
      </w:r>
      <w:r w:rsidR="004F68EC" w:rsidRPr="00BD58C0">
        <w:rPr>
          <w:rFonts w:ascii="Times New Roman" w:hAnsi="Times New Roman" w:cs="Times New Roman"/>
          <w:sz w:val="24"/>
          <w:szCs w:val="24"/>
        </w:rPr>
        <w:t>3</w:t>
      </w:r>
      <w:r w:rsidR="00E85DAA" w:rsidRPr="00BD58C0">
        <w:rPr>
          <w:rFonts w:ascii="Times New Roman" w:hAnsi="Times New Roman" w:cs="Times New Roman"/>
          <w:sz w:val="24"/>
          <w:szCs w:val="24"/>
        </w:rPr>
        <w:t>-1</w:t>
      </w:r>
      <w:r w:rsidR="004F68EC" w:rsidRPr="00BD58C0">
        <w:rPr>
          <w:rFonts w:ascii="Times New Roman" w:hAnsi="Times New Roman" w:cs="Times New Roman"/>
          <w:sz w:val="24"/>
          <w:szCs w:val="24"/>
        </w:rPr>
        <w:t>4</w:t>
      </w:r>
      <w:r w:rsidR="00E85DAA" w:rsidRPr="00BD58C0">
        <w:rPr>
          <w:rFonts w:ascii="Times New Roman" w:hAnsi="Times New Roman" w:cs="Times New Roman"/>
          <w:sz w:val="24"/>
          <w:szCs w:val="24"/>
        </w:rPr>
        <w:t>)</w:t>
      </w:r>
      <w:r w:rsidR="00D1478B" w:rsidRPr="00BD58C0">
        <w:rPr>
          <w:rFonts w:ascii="Times New Roman" w:hAnsi="Times New Roman" w:cs="Times New Roman"/>
          <w:sz w:val="24"/>
          <w:szCs w:val="24"/>
        </w:rPr>
        <w:t xml:space="preserve">) </w:t>
      </w:r>
      <w:r w:rsidR="009207A7" w:rsidRPr="00BD58C0">
        <w:rPr>
          <w:rFonts w:ascii="Times New Roman" w:hAnsi="Times New Roman" w:cs="Times New Roman"/>
          <w:sz w:val="24"/>
          <w:szCs w:val="24"/>
        </w:rPr>
        <w:t>refers to the period of time required for the capital investment to equal the annual profits. P</w:t>
      </w:r>
      <w:r w:rsidR="00D1478B" w:rsidRPr="00BD58C0">
        <w:rPr>
          <w:rFonts w:ascii="Times New Roman" w:hAnsi="Times New Roman" w:cs="Times New Roman"/>
          <w:sz w:val="24"/>
          <w:szCs w:val="24"/>
        </w:rPr>
        <w:t>P</w:t>
      </w:r>
      <w:r w:rsidR="009207A7" w:rsidRPr="00BD58C0">
        <w:rPr>
          <w:rFonts w:ascii="Times New Roman" w:hAnsi="Times New Roman" w:cs="Times New Roman"/>
          <w:sz w:val="24"/>
          <w:szCs w:val="24"/>
        </w:rPr>
        <w:t xml:space="preserve"> is also known as </w:t>
      </w:r>
      <w:r w:rsidR="00C45AAF" w:rsidRPr="00BD58C0">
        <w:rPr>
          <w:rFonts w:ascii="Times New Roman" w:hAnsi="Times New Roman" w:cs="Times New Roman"/>
          <w:sz w:val="24"/>
          <w:szCs w:val="24"/>
        </w:rPr>
        <w:t xml:space="preserve">the </w:t>
      </w:r>
      <w:r w:rsidR="009207A7" w:rsidRPr="00BD58C0">
        <w:rPr>
          <w:rFonts w:ascii="Times New Roman" w:hAnsi="Times New Roman" w:cs="Times New Roman"/>
          <w:sz w:val="24"/>
          <w:szCs w:val="24"/>
        </w:rPr>
        <w:t xml:space="preserve">cash recovery period, payoff period, </w:t>
      </w:r>
      <w:proofErr w:type="spellStart"/>
      <w:r w:rsidR="009207A7" w:rsidRPr="00BD58C0">
        <w:rPr>
          <w:rFonts w:ascii="Times New Roman" w:hAnsi="Times New Roman" w:cs="Times New Roman"/>
          <w:sz w:val="24"/>
          <w:szCs w:val="24"/>
        </w:rPr>
        <w:t>payout</w:t>
      </w:r>
      <w:proofErr w:type="spellEnd"/>
      <w:r w:rsidR="009207A7" w:rsidRPr="00BD58C0">
        <w:rPr>
          <w:rFonts w:ascii="Times New Roman" w:hAnsi="Times New Roman" w:cs="Times New Roman"/>
          <w:sz w:val="24"/>
          <w:szCs w:val="24"/>
        </w:rPr>
        <w:t xml:space="preserve"> period </w:t>
      </w:r>
      <w:r w:rsidR="00667DF3" w:rsidRPr="00BD58C0">
        <w:rPr>
          <w:rFonts w:ascii="Times New Roman" w:hAnsi="Times New Roman" w:cs="Times New Roman"/>
          <w:sz w:val="24"/>
          <w:szCs w:val="24"/>
        </w:rPr>
        <w:t xml:space="preserve">or </w:t>
      </w:r>
      <w:proofErr w:type="spellStart"/>
      <w:r w:rsidR="009207A7" w:rsidRPr="00BD58C0">
        <w:rPr>
          <w:rFonts w:ascii="Times New Roman" w:hAnsi="Times New Roman" w:cs="Times New Roman"/>
          <w:sz w:val="24"/>
          <w:szCs w:val="24"/>
        </w:rPr>
        <w:t>payout</w:t>
      </w:r>
      <w:proofErr w:type="spellEnd"/>
      <w:r w:rsidR="009207A7" w:rsidRPr="00BD58C0">
        <w:rPr>
          <w:rFonts w:ascii="Times New Roman" w:hAnsi="Times New Roman" w:cs="Times New Roman"/>
          <w:sz w:val="24"/>
          <w:szCs w:val="24"/>
        </w:rPr>
        <w:t xml:space="preserve"> time</w:t>
      </w:r>
      <w:r w:rsidR="00C45AAF" w:rsidRPr="00BD58C0">
        <w:rPr>
          <w:rFonts w:ascii="Times New Roman" w:hAnsi="Times New Roman" w:cs="Times New Roman"/>
          <w:sz w:val="24"/>
          <w:szCs w:val="24"/>
        </w:rPr>
        <w:t>, and</w:t>
      </w:r>
      <w:r w:rsidR="009207A7" w:rsidRPr="00BD58C0">
        <w:rPr>
          <w:rFonts w:ascii="Times New Roman" w:hAnsi="Times New Roman" w:cs="Times New Roman"/>
          <w:sz w:val="24"/>
          <w:szCs w:val="24"/>
        </w:rPr>
        <w:t xml:space="preserve"> is used to compare alternatives in early evaluations [</w:t>
      </w:r>
      <w:r w:rsidR="00DB1182" w:rsidRPr="00BD58C0">
        <w:rPr>
          <w:rFonts w:ascii="Times New Roman" w:hAnsi="Times New Roman" w:cs="Times New Roman"/>
          <w:sz w:val="24"/>
          <w:szCs w:val="24"/>
        </w:rPr>
        <w:t>4</w:t>
      </w:r>
      <w:r w:rsidR="005B5687" w:rsidRPr="00BD58C0">
        <w:rPr>
          <w:rFonts w:ascii="Times New Roman" w:hAnsi="Times New Roman" w:cs="Times New Roman"/>
          <w:sz w:val="24"/>
          <w:szCs w:val="24"/>
        </w:rPr>
        <w:t>7</w:t>
      </w:r>
      <w:r w:rsidR="009207A7" w:rsidRPr="00BD58C0">
        <w:rPr>
          <w:rFonts w:ascii="Times New Roman" w:hAnsi="Times New Roman" w:cs="Times New Roman"/>
          <w:sz w:val="24"/>
          <w:szCs w:val="24"/>
        </w:rPr>
        <w:t>]</w:t>
      </w:r>
      <w:r w:rsidR="00D1478B" w:rsidRPr="00BD58C0">
        <w:rPr>
          <w:rFonts w:ascii="Times New Roman" w:hAnsi="Times New Roman" w:cs="Times New Roman"/>
          <w:sz w:val="24"/>
          <w:szCs w:val="24"/>
        </w:rPr>
        <w:t xml:space="preserve">. </w:t>
      </w:r>
    </w:p>
    <w:p w14:paraId="0F17B5B1" w14:textId="77777777" w:rsidR="00F46E1B" w:rsidRPr="00BD58C0" w:rsidRDefault="00F46E1B" w:rsidP="009207A7">
      <w:pPr>
        <w:spacing w:after="0" w:line="360" w:lineRule="auto"/>
        <w:jc w:val="both"/>
        <w:rPr>
          <w:rFonts w:ascii="Times New Roman" w:hAnsi="Times New Roman" w:cs="Times New Roman"/>
          <w:sz w:val="24"/>
          <w:szCs w:val="24"/>
        </w:rPr>
      </w:pPr>
    </w:p>
    <w:p w14:paraId="4956D896" w14:textId="54919A59" w:rsidR="00A3477F" w:rsidRPr="00BD58C0" w:rsidRDefault="008D4629" w:rsidP="00A3477F">
      <w:pPr>
        <w:spacing w:after="0" w:line="360" w:lineRule="auto"/>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NPV=</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NNP</m:t>
                </m:r>
              </m:sub>
            </m:sSub>
          </m:e>
        </m:nary>
        <m:r>
          <m:rPr>
            <m:sty m:val="p"/>
          </m:rPr>
          <w:rPr>
            <w:rFonts w:ascii="Cambria Math" w:hAnsi="Cambria Math" w:cs="Times New Roman"/>
            <w:sz w:val="24"/>
            <w:szCs w:val="24"/>
          </w:rPr>
          <m:t>+AD)/(</m:t>
        </m:r>
        <m:d>
          <m:dPr>
            <m:ctrlPr>
              <w:rPr>
                <w:rFonts w:ascii="Cambria Math" w:hAnsi="Cambria Math" w:cs="Times New Roman"/>
                <w:sz w:val="24"/>
                <w:szCs w:val="24"/>
              </w:rPr>
            </m:ctrlPr>
          </m:dPr>
          <m:e>
            <m:r>
              <m:rPr>
                <m:sty m:val="p"/>
              </m:rPr>
              <w:rPr>
                <w:rFonts w:ascii="Cambria Math" w:hAnsi="Cambria Math" w:cs="Times New Roman"/>
                <w:sz w:val="24"/>
                <w:szCs w:val="24"/>
              </w:rPr>
              <m:t>1+d</m:t>
            </m:r>
          </m:e>
        </m:d>
        <m:r>
          <m:rPr>
            <m:sty m:val="p"/>
          </m:rPr>
          <w:rPr>
            <w:rFonts w:ascii="Cambria Math" w:hAnsi="Cambria Math" w:cs="Times New Roman"/>
            <w:sz w:val="24"/>
            <w:szCs w:val="24"/>
          </w:rPr>
          <m:t>exp1)]</m:t>
        </m:r>
        <m:r>
          <w:rPr>
            <w:rFonts w:ascii="Cambria Math" w:hAnsi="Cambria Math" w:cs="Times New Roman"/>
            <w:sz w:val="24"/>
            <w:szCs w:val="24"/>
          </w:rPr>
          <m:t xml:space="preserve">    </m:t>
        </m:r>
      </m:oMath>
      <w:r w:rsidR="003A547D" w:rsidRPr="00BD58C0">
        <w:rPr>
          <w:rFonts w:ascii="Times New Roman" w:eastAsiaTheme="minorEastAsia" w:hAnsi="Times New Roman" w:cs="Times New Roman"/>
          <w:iCs/>
          <w:sz w:val="24"/>
          <w:szCs w:val="24"/>
        </w:rPr>
        <w:t xml:space="preserve">  </w:t>
      </w:r>
      <w:r w:rsidR="003A547D" w:rsidRPr="00BD58C0">
        <w:rPr>
          <w:rFonts w:ascii="Times New Roman" w:eastAsiaTheme="minorEastAsia" w:hAnsi="Times New Roman" w:cs="Times New Roman"/>
          <w:iCs/>
          <w:sz w:val="24"/>
          <w:szCs w:val="24"/>
        </w:rPr>
        <w:tab/>
      </w:r>
      <w:r w:rsidR="003A547D" w:rsidRPr="00BD58C0">
        <w:rPr>
          <w:rFonts w:ascii="Times New Roman" w:eastAsiaTheme="minorEastAsia" w:hAnsi="Times New Roman" w:cs="Times New Roman"/>
          <w:iCs/>
          <w:sz w:val="24"/>
          <w:szCs w:val="24"/>
        </w:rPr>
        <w:tab/>
      </w:r>
      <w:r w:rsidR="003A547D" w:rsidRPr="00BD58C0">
        <w:rPr>
          <w:rFonts w:ascii="Times New Roman" w:eastAsiaTheme="minorEastAsia" w:hAnsi="Times New Roman" w:cs="Times New Roman"/>
          <w:iCs/>
          <w:sz w:val="24"/>
          <w:szCs w:val="24"/>
        </w:rPr>
        <w:tab/>
      </w:r>
      <w:r w:rsidR="003A547D" w:rsidRPr="00BD58C0">
        <w:rPr>
          <w:rFonts w:ascii="Times New Roman" w:eastAsiaTheme="minorEastAsia" w:hAnsi="Times New Roman" w:cs="Times New Roman"/>
          <w:iCs/>
          <w:sz w:val="24"/>
          <w:szCs w:val="24"/>
        </w:rPr>
        <w:tab/>
      </w:r>
      <w:r w:rsidR="003A547D" w:rsidRPr="00BD58C0">
        <w:rPr>
          <w:rFonts w:ascii="Times New Roman" w:eastAsiaTheme="minorEastAsia" w:hAnsi="Times New Roman" w:cs="Times New Roman"/>
          <w:iCs/>
          <w:sz w:val="24"/>
          <w:szCs w:val="24"/>
        </w:rPr>
        <w:tab/>
      </w:r>
      <w:r w:rsidR="003A547D" w:rsidRPr="00BD58C0">
        <w:rPr>
          <w:rFonts w:ascii="Times New Roman" w:eastAsiaTheme="minorEastAsia" w:hAnsi="Times New Roman" w:cs="Times New Roman"/>
          <w:iCs/>
          <w:sz w:val="24"/>
          <w:szCs w:val="24"/>
        </w:rPr>
        <w:tab/>
        <w:t>(</w:t>
      </w:r>
      <w:r w:rsidR="00A4656C" w:rsidRPr="00BD58C0">
        <w:rPr>
          <w:rFonts w:ascii="Times New Roman" w:eastAsiaTheme="minorEastAsia" w:hAnsi="Times New Roman" w:cs="Times New Roman"/>
          <w:iCs/>
          <w:sz w:val="24"/>
          <w:szCs w:val="24"/>
        </w:rPr>
        <w:t>8</w:t>
      </w:r>
      <w:r w:rsidR="003A547D" w:rsidRPr="00BD58C0">
        <w:rPr>
          <w:rFonts w:ascii="Times New Roman" w:eastAsiaTheme="minorEastAsia" w:hAnsi="Times New Roman" w:cs="Times New Roman"/>
          <w:iCs/>
          <w:sz w:val="24"/>
          <w:szCs w:val="24"/>
        </w:rPr>
        <w:t>)</w:t>
      </w:r>
    </w:p>
    <w:p w14:paraId="11CD36B8" w14:textId="08B8D902" w:rsidR="0025577E" w:rsidRPr="00BD58C0" w:rsidRDefault="0025577E" w:rsidP="00A3477F">
      <w:pPr>
        <w:spacing w:after="0" w:line="360" w:lineRule="auto"/>
        <w:jc w:val="both"/>
        <w:rPr>
          <w:rFonts w:ascii="Times New Roman" w:eastAsiaTheme="minorEastAsia" w:hAnsi="Times New Roman" w:cs="Times New Roman"/>
          <w:iCs/>
          <w:sz w:val="24"/>
          <w:szCs w:val="24"/>
        </w:rPr>
      </w:pPr>
    </w:p>
    <w:p w14:paraId="259F0F8A" w14:textId="2C84D223" w:rsidR="003137DE" w:rsidRPr="00BD58C0" w:rsidRDefault="0025577E" w:rsidP="00A3477F">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7BF8E88C" w14:textId="5DA1DCC3" w:rsidR="0025577E" w:rsidRPr="00BD58C0" w:rsidRDefault="0025577E" w:rsidP="00A3477F">
      <w:pPr>
        <w:spacing w:after="0" w:line="360" w:lineRule="auto"/>
        <w:jc w:val="both"/>
        <w:rPr>
          <w:rFonts w:ascii="Times New Roman" w:hAnsi="Times New Roman" w:cs="Times New Roman"/>
          <w:iCs/>
          <w:sz w:val="24"/>
          <w:szCs w:val="24"/>
        </w:rPr>
      </w:pPr>
      <w:r w:rsidRPr="00BD58C0">
        <w:rPr>
          <w:rFonts w:ascii="Times New Roman" w:hAnsi="Times New Roman" w:cs="Times New Roman"/>
          <w:iCs/>
          <w:sz w:val="24"/>
          <w:szCs w:val="24"/>
        </w:rPr>
        <w:t>NPV is net present value</w:t>
      </w:r>
    </w:p>
    <w:p w14:paraId="75AD70F6" w14:textId="77777777" w:rsidR="0025577E" w:rsidRPr="00BD58C0" w:rsidRDefault="0025577E" w:rsidP="0025577E">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NNP </w:t>
      </w:r>
      <w:r w:rsidRPr="00BD58C0">
        <w:rPr>
          <w:rFonts w:ascii="Times New Roman" w:hAnsi="Times New Roman" w:cs="Times New Roman"/>
          <w:sz w:val="24"/>
          <w:szCs w:val="24"/>
        </w:rPr>
        <w:t>is net annual profit after income tax</w:t>
      </w:r>
    </w:p>
    <w:p w14:paraId="387EFDD7" w14:textId="230E406A" w:rsidR="0025577E" w:rsidRPr="00BD58C0" w:rsidRDefault="0025577E" w:rsidP="00A3477F">
      <w:pPr>
        <w:spacing w:after="0" w:line="360" w:lineRule="auto"/>
        <w:jc w:val="both"/>
        <w:rPr>
          <w:rFonts w:ascii="Times New Roman" w:hAnsi="Times New Roman" w:cs="Times New Roman"/>
          <w:iCs/>
          <w:sz w:val="24"/>
          <w:szCs w:val="24"/>
        </w:rPr>
      </w:pPr>
      <w:r w:rsidRPr="00BD58C0">
        <w:rPr>
          <w:rFonts w:ascii="Times New Roman" w:hAnsi="Times New Roman" w:cs="Times New Roman"/>
          <w:iCs/>
          <w:sz w:val="24"/>
          <w:szCs w:val="24"/>
        </w:rPr>
        <w:t>AD is annual depreciation</w:t>
      </w:r>
    </w:p>
    <w:p w14:paraId="74C9E112" w14:textId="707E6BA6" w:rsidR="0086284F" w:rsidRPr="00BD58C0" w:rsidRDefault="00BE0A3F" w:rsidP="00A3477F">
      <w:pPr>
        <w:spacing w:after="0" w:line="360" w:lineRule="auto"/>
        <w:jc w:val="both"/>
        <w:rPr>
          <w:rFonts w:ascii="Times New Roman" w:hAnsi="Times New Roman" w:cs="Times New Roman"/>
          <w:iCs/>
          <w:sz w:val="24"/>
          <w:szCs w:val="24"/>
        </w:rPr>
      </w:pPr>
      <w:r w:rsidRPr="00BD58C0">
        <w:rPr>
          <w:rFonts w:ascii="Times New Roman" w:hAnsi="Times New Roman" w:cs="Times New Roman"/>
          <w:iCs/>
          <w:sz w:val="24"/>
          <w:szCs w:val="24"/>
        </w:rPr>
        <w:t>d</w:t>
      </w:r>
      <w:r w:rsidR="0086284F" w:rsidRPr="00BD58C0">
        <w:rPr>
          <w:rFonts w:ascii="Times New Roman" w:hAnsi="Times New Roman" w:cs="Times New Roman"/>
          <w:iCs/>
          <w:sz w:val="24"/>
          <w:szCs w:val="24"/>
        </w:rPr>
        <w:t xml:space="preserve"> is discount rate</w:t>
      </w:r>
    </w:p>
    <w:p w14:paraId="1AB71FC4" w14:textId="2355ED35" w:rsidR="00DD6640" w:rsidRPr="00BD58C0" w:rsidRDefault="00DD6640" w:rsidP="00A3477F">
      <w:pPr>
        <w:spacing w:after="0" w:line="360" w:lineRule="auto"/>
        <w:jc w:val="both"/>
        <w:rPr>
          <w:rFonts w:ascii="Times New Roman" w:hAnsi="Times New Roman" w:cs="Times New Roman"/>
          <w:iCs/>
          <w:sz w:val="24"/>
          <w:szCs w:val="24"/>
        </w:rPr>
      </w:pPr>
    </w:p>
    <w:p w14:paraId="3E367847" w14:textId="6092EABB" w:rsidR="002272E1" w:rsidRPr="00BD58C0" w:rsidRDefault="009F1B00" w:rsidP="002272E1">
      <w:pPr>
        <w:spacing w:after="0" w:line="360" w:lineRule="auto"/>
        <w:jc w:val="both"/>
        <w:rPr>
          <w:rFonts w:ascii="Times New Roman" w:eastAsiaTheme="minorEastAsia" w:hAnsi="Times New Roman" w:cs="Times New Roman"/>
          <w:iCs/>
          <w:sz w:val="24"/>
          <w:szCs w:val="24"/>
        </w:rPr>
      </w:p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NNP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×IT</m:t>
        </m:r>
        <m:r>
          <w:rPr>
            <w:rFonts w:ascii="Cambria Math" w:hAnsi="Cambria Math" w:cs="Times New Roman"/>
            <w:sz w:val="24"/>
            <w:szCs w:val="24"/>
          </w:rPr>
          <m:t>)</m:t>
        </m:r>
      </m:oMath>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ab/>
      </w:r>
      <w:r w:rsidR="003B14A3" w:rsidRPr="00BD58C0">
        <w:rPr>
          <w:rFonts w:ascii="Times New Roman" w:eastAsiaTheme="minorEastAsia" w:hAnsi="Times New Roman" w:cs="Times New Roman"/>
          <w:iCs/>
          <w:sz w:val="24"/>
          <w:szCs w:val="24"/>
        </w:rPr>
        <w:t xml:space="preserve">           </w:t>
      </w:r>
      <w:r w:rsidR="00AC60B9" w:rsidRPr="00BD58C0">
        <w:rPr>
          <w:rFonts w:ascii="Times New Roman" w:eastAsiaTheme="minorEastAsia" w:hAnsi="Times New Roman" w:cs="Times New Roman"/>
          <w:iCs/>
          <w:sz w:val="24"/>
          <w:szCs w:val="24"/>
        </w:rPr>
        <w:t xml:space="preserve">  </w:t>
      </w:r>
      <w:r w:rsidR="002272E1" w:rsidRPr="00BD58C0">
        <w:rPr>
          <w:rFonts w:ascii="Times New Roman" w:eastAsiaTheme="minorEastAsia" w:hAnsi="Times New Roman" w:cs="Times New Roman"/>
          <w:iCs/>
          <w:sz w:val="24"/>
          <w:szCs w:val="24"/>
        </w:rPr>
        <w:t>(</w:t>
      </w:r>
      <w:r w:rsidR="00AC60B9" w:rsidRPr="00BD58C0">
        <w:rPr>
          <w:rFonts w:ascii="Times New Roman" w:eastAsiaTheme="minorEastAsia" w:hAnsi="Times New Roman" w:cs="Times New Roman"/>
          <w:iCs/>
          <w:sz w:val="24"/>
          <w:szCs w:val="24"/>
        </w:rPr>
        <w:t>9</w:t>
      </w:r>
      <w:r w:rsidR="002272E1" w:rsidRPr="00BD58C0">
        <w:rPr>
          <w:rFonts w:ascii="Times New Roman" w:eastAsiaTheme="minorEastAsia" w:hAnsi="Times New Roman" w:cs="Times New Roman"/>
          <w:iCs/>
          <w:sz w:val="24"/>
          <w:szCs w:val="24"/>
        </w:rPr>
        <w:t>)</w:t>
      </w:r>
    </w:p>
    <w:p w14:paraId="4AB10AFE" w14:textId="77777777" w:rsidR="002272E1" w:rsidRPr="00BD58C0" w:rsidRDefault="002272E1" w:rsidP="002272E1">
      <w:pPr>
        <w:spacing w:after="0" w:line="360" w:lineRule="auto"/>
        <w:jc w:val="both"/>
        <w:rPr>
          <w:rFonts w:ascii="Times New Roman" w:eastAsiaTheme="minorEastAsia" w:hAnsi="Times New Roman" w:cs="Times New Roman"/>
          <w:iCs/>
          <w:sz w:val="24"/>
          <w:szCs w:val="24"/>
        </w:rPr>
      </w:pPr>
    </w:p>
    <w:p w14:paraId="04FF8BE4" w14:textId="77777777" w:rsidR="002272E1" w:rsidRPr="00BD58C0" w:rsidRDefault="002272E1" w:rsidP="002272E1">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1A9FB6BE" w14:textId="57905E91" w:rsidR="002272E1" w:rsidRPr="00BD58C0" w:rsidRDefault="002272E1" w:rsidP="002272E1">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NNP </w:t>
      </w:r>
      <w:r w:rsidRPr="00BD58C0">
        <w:rPr>
          <w:rFonts w:ascii="Times New Roman" w:hAnsi="Times New Roman" w:cs="Times New Roman"/>
          <w:sz w:val="24"/>
          <w:szCs w:val="24"/>
        </w:rPr>
        <w:t>is ne</w:t>
      </w:r>
      <w:r w:rsidR="00D01CA8" w:rsidRPr="00BD58C0">
        <w:rPr>
          <w:rFonts w:ascii="Times New Roman" w:hAnsi="Times New Roman" w:cs="Times New Roman"/>
          <w:sz w:val="24"/>
          <w:szCs w:val="24"/>
        </w:rPr>
        <w:t>t</w:t>
      </w:r>
      <w:r w:rsidRPr="00BD58C0">
        <w:rPr>
          <w:rFonts w:ascii="Times New Roman" w:hAnsi="Times New Roman" w:cs="Times New Roman"/>
          <w:sz w:val="24"/>
          <w:szCs w:val="24"/>
        </w:rPr>
        <w:t xml:space="preserve"> annual profit after income tax</w:t>
      </w:r>
    </w:p>
    <w:p w14:paraId="5888BE43" w14:textId="6B98A9BD" w:rsidR="00A93B41" w:rsidRPr="00BD58C0" w:rsidRDefault="00A93B41" w:rsidP="002272E1">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P </w:t>
      </w:r>
      <w:r w:rsidRPr="00BD58C0">
        <w:rPr>
          <w:rFonts w:ascii="Times New Roman" w:hAnsi="Times New Roman" w:cs="Times New Roman"/>
          <w:sz w:val="24"/>
          <w:szCs w:val="24"/>
        </w:rPr>
        <w:t>is the annual profit</w:t>
      </w:r>
    </w:p>
    <w:p w14:paraId="4165231A" w14:textId="618CC0FD" w:rsidR="00AC0717" w:rsidRPr="00BD58C0" w:rsidRDefault="002272E1" w:rsidP="002272E1">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IT is the annual income tax value</w:t>
      </w:r>
    </w:p>
    <w:p w14:paraId="41D9DCCC" w14:textId="77777777" w:rsidR="00580FCC" w:rsidRPr="00BD58C0" w:rsidRDefault="00580FCC" w:rsidP="002272E1">
      <w:pPr>
        <w:spacing w:after="0" w:line="360" w:lineRule="auto"/>
        <w:jc w:val="both"/>
        <w:rPr>
          <w:rFonts w:ascii="Times New Roman" w:hAnsi="Times New Roman" w:cs="Times New Roman"/>
          <w:sz w:val="24"/>
          <w:szCs w:val="24"/>
        </w:rPr>
      </w:pPr>
    </w:p>
    <w:p w14:paraId="17D89D70" w14:textId="4DA5BC5B" w:rsidR="00A93B41" w:rsidRPr="00BD58C0" w:rsidRDefault="009F1B00" w:rsidP="009207A7">
      <w:pPr>
        <w:spacing w:after="0" w:line="360" w:lineRule="auto"/>
        <w:jc w:val="both"/>
        <w:rPr>
          <w:rFonts w:ascii="Times New Roman" w:eastAsiaTheme="minorEastAsia" w:hAnsi="Times New Roman" w:cs="Times New Roman"/>
          <w:iCs/>
          <w:sz w:val="24"/>
          <w:szCs w:val="24"/>
        </w:rPr>
      </w:p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P</m:t>
            </m:r>
          </m:sub>
        </m:sSub>
        <m:r>
          <m:rPr>
            <m:sty m:val="p"/>
          </m:rPr>
          <w:rPr>
            <w:rFonts w:ascii="Cambria Math" w:eastAsiaTheme="minorEastAsia" w:hAnsi="Cambria Math" w:cs="Times New Roman"/>
            <w:sz w:val="24"/>
            <w:szCs w:val="24"/>
          </w:rPr>
          <m:t>=RS-TE</m:t>
        </m:r>
      </m:oMath>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FC6593" w:rsidRPr="00BD58C0">
        <w:rPr>
          <w:rFonts w:ascii="Times New Roman" w:eastAsiaTheme="minorEastAsia" w:hAnsi="Times New Roman" w:cs="Times New Roman"/>
          <w:iCs/>
          <w:sz w:val="24"/>
          <w:szCs w:val="24"/>
        </w:rPr>
        <w:tab/>
      </w:r>
      <w:r w:rsidR="00A4656C" w:rsidRPr="00BD58C0">
        <w:rPr>
          <w:rFonts w:ascii="Times New Roman" w:eastAsiaTheme="minorEastAsia" w:hAnsi="Times New Roman" w:cs="Times New Roman"/>
          <w:iCs/>
          <w:sz w:val="24"/>
          <w:szCs w:val="24"/>
        </w:rPr>
        <w:t xml:space="preserve">           </w:t>
      </w:r>
      <w:r w:rsidR="00FC6593" w:rsidRPr="00BD58C0">
        <w:rPr>
          <w:rFonts w:ascii="Times New Roman" w:eastAsiaTheme="minorEastAsia" w:hAnsi="Times New Roman" w:cs="Times New Roman"/>
          <w:iCs/>
          <w:sz w:val="24"/>
          <w:szCs w:val="24"/>
        </w:rPr>
        <w:t>(</w:t>
      </w:r>
      <w:r w:rsidR="00A4656C" w:rsidRPr="00BD58C0">
        <w:rPr>
          <w:rFonts w:ascii="Times New Roman" w:eastAsiaTheme="minorEastAsia" w:hAnsi="Times New Roman" w:cs="Times New Roman"/>
          <w:iCs/>
          <w:sz w:val="24"/>
          <w:szCs w:val="24"/>
        </w:rPr>
        <w:t>1</w:t>
      </w:r>
      <w:r w:rsidR="00AC60B9" w:rsidRPr="00BD58C0">
        <w:rPr>
          <w:rFonts w:ascii="Times New Roman" w:eastAsiaTheme="minorEastAsia" w:hAnsi="Times New Roman" w:cs="Times New Roman"/>
          <w:iCs/>
          <w:sz w:val="24"/>
          <w:szCs w:val="24"/>
        </w:rPr>
        <w:t>0</w:t>
      </w:r>
      <w:r w:rsidR="00FC6593" w:rsidRPr="00BD58C0">
        <w:rPr>
          <w:rFonts w:ascii="Times New Roman" w:eastAsiaTheme="minorEastAsia" w:hAnsi="Times New Roman" w:cs="Times New Roman"/>
          <w:iCs/>
          <w:sz w:val="24"/>
          <w:szCs w:val="24"/>
        </w:rPr>
        <w:t>)</w:t>
      </w:r>
    </w:p>
    <w:p w14:paraId="6A37D137" w14:textId="77777777" w:rsidR="00580FCC" w:rsidRPr="00BD58C0" w:rsidRDefault="00580FCC" w:rsidP="009207A7">
      <w:pPr>
        <w:spacing w:after="0" w:line="360" w:lineRule="auto"/>
        <w:jc w:val="both"/>
        <w:rPr>
          <w:rFonts w:ascii="Times New Roman" w:eastAsiaTheme="minorEastAsia" w:hAnsi="Times New Roman" w:cs="Times New Roman"/>
          <w:iCs/>
          <w:sz w:val="24"/>
          <w:szCs w:val="24"/>
        </w:rPr>
      </w:pPr>
    </w:p>
    <w:p w14:paraId="61E5C19E" w14:textId="0F6C2909" w:rsidR="004639D1" w:rsidRPr="00BD58C0" w:rsidRDefault="004639D1" w:rsidP="009207A7">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538CA443" w14:textId="77777777" w:rsidR="00DD06F7" w:rsidRPr="00BD58C0" w:rsidRDefault="00DD06F7" w:rsidP="00DD06F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P </w:t>
      </w:r>
      <w:r w:rsidRPr="00BD58C0">
        <w:rPr>
          <w:rFonts w:ascii="Times New Roman" w:hAnsi="Times New Roman" w:cs="Times New Roman"/>
          <w:sz w:val="24"/>
          <w:szCs w:val="24"/>
        </w:rPr>
        <w:t>is the annual profit</w:t>
      </w:r>
    </w:p>
    <w:p w14:paraId="55868E95" w14:textId="77777777" w:rsidR="00DD06F7" w:rsidRPr="00BD58C0" w:rsidRDefault="00DD06F7" w:rsidP="00DD06F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RS is the revenue from sales</w:t>
      </w:r>
    </w:p>
    <w:p w14:paraId="2D16AEA1" w14:textId="2F1A98E8" w:rsidR="00F56031" w:rsidRPr="00BD58C0" w:rsidRDefault="00DD06F7" w:rsidP="00DD06F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TE is the total expenses</w:t>
      </w:r>
    </w:p>
    <w:p w14:paraId="2A68B959" w14:textId="77777777" w:rsidR="00F115E2" w:rsidRPr="00BD58C0" w:rsidRDefault="00F115E2" w:rsidP="00DD06F7">
      <w:pPr>
        <w:spacing w:after="0" w:line="360" w:lineRule="auto"/>
        <w:jc w:val="both"/>
        <w:rPr>
          <w:rFonts w:ascii="Times New Roman" w:hAnsi="Times New Roman" w:cs="Times New Roman"/>
          <w:sz w:val="24"/>
          <w:szCs w:val="24"/>
        </w:rPr>
      </w:pPr>
    </w:p>
    <w:p w14:paraId="7CCDEC2A" w14:textId="64776917" w:rsidR="007F6099" w:rsidRPr="00BD58C0" w:rsidRDefault="00FE44E3" w:rsidP="005678A5">
      <w:pPr>
        <w:spacing w:after="0" w:line="360" w:lineRule="auto"/>
        <w:ind w:firstLine="720"/>
        <w:jc w:val="both"/>
        <w:rPr>
          <w:rFonts w:ascii="Times New Roman" w:hAnsi="Times New Roman" w:cs="Times New Roman"/>
          <w:iCs/>
          <w:sz w:val="24"/>
          <w:szCs w:val="24"/>
        </w:rPr>
      </w:pPr>
      <w:r w:rsidRPr="00BD58C0">
        <w:rPr>
          <w:rFonts w:ascii="Times New Roman" w:hAnsi="Times New Roman" w:cs="Times New Roman"/>
          <w:iCs/>
          <w:sz w:val="24"/>
          <w:szCs w:val="24"/>
        </w:rPr>
        <w:t>The a</w:t>
      </w:r>
      <w:r w:rsidR="003236B4" w:rsidRPr="00BD58C0">
        <w:rPr>
          <w:rFonts w:ascii="Times New Roman" w:hAnsi="Times New Roman" w:cs="Times New Roman"/>
          <w:iCs/>
          <w:sz w:val="24"/>
          <w:szCs w:val="24"/>
        </w:rPr>
        <w:t>nnual d</w:t>
      </w:r>
      <w:r w:rsidR="008C3891" w:rsidRPr="00BD58C0">
        <w:rPr>
          <w:rFonts w:ascii="Times New Roman" w:hAnsi="Times New Roman" w:cs="Times New Roman"/>
          <w:iCs/>
          <w:sz w:val="24"/>
          <w:szCs w:val="24"/>
        </w:rPr>
        <w:t>epreciation cost is calculated using the total capital cost divided by the plant lifespan</w:t>
      </w:r>
      <w:r w:rsidR="00667DF3" w:rsidRPr="00BD58C0">
        <w:rPr>
          <w:rFonts w:ascii="Times New Roman" w:hAnsi="Times New Roman" w:cs="Times New Roman"/>
          <w:iCs/>
          <w:sz w:val="24"/>
          <w:szCs w:val="24"/>
        </w:rPr>
        <w:t>,</w:t>
      </w:r>
      <w:r w:rsidR="008C3891" w:rsidRPr="00BD58C0">
        <w:rPr>
          <w:rFonts w:ascii="Times New Roman" w:hAnsi="Times New Roman" w:cs="Times New Roman"/>
          <w:iCs/>
          <w:sz w:val="24"/>
          <w:szCs w:val="24"/>
        </w:rPr>
        <w:t xml:space="preserve"> particularly referring to the </w:t>
      </w:r>
      <w:r w:rsidR="004176AF" w:rsidRPr="00BD58C0">
        <w:rPr>
          <w:rFonts w:ascii="Times New Roman" w:hAnsi="Times New Roman" w:cs="Times New Roman"/>
          <w:iCs/>
          <w:sz w:val="24"/>
          <w:szCs w:val="24"/>
        </w:rPr>
        <w:t>machines’</w:t>
      </w:r>
      <w:r w:rsidR="008C3891" w:rsidRPr="00BD58C0">
        <w:rPr>
          <w:rFonts w:ascii="Times New Roman" w:hAnsi="Times New Roman" w:cs="Times New Roman"/>
          <w:iCs/>
          <w:sz w:val="24"/>
          <w:szCs w:val="24"/>
        </w:rPr>
        <w:t xml:space="preserve"> lifespan using Eq</w:t>
      </w:r>
      <w:r w:rsidR="000C00E9" w:rsidRPr="00BD58C0">
        <w:rPr>
          <w:rFonts w:ascii="Times New Roman" w:hAnsi="Times New Roman" w:cs="Times New Roman"/>
          <w:iCs/>
          <w:sz w:val="24"/>
          <w:szCs w:val="24"/>
        </w:rPr>
        <w:t>.</w:t>
      </w:r>
      <w:r w:rsidR="008C3891" w:rsidRPr="00BD58C0">
        <w:rPr>
          <w:rFonts w:ascii="Times New Roman" w:hAnsi="Times New Roman" w:cs="Times New Roman"/>
          <w:iCs/>
          <w:sz w:val="24"/>
          <w:szCs w:val="24"/>
        </w:rPr>
        <w:t xml:space="preserve"> 11</w:t>
      </w:r>
      <w:r w:rsidR="00272D15" w:rsidRPr="00BD58C0">
        <w:rPr>
          <w:rFonts w:ascii="Times New Roman" w:hAnsi="Times New Roman" w:cs="Times New Roman"/>
          <w:iCs/>
          <w:sz w:val="24"/>
          <w:szCs w:val="24"/>
        </w:rPr>
        <w:t xml:space="preserve">, </w:t>
      </w:r>
      <w:r w:rsidR="00E736B4" w:rsidRPr="00BD58C0">
        <w:rPr>
          <w:rFonts w:ascii="Times New Roman" w:hAnsi="Times New Roman" w:cs="Times New Roman"/>
          <w:iCs/>
          <w:sz w:val="24"/>
          <w:szCs w:val="24"/>
        </w:rPr>
        <w:t>adapted from [</w:t>
      </w:r>
      <w:r w:rsidR="00F115E2" w:rsidRPr="00BD58C0">
        <w:rPr>
          <w:rFonts w:ascii="Times New Roman" w:hAnsi="Times New Roman" w:cs="Times New Roman"/>
          <w:iCs/>
          <w:sz w:val="24"/>
          <w:szCs w:val="24"/>
        </w:rPr>
        <w:t>1</w:t>
      </w:r>
      <w:r w:rsidR="00BB4EF3" w:rsidRPr="00BD58C0">
        <w:rPr>
          <w:rFonts w:ascii="Times New Roman" w:hAnsi="Times New Roman" w:cs="Times New Roman"/>
          <w:iCs/>
          <w:sz w:val="24"/>
          <w:szCs w:val="24"/>
        </w:rPr>
        <w:t>3</w:t>
      </w:r>
      <w:r w:rsidR="00E736B4" w:rsidRPr="00BD58C0">
        <w:rPr>
          <w:rFonts w:ascii="Times New Roman" w:hAnsi="Times New Roman" w:cs="Times New Roman"/>
          <w:iCs/>
          <w:sz w:val="24"/>
          <w:szCs w:val="24"/>
        </w:rPr>
        <w:t>]</w:t>
      </w:r>
      <w:r w:rsidR="008C3891" w:rsidRPr="00BD58C0">
        <w:rPr>
          <w:rFonts w:ascii="Times New Roman" w:hAnsi="Times New Roman" w:cs="Times New Roman"/>
          <w:iCs/>
          <w:sz w:val="24"/>
          <w:szCs w:val="24"/>
        </w:rPr>
        <w:t>.</w:t>
      </w:r>
    </w:p>
    <w:p w14:paraId="5E65E267" w14:textId="77777777" w:rsidR="00CB00EA" w:rsidRPr="00BD58C0" w:rsidRDefault="00CB00EA" w:rsidP="005678A5">
      <w:pPr>
        <w:spacing w:after="0" w:line="360" w:lineRule="auto"/>
        <w:ind w:firstLine="720"/>
        <w:jc w:val="both"/>
        <w:rPr>
          <w:rFonts w:ascii="Times New Roman" w:hAnsi="Times New Roman" w:cs="Times New Roman"/>
          <w:iCs/>
          <w:sz w:val="24"/>
          <w:szCs w:val="24"/>
        </w:rPr>
      </w:pPr>
    </w:p>
    <w:p w14:paraId="154B3938" w14:textId="60007BC1" w:rsidR="001E41E3" w:rsidRPr="00BD58C0" w:rsidRDefault="001E41E3" w:rsidP="00B44A9A">
      <w:pPr>
        <w:spacing w:after="0"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w:lastRenderedPageBreak/>
          <m:t>AD=TCC/t</m:t>
        </m:r>
      </m:oMath>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t xml:space="preserve">           (1</w:t>
      </w:r>
      <w:r w:rsidR="00AC60B9" w:rsidRPr="00BD58C0">
        <w:rPr>
          <w:rFonts w:ascii="Times New Roman" w:eastAsiaTheme="minorEastAsia" w:hAnsi="Times New Roman" w:cs="Times New Roman"/>
          <w:sz w:val="24"/>
          <w:szCs w:val="24"/>
        </w:rPr>
        <w:t>1</w:t>
      </w:r>
      <w:r w:rsidRPr="00BD58C0">
        <w:rPr>
          <w:rFonts w:ascii="Times New Roman" w:eastAsiaTheme="minorEastAsia" w:hAnsi="Times New Roman" w:cs="Times New Roman"/>
          <w:sz w:val="24"/>
          <w:szCs w:val="24"/>
        </w:rPr>
        <w:t>)</w:t>
      </w:r>
    </w:p>
    <w:p w14:paraId="0D9876C1" w14:textId="77777777" w:rsidR="00AC0717" w:rsidRPr="00BD58C0" w:rsidRDefault="00AC0717" w:rsidP="00B44A9A">
      <w:pPr>
        <w:spacing w:after="0" w:line="360" w:lineRule="auto"/>
        <w:jc w:val="both"/>
        <w:rPr>
          <w:rFonts w:ascii="Times New Roman" w:eastAsiaTheme="minorEastAsia" w:hAnsi="Times New Roman" w:cs="Times New Roman"/>
          <w:sz w:val="24"/>
          <w:szCs w:val="24"/>
        </w:rPr>
      </w:pPr>
    </w:p>
    <w:p w14:paraId="26E728CA" w14:textId="6448FD8B" w:rsidR="00680FEF" w:rsidRPr="00BD58C0" w:rsidRDefault="001E41E3" w:rsidP="00B44A9A">
      <w:pPr>
        <w:spacing w:after="0" w:line="360" w:lineRule="auto"/>
        <w:jc w:val="both"/>
        <w:rPr>
          <w:rFonts w:ascii="Times New Roman" w:eastAsiaTheme="minorEastAsia" w:hAnsi="Times New Roman" w:cs="Times New Roman"/>
          <w:sz w:val="24"/>
          <w:szCs w:val="24"/>
        </w:rPr>
      </w:pPr>
      <w:r w:rsidRPr="00BD58C0">
        <w:rPr>
          <w:rFonts w:ascii="Times New Roman" w:eastAsiaTheme="minorEastAsia" w:hAnsi="Times New Roman" w:cs="Times New Roman"/>
          <w:sz w:val="24"/>
          <w:szCs w:val="24"/>
        </w:rPr>
        <w:t>where:</w:t>
      </w:r>
    </w:p>
    <w:p w14:paraId="57C2CF5A" w14:textId="3CBC827F" w:rsidR="00656B64" w:rsidRPr="00BD58C0" w:rsidRDefault="00680FEF" w:rsidP="00B44A9A">
      <w:pPr>
        <w:spacing w:after="0" w:line="360" w:lineRule="auto"/>
        <w:jc w:val="both"/>
        <w:rPr>
          <w:rFonts w:ascii="Times New Roman" w:hAnsi="Times New Roman" w:cs="Times New Roman"/>
          <w:iCs/>
          <w:sz w:val="24"/>
          <w:szCs w:val="24"/>
        </w:rPr>
      </w:pPr>
      <w:r w:rsidRPr="00BD58C0">
        <w:rPr>
          <w:rFonts w:ascii="Times New Roman" w:hAnsi="Times New Roman" w:cs="Times New Roman"/>
          <w:iCs/>
          <w:sz w:val="24"/>
          <w:szCs w:val="24"/>
        </w:rPr>
        <w:t>AD is annual depreciation</w:t>
      </w:r>
    </w:p>
    <w:p w14:paraId="0EFEEFE4" w14:textId="7E0C2D7F" w:rsidR="001E41E3" w:rsidRPr="00BD58C0" w:rsidRDefault="001E41E3" w:rsidP="001E41E3">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T</w:t>
      </w:r>
      <w:r w:rsidR="00B86126" w:rsidRPr="00BD58C0">
        <w:rPr>
          <w:rFonts w:ascii="Times New Roman" w:hAnsi="Times New Roman" w:cs="Times New Roman"/>
          <w:sz w:val="24"/>
          <w:szCs w:val="24"/>
        </w:rPr>
        <w:t>CC</w:t>
      </w:r>
      <w:r w:rsidRPr="00BD58C0">
        <w:rPr>
          <w:rFonts w:ascii="Times New Roman" w:hAnsi="Times New Roman" w:cs="Times New Roman"/>
          <w:sz w:val="24"/>
          <w:szCs w:val="24"/>
        </w:rPr>
        <w:t xml:space="preserve"> is total </w:t>
      </w:r>
      <w:r w:rsidR="00D31269" w:rsidRPr="00BD58C0">
        <w:rPr>
          <w:rFonts w:ascii="Times New Roman" w:hAnsi="Times New Roman" w:cs="Times New Roman"/>
          <w:sz w:val="24"/>
          <w:szCs w:val="24"/>
        </w:rPr>
        <w:t>capital cost</w:t>
      </w:r>
    </w:p>
    <w:p w14:paraId="6E5C98CB" w14:textId="31A30927" w:rsidR="001E41E3" w:rsidRPr="00BD58C0" w:rsidRDefault="009925CF" w:rsidP="001E41E3">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t</w:t>
      </w:r>
      <w:r w:rsidR="001E41E3" w:rsidRPr="00BD58C0">
        <w:rPr>
          <w:rFonts w:ascii="Times New Roman" w:hAnsi="Times New Roman" w:cs="Times New Roman"/>
          <w:sz w:val="24"/>
          <w:szCs w:val="24"/>
        </w:rPr>
        <w:t xml:space="preserve"> is plant life</w:t>
      </w:r>
      <w:r w:rsidR="006413A8" w:rsidRPr="00BD58C0">
        <w:rPr>
          <w:rFonts w:ascii="Times New Roman" w:hAnsi="Times New Roman" w:cs="Times New Roman"/>
          <w:sz w:val="24"/>
          <w:szCs w:val="24"/>
        </w:rPr>
        <w:t>span</w:t>
      </w:r>
    </w:p>
    <w:p w14:paraId="56A2FD26" w14:textId="77777777" w:rsidR="00A34A3C" w:rsidRPr="00BD58C0" w:rsidRDefault="00A34A3C" w:rsidP="001E41E3">
      <w:pPr>
        <w:spacing w:after="0" w:line="360" w:lineRule="auto"/>
        <w:jc w:val="both"/>
        <w:rPr>
          <w:rFonts w:ascii="Times New Roman" w:hAnsi="Times New Roman" w:cs="Times New Roman"/>
          <w:sz w:val="24"/>
          <w:szCs w:val="24"/>
        </w:rPr>
      </w:pPr>
    </w:p>
    <w:p w14:paraId="3E18D28A" w14:textId="1DEF028D" w:rsidR="00A470C1" w:rsidRPr="00BD58C0" w:rsidRDefault="0025577E" w:rsidP="009207A7">
      <w:pPr>
        <w:spacing w:after="0" w:line="360" w:lineRule="auto"/>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ROI=[(</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NNP</m:t>
            </m:r>
          </m:sub>
        </m:sSub>
        <m:r>
          <m:rPr>
            <m:sty m:val="p"/>
          </m:rPr>
          <w:rPr>
            <w:rFonts w:ascii="Cambria Math" w:hAnsi="Cambria Math" w:cs="Times New Roman"/>
            <w:sz w:val="24"/>
            <w:szCs w:val="24"/>
          </w:rPr>
          <m:t>+AD)/ TI] ×100%</m:t>
        </m:r>
      </m:oMath>
      <w:r w:rsidR="002B2F39" w:rsidRPr="00BD58C0">
        <w:rPr>
          <w:rFonts w:ascii="Times New Roman" w:eastAsiaTheme="minorEastAsia" w:hAnsi="Times New Roman" w:cs="Times New Roman"/>
          <w:iCs/>
          <w:sz w:val="24"/>
          <w:szCs w:val="24"/>
        </w:rPr>
        <w:tab/>
      </w:r>
      <w:r w:rsidR="002B2F39" w:rsidRPr="00BD58C0">
        <w:rPr>
          <w:rFonts w:ascii="Times New Roman" w:eastAsiaTheme="minorEastAsia" w:hAnsi="Times New Roman" w:cs="Times New Roman"/>
          <w:iCs/>
          <w:sz w:val="24"/>
          <w:szCs w:val="24"/>
        </w:rPr>
        <w:tab/>
      </w:r>
      <w:r w:rsidR="002B2F39" w:rsidRPr="00BD58C0">
        <w:rPr>
          <w:rFonts w:ascii="Times New Roman" w:eastAsiaTheme="minorEastAsia" w:hAnsi="Times New Roman" w:cs="Times New Roman"/>
          <w:iCs/>
          <w:sz w:val="24"/>
          <w:szCs w:val="24"/>
        </w:rPr>
        <w:tab/>
      </w:r>
      <w:r w:rsidR="002B2F39" w:rsidRPr="00BD58C0">
        <w:rPr>
          <w:rFonts w:ascii="Times New Roman" w:eastAsiaTheme="minorEastAsia" w:hAnsi="Times New Roman" w:cs="Times New Roman"/>
          <w:iCs/>
          <w:sz w:val="24"/>
          <w:szCs w:val="24"/>
        </w:rPr>
        <w:tab/>
      </w:r>
      <w:r w:rsidR="008A717B" w:rsidRPr="00BD58C0">
        <w:rPr>
          <w:rFonts w:ascii="Times New Roman" w:eastAsiaTheme="minorEastAsia" w:hAnsi="Times New Roman" w:cs="Times New Roman"/>
          <w:iCs/>
          <w:sz w:val="24"/>
          <w:szCs w:val="24"/>
        </w:rPr>
        <w:t xml:space="preserve"> </w:t>
      </w:r>
      <w:r w:rsidR="008A717B" w:rsidRPr="00BD58C0">
        <w:rPr>
          <w:rFonts w:ascii="Times New Roman" w:eastAsiaTheme="minorEastAsia" w:hAnsi="Times New Roman" w:cs="Times New Roman"/>
          <w:iCs/>
          <w:sz w:val="24"/>
          <w:szCs w:val="24"/>
        </w:rPr>
        <w:tab/>
      </w:r>
      <w:r w:rsidR="008A717B" w:rsidRPr="00BD58C0">
        <w:rPr>
          <w:rFonts w:ascii="Times New Roman" w:eastAsiaTheme="minorEastAsia" w:hAnsi="Times New Roman" w:cs="Times New Roman"/>
          <w:iCs/>
          <w:sz w:val="24"/>
          <w:szCs w:val="24"/>
        </w:rPr>
        <w:tab/>
        <w:t xml:space="preserve">          </w:t>
      </w:r>
      <w:r w:rsidR="000E7ED8" w:rsidRPr="00BD58C0">
        <w:rPr>
          <w:rFonts w:ascii="Times New Roman" w:eastAsiaTheme="minorEastAsia" w:hAnsi="Times New Roman" w:cs="Times New Roman"/>
          <w:iCs/>
          <w:sz w:val="24"/>
          <w:szCs w:val="24"/>
        </w:rPr>
        <w:tab/>
        <w:t xml:space="preserve">          </w:t>
      </w:r>
      <w:r w:rsidR="008A717B" w:rsidRPr="00BD58C0">
        <w:rPr>
          <w:rFonts w:ascii="Times New Roman" w:eastAsiaTheme="minorEastAsia" w:hAnsi="Times New Roman" w:cs="Times New Roman"/>
          <w:iCs/>
          <w:sz w:val="24"/>
          <w:szCs w:val="24"/>
        </w:rPr>
        <w:t xml:space="preserve"> </w:t>
      </w:r>
      <w:r w:rsidR="002B2F39" w:rsidRPr="00BD58C0">
        <w:rPr>
          <w:rFonts w:ascii="Times New Roman" w:eastAsiaTheme="minorEastAsia" w:hAnsi="Times New Roman" w:cs="Times New Roman"/>
          <w:iCs/>
          <w:sz w:val="24"/>
          <w:szCs w:val="24"/>
        </w:rPr>
        <w:t>(</w:t>
      </w:r>
      <w:r w:rsidR="00FC6593" w:rsidRPr="00BD58C0">
        <w:rPr>
          <w:rFonts w:ascii="Times New Roman" w:eastAsiaTheme="minorEastAsia" w:hAnsi="Times New Roman" w:cs="Times New Roman"/>
          <w:iCs/>
          <w:sz w:val="24"/>
          <w:szCs w:val="24"/>
        </w:rPr>
        <w:t>1</w:t>
      </w:r>
      <w:r w:rsidR="00AC60B9" w:rsidRPr="00BD58C0">
        <w:rPr>
          <w:rFonts w:ascii="Times New Roman" w:eastAsiaTheme="minorEastAsia" w:hAnsi="Times New Roman" w:cs="Times New Roman"/>
          <w:iCs/>
          <w:sz w:val="24"/>
          <w:szCs w:val="24"/>
        </w:rPr>
        <w:t>2</w:t>
      </w:r>
      <w:r w:rsidR="002B2F39" w:rsidRPr="00BD58C0">
        <w:rPr>
          <w:rFonts w:ascii="Times New Roman" w:eastAsiaTheme="minorEastAsia" w:hAnsi="Times New Roman" w:cs="Times New Roman"/>
          <w:iCs/>
          <w:sz w:val="24"/>
          <w:szCs w:val="24"/>
        </w:rPr>
        <w:t>)</w:t>
      </w:r>
    </w:p>
    <w:p w14:paraId="145C7F15" w14:textId="77777777" w:rsidR="003137DE" w:rsidRPr="00BD58C0" w:rsidRDefault="003137DE" w:rsidP="009207A7">
      <w:pPr>
        <w:spacing w:after="0" w:line="360" w:lineRule="auto"/>
        <w:jc w:val="both"/>
        <w:rPr>
          <w:rFonts w:ascii="Times New Roman" w:eastAsiaTheme="minorEastAsia" w:hAnsi="Times New Roman" w:cs="Times New Roman"/>
          <w:iCs/>
          <w:sz w:val="24"/>
          <w:szCs w:val="24"/>
        </w:rPr>
      </w:pPr>
    </w:p>
    <w:p w14:paraId="5245DFA7" w14:textId="42330296" w:rsidR="003137DE" w:rsidRPr="00BD58C0" w:rsidRDefault="00FA1F7A" w:rsidP="009207A7">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4BF1A89A" w14:textId="3B8401CD" w:rsidR="00FA1F7A" w:rsidRPr="00BD58C0" w:rsidRDefault="00D81C49"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ROI is return on investment</w:t>
      </w:r>
    </w:p>
    <w:p w14:paraId="3B305DC7" w14:textId="377654AB" w:rsidR="00D81C49" w:rsidRPr="00BD58C0" w:rsidRDefault="00D81C49"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NNP </w:t>
      </w:r>
      <w:r w:rsidRPr="00BD58C0">
        <w:rPr>
          <w:rFonts w:ascii="Times New Roman" w:hAnsi="Times New Roman" w:cs="Times New Roman"/>
          <w:sz w:val="24"/>
          <w:szCs w:val="24"/>
        </w:rPr>
        <w:t>is ne</w:t>
      </w:r>
      <w:r w:rsidR="00033127" w:rsidRPr="00BD58C0">
        <w:rPr>
          <w:rFonts w:ascii="Times New Roman" w:hAnsi="Times New Roman" w:cs="Times New Roman"/>
          <w:sz w:val="24"/>
          <w:szCs w:val="24"/>
        </w:rPr>
        <w:t>t</w:t>
      </w:r>
      <w:r w:rsidRPr="00BD58C0">
        <w:rPr>
          <w:rFonts w:ascii="Times New Roman" w:hAnsi="Times New Roman" w:cs="Times New Roman"/>
          <w:sz w:val="24"/>
          <w:szCs w:val="24"/>
        </w:rPr>
        <w:t xml:space="preserve"> annual profit after income tax</w:t>
      </w:r>
    </w:p>
    <w:p w14:paraId="72D7E562" w14:textId="1CFF52BB" w:rsidR="00D81C49" w:rsidRPr="00BD58C0" w:rsidRDefault="00D81C49"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AD is annual depreciation</w:t>
      </w:r>
    </w:p>
    <w:p w14:paraId="1B72B7C9" w14:textId="1BE452B0" w:rsidR="00AC0717" w:rsidRPr="00BD58C0" w:rsidRDefault="00D81C49"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TI is total investment</w:t>
      </w:r>
    </w:p>
    <w:p w14:paraId="1B23BD07" w14:textId="77777777" w:rsidR="00AC0717" w:rsidRPr="00BD58C0" w:rsidRDefault="00AC0717" w:rsidP="009207A7">
      <w:pPr>
        <w:spacing w:after="0" w:line="360" w:lineRule="auto"/>
        <w:jc w:val="both"/>
        <w:rPr>
          <w:rFonts w:ascii="Times New Roman" w:hAnsi="Times New Roman" w:cs="Times New Roman"/>
          <w:sz w:val="24"/>
          <w:szCs w:val="24"/>
        </w:rPr>
      </w:pPr>
    </w:p>
    <w:p w14:paraId="1DC906BA" w14:textId="68FA6D14" w:rsidR="00267F78" w:rsidRPr="00BD58C0" w:rsidRDefault="00267F78" w:rsidP="00267F78">
      <w:pPr>
        <w:spacing w:after="0" w:line="360" w:lineRule="auto"/>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PP=TI/ACF</m:t>
        </m:r>
      </m:oMath>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ab/>
      </w:r>
      <w:r w:rsidR="002272E1" w:rsidRPr="00BD58C0">
        <w:rPr>
          <w:rFonts w:ascii="Times New Roman" w:eastAsiaTheme="minorEastAsia" w:hAnsi="Times New Roman" w:cs="Times New Roman"/>
          <w:iCs/>
          <w:sz w:val="24"/>
          <w:szCs w:val="24"/>
        </w:rPr>
        <w:t xml:space="preserve">                       </w:t>
      </w:r>
      <w:r w:rsidRPr="00BD58C0">
        <w:rPr>
          <w:rFonts w:ascii="Times New Roman" w:eastAsiaTheme="minorEastAsia" w:hAnsi="Times New Roman" w:cs="Times New Roman"/>
          <w:iCs/>
          <w:sz w:val="24"/>
          <w:szCs w:val="24"/>
        </w:rPr>
        <w:t>(</w:t>
      </w:r>
      <w:r w:rsidR="002272E1" w:rsidRPr="00BD58C0">
        <w:rPr>
          <w:rFonts w:ascii="Times New Roman" w:eastAsiaTheme="minorEastAsia" w:hAnsi="Times New Roman" w:cs="Times New Roman"/>
          <w:iCs/>
          <w:sz w:val="24"/>
          <w:szCs w:val="24"/>
        </w:rPr>
        <w:t>1</w:t>
      </w:r>
      <w:r w:rsidR="00AC60B9" w:rsidRPr="00BD58C0">
        <w:rPr>
          <w:rFonts w:ascii="Times New Roman" w:eastAsiaTheme="minorEastAsia" w:hAnsi="Times New Roman" w:cs="Times New Roman"/>
          <w:iCs/>
          <w:sz w:val="24"/>
          <w:szCs w:val="24"/>
        </w:rPr>
        <w:t>3</w:t>
      </w:r>
      <w:r w:rsidRPr="00BD58C0">
        <w:rPr>
          <w:rFonts w:ascii="Times New Roman" w:eastAsiaTheme="minorEastAsia" w:hAnsi="Times New Roman" w:cs="Times New Roman"/>
          <w:iCs/>
          <w:sz w:val="24"/>
          <w:szCs w:val="24"/>
        </w:rPr>
        <w:t>)</w:t>
      </w:r>
    </w:p>
    <w:p w14:paraId="3B6F92B7" w14:textId="77777777" w:rsidR="00ED21EF" w:rsidRPr="00BD58C0" w:rsidRDefault="00ED21EF" w:rsidP="00267F78">
      <w:pPr>
        <w:spacing w:after="0" w:line="360" w:lineRule="auto"/>
        <w:jc w:val="both"/>
        <w:rPr>
          <w:rFonts w:ascii="Times New Roman" w:eastAsiaTheme="minorEastAsia" w:hAnsi="Times New Roman" w:cs="Times New Roman"/>
          <w:iCs/>
          <w:sz w:val="24"/>
          <w:szCs w:val="24"/>
        </w:rPr>
      </w:pPr>
    </w:p>
    <w:p w14:paraId="7134ABD6" w14:textId="7ADBF680" w:rsidR="00A072EF" w:rsidRPr="00BD58C0" w:rsidRDefault="00A072EF" w:rsidP="00267F78">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037073F2" w14:textId="1AF5DA34" w:rsidR="00A072EF" w:rsidRPr="00BD58C0" w:rsidRDefault="00A072EF" w:rsidP="00267F78">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PP is payback period</w:t>
      </w:r>
    </w:p>
    <w:p w14:paraId="078BB5F4" w14:textId="77777777" w:rsidR="00A072EF" w:rsidRPr="00BD58C0" w:rsidRDefault="00A072EF" w:rsidP="00A072EF">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TI is total investment</w:t>
      </w:r>
    </w:p>
    <w:p w14:paraId="64C0BBD4" w14:textId="20D4AC5B" w:rsidR="00A072EF" w:rsidRPr="00BD58C0" w:rsidRDefault="00A072EF" w:rsidP="00267F78">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ACF is annual cash flow</w:t>
      </w:r>
    </w:p>
    <w:p w14:paraId="19E4EEC9" w14:textId="6A6D7CDE" w:rsidR="005848B9" w:rsidRPr="00BD58C0" w:rsidRDefault="005848B9" w:rsidP="00267F78">
      <w:pPr>
        <w:spacing w:after="0" w:line="360" w:lineRule="auto"/>
        <w:jc w:val="both"/>
        <w:rPr>
          <w:rFonts w:ascii="Times New Roman" w:eastAsiaTheme="minorEastAsia" w:hAnsi="Times New Roman" w:cs="Times New Roman"/>
          <w:iCs/>
          <w:sz w:val="24"/>
          <w:szCs w:val="24"/>
        </w:rPr>
      </w:pPr>
    </w:p>
    <w:p w14:paraId="3004B1A1" w14:textId="7EA952AF" w:rsidR="00E54686" w:rsidRPr="00BD58C0" w:rsidRDefault="00E54686" w:rsidP="00267F78">
      <w:pPr>
        <w:spacing w:after="0" w:line="360" w:lineRule="auto"/>
        <w:jc w:val="both"/>
        <w:rPr>
          <w:rFonts w:ascii="Times New Roman" w:eastAsiaTheme="minorEastAsia" w:hAnsi="Times New Roman" w:cs="Times New Roman"/>
          <w:sz w:val="24"/>
          <w:szCs w:val="24"/>
        </w:rPr>
      </w:pPr>
      <m:oMath>
        <m:r>
          <m:rPr>
            <m:sty m:val="p"/>
          </m:rPr>
          <w:rPr>
            <w:rFonts w:ascii="Cambria Math" w:eastAsiaTheme="minorEastAsia" w:hAnsi="Cambria Math" w:cs="Times New Roman"/>
            <w:sz w:val="24"/>
            <w:szCs w:val="24"/>
          </w:rPr>
          <m:t>ACF=</m:t>
        </m:r>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NNP</m:t>
            </m:r>
          </m:sub>
        </m:sSub>
        <m:r>
          <m:rPr>
            <m:sty m:val="p"/>
          </m:rPr>
          <w:rPr>
            <w:rFonts w:ascii="Cambria Math" w:eastAsiaTheme="minorEastAsia" w:hAnsi="Cambria Math" w:cs="Times New Roman"/>
            <w:sz w:val="24"/>
            <w:szCs w:val="24"/>
          </w:rPr>
          <m:t>+AD</m:t>
        </m:r>
      </m:oMath>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r>
      <w:r w:rsidRPr="00BD58C0">
        <w:rPr>
          <w:rFonts w:ascii="Times New Roman" w:eastAsiaTheme="minorEastAsia" w:hAnsi="Times New Roman" w:cs="Times New Roman"/>
          <w:sz w:val="24"/>
          <w:szCs w:val="24"/>
        </w:rPr>
        <w:tab/>
        <w:t xml:space="preserve">           (1</w:t>
      </w:r>
      <w:r w:rsidR="00AC60B9" w:rsidRPr="00BD58C0">
        <w:rPr>
          <w:rFonts w:ascii="Times New Roman" w:eastAsiaTheme="minorEastAsia" w:hAnsi="Times New Roman" w:cs="Times New Roman"/>
          <w:sz w:val="24"/>
          <w:szCs w:val="24"/>
        </w:rPr>
        <w:t>4</w:t>
      </w:r>
      <w:r w:rsidRPr="00BD58C0">
        <w:rPr>
          <w:rFonts w:ascii="Times New Roman" w:eastAsiaTheme="minorEastAsia" w:hAnsi="Times New Roman" w:cs="Times New Roman"/>
          <w:sz w:val="24"/>
          <w:szCs w:val="24"/>
        </w:rPr>
        <w:t>)</w:t>
      </w:r>
    </w:p>
    <w:p w14:paraId="40D5F038" w14:textId="77777777" w:rsidR="005848B9" w:rsidRPr="00BD58C0" w:rsidRDefault="005848B9" w:rsidP="00267F78">
      <w:pPr>
        <w:spacing w:after="0" w:line="360" w:lineRule="auto"/>
        <w:jc w:val="both"/>
        <w:rPr>
          <w:rFonts w:ascii="Times New Roman" w:eastAsiaTheme="minorEastAsia" w:hAnsi="Times New Roman" w:cs="Times New Roman"/>
          <w:sz w:val="24"/>
          <w:szCs w:val="24"/>
        </w:rPr>
      </w:pPr>
    </w:p>
    <w:p w14:paraId="73929254" w14:textId="062F1159" w:rsidR="00E54686" w:rsidRPr="00BD58C0" w:rsidRDefault="00E54686" w:rsidP="00E54686">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where:</w:t>
      </w:r>
    </w:p>
    <w:p w14:paraId="7DBE113A" w14:textId="7FA7DEDE" w:rsidR="00E54686" w:rsidRPr="00BD58C0" w:rsidRDefault="00E54686" w:rsidP="00E54686">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ACF is annual cash flow</w:t>
      </w:r>
    </w:p>
    <w:p w14:paraId="7E790E59" w14:textId="77777777" w:rsidR="00E54686" w:rsidRPr="00BD58C0" w:rsidRDefault="00E54686" w:rsidP="00E54686">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w:t>
      </w:r>
      <w:r w:rsidRPr="00BD58C0">
        <w:rPr>
          <w:rFonts w:ascii="Times New Roman" w:hAnsi="Times New Roman" w:cs="Times New Roman"/>
          <w:sz w:val="24"/>
          <w:szCs w:val="24"/>
          <w:vertAlign w:val="subscript"/>
        </w:rPr>
        <w:t xml:space="preserve">NNP </w:t>
      </w:r>
      <w:r w:rsidRPr="00BD58C0">
        <w:rPr>
          <w:rFonts w:ascii="Times New Roman" w:hAnsi="Times New Roman" w:cs="Times New Roman"/>
          <w:sz w:val="24"/>
          <w:szCs w:val="24"/>
        </w:rPr>
        <w:t>is net annual profit after income tax</w:t>
      </w:r>
    </w:p>
    <w:p w14:paraId="31DFD092" w14:textId="52403057" w:rsidR="00633878" w:rsidRPr="00BD58C0" w:rsidRDefault="00E54686" w:rsidP="00E54686">
      <w:p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AD is annual depreciation</w:t>
      </w:r>
    </w:p>
    <w:p w14:paraId="6338A636" w14:textId="433F95F0" w:rsidR="005678A5" w:rsidRPr="00BD58C0" w:rsidRDefault="005678A5" w:rsidP="00E54686">
      <w:pPr>
        <w:spacing w:after="0" w:line="360" w:lineRule="auto"/>
        <w:jc w:val="both"/>
        <w:rPr>
          <w:rFonts w:ascii="Times New Roman" w:hAnsi="Times New Roman" w:cs="Times New Roman"/>
          <w:sz w:val="24"/>
          <w:szCs w:val="24"/>
        </w:rPr>
      </w:pPr>
    </w:p>
    <w:p w14:paraId="7967F339" w14:textId="6D226F2B" w:rsidR="00494D83" w:rsidRPr="00BD58C0" w:rsidRDefault="00494D83" w:rsidP="00E54686">
      <w:pPr>
        <w:spacing w:after="0" w:line="360" w:lineRule="auto"/>
        <w:jc w:val="both"/>
        <w:rPr>
          <w:rFonts w:ascii="Times New Roman" w:hAnsi="Times New Roman" w:cs="Times New Roman"/>
          <w:sz w:val="24"/>
          <w:szCs w:val="24"/>
        </w:rPr>
      </w:pPr>
    </w:p>
    <w:p w14:paraId="5D0FB0AB" w14:textId="77777777" w:rsidR="00494D83" w:rsidRPr="00BD58C0" w:rsidRDefault="00494D83" w:rsidP="00E54686">
      <w:pPr>
        <w:spacing w:after="0" w:line="360" w:lineRule="auto"/>
        <w:jc w:val="both"/>
        <w:rPr>
          <w:rFonts w:ascii="Times New Roman" w:hAnsi="Times New Roman" w:cs="Times New Roman"/>
          <w:sz w:val="24"/>
          <w:szCs w:val="24"/>
        </w:rPr>
      </w:pPr>
    </w:p>
    <w:p w14:paraId="318EE3EC" w14:textId="45BABA40" w:rsidR="00944A25" w:rsidRPr="00BD58C0" w:rsidRDefault="00BF0A57" w:rsidP="00267F78">
      <w:pPr>
        <w:spacing w:after="0" w:line="360" w:lineRule="auto"/>
        <w:jc w:val="both"/>
        <w:rPr>
          <w:rFonts w:ascii="Times New Roman" w:eastAsiaTheme="minorEastAsia" w:hAnsi="Times New Roman" w:cs="Times New Roman"/>
          <w:i/>
          <w:sz w:val="24"/>
          <w:szCs w:val="24"/>
        </w:rPr>
      </w:pPr>
      <w:r w:rsidRPr="00BD58C0">
        <w:rPr>
          <w:rFonts w:ascii="Times New Roman" w:eastAsiaTheme="minorEastAsia" w:hAnsi="Times New Roman" w:cs="Times New Roman"/>
          <w:i/>
          <w:sz w:val="24"/>
          <w:szCs w:val="24"/>
        </w:rPr>
        <w:lastRenderedPageBreak/>
        <w:t>3</w:t>
      </w:r>
      <w:r w:rsidR="00944A25" w:rsidRPr="00BD58C0">
        <w:rPr>
          <w:rFonts w:ascii="Times New Roman" w:eastAsiaTheme="minorEastAsia" w:hAnsi="Times New Roman" w:cs="Times New Roman"/>
          <w:i/>
          <w:sz w:val="24"/>
          <w:szCs w:val="24"/>
        </w:rPr>
        <w:t>.</w:t>
      </w:r>
      <w:r w:rsidR="00FE13F0" w:rsidRPr="00BD58C0">
        <w:rPr>
          <w:rFonts w:ascii="Times New Roman" w:eastAsiaTheme="minorEastAsia" w:hAnsi="Times New Roman" w:cs="Times New Roman"/>
          <w:i/>
          <w:sz w:val="24"/>
          <w:szCs w:val="24"/>
        </w:rPr>
        <w:t>1.</w:t>
      </w:r>
      <w:r w:rsidR="00A31370" w:rsidRPr="00BD58C0">
        <w:rPr>
          <w:rFonts w:ascii="Times New Roman" w:eastAsiaTheme="minorEastAsia" w:hAnsi="Times New Roman" w:cs="Times New Roman"/>
          <w:i/>
          <w:sz w:val="24"/>
          <w:szCs w:val="24"/>
        </w:rPr>
        <w:t>3</w:t>
      </w:r>
      <w:r w:rsidR="00FE13F0" w:rsidRPr="00BD58C0">
        <w:rPr>
          <w:rFonts w:ascii="Times New Roman" w:eastAsiaTheme="minorEastAsia" w:hAnsi="Times New Roman" w:cs="Times New Roman"/>
          <w:i/>
          <w:sz w:val="24"/>
          <w:szCs w:val="24"/>
        </w:rPr>
        <w:t>.</w:t>
      </w:r>
      <w:r w:rsidR="00FE13F0" w:rsidRPr="00BD58C0">
        <w:rPr>
          <w:rFonts w:ascii="Times New Roman" w:eastAsiaTheme="minorEastAsia" w:hAnsi="Times New Roman" w:cs="Times New Roman"/>
          <w:i/>
          <w:sz w:val="24"/>
          <w:szCs w:val="24"/>
        </w:rPr>
        <w:tab/>
      </w:r>
      <w:r w:rsidR="00944A25" w:rsidRPr="00BD58C0">
        <w:rPr>
          <w:rFonts w:ascii="Times New Roman" w:eastAsiaTheme="minorEastAsia" w:hAnsi="Times New Roman" w:cs="Times New Roman"/>
          <w:i/>
          <w:sz w:val="24"/>
          <w:szCs w:val="24"/>
        </w:rPr>
        <w:t>Sensitivity analysis</w:t>
      </w:r>
    </w:p>
    <w:p w14:paraId="2787F8D3" w14:textId="77777777" w:rsidR="008F0599" w:rsidRPr="00BD58C0" w:rsidRDefault="008F0599" w:rsidP="00267F78">
      <w:pPr>
        <w:spacing w:after="0" w:line="360" w:lineRule="auto"/>
        <w:jc w:val="both"/>
        <w:rPr>
          <w:rFonts w:ascii="Times New Roman" w:eastAsiaTheme="minorEastAsia" w:hAnsi="Times New Roman" w:cs="Times New Roman"/>
          <w:i/>
          <w:sz w:val="24"/>
          <w:szCs w:val="24"/>
        </w:rPr>
      </w:pPr>
    </w:p>
    <w:p w14:paraId="092BB79D" w14:textId="5AD98503" w:rsidR="005C7E6C" w:rsidRPr="00BD58C0" w:rsidRDefault="001419BD" w:rsidP="00045AEB">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b/>
        <w:t xml:space="preserve">Sensitivity analysis </w:t>
      </w:r>
      <w:r w:rsidR="001D04DE" w:rsidRPr="00BD58C0">
        <w:rPr>
          <w:rFonts w:ascii="Times New Roman" w:eastAsiaTheme="minorEastAsia" w:hAnsi="Times New Roman" w:cs="Times New Roman"/>
          <w:iCs/>
          <w:sz w:val="24"/>
          <w:szCs w:val="24"/>
        </w:rPr>
        <w:t>look</w:t>
      </w:r>
      <w:r w:rsidR="002B5475" w:rsidRPr="00BD58C0">
        <w:rPr>
          <w:rFonts w:ascii="Times New Roman" w:eastAsiaTheme="minorEastAsia" w:hAnsi="Times New Roman" w:cs="Times New Roman"/>
          <w:iCs/>
          <w:sz w:val="24"/>
          <w:szCs w:val="24"/>
        </w:rPr>
        <w:t>s</w:t>
      </w:r>
      <w:r w:rsidR="001D04DE" w:rsidRPr="00BD58C0">
        <w:rPr>
          <w:rFonts w:ascii="Times New Roman" w:eastAsiaTheme="minorEastAsia" w:hAnsi="Times New Roman" w:cs="Times New Roman"/>
          <w:iCs/>
          <w:sz w:val="24"/>
          <w:szCs w:val="24"/>
        </w:rPr>
        <w:t xml:space="preserve"> into alternative ways to improve the economic feasibility of a process by addressing uncertainties in relation to market fluctuations and investment</w:t>
      </w:r>
      <w:r w:rsidRPr="00BD58C0">
        <w:rPr>
          <w:rFonts w:ascii="Times New Roman" w:eastAsiaTheme="minorEastAsia" w:hAnsi="Times New Roman" w:cs="Times New Roman"/>
          <w:iCs/>
          <w:sz w:val="24"/>
          <w:szCs w:val="24"/>
        </w:rPr>
        <w:t>. Sensitivity test</w:t>
      </w:r>
      <w:r w:rsidR="00667DF3" w:rsidRPr="00BD58C0">
        <w:rPr>
          <w:rFonts w:ascii="Times New Roman" w:eastAsiaTheme="minorEastAsia" w:hAnsi="Times New Roman" w:cs="Times New Roman"/>
          <w:iCs/>
          <w:sz w:val="24"/>
          <w:szCs w:val="24"/>
        </w:rPr>
        <w:t>s</w:t>
      </w:r>
      <w:r w:rsidRPr="00BD58C0">
        <w:rPr>
          <w:rFonts w:ascii="Times New Roman" w:eastAsiaTheme="minorEastAsia" w:hAnsi="Times New Roman" w:cs="Times New Roman"/>
          <w:iCs/>
          <w:sz w:val="24"/>
          <w:szCs w:val="24"/>
        </w:rPr>
        <w:t xml:space="preserve"> can be carried out by manipulating the key assumptions in relation </w:t>
      </w:r>
      <w:r w:rsidR="0011464F" w:rsidRPr="00BD58C0">
        <w:rPr>
          <w:rFonts w:ascii="Times New Roman" w:eastAsiaTheme="minorEastAsia" w:hAnsi="Times New Roman" w:cs="Times New Roman"/>
          <w:iCs/>
          <w:sz w:val="24"/>
          <w:szCs w:val="24"/>
        </w:rPr>
        <w:t xml:space="preserve">to </w:t>
      </w:r>
      <w:r w:rsidRPr="00BD58C0">
        <w:rPr>
          <w:rFonts w:ascii="Times New Roman" w:eastAsiaTheme="minorEastAsia" w:hAnsi="Times New Roman" w:cs="Times New Roman"/>
          <w:iCs/>
          <w:sz w:val="24"/>
          <w:szCs w:val="24"/>
        </w:rPr>
        <w:t xml:space="preserve">the variation in economic performance. </w:t>
      </w:r>
      <w:r w:rsidR="001B10FA" w:rsidRPr="00BD58C0">
        <w:rPr>
          <w:rFonts w:ascii="Times New Roman" w:eastAsiaTheme="minorEastAsia" w:hAnsi="Times New Roman" w:cs="Times New Roman"/>
          <w:iCs/>
          <w:sz w:val="24"/>
          <w:szCs w:val="24"/>
        </w:rPr>
        <w:t xml:space="preserve">Some </w:t>
      </w:r>
      <w:r w:rsidRPr="00BD58C0">
        <w:rPr>
          <w:rFonts w:ascii="Times New Roman" w:eastAsiaTheme="minorEastAsia" w:hAnsi="Times New Roman" w:cs="Times New Roman"/>
          <w:iCs/>
          <w:sz w:val="24"/>
          <w:szCs w:val="24"/>
        </w:rPr>
        <w:t xml:space="preserve">studies related to palm oil </w:t>
      </w:r>
      <w:r w:rsidR="00667DF3" w:rsidRPr="00BD58C0">
        <w:rPr>
          <w:rFonts w:ascii="Times New Roman" w:eastAsiaTheme="minorEastAsia" w:hAnsi="Times New Roman" w:cs="Times New Roman"/>
          <w:iCs/>
          <w:sz w:val="24"/>
          <w:szCs w:val="24"/>
        </w:rPr>
        <w:t xml:space="preserve">undertook a </w:t>
      </w:r>
      <w:r w:rsidRPr="00BD58C0">
        <w:rPr>
          <w:rFonts w:ascii="Times New Roman" w:eastAsiaTheme="minorEastAsia" w:hAnsi="Times New Roman" w:cs="Times New Roman"/>
          <w:iCs/>
          <w:sz w:val="24"/>
          <w:szCs w:val="24"/>
        </w:rPr>
        <w:t>sensitivity analysis based on operation and maintenance cost, capital cost, interest rate and raw material prices [</w:t>
      </w:r>
      <w:r w:rsidR="0022295A" w:rsidRPr="00BD58C0">
        <w:rPr>
          <w:rFonts w:ascii="Times New Roman" w:eastAsiaTheme="minorEastAsia" w:hAnsi="Times New Roman" w:cs="Times New Roman"/>
          <w:iCs/>
          <w:sz w:val="24"/>
          <w:szCs w:val="24"/>
        </w:rPr>
        <w:t>4</w:t>
      </w:r>
      <w:r w:rsidR="00D36ED9" w:rsidRPr="00BD58C0">
        <w:rPr>
          <w:rFonts w:ascii="Times New Roman" w:eastAsiaTheme="minorEastAsia" w:hAnsi="Times New Roman" w:cs="Times New Roman"/>
          <w:iCs/>
          <w:sz w:val="24"/>
          <w:szCs w:val="24"/>
        </w:rPr>
        <w:t>7</w:t>
      </w:r>
      <w:r w:rsidR="00B44D5B" w:rsidRPr="00BD58C0">
        <w:rPr>
          <w:rFonts w:ascii="Times New Roman" w:eastAsiaTheme="minorEastAsia" w:hAnsi="Times New Roman" w:cs="Times New Roman"/>
          <w:iCs/>
          <w:sz w:val="24"/>
          <w:szCs w:val="24"/>
        </w:rPr>
        <w:t>,</w:t>
      </w:r>
      <w:r w:rsidR="0022295A" w:rsidRPr="00BD58C0">
        <w:rPr>
          <w:rFonts w:ascii="Times New Roman" w:eastAsiaTheme="minorEastAsia" w:hAnsi="Times New Roman" w:cs="Times New Roman"/>
          <w:iCs/>
          <w:sz w:val="24"/>
          <w:szCs w:val="24"/>
        </w:rPr>
        <w:t>4</w:t>
      </w:r>
      <w:r w:rsidR="00D36ED9" w:rsidRPr="00BD58C0">
        <w:rPr>
          <w:rFonts w:ascii="Times New Roman" w:eastAsiaTheme="minorEastAsia" w:hAnsi="Times New Roman" w:cs="Times New Roman"/>
          <w:iCs/>
          <w:sz w:val="24"/>
          <w:szCs w:val="24"/>
        </w:rPr>
        <w:t>8</w:t>
      </w:r>
      <w:r w:rsidRPr="00BD58C0">
        <w:rPr>
          <w:rFonts w:ascii="Times New Roman" w:eastAsiaTheme="minorEastAsia" w:hAnsi="Times New Roman" w:cs="Times New Roman"/>
          <w:iCs/>
          <w:sz w:val="24"/>
          <w:szCs w:val="24"/>
        </w:rPr>
        <w:t xml:space="preserve">]. </w:t>
      </w:r>
      <w:r w:rsidR="00667DF3" w:rsidRPr="00BD58C0">
        <w:rPr>
          <w:rFonts w:ascii="Times New Roman" w:eastAsiaTheme="minorEastAsia" w:hAnsi="Times New Roman" w:cs="Times New Roman"/>
          <w:iCs/>
          <w:sz w:val="24"/>
          <w:szCs w:val="24"/>
        </w:rPr>
        <w:t>A s</w:t>
      </w:r>
      <w:r w:rsidRPr="00BD58C0">
        <w:rPr>
          <w:rFonts w:ascii="Times New Roman" w:eastAsiaTheme="minorEastAsia" w:hAnsi="Times New Roman" w:cs="Times New Roman"/>
          <w:iCs/>
          <w:sz w:val="24"/>
          <w:szCs w:val="24"/>
        </w:rPr>
        <w:t xml:space="preserve">ensitivity test for this study </w:t>
      </w:r>
      <w:r w:rsidR="002B5475" w:rsidRPr="00BD58C0">
        <w:rPr>
          <w:rFonts w:ascii="Times New Roman" w:eastAsiaTheme="minorEastAsia" w:hAnsi="Times New Roman" w:cs="Times New Roman"/>
          <w:iCs/>
          <w:sz w:val="24"/>
          <w:szCs w:val="24"/>
        </w:rPr>
        <w:t>wa</w:t>
      </w:r>
      <w:r w:rsidRPr="00BD58C0">
        <w:rPr>
          <w:rFonts w:ascii="Times New Roman" w:eastAsiaTheme="minorEastAsia" w:hAnsi="Times New Roman" w:cs="Times New Roman"/>
          <w:iCs/>
          <w:sz w:val="24"/>
          <w:szCs w:val="24"/>
        </w:rPr>
        <w:t>s conducted based on the variations in net annual profit</w:t>
      </w:r>
      <w:r w:rsidR="00667DF3" w:rsidRPr="00BD58C0">
        <w:rPr>
          <w:rFonts w:ascii="Times New Roman" w:eastAsiaTheme="minorEastAsia" w:hAnsi="Times New Roman" w:cs="Times New Roman"/>
          <w:iCs/>
          <w:sz w:val="24"/>
          <w:szCs w:val="24"/>
        </w:rPr>
        <w:t>,</w:t>
      </w:r>
      <w:r w:rsidRPr="00BD58C0">
        <w:rPr>
          <w:rFonts w:ascii="Times New Roman" w:eastAsiaTheme="minorEastAsia" w:hAnsi="Times New Roman" w:cs="Times New Roman"/>
          <w:iCs/>
          <w:sz w:val="24"/>
          <w:szCs w:val="24"/>
        </w:rPr>
        <w:t xml:space="preserve"> </w:t>
      </w:r>
      <w:r w:rsidR="005C7E6C" w:rsidRPr="00BD58C0">
        <w:rPr>
          <w:rFonts w:ascii="Times New Roman" w:eastAsiaTheme="minorEastAsia" w:hAnsi="Times New Roman" w:cs="Times New Roman"/>
          <w:iCs/>
          <w:sz w:val="24"/>
          <w:szCs w:val="24"/>
        </w:rPr>
        <w:t xml:space="preserve">as </w:t>
      </w:r>
      <w:r w:rsidR="00C45AAF" w:rsidRPr="00BD58C0">
        <w:rPr>
          <w:rFonts w:ascii="Times New Roman" w:eastAsiaTheme="minorEastAsia" w:hAnsi="Times New Roman" w:cs="Times New Roman"/>
          <w:iCs/>
          <w:sz w:val="24"/>
          <w:szCs w:val="24"/>
        </w:rPr>
        <w:t xml:space="preserve">shown </w:t>
      </w:r>
      <w:r w:rsidR="005C7E6C" w:rsidRPr="00BD58C0">
        <w:rPr>
          <w:rFonts w:ascii="Times New Roman" w:eastAsiaTheme="minorEastAsia" w:hAnsi="Times New Roman" w:cs="Times New Roman"/>
          <w:iCs/>
          <w:sz w:val="24"/>
          <w:szCs w:val="24"/>
        </w:rPr>
        <w:t xml:space="preserve">in Table </w:t>
      </w:r>
      <w:r w:rsidR="00D149DE" w:rsidRPr="00BD58C0">
        <w:rPr>
          <w:rFonts w:ascii="Times New Roman" w:eastAsiaTheme="minorEastAsia" w:hAnsi="Times New Roman" w:cs="Times New Roman"/>
          <w:iCs/>
          <w:sz w:val="24"/>
          <w:szCs w:val="24"/>
        </w:rPr>
        <w:t>3</w:t>
      </w:r>
      <w:r w:rsidR="005C7E6C" w:rsidRPr="00BD58C0">
        <w:rPr>
          <w:rFonts w:ascii="Times New Roman" w:eastAsiaTheme="minorEastAsia" w:hAnsi="Times New Roman" w:cs="Times New Roman"/>
          <w:iCs/>
          <w:sz w:val="24"/>
          <w:szCs w:val="24"/>
        </w:rPr>
        <w:t>.</w:t>
      </w:r>
    </w:p>
    <w:p w14:paraId="162C44BD" w14:textId="77777777" w:rsidR="00B75845" w:rsidRPr="00BD58C0" w:rsidRDefault="00B75845" w:rsidP="00267F78">
      <w:pPr>
        <w:spacing w:after="0" w:line="360" w:lineRule="auto"/>
        <w:jc w:val="both"/>
        <w:rPr>
          <w:rFonts w:ascii="Times New Roman" w:eastAsiaTheme="minorEastAsia" w:hAnsi="Times New Roman" w:cs="Times New Roman"/>
          <w:b/>
          <w:bCs/>
          <w:iCs/>
          <w:sz w:val="24"/>
          <w:szCs w:val="24"/>
        </w:rPr>
      </w:pPr>
    </w:p>
    <w:p w14:paraId="3C31C6E1" w14:textId="0907FC48" w:rsidR="006F22A8" w:rsidRPr="00BD58C0" w:rsidRDefault="006F22A8" w:rsidP="00267F78">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b/>
          <w:bCs/>
          <w:iCs/>
          <w:sz w:val="24"/>
          <w:szCs w:val="24"/>
        </w:rPr>
        <w:t xml:space="preserve">Table </w:t>
      </w:r>
      <w:r w:rsidR="00D149DE" w:rsidRPr="00BD58C0">
        <w:rPr>
          <w:rFonts w:ascii="Times New Roman" w:eastAsiaTheme="minorEastAsia" w:hAnsi="Times New Roman" w:cs="Times New Roman"/>
          <w:b/>
          <w:bCs/>
          <w:iCs/>
          <w:sz w:val="24"/>
          <w:szCs w:val="24"/>
        </w:rPr>
        <w:t>3</w:t>
      </w:r>
      <w:r w:rsidR="00157552" w:rsidRPr="00BD58C0">
        <w:rPr>
          <w:rFonts w:ascii="Times New Roman" w:eastAsiaTheme="minorEastAsia" w:hAnsi="Times New Roman" w:cs="Times New Roman"/>
          <w:b/>
          <w:bCs/>
          <w:iCs/>
          <w:sz w:val="24"/>
          <w:szCs w:val="24"/>
        </w:rPr>
        <w:tab/>
      </w:r>
      <w:r w:rsidRPr="00BD58C0">
        <w:rPr>
          <w:rFonts w:ascii="Times New Roman" w:eastAsiaTheme="minorEastAsia" w:hAnsi="Times New Roman" w:cs="Times New Roman"/>
          <w:iCs/>
          <w:sz w:val="24"/>
          <w:szCs w:val="24"/>
        </w:rPr>
        <w:t>Sensitivity analysis parameter</w:t>
      </w:r>
      <w:r w:rsidR="000D63A4" w:rsidRPr="00BD58C0">
        <w:rPr>
          <w:rFonts w:ascii="Times New Roman" w:eastAsiaTheme="minorEastAsia" w:hAnsi="Times New Roman" w:cs="Times New Roman"/>
          <w:iCs/>
          <w:sz w:val="24"/>
          <w:szCs w:val="24"/>
        </w:rPr>
        <w:t>s</w:t>
      </w:r>
    </w:p>
    <w:tbl>
      <w:tblPr>
        <w:tblStyle w:val="PlainTable2"/>
        <w:tblW w:w="0" w:type="auto"/>
        <w:tblLook w:val="0620" w:firstRow="1" w:lastRow="0" w:firstColumn="0" w:lastColumn="0" w:noHBand="1" w:noVBand="1"/>
      </w:tblPr>
      <w:tblGrid>
        <w:gridCol w:w="2009"/>
        <w:gridCol w:w="2003"/>
        <w:gridCol w:w="2288"/>
        <w:gridCol w:w="2700"/>
      </w:tblGrid>
      <w:tr w:rsidR="00BD58C0" w:rsidRPr="00BD58C0" w14:paraId="69FD6268" w14:textId="6E44E559" w:rsidTr="00131390">
        <w:trPr>
          <w:cnfStyle w:val="100000000000" w:firstRow="1" w:lastRow="0" w:firstColumn="0" w:lastColumn="0" w:oddVBand="0" w:evenVBand="0" w:oddHBand="0" w:evenHBand="0" w:firstRowFirstColumn="0" w:firstRowLastColumn="0" w:lastRowFirstColumn="0" w:lastRowLastColumn="0"/>
        </w:trPr>
        <w:tc>
          <w:tcPr>
            <w:tcW w:w="2009" w:type="dxa"/>
          </w:tcPr>
          <w:p w14:paraId="561CAC75" w14:textId="6C10E5C2" w:rsidR="00131390" w:rsidRPr="00BD58C0" w:rsidRDefault="00131390" w:rsidP="00336979">
            <w:pPr>
              <w:spacing w:line="360" w:lineRule="auto"/>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 xml:space="preserve">Indicator </w:t>
            </w:r>
          </w:p>
        </w:tc>
        <w:tc>
          <w:tcPr>
            <w:tcW w:w="2003" w:type="dxa"/>
          </w:tcPr>
          <w:p w14:paraId="2510E7A3" w14:textId="6055394C" w:rsidR="00131390" w:rsidRPr="00BD58C0" w:rsidRDefault="00131390" w:rsidP="00336979">
            <w:pPr>
              <w:spacing w:line="360" w:lineRule="auto"/>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 xml:space="preserve">Parameter </w:t>
            </w:r>
          </w:p>
        </w:tc>
        <w:tc>
          <w:tcPr>
            <w:tcW w:w="2288" w:type="dxa"/>
          </w:tcPr>
          <w:p w14:paraId="1493179B" w14:textId="2AF80324" w:rsidR="00131390" w:rsidRPr="00BD58C0" w:rsidRDefault="00131390" w:rsidP="00336979">
            <w:pPr>
              <w:spacing w:line="360" w:lineRule="auto"/>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Base value (</w:t>
            </w:r>
            <w:r w:rsidR="008E3186" w:rsidRPr="00BD58C0">
              <w:rPr>
                <w:rFonts w:ascii="Times New Roman" w:eastAsiaTheme="minorEastAsia" w:hAnsi="Times New Roman" w:cs="Times New Roman"/>
                <w:b w:val="0"/>
                <w:bCs w:val="0"/>
                <w:iCs/>
                <w:sz w:val="24"/>
                <w:szCs w:val="24"/>
              </w:rPr>
              <w:t>USD</w:t>
            </w:r>
            <w:r w:rsidRPr="00BD58C0">
              <w:rPr>
                <w:rFonts w:ascii="Times New Roman" w:eastAsiaTheme="minorEastAsia" w:hAnsi="Times New Roman" w:cs="Times New Roman"/>
                <w:b w:val="0"/>
                <w:bCs w:val="0"/>
                <w:iCs/>
                <w:sz w:val="24"/>
                <w:szCs w:val="24"/>
              </w:rPr>
              <w:t>/kWh)</w:t>
            </w:r>
          </w:p>
        </w:tc>
        <w:tc>
          <w:tcPr>
            <w:tcW w:w="2700" w:type="dxa"/>
          </w:tcPr>
          <w:p w14:paraId="641F7925" w14:textId="59731517" w:rsidR="00131390" w:rsidRPr="00BD58C0" w:rsidRDefault="00131390" w:rsidP="00336979">
            <w:pPr>
              <w:spacing w:line="360" w:lineRule="auto"/>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Variations to the base value</w:t>
            </w:r>
          </w:p>
        </w:tc>
      </w:tr>
      <w:tr w:rsidR="00BD58C0" w:rsidRPr="00BD58C0" w14:paraId="40E551FE" w14:textId="26777D59" w:rsidTr="00131390">
        <w:tc>
          <w:tcPr>
            <w:tcW w:w="2009" w:type="dxa"/>
          </w:tcPr>
          <w:p w14:paraId="38B52C76" w14:textId="15C8AFBC" w:rsidR="00131390" w:rsidRPr="00BD58C0" w:rsidRDefault="00131390" w:rsidP="00336979">
            <w:pPr>
              <w:spacing w:line="360" w:lineRule="auto"/>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Annual profit (Million USD/y</w:t>
            </w:r>
            <w:r w:rsidR="0071135C" w:rsidRPr="00BD58C0">
              <w:rPr>
                <w:rFonts w:ascii="Times New Roman" w:eastAsiaTheme="minorEastAsia" w:hAnsi="Times New Roman" w:cs="Times New Roman"/>
                <w:iCs/>
                <w:sz w:val="24"/>
                <w:szCs w:val="24"/>
              </w:rPr>
              <w:t>ear</w:t>
            </w:r>
            <w:r w:rsidRPr="00BD58C0">
              <w:rPr>
                <w:rFonts w:ascii="Times New Roman" w:eastAsiaTheme="minorEastAsia" w:hAnsi="Times New Roman" w:cs="Times New Roman"/>
                <w:iCs/>
                <w:sz w:val="24"/>
                <w:szCs w:val="24"/>
              </w:rPr>
              <w:t>)</w:t>
            </w:r>
          </w:p>
        </w:tc>
        <w:tc>
          <w:tcPr>
            <w:tcW w:w="2003" w:type="dxa"/>
          </w:tcPr>
          <w:p w14:paraId="19778E4D" w14:textId="467512E2" w:rsidR="00131390" w:rsidRPr="00BD58C0" w:rsidRDefault="0023561B" w:rsidP="00336979">
            <w:pPr>
              <w:spacing w:line="360" w:lineRule="auto"/>
              <w:rPr>
                <w:rFonts w:ascii="Times New Roman" w:eastAsiaTheme="minorEastAsia" w:hAnsi="Times New Roman" w:cs="Times New Roman"/>
                <w:iCs/>
                <w:sz w:val="24"/>
                <w:szCs w:val="24"/>
              </w:rPr>
            </w:pPr>
            <w:proofErr w:type="spellStart"/>
            <w:r>
              <w:rPr>
                <w:rFonts w:ascii="Times New Roman" w:eastAsiaTheme="minorEastAsia" w:hAnsi="Times New Roman" w:cs="Times New Roman"/>
                <w:iCs/>
                <w:sz w:val="24"/>
                <w:szCs w:val="24"/>
              </w:rPr>
              <w:t>FiT</w:t>
            </w:r>
            <w:proofErr w:type="spellEnd"/>
            <w:r>
              <w:rPr>
                <w:rFonts w:ascii="Times New Roman" w:eastAsiaTheme="minorEastAsia" w:hAnsi="Times New Roman" w:cs="Times New Roman"/>
                <w:iCs/>
                <w:sz w:val="24"/>
                <w:szCs w:val="24"/>
              </w:rPr>
              <w:t xml:space="preserve"> rate</w:t>
            </w:r>
          </w:p>
        </w:tc>
        <w:tc>
          <w:tcPr>
            <w:tcW w:w="2288" w:type="dxa"/>
          </w:tcPr>
          <w:p w14:paraId="1A9AD4E0" w14:textId="4C363B72" w:rsidR="00131390" w:rsidRPr="00BD58C0" w:rsidRDefault="008E3186" w:rsidP="00336979">
            <w:pPr>
              <w:spacing w:line="360" w:lineRule="auto"/>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0.078</w:t>
            </w:r>
          </w:p>
        </w:tc>
        <w:tc>
          <w:tcPr>
            <w:tcW w:w="2700" w:type="dxa"/>
          </w:tcPr>
          <w:p w14:paraId="5110914E" w14:textId="2F018BE2" w:rsidR="00131390" w:rsidRPr="00BD58C0" w:rsidRDefault="00131390" w:rsidP="00336979">
            <w:pPr>
              <w:spacing w:line="360" w:lineRule="auto"/>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t>
            </w:r>
            <w:r w:rsidR="003057A2" w:rsidRPr="00BD58C0">
              <w:rPr>
                <w:rFonts w:ascii="Times New Roman" w:eastAsiaTheme="minorEastAsia" w:hAnsi="Times New Roman" w:cs="Times New Roman"/>
                <w:iCs/>
                <w:sz w:val="24"/>
                <w:szCs w:val="24"/>
              </w:rPr>
              <w:t>5%, +</w:t>
            </w:r>
            <w:r w:rsidRPr="00BD58C0">
              <w:rPr>
                <w:rFonts w:ascii="Times New Roman" w:eastAsiaTheme="minorEastAsia" w:hAnsi="Times New Roman" w:cs="Times New Roman"/>
                <w:iCs/>
                <w:sz w:val="24"/>
                <w:szCs w:val="24"/>
              </w:rPr>
              <w:t>10%,</w:t>
            </w:r>
            <w:r w:rsidR="003057A2" w:rsidRPr="00BD58C0">
              <w:rPr>
                <w:rFonts w:ascii="Times New Roman" w:eastAsiaTheme="minorEastAsia" w:hAnsi="Times New Roman" w:cs="Times New Roman"/>
                <w:iCs/>
                <w:sz w:val="24"/>
                <w:szCs w:val="24"/>
              </w:rPr>
              <w:t xml:space="preserve"> +15%</w:t>
            </w:r>
            <w:r w:rsidRPr="00BD58C0">
              <w:rPr>
                <w:rFonts w:ascii="Times New Roman" w:eastAsiaTheme="minorEastAsia" w:hAnsi="Times New Roman" w:cs="Times New Roman"/>
                <w:iCs/>
                <w:sz w:val="24"/>
                <w:szCs w:val="24"/>
              </w:rPr>
              <w:t xml:space="preserve"> +20%,</w:t>
            </w:r>
            <w:r w:rsidR="003057A2" w:rsidRPr="00BD58C0">
              <w:rPr>
                <w:rFonts w:ascii="Times New Roman" w:eastAsiaTheme="minorEastAsia" w:hAnsi="Times New Roman" w:cs="Times New Roman"/>
                <w:iCs/>
                <w:sz w:val="24"/>
                <w:szCs w:val="24"/>
              </w:rPr>
              <w:t xml:space="preserve"> +25%,</w:t>
            </w:r>
            <w:r w:rsidRPr="00BD58C0">
              <w:rPr>
                <w:rFonts w:ascii="Times New Roman" w:eastAsiaTheme="minorEastAsia" w:hAnsi="Times New Roman" w:cs="Times New Roman"/>
                <w:iCs/>
                <w:sz w:val="24"/>
                <w:szCs w:val="24"/>
              </w:rPr>
              <w:t xml:space="preserve"> +30%</w:t>
            </w:r>
          </w:p>
        </w:tc>
      </w:tr>
    </w:tbl>
    <w:p w14:paraId="66306FD6" w14:textId="30E42D16" w:rsidR="00EF3C34" w:rsidRPr="00BD58C0" w:rsidRDefault="004343E3" w:rsidP="00944210">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Current exchange rate 1 USD = 4.12 Malaysia</w:t>
      </w:r>
      <w:r w:rsidR="006F36E9" w:rsidRPr="00BD58C0">
        <w:rPr>
          <w:rFonts w:ascii="Times New Roman" w:eastAsiaTheme="minorEastAsia" w:hAnsi="Times New Roman" w:cs="Times New Roman"/>
          <w:iCs/>
          <w:sz w:val="24"/>
          <w:szCs w:val="24"/>
        </w:rPr>
        <w:t>n</w:t>
      </w:r>
      <w:r w:rsidRPr="00BD58C0">
        <w:rPr>
          <w:rFonts w:ascii="Times New Roman" w:eastAsiaTheme="minorEastAsia" w:hAnsi="Times New Roman" w:cs="Times New Roman"/>
          <w:iCs/>
          <w:sz w:val="24"/>
          <w:szCs w:val="24"/>
        </w:rPr>
        <w:t xml:space="preserve"> Ringgit (local currency) </w:t>
      </w:r>
    </w:p>
    <w:p w14:paraId="4756B40A" w14:textId="77777777" w:rsidR="004713CF" w:rsidRPr="00BD58C0" w:rsidRDefault="004713CF" w:rsidP="00944210">
      <w:pPr>
        <w:spacing w:after="0" w:line="360" w:lineRule="auto"/>
        <w:jc w:val="both"/>
        <w:rPr>
          <w:rFonts w:ascii="Times New Roman" w:eastAsiaTheme="minorEastAsia" w:hAnsi="Times New Roman" w:cs="Times New Roman"/>
          <w:iCs/>
          <w:sz w:val="24"/>
          <w:szCs w:val="24"/>
        </w:rPr>
      </w:pPr>
    </w:p>
    <w:p w14:paraId="00A4FF69" w14:textId="5E3726F3" w:rsidR="00045AEB" w:rsidRPr="00BD58C0" w:rsidRDefault="00BF0A57" w:rsidP="00944210">
      <w:pPr>
        <w:spacing w:after="0" w:line="360" w:lineRule="auto"/>
        <w:jc w:val="both"/>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3</w:t>
      </w:r>
      <w:r w:rsidR="00045AEB" w:rsidRPr="00BD58C0">
        <w:rPr>
          <w:rFonts w:ascii="Times New Roman" w:eastAsiaTheme="minorEastAsia" w:hAnsi="Times New Roman" w:cs="Times New Roman"/>
          <w:b/>
          <w:bCs/>
          <w:iCs/>
          <w:sz w:val="24"/>
          <w:szCs w:val="24"/>
        </w:rPr>
        <w:t>.2.</w:t>
      </w:r>
      <w:r w:rsidR="002A3748" w:rsidRPr="00BD58C0">
        <w:rPr>
          <w:rFonts w:ascii="Times New Roman" w:eastAsiaTheme="minorEastAsia" w:hAnsi="Times New Roman" w:cs="Times New Roman"/>
          <w:b/>
          <w:bCs/>
          <w:iCs/>
          <w:sz w:val="24"/>
          <w:szCs w:val="24"/>
        </w:rPr>
        <w:tab/>
      </w:r>
      <w:r w:rsidR="00BB67B1" w:rsidRPr="00BD58C0">
        <w:rPr>
          <w:rFonts w:ascii="Times New Roman" w:eastAsiaTheme="minorEastAsia" w:hAnsi="Times New Roman" w:cs="Times New Roman"/>
          <w:b/>
          <w:bCs/>
          <w:iCs/>
          <w:sz w:val="24"/>
          <w:szCs w:val="24"/>
        </w:rPr>
        <w:t>The analytic</w:t>
      </w:r>
      <w:r w:rsidR="00751C6D" w:rsidRPr="00BD58C0">
        <w:rPr>
          <w:rFonts w:ascii="Times New Roman" w:eastAsiaTheme="minorEastAsia" w:hAnsi="Times New Roman" w:cs="Times New Roman"/>
          <w:b/>
          <w:bCs/>
          <w:iCs/>
          <w:sz w:val="24"/>
          <w:szCs w:val="24"/>
        </w:rPr>
        <w:t>al</w:t>
      </w:r>
      <w:r w:rsidR="00BB67B1" w:rsidRPr="00BD58C0">
        <w:rPr>
          <w:rFonts w:ascii="Times New Roman" w:eastAsiaTheme="minorEastAsia" w:hAnsi="Times New Roman" w:cs="Times New Roman"/>
          <w:b/>
          <w:bCs/>
          <w:iCs/>
          <w:sz w:val="24"/>
          <w:szCs w:val="24"/>
        </w:rPr>
        <w:t xml:space="preserve"> hierarchy process (AHP)</w:t>
      </w:r>
    </w:p>
    <w:p w14:paraId="7ACBB1AA" w14:textId="77777777" w:rsidR="00861B3B" w:rsidRPr="00BD58C0" w:rsidRDefault="00861B3B" w:rsidP="00944210">
      <w:pPr>
        <w:spacing w:after="0" w:line="360" w:lineRule="auto"/>
        <w:jc w:val="both"/>
        <w:rPr>
          <w:rFonts w:ascii="Times New Roman" w:eastAsiaTheme="minorEastAsia" w:hAnsi="Times New Roman" w:cs="Times New Roman"/>
          <w:b/>
          <w:bCs/>
          <w:iCs/>
          <w:sz w:val="24"/>
          <w:szCs w:val="24"/>
        </w:rPr>
      </w:pPr>
    </w:p>
    <w:p w14:paraId="14B455B6" w14:textId="4B751CAE" w:rsidR="00045AEB" w:rsidRPr="00BD58C0" w:rsidRDefault="00BF0A57" w:rsidP="00045AEB">
      <w:pPr>
        <w:spacing w:after="0" w:line="360" w:lineRule="auto"/>
        <w:jc w:val="both"/>
        <w:rPr>
          <w:rFonts w:ascii="Times New Roman" w:eastAsiaTheme="minorEastAsia" w:hAnsi="Times New Roman" w:cs="Times New Roman"/>
          <w:i/>
          <w:sz w:val="24"/>
          <w:szCs w:val="24"/>
          <w:lang w:val="en-US"/>
        </w:rPr>
      </w:pPr>
      <w:r w:rsidRPr="00BD58C0">
        <w:rPr>
          <w:rFonts w:ascii="Times New Roman" w:eastAsiaTheme="minorEastAsia" w:hAnsi="Times New Roman" w:cs="Times New Roman"/>
          <w:i/>
          <w:sz w:val="24"/>
          <w:szCs w:val="24"/>
          <w:lang w:val="en-US"/>
        </w:rPr>
        <w:t>3.2.1</w:t>
      </w:r>
      <w:r w:rsidR="00732864" w:rsidRPr="00BD58C0">
        <w:rPr>
          <w:rFonts w:ascii="Times New Roman" w:eastAsiaTheme="minorEastAsia" w:hAnsi="Times New Roman" w:cs="Times New Roman"/>
          <w:i/>
          <w:sz w:val="24"/>
          <w:szCs w:val="24"/>
          <w:lang w:val="en-US"/>
        </w:rPr>
        <w:t>.</w:t>
      </w:r>
      <w:r w:rsidR="00045AEB" w:rsidRPr="00BD58C0">
        <w:rPr>
          <w:rFonts w:ascii="Times New Roman" w:eastAsiaTheme="minorEastAsia" w:hAnsi="Times New Roman" w:cs="Times New Roman"/>
          <w:i/>
          <w:sz w:val="24"/>
          <w:szCs w:val="24"/>
          <w:lang w:val="en-US"/>
        </w:rPr>
        <w:tab/>
        <w:t>Interviews</w:t>
      </w:r>
    </w:p>
    <w:p w14:paraId="66DA18D3" w14:textId="77777777" w:rsidR="004713CF" w:rsidRPr="00BD58C0" w:rsidRDefault="004713CF" w:rsidP="00045AEB">
      <w:pPr>
        <w:spacing w:after="0" w:line="360" w:lineRule="auto"/>
        <w:jc w:val="both"/>
        <w:rPr>
          <w:rFonts w:ascii="Times New Roman" w:eastAsiaTheme="minorEastAsia" w:hAnsi="Times New Roman" w:cs="Times New Roman"/>
          <w:i/>
          <w:sz w:val="24"/>
          <w:szCs w:val="24"/>
          <w:lang w:val="en-US"/>
        </w:rPr>
      </w:pPr>
    </w:p>
    <w:p w14:paraId="3834E781" w14:textId="38E70B24" w:rsidR="00796FE4" w:rsidRPr="00BD58C0" w:rsidRDefault="00AA46BF" w:rsidP="00796FE4">
      <w:pPr>
        <w:spacing w:after="0" w:line="360" w:lineRule="auto"/>
        <w:ind w:firstLine="720"/>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The second objective </w:t>
      </w:r>
      <w:r w:rsidR="00766604" w:rsidRPr="00BD58C0">
        <w:rPr>
          <w:rFonts w:ascii="Times New Roman" w:eastAsiaTheme="minorEastAsia" w:hAnsi="Times New Roman" w:cs="Times New Roman"/>
          <w:iCs/>
          <w:sz w:val="24"/>
          <w:szCs w:val="24"/>
          <w:lang w:val="en-US"/>
        </w:rPr>
        <w:t>involved</w:t>
      </w:r>
      <w:r w:rsidRPr="00BD58C0">
        <w:rPr>
          <w:rFonts w:ascii="Times New Roman" w:eastAsiaTheme="minorEastAsia" w:hAnsi="Times New Roman" w:cs="Times New Roman"/>
          <w:iCs/>
          <w:sz w:val="24"/>
          <w:szCs w:val="24"/>
          <w:lang w:val="en-US"/>
        </w:rPr>
        <w:t xml:space="preserve"> employ</w:t>
      </w:r>
      <w:r w:rsidR="00766604" w:rsidRPr="00BD58C0">
        <w:rPr>
          <w:rFonts w:ascii="Times New Roman" w:eastAsiaTheme="minorEastAsia" w:hAnsi="Times New Roman" w:cs="Times New Roman"/>
          <w:iCs/>
          <w:sz w:val="24"/>
          <w:szCs w:val="24"/>
          <w:lang w:val="en-US"/>
        </w:rPr>
        <w:t>ing</w:t>
      </w:r>
      <w:r w:rsidRPr="00BD58C0">
        <w:rPr>
          <w:rFonts w:ascii="Times New Roman" w:eastAsiaTheme="minorEastAsia" w:hAnsi="Times New Roman" w:cs="Times New Roman"/>
          <w:iCs/>
          <w:sz w:val="24"/>
          <w:szCs w:val="24"/>
          <w:lang w:val="en-US"/>
        </w:rPr>
        <w:t xml:space="preserve"> the AHP method t</w:t>
      </w:r>
      <w:r w:rsidR="003E49E9" w:rsidRPr="00BD58C0">
        <w:rPr>
          <w:rFonts w:ascii="Times New Roman" w:eastAsiaTheme="minorEastAsia" w:hAnsi="Times New Roman" w:cs="Times New Roman"/>
          <w:iCs/>
          <w:sz w:val="24"/>
          <w:szCs w:val="24"/>
          <w:lang w:val="en-US"/>
        </w:rPr>
        <w:t>o identify and rank possible policy options</w:t>
      </w:r>
      <w:r w:rsidR="00BF2896" w:rsidRPr="00BD58C0">
        <w:rPr>
          <w:rFonts w:ascii="Times New Roman" w:eastAsiaTheme="minorEastAsia" w:hAnsi="Times New Roman" w:cs="Times New Roman"/>
          <w:iCs/>
          <w:sz w:val="24"/>
          <w:szCs w:val="24"/>
          <w:lang w:val="en-US"/>
        </w:rPr>
        <w:t xml:space="preserve"> that in the opinion of POM management staff could create an enabling policy environment for investing in the two technologies </w:t>
      </w:r>
      <w:r w:rsidR="001A490A" w:rsidRPr="00BD58C0">
        <w:rPr>
          <w:rFonts w:ascii="Times New Roman" w:eastAsiaTheme="minorEastAsia" w:hAnsi="Times New Roman" w:cs="Times New Roman"/>
          <w:iCs/>
          <w:sz w:val="24"/>
          <w:szCs w:val="24"/>
          <w:lang w:val="en-US"/>
        </w:rPr>
        <w:t xml:space="preserve">examined by </w:t>
      </w:r>
      <w:r w:rsidR="00BF2896" w:rsidRPr="00BD58C0">
        <w:rPr>
          <w:rFonts w:ascii="Times New Roman" w:eastAsiaTheme="minorEastAsia" w:hAnsi="Times New Roman" w:cs="Times New Roman"/>
          <w:iCs/>
          <w:sz w:val="24"/>
          <w:szCs w:val="24"/>
          <w:lang w:val="en-US"/>
        </w:rPr>
        <w:t>this study.</w:t>
      </w:r>
      <w:r w:rsidR="003E49E9" w:rsidRPr="00BD58C0">
        <w:rPr>
          <w:rFonts w:ascii="Times New Roman" w:eastAsiaTheme="minorEastAsia" w:hAnsi="Times New Roman" w:cs="Times New Roman"/>
          <w:iCs/>
          <w:sz w:val="24"/>
          <w:szCs w:val="24"/>
          <w:lang w:val="en-US"/>
        </w:rPr>
        <w:t xml:space="preserve"> </w:t>
      </w:r>
      <w:r w:rsidR="008F7995" w:rsidRPr="00BD58C0">
        <w:rPr>
          <w:rFonts w:ascii="Times New Roman" w:eastAsiaTheme="minorEastAsia" w:hAnsi="Times New Roman" w:cs="Times New Roman"/>
          <w:iCs/>
          <w:sz w:val="24"/>
          <w:szCs w:val="24"/>
          <w:lang w:val="en-US"/>
        </w:rPr>
        <w:t>To</w:t>
      </w:r>
      <w:r w:rsidR="0063346A" w:rsidRPr="00BD58C0">
        <w:rPr>
          <w:rFonts w:ascii="Times New Roman" w:eastAsiaTheme="minorEastAsia" w:hAnsi="Times New Roman" w:cs="Times New Roman"/>
          <w:iCs/>
          <w:sz w:val="24"/>
          <w:szCs w:val="24"/>
          <w:lang w:val="en-US"/>
        </w:rPr>
        <w:t xml:space="preserve"> conduct interviews, </w:t>
      </w:r>
      <w:r w:rsidR="00045AEB" w:rsidRPr="00BD58C0">
        <w:rPr>
          <w:rFonts w:ascii="Times New Roman" w:eastAsiaTheme="minorEastAsia" w:hAnsi="Times New Roman" w:cs="Times New Roman"/>
          <w:iCs/>
          <w:sz w:val="24"/>
          <w:szCs w:val="24"/>
          <w:lang w:val="en-US"/>
        </w:rPr>
        <w:t>POMs with</w:t>
      </w:r>
      <w:r w:rsidR="003E49E9" w:rsidRPr="00BD58C0">
        <w:rPr>
          <w:rFonts w:ascii="Times New Roman" w:eastAsiaTheme="minorEastAsia" w:hAnsi="Times New Roman" w:cs="Times New Roman"/>
          <w:iCs/>
          <w:sz w:val="24"/>
          <w:szCs w:val="24"/>
          <w:lang w:val="en-US"/>
        </w:rPr>
        <w:t xml:space="preserve"> a</w:t>
      </w:r>
      <w:r w:rsidR="00045AEB" w:rsidRPr="00BD58C0">
        <w:rPr>
          <w:rFonts w:ascii="Times New Roman" w:eastAsiaTheme="minorEastAsia" w:hAnsi="Times New Roman" w:cs="Times New Roman"/>
          <w:iCs/>
          <w:sz w:val="24"/>
          <w:szCs w:val="24"/>
          <w:lang w:val="en-US"/>
        </w:rPr>
        <w:t xml:space="preserve"> biogas plant in the state of Johor, Malaysia</w:t>
      </w:r>
      <w:r w:rsidR="008E5F68" w:rsidRPr="00BD58C0">
        <w:rPr>
          <w:rFonts w:ascii="Times New Roman" w:eastAsiaTheme="minorEastAsia" w:hAnsi="Times New Roman" w:cs="Times New Roman"/>
          <w:iCs/>
          <w:sz w:val="24"/>
          <w:szCs w:val="24"/>
          <w:lang w:val="en-US"/>
        </w:rPr>
        <w:t xml:space="preserve"> were selected</w:t>
      </w:r>
      <w:r w:rsidR="00045AEB" w:rsidRPr="00BD58C0">
        <w:rPr>
          <w:rFonts w:ascii="Times New Roman" w:eastAsiaTheme="minorEastAsia" w:hAnsi="Times New Roman" w:cs="Times New Roman"/>
          <w:iCs/>
          <w:sz w:val="24"/>
          <w:szCs w:val="24"/>
          <w:lang w:val="en-US"/>
        </w:rPr>
        <w:t>. POMs were chosen based on the criterion that the</w:t>
      </w:r>
      <w:r w:rsidR="00DB2DC5" w:rsidRPr="00BD58C0">
        <w:rPr>
          <w:rFonts w:ascii="Times New Roman" w:eastAsiaTheme="minorEastAsia" w:hAnsi="Times New Roman" w:cs="Times New Roman"/>
          <w:iCs/>
          <w:sz w:val="24"/>
          <w:szCs w:val="24"/>
          <w:lang w:val="en-US"/>
        </w:rPr>
        <w:t xml:space="preserve"> POMs </w:t>
      </w:r>
      <w:r w:rsidR="00045AEB" w:rsidRPr="00BD58C0">
        <w:rPr>
          <w:rFonts w:ascii="Times New Roman" w:eastAsiaTheme="minorEastAsia" w:hAnsi="Times New Roman" w:cs="Times New Roman"/>
          <w:iCs/>
          <w:sz w:val="24"/>
          <w:szCs w:val="24"/>
          <w:lang w:val="en-US"/>
        </w:rPr>
        <w:t xml:space="preserve">had either electricity-generating or non-electricity generating facilities. </w:t>
      </w:r>
      <w:r w:rsidR="00415321" w:rsidRPr="00BD58C0">
        <w:rPr>
          <w:rFonts w:ascii="Times New Roman" w:eastAsiaTheme="minorEastAsia" w:hAnsi="Times New Roman" w:cs="Times New Roman"/>
          <w:iCs/>
          <w:sz w:val="24"/>
          <w:szCs w:val="24"/>
          <w:lang w:val="en-US"/>
        </w:rPr>
        <w:t xml:space="preserve">Eighteen </w:t>
      </w:r>
      <w:r w:rsidR="00E61989" w:rsidRPr="00BD58C0">
        <w:rPr>
          <w:rFonts w:ascii="Times New Roman" w:eastAsiaTheme="minorEastAsia" w:hAnsi="Times New Roman" w:cs="Times New Roman"/>
          <w:iCs/>
          <w:sz w:val="24"/>
          <w:szCs w:val="24"/>
          <w:lang w:val="en-US"/>
        </w:rPr>
        <w:t xml:space="preserve">POMs </w:t>
      </w:r>
      <w:r w:rsidR="00415321" w:rsidRPr="00BD58C0">
        <w:rPr>
          <w:rFonts w:ascii="Times New Roman" w:eastAsiaTheme="minorEastAsia" w:hAnsi="Times New Roman" w:cs="Times New Roman"/>
          <w:iCs/>
          <w:sz w:val="24"/>
          <w:szCs w:val="24"/>
          <w:lang w:val="en-US"/>
        </w:rPr>
        <w:t>fulfilled the requirement</w:t>
      </w:r>
      <w:r w:rsidR="00F16FC4" w:rsidRPr="00BD58C0">
        <w:rPr>
          <w:rFonts w:ascii="Times New Roman" w:eastAsiaTheme="minorEastAsia" w:hAnsi="Times New Roman" w:cs="Times New Roman"/>
          <w:iCs/>
          <w:sz w:val="24"/>
          <w:szCs w:val="24"/>
          <w:lang w:val="en-US"/>
        </w:rPr>
        <w:t xml:space="preserve">, but access relied on securing internal recommendations by the high-level management within each one. This proved possible for eight POMs. </w:t>
      </w:r>
      <w:r w:rsidR="00C061CF" w:rsidRPr="00BD58C0">
        <w:rPr>
          <w:rFonts w:ascii="Times New Roman" w:eastAsiaTheme="minorEastAsia" w:hAnsi="Times New Roman" w:cs="Times New Roman"/>
          <w:iCs/>
          <w:sz w:val="24"/>
          <w:szCs w:val="24"/>
          <w:lang w:val="en-US"/>
        </w:rPr>
        <w:t xml:space="preserve">All </w:t>
      </w:r>
      <w:r w:rsidR="00F16FC4" w:rsidRPr="00BD58C0">
        <w:rPr>
          <w:rFonts w:ascii="Times New Roman" w:eastAsiaTheme="minorEastAsia" w:hAnsi="Times New Roman" w:cs="Times New Roman"/>
          <w:iCs/>
          <w:sz w:val="24"/>
          <w:szCs w:val="24"/>
          <w:lang w:val="en-US"/>
        </w:rPr>
        <w:t>eight POMs</w:t>
      </w:r>
      <w:r w:rsidR="00C061CF" w:rsidRPr="00BD58C0">
        <w:rPr>
          <w:rFonts w:ascii="Times New Roman" w:eastAsiaTheme="minorEastAsia" w:hAnsi="Times New Roman" w:cs="Times New Roman"/>
          <w:iCs/>
          <w:sz w:val="24"/>
          <w:szCs w:val="24"/>
          <w:lang w:val="en-US"/>
        </w:rPr>
        <w:t xml:space="preserve"> were approached</w:t>
      </w:r>
      <w:r w:rsidR="00F16FC4" w:rsidRPr="00BD58C0">
        <w:rPr>
          <w:rFonts w:ascii="Times New Roman" w:eastAsiaTheme="minorEastAsia" w:hAnsi="Times New Roman" w:cs="Times New Roman"/>
          <w:iCs/>
          <w:sz w:val="24"/>
          <w:szCs w:val="24"/>
          <w:lang w:val="en-US"/>
        </w:rPr>
        <w:t>,</w:t>
      </w:r>
      <w:r w:rsidR="002B2119" w:rsidRPr="00BD58C0">
        <w:rPr>
          <w:rFonts w:ascii="Times New Roman" w:eastAsiaTheme="minorEastAsia" w:hAnsi="Times New Roman" w:cs="Times New Roman"/>
          <w:iCs/>
          <w:sz w:val="24"/>
          <w:szCs w:val="24"/>
          <w:lang w:val="en-US"/>
        </w:rPr>
        <w:t xml:space="preserve"> </w:t>
      </w:r>
      <w:r w:rsidR="008F7995" w:rsidRPr="00BD58C0">
        <w:rPr>
          <w:rFonts w:ascii="Times New Roman" w:eastAsiaTheme="minorEastAsia" w:hAnsi="Times New Roman" w:cs="Times New Roman"/>
          <w:iCs/>
          <w:sz w:val="24"/>
          <w:szCs w:val="24"/>
          <w:lang w:val="en-US"/>
        </w:rPr>
        <w:t xml:space="preserve">but </w:t>
      </w:r>
      <w:r w:rsidR="00F16FC4" w:rsidRPr="00BD58C0">
        <w:rPr>
          <w:rFonts w:ascii="Times New Roman" w:eastAsiaTheme="minorEastAsia" w:hAnsi="Times New Roman" w:cs="Times New Roman"/>
          <w:iCs/>
          <w:sz w:val="24"/>
          <w:szCs w:val="24"/>
          <w:lang w:val="en-US"/>
        </w:rPr>
        <w:t xml:space="preserve">despite follow-up invitations, </w:t>
      </w:r>
      <w:r w:rsidR="000970F6" w:rsidRPr="00BD58C0">
        <w:rPr>
          <w:rFonts w:ascii="Times New Roman" w:hAnsi="Times New Roman" w:cs="Times New Roman"/>
          <w:sz w:val="24"/>
          <w:szCs w:val="24"/>
        </w:rPr>
        <w:t xml:space="preserve">only </w:t>
      </w:r>
      <w:r w:rsidR="00415321" w:rsidRPr="00BD58C0">
        <w:rPr>
          <w:rFonts w:ascii="Times New Roman" w:hAnsi="Times New Roman" w:cs="Times New Roman"/>
          <w:sz w:val="24"/>
          <w:szCs w:val="24"/>
        </w:rPr>
        <w:t>five</w:t>
      </w:r>
      <w:r w:rsidR="000970F6" w:rsidRPr="00BD58C0">
        <w:rPr>
          <w:rFonts w:ascii="Times New Roman" w:hAnsi="Times New Roman" w:cs="Times New Roman"/>
          <w:sz w:val="24"/>
          <w:szCs w:val="24"/>
        </w:rPr>
        <w:t xml:space="preserve"> </w:t>
      </w:r>
      <w:r w:rsidR="00615E28" w:rsidRPr="00BD58C0">
        <w:rPr>
          <w:rFonts w:ascii="Times New Roman" w:hAnsi="Times New Roman" w:cs="Times New Roman"/>
          <w:sz w:val="24"/>
          <w:szCs w:val="24"/>
        </w:rPr>
        <w:t>responded</w:t>
      </w:r>
      <w:r w:rsidR="000970F6" w:rsidRPr="00BD58C0">
        <w:rPr>
          <w:rFonts w:ascii="Times New Roman" w:hAnsi="Times New Roman" w:cs="Times New Roman"/>
          <w:sz w:val="24"/>
          <w:szCs w:val="24"/>
        </w:rPr>
        <w:t xml:space="preserve"> and were therefore sampled.</w:t>
      </w:r>
      <w:r w:rsidR="00D70B32" w:rsidRPr="00BD58C0">
        <w:rPr>
          <w:rFonts w:ascii="Times New Roman" w:hAnsi="Times New Roman" w:cs="Times New Roman"/>
          <w:sz w:val="24"/>
          <w:szCs w:val="24"/>
        </w:rPr>
        <w:t xml:space="preserve"> </w:t>
      </w:r>
      <w:r w:rsidR="00045AEB" w:rsidRPr="00BD58C0">
        <w:rPr>
          <w:rFonts w:ascii="Times New Roman" w:eastAsiaTheme="minorEastAsia" w:hAnsi="Times New Roman" w:cs="Times New Roman"/>
          <w:iCs/>
          <w:sz w:val="24"/>
          <w:szCs w:val="24"/>
          <w:lang w:val="en-US"/>
        </w:rPr>
        <w:t xml:space="preserve">Interviewees were contacted </w:t>
      </w:r>
      <w:r w:rsidR="00A42E95" w:rsidRPr="00BD58C0">
        <w:rPr>
          <w:rFonts w:ascii="Times New Roman" w:eastAsiaTheme="minorEastAsia" w:hAnsi="Times New Roman" w:cs="Times New Roman"/>
          <w:iCs/>
          <w:sz w:val="24"/>
          <w:szCs w:val="24"/>
          <w:lang w:val="en-US"/>
        </w:rPr>
        <w:t>by</w:t>
      </w:r>
      <w:r w:rsidR="00045AEB" w:rsidRPr="00BD58C0">
        <w:rPr>
          <w:rFonts w:ascii="Times New Roman" w:eastAsiaTheme="minorEastAsia" w:hAnsi="Times New Roman" w:cs="Times New Roman"/>
          <w:iCs/>
          <w:sz w:val="24"/>
          <w:szCs w:val="24"/>
          <w:lang w:val="en-US"/>
        </w:rPr>
        <w:t xml:space="preserve"> phone and email</w:t>
      </w:r>
      <w:r w:rsidR="00CB6012" w:rsidRPr="00BD58C0">
        <w:rPr>
          <w:rFonts w:ascii="Times New Roman" w:eastAsiaTheme="minorEastAsia" w:hAnsi="Times New Roman" w:cs="Times New Roman"/>
          <w:iCs/>
          <w:sz w:val="24"/>
          <w:szCs w:val="24"/>
          <w:lang w:val="en-US"/>
        </w:rPr>
        <w:t xml:space="preserve"> and </w:t>
      </w:r>
      <w:r w:rsidR="00045AEB" w:rsidRPr="00BD58C0">
        <w:rPr>
          <w:rFonts w:ascii="Times New Roman" w:eastAsiaTheme="minorEastAsia" w:hAnsi="Times New Roman" w:cs="Times New Roman"/>
          <w:iCs/>
          <w:sz w:val="24"/>
          <w:szCs w:val="24"/>
          <w:lang w:val="en-US"/>
        </w:rPr>
        <w:t xml:space="preserve">comprised </w:t>
      </w:r>
      <w:r w:rsidR="00045AEB" w:rsidRPr="00BD58C0">
        <w:rPr>
          <w:rFonts w:ascii="Times New Roman" w:eastAsiaTheme="minorEastAsia" w:hAnsi="Times New Roman" w:cs="Times New Roman"/>
          <w:iCs/>
          <w:sz w:val="24"/>
          <w:szCs w:val="24"/>
          <w:lang w:val="en-US"/>
        </w:rPr>
        <w:lastRenderedPageBreak/>
        <w:t xml:space="preserve">managers, engineers and executives directly involved in monitoring the biogas plant in the respective mills. </w:t>
      </w:r>
    </w:p>
    <w:p w14:paraId="4D73CBAD" w14:textId="1F9BD486" w:rsidR="000C0EF4" w:rsidRPr="00BD58C0" w:rsidRDefault="00045AEB" w:rsidP="00796FE4">
      <w:pPr>
        <w:spacing w:after="0" w:line="360" w:lineRule="auto"/>
        <w:ind w:firstLine="720"/>
        <w:jc w:val="both"/>
        <w:rPr>
          <w:rStyle w:val="CommentReference"/>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Interviews were conducted with eleven members of POM management across five </w:t>
      </w:r>
      <w:proofErr w:type="gramStart"/>
      <w:r w:rsidRPr="00BD58C0">
        <w:rPr>
          <w:rFonts w:ascii="Times New Roman" w:eastAsiaTheme="minorEastAsia" w:hAnsi="Times New Roman" w:cs="Times New Roman"/>
          <w:iCs/>
          <w:sz w:val="24"/>
          <w:szCs w:val="24"/>
          <w:lang w:val="en-US"/>
        </w:rPr>
        <w:t>POMs</w:t>
      </w:r>
      <w:r w:rsidR="009F3A42" w:rsidRPr="00BD58C0">
        <w:rPr>
          <w:rFonts w:ascii="Times New Roman" w:eastAsiaTheme="minorEastAsia" w:hAnsi="Times New Roman" w:cs="Times New Roman"/>
          <w:iCs/>
          <w:sz w:val="24"/>
          <w:szCs w:val="24"/>
          <w:lang w:val="en-US"/>
        </w:rPr>
        <w:t xml:space="preserve"> </w:t>
      </w:r>
      <w:r w:rsidR="00B22499" w:rsidRPr="00BD58C0">
        <w:rPr>
          <w:rFonts w:ascii="Times New Roman" w:eastAsiaTheme="minorEastAsia" w:hAnsi="Times New Roman" w:cs="Times New Roman"/>
          <w:iCs/>
          <w:sz w:val="24"/>
          <w:szCs w:val="24"/>
          <w:lang w:val="en-US"/>
        </w:rPr>
        <w:t xml:space="preserve"> (</w:t>
      </w:r>
      <w:proofErr w:type="gramEnd"/>
      <w:r w:rsidR="000C0EF4" w:rsidRPr="00BD58C0">
        <w:rPr>
          <w:rStyle w:val="CommentReference"/>
          <w:rFonts w:ascii="Times New Roman" w:hAnsi="Times New Roman" w:cs="Times New Roman"/>
          <w:sz w:val="24"/>
          <w:szCs w:val="24"/>
        </w:rPr>
        <w:t>Table 4</w:t>
      </w:r>
      <w:r w:rsidR="00B22499" w:rsidRPr="00BD58C0">
        <w:rPr>
          <w:rStyle w:val="CommentReference"/>
          <w:rFonts w:ascii="Times New Roman" w:hAnsi="Times New Roman" w:cs="Times New Roman"/>
          <w:sz w:val="24"/>
          <w:szCs w:val="24"/>
        </w:rPr>
        <w:t>).</w:t>
      </w:r>
      <w:r w:rsidR="000C0EF4" w:rsidRPr="00BD58C0">
        <w:rPr>
          <w:rStyle w:val="CommentReference"/>
          <w:rFonts w:ascii="Times New Roman" w:hAnsi="Times New Roman" w:cs="Times New Roman"/>
          <w:sz w:val="24"/>
          <w:szCs w:val="24"/>
        </w:rPr>
        <w:t xml:space="preserve"> </w:t>
      </w:r>
    </w:p>
    <w:p w14:paraId="419FF979" w14:textId="77777777" w:rsidR="00605364" w:rsidRPr="00BD58C0" w:rsidRDefault="00605364" w:rsidP="000C0EF4">
      <w:pPr>
        <w:spacing w:after="0" w:line="360" w:lineRule="auto"/>
        <w:jc w:val="both"/>
        <w:rPr>
          <w:rStyle w:val="CommentReference"/>
          <w:rFonts w:ascii="Times New Roman" w:hAnsi="Times New Roman" w:cs="Times New Roman"/>
          <w:sz w:val="24"/>
          <w:szCs w:val="24"/>
        </w:rPr>
      </w:pPr>
    </w:p>
    <w:p w14:paraId="73DDDA54" w14:textId="484DC989" w:rsidR="000C0EF4" w:rsidRPr="00BD58C0" w:rsidRDefault="000C0EF4" w:rsidP="000C0EF4">
      <w:pPr>
        <w:spacing w:after="0" w:line="360" w:lineRule="auto"/>
        <w:jc w:val="both"/>
        <w:rPr>
          <w:rFonts w:ascii="Times New Roman" w:eastAsiaTheme="minorEastAsia" w:hAnsi="Times New Roman" w:cs="Times New Roman"/>
          <w:iCs/>
          <w:sz w:val="24"/>
          <w:szCs w:val="24"/>
        </w:rPr>
      </w:pPr>
      <w:bookmarkStart w:id="6" w:name="_Hlk87166965"/>
      <w:r w:rsidRPr="00BD58C0">
        <w:rPr>
          <w:rFonts w:ascii="Times New Roman" w:eastAsiaTheme="minorEastAsia" w:hAnsi="Times New Roman" w:cs="Times New Roman"/>
          <w:b/>
          <w:bCs/>
          <w:iCs/>
          <w:sz w:val="24"/>
          <w:szCs w:val="24"/>
        </w:rPr>
        <w:t>Table 4</w:t>
      </w:r>
      <w:r w:rsidRPr="00BD58C0">
        <w:rPr>
          <w:rFonts w:ascii="Times New Roman" w:eastAsiaTheme="minorEastAsia" w:hAnsi="Times New Roman" w:cs="Times New Roman"/>
          <w:b/>
          <w:bCs/>
          <w:iCs/>
          <w:sz w:val="24"/>
          <w:szCs w:val="24"/>
        </w:rPr>
        <w:tab/>
      </w:r>
      <w:r w:rsidR="006D5765" w:rsidRPr="00BD58C0">
        <w:rPr>
          <w:rFonts w:ascii="Times New Roman" w:eastAsiaTheme="minorEastAsia" w:hAnsi="Times New Roman" w:cs="Times New Roman"/>
          <w:iCs/>
          <w:sz w:val="24"/>
          <w:szCs w:val="24"/>
        </w:rPr>
        <w:t xml:space="preserve">Number of interviewees </w:t>
      </w:r>
      <w:r w:rsidR="00327358" w:rsidRPr="00BD58C0">
        <w:rPr>
          <w:rFonts w:ascii="Times New Roman" w:eastAsiaTheme="minorEastAsia" w:hAnsi="Times New Roman" w:cs="Times New Roman"/>
          <w:iCs/>
          <w:sz w:val="24"/>
          <w:szCs w:val="24"/>
        </w:rPr>
        <w:t xml:space="preserve">from </w:t>
      </w:r>
      <w:r w:rsidR="006D5765" w:rsidRPr="00BD58C0">
        <w:rPr>
          <w:rFonts w:ascii="Times New Roman" w:eastAsiaTheme="minorEastAsia" w:hAnsi="Times New Roman" w:cs="Times New Roman"/>
          <w:iCs/>
          <w:sz w:val="24"/>
          <w:szCs w:val="24"/>
        </w:rPr>
        <w:t>participating POMs</w:t>
      </w:r>
    </w:p>
    <w:tbl>
      <w:tblPr>
        <w:tblStyle w:val="PlainTable2"/>
        <w:tblW w:w="8820" w:type="dxa"/>
        <w:tblLook w:val="0620" w:firstRow="1" w:lastRow="0" w:firstColumn="0" w:lastColumn="0" w:noHBand="1" w:noVBand="1"/>
      </w:tblPr>
      <w:tblGrid>
        <w:gridCol w:w="1418"/>
        <w:gridCol w:w="2693"/>
        <w:gridCol w:w="4709"/>
      </w:tblGrid>
      <w:tr w:rsidR="00BD58C0" w:rsidRPr="00BD58C0" w14:paraId="33FABD24" w14:textId="77777777" w:rsidTr="006D5765">
        <w:trPr>
          <w:cnfStyle w:val="100000000000" w:firstRow="1" w:lastRow="0" w:firstColumn="0" w:lastColumn="0" w:oddVBand="0" w:evenVBand="0" w:oddHBand="0" w:evenHBand="0" w:firstRowFirstColumn="0" w:firstRowLastColumn="0" w:lastRowFirstColumn="0" w:lastRowLastColumn="0"/>
        </w:trPr>
        <w:tc>
          <w:tcPr>
            <w:tcW w:w="1418" w:type="dxa"/>
          </w:tcPr>
          <w:p w14:paraId="210DCC8B" w14:textId="3ECDA140" w:rsidR="000C0EF4" w:rsidRPr="00BD58C0" w:rsidRDefault="000C0EF4" w:rsidP="00AA1DB4">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POM</w:t>
            </w:r>
          </w:p>
        </w:tc>
        <w:tc>
          <w:tcPr>
            <w:tcW w:w="2693" w:type="dxa"/>
          </w:tcPr>
          <w:p w14:paraId="296CA612" w14:textId="765A56C4" w:rsidR="000C0EF4" w:rsidRPr="00BD58C0" w:rsidRDefault="000C0EF4" w:rsidP="00AA1DB4">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Number of interviewees</w:t>
            </w:r>
          </w:p>
        </w:tc>
        <w:tc>
          <w:tcPr>
            <w:tcW w:w="4709" w:type="dxa"/>
          </w:tcPr>
          <w:p w14:paraId="482BD582" w14:textId="5655D11A" w:rsidR="000C0EF4" w:rsidRPr="00BD58C0" w:rsidRDefault="000C0EF4" w:rsidP="00AA1DB4">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Position</w:t>
            </w:r>
          </w:p>
        </w:tc>
      </w:tr>
      <w:tr w:rsidR="00BD58C0" w:rsidRPr="00BD58C0" w14:paraId="78721E5C" w14:textId="77777777" w:rsidTr="006D5765">
        <w:tc>
          <w:tcPr>
            <w:tcW w:w="1418" w:type="dxa"/>
          </w:tcPr>
          <w:p w14:paraId="3536EA51" w14:textId="7D5D8C4A" w:rsidR="000C0EF4" w:rsidRPr="00BD58C0" w:rsidRDefault="006C3D7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w:t>
            </w:r>
          </w:p>
        </w:tc>
        <w:tc>
          <w:tcPr>
            <w:tcW w:w="2693" w:type="dxa"/>
          </w:tcPr>
          <w:p w14:paraId="16C7EFE8" w14:textId="73C82DB3" w:rsidR="000C0EF4" w:rsidRPr="00BD58C0" w:rsidRDefault="00515B6A"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3</w:t>
            </w:r>
          </w:p>
        </w:tc>
        <w:tc>
          <w:tcPr>
            <w:tcW w:w="4709" w:type="dxa"/>
          </w:tcPr>
          <w:p w14:paraId="0F4B5FE4" w14:textId="04B2E662" w:rsidR="000C0EF4" w:rsidRPr="00BD58C0" w:rsidRDefault="00515B6A"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Assistant mill manager, Supervisor (biogas plant), Executive chargeman</w:t>
            </w:r>
          </w:p>
        </w:tc>
      </w:tr>
      <w:tr w:rsidR="00BD58C0" w:rsidRPr="00BD58C0" w14:paraId="764D428D" w14:textId="77777777" w:rsidTr="006D5765">
        <w:tc>
          <w:tcPr>
            <w:tcW w:w="1418" w:type="dxa"/>
          </w:tcPr>
          <w:p w14:paraId="45393043" w14:textId="73B83FCB" w:rsidR="00515B6A" w:rsidRPr="00BD58C0" w:rsidRDefault="006C3D7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B</w:t>
            </w:r>
          </w:p>
        </w:tc>
        <w:tc>
          <w:tcPr>
            <w:tcW w:w="2693" w:type="dxa"/>
          </w:tcPr>
          <w:p w14:paraId="3DFD547B" w14:textId="4EE6D2F8" w:rsidR="00515B6A" w:rsidRPr="00BD58C0" w:rsidRDefault="00515B6A"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2</w:t>
            </w:r>
          </w:p>
        </w:tc>
        <w:tc>
          <w:tcPr>
            <w:tcW w:w="4709" w:type="dxa"/>
          </w:tcPr>
          <w:p w14:paraId="3A9EB9DE" w14:textId="004D9A6E" w:rsidR="00515B6A" w:rsidRPr="00BD58C0" w:rsidRDefault="00515B6A"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Senior engineer, </w:t>
            </w:r>
            <w:r w:rsidR="00696800" w:rsidRPr="00BD58C0">
              <w:rPr>
                <w:rFonts w:ascii="Times New Roman" w:eastAsiaTheme="minorEastAsia" w:hAnsi="Times New Roman" w:cs="Times New Roman"/>
                <w:iCs/>
                <w:sz w:val="24"/>
                <w:szCs w:val="24"/>
              </w:rPr>
              <w:t>Assistant general manager</w:t>
            </w:r>
            <w:r w:rsidRPr="00BD58C0">
              <w:rPr>
                <w:rFonts w:ascii="Times New Roman" w:eastAsiaTheme="minorEastAsia" w:hAnsi="Times New Roman" w:cs="Times New Roman"/>
                <w:iCs/>
                <w:sz w:val="24"/>
                <w:szCs w:val="24"/>
              </w:rPr>
              <w:t xml:space="preserve"> </w:t>
            </w:r>
          </w:p>
        </w:tc>
      </w:tr>
      <w:tr w:rsidR="00BD58C0" w:rsidRPr="00BD58C0" w14:paraId="67A194B3" w14:textId="77777777" w:rsidTr="006D5765">
        <w:tc>
          <w:tcPr>
            <w:tcW w:w="1418" w:type="dxa"/>
          </w:tcPr>
          <w:p w14:paraId="34D6930A" w14:textId="55AE708D" w:rsidR="00696800" w:rsidRPr="00BD58C0" w:rsidRDefault="006C3D7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C</w:t>
            </w:r>
          </w:p>
        </w:tc>
        <w:tc>
          <w:tcPr>
            <w:tcW w:w="2693" w:type="dxa"/>
          </w:tcPr>
          <w:p w14:paraId="26D3B443" w14:textId="7FCE015D" w:rsidR="00696800" w:rsidRPr="00BD58C0" w:rsidRDefault="00696800"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2</w:t>
            </w:r>
          </w:p>
        </w:tc>
        <w:tc>
          <w:tcPr>
            <w:tcW w:w="4709" w:type="dxa"/>
          </w:tcPr>
          <w:p w14:paraId="22B728B6" w14:textId="4D7C7D61" w:rsidR="00696800" w:rsidRPr="00BD58C0" w:rsidRDefault="00696800"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Assistant engineer, Senior assistant engineer</w:t>
            </w:r>
          </w:p>
        </w:tc>
      </w:tr>
      <w:tr w:rsidR="00BD58C0" w:rsidRPr="00BD58C0" w14:paraId="7A6B3085" w14:textId="77777777" w:rsidTr="006D5765">
        <w:tc>
          <w:tcPr>
            <w:tcW w:w="1418" w:type="dxa"/>
          </w:tcPr>
          <w:p w14:paraId="5E9D43E1" w14:textId="3FCAF6E2" w:rsidR="00696800" w:rsidRPr="00BD58C0" w:rsidRDefault="006C3D7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D</w:t>
            </w:r>
          </w:p>
        </w:tc>
        <w:tc>
          <w:tcPr>
            <w:tcW w:w="2693" w:type="dxa"/>
          </w:tcPr>
          <w:p w14:paraId="5241F6AA" w14:textId="1F6BCBAE" w:rsidR="00696800" w:rsidRPr="00BD58C0" w:rsidRDefault="00696800"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2</w:t>
            </w:r>
          </w:p>
        </w:tc>
        <w:tc>
          <w:tcPr>
            <w:tcW w:w="4709" w:type="dxa"/>
          </w:tcPr>
          <w:p w14:paraId="47A0AF20" w14:textId="1C164200" w:rsidR="00696800" w:rsidRPr="00BD58C0" w:rsidRDefault="00696800"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Senior mill assistant engineer, Executive</w:t>
            </w:r>
          </w:p>
        </w:tc>
      </w:tr>
      <w:tr w:rsidR="00BD58C0" w:rsidRPr="00BD58C0" w14:paraId="384474A7" w14:textId="77777777" w:rsidTr="006D5765">
        <w:tc>
          <w:tcPr>
            <w:tcW w:w="1418" w:type="dxa"/>
          </w:tcPr>
          <w:p w14:paraId="5B21A864" w14:textId="1A312024" w:rsidR="002B2C96" w:rsidRPr="00BD58C0" w:rsidRDefault="006C3D7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E</w:t>
            </w:r>
          </w:p>
        </w:tc>
        <w:tc>
          <w:tcPr>
            <w:tcW w:w="2693" w:type="dxa"/>
          </w:tcPr>
          <w:p w14:paraId="3545DED8" w14:textId="5569703D" w:rsidR="002B2C96" w:rsidRPr="00BD58C0" w:rsidRDefault="002B2C96"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2</w:t>
            </w:r>
          </w:p>
        </w:tc>
        <w:tc>
          <w:tcPr>
            <w:tcW w:w="4709" w:type="dxa"/>
          </w:tcPr>
          <w:p w14:paraId="5482C821" w14:textId="7E51D4DE" w:rsidR="002B2C96" w:rsidRPr="00BD58C0" w:rsidRDefault="00B67F31" w:rsidP="00AA1DB4">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Assistant engineer</w:t>
            </w:r>
            <w:r w:rsidR="006D5765" w:rsidRPr="00BD58C0">
              <w:rPr>
                <w:rFonts w:ascii="Times New Roman" w:eastAsiaTheme="minorEastAsia" w:hAnsi="Times New Roman" w:cs="Times New Roman"/>
                <w:iCs/>
                <w:sz w:val="24"/>
                <w:szCs w:val="24"/>
              </w:rPr>
              <w:t>s</w:t>
            </w:r>
          </w:p>
        </w:tc>
      </w:tr>
      <w:bookmarkEnd w:id="6"/>
    </w:tbl>
    <w:p w14:paraId="62FEA43A" w14:textId="77777777" w:rsidR="004713CF" w:rsidRPr="00BD58C0" w:rsidRDefault="004713CF" w:rsidP="004713CF">
      <w:pPr>
        <w:spacing w:after="0" w:line="360" w:lineRule="auto"/>
        <w:jc w:val="both"/>
        <w:rPr>
          <w:rFonts w:ascii="Times New Roman" w:eastAsiaTheme="minorEastAsia" w:hAnsi="Times New Roman" w:cs="Times New Roman"/>
          <w:iCs/>
          <w:sz w:val="24"/>
          <w:szCs w:val="24"/>
          <w:lang w:val="en-US"/>
        </w:rPr>
      </w:pPr>
    </w:p>
    <w:p w14:paraId="03D0C358" w14:textId="6F8710CF" w:rsidR="00045AEB" w:rsidRPr="00BD58C0" w:rsidRDefault="00045AEB" w:rsidP="004713CF">
      <w:pPr>
        <w:spacing w:after="0" w:line="360" w:lineRule="auto"/>
        <w:ind w:firstLine="720"/>
        <w:jc w:val="both"/>
        <w:rPr>
          <w:rFonts w:ascii="Times New Roman" w:eastAsiaTheme="minorEastAsia" w:hAnsi="Times New Roman" w:cs="Times New Roman"/>
          <w:iCs/>
          <w:sz w:val="24"/>
          <w:szCs w:val="24"/>
          <w:lang w:val="en-US"/>
        </w:rPr>
        <w:sectPr w:rsidR="00045AEB" w:rsidRPr="00BD58C0" w:rsidSect="00D91177">
          <w:footerReference w:type="default" r:id="rId8"/>
          <w:pgSz w:w="12240" w:h="15840" w:code="1"/>
          <w:pgMar w:top="1440" w:right="1440" w:bottom="1440" w:left="1440" w:header="720" w:footer="720" w:gutter="0"/>
          <w:lnNumType w:countBy="1" w:restart="continuous"/>
          <w:cols w:space="720"/>
          <w:docGrid w:linePitch="360"/>
        </w:sectPr>
      </w:pPr>
      <w:r w:rsidRPr="00BD58C0">
        <w:rPr>
          <w:rFonts w:ascii="Times New Roman" w:eastAsiaTheme="minorEastAsia" w:hAnsi="Times New Roman" w:cs="Times New Roman"/>
          <w:iCs/>
          <w:sz w:val="24"/>
          <w:szCs w:val="24"/>
          <w:lang w:val="en-US"/>
        </w:rPr>
        <w:t xml:space="preserve">Two of the sampled POMs generate biogas for energy, one using the CLB and </w:t>
      </w:r>
      <w:r w:rsidR="009F3A42" w:rsidRPr="00BD58C0">
        <w:rPr>
          <w:rFonts w:ascii="Times New Roman" w:eastAsiaTheme="minorEastAsia" w:hAnsi="Times New Roman" w:cs="Times New Roman"/>
          <w:iCs/>
          <w:sz w:val="24"/>
          <w:szCs w:val="24"/>
          <w:lang w:val="en-US"/>
        </w:rPr>
        <w:t xml:space="preserve">the other </w:t>
      </w:r>
      <w:r w:rsidRPr="00BD58C0">
        <w:rPr>
          <w:rFonts w:ascii="Times New Roman" w:eastAsiaTheme="minorEastAsia" w:hAnsi="Times New Roman" w:cs="Times New Roman"/>
          <w:iCs/>
          <w:sz w:val="24"/>
          <w:szCs w:val="24"/>
          <w:lang w:val="en-US"/>
        </w:rPr>
        <w:t xml:space="preserve">using the CSTR system, and </w:t>
      </w:r>
      <w:r w:rsidR="008471B2" w:rsidRPr="00BD58C0">
        <w:rPr>
          <w:rFonts w:ascii="Times New Roman" w:eastAsiaTheme="minorEastAsia" w:hAnsi="Times New Roman" w:cs="Times New Roman"/>
          <w:iCs/>
          <w:sz w:val="24"/>
          <w:szCs w:val="24"/>
          <w:lang w:val="en-US"/>
        </w:rPr>
        <w:t xml:space="preserve">both </w:t>
      </w:r>
      <w:r w:rsidRPr="00BD58C0">
        <w:rPr>
          <w:rFonts w:ascii="Times New Roman" w:eastAsiaTheme="minorEastAsia" w:hAnsi="Times New Roman" w:cs="Times New Roman"/>
          <w:iCs/>
          <w:sz w:val="24"/>
          <w:szCs w:val="24"/>
          <w:lang w:val="en-US"/>
        </w:rPr>
        <w:t xml:space="preserve">sell the electricity generated to the grid. One of the other three remaining POMs has chosen to use the closed tank system for electricity generation for its own plant consumption, while the other two POMs use biogas as fuel for boilers, but not for energy generation. Following presentation of the </w:t>
      </w:r>
      <w:r w:rsidR="008471B2" w:rsidRPr="00BD58C0">
        <w:rPr>
          <w:rFonts w:ascii="Times New Roman" w:eastAsiaTheme="minorEastAsia" w:hAnsi="Times New Roman" w:cs="Times New Roman"/>
          <w:iCs/>
          <w:sz w:val="24"/>
          <w:szCs w:val="24"/>
          <w:lang w:val="en-US"/>
        </w:rPr>
        <w:t xml:space="preserve">LCA </w:t>
      </w:r>
      <w:r w:rsidRPr="00BD58C0">
        <w:rPr>
          <w:rFonts w:ascii="Times New Roman" w:eastAsiaTheme="minorEastAsia" w:hAnsi="Times New Roman" w:cs="Times New Roman"/>
          <w:iCs/>
          <w:sz w:val="24"/>
          <w:szCs w:val="24"/>
          <w:lang w:val="en-US"/>
        </w:rPr>
        <w:t xml:space="preserve">findings emerging from </w:t>
      </w:r>
      <w:r w:rsidR="006615BA" w:rsidRPr="00BD58C0">
        <w:rPr>
          <w:rFonts w:ascii="Times New Roman" w:eastAsiaTheme="minorEastAsia" w:hAnsi="Times New Roman" w:cs="Times New Roman"/>
          <w:iCs/>
          <w:sz w:val="24"/>
          <w:szCs w:val="24"/>
          <w:lang w:val="en-US"/>
        </w:rPr>
        <w:t>[</w:t>
      </w:r>
      <w:r w:rsidR="00AF6B9A" w:rsidRPr="00BD58C0">
        <w:rPr>
          <w:rFonts w:ascii="Times New Roman" w:eastAsiaTheme="minorEastAsia" w:hAnsi="Times New Roman" w:cs="Times New Roman"/>
          <w:iCs/>
          <w:sz w:val="24"/>
          <w:szCs w:val="24"/>
          <w:lang w:val="en-US"/>
        </w:rPr>
        <w:t>18</w:t>
      </w:r>
      <w:r w:rsidR="006615BA" w:rsidRPr="00BD58C0">
        <w:rPr>
          <w:rFonts w:ascii="Times New Roman" w:eastAsiaTheme="minorEastAsia" w:hAnsi="Times New Roman" w:cs="Times New Roman"/>
          <w:iCs/>
          <w:sz w:val="24"/>
          <w:szCs w:val="24"/>
          <w:lang w:val="en-US"/>
        </w:rPr>
        <w:t>]</w:t>
      </w:r>
      <w:r w:rsidR="009350AB" w:rsidRPr="00BD58C0">
        <w:rPr>
          <w:rFonts w:ascii="Times New Roman" w:eastAsiaTheme="minorEastAsia" w:hAnsi="Times New Roman" w:cs="Times New Roman"/>
          <w:iCs/>
          <w:sz w:val="24"/>
          <w:szCs w:val="24"/>
          <w:lang w:val="en-US"/>
        </w:rPr>
        <w:t xml:space="preserve"> and LCCBA</w:t>
      </w:r>
      <w:r w:rsidR="00C7203E"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 xml:space="preserve">interviewees were invited to suggest possible policy </w:t>
      </w:r>
      <w:r w:rsidR="00290C00">
        <w:rPr>
          <w:rFonts w:ascii="Times New Roman" w:eastAsiaTheme="minorEastAsia" w:hAnsi="Times New Roman" w:cs="Times New Roman"/>
          <w:iCs/>
          <w:sz w:val="24"/>
          <w:szCs w:val="24"/>
          <w:lang w:val="en-US"/>
        </w:rPr>
        <w:t>solutions</w:t>
      </w:r>
      <w:r w:rsidR="003E49E9" w:rsidRPr="00BD58C0">
        <w:rPr>
          <w:rFonts w:ascii="Times New Roman" w:eastAsiaTheme="minorEastAsia" w:hAnsi="Times New Roman" w:cs="Times New Roman"/>
          <w:iCs/>
          <w:sz w:val="24"/>
          <w:szCs w:val="24"/>
          <w:lang w:val="en-US"/>
        </w:rPr>
        <w:t xml:space="preserve"> under </w:t>
      </w:r>
      <w:r w:rsidRPr="00BD58C0">
        <w:rPr>
          <w:rFonts w:ascii="Times New Roman" w:eastAsiaTheme="minorEastAsia" w:hAnsi="Times New Roman" w:cs="Times New Roman"/>
          <w:iCs/>
          <w:sz w:val="24"/>
          <w:szCs w:val="24"/>
          <w:lang w:val="en-US"/>
        </w:rPr>
        <w:t>four main criteria</w:t>
      </w:r>
      <w:r w:rsidR="003E49E9"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 xml:space="preserve"> </w:t>
      </w:r>
      <w:proofErr w:type="spellStart"/>
      <w:r w:rsidR="003E49E9" w:rsidRPr="00BD58C0">
        <w:rPr>
          <w:rFonts w:ascii="Times New Roman" w:eastAsiaTheme="minorEastAsia" w:hAnsi="Times New Roman" w:cs="Times New Roman"/>
          <w:iCs/>
          <w:sz w:val="24"/>
          <w:szCs w:val="24"/>
          <w:lang w:val="en-US"/>
        </w:rPr>
        <w:t>i</w:t>
      </w:r>
      <w:proofErr w:type="spellEnd"/>
      <w:r w:rsidR="003E49E9"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 xml:space="preserve">environmental impact, </w:t>
      </w:r>
      <w:r w:rsidR="003E49E9" w:rsidRPr="00BD58C0">
        <w:rPr>
          <w:rFonts w:ascii="Times New Roman" w:eastAsiaTheme="minorEastAsia" w:hAnsi="Times New Roman" w:cs="Times New Roman"/>
          <w:iCs/>
          <w:sz w:val="24"/>
          <w:szCs w:val="24"/>
          <w:lang w:val="en-US"/>
        </w:rPr>
        <w:t xml:space="preserve">ii) </w:t>
      </w:r>
      <w:r w:rsidRPr="00BD58C0">
        <w:rPr>
          <w:rFonts w:ascii="Times New Roman" w:eastAsiaTheme="minorEastAsia" w:hAnsi="Times New Roman" w:cs="Times New Roman"/>
          <w:iCs/>
          <w:sz w:val="24"/>
          <w:szCs w:val="24"/>
          <w:lang w:val="en-US"/>
        </w:rPr>
        <w:t xml:space="preserve">investment cost, </w:t>
      </w:r>
      <w:r w:rsidR="003E49E9" w:rsidRPr="00BD58C0">
        <w:rPr>
          <w:rFonts w:ascii="Times New Roman" w:eastAsiaTheme="minorEastAsia" w:hAnsi="Times New Roman" w:cs="Times New Roman"/>
          <w:iCs/>
          <w:sz w:val="24"/>
          <w:szCs w:val="24"/>
          <w:lang w:val="en-US"/>
        </w:rPr>
        <w:t xml:space="preserve">iii) </w:t>
      </w:r>
      <w:r w:rsidRPr="00BD58C0">
        <w:rPr>
          <w:rFonts w:ascii="Times New Roman" w:eastAsiaTheme="minorEastAsia" w:hAnsi="Times New Roman" w:cs="Times New Roman"/>
          <w:iCs/>
          <w:sz w:val="24"/>
          <w:szCs w:val="24"/>
          <w:lang w:val="en-US"/>
        </w:rPr>
        <w:t xml:space="preserve">operational cost and </w:t>
      </w:r>
      <w:r w:rsidR="003E49E9" w:rsidRPr="00BD58C0">
        <w:rPr>
          <w:rFonts w:ascii="Times New Roman" w:eastAsiaTheme="minorEastAsia" w:hAnsi="Times New Roman" w:cs="Times New Roman"/>
          <w:iCs/>
          <w:sz w:val="24"/>
          <w:szCs w:val="24"/>
          <w:lang w:val="en-US"/>
        </w:rPr>
        <w:t xml:space="preserve">iv) </w:t>
      </w:r>
      <w:r w:rsidRPr="00BD58C0">
        <w:rPr>
          <w:rFonts w:ascii="Times New Roman" w:eastAsiaTheme="minorEastAsia" w:hAnsi="Times New Roman" w:cs="Times New Roman"/>
          <w:iCs/>
          <w:sz w:val="24"/>
          <w:szCs w:val="24"/>
          <w:lang w:val="en-US"/>
        </w:rPr>
        <w:t>revenue, drawing on the</w:t>
      </w:r>
      <w:r w:rsidR="00D02653" w:rsidRPr="00BD58C0">
        <w:rPr>
          <w:rFonts w:ascii="Times New Roman" w:eastAsiaTheme="minorEastAsia" w:hAnsi="Times New Roman" w:cs="Times New Roman"/>
          <w:iCs/>
          <w:sz w:val="24"/>
          <w:szCs w:val="24"/>
          <w:lang w:val="en-US"/>
        </w:rPr>
        <w:t xml:space="preserve"> interviewees</w:t>
      </w:r>
      <w:r w:rsidRPr="00BD58C0">
        <w:rPr>
          <w:rFonts w:ascii="Times New Roman" w:eastAsiaTheme="minorEastAsia" w:hAnsi="Times New Roman" w:cs="Times New Roman"/>
          <w:iCs/>
          <w:sz w:val="24"/>
          <w:szCs w:val="24"/>
          <w:lang w:val="en-US"/>
        </w:rPr>
        <w:t xml:space="preserve"> own knowledge and experience. The interview outputs (</w:t>
      </w:r>
      <w:r w:rsidR="00CA7F9F">
        <w:rPr>
          <w:rFonts w:ascii="Times New Roman" w:eastAsiaTheme="minorEastAsia" w:hAnsi="Times New Roman" w:cs="Times New Roman"/>
          <w:iCs/>
          <w:sz w:val="24"/>
          <w:szCs w:val="24"/>
          <w:lang w:val="en-US"/>
        </w:rPr>
        <w:t>solutions</w:t>
      </w:r>
      <w:r w:rsidRPr="00BD58C0">
        <w:rPr>
          <w:rFonts w:ascii="Times New Roman" w:eastAsiaTheme="minorEastAsia" w:hAnsi="Times New Roman" w:cs="Times New Roman"/>
          <w:iCs/>
          <w:sz w:val="24"/>
          <w:szCs w:val="24"/>
          <w:lang w:val="en-US"/>
        </w:rPr>
        <w:t xml:space="preserve">) listed in Table </w:t>
      </w:r>
      <w:r w:rsidR="006C3D71" w:rsidRPr="00BD58C0">
        <w:rPr>
          <w:rFonts w:ascii="Times New Roman" w:eastAsiaTheme="minorEastAsia" w:hAnsi="Times New Roman" w:cs="Times New Roman"/>
          <w:iCs/>
          <w:sz w:val="24"/>
          <w:szCs w:val="24"/>
          <w:lang w:val="en-US"/>
        </w:rPr>
        <w:t>5</w:t>
      </w:r>
      <w:r w:rsidRPr="00BD58C0">
        <w:rPr>
          <w:rFonts w:ascii="Times New Roman" w:eastAsiaTheme="minorEastAsia" w:hAnsi="Times New Roman" w:cs="Times New Roman"/>
          <w:iCs/>
          <w:sz w:val="24"/>
          <w:szCs w:val="24"/>
          <w:lang w:val="en-US"/>
        </w:rPr>
        <w:t xml:space="preserve"> were then used as the inputs for the AHP.</w:t>
      </w:r>
    </w:p>
    <w:p w14:paraId="7AE2A83C" w14:textId="0AAF5C7F" w:rsidR="00045AEB" w:rsidRPr="00BD58C0" w:rsidRDefault="00045AEB" w:rsidP="00045AEB">
      <w:pPr>
        <w:spacing w:after="0" w:line="360" w:lineRule="auto"/>
        <w:jc w:val="both"/>
        <w:rPr>
          <w:rFonts w:ascii="Times New Roman" w:eastAsiaTheme="minorEastAsia" w:hAnsi="Times New Roman" w:cs="Times New Roman"/>
          <w:iCs/>
          <w:sz w:val="24"/>
          <w:szCs w:val="24"/>
          <w:lang w:val="en-GB"/>
        </w:rPr>
      </w:pPr>
      <w:bookmarkStart w:id="7" w:name="_Hlk87167037"/>
      <w:r w:rsidRPr="00BD58C0">
        <w:rPr>
          <w:rFonts w:ascii="Times New Roman" w:eastAsiaTheme="minorEastAsia" w:hAnsi="Times New Roman" w:cs="Times New Roman"/>
          <w:b/>
          <w:bCs/>
          <w:iCs/>
          <w:sz w:val="24"/>
          <w:szCs w:val="24"/>
          <w:lang w:val="en-US"/>
        </w:rPr>
        <w:lastRenderedPageBreak/>
        <w:t>T</w:t>
      </w:r>
      <w:r w:rsidR="008F1828" w:rsidRPr="00BD58C0">
        <w:rPr>
          <w:rFonts w:ascii="Times New Roman" w:eastAsiaTheme="minorEastAsia" w:hAnsi="Times New Roman" w:cs="Times New Roman"/>
          <w:b/>
          <w:bCs/>
          <w:iCs/>
          <w:sz w:val="24"/>
          <w:szCs w:val="24"/>
          <w:lang w:val="en-US"/>
        </w:rPr>
        <w:t xml:space="preserve">able </w:t>
      </w:r>
      <w:r w:rsidR="006C3D71" w:rsidRPr="00BD58C0">
        <w:rPr>
          <w:rFonts w:ascii="Times New Roman" w:eastAsiaTheme="minorEastAsia" w:hAnsi="Times New Roman" w:cs="Times New Roman"/>
          <w:b/>
          <w:bCs/>
          <w:iCs/>
          <w:sz w:val="24"/>
          <w:szCs w:val="24"/>
          <w:lang w:val="en-US"/>
        </w:rPr>
        <w:t>5</w:t>
      </w:r>
      <w:r w:rsidR="008F1828" w:rsidRPr="00BD58C0">
        <w:rPr>
          <w:rFonts w:ascii="Times New Roman" w:eastAsiaTheme="minorEastAsia" w:hAnsi="Times New Roman" w:cs="Times New Roman"/>
          <w:iCs/>
          <w:sz w:val="24"/>
          <w:szCs w:val="24"/>
          <w:lang w:val="en-US"/>
        </w:rPr>
        <w:tab/>
      </w:r>
      <w:r w:rsidR="003E49E9" w:rsidRPr="00BD58C0">
        <w:rPr>
          <w:rFonts w:ascii="Times New Roman" w:eastAsiaTheme="minorEastAsia" w:hAnsi="Times New Roman" w:cs="Times New Roman"/>
          <w:iCs/>
          <w:sz w:val="24"/>
          <w:szCs w:val="24"/>
          <w:lang w:val="en-GB"/>
        </w:rPr>
        <w:t>D</w:t>
      </w:r>
      <w:r w:rsidRPr="00BD58C0">
        <w:rPr>
          <w:rFonts w:ascii="Times New Roman" w:eastAsiaTheme="minorEastAsia" w:hAnsi="Times New Roman" w:cs="Times New Roman"/>
          <w:iCs/>
          <w:sz w:val="24"/>
          <w:szCs w:val="24"/>
          <w:lang w:val="en-GB"/>
        </w:rPr>
        <w:t xml:space="preserve">escription </w:t>
      </w:r>
      <w:r w:rsidR="003E49E9" w:rsidRPr="00BD58C0">
        <w:rPr>
          <w:rFonts w:ascii="Times New Roman" w:eastAsiaTheme="minorEastAsia" w:hAnsi="Times New Roman" w:cs="Times New Roman"/>
          <w:iCs/>
          <w:sz w:val="24"/>
          <w:szCs w:val="24"/>
          <w:lang w:val="en-GB"/>
        </w:rPr>
        <w:t xml:space="preserve">of </w:t>
      </w:r>
      <w:r w:rsidRPr="00BD58C0">
        <w:rPr>
          <w:rFonts w:ascii="Times New Roman" w:eastAsiaTheme="minorEastAsia" w:hAnsi="Times New Roman" w:cs="Times New Roman"/>
          <w:iCs/>
          <w:sz w:val="24"/>
          <w:szCs w:val="24"/>
          <w:lang w:val="en-GB"/>
        </w:rPr>
        <w:t>the main criteria</w:t>
      </w:r>
      <w:r w:rsidR="00F70AB0" w:rsidRPr="00BD58C0">
        <w:rPr>
          <w:rFonts w:ascii="Times New Roman" w:eastAsiaTheme="minorEastAsia" w:hAnsi="Times New Roman" w:cs="Times New Roman"/>
          <w:iCs/>
          <w:sz w:val="24"/>
          <w:szCs w:val="24"/>
          <w:lang w:val="en-GB"/>
        </w:rPr>
        <w:t xml:space="preserve"> (environmental impact, investment cost, operational cost and revenue)</w:t>
      </w:r>
      <w:r w:rsidRPr="00BD58C0">
        <w:rPr>
          <w:rFonts w:ascii="Times New Roman" w:eastAsiaTheme="minorEastAsia" w:hAnsi="Times New Roman" w:cs="Times New Roman"/>
          <w:iCs/>
          <w:sz w:val="24"/>
          <w:szCs w:val="24"/>
          <w:lang w:val="en-GB"/>
        </w:rPr>
        <w:t xml:space="preserve"> and </w:t>
      </w:r>
      <w:r w:rsidR="003E49E9" w:rsidRPr="00BD58C0">
        <w:rPr>
          <w:rFonts w:ascii="Times New Roman" w:eastAsiaTheme="minorEastAsia" w:hAnsi="Times New Roman" w:cs="Times New Roman"/>
          <w:iCs/>
          <w:sz w:val="24"/>
          <w:szCs w:val="24"/>
          <w:lang w:val="en-GB"/>
        </w:rPr>
        <w:t xml:space="preserve">possible </w:t>
      </w:r>
      <w:r w:rsidR="00C31AA6" w:rsidRPr="00BD58C0">
        <w:rPr>
          <w:rFonts w:ascii="Times New Roman" w:eastAsiaTheme="minorEastAsia" w:hAnsi="Times New Roman" w:cs="Times New Roman"/>
          <w:iCs/>
          <w:sz w:val="24"/>
          <w:szCs w:val="24"/>
          <w:lang w:val="en-GB"/>
        </w:rPr>
        <w:t>solutions</w:t>
      </w:r>
    </w:p>
    <w:tbl>
      <w:tblPr>
        <w:tblStyle w:val="PlainTable2"/>
        <w:tblW w:w="12972" w:type="dxa"/>
        <w:tblLook w:val="0620" w:firstRow="1" w:lastRow="0" w:firstColumn="0" w:lastColumn="0" w:noHBand="1" w:noVBand="1"/>
      </w:tblPr>
      <w:tblGrid>
        <w:gridCol w:w="2809"/>
        <w:gridCol w:w="17"/>
        <w:gridCol w:w="205"/>
        <w:gridCol w:w="3776"/>
        <w:gridCol w:w="52"/>
        <w:gridCol w:w="5620"/>
        <w:gridCol w:w="493"/>
      </w:tblGrid>
      <w:tr w:rsidR="00BD58C0" w:rsidRPr="00BD58C0" w14:paraId="40CCAE6D" w14:textId="77777777" w:rsidTr="00767C1E">
        <w:trPr>
          <w:cnfStyle w:val="100000000000" w:firstRow="1" w:lastRow="0" w:firstColumn="0" w:lastColumn="0" w:oddVBand="0" w:evenVBand="0" w:oddHBand="0" w:evenHBand="0" w:firstRowFirstColumn="0" w:firstRowLastColumn="0" w:lastRowFirstColumn="0" w:lastRowLastColumn="0"/>
          <w:trHeight w:val="271"/>
        </w:trPr>
        <w:tc>
          <w:tcPr>
            <w:tcW w:w="2809" w:type="dxa"/>
            <w:shd w:val="clear" w:color="auto" w:fill="E7E6E6" w:themeFill="background2"/>
          </w:tcPr>
          <w:p w14:paraId="645CF883" w14:textId="36F21530" w:rsidR="00006696" w:rsidRPr="00BD58C0" w:rsidRDefault="00006696" w:rsidP="00045AEB">
            <w:pPr>
              <w:spacing w:line="360" w:lineRule="auto"/>
              <w:jc w:val="both"/>
              <w:rPr>
                <w:rFonts w:ascii="Times New Roman" w:eastAsiaTheme="minorEastAsia" w:hAnsi="Times New Roman" w:cs="Times New Roman"/>
                <w:b w:val="0"/>
                <w:bCs w:val="0"/>
                <w:iCs/>
                <w:sz w:val="24"/>
                <w:szCs w:val="24"/>
                <w:lang w:val="en-US"/>
              </w:rPr>
            </w:pPr>
            <w:bookmarkStart w:id="8" w:name="_Hlk87167074"/>
            <w:bookmarkEnd w:id="7"/>
            <w:r w:rsidRPr="00BD58C0">
              <w:rPr>
                <w:rFonts w:ascii="Times New Roman" w:eastAsiaTheme="minorEastAsia" w:hAnsi="Times New Roman" w:cs="Times New Roman"/>
                <w:b w:val="0"/>
                <w:bCs w:val="0"/>
                <w:iCs/>
                <w:sz w:val="24"/>
                <w:szCs w:val="24"/>
                <w:lang w:val="en-US"/>
              </w:rPr>
              <w:t>Main criterion (</w:t>
            </w:r>
            <w:r w:rsidR="00CD5AB4" w:rsidRPr="00BD58C0">
              <w:rPr>
                <w:rFonts w:ascii="Times New Roman" w:eastAsiaTheme="minorEastAsia" w:hAnsi="Times New Roman" w:cs="Times New Roman"/>
                <w:b w:val="0"/>
                <w:bCs w:val="0"/>
                <w:iCs/>
                <w:sz w:val="24"/>
                <w:szCs w:val="24"/>
                <w:lang w:val="en-US"/>
              </w:rPr>
              <w:t>d</w:t>
            </w:r>
            <w:r w:rsidRPr="00BD58C0">
              <w:rPr>
                <w:rFonts w:ascii="Times New Roman" w:eastAsiaTheme="minorEastAsia" w:hAnsi="Times New Roman" w:cs="Times New Roman"/>
                <w:b w:val="0"/>
                <w:bCs w:val="0"/>
                <w:iCs/>
                <w:sz w:val="24"/>
                <w:szCs w:val="24"/>
                <w:lang w:val="en-US"/>
              </w:rPr>
              <w:t>escription)</w:t>
            </w:r>
          </w:p>
        </w:tc>
        <w:tc>
          <w:tcPr>
            <w:tcW w:w="222" w:type="dxa"/>
            <w:gridSpan w:val="2"/>
            <w:shd w:val="clear" w:color="auto" w:fill="E7E6E6" w:themeFill="background2"/>
          </w:tcPr>
          <w:p w14:paraId="6515DF90" w14:textId="77777777" w:rsidR="00006696" w:rsidRPr="00BD58C0" w:rsidRDefault="00006696" w:rsidP="00045AEB">
            <w:pPr>
              <w:spacing w:line="360" w:lineRule="auto"/>
              <w:jc w:val="both"/>
              <w:rPr>
                <w:rFonts w:ascii="Times New Roman" w:eastAsiaTheme="minorEastAsia" w:hAnsi="Times New Roman" w:cs="Times New Roman"/>
                <w:b w:val="0"/>
                <w:bCs w:val="0"/>
                <w:iCs/>
                <w:sz w:val="24"/>
                <w:szCs w:val="24"/>
                <w:lang w:val="en-US"/>
              </w:rPr>
            </w:pPr>
          </w:p>
        </w:tc>
        <w:tc>
          <w:tcPr>
            <w:tcW w:w="3828" w:type="dxa"/>
            <w:gridSpan w:val="2"/>
            <w:shd w:val="clear" w:color="auto" w:fill="E7E6E6" w:themeFill="background2"/>
          </w:tcPr>
          <w:p w14:paraId="38A2A778" w14:textId="7F7C7809" w:rsidR="00006696" w:rsidRPr="00BD58C0" w:rsidRDefault="00006696" w:rsidP="00045AEB">
            <w:pPr>
              <w:spacing w:line="360" w:lineRule="auto"/>
              <w:jc w:val="both"/>
              <w:rPr>
                <w:rFonts w:ascii="Times New Roman" w:eastAsiaTheme="minorEastAsia" w:hAnsi="Times New Roman" w:cs="Times New Roman"/>
                <w:b w:val="0"/>
                <w:bCs w:val="0"/>
                <w:iCs/>
                <w:sz w:val="24"/>
                <w:szCs w:val="24"/>
                <w:lang w:val="en-US"/>
              </w:rPr>
            </w:pPr>
            <w:r w:rsidRPr="00BD58C0">
              <w:rPr>
                <w:rFonts w:ascii="Times New Roman" w:eastAsiaTheme="minorEastAsia" w:hAnsi="Times New Roman" w:cs="Times New Roman"/>
                <w:b w:val="0"/>
                <w:bCs w:val="0"/>
                <w:iCs/>
                <w:sz w:val="24"/>
                <w:szCs w:val="24"/>
                <w:lang w:val="en-US"/>
              </w:rPr>
              <w:t>Possible solutions</w:t>
            </w:r>
          </w:p>
        </w:tc>
        <w:tc>
          <w:tcPr>
            <w:tcW w:w="6113" w:type="dxa"/>
            <w:gridSpan w:val="2"/>
            <w:shd w:val="clear" w:color="auto" w:fill="E7E6E6" w:themeFill="background2"/>
          </w:tcPr>
          <w:p w14:paraId="5DB69706" w14:textId="24003FF7" w:rsidR="00006696" w:rsidRPr="00BD58C0" w:rsidRDefault="00006696" w:rsidP="00045AEB">
            <w:pPr>
              <w:spacing w:line="360" w:lineRule="auto"/>
              <w:jc w:val="both"/>
              <w:rPr>
                <w:rFonts w:ascii="Times New Roman" w:eastAsiaTheme="minorEastAsia" w:hAnsi="Times New Roman" w:cs="Times New Roman"/>
                <w:b w:val="0"/>
                <w:bCs w:val="0"/>
                <w:iCs/>
                <w:sz w:val="24"/>
                <w:szCs w:val="24"/>
                <w:lang w:val="en-US"/>
              </w:rPr>
            </w:pPr>
            <w:r w:rsidRPr="00BD58C0">
              <w:rPr>
                <w:rFonts w:ascii="Times New Roman" w:eastAsiaTheme="minorEastAsia" w:hAnsi="Times New Roman" w:cs="Times New Roman"/>
                <w:b w:val="0"/>
                <w:bCs w:val="0"/>
                <w:iCs/>
                <w:sz w:val="24"/>
                <w:szCs w:val="24"/>
                <w:lang w:val="en-US"/>
              </w:rPr>
              <w:t xml:space="preserve">Description </w:t>
            </w:r>
          </w:p>
        </w:tc>
      </w:tr>
      <w:tr w:rsidR="00BD58C0" w:rsidRPr="00BD58C0" w14:paraId="4A9C4F37" w14:textId="77777777" w:rsidTr="00767C1E">
        <w:trPr>
          <w:trHeight w:val="271"/>
        </w:trPr>
        <w:tc>
          <w:tcPr>
            <w:tcW w:w="2809" w:type="dxa"/>
            <w:vMerge w:val="restart"/>
          </w:tcPr>
          <w:p w14:paraId="074C5EFF" w14:textId="74EDE1F1"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Environmental impact (</w:t>
            </w:r>
            <w:r w:rsidR="00CD5AB4" w:rsidRPr="00BD58C0">
              <w:rPr>
                <w:rFonts w:ascii="Times New Roman" w:eastAsiaTheme="minorEastAsia" w:hAnsi="Times New Roman" w:cs="Times New Roman"/>
                <w:iCs/>
                <w:sz w:val="24"/>
                <w:szCs w:val="24"/>
                <w:lang w:val="en-US"/>
              </w:rPr>
              <w:t>p</w:t>
            </w:r>
            <w:r w:rsidRPr="00BD58C0">
              <w:rPr>
                <w:rFonts w:ascii="Times New Roman" w:eastAsiaTheme="minorEastAsia" w:hAnsi="Times New Roman" w:cs="Times New Roman"/>
                <w:iCs/>
                <w:sz w:val="24"/>
                <w:szCs w:val="24"/>
                <w:lang w:val="en-US"/>
              </w:rPr>
              <w:t>otential impacts due to gaseous emissions or various accumulations of nutrients in the environment)</w:t>
            </w:r>
          </w:p>
        </w:tc>
        <w:tc>
          <w:tcPr>
            <w:tcW w:w="222" w:type="dxa"/>
            <w:gridSpan w:val="2"/>
          </w:tcPr>
          <w:p w14:paraId="79DF9E02" w14:textId="77777777" w:rsidR="00006696" w:rsidRPr="00BD58C0" w:rsidRDefault="00006696" w:rsidP="007814B8">
            <w:pPr>
              <w:spacing w:line="360" w:lineRule="auto"/>
              <w:rPr>
                <w:rFonts w:ascii="Times New Roman" w:eastAsiaTheme="minorEastAsia" w:hAnsi="Times New Roman" w:cs="Times New Roman"/>
                <w:iCs/>
                <w:sz w:val="24"/>
                <w:szCs w:val="24"/>
                <w:lang w:val="en-US"/>
              </w:rPr>
            </w:pPr>
          </w:p>
        </w:tc>
        <w:tc>
          <w:tcPr>
            <w:tcW w:w="3828" w:type="dxa"/>
            <w:gridSpan w:val="2"/>
          </w:tcPr>
          <w:p w14:paraId="2E92F823" w14:textId="132E7F8A" w:rsidR="00006696" w:rsidRPr="00BD58C0" w:rsidRDefault="00006696" w:rsidP="007814B8">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Cover open pond wall using lining</w:t>
            </w:r>
          </w:p>
        </w:tc>
        <w:tc>
          <w:tcPr>
            <w:tcW w:w="6113" w:type="dxa"/>
            <w:gridSpan w:val="2"/>
          </w:tcPr>
          <w:p w14:paraId="17E5167C" w14:textId="13E2381B"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The open pond wall should be covered to avoid any leaching and pollution of groundwater</w:t>
            </w:r>
            <w:r w:rsidR="003079A3" w:rsidRPr="00BD58C0">
              <w:rPr>
                <w:rFonts w:ascii="Times New Roman" w:eastAsiaTheme="minorEastAsia" w:hAnsi="Times New Roman" w:cs="Times New Roman"/>
                <w:iCs/>
                <w:sz w:val="24"/>
                <w:szCs w:val="24"/>
                <w:lang w:val="en-US"/>
              </w:rPr>
              <w:t>.</w:t>
            </w:r>
          </w:p>
        </w:tc>
      </w:tr>
      <w:tr w:rsidR="00BD58C0" w:rsidRPr="00BD58C0" w14:paraId="1F67DD40" w14:textId="77777777" w:rsidTr="00767C1E">
        <w:trPr>
          <w:trHeight w:val="544"/>
        </w:trPr>
        <w:tc>
          <w:tcPr>
            <w:tcW w:w="2809" w:type="dxa"/>
            <w:vMerge/>
          </w:tcPr>
          <w:p w14:paraId="0EEB62E7" w14:textId="25EA2595"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0EDD105F"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43E102C3" w14:textId="12BD9A81" w:rsidR="00006696" w:rsidRPr="00BD58C0" w:rsidRDefault="00006696" w:rsidP="00C72B61">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Do not cover open pond wall</w:t>
            </w:r>
          </w:p>
        </w:tc>
        <w:tc>
          <w:tcPr>
            <w:tcW w:w="6113" w:type="dxa"/>
            <w:gridSpan w:val="2"/>
          </w:tcPr>
          <w:p w14:paraId="773DF834" w14:textId="366B7E89"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The open pond wall should not be covered</w:t>
            </w:r>
            <w:r w:rsidR="003079A3" w:rsidRPr="00BD58C0">
              <w:rPr>
                <w:rFonts w:ascii="Times New Roman" w:eastAsiaTheme="minorEastAsia" w:hAnsi="Times New Roman" w:cs="Times New Roman"/>
                <w:iCs/>
                <w:sz w:val="24"/>
                <w:szCs w:val="24"/>
                <w:lang w:val="en-US"/>
              </w:rPr>
              <w:t>.</w:t>
            </w:r>
          </w:p>
        </w:tc>
      </w:tr>
      <w:tr w:rsidR="00BD58C0" w:rsidRPr="00BD58C0" w14:paraId="566D6525" w14:textId="77777777" w:rsidTr="00767C1E">
        <w:trPr>
          <w:trHeight w:val="271"/>
        </w:trPr>
        <w:tc>
          <w:tcPr>
            <w:tcW w:w="2809" w:type="dxa"/>
            <w:vMerge/>
          </w:tcPr>
          <w:p w14:paraId="6E9FAB8D" w14:textId="22B08678"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44EDF20A"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1E1259F9" w14:textId="51C9C741" w:rsidR="00006696" w:rsidRPr="00BD58C0" w:rsidRDefault="00006696" w:rsidP="00C72B61">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Provide detailed environmental guidelines</w:t>
            </w:r>
          </w:p>
        </w:tc>
        <w:tc>
          <w:tcPr>
            <w:tcW w:w="6113" w:type="dxa"/>
            <w:gridSpan w:val="2"/>
          </w:tcPr>
          <w:p w14:paraId="7E852F1D" w14:textId="54E21241"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The current environmental regulation needs to be revised to provide a detailed description </w:t>
            </w:r>
            <w:r w:rsidRPr="00BD58C0">
              <w:rPr>
                <w:rFonts w:ascii="Times New Roman" w:eastAsiaTheme="minorEastAsia" w:hAnsi="Times New Roman" w:cs="Times New Roman"/>
                <w:iCs/>
                <w:sz w:val="24"/>
                <w:szCs w:val="24"/>
                <w:lang w:val="en-GB"/>
              </w:rPr>
              <w:t>of the environmental guidelines to be followed by the millers</w:t>
            </w:r>
            <w:r w:rsidR="003079A3" w:rsidRPr="00BD58C0">
              <w:rPr>
                <w:rFonts w:ascii="Times New Roman" w:eastAsiaTheme="minorEastAsia" w:hAnsi="Times New Roman" w:cs="Times New Roman"/>
                <w:iCs/>
                <w:sz w:val="24"/>
                <w:szCs w:val="24"/>
                <w:lang w:val="en-GB"/>
              </w:rPr>
              <w:t>.</w:t>
            </w:r>
          </w:p>
        </w:tc>
      </w:tr>
      <w:tr w:rsidR="00BD58C0" w:rsidRPr="00BD58C0" w14:paraId="1822E19E" w14:textId="77777777" w:rsidTr="00767C1E">
        <w:trPr>
          <w:trHeight w:val="271"/>
        </w:trPr>
        <w:tc>
          <w:tcPr>
            <w:tcW w:w="2809" w:type="dxa"/>
          </w:tcPr>
          <w:p w14:paraId="4A0E6E53" w14:textId="77777777"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668D0735" w14:textId="77777777"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3828" w:type="dxa"/>
            <w:gridSpan w:val="2"/>
          </w:tcPr>
          <w:p w14:paraId="26AB3A4C" w14:textId="776B32E9"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6113" w:type="dxa"/>
            <w:gridSpan w:val="2"/>
          </w:tcPr>
          <w:p w14:paraId="11E84EC7" w14:textId="77777777"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r>
      <w:tr w:rsidR="00BD58C0" w:rsidRPr="00BD58C0" w14:paraId="001F6CD0" w14:textId="77777777" w:rsidTr="00767C1E">
        <w:trPr>
          <w:trHeight w:val="544"/>
        </w:trPr>
        <w:tc>
          <w:tcPr>
            <w:tcW w:w="2809" w:type="dxa"/>
            <w:vMerge w:val="restart"/>
          </w:tcPr>
          <w:p w14:paraId="3119A31A" w14:textId="13C1B7C8"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Investment cost (</w:t>
            </w:r>
            <w:r w:rsidR="00CD5AB4" w:rsidRPr="00BD58C0">
              <w:rPr>
                <w:rFonts w:ascii="Times New Roman" w:eastAsiaTheme="minorEastAsia" w:hAnsi="Times New Roman" w:cs="Times New Roman"/>
                <w:iCs/>
                <w:sz w:val="24"/>
                <w:szCs w:val="24"/>
                <w:lang w:val="en-US"/>
              </w:rPr>
              <w:t>t</w:t>
            </w:r>
            <w:r w:rsidRPr="00BD58C0">
              <w:rPr>
                <w:rFonts w:ascii="Times New Roman" w:eastAsiaTheme="minorEastAsia" w:hAnsi="Times New Roman" w:cs="Times New Roman"/>
                <w:iCs/>
                <w:sz w:val="24"/>
                <w:szCs w:val="24"/>
                <w:lang w:val="en-US"/>
              </w:rPr>
              <w:t>otal capital cost involved in setting up a biogas treatment facility)</w:t>
            </w:r>
          </w:p>
        </w:tc>
        <w:tc>
          <w:tcPr>
            <w:tcW w:w="222" w:type="dxa"/>
            <w:gridSpan w:val="2"/>
          </w:tcPr>
          <w:p w14:paraId="67D8B805"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7488F30C" w14:textId="4B5A721E" w:rsidR="00006696" w:rsidRPr="00BD58C0" w:rsidRDefault="00006696" w:rsidP="00C72B61">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US"/>
              </w:rPr>
              <w:t>Provide subsidy for transmission of electricity to the grid</w:t>
            </w:r>
          </w:p>
        </w:tc>
        <w:tc>
          <w:tcPr>
            <w:tcW w:w="6113" w:type="dxa"/>
            <w:gridSpan w:val="2"/>
          </w:tcPr>
          <w:p w14:paraId="3F92DC6F" w14:textId="7FE32233"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The Malaysian Government could provide a full or partial subsidy for the transmission of electricity to the grid</w:t>
            </w:r>
            <w:r w:rsidR="003079A3" w:rsidRPr="00BD58C0">
              <w:rPr>
                <w:rFonts w:ascii="Times New Roman" w:eastAsiaTheme="minorEastAsia" w:hAnsi="Times New Roman" w:cs="Times New Roman"/>
                <w:iCs/>
                <w:sz w:val="24"/>
                <w:szCs w:val="24"/>
                <w:lang w:val="en-GB"/>
              </w:rPr>
              <w:t>.</w:t>
            </w:r>
          </w:p>
        </w:tc>
      </w:tr>
      <w:tr w:rsidR="00BD58C0" w:rsidRPr="00BD58C0" w14:paraId="7F448F60" w14:textId="77777777" w:rsidTr="00767C1E">
        <w:trPr>
          <w:trHeight w:val="544"/>
        </w:trPr>
        <w:tc>
          <w:tcPr>
            <w:tcW w:w="2809" w:type="dxa"/>
            <w:vMerge/>
          </w:tcPr>
          <w:p w14:paraId="509E1CE9" w14:textId="5EABF5FE"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4978D5E7"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0742C94F" w14:textId="001890D4" w:rsidR="00006696" w:rsidRPr="00BD58C0" w:rsidRDefault="00006696" w:rsidP="00C72B61">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US"/>
              </w:rPr>
              <w:t>Provide subsidy to set up biogas facilities</w:t>
            </w:r>
          </w:p>
        </w:tc>
        <w:tc>
          <w:tcPr>
            <w:tcW w:w="6113" w:type="dxa"/>
            <w:gridSpan w:val="2"/>
          </w:tcPr>
          <w:p w14:paraId="5CC7FD12" w14:textId="47A3EF85"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No subsidy is currently provided specifically to set up the biogas facilities</w:t>
            </w:r>
            <w:r w:rsidR="003079A3" w:rsidRPr="00BD58C0">
              <w:rPr>
                <w:rFonts w:ascii="Times New Roman" w:eastAsiaTheme="minorEastAsia" w:hAnsi="Times New Roman" w:cs="Times New Roman"/>
                <w:iCs/>
                <w:sz w:val="24"/>
                <w:szCs w:val="24"/>
                <w:lang w:val="en-GB"/>
              </w:rPr>
              <w:t>.</w:t>
            </w:r>
          </w:p>
        </w:tc>
      </w:tr>
      <w:tr w:rsidR="00BD58C0" w:rsidRPr="00BD58C0" w14:paraId="119DE4BA" w14:textId="77777777" w:rsidTr="00767C1E">
        <w:trPr>
          <w:trHeight w:val="818"/>
        </w:trPr>
        <w:tc>
          <w:tcPr>
            <w:tcW w:w="2809" w:type="dxa"/>
            <w:vMerge/>
          </w:tcPr>
          <w:p w14:paraId="043D4F0A" w14:textId="06090C4F"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58ED15DE"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13428103" w14:textId="197D7619" w:rsidR="00006696" w:rsidRPr="00BD58C0" w:rsidRDefault="00006696" w:rsidP="00C72B61">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US"/>
              </w:rPr>
              <w:t xml:space="preserve">Implement an easy application procedure for the ITA </w:t>
            </w:r>
          </w:p>
        </w:tc>
        <w:tc>
          <w:tcPr>
            <w:tcW w:w="6113" w:type="dxa"/>
            <w:gridSpan w:val="2"/>
          </w:tcPr>
          <w:p w14:paraId="3F0DDB2B" w14:textId="772897DB"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The complexity of the ITA application procedure delay the move towards implementing green technologies</w:t>
            </w:r>
            <w:r w:rsidR="003079A3" w:rsidRPr="00BD58C0">
              <w:rPr>
                <w:rFonts w:ascii="Times New Roman" w:eastAsiaTheme="minorEastAsia" w:hAnsi="Times New Roman" w:cs="Times New Roman"/>
                <w:iCs/>
                <w:sz w:val="24"/>
                <w:szCs w:val="24"/>
                <w:lang w:val="en-GB"/>
              </w:rPr>
              <w:t>.</w:t>
            </w:r>
          </w:p>
        </w:tc>
      </w:tr>
      <w:tr w:rsidR="00BD58C0" w:rsidRPr="00BD58C0" w14:paraId="5C079BD5" w14:textId="77777777" w:rsidTr="00767C1E">
        <w:trPr>
          <w:trHeight w:val="818"/>
        </w:trPr>
        <w:tc>
          <w:tcPr>
            <w:tcW w:w="2809" w:type="dxa"/>
            <w:vMerge/>
          </w:tcPr>
          <w:p w14:paraId="715C80D2" w14:textId="0E21701D" w:rsidR="00006696" w:rsidRPr="00BD58C0" w:rsidRDefault="00006696" w:rsidP="007814B8">
            <w:pPr>
              <w:spacing w:line="360" w:lineRule="auto"/>
              <w:jc w:val="both"/>
              <w:rPr>
                <w:rFonts w:ascii="Times New Roman" w:eastAsiaTheme="minorEastAsia" w:hAnsi="Times New Roman" w:cs="Times New Roman"/>
                <w:iCs/>
                <w:sz w:val="24"/>
                <w:szCs w:val="24"/>
                <w:lang w:val="en-US"/>
              </w:rPr>
            </w:pPr>
          </w:p>
        </w:tc>
        <w:tc>
          <w:tcPr>
            <w:tcW w:w="222" w:type="dxa"/>
            <w:gridSpan w:val="2"/>
          </w:tcPr>
          <w:p w14:paraId="5BE08EB7" w14:textId="77777777" w:rsidR="00006696" w:rsidRPr="00BD58C0" w:rsidRDefault="00006696" w:rsidP="00C72B61">
            <w:pPr>
              <w:spacing w:line="360" w:lineRule="auto"/>
              <w:rPr>
                <w:rFonts w:ascii="Times New Roman" w:eastAsiaTheme="minorEastAsia" w:hAnsi="Times New Roman" w:cs="Times New Roman"/>
                <w:iCs/>
                <w:sz w:val="24"/>
                <w:szCs w:val="24"/>
                <w:lang w:val="en-US"/>
              </w:rPr>
            </w:pPr>
          </w:p>
        </w:tc>
        <w:tc>
          <w:tcPr>
            <w:tcW w:w="3828" w:type="dxa"/>
            <w:gridSpan w:val="2"/>
          </w:tcPr>
          <w:p w14:paraId="587D94CE" w14:textId="4322965C" w:rsidR="00006696" w:rsidRPr="00BD58C0" w:rsidRDefault="00006696" w:rsidP="00C72B61">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Enable private millers to supply waste to a </w:t>
            </w:r>
            <w:proofErr w:type="spellStart"/>
            <w:r w:rsidRPr="00BD58C0">
              <w:rPr>
                <w:rFonts w:ascii="Times New Roman" w:eastAsiaTheme="minorEastAsia" w:hAnsi="Times New Roman" w:cs="Times New Roman"/>
                <w:iCs/>
                <w:sz w:val="24"/>
                <w:szCs w:val="24"/>
                <w:lang w:val="en-US"/>
              </w:rPr>
              <w:t>centrali</w:t>
            </w:r>
            <w:r w:rsidR="0096062B" w:rsidRPr="00BD58C0">
              <w:rPr>
                <w:rFonts w:ascii="Times New Roman" w:eastAsiaTheme="minorEastAsia" w:hAnsi="Times New Roman" w:cs="Times New Roman"/>
                <w:iCs/>
                <w:sz w:val="24"/>
                <w:szCs w:val="24"/>
                <w:lang w:val="en-US"/>
              </w:rPr>
              <w:t>s</w:t>
            </w:r>
            <w:r w:rsidRPr="00BD58C0">
              <w:rPr>
                <w:rFonts w:ascii="Times New Roman" w:eastAsiaTheme="minorEastAsia" w:hAnsi="Times New Roman" w:cs="Times New Roman"/>
                <w:iCs/>
                <w:sz w:val="24"/>
                <w:szCs w:val="24"/>
                <w:lang w:val="en-US"/>
              </w:rPr>
              <w:t>ed</w:t>
            </w:r>
            <w:proofErr w:type="spellEnd"/>
            <w:r w:rsidRPr="00BD58C0">
              <w:rPr>
                <w:rFonts w:ascii="Times New Roman" w:eastAsiaTheme="minorEastAsia" w:hAnsi="Times New Roman" w:cs="Times New Roman"/>
                <w:iCs/>
                <w:sz w:val="24"/>
                <w:szCs w:val="24"/>
                <w:lang w:val="en-US"/>
              </w:rPr>
              <w:t xml:space="preserve"> POME waste treatment facility</w:t>
            </w:r>
          </w:p>
        </w:tc>
        <w:tc>
          <w:tcPr>
            <w:tcW w:w="6113" w:type="dxa"/>
            <w:gridSpan w:val="2"/>
          </w:tcPr>
          <w:p w14:paraId="04C6DC8C" w14:textId="6B56A4E4" w:rsidR="00006696" w:rsidRPr="00BD58C0" w:rsidRDefault="00006696" w:rsidP="007814B8">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Private millers could supply their generated waste to a </w:t>
            </w:r>
            <w:proofErr w:type="spellStart"/>
            <w:r w:rsidRPr="00BD58C0">
              <w:rPr>
                <w:rFonts w:ascii="Times New Roman" w:eastAsiaTheme="minorEastAsia" w:hAnsi="Times New Roman" w:cs="Times New Roman"/>
                <w:iCs/>
                <w:sz w:val="24"/>
                <w:szCs w:val="24"/>
                <w:lang w:val="en-US"/>
              </w:rPr>
              <w:t>centrali</w:t>
            </w:r>
            <w:r w:rsidR="00F955F8" w:rsidRPr="00BD58C0">
              <w:rPr>
                <w:rFonts w:ascii="Times New Roman" w:eastAsiaTheme="minorEastAsia" w:hAnsi="Times New Roman" w:cs="Times New Roman"/>
                <w:iCs/>
                <w:sz w:val="24"/>
                <w:szCs w:val="24"/>
                <w:lang w:val="en-US"/>
              </w:rPr>
              <w:t>s</w:t>
            </w:r>
            <w:r w:rsidRPr="00BD58C0">
              <w:rPr>
                <w:rFonts w:ascii="Times New Roman" w:eastAsiaTheme="minorEastAsia" w:hAnsi="Times New Roman" w:cs="Times New Roman"/>
                <w:iCs/>
                <w:sz w:val="24"/>
                <w:szCs w:val="24"/>
                <w:lang w:val="en-US"/>
              </w:rPr>
              <w:t>ed</w:t>
            </w:r>
            <w:proofErr w:type="spellEnd"/>
            <w:r w:rsidRPr="00BD58C0">
              <w:rPr>
                <w:rFonts w:ascii="Times New Roman" w:eastAsiaTheme="minorEastAsia" w:hAnsi="Times New Roman" w:cs="Times New Roman"/>
                <w:iCs/>
                <w:sz w:val="24"/>
                <w:szCs w:val="24"/>
                <w:lang w:val="en-US"/>
              </w:rPr>
              <w:t xml:space="preserve"> POME waste treatment facility for further treatment if good infrastructure and necessary logistical setups are in place to facilitate delivery of waste to the facility</w:t>
            </w:r>
            <w:r w:rsidR="003079A3" w:rsidRPr="00BD58C0">
              <w:rPr>
                <w:rFonts w:ascii="Times New Roman" w:eastAsiaTheme="minorEastAsia" w:hAnsi="Times New Roman" w:cs="Times New Roman"/>
                <w:iCs/>
                <w:sz w:val="24"/>
                <w:szCs w:val="24"/>
                <w:lang w:val="en-US"/>
              </w:rPr>
              <w:t>.</w:t>
            </w:r>
          </w:p>
        </w:tc>
      </w:tr>
      <w:tr w:rsidR="00BD58C0" w:rsidRPr="00BD58C0" w14:paraId="6FD75DF8" w14:textId="77777777" w:rsidTr="00767C1E">
        <w:trPr>
          <w:gridAfter w:val="1"/>
          <w:wAfter w:w="493" w:type="dxa"/>
          <w:trHeight w:val="311"/>
        </w:trPr>
        <w:tc>
          <w:tcPr>
            <w:tcW w:w="2826" w:type="dxa"/>
            <w:gridSpan w:val="2"/>
            <w:vMerge w:val="restart"/>
          </w:tcPr>
          <w:p w14:paraId="4F8CEE5D"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lastRenderedPageBreak/>
              <w:t>Operational cost (total utilities cost, maintenance cost and labor cost)</w:t>
            </w:r>
          </w:p>
        </w:tc>
        <w:tc>
          <w:tcPr>
            <w:tcW w:w="3981" w:type="dxa"/>
            <w:gridSpan w:val="2"/>
          </w:tcPr>
          <w:p w14:paraId="6CA14A43"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roofErr w:type="spellStart"/>
            <w:r w:rsidRPr="00BD58C0">
              <w:rPr>
                <w:rFonts w:ascii="Times New Roman" w:eastAsiaTheme="minorEastAsia" w:hAnsi="Times New Roman" w:cs="Times New Roman"/>
                <w:iCs/>
                <w:sz w:val="24"/>
                <w:szCs w:val="24"/>
                <w:lang w:val="en-US"/>
              </w:rPr>
              <w:t>Standardise</w:t>
            </w:r>
            <w:proofErr w:type="spellEnd"/>
            <w:r w:rsidRPr="00BD58C0">
              <w:rPr>
                <w:rFonts w:ascii="Times New Roman" w:eastAsiaTheme="minorEastAsia" w:hAnsi="Times New Roman" w:cs="Times New Roman"/>
                <w:iCs/>
                <w:sz w:val="24"/>
                <w:szCs w:val="24"/>
                <w:lang w:val="en-US"/>
              </w:rPr>
              <w:t xml:space="preserve"> technical guidelines for biogas installation</w:t>
            </w:r>
          </w:p>
        </w:tc>
        <w:tc>
          <w:tcPr>
            <w:tcW w:w="5672" w:type="dxa"/>
            <w:gridSpan w:val="2"/>
          </w:tcPr>
          <w:p w14:paraId="02AADC70" w14:textId="6567CF32" w:rsidR="00767C1E" w:rsidRPr="00BD58C0" w:rsidRDefault="00767C1E" w:rsidP="001D7D9B">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 xml:space="preserve">The MPOB and Tenaga Nasional </w:t>
            </w:r>
            <w:proofErr w:type="spellStart"/>
            <w:r w:rsidRPr="00BD58C0">
              <w:rPr>
                <w:rFonts w:ascii="Times New Roman" w:eastAsiaTheme="minorEastAsia" w:hAnsi="Times New Roman" w:cs="Times New Roman"/>
                <w:iCs/>
                <w:sz w:val="24"/>
                <w:szCs w:val="24"/>
                <w:lang w:val="en-GB"/>
              </w:rPr>
              <w:t>Berhad</w:t>
            </w:r>
            <w:proofErr w:type="spellEnd"/>
            <w:r w:rsidRPr="00BD58C0">
              <w:rPr>
                <w:rFonts w:ascii="Times New Roman" w:eastAsiaTheme="minorEastAsia" w:hAnsi="Times New Roman" w:cs="Times New Roman"/>
                <w:iCs/>
                <w:sz w:val="24"/>
                <w:szCs w:val="24"/>
                <w:lang w:val="en-GB"/>
              </w:rPr>
              <w:t xml:space="preserve"> (TNB) could </w:t>
            </w:r>
            <w:r w:rsidR="00C013C0" w:rsidRPr="00BD58C0">
              <w:rPr>
                <w:rFonts w:ascii="Times New Roman" w:eastAsiaTheme="minorEastAsia" w:hAnsi="Times New Roman" w:cs="Times New Roman"/>
                <w:iCs/>
                <w:sz w:val="24"/>
                <w:szCs w:val="24"/>
                <w:lang w:val="en-GB"/>
              </w:rPr>
              <w:t xml:space="preserve">cooperate </w:t>
            </w:r>
            <w:r w:rsidRPr="00BD58C0">
              <w:rPr>
                <w:rFonts w:ascii="Times New Roman" w:eastAsiaTheme="minorEastAsia" w:hAnsi="Times New Roman" w:cs="Times New Roman"/>
                <w:iCs/>
                <w:sz w:val="24"/>
                <w:szCs w:val="24"/>
                <w:lang w:val="en-GB"/>
              </w:rPr>
              <w:t>and come up with standardised technical guideline</w:t>
            </w:r>
            <w:r w:rsidR="00376CF2" w:rsidRPr="00BD58C0">
              <w:rPr>
                <w:rFonts w:ascii="Times New Roman" w:eastAsiaTheme="minorEastAsia" w:hAnsi="Times New Roman" w:cs="Times New Roman"/>
                <w:iCs/>
                <w:sz w:val="24"/>
                <w:szCs w:val="24"/>
                <w:lang w:val="en-GB"/>
              </w:rPr>
              <w:t>s</w:t>
            </w:r>
            <w:r w:rsidRPr="00BD58C0">
              <w:rPr>
                <w:rFonts w:ascii="Times New Roman" w:eastAsiaTheme="minorEastAsia" w:hAnsi="Times New Roman" w:cs="Times New Roman"/>
                <w:iCs/>
                <w:sz w:val="24"/>
                <w:szCs w:val="24"/>
                <w:lang w:val="en-GB"/>
              </w:rPr>
              <w:t xml:space="preserve"> for the installation of biogas facilities.</w:t>
            </w:r>
          </w:p>
        </w:tc>
      </w:tr>
      <w:tr w:rsidR="00BD58C0" w:rsidRPr="00BD58C0" w14:paraId="4B9E3B21" w14:textId="77777777" w:rsidTr="00767C1E">
        <w:trPr>
          <w:gridAfter w:val="1"/>
          <w:wAfter w:w="493" w:type="dxa"/>
          <w:trHeight w:val="625"/>
        </w:trPr>
        <w:tc>
          <w:tcPr>
            <w:tcW w:w="2826" w:type="dxa"/>
            <w:gridSpan w:val="2"/>
            <w:vMerge/>
          </w:tcPr>
          <w:p w14:paraId="343CF685"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
        </w:tc>
        <w:tc>
          <w:tcPr>
            <w:tcW w:w="3981" w:type="dxa"/>
            <w:gridSpan w:val="2"/>
          </w:tcPr>
          <w:p w14:paraId="21CA2DCD" w14:textId="77777777" w:rsidR="00767C1E" w:rsidRPr="00BD58C0" w:rsidRDefault="00767C1E" w:rsidP="001D7D9B">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US"/>
              </w:rPr>
              <w:t>Give investors freedom to purchase either locally or imported manufactured technology</w:t>
            </w:r>
          </w:p>
        </w:tc>
        <w:tc>
          <w:tcPr>
            <w:tcW w:w="5672" w:type="dxa"/>
            <w:gridSpan w:val="2"/>
          </w:tcPr>
          <w:p w14:paraId="644BD103" w14:textId="1D6E8607" w:rsidR="00767C1E" w:rsidRPr="00BD58C0" w:rsidRDefault="00767C1E" w:rsidP="001D7D9B">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 xml:space="preserve">Investors should have the freedom to decide on the type of technology or equipment to </w:t>
            </w:r>
            <w:r w:rsidR="00376CF2" w:rsidRPr="00BD58C0">
              <w:rPr>
                <w:rFonts w:ascii="Times New Roman" w:eastAsiaTheme="minorEastAsia" w:hAnsi="Times New Roman" w:cs="Times New Roman"/>
                <w:iCs/>
                <w:sz w:val="24"/>
                <w:szCs w:val="24"/>
                <w:lang w:val="en-GB"/>
              </w:rPr>
              <w:t xml:space="preserve">be </w:t>
            </w:r>
            <w:r w:rsidRPr="00BD58C0">
              <w:rPr>
                <w:rFonts w:ascii="Times New Roman" w:eastAsiaTheme="minorEastAsia" w:hAnsi="Times New Roman" w:cs="Times New Roman"/>
                <w:iCs/>
                <w:sz w:val="24"/>
                <w:szCs w:val="24"/>
                <w:lang w:val="en-GB"/>
              </w:rPr>
              <w:t>install</w:t>
            </w:r>
            <w:r w:rsidR="00376CF2" w:rsidRPr="00BD58C0">
              <w:rPr>
                <w:rFonts w:ascii="Times New Roman" w:eastAsiaTheme="minorEastAsia" w:hAnsi="Times New Roman" w:cs="Times New Roman"/>
                <w:iCs/>
                <w:sz w:val="24"/>
                <w:szCs w:val="24"/>
                <w:lang w:val="en-GB"/>
              </w:rPr>
              <w:t>ed</w:t>
            </w:r>
            <w:r w:rsidRPr="00BD58C0">
              <w:rPr>
                <w:rFonts w:ascii="Times New Roman" w:eastAsiaTheme="minorEastAsia" w:hAnsi="Times New Roman" w:cs="Times New Roman"/>
                <w:iCs/>
                <w:sz w:val="24"/>
                <w:szCs w:val="24"/>
                <w:lang w:val="en-GB"/>
              </w:rPr>
              <w:t xml:space="preserve"> according to their preference.</w:t>
            </w:r>
          </w:p>
        </w:tc>
      </w:tr>
      <w:tr w:rsidR="00BD58C0" w:rsidRPr="00BD58C0" w14:paraId="749DD1E7" w14:textId="77777777" w:rsidTr="00767C1E">
        <w:trPr>
          <w:gridAfter w:val="1"/>
          <w:wAfter w:w="493" w:type="dxa"/>
          <w:trHeight w:val="272"/>
        </w:trPr>
        <w:tc>
          <w:tcPr>
            <w:tcW w:w="2826" w:type="dxa"/>
            <w:gridSpan w:val="2"/>
          </w:tcPr>
          <w:p w14:paraId="104F2F11"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
        </w:tc>
        <w:tc>
          <w:tcPr>
            <w:tcW w:w="3981" w:type="dxa"/>
            <w:gridSpan w:val="2"/>
          </w:tcPr>
          <w:p w14:paraId="48CD5CFE"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
        </w:tc>
        <w:tc>
          <w:tcPr>
            <w:tcW w:w="5672" w:type="dxa"/>
            <w:gridSpan w:val="2"/>
          </w:tcPr>
          <w:p w14:paraId="0975507F" w14:textId="77777777" w:rsidR="00767C1E" w:rsidRPr="00BD58C0" w:rsidRDefault="00767C1E" w:rsidP="001D7D9B">
            <w:pPr>
              <w:spacing w:line="360" w:lineRule="auto"/>
              <w:jc w:val="both"/>
              <w:rPr>
                <w:rFonts w:ascii="Times New Roman" w:eastAsiaTheme="minorEastAsia" w:hAnsi="Times New Roman" w:cs="Times New Roman"/>
                <w:iCs/>
                <w:sz w:val="24"/>
                <w:szCs w:val="24"/>
                <w:lang w:val="en-GB"/>
              </w:rPr>
            </w:pPr>
          </w:p>
        </w:tc>
      </w:tr>
      <w:tr w:rsidR="00BD58C0" w:rsidRPr="00BD58C0" w14:paraId="558733A6" w14:textId="77777777" w:rsidTr="00767C1E">
        <w:trPr>
          <w:gridAfter w:val="1"/>
          <w:wAfter w:w="493" w:type="dxa"/>
          <w:trHeight w:val="311"/>
        </w:trPr>
        <w:tc>
          <w:tcPr>
            <w:tcW w:w="2826" w:type="dxa"/>
            <w:gridSpan w:val="2"/>
            <w:vMerge w:val="restart"/>
          </w:tcPr>
          <w:p w14:paraId="658A8CD7"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Revenue (profit obtained through the sales of electricity to the grid)</w:t>
            </w:r>
          </w:p>
        </w:tc>
        <w:tc>
          <w:tcPr>
            <w:tcW w:w="3981" w:type="dxa"/>
            <w:gridSpan w:val="2"/>
          </w:tcPr>
          <w:p w14:paraId="0F4A131D" w14:textId="77777777" w:rsidR="00767C1E" w:rsidRPr="00BD58C0" w:rsidRDefault="00767C1E" w:rsidP="001D7D9B">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GB"/>
              </w:rPr>
              <w:t xml:space="preserve">Set high, fixed </w:t>
            </w:r>
            <w:proofErr w:type="spellStart"/>
            <w:r w:rsidRPr="00BD58C0">
              <w:rPr>
                <w:rFonts w:ascii="Times New Roman" w:eastAsiaTheme="minorEastAsia" w:hAnsi="Times New Roman" w:cs="Times New Roman"/>
                <w:iCs/>
                <w:sz w:val="24"/>
                <w:szCs w:val="24"/>
                <w:lang w:val="en-GB"/>
              </w:rPr>
              <w:t>FiT</w:t>
            </w:r>
            <w:proofErr w:type="spellEnd"/>
            <w:r w:rsidRPr="00BD58C0">
              <w:rPr>
                <w:rFonts w:ascii="Times New Roman" w:eastAsiaTheme="minorEastAsia" w:hAnsi="Times New Roman" w:cs="Times New Roman"/>
                <w:iCs/>
                <w:sz w:val="24"/>
                <w:szCs w:val="24"/>
                <w:lang w:val="en-GB"/>
              </w:rPr>
              <w:t xml:space="preserve"> rate</w:t>
            </w:r>
          </w:p>
        </w:tc>
        <w:tc>
          <w:tcPr>
            <w:tcW w:w="5672" w:type="dxa"/>
            <w:gridSpan w:val="2"/>
          </w:tcPr>
          <w:p w14:paraId="27CBEE71" w14:textId="77777777" w:rsidR="00767C1E" w:rsidRPr="00BD58C0" w:rsidRDefault="00767C1E" w:rsidP="001D7D9B">
            <w:pPr>
              <w:spacing w:line="360" w:lineRule="auto"/>
              <w:jc w:val="both"/>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US"/>
              </w:rPr>
              <w:t xml:space="preserve">A lower </w:t>
            </w:r>
            <w:proofErr w:type="spellStart"/>
            <w:r w:rsidRPr="00BD58C0">
              <w:rPr>
                <w:rFonts w:ascii="Times New Roman" w:eastAsiaTheme="minorEastAsia" w:hAnsi="Times New Roman" w:cs="Times New Roman"/>
                <w:iCs/>
                <w:sz w:val="24"/>
                <w:szCs w:val="24"/>
                <w:lang w:val="en-US"/>
              </w:rPr>
              <w:t>FiT</w:t>
            </w:r>
            <w:proofErr w:type="spellEnd"/>
            <w:r w:rsidRPr="00BD58C0">
              <w:rPr>
                <w:rFonts w:ascii="Times New Roman" w:eastAsiaTheme="minorEastAsia" w:hAnsi="Times New Roman" w:cs="Times New Roman"/>
                <w:iCs/>
                <w:sz w:val="24"/>
                <w:szCs w:val="24"/>
                <w:lang w:val="en-US"/>
              </w:rPr>
              <w:t xml:space="preserve"> is not attractive to investors.</w:t>
            </w:r>
          </w:p>
        </w:tc>
      </w:tr>
      <w:tr w:rsidR="00BD58C0" w:rsidRPr="00BD58C0" w14:paraId="2A4E317E" w14:textId="77777777" w:rsidTr="00767C1E">
        <w:trPr>
          <w:gridAfter w:val="1"/>
          <w:wAfter w:w="493" w:type="dxa"/>
          <w:trHeight w:val="311"/>
        </w:trPr>
        <w:tc>
          <w:tcPr>
            <w:tcW w:w="2826" w:type="dxa"/>
            <w:gridSpan w:val="2"/>
            <w:vMerge/>
          </w:tcPr>
          <w:p w14:paraId="3ED555E6"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
        </w:tc>
        <w:tc>
          <w:tcPr>
            <w:tcW w:w="3981" w:type="dxa"/>
            <w:gridSpan w:val="2"/>
          </w:tcPr>
          <w:p w14:paraId="194D364B"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 xml:space="preserve">Allow variation in </w:t>
            </w:r>
            <w:proofErr w:type="spellStart"/>
            <w:r w:rsidRPr="00BD58C0">
              <w:rPr>
                <w:rFonts w:ascii="Times New Roman" w:eastAsiaTheme="minorEastAsia" w:hAnsi="Times New Roman" w:cs="Times New Roman"/>
                <w:iCs/>
                <w:sz w:val="24"/>
                <w:szCs w:val="24"/>
                <w:lang w:val="en-GB"/>
              </w:rPr>
              <w:t>FiT</w:t>
            </w:r>
            <w:proofErr w:type="spellEnd"/>
            <w:r w:rsidRPr="00BD58C0">
              <w:rPr>
                <w:rFonts w:ascii="Times New Roman" w:eastAsiaTheme="minorEastAsia" w:hAnsi="Times New Roman" w:cs="Times New Roman"/>
                <w:iCs/>
                <w:sz w:val="24"/>
                <w:szCs w:val="24"/>
                <w:lang w:val="en-GB"/>
              </w:rPr>
              <w:t xml:space="preserve"> rate</w:t>
            </w:r>
          </w:p>
        </w:tc>
        <w:tc>
          <w:tcPr>
            <w:tcW w:w="5672" w:type="dxa"/>
            <w:gridSpan w:val="2"/>
          </w:tcPr>
          <w:p w14:paraId="422897A3" w14:textId="77777777" w:rsidR="00767C1E" w:rsidRPr="00BD58C0" w:rsidRDefault="00767C1E" w:rsidP="001D7D9B">
            <w:pPr>
              <w:spacing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GB"/>
              </w:rPr>
              <w:t xml:space="preserve">The </w:t>
            </w:r>
            <w:proofErr w:type="spellStart"/>
            <w:r w:rsidRPr="00BD58C0">
              <w:rPr>
                <w:rFonts w:ascii="Times New Roman" w:eastAsiaTheme="minorEastAsia" w:hAnsi="Times New Roman" w:cs="Times New Roman"/>
                <w:iCs/>
                <w:sz w:val="24"/>
                <w:szCs w:val="24"/>
                <w:lang w:val="en-GB"/>
              </w:rPr>
              <w:t>FiT</w:t>
            </w:r>
            <w:proofErr w:type="spellEnd"/>
            <w:r w:rsidRPr="00BD58C0">
              <w:rPr>
                <w:rFonts w:ascii="Times New Roman" w:eastAsiaTheme="minorEastAsia" w:hAnsi="Times New Roman" w:cs="Times New Roman"/>
                <w:iCs/>
                <w:sz w:val="24"/>
                <w:szCs w:val="24"/>
                <w:lang w:val="en-GB"/>
              </w:rPr>
              <w:t xml:space="preserve"> rate should increase annually to ensure that the revenue obtained is sufficient to run the plant for a longer period of time.</w:t>
            </w:r>
          </w:p>
        </w:tc>
      </w:tr>
      <w:tr w:rsidR="00BD58C0" w:rsidRPr="00BD58C0" w14:paraId="07FF0C25" w14:textId="77777777" w:rsidTr="00767C1E">
        <w:trPr>
          <w:gridAfter w:val="1"/>
          <w:wAfter w:w="493" w:type="dxa"/>
          <w:trHeight w:val="625"/>
        </w:trPr>
        <w:tc>
          <w:tcPr>
            <w:tcW w:w="2826" w:type="dxa"/>
            <w:gridSpan w:val="2"/>
            <w:vMerge/>
          </w:tcPr>
          <w:p w14:paraId="14CD6A1F" w14:textId="77777777" w:rsidR="00767C1E" w:rsidRPr="00BD58C0" w:rsidRDefault="00767C1E" w:rsidP="001D7D9B">
            <w:pPr>
              <w:spacing w:line="360" w:lineRule="auto"/>
              <w:rPr>
                <w:rFonts w:ascii="Times New Roman" w:eastAsiaTheme="minorEastAsia" w:hAnsi="Times New Roman" w:cs="Times New Roman"/>
                <w:iCs/>
                <w:sz w:val="24"/>
                <w:szCs w:val="24"/>
                <w:lang w:val="en-US"/>
              </w:rPr>
            </w:pPr>
          </w:p>
        </w:tc>
        <w:tc>
          <w:tcPr>
            <w:tcW w:w="3981" w:type="dxa"/>
            <w:gridSpan w:val="2"/>
          </w:tcPr>
          <w:p w14:paraId="276CD558" w14:textId="77777777" w:rsidR="00767C1E" w:rsidRPr="00BD58C0" w:rsidRDefault="00767C1E" w:rsidP="001D7D9B">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GB"/>
              </w:rPr>
              <w:t xml:space="preserve">Set </w:t>
            </w:r>
            <w:proofErr w:type="spellStart"/>
            <w:r w:rsidRPr="00BD58C0">
              <w:rPr>
                <w:rFonts w:ascii="Times New Roman" w:eastAsiaTheme="minorEastAsia" w:hAnsi="Times New Roman" w:cs="Times New Roman"/>
                <w:iCs/>
                <w:sz w:val="24"/>
                <w:szCs w:val="24"/>
                <w:lang w:val="en-GB"/>
              </w:rPr>
              <w:t>FiT</w:t>
            </w:r>
            <w:proofErr w:type="spellEnd"/>
            <w:r w:rsidRPr="00BD58C0">
              <w:rPr>
                <w:rFonts w:ascii="Times New Roman" w:eastAsiaTheme="minorEastAsia" w:hAnsi="Times New Roman" w:cs="Times New Roman"/>
                <w:iCs/>
                <w:sz w:val="24"/>
                <w:szCs w:val="24"/>
                <w:lang w:val="en-GB"/>
              </w:rPr>
              <w:t xml:space="preserve"> rate according to electricity transmission distance to grid</w:t>
            </w:r>
          </w:p>
        </w:tc>
        <w:tc>
          <w:tcPr>
            <w:tcW w:w="5672" w:type="dxa"/>
            <w:gridSpan w:val="2"/>
          </w:tcPr>
          <w:p w14:paraId="15415FA5" w14:textId="77777777" w:rsidR="00767C1E" w:rsidRPr="00BD58C0" w:rsidRDefault="00767C1E" w:rsidP="001D7D9B">
            <w:pPr>
              <w:spacing w:line="360" w:lineRule="auto"/>
              <w:jc w:val="both"/>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GB"/>
              </w:rPr>
              <w:t xml:space="preserve">The </w:t>
            </w:r>
            <w:proofErr w:type="spellStart"/>
            <w:r w:rsidRPr="00BD58C0">
              <w:rPr>
                <w:rFonts w:ascii="Times New Roman" w:eastAsiaTheme="minorEastAsia" w:hAnsi="Times New Roman" w:cs="Times New Roman"/>
                <w:iCs/>
                <w:sz w:val="24"/>
                <w:szCs w:val="24"/>
                <w:lang w:val="en-GB"/>
              </w:rPr>
              <w:t>FiT</w:t>
            </w:r>
            <w:proofErr w:type="spellEnd"/>
            <w:r w:rsidRPr="00BD58C0">
              <w:rPr>
                <w:rFonts w:ascii="Times New Roman" w:eastAsiaTheme="minorEastAsia" w:hAnsi="Times New Roman" w:cs="Times New Roman"/>
                <w:iCs/>
                <w:sz w:val="24"/>
                <w:szCs w:val="24"/>
                <w:lang w:val="en-GB"/>
              </w:rPr>
              <w:t xml:space="preserve"> rate should increase in line with the electricity transmission distance to the grid.</w:t>
            </w:r>
          </w:p>
        </w:tc>
      </w:tr>
      <w:tr w:rsidR="00BD58C0" w:rsidRPr="00BD58C0" w14:paraId="1988E996" w14:textId="77777777" w:rsidTr="00767C1E">
        <w:trPr>
          <w:gridAfter w:val="1"/>
          <w:wAfter w:w="493" w:type="dxa"/>
          <w:trHeight w:val="947"/>
        </w:trPr>
        <w:tc>
          <w:tcPr>
            <w:tcW w:w="2826" w:type="dxa"/>
            <w:gridSpan w:val="2"/>
            <w:vMerge/>
          </w:tcPr>
          <w:p w14:paraId="5E819AB1" w14:textId="77777777" w:rsidR="00767C1E" w:rsidRPr="00BD58C0" w:rsidRDefault="00767C1E" w:rsidP="001D7D9B">
            <w:pPr>
              <w:spacing w:line="360" w:lineRule="auto"/>
              <w:rPr>
                <w:rFonts w:ascii="Times New Roman" w:eastAsiaTheme="minorEastAsia" w:hAnsi="Times New Roman" w:cs="Times New Roman"/>
                <w:iCs/>
                <w:sz w:val="24"/>
                <w:szCs w:val="24"/>
                <w:lang w:val="en-GB"/>
              </w:rPr>
            </w:pPr>
          </w:p>
        </w:tc>
        <w:tc>
          <w:tcPr>
            <w:tcW w:w="3981" w:type="dxa"/>
            <w:gridSpan w:val="2"/>
          </w:tcPr>
          <w:p w14:paraId="2D185B6F" w14:textId="77777777" w:rsidR="00767C1E" w:rsidRPr="00BD58C0" w:rsidRDefault="00767C1E" w:rsidP="001D7D9B">
            <w:pPr>
              <w:spacing w:line="360" w:lineRule="auto"/>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GB"/>
              </w:rPr>
              <w:t>Introduce new legislation on carbon trading</w:t>
            </w:r>
          </w:p>
        </w:tc>
        <w:tc>
          <w:tcPr>
            <w:tcW w:w="5672" w:type="dxa"/>
            <w:gridSpan w:val="2"/>
          </w:tcPr>
          <w:p w14:paraId="1A7870B7" w14:textId="2008329F" w:rsidR="00767C1E" w:rsidRPr="00BD58C0" w:rsidRDefault="00767C1E" w:rsidP="001D7D9B">
            <w:pPr>
              <w:spacing w:line="360" w:lineRule="auto"/>
              <w:jc w:val="both"/>
              <w:rPr>
                <w:rFonts w:ascii="Times New Roman" w:eastAsiaTheme="minorEastAsia" w:hAnsi="Times New Roman" w:cs="Times New Roman"/>
                <w:iCs/>
                <w:sz w:val="24"/>
                <w:szCs w:val="24"/>
                <w:lang w:val="en-GB"/>
              </w:rPr>
            </w:pPr>
            <w:r w:rsidRPr="00BD58C0">
              <w:rPr>
                <w:rFonts w:ascii="Times New Roman" w:eastAsiaTheme="minorEastAsia" w:hAnsi="Times New Roman" w:cs="Times New Roman"/>
                <w:iCs/>
                <w:sz w:val="24"/>
                <w:szCs w:val="24"/>
                <w:lang w:val="en-GB"/>
              </w:rPr>
              <w:t xml:space="preserve">Currently, no credits are provided for carbon emission reductions, which makes green technology look unattractive to investors. Carbon trading could be introduced by the Malaysian Government as an </w:t>
            </w:r>
            <w:r w:rsidR="00376CF2" w:rsidRPr="00BD58C0">
              <w:rPr>
                <w:rFonts w:ascii="Times New Roman" w:eastAsiaTheme="minorEastAsia" w:hAnsi="Times New Roman" w:cs="Times New Roman"/>
                <w:iCs/>
                <w:sz w:val="24"/>
                <w:szCs w:val="24"/>
                <w:lang w:val="en-GB"/>
              </w:rPr>
              <w:t xml:space="preserve">incentive </w:t>
            </w:r>
            <w:r w:rsidRPr="00BD58C0">
              <w:rPr>
                <w:rFonts w:ascii="Times New Roman" w:eastAsiaTheme="minorEastAsia" w:hAnsi="Times New Roman" w:cs="Times New Roman"/>
                <w:iCs/>
                <w:sz w:val="24"/>
                <w:szCs w:val="24"/>
                <w:lang w:val="en-GB"/>
              </w:rPr>
              <w:t>to stimulate adoption of green technologies.</w:t>
            </w:r>
          </w:p>
        </w:tc>
      </w:tr>
      <w:bookmarkEnd w:id="8"/>
    </w:tbl>
    <w:p w14:paraId="3C22A7BB" w14:textId="77777777" w:rsidR="00993CB0" w:rsidRPr="00BD58C0" w:rsidRDefault="00993CB0">
      <w:pPr>
        <w:rPr>
          <w:rFonts w:ascii="Times New Roman" w:hAnsi="Times New Roman" w:cs="Times New Roman"/>
          <w:sz w:val="24"/>
          <w:szCs w:val="24"/>
        </w:rPr>
      </w:pPr>
    </w:p>
    <w:p w14:paraId="4DE0322B" w14:textId="77777777" w:rsidR="00045AEB" w:rsidRPr="00BD58C0" w:rsidRDefault="00045AEB">
      <w:pPr>
        <w:spacing w:after="0" w:line="360" w:lineRule="auto"/>
        <w:jc w:val="both"/>
        <w:rPr>
          <w:rFonts w:ascii="Times New Roman" w:eastAsiaTheme="minorEastAsia" w:hAnsi="Times New Roman" w:cs="Times New Roman"/>
          <w:iCs/>
          <w:sz w:val="24"/>
          <w:szCs w:val="24"/>
          <w:lang w:val="en-US"/>
        </w:rPr>
        <w:sectPr w:rsidR="00045AEB" w:rsidRPr="00BD58C0" w:rsidSect="00E21032">
          <w:pgSz w:w="15840" w:h="12240" w:orient="landscape" w:code="1"/>
          <w:pgMar w:top="1440" w:right="1440" w:bottom="1440" w:left="1440" w:header="720" w:footer="720" w:gutter="0"/>
          <w:lnNumType w:countBy="1" w:restart="continuous"/>
          <w:cols w:space="720"/>
          <w:docGrid w:linePitch="360"/>
        </w:sectPr>
      </w:pPr>
    </w:p>
    <w:p w14:paraId="2CF17636" w14:textId="39B097AA" w:rsidR="00045AEB" w:rsidRPr="00BD58C0" w:rsidRDefault="00045AEB">
      <w:pPr>
        <w:spacing w:after="0" w:line="360" w:lineRule="auto"/>
        <w:jc w:val="both"/>
        <w:rPr>
          <w:rFonts w:ascii="Times New Roman" w:eastAsiaTheme="minorEastAsia" w:hAnsi="Times New Roman" w:cs="Times New Roman"/>
          <w:i/>
          <w:sz w:val="24"/>
          <w:szCs w:val="24"/>
          <w:lang w:val="en-US"/>
        </w:rPr>
      </w:pPr>
      <w:r w:rsidRPr="00BD58C0">
        <w:rPr>
          <w:rFonts w:ascii="Times New Roman" w:eastAsiaTheme="minorEastAsia" w:hAnsi="Times New Roman" w:cs="Times New Roman"/>
          <w:i/>
          <w:sz w:val="24"/>
          <w:szCs w:val="24"/>
          <w:lang w:val="en-US"/>
        </w:rPr>
        <w:lastRenderedPageBreak/>
        <w:t>3.2</w:t>
      </w:r>
      <w:r w:rsidR="00BF0A57" w:rsidRPr="00BD58C0">
        <w:rPr>
          <w:rFonts w:ascii="Times New Roman" w:eastAsiaTheme="minorEastAsia" w:hAnsi="Times New Roman" w:cs="Times New Roman"/>
          <w:i/>
          <w:sz w:val="24"/>
          <w:szCs w:val="24"/>
          <w:lang w:val="en-US"/>
        </w:rPr>
        <w:t>.2</w:t>
      </w:r>
      <w:r w:rsidR="0048028C" w:rsidRPr="00BD58C0">
        <w:rPr>
          <w:rFonts w:ascii="Times New Roman" w:eastAsiaTheme="minorEastAsia" w:hAnsi="Times New Roman" w:cs="Times New Roman"/>
          <w:i/>
          <w:sz w:val="24"/>
          <w:szCs w:val="24"/>
          <w:lang w:val="en-US"/>
        </w:rPr>
        <w:t>.</w:t>
      </w:r>
      <w:r w:rsidRPr="00BD58C0">
        <w:rPr>
          <w:rFonts w:ascii="Times New Roman" w:eastAsiaTheme="minorEastAsia" w:hAnsi="Times New Roman" w:cs="Times New Roman"/>
          <w:i/>
          <w:sz w:val="24"/>
          <w:szCs w:val="24"/>
          <w:lang w:val="en-US"/>
        </w:rPr>
        <w:tab/>
        <w:t>Analytic</w:t>
      </w:r>
      <w:r w:rsidR="00B6599B" w:rsidRPr="00BD58C0">
        <w:rPr>
          <w:rFonts w:ascii="Times New Roman" w:eastAsiaTheme="minorEastAsia" w:hAnsi="Times New Roman" w:cs="Times New Roman"/>
          <w:i/>
          <w:sz w:val="24"/>
          <w:szCs w:val="24"/>
          <w:lang w:val="en-US"/>
        </w:rPr>
        <w:t>al</w:t>
      </w:r>
      <w:r w:rsidRPr="00BD58C0">
        <w:rPr>
          <w:rFonts w:ascii="Times New Roman" w:eastAsiaTheme="minorEastAsia" w:hAnsi="Times New Roman" w:cs="Times New Roman"/>
          <w:i/>
          <w:sz w:val="24"/>
          <w:szCs w:val="24"/>
          <w:lang w:val="en-US"/>
        </w:rPr>
        <w:t xml:space="preserve"> hierarchy process (AHP)</w:t>
      </w:r>
    </w:p>
    <w:p w14:paraId="4650C03F" w14:textId="77777777" w:rsidR="00045AEB" w:rsidRPr="00BD58C0" w:rsidRDefault="00045AEB">
      <w:pPr>
        <w:spacing w:after="0" w:line="360" w:lineRule="auto"/>
        <w:jc w:val="both"/>
        <w:rPr>
          <w:rFonts w:ascii="Times New Roman" w:eastAsiaTheme="minorEastAsia" w:hAnsi="Times New Roman" w:cs="Times New Roman"/>
          <w:i/>
          <w:iCs/>
          <w:sz w:val="24"/>
          <w:szCs w:val="24"/>
          <w:lang w:val="en-US"/>
        </w:rPr>
      </w:pPr>
    </w:p>
    <w:p w14:paraId="093C3793" w14:textId="4FE254E3" w:rsidR="00143AEA" w:rsidRPr="00BD58C0" w:rsidRDefault="00045AEB" w:rsidP="00A77D47">
      <w:pPr>
        <w:spacing w:after="0" w:line="360" w:lineRule="auto"/>
        <w:ind w:firstLine="720"/>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AHP is one of the most commonly used quantitative methods for multi-criteria decision making </w:t>
      </w:r>
      <w:r w:rsidR="00F554FB" w:rsidRPr="00BD58C0">
        <w:rPr>
          <w:rFonts w:ascii="Times New Roman" w:eastAsiaTheme="minorEastAsia" w:hAnsi="Times New Roman" w:cs="Times New Roman"/>
          <w:iCs/>
          <w:sz w:val="24"/>
          <w:szCs w:val="24"/>
          <w:lang w:val="en-US"/>
        </w:rPr>
        <w:t>[4</w:t>
      </w:r>
      <w:r w:rsidR="00943409" w:rsidRPr="00BD58C0">
        <w:rPr>
          <w:rFonts w:ascii="Times New Roman" w:eastAsiaTheme="minorEastAsia" w:hAnsi="Times New Roman" w:cs="Times New Roman"/>
          <w:iCs/>
          <w:sz w:val="24"/>
          <w:szCs w:val="24"/>
          <w:lang w:val="en-US"/>
        </w:rPr>
        <w:t>9</w:t>
      </w:r>
      <w:r w:rsidR="00F554FB"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 xml:space="preserve">. AHP is useful when it comes to obtaining a single assessment value based on different criteria or indicators. The AHP method described by </w:t>
      </w:r>
      <w:r w:rsidR="007947E3" w:rsidRPr="00BD58C0">
        <w:rPr>
          <w:rFonts w:ascii="Times New Roman" w:eastAsiaTheme="minorEastAsia" w:hAnsi="Times New Roman" w:cs="Times New Roman"/>
          <w:iCs/>
          <w:sz w:val="24"/>
          <w:szCs w:val="24"/>
          <w:lang w:val="en-US"/>
        </w:rPr>
        <w:t>[</w:t>
      </w:r>
      <w:r w:rsidR="00AF6B9A" w:rsidRPr="00BD58C0">
        <w:rPr>
          <w:rFonts w:ascii="Times New Roman" w:eastAsiaTheme="minorEastAsia" w:hAnsi="Times New Roman" w:cs="Times New Roman"/>
          <w:iCs/>
          <w:sz w:val="24"/>
          <w:szCs w:val="24"/>
          <w:lang w:val="en-US"/>
        </w:rPr>
        <w:t>17</w:t>
      </w:r>
      <w:r w:rsidR="007947E3"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has four steps</w:t>
      </w:r>
      <w:r w:rsidR="001B6266" w:rsidRPr="00BD58C0">
        <w:rPr>
          <w:rFonts w:ascii="Times New Roman" w:eastAsiaTheme="minorEastAsia" w:hAnsi="Times New Roman" w:cs="Times New Roman"/>
          <w:iCs/>
          <w:sz w:val="24"/>
          <w:szCs w:val="24"/>
          <w:lang w:val="en-US"/>
        </w:rPr>
        <w:t xml:space="preserve">: </w:t>
      </w:r>
    </w:p>
    <w:p w14:paraId="07349A9D" w14:textId="77777777" w:rsidR="009278BA" w:rsidRPr="00BD58C0" w:rsidRDefault="009278BA" w:rsidP="00A77D47">
      <w:pPr>
        <w:spacing w:after="0" w:line="360" w:lineRule="auto"/>
        <w:ind w:firstLine="720"/>
        <w:jc w:val="both"/>
        <w:rPr>
          <w:rFonts w:ascii="Times New Roman" w:eastAsiaTheme="minorEastAsia" w:hAnsi="Times New Roman" w:cs="Times New Roman"/>
          <w:iCs/>
          <w:sz w:val="24"/>
          <w:szCs w:val="24"/>
          <w:lang w:val="en-US"/>
        </w:rPr>
      </w:pPr>
    </w:p>
    <w:p w14:paraId="59C38782" w14:textId="538B2B38" w:rsidR="00143AEA" w:rsidRPr="00BD58C0" w:rsidRDefault="001B6266" w:rsidP="00A77D47">
      <w:pPr>
        <w:spacing w:after="0" w:line="360" w:lineRule="auto"/>
        <w:ind w:firstLine="720"/>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1)</w:t>
      </w:r>
      <w:r w:rsidR="00045AEB" w:rsidRPr="00BD58C0">
        <w:rPr>
          <w:rFonts w:ascii="Times New Roman" w:eastAsiaTheme="minorEastAsia" w:hAnsi="Times New Roman" w:cs="Times New Roman"/>
          <w:iCs/>
          <w:sz w:val="24"/>
          <w:szCs w:val="24"/>
          <w:lang w:val="en-US"/>
        </w:rPr>
        <w:t xml:space="preserve"> </w:t>
      </w:r>
      <w:r w:rsidR="004545C9" w:rsidRPr="00BD58C0">
        <w:rPr>
          <w:rFonts w:ascii="Times New Roman" w:eastAsiaTheme="minorEastAsia" w:hAnsi="Times New Roman" w:cs="Times New Roman"/>
          <w:iCs/>
          <w:sz w:val="24"/>
          <w:szCs w:val="24"/>
          <w:lang w:val="en-US"/>
        </w:rPr>
        <w:t xml:space="preserve"> </w:t>
      </w:r>
      <w:r w:rsidR="000B278E" w:rsidRPr="00BD58C0">
        <w:rPr>
          <w:rFonts w:ascii="Times New Roman" w:eastAsiaTheme="minorEastAsia" w:hAnsi="Times New Roman" w:cs="Times New Roman"/>
          <w:iCs/>
          <w:sz w:val="24"/>
          <w:szCs w:val="24"/>
          <w:lang w:val="en-US"/>
        </w:rPr>
        <w:t>D</w:t>
      </w:r>
      <w:r w:rsidR="00045AEB" w:rsidRPr="00BD58C0">
        <w:rPr>
          <w:rFonts w:ascii="Times New Roman" w:eastAsiaTheme="minorEastAsia" w:hAnsi="Times New Roman" w:cs="Times New Roman"/>
          <w:iCs/>
          <w:sz w:val="24"/>
          <w:szCs w:val="24"/>
          <w:lang w:val="en-US"/>
        </w:rPr>
        <w:t>efining the problem</w:t>
      </w:r>
      <w:r w:rsidR="001F7B64" w:rsidRPr="00BD58C0">
        <w:rPr>
          <w:rFonts w:ascii="Times New Roman" w:eastAsiaTheme="minorEastAsia" w:hAnsi="Times New Roman" w:cs="Times New Roman"/>
          <w:iCs/>
          <w:sz w:val="24"/>
          <w:szCs w:val="24"/>
          <w:lang w:val="en-US"/>
        </w:rPr>
        <w:t xml:space="preserve"> and</w:t>
      </w:r>
      <w:r w:rsidR="00045AEB" w:rsidRPr="00BD58C0">
        <w:rPr>
          <w:rFonts w:ascii="Times New Roman" w:eastAsiaTheme="minorEastAsia" w:hAnsi="Times New Roman" w:cs="Times New Roman"/>
          <w:iCs/>
          <w:sz w:val="24"/>
          <w:szCs w:val="24"/>
          <w:lang w:val="en-US"/>
        </w:rPr>
        <w:t xml:space="preserve"> then forming a hierarchy with the aim at the first level</w:t>
      </w:r>
      <w:r w:rsidRPr="00BD58C0">
        <w:rPr>
          <w:rFonts w:ascii="Times New Roman" w:eastAsiaTheme="minorEastAsia" w:hAnsi="Times New Roman" w:cs="Times New Roman"/>
          <w:iCs/>
          <w:sz w:val="24"/>
          <w:szCs w:val="24"/>
          <w:lang w:val="en-US"/>
        </w:rPr>
        <w:t>;</w:t>
      </w:r>
      <w:r w:rsidR="00045AEB" w:rsidRPr="00BD58C0">
        <w:rPr>
          <w:rFonts w:ascii="Times New Roman" w:eastAsiaTheme="minorEastAsia" w:hAnsi="Times New Roman" w:cs="Times New Roman"/>
          <w:iCs/>
          <w:sz w:val="24"/>
          <w:szCs w:val="24"/>
          <w:lang w:val="en-US"/>
        </w:rPr>
        <w:t xml:space="preserve"> </w:t>
      </w:r>
    </w:p>
    <w:p w14:paraId="5185135F" w14:textId="0A6C4EEF" w:rsidR="00143AEA" w:rsidRPr="00BD58C0" w:rsidRDefault="001B6266" w:rsidP="009278BA">
      <w:pPr>
        <w:spacing w:after="0" w:line="360" w:lineRule="auto"/>
        <w:ind w:left="993" w:hanging="273"/>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2) </w:t>
      </w:r>
      <w:r w:rsidR="000B278E" w:rsidRPr="00BD58C0">
        <w:rPr>
          <w:rFonts w:ascii="Times New Roman" w:eastAsiaTheme="minorEastAsia" w:hAnsi="Times New Roman" w:cs="Times New Roman"/>
          <w:iCs/>
          <w:sz w:val="24"/>
          <w:szCs w:val="24"/>
          <w:lang w:val="en-US"/>
        </w:rPr>
        <w:t>F</w:t>
      </w:r>
      <w:r w:rsidR="00045AEB" w:rsidRPr="00BD58C0">
        <w:rPr>
          <w:rFonts w:ascii="Times New Roman" w:eastAsiaTheme="minorEastAsia" w:hAnsi="Times New Roman" w:cs="Times New Roman"/>
          <w:iCs/>
          <w:sz w:val="24"/>
          <w:szCs w:val="24"/>
          <w:lang w:val="en-US"/>
        </w:rPr>
        <w:t xml:space="preserve">ormulation of pairwise comparison questionnaires or surveys for experts </w:t>
      </w:r>
      <w:r w:rsidR="007A33A3" w:rsidRPr="00BD58C0">
        <w:rPr>
          <w:rFonts w:ascii="Times New Roman" w:eastAsiaTheme="minorEastAsia" w:hAnsi="Times New Roman" w:cs="Times New Roman"/>
          <w:iCs/>
          <w:sz w:val="24"/>
          <w:szCs w:val="24"/>
          <w:lang w:val="en-US"/>
        </w:rPr>
        <w:t>or stakeholders</w:t>
      </w:r>
      <w:r w:rsidR="00045AEB" w:rsidRPr="00BD58C0">
        <w:rPr>
          <w:rFonts w:ascii="Times New Roman" w:eastAsiaTheme="minorEastAsia" w:hAnsi="Times New Roman" w:cs="Times New Roman"/>
          <w:iCs/>
          <w:sz w:val="24"/>
          <w:szCs w:val="24"/>
          <w:lang w:val="en-US"/>
        </w:rPr>
        <w:t xml:space="preserve"> to provide </w:t>
      </w:r>
      <w:r w:rsidR="006A5C98">
        <w:rPr>
          <w:rFonts w:ascii="Times New Roman" w:eastAsiaTheme="minorEastAsia" w:hAnsi="Times New Roman" w:cs="Times New Roman"/>
          <w:iCs/>
          <w:sz w:val="24"/>
          <w:szCs w:val="24"/>
          <w:lang w:val="en-US"/>
        </w:rPr>
        <w:t>experts’</w:t>
      </w:r>
      <w:r w:rsidR="00045AEB" w:rsidRPr="00BD58C0">
        <w:rPr>
          <w:rFonts w:ascii="Times New Roman" w:eastAsiaTheme="minorEastAsia" w:hAnsi="Times New Roman" w:cs="Times New Roman"/>
          <w:iCs/>
          <w:sz w:val="24"/>
          <w:szCs w:val="24"/>
          <w:lang w:val="en-US"/>
        </w:rPr>
        <w:t xml:space="preserve"> point of view based on a nine-point scale </w:t>
      </w:r>
      <w:r w:rsidR="007947E3" w:rsidRPr="00BD58C0">
        <w:rPr>
          <w:rFonts w:ascii="Times New Roman" w:eastAsiaTheme="minorEastAsia" w:hAnsi="Times New Roman" w:cs="Times New Roman"/>
          <w:iCs/>
          <w:sz w:val="24"/>
          <w:szCs w:val="24"/>
          <w:lang w:val="en-US"/>
        </w:rPr>
        <w:t>[</w:t>
      </w:r>
      <w:r w:rsidR="00AF6B9A" w:rsidRPr="00BD58C0">
        <w:rPr>
          <w:rFonts w:ascii="Times New Roman" w:eastAsiaTheme="minorEastAsia" w:hAnsi="Times New Roman" w:cs="Times New Roman"/>
          <w:iCs/>
          <w:sz w:val="24"/>
          <w:szCs w:val="24"/>
          <w:lang w:val="en-US"/>
        </w:rPr>
        <w:t>17</w:t>
      </w:r>
      <w:r w:rsidR="007947E3" w:rsidRPr="00BD58C0">
        <w:rPr>
          <w:rFonts w:ascii="Times New Roman" w:eastAsiaTheme="minorEastAsia" w:hAnsi="Times New Roman" w:cs="Times New Roman"/>
          <w:iCs/>
          <w:sz w:val="24"/>
          <w:szCs w:val="24"/>
          <w:lang w:val="en-US"/>
        </w:rPr>
        <w:t>]</w:t>
      </w:r>
      <w:r w:rsidR="00EB1C57" w:rsidRPr="00BD58C0">
        <w:rPr>
          <w:rFonts w:ascii="Times New Roman" w:eastAsiaTheme="minorEastAsia" w:hAnsi="Times New Roman" w:cs="Times New Roman"/>
          <w:iCs/>
          <w:sz w:val="24"/>
          <w:szCs w:val="24"/>
          <w:lang w:val="en-US"/>
        </w:rPr>
        <w:t xml:space="preserve">; </w:t>
      </w:r>
    </w:p>
    <w:p w14:paraId="06C5DBD5" w14:textId="77777777" w:rsidR="009278BA" w:rsidRPr="00BD58C0" w:rsidRDefault="00EB1C57" w:rsidP="009278BA">
      <w:pPr>
        <w:spacing w:after="0" w:line="360" w:lineRule="auto"/>
        <w:ind w:left="993" w:hanging="273"/>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3) </w:t>
      </w:r>
      <w:r w:rsidR="00143AEA" w:rsidRPr="00BD58C0">
        <w:rPr>
          <w:rFonts w:ascii="Times New Roman" w:eastAsiaTheme="minorEastAsia" w:hAnsi="Times New Roman" w:cs="Times New Roman"/>
          <w:iCs/>
          <w:sz w:val="24"/>
          <w:szCs w:val="24"/>
          <w:lang w:val="en-US"/>
        </w:rPr>
        <w:t>C</w:t>
      </w:r>
      <w:r w:rsidR="00045AEB" w:rsidRPr="00BD58C0">
        <w:rPr>
          <w:rFonts w:ascii="Times New Roman" w:eastAsiaTheme="minorEastAsia" w:hAnsi="Times New Roman" w:cs="Times New Roman"/>
          <w:iCs/>
          <w:sz w:val="24"/>
          <w:szCs w:val="24"/>
          <w:lang w:val="en-US"/>
        </w:rPr>
        <w:t>onstruction of a pairwise comparison matrix with respect to possible solutions under each main criterion</w:t>
      </w:r>
      <w:r w:rsidRPr="00BD58C0">
        <w:rPr>
          <w:rFonts w:ascii="Times New Roman" w:eastAsiaTheme="minorEastAsia" w:hAnsi="Times New Roman" w:cs="Times New Roman"/>
          <w:iCs/>
          <w:sz w:val="24"/>
          <w:szCs w:val="24"/>
          <w:lang w:val="en-US"/>
        </w:rPr>
        <w:t>, drawing on the survey data obtained under step 2</w:t>
      </w:r>
      <w:r w:rsidR="00045AEB" w:rsidRPr="00BD58C0">
        <w:rPr>
          <w:rFonts w:ascii="Times New Roman" w:eastAsiaTheme="minorEastAsia" w:hAnsi="Times New Roman" w:cs="Times New Roman"/>
          <w:iCs/>
          <w:sz w:val="24"/>
          <w:szCs w:val="24"/>
          <w:lang w:val="en-US"/>
        </w:rPr>
        <w:t xml:space="preserve">. </w:t>
      </w:r>
    </w:p>
    <w:p w14:paraId="61358F5E" w14:textId="77777777" w:rsidR="009278BA" w:rsidRPr="00BD58C0" w:rsidRDefault="009278BA" w:rsidP="00A77D47">
      <w:pPr>
        <w:spacing w:after="0" w:line="360" w:lineRule="auto"/>
        <w:ind w:firstLine="720"/>
        <w:jc w:val="both"/>
        <w:rPr>
          <w:rFonts w:ascii="Times New Roman" w:eastAsiaTheme="minorEastAsia" w:hAnsi="Times New Roman" w:cs="Times New Roman"/>
          <w:iCs/>
          <w:sz w:val="24"/>
          <w:szCs w:val="24"/>
          <w:lang w:val="en-US"/>
        </w:rPr>
      </w:pPr>
    </w:p>
    <w:p w14:paraId="08776C0A" w14:textId="3D707D91" w:rsidR="00143AEA" w:rsidRPr="00BD58C0" w:rsidRDefault="00045AEB" w:rsidP="00A77D47">
      <w:pPr>
        <w:spacing w:after="0" w:line="360" w:lineRule="auto"/>
        <w:ind w:firstLine="720"/>
        <w:jc w:val="both"/>
        <w:rPr>
          <w:rFonts w:ascii="Times New Roman" w:eastAsiaTheme="minorEastAsia" w:hAnsi="Times New Roman" w:cs="Times New Roman"/>
          <w:iCs/>
          <w:sz w:val="28"/>
          <w:szCs w:val="28"/>
          <w:lang w:val="en-US"/>
        </w:rPr>
      </w:pPr>
      <w:r w:rsidRPr="00BD58C0">
        <w:rPr>
          <w:rFonts w:ascii="Times New Roman" w:eastAsiaTheme="minorEastAsia" w:hAnsi="Times New Roman" w:cs="Times New Roman"/>
          <w:iCs/>
          <w:sz w:val="24"/>
          <w:szCs w:val="24"/>
          <w:lang w:val="en-US"/>
        </w:rPr>
        <w:t>Geometric mean</w:t>
      </w:r>
      <w:r w:rsidR="006D6CE1"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 xml:space="preserve">(GMM) </w:t>
      </w:r>
      <w:r w:rsidR="006D6CE1" w:rsidRPr="00BD58C0">
        <w:rPr>
          <w:rFonts w:ascii="Times New Roman" w:eastAsiaTheme="minorEastAsia" w:hAnsi="Times New Roman" w:cs="Times New Roman"/>
          <w:iCs/>
          <w:sz w:val="24"/>
          <w:szCs w:val="24"/>
          <w:lang w:val="en-US"/>
        </w:rPr>
        <w:t>is</w:t>
      </w:r>
      <w:r w:rsidRPr="00BD58C0">
        <w:rPr>
          <w:rFonts w:ascii="Times New Roman" w:eastAsiaTheme="minorEastAsia" w:hAnsi="Times New Roman" w:cs="Times New Roman"/>
          <w:iCs/>
          <w:sz w:val="24"/>
          <w:szCs w:val="24"/>
          <w:lang w:val="en-US"/>
        </w:rPr>
        <w:t xml:space="preserve"> used to obtain consensus in the pairwise judgement when more than one respondent is involved </w:t>
      </w:r>
      <w:r w:rsidR="006D7C43" w:rsidRPr="00BD58C0">
        <w:rPr>
          <w:rFonts w:ascii="Times New Roman" w:eastAsiaTheme="minorEastAsia" w:hAnsi="Times New Roman" w:cs="Times New Roman"/>
          <w:iCs/>
          <w:sz w:val="24"/>
          <w:szCs w:val="24"/>
          <w:lang w:val="en-US"/>
        </w:rPr>
        <w:t>[</w:t>
      </w:r>
      <w:r w:rsidR="00E064B8" w:rsidRPr="00BD58C0">
        <w:rPr>
          <w:rFonts w:ascii="Times New Roman" w:eastAsiaTheme="minorEastAsia" w:hAnsi="Times New Roman" w:cs="Times New Roman"/>
          <w:iCs/>
          <w:sz w:val="24"/>
          <w:szCs w:val="24"/>
          <w:lang w:val="en-US"/>
        </w:rPr>
        <w:t>50</w:t>
      </w:r>
      <w:r w:rsidR="006D7C43"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 By using the GMM method</w:t>
      </w:r>
      <w:r w:rsidR="00E40764" w:rsidRPr="00BD58C0">
        <w:rPr>
          <w:rFonts w:ascii="Times New Roman" w:eastAsiaTheme="minorEastAsia" w:hAnsi="Times New Roman" w:cs="Times New Roman"/>
          <w:iCs/>
          <w:sz w:val="24"/>
          <w:szCs w:val="24"/>
          <w:lang w:val="en-US"/>
        </w:rPr>
        <w:t xml:space="preserve"> (see Eq. 15)</w:t>
      </w:r>
      <w:r w:rsidRPr="00BD58C0">
        <w:rPr>
          <w:rFonts w:ascii="Times New Roman" w:eastAsiaTheme="minorEastAsia" w:hAnsi="Times New Roman" w:cs="Times New Roman"/>
          <w:iCs/>
          <w:sz w:val="24"/>
          <w:szCs w:val="24"/>
          <w:lang w:val="en-US"/>
        </w:rPr>
        <w:t xml:space="preserve">, a set of eigenvectors that serve as local priorities in a complete square matrix is developed. The priorities present the relative importance of the elements within its range of category and on the element in the level above its range </w:t>
      </w:r>
      <w:r w:rsidR="007947E3" w:rsidRPr="00BD58C0">
        <w:rPr>
          <w:rFonts w:ascii="Times New Roman" w:eastAsiaTheme="minorEastAsia" w:hAnsi="Times New Roman" w:cs="Times New Roman"/>
          <w:iCs/>
          <w:sz w:val="24"/>
          <w:szCs w:val="24"/>
          <w:lang w:val="en-US"/>
        </w:rPr>
        <w:t>[</w:t>
      </w:r>
      <w:r w:rsidR="00AF6B9A" w:rsidRPr="00BD58C0">
        <w:rPr>
          <w:rFonts w:ascii="Times New Roman" w:eastAsiaTheme="minorEastAsia" w:hAnsi="Times New Roman" w:cs="Times New Roman"/>
          <w:iCs/>
          <w:sz w:val="24"/>
          <w:szCs w:val="24"/>
          <w:lang w:val="en-US"/>
        </w:rPr>
        <w:t>17</w:t>
      </w:r>
      <w:r w:rsidR="007947E3"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w:t>
      </w:r>
      <w:r w:rsidR="00143AEA"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The relative impact of the elements on the level above and within its category are represented by the priorities</w:t>
      </w:r>
      <w:r w:rsidR="00CB402B" w:rsidRPr="00BD58C0">
        <w:rPr>
          <w:rFonts w:ascii="Times New Roman" w:eastAsiaTheme="minorEastAsia" w:hAnsi="Times New Roman" w:cs="Times New Roman"/>
          <w:iCs/>
          <w:sz w:val="24"/>
          <w:szCs w:val="24"/>
          <w:lang w:val="en-US"/>
        </w:rPr>
        <w:t xml:space="preserve">. </w:t>
      </w:r>
      <w:r w:rsidR="00020931" w:rsidRPr="00BD58C0">
        <w:rPr>
          <w:rFonts w:ascii="Times New Roman" w:hAnsi="Times New Roman" w:cs="Times New Roman"/>
          <w:sz w:val="24"/>
          <w:szCs w:val="24"/>
        </w:rPr>
        <w:t>The “normalise result” column shown in Fig.</w:t>
      </w:r>
      <w:r w:rsidR="000F3C0D" w:rsidRPr="00BD58C0">
        <w:rPr>
          <w:rFonts w:ascii="Times New Roman" w:hAnsi="Times New Roman" w:cs="Times New Roman"/>
          <w:sz w:val="24"/>
          <w:szCs w:val="24"/>
        </w:rPr>
        <w:t xml:space="preserve"> </w:t>
      </w:r>
      <w:r w:rsidR="00F40BB9" w:rsidRPr="00BD58C0">
        <w:rPr>
          <w:rFonts w:ascii="Times New Roman" w:hAnsi="Times New Roman" w:cs="Times New Roman"/>
          <w:sz w:val="24"/>
          <w:szCs w:val="24"/>
        </w:rPr>
        <w:t xml:space="preserve">1 multiplied </w:t>
      </w:r>
      <w:r w:rsidR="00165D56" w:rsidRPr="00BD58C0">
        <w:rPr>
          <w:rFonts w:ascii="Times New Roman" w:hAnsi="Times New Roman" w:cs="Times New Roman"/>
          <w:sz w:val="24"/>
          <w:szCs w:val="24"/>
        </w:rPr>
        <w:t xml:space="preserve">by </w:t>
      </w:r>
      <w:r w:rsidR="00F40BB9" w:rsidRPr="00BD58C0">
        <w:rPr>
          <w:rFonts w:ascii="Times New Roman" w:hAnsi="Times New Roman" w:cs="Times New Roman"/>
          <w:sz w:val="24"/>
          <w:szCs w:val="24"/>
        </w:rPr>
        <w:t>100% refers</w:t>
      </w:r>
      <w:r w:rsidR="00020931" w:rsidRPr="00BD58C0">
        <w:rPr>
          <w:rFonts w:ascii="Times New Roman" w:hAnsi="Times New Roman" w:cs="Times New Roman"/>
          <w:sz w:val="28"/>
          <w:szCs w:val="28"/>
        </w:rPr>
        <w:t xml:space="preserve"> </w:t>
      </w:r>
      <w:r w:rsidR="00020931" w:rsidRPr="00BD58C0">
        <w:rPr>
          <w:rFonts w:ascii="Times New Roman" w:hAnsi="Times New Roman" w:cs="Times New Roman"/>
          <w:sz w:val="24"/>
          <w:szCs w:val="24"/>
        </w:rPr>
        <w:t>to the “priority weight</w:t>
      </w:r>
      <w:r w:rsidR="00F40BB9" w:rsidRPr="00BD58C0">
        <w:rPr>
          <w:rFonts w:ascii="Times New Roman" w:hAnsi="Times New Roman" w:cs="Times New Roman"/>
          <w:sz w:val="24"/>
          <w:szCs w:val="24"/>
        </w:rPr>
        <w:t xml:space="preserve"> (%)</w:t>
      </w:r>
      <w:r w:rsidR="0096510B" w:rsidRPr="00BD58C0">
        <w:rPr>
          <w:rFonts w:ascii="Times New Roman" w:hAnsi="Times New Roman" w:cs="Times New Roman"/>
          <w:sz w:val="24"/>
          <w:szCs w:val="24"/>
        </w:rPr>
        <w:t xml:space="preserve"> in Tables (</w:t>
      </w:r>
      <w:r w:rsidR="003E011E" w:rsidRPr="00BD58C0">
        <w:rPr>
          <w:rFonts w:ascii="Times New Roman" w:hAnsi="Times New Roman" w:cs="Times New Roman"/>
          <w:sz w:val="24"/>
          <w:szCs w:val="24"/>
        </w:rPr>
        <w:t>8</w:t>
      </w:r>
      <w:r w:rsidR="0096510B" w:rsidRPr="00BD58C0">
        <w:rPr>
          <w:rFonts w:ascii="Times New Roman" w:hAnsi="Times New Roman" w:cs="Times New Roman"/>
          <w:sz w:val="24"/>
          <w:szCs w:val="24"/>
        </w:rPr>
        <w:t>-1</w:t>
      </w:r>
      <w:r w:rsidR="003E011E" w:rsidRPr="00BD58C0">
        <w:rPr>
          <w:rFonts w:ascii="Times New Roman" w:hAnsi="Times New Roman" w:cs="Times New Roman"/>
          <w:sz w:val="24"/>
          <w:szCs w:val="24"/>
        </w:rPr>
        <w:t>2</w:t>
      </w:r>
      <w:r w:rsidR="0096510B" w:rsidRPr="00BD58C0">
        <w:rPr>
          <w:rFonts w:ascii="Times New Roman" w:hAnsi="Times New Roman" w:cs="Times New Roman"/>
          <w:sz w:val="24"/>
          <w:szCs w:val="24"/>
        </w:rPr>
        <w:t>)</w:t>
      </w:r>
      <w:r w:rsidR="00020931" w:rsidRPr="00BD58C0">
        <w:rPr>
          <w:rFonts w:ascii="Times New Roman" w:hAnsi="Times New Roman" w:cs="Times New Roman"/>
          <w:sz w:val="24"/>
          <w:szCs w:val="24"/>
        </w:rPr>
        <w:t xml:space="preserve">”. No assumptions were made to </w:t>
      </w:r>
      <w:r w:rsidR="000E38C7" w:rsidRPr="00BD58C0">
        <w:rPr>
          <w:rFonts w:ascii="Times New Roman" w:hAnsi="Times New Roman" w:cs="Times New Roman"/>
          <w:sz w:val="24"/>
          <w:szCs w:val="24"/>
        </w:rPr>
        <w:t>perform the calculation</w:t>
      </w:r>
      <w:r w:rsidR="00020931" w:rsidRPr="00BD58C0">
        <w:rPr>
          <w:rFonts w:ascii="Times New Roman" w:hAnsi="Times New Roman" w:cs="Times New Roman"/>
          <w:sz w:val="24"/>
          <w:szCs w:val="24"/>
        </w:rPr>
        <w:t>.</w:t>
      </w:r>
      <w:r w:rsidR="000E38C7" w:rsidRPr="00BD58C0">
        <w:rPr>
          <w:rFonts w:ascii="Times New Roman" w:hAnsi="Times New Roman" w:cs="Times New Roman"/>
          <w:sz w:val="24"/>
          <w:szCs w:val="24"/>
        </w:rPr>
        <w:t xml:space="preserve"> However, through this method, each expert involved in the survey w</w:t>
      </w:r>
      <w:r w:rsidR="007B799C" w:rsidRPr="00BD58C0">
        <w:rPr>
          <w:rFonts w:ascii="Times New Roman" w:hAnsi="Times New Roman" w:cs="Times New Roman"/>
          <w:sz w:val="24"/>
          <w:szCs w:val="24"/>
        </w:rPr>
        <w:t>as</w:t>
      </w:r>
      <w:r w:rsidR="000E38C7" w:rsidRPr="00BD58C0">
        <w:rPr>
          <w:rFonts w:ascii="Times New Roman" w:hAnsi="Times New Roman" w:cs="Times New Roman"/>
          <w:sz w:val="24"/>
          <w:szCs w:val="24"/>
        </w:rPr>
        <w:t xml:space="preserve"> able to choose their preferred and prioritised option which led to the AHP analysis</w:t>
      </w:r>
      <w:r w:rsidR="004B28AC" w:rsidRPr="00BD58C0">
        <w:rPr>
          <w:rFonts w:ascii="Times New Roman" w:hAnsi="Times New Roman" w:cs="Times New Roman"/>
          <w:sz w:val="24"/>
          <w:szCs w:val="24"/>
        </w:rPr>
        <w:t xml:space="preserve">. </w:t>
      </w:r>
      <w:r w:rsidR="000E38C7" w:rsidRPr="00BD58C0">
        <w:rPr>
          <w:rFonts w:ascii="Times New Roman" w:hAnsi="Times New Roman" w:cs="Times New Roman"/>
          <w:sz w:val="24"/>
          <w:szCs w:val="24"/>
        </w:rPr>
        <w:t>Tables (</w:t>
      </w:r>
      <w:r w:rsidR="0033630A" w:rsidRPr="00BD58C0">
        <w:rPr>
          <w:rFonts w:ascii="Times New Roman" w:hAnsi="Times New Roman" w:cs="Times New Roman"/>
          <w:sz w:val="24"/>
          <w:szCs w:val="24"/>
        </w:rPr>
        <w:t>8-</w:t>
      </w:r>
      <w:r w:rsidR="000E38C7" w:rsidRPr="00BD58C0">
        <w:rPr>
          <w:rFonts w:ascii="Times New Roman" w:hAnsi="Times New Roman" w:cs="Times New Roman"/>
          <w:sz w:val="24"/>
          <w:szCs w:val="24"/>
        </w:rPr>
        <w:t>1</w:t>
      </w:r>
      <w:r w:rsidR="0033630A" w:rsidRPr="00BD58C0">
        <w:rPr>
          <w:rFonts w:ascii="Times New Roman" w:hAnsi="Times New Roman" w:cs="Times New Roman"/>
          <w:sz w:val="24"/>
          <w:szCs w:val="24"/>
        </w:rPr>
        <w:t>2</w:t>
      </w:r>
      <w:r w:rsidR="000E38C7" w:rsidRPr="00BD58C0">
        <w:rPr>
          <w:rFonts w:ascii="Times New Roman" w:hAnsi="Times New Roman" w:cs="Times New Roman"/>
          <w:sz w:val="24"/>
          <w:szCs w:val="24"/>
        </w:rPr>
        <w:t>) provide the aggregate of th</w:t>
      </w:r>
      <w:r w:rsidR="007F0119" w:rsidRPr="00BD58C0">
        <w:rPr>
          <w:rFonts w:ascii="Times New Roman" w:hAnsi="Times New Roman" w:cs="Times New Roman"/>
          <w:sz w:val="24"/>
          <w:szCs w:val="24"/>
        </w:rPr>
        <w:t>e</w:t>
      </w:r>
      <w:r w:rsidR="000E38C7" w:rsidRPr="00BD58C0">
        <w:rPr>
          <w:rFonts w:ascii="Times New Roman" w:hAnsi="Times New Roman" w:cs="Times New Roman"/>
          <w:sz w:val="24"/>
          <w:szCs w:val="24"/>
        </w:rPr>
        <w:t>se prioritisation</w:t>
      </w:r>
      <w:r w:rsidR="007F0119" w:rsidRPr="00BD58C0">
        <w:rPr>
          <w:rFonts w:ascii="Times New Roman" w:hAnsi="Times New Roman" w:cs="Times New Roman"/>
          <w:sz w:val="24"/>
          <w:szCs w:val="24"/>
        </w:rPr>
        <w:t>s</w:t>
      </w:r>
      <w:r w:rsidR="000E38C7" w:rsidRPr="00BD58C0">
        <w:rPr>
          <w:rFonts w:ascii="Times New Roman" w:hAnsi="Times New Roman" w:cs="Times New Roman"/>
          <w:sz w:val="24"/>
          <w:szCs w:val="24"/>
        </w:rPr>
        <w:t>.</w:t>
      </w:r>
    </w:p>
    <w:p w14:paraId="33C017BA" w14:textId="1E347437" w:rsidR="00045AEB" w:rsidRPr="00BD58C0" w:rsidRDefault="00A77D47" w:rsidP="00C63FB5">
      <w:pPr>
        <w:spacing w:after="0" w:line="360" w:lineRule="auto"/>
        <w:ind w:firstLine="720"/>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4)</w:t>
      </w:r>
      <w:r w:rsidR="00045AEB" w:rsidRPr="00BD58C0">
        <w:rPr>
          <w:rFonts w:ascii="Times New Roman" w:eastAsiaTheme="minorEastAsia" w:hAnsi="Times New Roman" w:cs="Times New Roman"/>
          <w:iCs/>
          <w:sz w:val="24"/>
          <w:szCs w:val="24"/>
          <w:lang w:val="en-US"/>
        </w:rPr>
        <w:t xml:space="preserve"> </w:t>
      </w:r>
      <w:r w:rsidR="00356B7F" w:rsidRPr="00BD58C0">
        <w:rPr>
          <w:rFonts w:ascii="Times New Roman" w:eastAsiaTheme="minorEastAsia" w:hAnsi="Times New Roman" w:cs="Times New Roman"/>
          <w:iCs/>
          <w:sz w:val="24"/>
          <w:szCs w:val="24"/>
          <w:lang w:val="en-US"/>
        </w:rPr>
        <w:t>T</w:t>
      </w:r>
      <w:r w:rsidR="00045AEB" w:rsidRPr="00BD58C0">
        <w:rPr>
          <w:rFonts w:ascii="Times New Roman" w:eastAsiaTheme="minorEastAsia" w:hAnsi="Times New Roman" w:cs="Times New Roman"/>
          <w:iCs/>
          <w:sz w:val="24"/>
          <w:szCs w:val="24"/>
          <w:lang w:val="en-US"/>
        </w:rPr>
        <w:t xml:space="preserve">he degree of randomness in the judgements used to develop the matrix </w:t>
      </w:r>
      <w:r w:rsidR="0011464F" w:rsidRPr="00BD58C0">
        <w:rPr>
          <w:rFonts w:ascii="Times New Roman" w:eastAsiaTheme="minorEastAsia" w:hAnsi="Times New Roman" w:cs="Times New Roman"/>
          <w:iCs/>
          <w:sz w:val="24"/>
          <w:szCs w:val="24"/>
          <w:lang w:val="en-US"/>
        </w:rPr>
        <w:t xml:space="preserve">is </w:t>
      </w:r>
      <w:r w:rsidR="00045AEB" w:rsidRPr="00BD58C0">
        <w:rPr>
          <w:rFonts w:ascii="Times New Roman" w:eastAsiaTheme="minorEastAsia" w:hAnsi="Times New Roman" w:cs="Times New Roman"/>
          <w:iCs/>
          <w:sz w:val="24"/>
          <w:szCs w:val="24"/>
          <w:lang w:val="en-US"/>
        </w:rPr>
        <w:t xml:space="preserve">measured </w:t>
      </w:r>
      <w:r w:rsidR="00DF3E21" w:rsidRPr="00BD58C0">
        <w:rPr>
          <w:rFonts w:ascii="Times New Roman" w:eastAsiaTheme="minorEastAsia" w:hAnsi="Times New Roman" w:cs="Times New Roman"/>
          <w:iCs/>
          <w:sz w:val="24"/>
          <w:szCs w:val="24"/>
          <w:lang w:val="en-US"/>
        </w:rPr>
        <w:t>[</w:t>
      </w:r>
      <w:r w:rsidR="00E064B8" w:rsidRPr="00BD58C0">
        <w:rPr>
          <w:rFonts w:ascii="Times New Roman" w:eastAsiaTheme="minorEastAsia" w:hAnsi="Times New Roman" w:cs="Times New Roman"/>
          <w:iCs/>
          <w:sz w:val="24"/>
          <w:szCs w:val="24"/>
          <w:lang w:val="en-US"/>
        </w:rPr>
        <w:t>51</w:t>
      </w:r>
      <w:r w:rsidR="00DF3E21" w:rsidRPr="00BD58C0">
        <w:rPr>
          <w:rFonts w:ascii="Times New Roman" w:eastAsiaTheme="minorEastAsia" w:hAnsi="Times New Roman" w:cs="Times New Roman"/>
          <w:iCs/>
          <w:sz w:val="24"/>
          <w:szCs w:val="24"/>
          <w:lang w:val="en-US"/>
        </w:rPr>
        <w:t>]</w:t>
      </w:r>
      <w:r w:rsidR="00045AEB" w:rsidRPr="00BD58C0">
        <w:rPr>
          <w:rFonts w:ascii="Times New Roman" w:eastAsiaTheme="minorEastAsia" w:hAnsi="Times New Roman" w:cs="Times New Roman"/>
          <w:iCs/>
          <w:sz w:val="24"/>
          <w:szCs w:val="24"/>
          <w:lang w:val="en-US"/>
        </w:rPr>
        <w:t>. The Consistency Ratio (CR) used to measure the consistency of answers given by the respondents in the questionnaire is a tool suggested by</w:t>
      </w:r>
      <w:r w:rsidR="00D7361A" w:rsidRPr="00BD58C0">
        <w:rPr>
          <w:rFonts w:ascii="Times New Roman" w:eastAsiaTheme="minorEastAsia" w:hAnsi="Times New Roman" w:cs="Times New Roman"/>
          <w:iCs/>
          <w:sz w:val="24"/>
          <w:szCs w:val="24"/>
          <w:lang w:val="en-US"/>
        </w:rPr>
        <w:t xml:space="preserve"> [</w:t>
      </w:r>
      <w:r w:rsidR="00073938" w:rsidRPr="00BD58C0">
        <w:rPr>
          <w:rFonts w:ascii="Times New Roman" w:eastAsiaTheme="minorEastAsia" w:hAnsi="Times New Roman" w:cs="Times New Roman"/>
          <w:iCs/>
          <w:sz w:val="24"/>
          <w:szCs w:val="24"/>
          <w:lang w:val="en-US"/>
        </w:rPr>
        <w:t>5</w:t>
      </w:r>
      <w:r w:rsidR="00E064B8" w:rsidRPr="00BD58C0">
        <w:rPr>
          <w:rFonts w:ascii="Times New Roman" w:eastAsiaTheme="minorEastAsia" w:hAnsi="Times New Roman" w:cs="Times New Roman"/>
          <w:iCs/>
          <w:sz w:val="24"/>
          <w:szCs w:val="24"/>
          <w:lang w:val="en-US"/>
        </w:rPr>
        <w:t>2</w:t>
      </w:r>
      <w:r w:rsidR="00D7361A" w:rsidRPr="00BD58C0">
        <w:rPr>
          <w:rFonts w:ascii="Times New Roman" w:eastAsiaTheme="minorEastAsia" w:hAnsi="Times New Roman" w:cs="Times New Roman"/>
          <w:iCs/>
          <w:sz w:val="24"/>
          <w:szCs w:val="24"/>
          <w:lang w:val="en-US"/>
        </w:rPr>
        <w:t>]</w:t>
      </w:r>
      <w:r w:rsidR="00045AEB" w:rsidRPr="00BD58C0">
        <w:rPr>
          <w:rFonts w:ascii="Times New Roman" w:eastAsiaTheme="minorEastAsia" w:hAnsi="Times New Roman" w:cs="Times New Roman"/>
          <w:iCs/>
          <w:sz w:val="24"/>
          <w:szCs w:val="24"/>
          <w:lang w:val="en-US"/>
        </w:rPr>
        <w:t>. The CR is calculated using Eq</w:t>
      </w:r>
      <w:r w:rsidR="00B336F6" w:rsidRPr="00BD58C0">
        <w:rPr>
          <w:rFonts w:ascii="Times New Roman" w:eastAsiaTheme="minorEastAsia" w:hAnsi="Times New Roman" w:cs="Times New Roman"/>
          <w:iCs/>
          <w:sz w:val="24"/>
          <w:szCs w:val="24"/>
          <w:lang w:val="en-US"/>
        </w:rPr>
        <w:t>.</w:t>
      </w:r>
      <w:r w:rsidR="00045AEB" w:rsidRPr="00BD58C0">
        <w:rPr>
          <w:rFonts w:ascii="Times New Roman" w:eastAsiaTheme="minorEastAsia" w:hAnsi="Times New Roman" w:cs="Times New Roman"/>
          <w:iCs/>
          <w:sz w:val="24"/>
          <w:szCs w:val="24"/>
          <w:lang w:val="en-US"/>
        </w:rPr>
        <w:t xml:space="preserve"> </w:t>
      </w:r>
      <w:r w:rsidR="00B336F6" w:rsidRPr="00BD58C0">
        <w:rPr>
          <w:rFonts w:ascii="Times New Roman" w:eastAsiaTheme="minorEastAsia" w:hAnsi="Times New Roman" w:cs="Times New Roman"/>
          <w:iCs/>
          <w:sz w:val="24"/>
          <w:szCs w:val="24"/>
          <w:lang w:val="en-US"/>
        </w:rPr>
        <w:t>1</w:t>
      </w:r>
      <w:r w:rsidR="0023202E" w:rsidRPr="00BD58C0">
        <w:rPr>
          <w:rFonts w:ascii="Times New Roman" w:eastAsiaTheme="minorEastAsia" w:hAnsi="Times New Roman" w:cs="Times New Roman"/>
          <w:iCs/>
          <w:sz w:val="24"/>
          <w:szCs w:val="24"/>
          <w:lang w:val="en-US"/>
        </w:rPr>
        <w:t>6</w:t>
      </w:r>
      <w:r w:rsidR="00045AEB" w:rsidRPr="00BD58C0">
        <w:rPr>
          <w:rFonts w:ascii="Times New Roman" w:eastAsiaTheme="minorEastAsia" w:hAnsi="Times New Roman" w:cs="Times New Roman"/>
          <w:iCs/>
          <w:sz w:val="24"/>
          <w:szCs w:val="24"/>
          <w:lang w:val="en-US"/>
        </w:rPr>
        <w:t xml:space="preserve"> </w:t>
      </w:r>
      <w:r w:rsidR="00935CAC" w:rsidRPr="00BD58C0">
        <w:rPr>
          <w:rFonts w:ascii="Times New Roman" w:eastAsiaTheme="minorEastAsia" w:hAnsi="Times New Roman" w:cs="Times New Roman"/>
          <w:iCs/>
          <w:sz w:val="24"/>
          <w:szCs w:val="24"/>
          <w:lang w:val="en-US"/>
        </w:rPr>
        <w:t>[</w:t>
      </w:r>
      <w:r w:rsidR="0072542A" w:rsidRPr="00BD58C0">
        <w:rPr>
          <w:rFonts w:ascii="Times New Roman" w:eastAsiaTheme="minorEastAsia" w:hAnsi="Times New Roman" w:cs="Times New Roman"/>
          <w:iCs/>
          <w:sz w:val="24"/>
          <w:szCs w:val="24"/>
          <w:lang w:val="en-US"/>
        </w:rPr>
        <w:t>5</w:t>
      </w:r>
      <w:r w:rsidR="00E064B8" w:rsidRPr="00BD58C0">
        <w:rPr>
          <w:rFonts w:ascii="Times New Roman" w:eastAsiaTheme="minorEastAsia" w:hAnsi="Times New Roman" w:cs="Times New Roman"/>
          <w:iCs/>
          <w:sz w:val="24"/>
          <w:szCs w:val="24"/>
          <w:lang w:val="en-US"/>
        </w:rPr>
        <w:t>3</w:t>
      </w:r>
      <w:r w:rsidR="00935CAC" w:rsidRPr="00BD58C0">
        <w:rPr>
          <w:rFonts w:ascii="Times New Roman" w:eastAsiaTheme="minorEastAsia" w:hAnsi="Times New Roman" w:cs="Times New Roman"/>
          <w:iCs/>
          <w:sz w:val="24"/>
          <w:szCs w:val="24"/>
          <w:lang w:val="en-US"/>
        </w:rPr>
        <w:t>]</w:t>
      </w:r>
      <w:r w:rsidR="00122375" w:rsidRPr="00BD58C0">
        <w:rPr>
          <w:rFonts w:ascii="Times New Roman" w:eastAsiaTheme="minorEastAsia" w:hAnsi="Times New Roman" w:cs="Times New Roman"/>
          <w:iCs/>
          <w:sz w:val="24"/>
          <w:szCs w:val="24"/>
          <w:lang w:val="en-US"/>
        </w:rPr>
        <w:t xml:space="preserve"> notes</w:t>
      </w:r>
      <w:r w:rsidR="00045AEB" w:rsidRPr="00BD58C0">
        <w:rPr>
          <w:rFonts w:ascii="Times New Roman" w:eastAsiaTheme="minorEastAsia" w:hAnsi="Times New Roman" w:cs="Times New Roman"/>
          <w:iCs/>
          <w:sz w:val="24"/>
          <w:szCs w:val="24"/>
          <w:lang w:val="en-US"/>
        </w:rPr>
        <w:t xml:space="preserve"> that CR has to be less than the value of 0.1 to be acceptable. The Consistency Index (CI) is determined through calculating the difference of the largest eigenvalue </w:t>
      </w: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(λ</m:t>
            </m:r>
          </m:e>
          <m:sub>
            <m:r>
              <m:rPr>
                <m:sty m:val="p"/>
              </m:rPr>
              <w:rPr>
                <w:rFonts w:ascii="Cambria Math" w:eastAsiaTheme="minorEastAsia" w:hAnsi="Cambria Math" w:cs="Times New Roman"/>
                <w:sz w:val="24"/>
                <w:szCs w:val="24"/>
                <w:lang w:val="en-US"/>
              </w:rPr>
              <m:t>max</m:t>
            </m:r>
          </m:sub>
        </m:sSub>
      </m:oMath>
      <w:r w:rsidR="00045AEB" w:rsidRPr="00BD58C0">
        <w:rPr>
          <w:rFonts w:ascii="Times New Roman" w:eastAsiaTheme="minorEastAsia" w:hAnsi="Times New Roman" w:cs="Times New Roman"/>
          <w:iCs/>
          <w:sz w:val="24"/>
          <w:szCs w:val="24"/>
          <w:lang w:val="en-US"/>
        </w:rPr>
        <w:t>) to the number of attributes (n) in each category, as shown in Eq</w:t>
      </w:r>
      <w:r w:rsidR="00B336F6" w:rsidRPr="00BD58C0">
        <w:rPr>
          <w:rFonts w:ascii="Times New Roman" w:eastAsiaTheme="minorEastAsia" w:hAnsi="Times New Roman" w:cs="Times New Roman"/>
          <w:iCs/>
          <w:sz w:val="24"/>
          <w:szCs w:val="24"/>
          <w:lang w:val="en-US"/>
        </w:rPr>
        <w:t>. 1</w:t>
      </w:r>
      <w:r w:rsidR="0023202E" w:rsidRPr="00BD58C0">
        <w:rPr>
          <w:rFonts w:ascii="Times New Roman" w:eastAsiaTheme="minorEastAsia" w:hAnsi="Times New Roman" w:cs="Times New Roman"/>
          <w:iCs/>
          <w:sz w:val="24"/>
          <w:szCs w:val="24"/>
          <w:lang w:val="en-US"/>
        </w:rPr>
        <w:t>7</w:t>
      </w:r>
      <w:r w:rsidR="00045AEB" w:rsidRPr="00BD58C0">
        <w:rPr>
          <w:rFonts w:ascii="Times New Roman" w:eastAsiaTheme="minorEastAsia" w:hAnsi="Times New Roman" w:cs="Times New Roman"/>
          <w:iCs/>
          <w:sz w:val="24"/>
          <w:szCs w:val="24"/>
          <w:lang w:val="en-US"/>
        </w:rPr>
        <w:t xml:space="preserve">. The Random Index is the CI measured for each matrix of size n with random matrices </w:t>
      </w:r>
      <w:r w:rsidR="007947E3" w:rsidRPr="00BD58C0">
        <w:rPr>
          <w:rFonts w:ascii="Times New Roman" w:eastAsiaTheme="minorEastAsia" w:hAnsi="Times New Roman" w:cs="Times New Roman"/>
          <w:iCs/>
          <w:sz w:val="24"/>
          <w:szCs w:val="24"/>
          <w:lang w:val="en-US"/>
        </w:rPr>
        <w:t>[</w:t>
      </w:r>
      <w:r w:rsidR="00AF6B9A" w:rsidRPr="00BD58C0">
        <w:rPr>
          <w:rFonts w:ascii="Times New Roman" w:eastAsiaTheme="minorEastAsia" w:hAnsi="Times New Roman" w:cs="Times New Roman"/>
          <w:iCs/>
          <w:sz w:val="24"/>
          <w:szCs w:val="24"/>
          <w:lang w:val="en-US"/>
        </w:rPr>
        <w:t>17</w:t>
      </w:r>
      <w:r w:rsidR="007947E3" w:rsidRPr="00BD58C0">
        <w:rPr>
          <w:rFonts w:ascii="Times New Roman" w:eastAsiaTheme="minorEastAsia" w:hAnsi="Times New Roman" w:cs="Times New Roman"/>
          <w:iCs/>
          <w:sz w:val="24"/>
          <w:szCs w:val="24"/>
          <w:lang w:val="en-US"/>
        </w:rPr>
        <w:t>]</w:t>
      </w:r>
      <w:r w:rsidR="00045AEB" w:rsidRPr="00BD58C0">
        <w:rPr>
          <w:rFonts w:ascii="Times New Roman" w:eastAsiaTheme="minorEastAsia" w:hAnsi="Times New Roman" w:cs="Times New Roman"/>
          <w:iCs/>
          <w:sz w:val="24"/>
          <w:szCs w:val="24"/>
          <w:lang w:val="en-US"/>
        </w:rPr>
        <w:t>.</w:t>
      </w:r>
    </w:p>
    <w:p w14:paraId="23B188B2" w14:textId="118B7BBF" w:rsidR="00122375" w:rsidRPr="00BD58C0" w:rsidRDefault="00122375" w:rsidP="00C63FB5">
      <w:pPr>
        <w:spacing w:after="0" w:line="360" w:lineRule="auto"/>
        <w:ind w:firstLine="720"/>
        <w:jc w:val="both"/>
        <w:rPr>
          <w:rFonts w:ascii="Times New Roman" w:eastAsiaTheme="minorEastAsia" w:hAnsi="Times New Roman" w:cs="Times New Roman"/>
          <w:iCs/>
          <w:sz w:val="24"/>
          <w:szCs w:val="24"/>
          <w:lang w:val="en-US"/>
        </w:rPr>
      </w:pPr>
    </w:p>
    <w:p w14:paraId="2F16FB6C" w14:textId="12A58E4A" w:rsidR="000B2F2D" w:rsidRPr="00BD58C0" w:rsidRDefault="000B2F2D" w:rsidP="00C63FB5">
      <w:pPr>
        <w:spacing w:after="0" w:line="360" w:lineRule="auto"/>
        <w:ind w:firstLine="720"/>
        <w:jc w:val="both"/>
        <w:rPr>
          <w:rFonts w:ascii="Times New Roman" w:eastAsiaTheme="minorEastAsia" w:hAnsi="Times New Roman" w:cs="Times New Roman"/>
          <w:iCs/>
          <w:sz w:val="24"/>
          <w:szCs w:val="24"/>
          <w:lang w:val="en-US"/>
        </w:rPr>
      </w:pPr>
    </w:p>
    <w:p w14:paraId="74505EEF" w14:textId="42CB4F22" w:rsidR="000B2F2D" w:rsidRPr="00BD58C0" w:rsidRDefault="000B2F2D" w:rsidP="00C63FB5">
      <w:pPr>
        <w:spacing w:after="0" w:line="360" w:lineRule="auto"/>
        <w:ind w:firstLine="720"/>
        <w:jc w:val="both"/>
        <w:rPr>
          <w:rFonts w:ascii="Times New Roman" w:eastAsiaTheme="minorEastAsia" w:hAnsi="Times New Roman" w:cs="Times New Roman"/>
          <w:iCs/>
          <w:sz w:val="24"/>
          <w:szCs w:val="24"/>
          <w:lang w:val="en-US"/>
        </w:rPr>
      </w:pPr>
    </w:p>
    <w:p w14:paraId="0CA79CF4" w14:textId="77777777" w:rsidR="000B2F2D" w:rsidRPr="00BD58C0" w:rsidRDefault="000B2F2D" w:rsidP="00C63FB5">
      <w:pPr>
        <w:spacing w:after="0" w:line="360" w:lineRule="auto"/>
        <w:ind w:firstLine="720"/>
        <w:jc w:val="both"/>
        <w:rPr>
          <w:rFonts w:ascii="Times New Roman" w:eastAsiaTheme="minorEastAsia" w:hAnsi="Times New Roman" w:cs="Times New Roman"/>
          <w:iCs/>
          <w:sz w:val="24"/>
          <w:szCs w:val="24"/>
          <w:lang w:val="en-US"/>
        </w:rPr>
      </w:pPr>
    </w:p>
    <w:p w14:paraId="4D642E1E" w14:textId="3DFFDB2C" w:rsidR="00EA704F" w:rsidRPr="00BD58C0" w:rsidRDefault="009F1B00" w:rsidP="00EA704F">
      <w:pPr>
        <w:spacing w:after="0" w:line="360" w:lineRule="auto"/>
        <w:jc w:val="both"/>
        <w:rPr>
          <w:rFonts w:ascii="Times New Roman" w:eastAsiaTheme="minorEastAsia" w:hAnsi="Times New Roman" w:cs="Times New Roman"/>
          <w:iCs/>
          <w:sz w:val="24"/>
          <w:szCs w:val="24"/>
          <w:lang w:val="en-US"/>
        </w:rPr>
      </w:pPr>
      <m:oMath>
        <m:sSub>
          <m:sSubPr>
            <m:ctrlPr>
              <w:rPr>
                <w:rFonts w:ascii="Cambria Math" w:eastAsiaTheme="minorEastAsia" w:hAnsi="Cambria Math" w:cs="Times New Roman"/>
                <w:i/>
                <w:iCs/>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rad>
          <m:radPr>
            <m:ctrlPr>
              <w:rPr>
                <w:rFonts w:ascii="Cambria Math" w:eastAsiaTheme="minorEastAsia" w:hAnsi="Cambria Math" w:cs="Times New Roman"/>
                <w:i/>
                <w:iCs/>
                <w:sz w:val="24"/>
                <w:szCs w:val="24"/>
                <w:lang w:val="en-US"/>
              </w:rPr>
            </m:ctrlPr>
          </m:radPr>
          <m:deg>
            <m:r>
              <w:rPr>
                <w:rFonts w:ascii="Cambria Math" w:eastAsiaTheme="minorEastAsia" w:hAnsi="Cambria Math" w:cs="Times New Roman"/>
                <w:sz w:val="24"/>
                <w:szCs w:val="24"/>
                <w:lang w:val="en-US"/>
              </w:rPr>
              <m:t>n</m:t>
            </m:r>
          </m:deg>
          <m:e>
            <m:sSubSup>
              <m:sSubSupPr>
                <m:ctrlPr>
                  <w:rPr>
                    <w:rFonts w:ascii="Cambria Math" w:eastAsiaTheme="minorEastAsia" w:hAnsi="Cambria Math" w:cs="Times New Roman"/>
                    <w:i/>
                    <w:iCs/>
                    <w:sz w:val="24"/>
                    <w:szCs w:val="24"/>
                    <w:lang w:val="en-US"/>
                  </w:rPr>
                </m:ctrlPr>
              </m:sSubSupPr>
              <m:e>
                <m:r>
                  <m:rPr>
                    <m:sty m:val="p"/>
                  </m:rPr>
                  <w:rPr>
                    <w:rFonts w:ascii="Cambria Math" w:eastAsiaTheme="minorEastAsia" w:hAnsi="Cambria Math" w:cs="Times New Roman"/>
                    <w:sz w:val="24"/>
                    <w:szCs w:val="24"/>
                    <w:lang w:val="en-US"/>
                  </w:rPr>
                  <m:t>Π</m:t>
                </m:r>
              </m:e>
              <m:sub>
                <m:r>
                  <w:rPr>
                    <w:rFonts w:ascii="Cambria Math" w:eastAsiaTheme="minorEastAsia" w:hAnsi="Cambria Math" w:cs="Times New Roman"/>
                    <w:sz w:val="24"/>
                    <w:szCs w:val="24"/>
                    <w:lang w:val="en-US"/>
                  </w:rPr>
                  <m:t>i=1</m:t>
                </m:r>
              </m:sub>
              <m:sup>
                <m:r>
                  <w:rPr>
                    <w:rFonts w:ascii="Cambria Math" w:eastAsiaTheme="minorEastAsia" w:hAnsi="Cambria Math" w:cs="Times New Roman"/>
                    <w:sz w:val="24"/>
                    <w:szCs w:val="24"/>
                    <w:lang w:val="en-US"/>
                  </w:rPr>
                  <m:t>n</m:t>
                </m:r>
              </m:sup>
            </m:sSubSup>
            <m:sSub>
              <m:sSubPr>
                <m:ctrlPr>
                  <w:rPr>
                    <w:rFonts w:ascii="Cambria Math" w:eastAsiaTheme="minorEastAsia" w:hAnsi="Cambria Math" w:cs="Times New Roman"/>
                    <w:i/>
                    <w:iCs/>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ij</m:t>
                </m:r>
              </m:sub>
            </m:sSub>
          </m:e>
        </m:rad>
      </m:oMath>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r>
      <w:r w:rsidR="00EA704F" w:rsidRPr="00BD58C0">
        <w:rPr>
          <w:rFonts w:ascii="Times New Roman" w:eastAsiaTheme="minorEastAsia" w:hAnsi="Times New Roman" w:cs="Times New Roman"/>
          <w:iCs/>
          <w:sz w:val="24"/>
          <w:szCs w:val="24"/>
          <w:lang w:val="en-US"/>
        </w:rPr>
        <w:tab/>
        <w:t xml:space="preserve">           (15)</w:t>
      </w:r>
    </w:p>
    <w:p w14:paraId="1B87EC25" w14:textId="77777777" w:rsidR="00CB6499" w:rsidRPr="00BD58C0" w:rsidRDefault="00CB6499" w:rsidP="00EA704F">
      <w:pPr>
        <w:spacing w:after="0" w:line="360" w:lineRule="auto"/>
        <w:jc w:val="both"/>
        <w:rPr>
          <w:rFonts w:ascii="Times New Roman" w:eastAsiaTheme="minorEastAsia" w:hAnsi="Times New Roman" w:cs="Times New Roman"/>
          <w:iCs/>
          <w:sz w:val="24"/>
          <w:szCs w:val="24"/>
          <w:lang w:val="en-US"/>
        </w:rPr>
      </w:pPr>
    </w:p>
    <w:p w14:paraId="08FE6907" w14:textId="36D61158" w:rsidR="00EA704F" w:rsidRPr="00BD58C0" w:rsidRDefault="00EA704F" w:rsidP="00EA704F">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where:</w:t>
      </w:r>
    </w:p>
    <w:p w14:paraId="5F414130" w14:textId="00C838F3" w:rsidR="00380E48" w:rsidRPr="00BD58C0" w:rsidRDefault="00380E48" w:rsidP="00EA704F">
      <w:pPr>
        <w:spacing w:after="0" w:line="360" w:lineRule="auto"/>
        <w:jc w:val="both"/>
        <w:rPr>
          <w:rFonts w:ascii="Times New Roman" w:eastAsiaTheme="minorEastAsia" w:hAnsi="Times New Roman" w:cs="Times New Roman"/>
          <w:iCs/>
          <w:sz w:val="24"/>
          <w:szCs w:val="24"/>
          <w:lang w:val="en-US"/>
        </w:rPr>
      </w:pPr>
      <w:proofErr w:type="spellStart"/>
      <w:r w:rsidRPr="00BD58C0">
        <w:rPr>
          <w:rFonts w:ascii="Times New Roman" w:eastAsiaTheme="minorEastAsia" w:hAnsi="Times New Roman" w:cs="Times New Roman"/>
          <w:iCs/>
          <w:sz w:val="24"/>
          <w:szCs w:val="24"/>
          <w:lang w:val="en-US"/>
        </w:rPr>
        <w:t>P</w:t>
      </w:r>
      <w:r w:rsidRPr="00BD58C0">
        <w:rPr>
          <w:rFonts w:ascii="Times New Roman" w:eastAsiaTheme="minorEastAsia" w:hAnsi="Times New Roman" w:cs="Times New Roman"/>
          <w:iCs/>
          <w:sz w:val="24"/>
          <w:szCs w:val="24"/>
          <w:vertAlign w:val="subscript"/>
          <w:lang w:val="en-US"/>
        </w:rPr>
        <w:t>j</w:t>
      </w:r>
      <w:proofErr w:type="spellEnd"/>
      <w:r w:rsidRPr="00BD58C0">
        <w:rPr>
          <w:rFonts w:ascii="Times New Roman" w:eastAsiaTheme="minorEastAsia" w:hAnsi="Times New Roman" w:cs="Times New Roman"/>
          <w:iCs/>
          <w:sz w:val="24"/>
          <w:szCs w:val="24"/>
          <w:lang w:val="en-US"/>
        </w:rPr>
        <w:t>: Pairwise judgement</w:t>
      </w:r>
    </w:p>
    <w:p w14:paraId="240B673C" w14:textId="3733C1FE" w:rsidR="00380E48" w:rsidRPr="00BD58C0" w:rsidRDefault="00380E48" w:rsidP="00EA704F">
      <w:pPr>
        <w:spacing w:after="0" w:line="360" w:lineRule="auto"/>
        <w:jc w:val="both"/>
        <w:rPr>
          <w:rFonts w:ascii="Times New Roman" w:eastAsiaTheme="minorEastAsia" w:hAnsi="Times New Roman" w:cs="Times New Roman"/>
          <w:iCs/>
          <w:sz w:val="24"/>
          <w:szCs w:val="24"/>
        </w:rPr>
      </w:pPr>
      <w:proofErr w:type="gramStart"/>
      <w:r w:rsidRPr="00BD58C0">
        <w:rPr>
          <w:rFonts w:ascii="Times New Roman" w:eastAsiaTheme="minorEastAsia" w:hAnsi="Times New Roman" w:cs="Times New Roman"/>
          <w:iCs/>
          <w:sz w:val="24"/>
          <w:szCs w:val="24"/>
          <w:lang w:val="en-US"/>
        </w:rPr>
        <w:t xml:space="preserve">n </w:t>
      </w:r>
      <w:r w:rsidR="00EA704F" w:rsidRPr="00BD58C0">
        <w:rPr>
          <w:rFonts w:ascii="Times New Roman" w:eastAsiaTheme="minorEastAsia" w:hAnsi="Times New Roman" w:cs="Times New Roman"/>
          <w:iCs/>
          <w:sz w:val="24"/>
          <w:szCs w:val="24"/>
          <w:lang w:val="en-US"/>
        </w:rPr>
        <w:t>:</w:t>
      </w:r>
      <w:proofErr w:type="gramEnd"/>
      <w:r w:rsidR="00EA704F" w:rsidRPr="00BD58C0">
        <w:rPr>
          <w:rFonts w:ascii="Times New Roman" w:eastAsiaTheme="minorEastAsia" w:hAnsi="Times New Roman" w:cs="Times New Roman"/>
          <w:iCs/>
          <w:sz w:val="24"/>
          <w:szCs w:val="24"/>
          <w:lang w:val="en-US"/>
        </w:rPr>
        <w:t xml:space="preserve"> </w:t>
      </w:r>
      <w:r w:rsidR="00EA704F" w:rsidRPr="00BD58C0">
        <w:rPr>
          <w:rFonts w:ascii="Times New Roman" w:eastAsiaTheme="minorEastAsia" w:hAnsi="Times New Roman" w:cs="Times New Roman"/>
          <w:iCs/>
          <w:sz w:val="24"/>
          <w:szCs w:val="24"/>
        </w:rPr>
        <w:t xml:space="preserve">number of elements </w:t>
      </w:r>
    </w:p>
    <w:p w14:paraId="57A5EC96" w14:textId="1CB51E5A" w:rsidR="009B74EE" w:rsidRPr="00BD58C0" w:rsidRDefault="009B74EE" w:rsidP="00EA704F">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Product</w:t>
      </w:r>
    </w:p>
    <w:p w14:paraId="230FE0D3" w14:textId="67659A2C" w:rsidR="00EA704F" w:rsidRPr="00BD58C0" w:rsidRDefault="00380E48" w:rsidP="00EA704F">
      <w:pPr>
        <w:spacing w:after="0" w:line="360" w:lineRule="auto"/>
        <w:jc w:val="both"/>
        <w:rPr>
          <w:rFonts w:ascii="Times New Roman" w:eastAsiaTheme="minorEastAsia" w:hAnsi="Times New Roman" w:cs="Times New Roman"/>
          <w:iCs/>
          <w:sz w:val="24"/>
          <w:szCs w:val="24"/>
        </w:rPr>
      </w:pPr>
      <w:proofErr w:type="spellStart"/>
      <w:r w:rsidRPr="00BD58C0">
        <w:rPr>
          <w:rFonts w:ascii="Times New Roman" w:eastAsiaTheme="minorEastAsia" w:hAnsi="Times New Roman" w:cs="Times New Roman"/>
          <w:iCs/>
          <w:sz w:val="24"/>
          <w:szCs w:val="24"/>
        </w:rPr>
        <w:t>a</w:t>
      </w:r>
      <w:r w:rsidRPr="00BD58C0">
        <w:rPr>
          <w:rFonts w:ascii="Times New Roman" w:eastAsiaTheme="minorEastAsia" w:hAnsi="Times New Roman" w:cs="Times New Roman"/>
          <w:iCs/>
          <w:sz w:val="24"/>
          <w:szCs w:val="24"/>
          <w:vertAlign w:val="subscript"/>
        </w:rPr>
        <w:t>ij</w:t>
      </w:r>
      <w:proofErr w:type="spellEnd"/>
      <w:r w:rsidRPr="00BD58C0">
        <w:rPr>
          <w:rFonts w:ascii="Times New Roman" w:eastAsiaTheme="minorEastAsia" w:hAnsi="Times New Roman" w:cs="Times New Roman"/>
          <w:iCs/>
          <w:sz w:val="24"/>
          <w:szCs w:val="24"/>
        </w:rPr>
        <w:t xml:space="preserve">: </w:t>
      </w:r>
      <w:r w:rsidR="00EA704F" w:rsidRPr="00BD58C0">
        <w:rPr>
          <w:rFonts w:ascii="Times New Roman" w:eastAsiaTheme="minorEastAsia" w:hAnsi="Times New Roman" w:cs="Times New Roman"/>
          <w:iCs/>
          <w:sz w:val="24"/>
          <w:szCs w:val="24"/>
        </w:rPr>
        <w:t>preference of</w:t>
      </w:r>
      <w:r w:rsidRPr="00BD58C0">
        <w:rPr>
          <w:rFonts w:ascii="Times New Roman" w:eastAsiaTheme="minorEastAsia" w:hAnsi="Times New Roman" w:cs="Times New Roman"/>
          <w:iCs/>
          <w:sz w:val="24"/>
          <w:szCs w:val="24"/>
        </w:rPr>
        <w:t xml:space="preserve"> alternative</w:t>
      </w:r>
      <w:r w:rsidR="00EA704F" w:rsidRPr="00BD58C0">
        <w:rPr>
          <w:rFonts w:ascii="Times New Roman" w:eastAsiaTheme="minorEastAsia" w:hAnsi="Times New Roman" w:cs="Times New Roman"/>
          <w:iCs/>
          <w:sz w:val="24"/>
          <w:szCs w:val="24"/>
        </w:rPr>
        <w:t xml:space="preserve"> ‘</w:t>
      </w:r>
      <w:proofErr w:type="spellStart"/>
      <w:r w:rsidR="00EA704F" w:rsidRPr="00BD58C0">
        <w:rPr>
          <w:rFonts w:ascii="Times New Roman" w:eastAsiaTheme="minorEastAsia" w:hAnsi="Times New Roman" w:cs="Times New Roman"/>
          <w:iCs/>
          <w:sz w:val="24"/>
          <w:szCs w:val="24"/>
        </w:rPr>
        <w:t>i</w:t>
      </w:r>
      <w:proofErr w:type="spellEnd"/>
      <w:r w:rsidR="00EA704F" w:rsidRPr="00BD58C0">
        <w:rPr>
          <w:rFonts w:ascii="Times New Roman" w:eastAsiaTheme="minorEastAsia" w:hAnsi="Times New Roman" w:cs="Times New Roman"/>
          <w:iCs/>
          <w:sz w:val="24"/>
          <w:szCs w:val="24"/>
        </w:rPr>
        <w:t xml:space="preserve">’ over </w:t>
      </w:r>
      <w:r w:rsidRPr="00BD58C0">
        <w:rPr>
          <w:rFonts w:ascii="Times New Roman" w:eastAsiaTheme="minorEastAsia" w:hAnsi="Times New Roman" w:cs="Times New Roman"/>
          <w:iCs/>
          <w:sz w:val="24"/>
          <w:szCs w:val="24"/>
        </w:rPr>
        <w:t xml:space="preserve">alternative </w:t>
      </w:r>
      <w:r w:rsidR="00EA704F" w:rsidRPr="00BD58C0">
        <w:rPr>
          <w:rFonts w:ascii="Times New Roman" w:eastAsiaTheme="minorEastAsia" w:hAnsi="Times New Roman" w:cs="Times New Roman"/>
          <w:iCs/>
          <w:sz w:val="24"/>
          <w:szCs w:val="24"/>
        </w:rPr>
        <w:t>‘j’</w:t>
      </w:r>
    </w:p>
    <w:p w14:paraId="7B9AEC6B" w14:textId="77777777" w:rsidR="00693ECC" w:rsidRPr="00BD58C0" w:rsidRDefault="00693ECC" w:rsidP="00EA704F">
      <w:pPr>
        <w:spacing w:after="0" w:line="360" w:lineRule="auto"/>
        <w:jc w:val="both"/>
        <w:rPr>
          <w:rFonts w:ascii="Times New Roman" w:eastAsiaTheme="minorEastAsia" w:hAnsi="Times New Roman" w:cs="Times New Roman"/>
          <w:iCs/>
          <w:sz w:val="24"/>
          <w:szCs w:val="24"/>
        </w:rPr>
      </w:pPr>
    </w:p>
    <w:p w14:paraId="7C49C1A7" w14:textId="7229B112" w:rsidR="007D3A86" w:rsidRPr="00BD58C0" w:rsidRDefault="00132D64" w:rsidP="00EA704F">
      <w:pPr>
        <w:spacing w:after="0" w:line="360" w:lineRule="auto"/>
        <w:jc w:val="both"/>
        <w:rPr>
          <w:rFonts w:ascii="Times New Roman" w:eastAsiaTheme="minorEastAsia" w:hAnsi="Times New Roman" w:cs="Times New Roman"/>
          <w:iCs/>
          <w:sz w:val="24"/>
          <w:szCs w:val="24"/>
        </w:rPr>
      </w:pPr>
      <w:r w:rsidRPr="00BD58C0">
        <w:rPr>
          <w:noProof/>
        </w:rPr>
        <w:drawing>
          <wp:inline distT="0" distB="0" distL="0" distR="0" wp14:anchorId="447AE2BF" wp14:editId="39C686C5">
            <wp:extent cx="5731510" cy="2429164"/>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5287"/>
                    <a:stretch/>
                  </pic:blipFill>
                  <pic:spPr bwMode="auto">
                    <a:xfrm>
                      <a:off x="0" y="0"/>
                      <a:ext cx="5731510" cy="2429164"/>
                    </a:xfrm>
                    <a:prstGeom prst="rect">
                      <a:avLst/>
                    </a:prstGeom>
                    <a:ln>
                      <a:noFill/>
                    </a:ln>
                    <a:extLst>
                      <a:ext uri="{53640926-AAD7-44D8-BBD7-CCE9431645EC}">
                        <a14:shadowObscured xmlns:a14="http://schemas.microsoft.com/office/drawing/2010/main"/>
                      </a:ext>
                    </a:extLst>
                  </pic:spPr>
                </pic:pic>
              </a:graphicData>
            </a:graphic>
          </wp:inline>
        </w:drawing>
      </w:r>
    </w:p>
    <w:p w14:paraId="4BE8BE88" w14:textId="59B2F202" w:rsidR="007D3A86" w:rsidRPr="00BD58C0" w:rsidRDefault="007D3A86" w:rsidP="007D3A86">
      <w:pPr>
        <w:spacing w:after="0" w:line="360" w:lineRule="auto"/>
        <w:jc w:val="center"/>
        <w:rPr>
          <w:rFonts w:ascii="Times New Roman" w:hAnsi="Times New Roman" w:cs="Times New Roman"/>
          <w:sz w:val="24"/>
          <w:szCs w:val="24"/>
        </w:rPr>
      </w:pPr>
      <w:r w:rsidRPr="00BD58C0">
        <w:rPr>
          <w:rFonts w:ascii="Times New Roman" w:hAnsi="Times New Roman" w:cs="Times New Roman"/>
          <w:b/>
          <w:bCs/>
          <w:sz w:val="24"/>
          <w:szCs w:val="24"/>
        </w:rPr>
        <w:t>Fig. 1.</w:t>
      </w:r>
      <w:r w:rsidRPr="00BD58C0">
        <w:rPr>
          <w:rFonts w:ascii="Times New Roman" w:hAnsi="Times New Roman" w:cs="Times New Roman"/>
          <w:b/>
          <w:bCs/>
          <w:sz w:val="24"/>
          <w:szCs w:val="24"/>
        </w:rPr>
        <w:tab/>
      </w:r>
      <w:r w:rsidRPr="00BD58C0">
        <w:rPr>
          <w:rFonts w:ascii="Times New Roman" w:hAnsi="Times New Roman" w:cs="Times New Roman"/>
          <w:sz w:val="24"/>
          <w:szCs w:val="24"/>
        </w:rPr>
        <w:t xml:space="preserve">Framework of GMM calculation </w:t>
      </w:r>
    </w:p>
    <w:p w14:paraId="1DAF84E4" w14:textId="77777777" w:rsidR="007D3A86" w:rsidRPr="00BD58C0" w:rsidRDefault="007D3A86" w:rsidP="00EA704F">
      <w:pPr>
        <w:spacing w:after="0" w:line="360" w:lineRule="auto"/>
        <w:jc w:val="both"/>
        <w:rPr>
          <w:rFonts w:ascii="Times New Roman" w:eastAsiaTheme="minorEastAsia" w:hAnsi="Times New Roman" w:cs="Times New Roman"/>
          <w:iCs/>
          <w:sz w:val="24"/>
          <w:szCs w:val="24"/>
        </w:rPr>
      </w:pPr>
    </w:p>
    <w:p w14:paraId="1BF4E251" w14:textId="5D2668FF" w:rsidR="00045AEB" w:rsidRPr="00BD58C0" w:rsidRDefault="00045AEB" w:rsidP="00AC0A50">
      <w:pPr>
        <w:spacing w:after="0" w:line="360" w:lineRule="auto"/>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lang w:val="en-US"/>
          </w:rPr>
          <m:t>CR=CI/RI</m:t>
        </m:r>
      </m:oMath>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00B336F6"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(1</w:t>
      </w:r>
      <w:r w:rsidR="0023202E" w:rsidRPr="00BD58C0">
        <w:rPr>
          <w:rFonts w:ascii="Times New Roman" w:eastAsiaTheme="minorEastAsia" w:hAnsi="Times New Roman" w:cs="Times New Roman"/>
          <w:iCs/>
          <w:sz w:val="24"/>
          <w:szCs w:val="24"/>
          <w:lang w:val="en-US"/>
        </w:rPr>
        <w:t>6</w:t>
      </w:r>
      <w:r w:rsidRPr="00BD58C0">
        <w:rPr>
          <w:rFonts w:ascii="Times New Roman" w:eastAsiaTheme="minorEastAsia" w:hAnsi="Times New Roman" w:cs="Times New Roman"/>
          <w:iCs/>
          <w:sz w:val="24"/>
          <w:szCs w:val="24"/>
          <w:lang w:val="en-US"/>
        </w:rPr>
        <w:t>)</w:t>
      </w:r>
    </w:p>
    <w:p w14:paraId="1C9AFB65" w14:textId="77777777" w:rsidR="00045AEB" w:rsidRPr="00BD58C0" w:rsidRDefault="00045AEB" w:rsidP="00AC0A50">
      <w:pPr>
        <w:spacing w:after="0" w:line="360" w:lineRule="auto"/>
        <w:jc w:val="both"/>
        <w:rPr>
          <w:rFonts w:ascii="Times New Roman" w:eastAsiaTheme="minorEastAsia" w:hAnsi="Times New Roman" w:cs="Times New Roman"/>
          <w:iCs/>
          <w:sz w:val="24"/>
          <w:szCs w:val="24"/>
          <w:lang w:val="en-US"/>
        </w:rPr>
      </w:pPr>
    </w:p>
    <w:p w14:paraId="00AB0D7D" w14:textId="77777777" w:rsidR="00045AEB" w:rsidRPr="00BD58C0" w:rsidRDefault="00045AEB" w:rsidP="00C75CAE">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where:</w:t>
      </w:r>
    </w:p>
    <w:p w14:paraId="3D3125F0" w14:textId="77777777" w:rsidR="00045AEB" w:rsidRPr="00BD58C0" w:rsidRDefault="00045AEB" w:rsidP="00C7203E">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CR: Consistency Ratio</w:t>
      </w:r>
    </w:p>
    <w:p w14:paraId="21894481" w14:textId="77777777" w:rsidR="00045AEB" w:rsidRPr="00BD58C0" w:rsidRDefault="00045AEB" w:rsidP="00C7203E">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CI:  Consistency Index</w:t>
      </w:r>
    </w:p>
    <w:p w14:paraId="2A15BF6A" w14:textId="77777777" w:rsidR="00045AEB" w:rsidRPr="00BD58C0" w:rsidRDefault="00045AEB" w:rsidP="00C7203E">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RI:  Random Index</w:t>
      </w:r>
    </w:p>
    <w:p w14:paraId="1F5D01FA" w14:textId="78C0D736" w:rsidR="00045AEB" w:rsidRPr="00BD58C0" w:rsidRDefault="00045AEB" w:rsidP="007B56EE">
      <w:pPr>
        <w:spacing w:after="0" w:line="360" w:lineRule="auto"/>
        <w:jc w:val="both"/>
        <w:rPr>
          <w:rFonts w:ascii="Times New Roman" w:eastAsiaTheme="minorEastAsia" w:hAnsi="Times New Roman" w:cs="Times New Roman"/>
          <w:iCs/>
          <w:sz w:val="24"/>
          <w:szCs w:val="24"/>
          <w:lang w:val="en-US"/>
        </w:rPr>
      </w:pPr>
    </w:p>
    <w:p w14:paraId="4E219DB3" w14:textId="2931D884" w:rsidR="00045AEB" w:rsidRPr="00BD58C0" w:rsidRDefault="00045AEB" w:rsidP="007B56EE">
      <w:pPr>
        <w:spacing w:after="0" w:line="360" w:lineRule="auto"/>
        <w:jc w:val="both"/>
        <w:rPr>
          <w:rFonts w:ascii="Times New Roman" w:eastAsiaTheme="minorEastAsia" w:hAnsi="Times New Roman" w:cs="Times New Roman"/>
          <w:iCs/>
          <w:sz w:val="24"/>
          <w:szCs w:val="24"/>
          <w:lang w:val="en-US"/>
        </w:rPr>
      </w:pPr>
      <m:oMath>
        <m:r>
          <w:rPr>
            <w:rFonts w:ascii="Cambria Math" w:eastAsiaTheme="minorEastAsia" w:hAnsi="Cambria Math" w:cs="Times New Roman"/>
            <w:sz w:val="24"/>
            <w:szCs w:val="24"/>
            <w:lang w:val="en-US"/>
          </w:rPr>
          <m:t>CI=</m:t>
        </m:r>
        <m:sSub>
          <m:sSubPr>
            <m:ctrlPr>
              <w:rPr>
                <w:rFonts w:ascii="Cambria Math" w:eastAsiaTheme="minorEastAsia" w:hAnsi="Cambria Math" w:cs="Times New Roman"/>
                <w:i/>
                <w:iCs/>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max</m:t>
            </m:r>
          </m:sub>
        </m:sSub>
        <m:r>
          <w:rPr>
            <w:rFonts w:ascii="Cambria Math" w:eastAsiaTheme="minorEastAsia" w:hAnsi="Cambria Math" w:cs="Times New Roman"/>
            <w:sz w:val="24"/>
            <w:szCs w:val="24"/>
            <w:lang w:val="en-US"/>
          </w:rPr>
          <m:t>-n)/(n-1)</m:t>
        </m:r>
      </m:oMath>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Pr="00BD58C0">
        <w:rPr>
          <w:rFonts w:ascii="Times New Roman" w:eastAsiaTheme="minorEastAsia" w:hAnsi="Times New Roman" w:cs="Times New Roman"/>
          <w:iCs/>
          <w:sz w:val="24"/>
          <w:szCs w:val="24"/>
          <w:lang w:val="en-US"/>
        </w:rPr>
        <w:tab/>
      </w:r>
      <w:r w:rsidR="00B336F6"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w:t>
      </w:r>
      <w:r w:rsidR="00B336F6" w:rsidRPr="00BD58C0">
        <w:rPr>
          <w:rFonts w:ascii="Times New Roman" w:eastAsiaTheme="minorEastAsia" w:hAnsi="Times New Roman" w:cs="Times New Roman"/>
          <w:iCs/>
          <w:sz w:val="24"/>
          <w:szCs w:val="24"/>
          <w:lang w:val="en-US"/>
        </w:rPr>
        <w:t>1</w:t>
      </w:r>
      <w:r w:rsidR="0023202E" w:rsidRPr="00BD58C0">
        <w:rPr>
          <w:rFonts w:ascii="Times New Roman" w:eastAsiaTheme="minorEastAsia" w:hAnsi="Times New Roman" w:cs="Times New Roman"/>
          <w:iCs/>
          <w:sz w:val="24"/>
          <w:szCs w:val="24"/>
          <w:lang w:val="en-US"/>
        </w:rPr>
        <w:t>7</w:t>
      </w:r>
      <w:r w:rsidRPr="00BD58C0">
        <w:rPr>
          <w:rFonts w:ascii="Times New Roman" w:eastAsiaTheme="minorEastAsia" w:hAnsi="Times New Roman" w:cs="Times New Roman"/>
          <w:iCs/>
          <w:sz w:val="24"/>
          <w:szCs w:val="24"/>
          <w:lang w:val="en-US"/>
        </w:rPr>
        <w:t>)</w:t>
      </w:r>
    </w:p>
    <w:p w14:paraId="7AABB99C" w14:textId="77777777" w:rsidR="00045AEB" w:rsidRPr="00BD58C0" w:rsidRDefault="00045AEB" w:rsidP="00116679">
      <w:pPr>
        <w:spacing w:after="0" w:line="360" w:lineRule="auto"/>
        <w:jc w:val="both"/>
        <w:rPr>
          <w:rFonts w:ascii="Times New Roman" w:eastAsiaTheme="minorEastAsia" w:hAnsi="Times New Roman" w:cs="Times New Roman"/>
          <w:iCs/>
          <w:sz w:val="24"/>
          <w:szCs w:val="24"/>
          <w:lang w:val="en-US"/>
        </w:rPr>
      </w:pPr>
    </w:p>
    <w:p w14:paraId="28FC90DB" w14:textId="77777777" w:rsidR="00045AEB" w:rsidRPr="00BD58C0" w:rsidRDefault="00045AEB">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where:</w:t>
      </w:r>
    </w:p>
    <w:p w14:paraId="7C4DECB5" w14:textId="37F9E65C" w:rsidR="00045AEB" w:rsidRPr="00BD58C0" w:rsidRDefault="009F1B00">
      <w:pPr>
        <w:spacing w:after="0" w:line="360" w:lineRule="auto"/>
        <w:jc w:val="both"/>
        <w:rPr>
          <w:rFonts w:ascii="Times New Roman" w:eastAsiaTheme="minorEastAsia" w:hAnsi="Times New Roman" w:cs="Times New Roman"/>
          <w:iCs/>
          <w:sz w:val="24"/>
          <w:szCs w:val="24"/>
          <w:lang w:val="en-US"/>
        </w:rPr>
      </w:pPr>
      <m:oMath>
        <m:sSub>
          <m:sSubPr>
            <m:ctrlPr>
              <w:rPr>
                <w:rFonts w:ascii="Cambria Math" w:eastAsiaTheme="minorEastAsia" w:hAnsi="Cambria Math" w:cs="Times New Roman"/>
                <w:iCs/>
                <w:sz w:val="24"/>
                <w:szCs w:val="24"/>
                <w:lang w:val="en-US"/>
              </w:rPr>
            </m:ctrlPr>
          </m:sSubPr>
          <m:e>
            <m:r>
              <m:rPr>
                <m:sty m:val="p"/>
              </m:rPr>
              <w:rPr>
                <w:rFonts w:ascii="Cambria Math" w:eastAsiaTheme="minorEastAsia" w:hAnsi="Cambria Math" w:cs="Times New Roman"/>
                <w:sz w:val="24"/>
                <w:szCs w:val="24"/>
                <w:lang w:val="en-US"/>
              </w:rPr>
              <m:t>λ</m:t>
            </m:r>
          </m:e>
          <m:sub>
            <m:r>
              <m:rPr>
                <m:sty m:val="p"/>
              </m:rPr>
              <w:rPr>
                <w:rFonts w:ascii="Cambria Math" w:eastAsiaTheme="minorEastAsia" w:hAnsi="Cambria Math" w:cs="Times New Roman"/>
                <w:sz w:val="24"/>
                <w:szCs w:val="24"/>
                <w:lang w:val="en-US"/>
              </w:rPr>
              <m:t>max</m:t>
            </m:r>
          </m:sub>
        </m:sSub>
      </m:oMath>
      <w:r w:rsidR="00045AEB" w:rsidRPr="00BD58C0">
        <w:rPr>
          <w:rFonts w:ascii="Times New Roman" w:eastAsiaTheme="minorEastAsia" w:hAnsi="Times New Roman" w:cs="Times New Roman"/>
          <w:iCs/>
          <w:sz w:val="24"/>
          <w:szCs w:val="24"/>
          <w:lang w:val="en-US"/>
        </w:rPr>
        <w:t>:  largest eigenvalue</w:t>
      </w:r>
    </w:p>
    <w:p w14:paraId="547EE313" w14:textId="542B958C" w:rsidR="00045AEB" w:rsidRPr="00BD58C0" w:rsidRDefault="00045AEB">
      <w:pPr>
        <w:spacing w:after="0" w:line="360" w:lineRule="auto"/>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t xml:space="preserve">n    </w:t>
      </w:r>
      <w:proofErr w:type="gramStart"/>
      <w:r w:rsidRPr="00BD58C0">
        <w:rPr>
          <w:rFonts w:ascii="Times New Roman" w:eastAsiaTheme="minorEastAsia" w:hAnsi="Times New Roman" w:cs="Times New Roman"/>
          <w:iCs/>
          <w:sz w:val="24"/>
          <w:szCs w:val="24"/>
          <w:lang w:val="en-US"/>
        </w:rPr>
        <w:t xml:space="preserve">  :</w:t>
      </w:r>
      <w:proofErr w:type="gramEnd"/>
      <w:r w:rsidRPr="00BD58C0">
        <w:rPr>
          <w:rFonts w:ascii="Times New Roman" w:eastAsiaTheme="minorEastAsia" w:hAnsi="Times New Roman" w:cs="Times New Roman"/>
          <w:iCs/>
          <w:sz w:val="24"/>
          <w:szCs w:val="24"/>
          <w:lang w:val="en-US"/>
        </w:rPr>
        <w:t xml:space="preserve">  number of </w:t>
      </w:r>
      <w:r w:rsidR="006C2BDC" w:rsidRPr="00BD58C0">
        <w:rPr>
          <w:rFonts w:ascii="Times New Roman" w:eastAsiaTheme="minorEastAsia" w:hAnsi="Times New Roman" w:cs="Times New Roman"/>
          <w:iCs/>
          <w:sz w:val="24"/>
          <w:szCs w:val="24"/>
          <w:lang w:val="en-US"/>
        </w:rPr>
        <w:t>elements</w:t>
      </w:r>
    </w:p>
    <w:p w14:paraId="22DA2B8B" w14:textId="65AA4D7F" w:rsidR="00045AEB" w:rsidRPr="00BD58C0" w:rsidRDefault="00045AEB" w:rsidP="007D3A86">
      <w:pPr>
        <w:spacing w:after="0" w:line="360" w:lineRule="auto"/>
        <w:rPr>
          <w:rFonts w:ascii="Times New Roman" w:eastAsiaTheme="minorEastAsia" w:hAnsi="Times New Roman" w:cs="Times New Roman"/>
          <w:iCs/>
          <w:sz w:val="24"/>
          <w:szCs w:val="24"/>
          <w:lang w:val="en-US"/>
        </w:rPr>
      </w:pPr>
    </w:p>
    <w:p w14:paraId="26C52C98" w14:textId="330F5E46" w:rsidR="00045AEB" w:rsidRPr="00BD58C0" w:rsidRDefault="00045AEB" w:rsidP="00D7361A">
      <w:pPr>
        <w:spacing w:after="0" w:line="360" w:lineRule="auto"/>
        <w:ind w:firstLine="720"/>
        <w:jc w:val="both"/>
        <w:rPr>
          <w:rFonts w:ascii="Times New Roman" w:eastAsiaTheme="minorEastAsia" w:hAnsi="Times New Roman" w:cs="Times New Roman"/>
          <w:iCs/>
          <w:sz w:val="24"/>
          <w:szCs w:val="24"/>
          <w:lang w:val="en-US"/>
        </w:rPr>
      </w:pPr>
      <w:r w:rsidRPr="00BD58C0">
        <w:rPr>
          <w:rFonts w:ascii="Times New Roman" w:eastAsiaTheme="minorEastAsia" w:hAnsi="Times New Roman" w:cs="Times New Roman"/>
          <w:iCs/>
          <w:sz w:val="24"/>
          <w:szCs w:val="24"/>
          <w:lang w:val="en-US"/>
        </w:rPr>
        <w:lastRenderedPageBreak/>
        <w:t>The present study followed these four steps. The literature remains undecided as to how many respondents are needed to justify the reliability of the results obtained from AHP</w:t>
      </w:r>
      <w:r w:rsidR="007614F2" w:rsidRPr="00BD58C0">
        <w:rPr>
          <w:rFonts w:ascii="Times New Roman" w:eastAsiaTheme="minorEastAsia" w:hAnsi="Times New Roman" w:cs="Times New Roman"/>
          <w:iCs/>
          <w:sz w:val="24"/>
          <w:szCs w:val="24"/>
          <w:lang w:val="en-US"/>
        </w:rPr>
        <w:t xml:space="preserve">, </w:t>
      </w:r>
      <w:r w:rsidR="003C6DA9" w:rsidRPr="00BD58C0">
        <w:rPr>
          <w:rFonts w:ascii="Times New Roman" w:eastAsiaTheme="minorEastAsia" w:hAnsi="Times New Roman" w:cs="Times New Roman"/>
          <w:iCs/>
          <w:sz w:val="24"/>
          <w:szCs w:val="24"/>
          <w:lang w:val="en-US"/>
        </w:rPr>
        <w:t>ranges from</w:t>
      </w:r>
      <w:r w:rsidR="007614F2"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 xml:space="preserve">one to </w:t>
      </w:r>
      <w:r w:rsidR="00117721" w:rsidRPr="00BD58C0">
        <w:rPr>
          <w:rFonts w:ascii="Times New Roman" w:eastAsiaTheme="minorEastAsia" w:hAnsi="Times New Roman" w:cs="Times New Roman"/>
          <w:iCs/>
          <w:sz w:val="24"/>
          <w:szCs w:val="24"/>
          <w:lang w:val="en-US"/>
        </w:rPr>
        <w:t xml:space="preserve">a </w:t>
      </w:r>
      <w:r w:rsidR="00DB2DC5" w:rsidRPr="00BD58C0">
        <w:rPr>
          <w:rFonts w:ascii="Times New Roman" w:eastAsiaTheme="minorEastAsia" w:hAnsi="Times New Roman" w:cs="Times New Roman"/>
          <w:iCs/>
          <w:sz w:val="24"/>
          <w:szCs w:val="24"/>
          <w:lang w:val="en-US"/>
        </w:rPr>
        <w:t>large number of respondents</w:t>
      </w:r>
      <w:r w:rsidRPr="00BD58C0">
        <w:rPr>
          <w:rFonts w:ascii="Times New Roman" w:eastAsiaTheme="minorEastAsia" w:hAnsi="Times New Roman" w:cs="Times New Roman"/>
          <w:iCs/>
          <w:sz w:val="24"/>
          <w:szCs w:val="24"/>
          <w:lang w:val="en-US"/>
        </w:rPr>
        <w:t xml:space="preserve"> </w:t>
      </w:r>
      <w:r w:rsidR="00952923" w:rsidRPr="00BD58C0">
        <w:rPr>
          <w:rFonts w:ascii="Times New Roman" w:eastAsiaTheme="minorEastAsia" w:hAnsi="Times New Roman" w:cs="Times New Roman"/>
          <w:iCs/>
          <w:sz w:val="24"/>
          <w:szCs w:val="24"/>
          <w:lang w:val="en-US"/>
        </w:rPr>
        <w:t>[</w:t>
      </w:r>
      <w:r w:rsidR="006D5F91" w:rsidRPr="00BD58C0">
        <w:rPr>
          <w:rFonts w:ascii="Times New Roman" w:eastAsiaTheme="minorEastAsia" w:hAnsi="Times New Roman" w:cs="Times New Roman"/>
          <w:iCs/>
          <w:sz w:val="24"/>
          <w:szCs w:val="24"/>
          <w:lang w:val="en-US"/>
        </w:rPr>
        <w:t>5</w:t>
      </w:r>
      <w:r w:rsidR="00E064B8" w:rsidRPr="00BD58C0">
        <w:rPr>
          <w:rFonts w:ascii="Times New Roman" w:eastAsiaTheme="minorEastAsia" w:hAnsi="Times New Roman" w:cs="Times New Roman"/>
          <w:iCs/>
          <w:sz w:val="24"/>
          <w:szCs w:val="24"/>
          <w:lang w:val="en-US"/>
        </w:rPr>
        <w:t>4</w:t>
      </w:r>
      <w:r w:rsidR="00952923"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 xml:space="preserve">. In </w:t>
      </w:r>
      <w:r w:rsidR="001005B6" w:rsidRPr="00BD58C0">
        <w:rPr>
          <w:rFonts w:ascii="Times New Roman" w:eastAsiaTheme="minorEastAsia" w:hAnsi="Times New Roman" w:cs="Times New Roman"/>
          <w:iCs/>
          <w:sz w:val="24"/>
          <w:szCs w:val="24"/>
          <w:lang w:val="en-US"/>
        </w:rPr>
        <w:t>this</w:t>
      </w:r>
      <w:r w:rsidRPr="00BD58C0">
        <w:rPr>
          <w:rFonts w:ascii="Times New Roman" w:eastAsiaTheme="minorEastAsia" w:hAnsi="Times New Roman" w:cs="Times New Roman"/>
          <w:iCs/>
          <w:sz w:val="24"/>
          <w:szCs w:val="24"/>
          <w:lang w:val="en-US"/>
        </w:rPr>
        <w:t xml:space="preserve"> study, seven experts participated from</w:t>
      </w:r>
      <w:r w:rsidR="004E77BE" w:rsidRPr="00BD58C0">
        <w:rPr>
          <w:rFonts w:ascii="Times New Roman" w:eastAsiaTheme="minorEastAsia" w:hAnsi="Times New Roman" w:cs="Times New Roman"/>
          <w:iCs/>
          <w:sz w:val="24"/>
          <w:szCs w:val="24"/>
          <w:lang w:val="en-US"/>
        </w:rPr>
        <w:t xml:space="preserve"> </w:t>
      </w:r>
      <w:r w:rsidRPr="00BD58C0">
        <w:rPr>
          <w:rFonts w:ascii="Times New Roman" w:eastAsiaTheme="minorEastAsia" w:hAnsi="Times New Roman" w:cs="Times New Roman"/>
          <w:iCs/>
          <w:sz w:val="24"/>
          <w:szCs w:val="24"/>
          <w:lang w:val="en-US"/>
        </w:rPr>
        <w:t xml:space="preserve">energy and environment (4 respondents), </w:t>
      </w:r>
      <w:r w:rsidR="007614F2" w:rsidRPr="00BD58C0">
        <w:rPr>
          <w:rFonts w:ascii="Times New Roman" w:eastAsiaTheme="minorEastAsia" w:hAnsi="Times New Roman" w:cs="Times New Roman"/>
          <w:iCs/>
          <w:sz w:val="24"/>
          <w:szCs w:val="24"/>
          <w:lang w:val="en-US"/>
        </w:rPr>
        <w:t xml:space="preserve">renewable energy </w:t>
      </w:r>
      <w:r w:rsidRPr="00BD58C0">
        <w:rPr>
          <w:rFonts w:ascii="Times New Roman" w:eastAsiaTheme="minorEastAsia" w:hAnsi="Times New Roman" w:cs="Times New Roman"/>
          <w:iCs/>
          <w:sz w:val="24"/>
          <w:szCs w:val="24"/>
          <w:lang w:val="en-US"/>
        </w:rPr>
        <w:t xml:space="preserve">(2 respondents), and market operations (1 respondent). </w:t>
      </w:r>
      <w:r w:rsidR="004E77BE" w:rsidRPr="00BD58C0">
        <w:rPr>
          <w:rFonts w:ascii="Times New Roman" w:eastAsiaTheme="minorEastAsia" w:hAnsi="Times New Roman" w:cs="Times New Roman"/>
          <w:iCs/>
          <w:sz w:val="24"/>
          <w:szCs w:val="24"/>
          <w:lang w:val="en-US"/>
        </w:rPr>
        <w:t>All</w:t>
      </w:r>
      <w:r w:rsidR="00392BB7" w:rsidRPr="00BD58C0">
        <w:rPr>
          <w:rFonts w:ascii="Times New Roman" w:eastAsiaTheme="minorEastAsia" w:hAnsi="Times New Roman" w:cs="Times New Roman"/>
          <w:iCs/>
          <w:sz w:val="24"/>
          <w:szCs w:val="24"/>
          <w:lang w:val="en-US"/>
        </w:rPr>
        <w:t xml:space="preserve"> experts </w:t>
      </w:r>
      <w:r w:rsidR="00F34F95" w:rsidRPr="00BD58C0">
        <w:rPr>
          <w:rFonts w:ascii="Times New Roman" w:eastAsiaTheme="minorEastAsia" w:hAnsi="Times New Roman" w:cs="Times New Roman"/>
          <w:iCs/>
          <w:sz w:val="24"/>
          <w:szCs w:val="24"/>
          <w:lang w:val="en-US"/>
        </w:rPr>
        <w:t xml:space="preserve">had </w:t>
      </w:r>
      <w:r w:rsidRPr="00BD58C0">
        <w:rPr>
          <w:rFonts w:ascii="Times New Roman" w:eastAsiaTheme="minorEastAsia" w:hAnsi="Times New Roman" w:cs="Times New Roman"/>
          <w:iCs/>
          <w:sz w:val="24"/>
          <w:szCs w:val="24"/>
          <w:lang w:val="en-US"/>
        </w:rPr>
        <w:t>five years</w:t>
      </w:r>
      <w:r w:rsidR="00392BB7" w:rsidRPr="00BD58C0">
        <w:rPr>
          <w:rFonts w:ascii="Times New Roman" w:eastAsiaTheme="minorEastAsia" w:hAnsi="Times New Roman" w:cs="Times New Roman"/>
          <w:iCs/>
          <w:sz w:val="24"/>
          <w:szCs w:val="24"/>
          <w:lang w:val="en-US"/>
        </w:rPr>
        <w:t>’</w:t>
      </w:r>
      <w:r w:rsidRPr="00BD58C0">
        <w:rPr>
          <w:rFonts w:ascii="Times New Roman" w:eastAsiaTheme="minorEastAsia" w:hAnsi="Times New Roman" w:cs="Times New Roman"/>
          <w:iCs/>
          <w:sz w:val="24"/>
          <w:szCs w:val="24"/>
          <w:lang w:val="en-US"/>
        </w:rPr>
        <w:t xml:space="preserve"> minimum working experience in an energy or environmental or related department or agency that deals with the palm oil industry, </w:t>
      </w:r>
      <w:r w:rsidR="009278BA" w:rsidRPr="00BD58C0">
        <w:rPr>
          <w:rFonts w:ascii="Times New Roman" w:eastAsiaTheme="minorEastAsia" w:hAnsi="Times New Roman" w:cs="Times New Roman"/>
          <w:iCs/>
          <w:sz w:val="24"/>
          <w:szCs w:val="24"/>
          <w:lang w:val="en-US"/>
        </w:rPr>
        <w:t xml:space="preserve">provision of </w:t>
      </w:r>
      <w:r w:rsidRPr="00BD58C0">
        <w:rPr>
          <w:rFonts w:ascii="Times New Roman" w:eastAsiaTheme="minorEastAsia" w:hAnsi="Times New Roman" w:cs="Times New Roman"/>
          <w:iCs/>
          <w:sz w:val="24"/>
          <w:szCs w:val="24"/>
          <w:lang w:val="en-US"/>
        </w:rPr>
        <w:t xml:space="preserve">incentives and energy generation. Surveys were conducted through direct meetings. Overall weights and ranking of possible solutions were calculated by multiplying the weight of each possible solution by the priority weight of the main criterion. The </w:t>
      </w:r>
      <w:r w:rsidR="000E63A4" w:rsidRPr="00BD58C0">
        <w:rPr>
          <w:rFonts w:ascii="Times New Roman" w:eastAsiaTheme="minorEastAsia" w:hAnsi="Times New Roman" w:cs="Times New Roman"/>
          <w:iCs/>
          <w:sz w:val="24"/>
          <w:szCs w:val="24"/>
          <w:lang w:val="en-US"/>
        </w:rPr>
        <w:t xml:space="preserve">small </w:t>
      </w:r>
      <w:r w:rsidRPr="00BD58C0">
        <w:rPr>
          <w:rFonts w:ascii="Times New Roman" w:eastAsiaTheme="minorEastAsia" w:hAnsi="Times New Roman" w:cs="Times New Roman"/>
          <w:iCs/>
          <w:sz w:val="24"/>
          <w:szCs w:val="24"/>
          <w:lang w:val="en-US"/>
        </w:rPr>
        <w:t xml:space="preserve">number of respondents was one of the limitations of this study as it was difficult to engage with </w:t>
      </w:r>
      <w:r w:rsidR="00C20CBC" w:rsidRPr="00BD58C0">
        <w:rPr>
          <w:rFonts w:ascii="Times New Roman" w:eastAsiaTheme="minorEastAsia" w:hAnsi="Times New Roman" w:cs="Times New Roman"/>
          <w:iCs/>
          <w:sz w:val="24"/>
          <w:szCs w:val="24"/>
          <w:lang w:val="en-US"/>
        </w:rPr>
        <w:t xml:space="preserve">all </w:t>
      </w:r>
      <w:r w:rsidRPr="00BD58C0">
        <w:rPr>
          <w:rFonts w:ascii="Times New Roman" w:eastAsiaTheme="minorEastAsia" w:hAnsi="Times New Roman" w:cs="Times New Roman"/>
          <w:iCs/>
          <w:sz w:val="24"/>
          <w:szCs w:val="24"/>
          <w:lang w:val="en-US"/>
        </w:rPr>
        <w:t>relevant stakeholders due to slow responses</w:t>
      </w:r>
      <w:r w:rsidR="00E748DB" w:rsidRPr="00BD58C0">
        <w:rPr>
          <w:rFonts w:ascii="Times New Roman" w:eastAsiaTheme="minorEastAsia" w:hAnsi="Times New Roman" w:cs="Times New Roman"/>
          <w:iCs/>
          <w:sz w:val="24"/>
          <w:szCs w:val="24"/>
          <w:lang w:val="en-US"/>
        </w:rPr>
        <w:t xml:space="preserve"> </w:t>
      </w:r>
      <w:r w:rsidR="00177DA5" w:rsidRPr="00BD58C0">
        <w:rPr>
          <w:rFonts w:ascii="Times New Roman" w:eastAsiaTheme="minorEastAsia" w:hAnsi="Times New Roman" w:cs="Times New Roman"/>
          <w:iCs/>
          <w:sz w:val="24"/>
          <w:szCs w:val="24"/>
          <w:lang w:val="en-US"/>
        </w:rPr>
        <w:t>and a lack of replies</w:t>
      </w:r>
      <w:r w:rsidRPr="00BD58C0">
        <w:rPr>
          <w:rFonts w:ascii="Times New Roman" w:eastAsiaTheme="minorEastAsia" w:hAnsi="Times New Roman" w:cs="Times New Roman"/>
          <w:iCs/>
          <w:sz w:val="24"/>
          <w:szCs w:val="24"/>
          <w:lang w:val="en-US"/>
        </w:rPr>
        <w:t xml:space="preserve">. </w:t>
      </w:r>
    </w:p>
    <w:p w14:paraId="0C12F05F" w14:textId="77777777" w:rsidR="00045AEB" w:rsidRPr="00BD58C0" w:rsidRDefault="00045AEB" w:rsidP="00944210">
      <w:pPr>
        <w:spacing w:after="0" w:line="360" w:lineRule="auto"/>
        <w:jc w:val="both"/>
        <w:rPr>
          <w:rFonts w:ascii="Times New Roman" w:eastAsiaTheme="minorEastAsia" w:hAnsi="Times New Roman" w:cs="Times New Roman"/>
          <w:b/>
          <w:bCs/>
          <w:iCs/>
          <w:sz w:val="24"/>
          <w:szCs w:val="24"/>
        </w:rPr>
      </w:pPr>
    </w:p>
    <w:p w14:paraId="40A00C42" w14:textId="55140FEF" w:rsidR="00A46717" w:rsidRPr="00BD58C0" w:rsidRDefault="00214B62" w:rsidP="00944210">
      <w:pPr>
        <w:spacing w:after="0" w:line="360" w:lineRule="auto"/>
        <w:jc w:val="both"/>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4.</w:t>
      </w:r>
      <w:r w:rsidR="000A7C25" w:rsidRPr="00BD58C0">
        <w:rPr>
          <w:rFonts w:ascii="Times New Roman" w:eastAsiaTheme="minorEastAsia" w:hAnsi="Times New Roman" w:cs="Times New Roman"/>
          <w:b/>
          <w:bCs/>
          <w:iCs/>
          <w:sz w:val="24"/>
          <w:szCs w:val="24"/>
        </w:rPr>
        <w:tab/>
        <w:t xml:space="preserve">Results </w:t>
      </w:r>
    </w:p>
    <w:p w14:paraId="2D0B64C6" w14:textId="2925D713" w:rsidR="000A7C25" w:rsidRPr="00BD58C0" w:rsidRDefault="000A7C25" w:rsidP="00944210">
      <w:pPr>
        <w:spacing w:after="0" w:line="360" w:lineRule="auto"/>
        <w:jc w:val="both"/>
        <w:rPr>
          <w:rFonts w:ascii="Times New Roman" w:eastAsiaTheme="minorEastAsia" w:hAnsi="Times New Roman" w:cs="Times New Roman"/>
          <w:b/>
          <w:bCs/>
          <w:iCs/>
          <w:sz w:val="24"/>
          <w:szCs w:val="24"/>
        </w:rPr>
      </w:pPr>
    </w:p>
    <w:p w14:paraId="5C79E031" w14:textId="212FC5D2" w:rsidR="00C7203E" w:rsidRPr="00BD58C0" w:rsidRDefault="00214B62" w:rsidP="00944210">
      <w:pPr>
        <w:spacing w:after="0" w:line="360" w:lineRule="auto"/>
        <w:jc w:val="both"/>
        <w:rPr>
          <w:rFonts w:ascii="Times New Roman" w:eastAsiaTheme="minorEastAsia" w:hAnsi="Times New Roman" w:cs="Times New Roman"/>
          <w:i/>
          <w:sz w:val="24"/>
          <w:szCs w:val="24"/>
        </w:rPr>
      </w:pPr>
      <w:r w:rsidRPr="00BD58C0">
        <w:rPr>
          <w:rFonts w:ascii="Times New Roman" w:eastAsiaTheme="minorEastAsia" w:hAnsi="Times New Roman" w:cs="Times New Roman"/>
          <w:i/>
          <w:sz w:val="24"/>
          <w:szCs w:val="24"/>
        </w:rPr>
        <w:t>4</w:t>
      </w:r>
      <w:r w:rsidR="000A467B" w:rsidRPr="00BD58C0">
        <w:rPr>
          <w:rFonts w:ascii="Times New Roman" w:eastAsiaTheme="minorEastAsia" w:hAnsi="Times New Roman" w:cs="Times New Roman"/>
          <w:i/>
          <w:sz w:val="24"/>
          <w:szCs w:val="24"/>
        </w:rPr>
        <w:t>.1.</w:t>
      </w:r>
      <w:r w:rsidR="000A467B" w:rsidRPr="00BD58C0">
        <w:rPr>
          <w:rFonts w:ascii="Times New Roman" w:eastAsiaTheme="minorEastAsia" w:hAnsi="Times New Roman" w:cs="Times New Roman"/>
          <w:i/>
          <w:sz w:val="24"/>
          <w:szCs w:val="24"/>
        </w:rPr>
        <w:tab/>
      </w:r>
      <w:r w:rsidR="007B56EE" w:rsidRPr="00BD58C0">
        <w:rPr>
          <w:rFonts w:ascii="Times New Roman" w:eastAsiaTheme="minorEastAsia" w:hAnsi="Times New Roman" w:cs="Times New Roman"/>
          <w:i/>
          <w:sz w:val="24"/>
          <w:szCs w:val="24"/>
        </w:rPr>
        <w:t>L</w:t>
      </w:r>
      <w:r w:rsidR="008070C5" w:rsidRPr="00BD58C0">
        <w:rPr>
          <w:rFonts w:ascii="Times New Roman" w:eastAsiaTheme="minorEastAsia" w:hAnsi="Times New Roman" w:cs="Times New Roman"/>
          <w:i/>
          <w:sz w:val="24"/>
          <w:szCs w:val="24"/>
        </w:rPr>
        <w:t>CCBA</w:t>
      </w:r>
    </w:p>
    <w:p w14:paraId="296A1461" w14:textId="77777777" w:rsidR="00C7203E" w:rsidRPr="00BD58C0" w:rsidRDefault="00C7203E" w:rsidP="00944210">
      <w:pPr>
        <w:spacing w:after="0" w:line="360" w:lineRule="auto"/>
        <w:jc w:val="both"/>
        <w:rPr>
          <w:rFonts w:ascii="Times New Roman" w:eastAsiaTheme="minorEastAsia" w:hAnsi="Times New Roman" w:cs="Times New Roman"/>
          <w:i/>
          <w:sz w:val="24"/>
          <w:szCs w:val="24"/>
        </w:rPr>
      </w:pPr>
    </w:p>
    <w:p w14:paraId="2BB8B0E5" w14:textId="575F334E" w:rsidR="000A7C25" w:rsidRPr="00BD58C0" w:rsidRDefault="00214B62" w:rsidP="00944210">
      <w:pPr>
        <w:spacing w:after="0" w:line="360" w:lineRule="auto"/>
        <w:jc w:val="both"/>
        <w:rPr>
          <w:rFonts w:ascii="Times New Roman" w:eastAsiaTheme="minorEastAsia" w:hAnsi="Times New Roman" w:cs="Times New Roman"/>
          <w:i/>
          <w:sz w:val="24"/>
          <w:szCs w:val="24"/>
        </w:rPr>
      </w:pPr>
      <w:r w:rsidRPr="00BD58C0">
        <w:rPr>
          <w:rFonts w:ascii="Times New Roman" w:eastAsiaTheme="minorEastAsia" w:hAnsi="Times New Roman" w:cs="Times New Roman"/>
          <w:i/>
          <w:sz w:val="24"/>
          <w:szCs w:val="24"/>
        </w:rPr>
        <w:t>4</w:t>
      </w:r>
      <w:r w:rsidR="007B56EE" w:rsidRPr="00BD58C0">
        <w:rPr>
          <w:rFonts w:ascii="Times New Roman" w:eastAsiaTheme="minorEastAsia" w:hAnsi="Times New Roman" w:cs="Times New Roman"/>
          <w:i/>
          <w:sz w:val="24"/>
          <w:szCs w:val="24"/>
        </w:rPr>
        <w:t xml:space="preserve">.1.1. </w:t>
      </w:r>
      <w:r w:rsidR="00460407" w:rsidRPr="00BD58C0">
        <w:rPr>
          <w:rFonts w:ascii="Times New Roman" w:eastAsiaTheme="minorEastAsia" w:hAnsi="Times New Roman" w:cs="Times New Roman"/>
          <w:i/>
          <w:sz w:val="24"/>
          <w:szCs w:val="24"/>
        </w:rPr>
        <w:t>Cost for setting up two types of POME treatment technologies for energy generation</w:t>
      </w:r>
    </w:p>
    <w:p w14:paraId="6ECA263D" w14:textId="4129B2E9" w:rsidR="000A467B" w:rsidRPr="00BD58C0" w:rsidRDefault="000A467B" w:rsidP="00944210">
      <w:pPr>
        <w:spacing w:after="0" w:line="360" w:lineRule="auto"/>
        <w:jc w:val="both"/>
        <w:rPr>
          <w:rFonts w:ascii="Times New Roman" w:eastAsiaTheme="minorEastAsia" w:hAnsi="Times New Roman" w:cs="Times New Roman"/>
          <w:i/>
          <w:sz w:val="24"/>
          <w:szCs w:val="24"/>
        </w:rPr>
      </w:pPr>
    </w:p>
    <w:p w14:paraId="1F0DBAAB" w14:textId="7538AF52" w:rsidR="00780B50" w:rsidRPr="00BD58C0" w:rsidRDefault="006B2051" w:rsidP="008070C5">
      <w:pPr>
        <w:spacing w:after="0" w:line="360" w:lineRule="auto"/>
        <w:ind w:firstLine="720"/>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Table </w:t>
      </w:r>
      <w:r w:rsidR="006C3D71" w:rsidRPr="00BD58C0">
        <w:rPr>
          <w:rFonts w:ascii="Times New Roman" w:eastAsiaTheme="minorEastAsia" w:hAnsi="Times New Roman" w:cs="Times New Roman"/>
          <w:iCs/>
          <w:sz w:val="24"/>
          <w:szCs w:val="24"/>
        </w:rPr>
        <w:t>6</w:t>
      </w:r>
      <w:r w:rsidRPr="00BD58C0">
        <w:rPr>
          <w:rFonts w:ascii="Times New Roman" w:eastAsiaTheme="minorEastAsia" w:hAnsi="Times New Roman" w:cs="Times New Roman"/>
          <w:iCs/>
          <w:sz w:val="24"/>
          <w:szCs w:val="24"/>
        </w:rPr>
        <w:t xml:space="preserve"> lists the capital costs for the implementation of </w:t>
      </w:r>
      <w:r w:rsidR="00C77C54" w:rsidRPr="00BD58C0">
        <w:rPr>
          <w:rFonts w:ascii="Times New Roman" w:eastAsiaTheme="minorEastAsia" w:hAnsi="Times New Roman" w:cs="Times New Roman"/>
          <w:iCs/>
          <w:sz w:val="24"/>
          <w:szCs w:val="24"/>
        </w:rPr>
        <w:t xml:space="preserve">the </w:t>
      </w:r>
      <w:r w:rsidRPr="00BD58C0">
        <w:rPr>
          <w:rFonts w:ascii="Times New Roman" w:eastAsiaTheme="minorEastAsia" w:hAnsi="Times New Roman" w:cs="Times New Roman"/>
          <w:iCs/>
          <w:sz w:val="24"/>
          <w:szCs w:val="24"/>
        </w:rPr>
        <w:t xml:space="preserve">two different biogas technologies in </w:t>
      </w:r>
      <w:r w:rsidR="00117721" w:rsidRPr="00BD58C0">
        <w:rPr>
          <w:rFonts w:ascii="Times New Roman" w:eastAsiaTheme="minorEastAsia" w:hAnsi="Times New Roman" w:cs="Times New Roman"/>
          <w:iCs/>
          <w:sz w:val="24"/>
          <w:szCs w:val="24"/>
        </w:rPr>
        <w:t xml:space="preserve">the </w:t>
      </w:r>
      <w:r w:rsidRPr="00BD58C0">
        <w:rPr>
          <w:rFonts w:ascii="Times New Roman" w:eastAsiaTheme="minorEastAsia" w:hAnsi="Times New Roman" w:cs="Times New Roman"/>
          <w:iCs/>
          <w:sz w:val="24"/>
          <w:szCs w:val="24"/>
        </w:rPr>
        <w:t xml:space="preserve">two </w:t>
      </w:r>
      <w:r w:rsidR="00B21804" w:rsidRPr="00BD58C0">
        <w:rPr>
          <w:rFonts w:ascii="Times New Roman" w:eastAsiaTheme="minorEastAsia" w:hAnsi="Times New Roman" w:cs="Times New Roman"/>
          <w:iCs/>
          <w:sz w:val="24"/>
          <w:szCs w:val="24"/>
        </w:rPr>
        <w:t>POMs</w:t>
      </w:r>
      <w:r w:rsidRPr="00BD58C0">
        <w:rPr>
          <w:rFonts w:ascii="Times New Roman" w:eastAsiaTheme="minorEastAsia" w:hAnsi="Times New Roman" w:cs="Times New Roman"/>
          <w:iCs/>
          <w:sz w:val="24"/>
          <w:szCs w:val="24"/>
        </w:rPr>
        <w:t xml:space="preserve"> in Malaysia. Investments</w:t>
      </w:r>
      <w:r w:rsidR="0009264D" w:rsidRPr="00BD58C0">
        <w:rPr>
          <w:rFonts w:ascii="Times New Roman" w:eastAsiaTheme="minorEastAsia" w:hAnsi="Times New Roman" w:cs="Times New Roman"/>
          <w:iCs/>
          <w:sz w:val="24"/>
          <w:szCs w:val="24"/>
        </w:rPr>
        <w:t xml:space="preserve"> are</w:t>
      </w:r>
      <w:r w:rsidRPr="00BD58C0">
        <w:rPr>
          <w:rFonts w:ascii="Times New Roman" w:eastAsiaTheme="minorEastAsia" w:hAnsi="Times New Roman" w:cs="Times New Roman"/>
          <w:iCs/>
          <w:sz w:val="24"/>
          <w:szCs w:val="24"/>
        </w:rPr>
        <w:t xml:space="preserve"> need</w:t>
      </w:r>
      <w:r w:rsidR="00C77C54" w:rsidRPr="00BD58C0">
        <w:rPr>
          <w:rFonts w:ascii="Times New Roman" w:eastAsiaTheme="minorEastAsia" w:hAnsi="Times New Roman" w:cs="Times New Roman"/>
          <w:iCs/>
          <w:sz w:val="24"/>
          <w:szCs w:val="24"/>
        </w:rPr>
        <w:t>ed</w:t>
      </w:r>
      <w:r w:rsidRPr="00BD58C0">
        <w:rPr>
          <w:rFonts w:ascii="Times New Roman" w:eastAsiaTheme="minorEastAsia" w:hAnsi="Times New Roman" w:cs="Times New Roman"/>
          <w:iCs/>
          <w:sz w:val="24"/>
          <w:szCs w:val="24"/>
        </w:rPr>
        <w:t xml:space="preserve"> </w:t>
      </w:r>
      <w:r w:rsidR="0011464F" w:rsidRPr="00BD58C0">
        <w:rPr>
          <w:rFonts w:ascii="Times New Roman" w:eastAsiaTheme="minorEastAsia" w:hAnsi="Times New Roman" w:cs="Times New Roman"/>
          <w:iCs/>
          <w:sz w:val="24"/>
          <w:szCs w:val="24"/>
        </w:rPr>
        <w:t xml:space="preserve">for </w:t>
      </w:r>
      <w:r w:rsidR="006206AF" w:rsidRPr="00BD58C0">
        <w:rPr>
          <w:rFonts w:ascii="Times New Roman" w:eastAsiaTheme="minorEastAsia" w:hAnsi="Times New Roman" w:cs="Times New Roman"/>
          <w:iCs/>
          <w:sz w:val="24"/>
          <w:szCs w:val="24"/>
        </w:rPr>
        <w:t xml:space="preserve">both </w:t>
      </w:r>
      <w:r w:rsidRPr="00BD58C0">
        <w:rPr>
          <w:rFonts w:ascii="Times New Roman" w:eastAsiaTheme="minorEastAsia" w:hAnsi="Times New Roman" w:cs="Times New Roman"/>
          <w:iCs/>
          <w:sz w:val="24"/>
          <w:szCs w:val="24"/>
        </w:rPr>
        <w:t xml:space="preserve">treatment technologies. </w:t>
      </w:r>
      <w:r w:rsidR="00780B50" w:rsidRPr="00BD58C0">
        <w:rPr>
          <w:rFonts w:ascii="Times New Roman" w:eastAsiaTheme="minorEastAsia" w:hAnsi="Times New Roman" w:cs="Times New Roman"/>
          <w:iCs/>
          <w:sz w:val="24"/>
          <w:szCs w:val="24"/>
        </w:rPr>
        <w:t>The capital costs of</w:t>
      </w:r>
      <w:r w:rsidR="00C77C54" w:rsidRPr="00BD58C0">
        <w:rPr>
          <w:rFonts w:ascii="Times New Roman" w:eastAsiaTheme="minorEastAsia" w:hAnsi="Times New Roman" w:cs="Times New Roman"/>
          <w:iCs/>
          <w:sz w:val="24"/>
          <w:szCs w:val="24"/>
        </w:rPr>
        <w:t xml:space="preserve"> the</w:t>
      </w:r>
      <w:r w:rsidR="00780B50" w:rsidRPr="00BD58C0">
        <w:rPr>
          <w:rFonts w:ascii="Times New Roman" w:eastAsiaTheme="minorEastAsia" w:hAnsi="Times New Roman" w:cs="Times New Roman"/>
          <w:iCs/>
          <w:sz w:val="24"/>
          <w:szCs w:val="24"/>
        </w:rPr>
        <w:t xml:space="preserve"> CSTR system </w:t>
      </w:r>
      <w:r w:rsidR="00C77C54" w:rsidRPr="00BD58C0">
        <w:rPr>
          <w:rFonts w:ascii="Times New Roman" w:eastAsiaTheme="minorEastAsia" w:hAnsi="Times New Roman" w:cs="Times New Roman"/>
          <w:iCs/>
          <w:sz w:val="24"/>
          <w:szCs w:val="24"/>
        </w:rPr>
        <w:t>are</w:t>
      </w:r>
      <w:r w:rsidR="00780B50" w:rsidRPr="00BD58C0">
        <w:rPr>
          <w:rFonts w:ascii="Times New Roman" w:eastAsiaTheme="minorEastAsia" w:hAnsi="Times New Roman" w:cs="Times New Roman"/>
          <w:iCs/>
          <w:sz w:val="24"/>
          <w:szCs w:val="24"/>
        </w:rPr>
        <w:t xml:space="preserve"> much higher </w:t>
      </w:r>
      <w:r w:rsidR="006206AF" w:rsidRPr="00BD58C0">
        <w:rPr>
          <w:rFonts w:ascii="Times New Roman" w:eastAsiaTheme="minorEastAsia" w:hAnsi="Times New Roman" w:cs="Times New Roman"/>
          <w:iCs/>
          <w:sz w:val="24"/>
          <w:szCs w:val="24"/>
        </w:rPr>
        <w:t>than for</w:t>
      </w:r>
      <w:r w:rsidR="00780B50" w:rsidRPr="00BD58C0">
        <w:rPr>
          <w:rFonts w:ascii="Times New Roman" w:eastAsiaTheme="minorEastAsia" w:hAnsi="Times New Roman" w:cs="Times New Roman"/>
          <w:iCs/>
          <w:sz w:val="24"/>
          <w:szCs w:val="24"/>
        </w:rPr>
        <w:t xml:space="preserve"> the CLB system</w:t>
      </w:r>
      <w:r w:rsidR="0080121C" w:rsidRPr="00BD58C0">
        <w:rPr>
          <w:rFonts w:ascii="Times New Roman" w:eastAsiaTheme="minorEastAsia" w:hAnsi="Times New Roman" w:cs="Times New Roman"/>
          <w:iCs/>
          <w:sz w:val="24"/>
          <w:szCs w:val="24"/>
        </w:rPr>
        <w:t xml:space="preserve">, </w:t>
      </w:r>
      <w:r w:rsidR="00780B50" w:rsidRPr="00BD58C0">
        <w:rPr>
          <w:rFonts w:ascii="Times New Roman" w:eastAsiaTheme="minorEastAsia" w:hAnsi="Times New Roman" w:cs="Times New Roman"/>
          <w:iCs/>
          <w:sz w:val="24"/>
          <w:szCs w:val="24"/>
        </w:rPr>
        <w:t xml:space="preserve">due to the utilisation of a greater number of steel tanks compared to </w:t>
      </w:r>
      <w:r w:rsidR="0011464F" w:rsidRPr="00BD58C0">
        <w:rPr>
          <w:rFonts w:ascii="Times New Roman" w:eastAsiaTheme="minorEastAsia" w:hAnsi="Times New Roman" w:cs="Times New Roman"/>
          <w:iCs/>
          <w:sz w:val="24"/>
          <w:szCs w:val="24"/>
        </w:rPr>
        <w:t xml:space="preserve">the </w:t>
      </w:r>
      <w:r w:rsidR="00780B50" w:rsidRPr="00BD58C0">
        <w:rPr>
          <w:rFonts w:ascii="Times New Roman" w:eastAsiaTheme="minorEastAsia" w:hAnsi="Times New Roman" w:cs="Times New Roman"/>
          <w:iCs/>
          <w:sz w:val="24"/>
          <w:szCs w:val="24"/>
        </w:rPr>
        <w:t>ponding system</w:t>
      </w:r>
      <w:r w:rsidR="00C77C54" w:rsidRPr="00BD58C0">
        <w:rPr>
          <w:rFonts w:ascii="Times New Roman" w:eastAsiaTheme="minorEastAsia" w:hAnsi="Times New Roman" w:cs="Times New Roman"/>
          <w:iCs/>
          <w:sz w:val="24"/>
          <w:szCs w:val="24"/>
        </w:rPr>
        <w:t>,</w:t>
      </w:r>
      <w:r w:rsidR="00780B50" w:rsidRPr="00BD58C0">
        <w:rPr>
          <w:rFonts w:ascii="Times New Roman" w:eastAsiaTheme="minorEastAsia" w:hAnsi="Times New Roman" w:cs="Times New Roman"/>
          <w:iCs/>
          <w:sz w:val="24"/>
          <w:szCs w:val="24"/>
        </w:rPr>
        <w:t xml:space="preserve"> which only requires excavation and landfilling costs. </w:t>
      </w:r>
      <w:r w:rsidR="00C77C54" w:rsidRPr="00BD58C0">
        <w:rPr>
          <w:rFonts w:ascii="Times New Roman" w:eastAsiaTheme="minorEastAsia" w:hAnsi="Times New Roman" w:cs="Times New Roman"/>
          <w:iCs/>
          <w:sz w:val="24"/>
          <w:szCs w:val="24"/>
        </w:rPr>
        <w:t xml:space="preserve">While the </w:t>
      </w:r>
      <w:r w:rsidR="00780B50" w:rsidRPr="00BD58C0">
        <w:rPr>
          <w:rFonts w:ascii="Times New Roman" w:eastAsiaTheme="minorEastAsia" w:hAnsi="Times New Roman" w:cs="Times New Roman"/>
          <w:iCs/>
          <w:sz w:val="24"/>
          <w:szCs w:val="24"/>
        </w:rPr>
        <w:t>CLB system is much cheaper, it still requires a large</w:t>
      </w:r>
      <w:r w:rsidR="00080012" w:rsidRPr="00BD58C0">
        <w:rPr>
          <w:rFonts w:ascii="Times New Roman" w:eastAsiaTheme="minorEastAsia" w:hAnsi="Times New Roman" w:cs="Times New Roman"/>
          <w:iCs/>
          <w:sz w:val="24"/>
          <w:szCs w:val="24"/>
        </w:rPr>
        <w:t>r</w:t>
      </w:r>
      <w:r w:rsidR="00780B50" w:rsidRPr="00BD58C0">
        <w:rPr>
          <w:rFonts w:ascii="Times New Roman" w:eastAsiaTheme="minorEastAsia" w:hAnsi="Times New Roman" w:cs="Times New Roman"/>
          <w:iCs/>
          <w:sz w:val="24"/>
          <w:szCs w:val="24"/>
        </w:rPr>
        <w:t xml:space="preserve"> area </w:t>
      </w:r>
      <w:r w:rsidR="000B2641" w:rsidRPr="00BD58C0">
        <w:rPr>
          <w:rFonts w:ascii="Times New Roman" w:eastAsiaTheme="minorEastAsia" w:hAnsi="Times New Roman" w:cs="Times New Roman"/>
          <w:iCs/>
          <w:sz w:val="24"/>
          <w:szCs w:val="24"/>
        </w:rPr>
        <w:t>of land</w:t>
      </w:r>
      <w:r w:rsidR="00810592" w:rsidRPr="00BD58C0">
        <w:rPr>
          <w:rFonts w:ascii="Times New Roman" w:eastAsiaTheme="minorEastAsia" w:hAnsi="Times New Roman" w:cs="Times New Roman"/>
          <w:iCs/>
          <w:sz w:val="24"/>
          <w:szCs w:val="24"/>
        </w:rPr>
        <w:t>,</w:t>
      </w:r>
      <w:r w:rsidR="00A21257" w:rsidRPr="00BD58C0">
        <w:rPr>
          <w:rFonts w:ascii="Times New Roman" w:eastAsiaTheme="minorEastAsia" w:hAnsi="Times New Roman" w:cs="Times New Roman"/>
          <w:iCs/>
          <w:sz w:val="24"/>
          <w:szCs w:val="24"/>
        </w:rPr>
        <w:t xml:space="preserve"> which i</w:t>
      </w:r>
      <w:r w:rsidR="004E6FD3" w:rsidRPr="00BD58C0">
        <w:rPr>
          <w:rFonts w:ascii="Times New Roman" w:eastAsiaTheme="minorEastAsia" w:hAnsi="Times New Roman" w:cs="Times New Roman"/>
          <w:iCs/>
          <w:sz w:val="24"/>
          <w:szCs w:val="24"/>
        </w:rPr>
        <w:t>ncludes</w:t>
      </w:r>
      <w:r w:rsidR="00A21257" w:rsidRPr="00BD58C0">
        <w:rPr>
          <w:rFonts w:ascii="Times New Roman" w:eastAsiaTheme="minorEastAsia" w:hAnsi="Times New Roman" w:cs="Times New Roman"/>
          <w:iCs/>
          <w:sz w:val="24"/>
          <w:szCs w:val="24"/>
        </w:rPr>
        <w:t xml:space="preserve"> the land cost</w:t>
      </w:r>
      <w:r w:rsidR="00080012" w:rsidRPr="00BD58C0">
        <w:rPr>
          <w:rFonts w:ascii="Times New Roman" w:eastAsiaTheme="minorEastAsia" w:hAnsi="Times New Roman" w:cs="Times New Roman"/>
          <w:iCs/>
          <w:sz w:val="24"/>
          <w:szCs w:val="24"/>
        </w:rPr>
        <w:t xml:space="preserve"> </w:t>
      </w:r>
      <w:r w:rsidR="00C77C54" w:rsidRPr="00BD58C0">
        <w:rPr>
          <w:rFonts w:ascii="Times New Roman" w:eastAsiaTheme="minorEastAsia" w:hAnsi="Times New Roman" w:cs="Times New Roman"/>
          <w:iCs/>
          <w:sz w:val="24"/>
          <w:szCs w:val="24"/>
        </w:rPr>
        <w:t xml:space="preserve">to build the system </w:t>
      </w:r>
      <w:r w:rsidR="00080012" w:rsidRPr="00BD58C0">
        <w:rPr>
          <w:rFonts w:ascii="Times New Roman" w:eastAsiaTheme="minorEastAsia" w:hAnsi="Times New Roman" w:cs="Times New Roman"/>
          <w:iCs/>
          <w:sz w:val="24"/>
          <w:szCs w:val="24"/>
        </w:rPr>
        <w:t>[</w:t>
      </w:r>
      <w:r w:rsidR="00CC373E" w:rsidRPr="00BD58C0">
        <w:rPr>
          <w:rFonts w:ascii="Times New Roman" w:eastAsiaTheme="minorEastAsia" w:hAnsi="Times New Roman" w:cs="Times New Roman"/>
          <w:iCs/>
          <w:sz w:val="24"/>
          <w:szCs w:val="24"/>
        </w:rPr>
        <w:t>5</w:t>
      </w:r>
      <w:r w:rsidR="00003F42" w:rsidRPr="00BD58C0">
        <w:rPr>
          <w:rFonts w:ascii="Times New Roman" w:eastAsiaTheme="minorEastAsia" w:hAnsi="Times New Roman" w:cs="Times New Roman"/>
          <w:iCs/>
          <w:sz w:val="24"/>
          <w:szCs w:val="24"/>
        </w:rPr>
        <w:t>5</w:t>
      </w:r>
      <w:r w:rsidR="00080012" w:rsidRPr="00BD58C0">
        <w:rPr>
          <w:rFonts w:ascii="Times New Roman" w:eastAsiaTheme="minorEastAsia" w:hAnsi="Times New Roman" w:cs="Times New Roman"/>
          <w:iCs/>
          <w:sz w:val="24"/>
          <w:szCs w:val="24"/>
        </w:rPr>
        <w:t>]</w:t>
      </w:r>
      <w:r w:rsidR="007B56EE" w:rsidRPr="00BD58C0">
        <w:rPr>
          <w:rFonts w:ascii="Times New Roman" w:eastAsiaTheme="minorEastAsia" w:hAnsi="Times New Roman" w:cs="Times New Roman"/>
          <w:iCs/>
          <w:sz w:val="24"/>
          <w:szCs w:val="24"/>
        </w:rPr>
        <w:t>,</w:t>
      </w:r>
      <w:r w:rsidR="00780B50" w:rsidRPr="00BD58C0">
        <w:rPr>
          <w:rFonts w:ascii="Times New Roman" w:eastAsiaTheme="minorEastAsia" w:hAnsi="Times New Roman" w:cs="Times New Roman"/>
          <w:iCs/>
          <w:sz w:val="24"/>
          <w:szCs w:val="24"/>
        </w:rPr>
        <w:t xml:space="preserve"> while</w:t>
      </w:r>
      <w:r w:rsidR="00810592" w:rsidRPr="00BD58C0">
        <w:rPr>
          <w:rFonts w:ascii="Times New Roman" w:eastAsiaTheme="minorEastAsia" w:hAnsi="Times New Roman" w:cs="Times New Roman"/>
          <w:iCs/>
          <w:sz w:val="24"/>
          <w:szCs w:val="24"/>
        </w:rPr>
        <w:t xml:space="preserve"> the</w:t>
      </w:r>
      <w:r w:rsidR="00780B50" w:rsidRPr="00BD58C0">
        <w:rPr>
          <w:rFonts w:ascii="Times New Roman" w:eastAsiaTheme="minorEastAsia" w:hAnsi="Times New Roman" w:cs="Times New Roman"/>
          <w:iCs/>
          <w:sz w:val="24"/>
          <w:szCs w:val="24"/>
        </w:rPr>
        <w:t xml:space="preserve"> CSTR system does not consume much space.</w:t>
      </w:r>
      <w:r w:rsidR="00A21257" w:rsidRPr="00BD58C0">
        <w:rPr>
          <w:rFonts w:ascii="Times New Roman" w:eastAsiaTheme="minorEastAsia" w:hAnsi="Times New Roman" w:cs="Times New Roman"/>
          <w:iCs/>
          <w:sz w:val="24"/>
          <w:szCs w:val="24"/>
        </w:rPr>
        <w:t xml:space="preserve"> </w:t>
      </w:r>
      <w:r w:rsidR="00780B50" w:rsidRPr="00BD58C0">
        <w:rPr>
          <w:rFonts w:ascii="Times New Roman" w:eastAsiaTheme="minorEastAsia" w:hAnsi="Times New Roman" w:cs="Times New Roman"/>
          <w:iCs/>
          <w:sz w:val="24"/>
          <w:szCs w:val="24"/>
        </w:rPr>
        <w:t>However, both technologies are efficient in terms of capturing biogas and thus ha</w:t>
      </w:r>
      <w:r w:rsidR="006F36E9" w:rsidRPr="00BD58C0">
        <w:rPr>
          <w:rFonts w:ascii="Times New Roman" w:eastAsiaTheme="minorEastAsia" w:hAnsi="Times New Roman" w:cs="Times New Roman"/>
          <w:iCs/>
          <w:sz w:val="24"/>
          <w:szCs w:val="24"/>
        </w:rPr>
        <w:t>ve</w:t>
      </w:r>
      <w:r w:rsidR="00ED1F81" w:rsidRPr="00BD58C0">
        <w:rPr>
          <w:rFonts w:ascii="Times New Roman" w:eastAsiaTheme="minorEastAsia" w:hAnsi="Times New Roman" w:cs="Times New Roman"/>
          <w:iCs/>
          <w:sz w:val="24"/>
          <w:szCs w:val="24"/>
        </w:rPr>
        <w:t xml:space="preserve"> </w:t>
      </w:r>
      <w:r w:rsidR="00780B50" w:rsidRPr="00BD58C0">
        <w:rPr>
          <w:rFonts w:ascii="Times New Roman" w:eastAsiaTheme="minorEastAsia" w:hAnsi="Times New Roman" w:cs="Times New Roman"/>
          <w:iCs/>
          <w:sz w:val="24"/>
          <w:szCs w:val="24"/>
        </w:rPr>
        <w:t>environmental benefits.</w:t>
      </w:r>
    </w:p>
    <w:p w14:paraId="29A88E09" w14:textId="6E3AA91B" w:rsidR="00165158" w:rsidRPr="00BD58C0" w:rsidRDefault="00780B50" w:rsidP="00165158">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b/>
      </w:r>
      <w:r w:rsidR="00032DFD" w:rsidRPr="00BD58C0">
        <w:rPr>
          <w:rFonts w:ascii="Times New Roman" w:eastAsiaTheme="minorEastAsia" w:hAnsi="Times New Roman" w:cs="Times New Roman"/>
          <w:iCs/>
          <w:sz w:val="24"/>
          <w:szCs w:val="24"/>
        </w:rPr>
        <w:t>A</w:t>
      </w:r>
      <w:r w:rsidR="00A92D37" w:rsidRPr="00BD58C0">
        <w:rPr>
          <w:rFonts w:ascii="Times New Roman" w:eastAsiaTheme="minorEastAsia" w:hAnsi="Times New Roman" w:cs="Times New Roman"/>
          <w:iCs/>
          <w:sz w:val="24"/>
          <w:szCs w:val="24"/>
        </w:rPr>
        <w:t>nnual costs and revenues for bot</w:t>
      </w:r>
      <w:r w:rsidR="00C04917" w:rsidRPr="00BD58C0">
        <w:rPr>
          <w:rFonts w:ascii="Times New Roman" w:eastAsiaTheme="minorEastAsia" w:hAnsi="Times New Roman" w:cs="Times New Roman"/>
          <w:iCs/>
          <w:sz w:val="24"/>
          <w:szCs w:val="24"/>
        </w:rPr>
        <w:t>h</w:t>
      </w:r>
      <w:r w:rsidR="00A92D37" w:rsidRPr="00BD58C0">
        <w:rPr>
          <w:rFonts w:ascii="Times New Roman" w:eastAsiaTheme="minorEastAsia" w:hAnsi="Times New Roman" w:cs="Times New Roman"/>
          <w:iCs/>
          <w:sz w:val="24"/>
          <w:szCs w:val="24"/>
        </w:rPr>
        <w:t xml:space="preserve"> systems are listed in Table </w:t>
      </w:r>
      <w:r w:rsidR="00881EDD" w:rsidRPr="00BD58C0">
        <w:rPr>
          <w:rFonts w:ascii="Times New Roman" w:eastAsiaTheme="minorEastAsia" w:hAnsi="Times New Roman" w:cs="Times New Roman"/>
          <w:iCs/>
          <w:sz w:val="24"/>
          <w:szCs w:val="24"/>
        </w:rPr>
        <w:t>7</w:t>
      </w:r>
      <w:r w:rsidR="00A92D37" w:rsidRPr="00BD58C0">
        <w:rPr>
          <w:rFonts w:ascii="Times New Roman" w:eastAsiaTheme="minorEastAsia" w:hAnsi="Times New Roman" w:cs="Times New Roman"/>
          <w:iCs/>
          <w:sz w:val="24"/>
          <w:szCs w:val="24"/>
        </w:rPr>
        <w:t>. Since the feedstock</w:t>
      </w:r>
      <w:r w:rsidR="00165158" w:rsidRPr="00BD58C0">
        <w:rPr>
          <w:rFonts w:ascii="Times New Roman" w:eastAsiaTheme="minorEastAsia" w:hAnsi="Times New Roman" w:cs="Times New Roman"/>
          <w:iCs/>
          <w:sz w:val="24"/>
          <w:szCs w:val="24"/>
        </w:rPr>
        <w:t xml:space="preserve"> is the POME waste from palm oil production, there is no cost in terms of input</w:t>
      </w:r>
      <w:r w:rsidR="00123768" w:rsidRPr="00BD58C0">
        <w:rPr>
          <w:rFonts w:ascii="Times New Roman" w:eastAsiaTheme="minorEastAsia" w:hAnsi="Times New Roman" w:cs="Times New Roman"/>
          <w:iCs/>
          <w:sz w:val="24"/>
          <w:szCs w:val="24"/>
        </w:rPr>
        <w:t>s</w:t>
      </w:r>
      <w:r w:rsidR="00165158" w:rsidRPr="00BD58C0">
        <w:rPr>
          <w:rFonts w:ascii="Times New Roman" w:eastAsiaTheme="minorEastAsia" w:hAnsi="Times New Roman" w:cs="Times New Roman"/>
          <w:iCs/>
          <w:sz w:val="24"/>
          <w:szCs w:val="24"/>
        </w:rPr>
        <w:t xml:space="preserve"> of raw materials. This is already considered </w:t>
      </w:r>
      <w:r w:rsidR="006F36E9" w:rsidRPr="00BD58C0">
        <w:rPr>
          <w:rFonts w:ascii="Times New Roman" w:eastAsiaTheme="minorEastAsia" w:hAnsi="Times New Roman" w:cs="Times New Roman"/>
          <w:iCs/>
          <w:sz w:val="24"/>
          <w:szCs w:val="24"/>
        </w:rPr>
        <w:t>the</w:t>
      </w:r>
      <w:r w:rsidR="00165158" w:rsidRPr="00BD58C0">
        <w:rPr>
          <w:rFonts w:ascii="Times New Roman" w:eastAsiaTheme="minorEastAsia" w:hAnsi="Times New Roman" w:cs="Times New Roman"/>
          <w:iCs/>
          <w:sz w:val="24"/>
          <w:szCs w:val="24"/>
        </w:rPr>
        <w:t xml:space="preserve"> biggest saving for the implementation of the biogas facilities</w:t>
      </w:r>
      <w:r w:rsidR="00123768" w:rsidRPr="00BD58C0">
        <w:rPr>
          <w:rFonts w:ascii="Times New Roman" w:eastAsiaTheme="minorEastAsia" w:hAnsi="Times New Roman" w:cs="Times New Roman"/>
          <w:iCs/>
          <w:sz w:val="24"/>
          <w:szCs w:val="24"/>
        </w:rPr>
        <w:t>. F</w:t>
      </w:r>
      <w:r w:rsidR="00165158" w:rsidRPr="00BD58C0">
        <w:rPr>
          <w:rFonts w:ascii="Times New Roman" w:eastAsiaTheme="minorEastAsia" w:hAnsi="Times New Roman" w:cs="Times New Roman"/>
          <w:iCs/>
          <w:sz w:val="24"/>
          <w:szCs w:val="24"/>
        </w:rPr>
        <w:t xml:space="preserve">actors that affect the total cost in </w:t>
      </w:r>
      <w:r w:rsidR="006F36E9" w:rsidRPr="00BD58C0">
        <w:rPr>
          <w:rFonts w:ascii="Times New Roman" w:eastAsiaTheme="minorEastAsia" w:hAnsi="Times New Roman" w:cs="Times New Roman"/>
          <w:iCs/>
          <w:sz w:val="24"/>
          <w:szCs w:val="24"/>
        </w:rPr>
        <w:t>the</w:t>
      </w:r>
      <w:r w:rsidR="00165158" w:rsidRPr="00BD58C0">
        <w:rPr>
          <w:rFonts w:ascii="Times New Roman" w:eastAsiaTheme="minorEastAsia" w:hAnsi="Times New Roman" w:cs="Times New Roman"/>
          <w:iCs/>
          <w:sz w:val="24"/>
          <w:szCs w:val="24"/>
        </w:rPr>
        <w:t xml:space="preserve"> range of 50-80% would be the feedstock</w:t>
      </w:r>
      <w:r w:rsidR="00C77C54" w:rsidRPr="00BD58C0">
        <w:rPr>
          <w:rFonts w:ascii="Times New Roman" w:eastAsiaTheme="minorEastAsia" w:hAnsi="Times New Roman" w:cs="Times New Roman"/>
          <w:iCs/>
          <w:sz w:val="24"/>
          <w:szCs w:val="24"/>
        </w:rPr>
        <w:t>,</w:t>
      </w:r>
      <w:r w:rsidR="00165158" w:rsidRPr="00BD58C0">
        <w:rPr>
          <w:rFonts w:ascii="Times New Roman" w:eastAsiaTheme="minorEastAsia" w:hAnsi="Times New Roman" w:cs="Times New Roman"/>
          <w:iCs/>
          <w:sz w:val="24"/>
          <w:szCs w:val="24"/>
        </w:rPr>
        <w:t xml:space="preserve"> </w:t>
      </w:r>
      <w:r w:rsidR="00C77C54" w:rsidRPr="00BD58C0">
        <w:rPr>
          <w:rFonts w:ascii="Times New Roman" w:eastAsiaTheme="minorEastAsia" w:hAnsi="Times New Roman" w:cs="Times New Roman"/>
          <w:iCs/>
          <w:sz w:val="24"/>
          <w:szCs w:val="24"/>
        </w:rPr>
        <w:t xml:space="preserve">according to </w:t>
      </w:r>
      <w:r w:rsidR="0096528B" w:rsidRPr="00BD58C0">
        <w:rPr>
          <w:rFonts w:ascii="Times New Roman" w:eastAsiaTheme="minorEastAsia" w:hAnsi="Times New Roman" w:cs="Times New Roman"/>
          <w:iCs/>
          <w:sz w:val="24"/>
          <w:szCs w:val="24"/>
        </w:rPr>
        <w:t>previous studies</w:t>
      </w:r>
      <w:r w:rsidR="00165158" w:rsidRPr="00BD58C0">
        <w:rPr>
          <w:rFonts w:ascii="Times New Roman" w:eastAsiaTheme="minorEastAsia" w:hAnsi="Times New Roman" w:cs="Times New Roman"/>
          <w:iCs/>
          <w:sz w:val="24"/>
          <w:szCs w:val="24"/>
        </w:rPr>
        <w:t xml:space="preserve"> [</w:t>
      </w:r>
      <w:r w:rsidR="006D5F91" w:rsidRPr="00BD58C0">
        <w:rPr>
          <w:rFonts w:ascii="Times New Roman" w:eastAsiaTheme="minorEastAsia" w:hAnsi="Times New Roman" w:cs="Times New Roman"/>
          <w:iCs/>
          <w:sz w:val="24"/>
          <w:szCs w:val="24"/>
        </w:rPr>
        <w:t>3</w:t>
      </w:r>
      <w:r w:rsidR="00003F42" w:rsidRPr="00BD58C0">
        <w:rPr>
          <w:rFonts w:ascii="Times New Roman" w:eastAsiaTheme="minorEastAsia" w:hAnsi="Times New Roman" w:cs="Times New Roman"/>
          <w:iCs/>
          <w:sz w:val="24"/>
          <w:szCs w:val="24"/>
        </w:rPr>
        <w:t>5</w:t>
      </w:r>
      <w:r w:rsidR="00165158" w:rsidRPr="00BD58C0">
        <w:rPr>
          <w:rFonts w:ascii="Times New Roman" w:eastAsiaTheme="minorEastAsia" w:hAnsi="Times New Roman" w:cs="Times New Roman"/>
          <w:iCs/>
          <w:sz w:val="24"/>
          <w:szCs w:val="24"/>
        </w:rPr>
        <w:t>,</w:t>
      </w:r>
      <w:r w:rsidR="00D07F48" w:rsidRPr="00BD58C0">
        <w:rPr>
          <w:rFonts w:ascii="Times New Roman" w:eastAsiaTheme="minorEastAsia" w:hAnsi="Times New Roman" w:cs="Times New Roman"/>
          <w:iCs/>
          <w:sz w:val="24"/>
          <w:szCs w:val="24"/>
        </w:rPr>
        <w:t>4</w:t>
      </w:r>
      <w:r w:rsidR="00003F42" w:rsidRPr="00BD58C0">
        <w:rPr>
          <w:rFonts w:ascii="Times New Roman" w:eastAsiaTheme="minorEastAsia" w:hAnsi="Times New Roman" w:cs="Times New Roman"/>
          <w:iCs/>
          <w:sz w:val="24"/>
          <w:szCs w:val="24"/>
        </w:rPr>
        <w:t>7</w:t>
      </w:r>
      <w:r w:rsidR="00165158" w:rsidRPr="00BD58C0">
        <w:rPr>
          <w:rFonts w:ascii="Times New Roman" w:eastAsiaTheme="minorEastAsia" w:hAnsi="Times New Roman" w:cs="Times New Roman"/>
          <w:iCs/>
          <w:sz w:val="24"/>
          <w:szCs w:val="24"/>
        </w:rPr>
        <w:t>,</w:t>
      </w:r>
      <w:r w:rsidR="00D07F48" w:rsidRPr="00BD58C0">
        <w:rPr>
          <w:rFonts w:ascii="Times New Roman" w:eastAsiaTheme="minorEastAsia" w:hAnsi="Times New Roman" w:cs="Times New Roman"/>
          <w:iCs/>
          <w:sz w:val="24"/>
          <w:szCs w:val="24"/>
        </w:rPr>
        <w:t>4</w:t>
      </w:r>
      <w:r w:rsidR="00003F42" w:rsidRPr="00BD58C0">
        <w:rPr>
          <w:rFonts w:ascii="Times New Roman" w:eastAsiaTheme="minorEastAsia" w:hAnsi="Times New Roman" w:cs="Times New Roman"/>
          <w:iCs/>
          <w:sz w:val="24"/>
          <w:szCs w:val="24"/>
        </w:rPr>
        <w:t>8</w:t>
      </w:r>
      <w:r w:rsidR="00165158" w:rsidRPr="00BD58C0">
        <w:rPr>
          <w:rFonts w:ascii="Times New Roman" w:eastAsiaTheme="minorEastAsia" w:hAnsi="Times New Roman" w:cs="Times New Roman"/>
          <w:iCs/>
          <w:sz w:val="24"/>
          <w:szCs w:val="24"/>
        </w:rPr>
        <w:t>,</w:t>
      </w:r>
      <w:r w:rsidR="00D07F48" w:rsidRPr="00BD58C0">
        <w:rPr>
          <w:rFonts w:ascii="Times New Roman" w:eastAsiaTheme="minorEastAsia" w:hAnsi="Times New Roman" w:cs="Times New Roman"/>
          <w:iCs/>
          <w:sz w:val="24"/>
          <w:szCs w:val="24"/>
        </w:rPr>
        <w:t>5</w:t>
      </w:r>
      <w:r w:rsidR="00003F42" w:rsidRPr="00BD58C0">
        <w:rPr>
          <w:rFonts w:ascii="Times New Roman" w:eastAsiaTheme="minorEastAsia" w:hAnsi="Times New Roman" w:cs="Times New Roman"/>
          <w:iCs/>
          <w:sz w:val="24"/>
          <w:szCs w:val="24"/>
        </w:rPr>
        <w:t>6</w:t>
      </w:r>
      <w:r w:rsidR="00165158" w:rsidRPr="00BD58C0">
        <w:rPr>
          <w:rFonts w:ascii="Times New Roman" w:eastAsiaTheme="minorEastAsia" w:hAnsi="Times New Roman" w:cs="Times New Roman"/>
          <w:iCs/>
          <w:sz w:val="24"/>
          <w:szCs w:val="24"/>
        </w:rPr>
        <w:t xml:space="preserve">]. Moreover, there is no chemical or catalyst added to the POME waste for the production of biogas based on the information obtained directly from both </w:t>
      </w:r>
      <w:r w:rsidR="00B21804" w:rsidRPr="00BD58C0">
        <w:rPr>
          <w:rFonts w:ascii="Times New Roman" w:eastAsiaTheme="minorEastAsia" w:hAnsi="Times New Roman" w:cs="Times New Roman"/>
          <w:iCs/>
          <w:sz w:val="24"/>
          <w:szCs w:val="24"/>
        </w:rPr>
        <w:t>POMs</w:t>
      </w:r>
      <w:r w:rsidR="00165158" w:rsidRPr="00BD58C0">
        <w:rPr>
          <w:rFonts w:ascii="Times New Roman" w:eastAsiaTheme="minorEastAsia" w:hAnsi="Times New Roman" w:cs="Times New Roman"/>
          <w:iCs/>
          <w:sz w:val="24"/>
          <w:szCs w:val="24"/>
        </w:rPr>
        <w:t xml:space="preserve">. </w:t>
      </w:r>
      <w:r w:rsidR="00B86D96" w:rsidRPr="00BD58C0">
        <w:rPr>
          <w:rFonts w:ascii="Times New Roman" w:eastAsiaTheme="minorEastAsia" w:hAnsi="Times New Roman" w:cs="Times New Roman"/>
          <w:iCs/>
          <w:sz w:val="24"/>
          <w:szCs w:val="24"/>
        </w:rPr>
        <w:t>A</w:t>
      </w:r>
      <w:r w:rsidR="009D2D64" w:rsidRPr="00BD58C0">
        <w:rPr>
          <w:rFonts w:ascii="Times New Roman" w:eastAsiaTheme="minorEastAsia" w:hAnsi="Times New Roman" w:cs="Times New Roman"/>
          <w:iCs/>
          <w:sz w:val="24"/>
          <w:szCs w:val="24"/>
        </w:rPr>
        <w:t xml:space="preserve">nnual </w:t>
      </w:r>
      <w:r w:rsidR="00F462C3" w:rsidRPr="00BD58C0">
        <w:rPr>
          <w:rFonts w:ascii="Times New Roman" w:eastAsiaTheme="minorEastAsia" w:hAnsi="Times New Roman" w:cs="Times New Roman"/>
          <w:iCs/>
          <w:sz w:val="24"/>
          <w:szCs w:val="24"/>
        </w:rPr>
        <w:t>capital</w:t>
      </w:r>
      <w:r w:rsidR="00D45C01" w:rsidRPr="00BD58C0">
        <w:rPr>
          <w:rFonts w:ascii="Times New Roman" w:eastAsiaTheme="minorEastAsia" w:hAnsi="Times New Roman" w:cs="Times New Roman"/>
          <w:iCs/>
          <w:sz w:val="24"/>
          <w:szCs w:val="24"/>
        </w:rPr>
        <w:t xml:space="preserve"> and operat</w:t>
      </w:r>
      <w:r w:rsidR="00370617" w:rsidRPr="00BD58C0">
        <w:rPr>
          <w:rFonts w:ascii="Times New Roman" w:eastAsiaTheme="minorEastAsia" w:hAnsi="Times New Roman" w:cs="Times New Roman"/>
          <w:iCs/>
          <w:sz w:val="24"/>
          <w:szCs w:val="24"/>
        </w:rPr>
        <w:t>ional</w:t>
      </w:r>
      <w:r w:rsidR="009D2D64" w:rsidRPr="00BD58C0">
        <w:rPr>
          <w:rFonts w:ascii="Times New Roman" w:eastAsiaTheme="minorEastAsia" w:hAnsi="Times New Roman" w:cs="Times New Roman"/>
          <w:iCs/>
          <w:sz w:val="24"/>
          <w:szCs w:val="24"/>
        </w:rPr>
        <w:t xml:space="preserve"> costs </w:t>
      </w:r>
      <w:r w:rsidR="00460407" w:rsidRPr="00BD58C0">
        <w:rPr>
          <w:rFonts w:ascii="Times New Roman" w:eastAsiaTheme="minorEastAsia" w:hAnsi="Times New Roman" w:cs="Times New Roman"/>
          <w:iCs/>
          <w:sz w:val="24"/>
          <w:szCs w:val="24"/>
        </w:rPr>
        <w:t xml:space="preserve">for both </w:t>
      </w:r>
      <w:r w:rsidR="009F1AA4" w:rsidRPr="00BD58C0">
        <w:rPr>
          <w:rFonts w:ascii="Times New Roman" w:eastAsiaTheme="minorEastAsia" w:hAnsi="Times New Roman" w:cs="Times New Roman"/>
          <w:iCs/>
          <w:sz w:val="24"/>
          <w:szCs w:val="24"/>
        </w:rPr>
        <w:t>systems</w:t>
      </w:r>
      <w:r w:rsidR="00460407" w:rsidRPr="00BD58C0">
        <w:rPr>
          <w:rFonts w:ascii="Times New Roman" w:eastAsiaTheme="minorEastAsia" w:hAnsi="Times New Roman" w:cs="Times New Roman"/>
          <w:iCs/>
          <w:sz w:val="24"/>
          <w:szCs w:val="24"/>
        </w:rPr>
        <w:t xml:space="preserve"> were obtained directly from the mill representatives. </w:t>
      </w:r>
      <w:r w:rsidR="00CB66EC" w:rsidRPr="00BD58C0">
        <w:rPr>
          <w:rFonts w:ascii="Times New Roman" w:eastAsiaTheme="minorEastAsia" w:hAnsi="Times New Roman" w:cs="Times New Roman"/>
          <w:iCs/>
          <w:sz w:val="24"/>
          <w:szCs w:val="24"/>
        </w:rPr>
        <w:t>Lack of data availability on the annual operati</w:t>
      </w:r>
      <w:r w:rsidR="00370617" w:rsidRPr="00BD58C0">
        <w:rPr>
          <w:rFonts w:ascii="Times New Roman" w:eastAsiaTheme="minorEastAsia" w:hAnsi="Times New Roman" w:cs="Times New Roman"/>
          <w:iCs/>
          <w:sz w:val="24"/>
          <w:szCs w:val="24"/>
        </w:rPr>
        <w:t>onal</w:t>
      </w:r>
      <w:r w:rsidR="00CB66EC" w:rsidRPr="00BD58C0">
        <w:rPr>
          <w:rFonts w:ascii="Times New Roman" w:eastAsiaTheme="minorEastAsia" w:hAnsi="Times New Roman" w:cs="Times New Roman"/>
          <w:iCs/>
          <w:sz w:val="24"/>
          <w:szCs w:val="24"/>
        </w:rPr>
        <w:t xml:space="preserve"> costs of the </w:t>
      </w:r>
      <w:r w:rsidR="00CB66EC" w:rsidRPr="00BD58C0">
        <w:rPr>
          <w:rFonts w:ascii="Times New Roman" w:eastAsiaTheme="minorEastAsia" w:hAnsi="Times New Roman" w:cs="Times New Roman"/>
          <w:iCs/>
          <w:sz w:val="24"/>
          <w:szCs w:val="24"/>
        </w:rPr>
        <w:lastRenderedPageBreak/>
        <w:t>CSTR system led to assum</w:t>
      </w:r>
      <w:r w:rsidR="00011C51" w:rsidRPr="00BD58C0">
        <w:rPr>
          <w:rFonts w:ascii="Times New Roman" w:eastAsiaTheme="minorEastAsia" w:hAnsi="Times New Roman" w:cs="Times New Roman"/>
          <w:iCs/>
          <w:sz w:val="24"/>
          <w:szCs w:val="24"/>
        </w:rPr>
        <w:t>ption of</w:t>
      </w:r>
      <w:r w:rsidR="00CB66EC" w:rsidRPr="00BD58C0">
        <w:rPr>
          <w:rFonts w:ascii="Times New Roman" w:eastAsiaTheme="minorEastAsia" w:hAnsi="Times New Roman" w:cs="Times New Roman"/>
          <w:iCs/>
          <w:sz w:val="24"/>
          <w:szCs w:val="24"/>
        </w:rPr>
        <w:t xml:space="preserve"> costs amounting to 5% of the total capital cost, in line with findings from [</w:t>
      </w:r>
      <w:r w:rsidR="00AF6B9A" w:rsidRPr="00BD58C0">
        <w:rPr>
          <w:rFonts w:ascii="Times New Roman" w:eastAsiaTheme="minorEastAsia" w:hAnsi="Times New Roman" w:cs="Times New Roman"/>
          <w:iCs/>
          <w:sz w:val="24"/>
          <w:szCs w:val="24"/>
        </w:rPr>
        <w:t>20</w:t>
      </w:r>
      <w:r w:rsidR="00C953D5" w:rsidRPr="00BD58C0">
        <w:rPr>
          <w:rFonts w:ascii="Times New Roman" w:eastAsiaTheme="minorEastAsia" w:hAnsi="Times New Roman" w:cs="Times New Roman"/>
          <w:iCs/>
          <w:sz w:val="24"/>
          <w:szCs w:val="24"/>
        </w:rPr>
        <w:t>]</w:t>
      </w:r>
      <w:r w:rsidR="009D2D64" w:rsidRPr="00BD58C0">
        <w:rPr>
          <w:rFonts w:ascii="Times New Roman" w:eastAsiaTheme="minorEastAsia" w:hAnsi="Times New Roman" w:cs="Times New Roman"/>
          <w:iCs/>
          <w:sz w:val="24"/>
          <w:szCs w:val="24"/>
        </w:rPr>
        <w:t>.</w:t>
      </w:r>
      <w:r w:rsidR="00D72C4E" w:rsidRPr="00BD58C0">
        <w:rPr>
          <w:rFonts w:ascii="Times New Roman" w:eastAsiaTheme="minorEastAsia" w:hAnsi="Times New Roman" w:cs="Times New Roman"/>
          <w:iCs/>
          <w:sz w:val="24"/>
          <w:szCs w:val="24"/>
        </w:rPr>
        <w:t xml:space="preserve"> </w:t>
      </w:r>
      <w:r w:rsidR="00C77C54" w:rsidRPr="00BD58C0">
        <w:rPr>
          <w:rFonts w:ascii="Times New Roman" w:eastAsiaTheme="minorEastAsia" w:hAnsi="Times New Roman" w:cs="Times New Roman"/>
          <w:iCs/>
          <w:sz w:val="24"/>
          <w:szCs w:val="24"/>
        </w:rPr>
        <w:t>C</w:t>
      </w:r>
      <w:r w:rsidR="00D72C4E" w:rsidRPr="00BD58C0">
        <w:rPr>
          <w:rFonts w:ascii="Times New Roman" w:eastAsiaTheme="minorEastAsia" w:hAnsi="Times New Roman" w:cs="Times New Roman"/>
          <w:iCs/>
          <w:sz w:val="24"/>
          <w:szCs w:val="24"/>
        </w:rPr>
        <w:t xml:space="preserve">omparison between </w:t>
      </w:r>
      <w:r w:rsidR="00460407" w:rsidRPr="00BD58C0">
        <w:rPr>
          <w:rFonts w:ascii="Times New Roman" w:eastAsiaTheme="minorEastAsia" w:hAnsi="Times New Roman" w:cs="Times New Roman"/>
          <w:iCs/>
          <w:sz w:val="24"/>
          <w:szCs w:val="24"/>
        </w:rPr>
        <w:t xml:space="preserve">the CLB and CSTR </w:t>
      </w:r>
      <w:r w:rsidR="00C77C54" w:rsidRPr="00BD58C0">
        <w:rPr>
          <w:rFonts w:ascii="Times New Roman" w:eastAsiaTheme="minorEastAsia" w:hAnsi="Times New Roman" w:cs="Times New Roman"/>
          <w:iCs/>
          <w:sz w:val="24"/>
          <w:szCs w:val="24"/>
        </w:rPr>
        <w:t>shows</w:t>
      </w:r>
      <w:r w:rsidR="00D72C4E" w:rsidRPr="00BD58C0">
        <w:rPr>
          <w:rFonts w:ascii="Times New Roman" w:eastAsiaTheme="minorEastAsia" w:hAnsi="Times New Roman" w:cs="Times New Roman"/>
          <w:iCs/>
          <w:sz w:val="24"/>
          <w:szCs w:val="24"/>
        </w:rPr>
        <w:t xml:space="preserve"> </w:t>
      </w:r>
      <w:r w:rsidR="00460407" w:rsidRPr="00BD58C0">
        <w:rPr>
          <w:rFonts w:ascii="Times New Roman" w:eastAsiaTheme="minorEastAsia" w:hAnsi="Times New Roman" w:cs="Times New Roman"/>
          <w:iCs/>
          <w:sz w:val="24"/>
          <w:szCs w:val="24"/>
        </w:rPr>
        <w:t>the CLB</w:t>
      </w:r>
      <w:r w:rsidR="00B36D5C" w:rsidRPr="00BD58C0">
        <w:rPr>
          <w:rFonts w:ascii="Times New Roman" w:eastAsiaTheme="minorEastAsia" w:hAnsi="Times New Roman" w:cs="Times New Roman"/>
          <w:iCs/>
          <w:sz w:val="24"/>
          <w:szCs w:val="24"/>
        </w:rPr>
        <w:t xml:space="preserve"> </w:t>
      </w:r>
      <w:r w:rsidR="006C4B61" w:rsidRPr="00BD58C0">
        <w:rPr>
          <w:rFonts w:ascii="Times New Roman" w:eastAsiaTheme="minorEastAsia" w:hAnsi="Times New Roman" w:cs="Times New Roman"/>
          <w:iCs/>
          <w:sz w:val="24"/>
          <w:szCs w:val="24"/>
        </w:rPr>
        <w:t xml:space="preserve">has </w:t>
      </w:r>
      <w:r w:rsidR="00B96B75" w:rsidRPr="00BD58C0">
        <w:rPr>
          <w:rFonts w:ascii="Times New Roman" w:eastAsiaTheme="minorEastAsia" w:hAnsi="Times New Roman" w:cs="Times New Roman"/>
          <w:iCs/>
          <w:sz w:val="24"/>
          <w:szCs w:val="24"/>
        </w:rPr>
        <w:t xml:space="preserve">the </w:t>
      </w:r>
      <w:r w:rsidR="006C4B61" w:rsidRPr="00BD58C0">
        <w:rPr>
          <w:rFonts w:ascii="Times New Roman" w:eastAsiaTheme="minorEastAsia" w:hAnsi="Times New Roman" w:cs="Times New Roman"/>
          <w:iCs/>
          <w:sz w:val="24"/>
          <w:szCs w:val="24"/>
        </w:rPr>
        <w:t>higher annual operati</w:t>
      </w:r>
      <w:r w:rsidR="00370617" w:rsidRPr="00BD58C0">
        <w:rPr>
          <w:rFonts w:ascii="Times New Roman" w:eastAsiaTheme="minorEastAsia" w:hAnsi="Times New Roman" w:cs="Times New Roman"/>
          <w:iCs/>
          <w:sz w:val="24"/>
          <w:szCs w:val="24"/>
        </w:rPr>
        <w:t>onal</w:t>
      </w:r>
      <w:r w:rsidR="006C4B61" w:rsidRPr="00BD58C0">
        <w:rPr>
          <w:rFonts w:ascii="Times New Roman" w:eastAsiaTheme="minorEastAsia" w:hAnsi="Times New Roman" w:cs="Times New Roman"/>
          <w:iCs/>
          <w:sz w:val="24"/>
          <w:szCs w:val="24"/>
        </w:rPr>
        <w:t xml:space="preserve"> cost. </w:t>
      </w:r>
      <w:r w:rsidR="00D72C4E" w:rsidRPr="00BD58C0">
        <w:rPr>
          <w:rFonts w:ascii="Times New Roman" w:eastAsiaTheme="minorEastAsia" w:hAnsi="Times New Roman" w:cs="Times New Roman"/>
          <w:iCs/>
          <w:sz w:val="24"/>
          <w:szCs w:val="24"/>
        </w:rPr>
        <w:t>However, the result is still reliable</w:t>
      </w:r>
      <w:r w:rsidR="00C77C54" w:rsidRPr="00BD58C0">
        <w:rPr>
          <w:rFonts w:ascii="Times New Roman" w:eastAsiaTheme="minorEastAsia" w:hAnsi="Times New Roman" w:cs="Times New Roman"/>
          <w:iCs/>
          <w:sz w:val="24"/>
          <w:szCs w:val="24"/>
        </w:rPr>
        <w:t>.</w:t>
      </w:r>
      <w:r w:rsidR="00D72C4E" w:rsidRPr="00BD58C0">
        <w:rPr>
          <w:rFonts w:ascii="Times New Roman" w:eastAsiaTheme="minorEastAsia" w:hAnsi="Times New Roman" w:cs="Times New Roman"/>
          <w:iCs/>
          <w:sz w:val="24"/>
          <w:szCs w:val="24"/>
        </w:rPr>
        <w:t xml:space="preserve"> </w:t>
      </w:r>
      <w:r w:rsidR="00C77C54" w:rsidRPr="00BD58C0">
        <w:rPr>
          <w:rFonts w:ascii="Times New Roman" w:eastAsiaTheme="minorEastAsia" w:hAnsi="Times New Roman" w:cs="Times New Roman"/>
          <w:iCs/>
          <w:sz w:val="24"/>
          <w:szCs w:val="24"/>
        </w:rPr>
        <w:t>T</w:t>
      </w:r>
      <w:r w:rsidR="00D72C4E" w:rsidRPr="00BD58C0">
        <w:rPr>
          <w:rFonts w:ascii="Times New Roman" w:eastAsiaTheme="minorEastAsia" w:hAnsi="Times New Roman" w:cs="Times New Roman"/>
          <w:iCs/>
          <w:sz w:val="24"/>
          <w:szCs w:val="24"/>
        </w:rPr>
        <w:t xml:space="preserve">he representative </w:t>
      </w:r>
      <w:r w:rsidR="006C4B61" w:rsidRPr="00BD58C0">
        <w:rPr>
          <w:rFonts w:ascii="Times New Roman" w:eastAsiaTheme="minorEastAsia" w:hAnsi="Times New Roman" w:cs="Times New Roman"/>
          <w:iCs/>
          <w:sz w:val="24"/>
          <w:szCs w:val="24"/>
        </w:rPr>
        <w:t>from</w:t>
      </w:r>
      <w:r w:rsidR="00D72C4E" w:rsidRPr="00BD58C0">
        <w:rPr>
          <w:rFonts w:ascii="Times New Roman" w:eastAsiaTheme="minorEastAsia" w:hAnsi="Times New Roman" w:cs="Times New Roman"/>
          <w:iCs/>
          <w:sz w:val="24"/>
          <w:szCs w:val="24"/>
        </w:rPr>
        <w:t xml:space="preserve"> </w:t>
      </w:r>
      <w:r w:rsidR="00E65AB7" w:rsidRPr="00BD58C0">
        <w:rPr>
          <w:rFonts w:ascii="Times New Roman" w:eastAsiaTheme="minorEastAsia" w:hAnsi="Times New Roman" w:cs="Times New Roman"/>
          <w:iCs/>
          <w:sz w:val="24"/>
          <w:szCs w:val="24"/>
        </w:rPr>
        <w:t>POM</w:t>
      </w:r>
      <w:r w:rsidR="006C4B61" w:rsidRPr="00BD58C0">
        <w:rPr>
          <w:rFonts w:ascii="Times New Roman" w:eastAsiaTheme="minorEastAsia" w:hAnsi="Times New Roman" w:cs="Times New Roman"/>
          <w:iCs/>
          <w:sz w:val="24"/>
          <w:szCs w:val="24"/>
        </w:rPr>
        <w:t xml:space="preserve"> 2 </w:t>
      </w:r>
      <w:r w:rsidR="00D345A6" w:rsidRPr="00BD58C0">
        <w:rPr>
          <w:rFonts w:ascii="Times New Roman" w:eastAsiaTheme="minorEastAsia" w:hAnsi="Times New Roman" w:cs="Times New Roman"/>
          <w:iCs/>
          <w:sz w:val="24"/>
          <w:szCs w:val="24"/>
        </w:rPr>
        <w:t>mentioned that the electricity supply for the utilities is coming from the</w:t>
      </w:r>
      <w:r w:rsidR="00723614">
        <w:rPr>
          <w:rFonts w:ascii="Times New Roman" w:eastAsiaTheme="minorEastAsia" w:hAnsi="Times New Roman" w:cs="Times New Roman"/>
          <w:iCs/>
          <w:sz w:val="24"/>
          <w:szCs w:val="24"/>
        </w:rPr>
        <w:t xml:space="preserve"> POM’s</w:t>
      </w:r>
      <w:r w:rsidR="00D345A6" w:rsidRPr="00BD58C0">
        <w:rPr>
          <w:rFonts w:ascii="Times New Roman" w:eastAsiaTheme="minorEastAsia" w:hAnsi="Times New Roman" w:cs="Times New Roman"/>
          <w:iCs/>
          <w:sz w:val="24"/>
          <w:szCs w:val="24"/>
        </w:rPr>
        <w:t xml:space="preserve"> own gas engine. </w:t>
      </w:r>
      <w:r w:rsidR="00E65AB7" w:rsidRPr="00BD58C0">
        <w:rPr>
          <w:rFonts w:ascii="Times New Roman" w:eastAsiaTheme="minorEastAsia" w:hAnsi="Times New Roman" w:cs="Times New Roman"/>
          <w:iCs/>
          <w:sz w:val="24"/>
          <w:szCs w:val="24"/>
        </w:rPr>
        <w:t>POM</w:t>
      </w:r>
      <w:r w:rsidR="0077352E" w:rsidRPr="00BD58C0">
        <w:rPr>
          <w:rFonts w:ascii="Times New Roman" w:eastAsiaTheme="minorEastAsia" w:hAnsi="Times New Roman" w:cs="Times New Roman"/>
          <w:iCs/>
          <w:sz w:val="24"/>
          <w:szCs w:val="24"/>
        </w:rPr>
        <w:t xml:space="preserve"> </w:t>
      </w:r>
      <w:r w:rsidR="00D345A6" w:rsidRPr="00BD58C0">
        <w:rPr>
          <w:rFonts w:ascii="Times New Roman" w:eastAsiaTheme="minorEastAsia" w:hAnsi="Times New Roman" w:cs="Times New Roman"/>
          <w:iCs/>
          <w:sz w:val="24"/>
          <w:szCs w:val="24"/>
        </w:rPr>
        <w:t>2 has two gas engines</w:t>
      </w:r>
      <w:r w:rsidR="009278BA" w:rsidRPr="00BD58C0">
        <w:rPr>
          <w:rFonts w:ascii="Times New Roman" w:eastAsiaTheme="minorEastAsia" w:hAnsi="Times New Roman" w:cs="Times New Roman"/>
          <w:iCs/>
          <w:sz w:val="24"/>
          <w:szCs w:val="24"/>
        </w:rPr>
        <w:t>,</w:t>
      </w:r>
      <w:r w:rsidR="00D345A6" w:rsidRPr="00BD58C0">
        <w:rPr>
          <w:rFonts w:ascii="Times New Roman" w:eastAsiaTheme="minorEastAsia" w:hAnsi="Times New Roman" w:cs="Times New Roman"/>
          <w:iCs/>
          <w:sz w:val="24"/>
          <w:szCs w:val="24"/>
        </w:rPr>
        <w:t xml:space="preserve"> where one </w:t>
      </w:r>
      <w:r w:rsidR="000D135D" w:rsidRPr="00BD58C0">
        <w:rPr>
          <w:rFonts w:ascii="Times New Roman" w:eastAsiaTheme="minorEastAsia" w:hAnsi="Times New Roman" w:cs="Times New Roman"/>
          <w:iCs/>
          <w:sz w:val="24"/>
          <w:szCs w:val="24"/>
        </w:rPr>
        <w:t>engine</w:t>
      </w:r>
      <w:r w:rsidR="00D345A6" w:rsidRPr="00BD58C0">
        <w:rPr>
          <w:rFonts w:ascii="Times New Roman" w:eastAsiaTheme="minorEastAsia" w:hAnsi="Times New Roman" w:cs="Times New Roman"/>
          <w:iCs/>
          <w:sz w:val="24"/>
          <w:szCs w:val="24"/>
        </w:rPr>
        <w:t xml:space="preserve"> supplies electricity to the grid</w:t>
      </w:r>
      <w:r w:rsidR="0011464F" w:rsidRPr="00BD58C0">
        <w:rPr>
          <w:rFonts w:ascii="Times New Roman" w:eastAsiaTheme="minorEastAsia" w:hAnsi="Times New Roman" w:cs="Times New Roman"/>
          <w:iCs/>
          <w:sz w:val="24"/>
          <w:szCs w:val="24"/>
        </w:rPr>
        <w:t>,</w:t>
      </w:r>
      <w:r w:rsidR="00D345A6" w:rsidRPr="00BD58C0">
        <w:rPr>
          <w:rFonts w:ascii="Times New Roman" w:eastAsiaTheme="minorEastAsia" w:hAnsi="Times New Roman" w:cs="Times New Roman"/>
          <w:iCs/>
          <w:sz w:val="24"/>
          <w:szCs w:val="24"/>
        </w:rPr>
        <w:t xml:space="preserve"> while the </w:t>
      </w:r>
      <w:r w:rsidR="00CA116D" w:rsidRPr="00BD58C0">
        <w:rPr>
          <w:rFonts w:ascii="Times New Roman" w:eastAsiaTheme="minorEastAsia" w:hAnsi="Times New Roman" w:cs="Times New Roman"/>
          <w:iCs/>
          <w:sz w:val="24"/>
          <w:szCs w:val="24"/>
        </w:rPr>
        <w:t>other</w:t>
      </w:r>
      <w:r w:rsidR="00D345A6" w:rsidRPr="00BD58C0">
        <w:rPr>
          <w:rFonts w:ascii="Times New Roman" w:eastAsiaTheme="minorEastAsia" w:hAnsi="Times New Roman" w:cs="Times New Roman"/>
          <w:iCs/>
          <w:sz w:val="24"/>
          <w:szCs w:val="24"/>
        </w:rPr>
        <w:t xml:space="preserve"> supplies electricity for the mill</w:t>
      </w:r>
      <w:r w:rsidR="00C77C54" w:rsidRPr="00BD58C0">
        <w:rPr>
          <w:rFonts w:ascii="Times New Roman" w:eastAsiaTheme="minorEastAsia" w:hAnsi="Times New Roman" w:cs="Times New Roman"/>
          <w:iCs/>
          <w:sz w:val="24"/>
          <w:szCs w:val="24"/>
        </w:rPr>
        <w:t xml:space="preserve"> to use</w:t>
      </w:r>
      <w:r w:rsidR="00D345A6" w:rsidRPr="00BD58C0">
        <w:rPr>
          <w:rFonts w:ascii="Times New Roman" w:eastAsiaTheme="minorEastAsia" w:hAnsi="Times New Roman" w:cs="Times New Roman"/>
          <w:iCs/>
          <w:sz w:val="24"/>
          <w:szCs w:val="24"/>
        </w:rPr>
        <w:t xml:space="preserve">. </w:t>
      </w:r>
      <w:r w:rsidR="00A17A5D" w:rsidRPr="00BD58C0">
        <w:rPr>
          <w:rFonts w:ascii="Times New Roman" w:eastAsiaTheme="minorEastAsia" w:hAnsi="Times New Roman" w:cs="Times New Roman"/>
          <w:iCs/>
          <w:sz w:val="24"/>
          <w:szCs w:val="24"/>
        </w:rPr>
        <w:t xml:space="preserve">Thus, there is no </w:t>
      </w:r>
      <w:r w:rsidR="00C77C54" w:rsidRPr="00BD58C0">
        <w:rPr>
          <w:rFonts w:ascii="Times New Roman" w:eastAsiaTheme="minorEastAsia" w:hAnsi="Times New Roman" w:cs="Times New Roman"/>
          <w:iCs/>
          <w:sz w:val="24"/>
          <w:szCs w:val="24"/>
        </w:rPr>
        <w:t xml:space="preserve">need </w:t>
      </w:r>
      <w:r w:rsidR="00A17A5D" w:rsidRPr="00BD58C0">
        <w:rPr>
          <w:rFonts w:ascii="Times New Roman" w:eastAsiaTheme="minorEastAsia" w:hAnsi="Times New Roman" w:cs="Times New Roman"/>
          <w:iCs/>
          <w:sz w:val="24"/>
          <w:szCs w:val="24"/>
        </w:rPr>
        <w:t>to purchase electricity from the grid</w:t>
      </w:r>
      <w:r w:rsidR="009B7515" w:rsidRPr="00BD58C0">
        <w:rPr>
          <w:rFonts w:ascii="Times New Roman" w:eastAsiaTheme="minorEastAsia" w:hAnsi="Times New Roman" w:cs="Times New Roman"/>
          <w:iCs/>
          <w:sz w:val="24"/>
          <w:szCs w:val="24"/>
        </w:rPr>
        <w:t xml:space="preserve"> unless the engine is under maintenance.</w:t>
      </w:r>
    </w:p>
    <w:p w14:paraId="1B2464E0" w14:textId="3A7238F3" w:rsidR="0002411B" w:rsidRPr="00BD58C0" w:rsidRDefault="00165158" w:rsidP="00944210">
      <w:pPr>
        <w:spacing w:after="0" w:line="360" w:lineRule="auto"/>
        <w:jc w:val="both"/>
        <w:rPr>
          <w:rFonts w:ascii="Times New Roman" w:hAnsi="Times New Roman" w:cs="Times New Roman"/>
          <w:sz w:val="24"/>
          <w:szCs w:val="24"/>
        </w:rPr>
      </w:pPr>
      <w:r w:rsidRPr="00BD58C0">
        <w:rPr>
          <w:rFonts w:ascii="Times New Roman" w:eastAsiaTheme="minorEastAsia" w:hAnsi="Times New Roman" w:cs="Times New Roman"/>
          <w:iCs/>
          <w:sz w:val="24"/>
          <w:szCs w:val="24"/>
        </w:rPr>
        <w:tab/>
      </w:r>
      <w:r w:rsidR="00C14B1B" w:rsidRPr="00BD58C0">
        <w:rPr>
          <w:rFonts w:ascii="Times New Roman" w:eastAsiaTheme="minorEastAsia" w:hAnsi="Times New Roman" w:cs="Times New Roman"/>
          <w:iCs/>
          <w:sz w:val="24"/>
          <w:szCs w:val="24"/>
        </w:rPr>
        <w:t xml:space="preserve">Currently, revenues for both </w:t>
      </w:r>
      <w:r w:rsidR="00B21804" w:rsidRPr="00BD58C0">
        <w:rPr>
          <w:rFonts w:ascii="Times New Roman" w:hAnsi="Times New Roman" w:cs="Times New Roman"/>
          <w:sz w:val="24"/>
          <w:szCs w:val="24"/>
        </w:rPr>
        <w:t>POMs</w:t>
      </w:r>
      <w:r w:rsidR="00C14B1B" w:rsidRPr="00BD58C0">
        <w:rPr>
          <w:rFonts w:ascii="Times New Roman" w:eastAsiaTheme="minorEastAsia" w:hAnsi="Times New Roman" w:cs="Times New Roman"/>
          <w:iCs/>
          <w:sz w:val="24"/>
          <w:szCs w:val="24"/>
        </w:rPr>
        <w:t xml:space="preserve"> come from the sales of electricity to the grid.</w:t>
      </w:r>
      <w:r w:rsidRPr="00BD58C0">
        <w:rPr>
          <w:rFonts w:ascii="Times New Roman" w:eastAsiaTheme="minorEastAsia" w:hAnsi="Times New Roman" w:cs="Times New Roman"/>
          <w:iCs/>
          <w:sz w:val="24"/>
          <w:szCs w:val="24"/>
        </w:rPr>
        <w:t xml:space="preserve"> The electricity generated and supplied to the national grid by </w:t>
      </w:r>
      <w:r w:rsidR="00D91847" w:rsidRPr="00BD58C0">
        <w:rPr>
          <w:rFonts w:ascii="Times New Roman" w:eastAsiaTheme="minorEastAsia" w:hAnsi="Times New Roman" w:cs="Times New Roman"/>
          <w:iCs/>
          <w:sz w:val="24"/>
          <w:szCs w:val="24"/>
        </w:rPr>
        <w:t xml:space="preserve">both </w:t>
      </w:r>
      <w:r w:rsidR="00B21804" w:rsidRPr="00BD58C0">
        <w:rPr>
          <w:rFonts w:ascii="Times New Roman" w:hAnsi="Times New Roman" w:cs="Times New Roman"/>
          <w:sz w:val="24"/>
          <w:szCs w:val="24"/>
        </w:rPr>
        <w:t>POMs</w:t>
      </w:r>
      <w:r w:rsidR="00BD0C33" w:rsidRPr="00BD58C0">
        <w:rPr>
          <w:rFonts w:ascii="Times New Roman" w:hAnsi="Times New Roman" w:cs="Times New Roman"/>
          <w:sz w:val="24"/>
          <w:szCs w:val="24"/>
        </w:rPr>
        <w:t xml:space="preserve"> </w:t>
      </w:r>
      <w:r w:rsidRPr="00BD58C0">
        <w:rPr>
          <w:rFonts w:ascii="Times New Roman" w:eastAsiaTheme="minorEastAsia" w:hAnsi="Times New Roman" w:cs="Times New Roman"/>
          <w:iCs/>
          <w:sz w:val="24"/>
          <w:szCs w:val="24"/>
        </w:rPr>
        <w:t xml:space="preserve">is </w:t>
      </w:r>
      <w:r w:rsidR="00D91847" w:rsidRPr="00BD58C0">
        <w:rPr>
          <w:rFonts w:ascii="Times New Roman" w:eastAsiaTheme="minorEastAsia" w:hAnsi="Times New Roman" w:cs="Times New Roman"/>
          <w:iCs/>
          <w:sz w:val="24"/>
          <w:szCs w:val="24"/>
        </w:rPr>
        <w:t>1 MWh</w:t>
      </w:r>
      <w:r w:rsidRPr="00BD58C0">
        <w:rPr>
          <w:rFonts w:ascii="Times New Roman" w:eastAsiaTheme="minorEastAsia" w:hAnsi="Times New Roman" w:cs="Times New Roman"/>
          <w:iCs/>
          <w:sz w:val="24"/>
          <w:szCs w:val="24"/>
        </w:rPr>
        <w:t xml:space="preserve">. The </w:t>
      </w:r>
      <w:r w:rsidR="00D91847" w:rsidRPr="00BD58C0">
        <w:rPr>
          <w:rFonts w:ascii="Times New Roman" w:eastAsiaTheme="minorEastAsia" w:hAnsi="Times New Roman" w:cs="Times New Roman"/>
          <w:iCs/>
          <w:sz w:val="24"/>
          <w:szCs w:val="24"/>
        </w:rPr>
        <w:t xml:space="preserve">CSTR </w:t>
      </w:r>
      <w:r w:rsidRPr="00BD58C0">
        <w:rPr>
          <w:rFonts w:ascii="Times New Roman" w:eastAsiaTheme="minorEastAsia" w:hAnsi="Times New Roman" w:cs="Times New Roman"/>
          <w:iCs/>
          <w:sz w:val="24"/>
          <w:szCs w:val="24"/>
        </w:rPr>
        <w:t>system obtain</w:t>
      </w:r>
      <w:r w:rsidR="008D4505" w:rsidRPr="00BD58C0">
        <w:rPr>
          <w:rFonts w:ascii="Times New Roman" w:eastAsiaTheme="minorEastAsia" w:hAnsi="Times New Roman" w:cs="Times New Roman"/>
          <w:iCs/>
          <w:sz w:val="24"/>
          <w:szCs w:val="24"/>
        </w:rPr>
        <w:t>s</w:t>
      </w:r>
      <w:r w:rsidRPr="00BD58C0">
        <w:rPr>
          <w:rFonts w:ascii="Times New Roman" w:eastAsiaTheme="minorEastAsia" w:hAnsi="Times New Roman" w:cs="Times New Roman"/>
          <w:iCs/>
          <w:sz w:val="24"/>
          <w:szCs w:val="24"/>
        </w:rPr>
        <w:t xml:space="preserve"> </w:t>
      </w:r>
      <w:r w:rsidR="00D91847" w:rsidRPr="00BD58C0">
        <w:rPr>
          <w:rFonts w:ascii="Times New Roman" w:eastAsiaTheme="minorEastAsia" w:hAnsi="Times New Roman" w:cs="Times New Roman"/>
          <w:iCs/>
          <w:sz w:val="24"/>
          <w:szCs w:val="24"/>
        </w:rPr>
        <w:t>higher revenue</w:t>
      </w:r>
      <w:r w:rsidR="00C77C54" w:rsidRPr="00BD58C0">
        <w:rPr>
          <w:rFonts w:ascii="Times New Roman" w:eastAsiaTheme="minorEastAsia" w:hAnsi="Times New Roman" w:cs="Times New Roman"/>
          <w:iCs/>
          <w:sz w:val="24"/>
          <w:szCs w:val="24"/>
        </w:rPr>
        <w:t>s</w:t>
      </w:r>
      <w:r w:rsidRPr="00BD58C0">
        <w:rPr>
          <w:rFonts w:ascii="Times New Roman" w:eastAsiaTheme="minorEastAsia" w:hAnsi="Times New Roman" w:cs="Times New Roman"/>
          <w:iCs/>
          <w:sz w:val="24"/>
          <w:szCs w:val="24"/>
        </w:rPr>
        <w:t xml:space="preserve"> compared to </w:t>
      </w:r>
      <w:r w:rsidR="00C77C54" w:rsidRPr="00BD58C0">
        <w:rPr>
          <w:rFonts w:ascii="Times New Roman" w:eastAsiaTheme="minorEastAsia" w:hAnsi="Times New Roman" w:cs="Times New Roman"/>
          <w:iCs/>
          <w:sz w:val="24"/>
          <w:szCs w:val="24"/>
        </w:rPr>
        <w:t xml:space="preserve">the </w:t>
      </w:r>
      <w:r w:rsidR="00D91847" w:rsidRPr="00BD58C0">
        <w:rPr>
          <w:rFonts w:ascii="Times New Roman" w:eastAsiaTheme="minorEastAsia" w:hAnsi="Times New Roman" w:cs="Times New Roman"/>
          <w:iCs/>
          <w:sz w:val="24"/>
          <w:szCs w:val="24"/>
        </w:rPr>
        <w:t>CLB</w:t>
      </w:r>
      <w:r w:rsidRPr="00BD58C0">
        <w:rPr>
          <w:rFonts w:ascii="Times New Roman" w:eastAsiaTheme="minorEastAsia" w:hAnsi="Times New Roman" w:cs="Times New Roman"/>
          <w:iCs/>
          <w:sz w:val="24"/>
          <w:szCs w:val="24"/>
        </w:rPr>
        <w:t xml:space="preserve"> system due </w:t>
      </w:r>
      <w:r w:rsidR="00C50AE9" w:rsidRPr="00BD58C0">
        <w:rPr>
          <w:rFonts w:ascii="Times New Roman" w:eastAsiaTheme="minorEastAsia" w:hAnsi="Times New Roman" w:cs="Times New Roman"/>
          <w:iCs/>
          <w:sz w:val="24"/>
          <w:szCs w:val="24"/>
        </w:rPr>
        <w:t>to its</w:t>
      </w:r>
      <w:r w:rsidRPr="00BD58C0">
        <w:rPr>
          <w:rFonts w:ascii="Times New Roman" w:eastAsiaTheme="minorEastAsia" w:hAnsi="Times New Roman" w:cs="Times New Roman"/>
          <w:iCs/>
          <w:sz w:val="24"/>
          <w:szCs w:val="24"/>
        </w:rPr>
        <w:t xml:space="preserve"> generation of </w:t>
      </w:r>
      <w:r w:rsidR="00C77C54" w:rsidRPr="00BD58C0">
        <w:rPr>
          <w:rFonts w:ascii="Times New Roman" w:eastAsiaTheme="minorEastAsia" w:hAnsi="Times New Roman" w:cs="Times New Roman"/>
          <w:iCs/>
          <w:sz w:val="24"/>
          <w:szCs w:val="24"/>
        </w:rPr>
        <w:t xml:space="preserve">more </w:t>
      </w:r>
      <w:r w:rsidRPr="00BD58C0">
        <w:rPr>
          <w:rFonts w:ascii="Times New Roman" w:eastAsiaTheme="minorEastAsia" w:hAnsi="Times New Roman" w:cs="Times New Roman"/>
          <w:iCs/>
          <w:sz w:val="24"/>
          <w:szCs w:val="24"/>
        </w:rPr>
        <w:t>electricity</w:t>
      </w:r>
      <w:r w:rsidR="00C77C54" w:rsidRPr="00BD58C0">
        <w:rPr>
          <w:rFonts w:ascii="Times New Roman" w:eastAsiaTheme="minorEastAsia" w:hAnsi="Times New Roman" w:cs="Times New Roman"/>
          <w:iCs/>
          <w:sz w:val="24"/>
          <w:szCs w:val="24"/>
        </w:rPr>
        <w:t>,</w:t>
      </w:r>
      <w:r w:rsidR="00D91847" w:rsidRPr="00BD58C0">
        <w:rPr>
          <w:rFonts w:ascii="Times New Roman" w:eastAsiaTheme="minorEastAsia" w:hAnsi="Times New Roman" w:cs="Times New Roman"/>
          <w:iCs/>
          <w:sz w:val="24"/>
          <w:szCs w:val="24"/>
        </w:rPr>
        <w:t xml:space="preserve"> as the operating hours </w:t>
      </w:r>
      <w:r w:rsidR="00C77C54" w:rsidRPr="00BD58C0">
        <w:rPr>
          <w:rFonts w:ascii="Times New Roman" w:eastAsiaTheme="minorEastAsia" w:hAnsi="Times New Roman" w:cs="Times New Roman"/>
          <w:iCs/>
          <w:sz w:val="24"/>
          <w:szCs w:val="24"/>
        </w:rPr>
        <w:t xml:space="preserve">are </w:t>
      </w:r>
      <w:r w:rsidR="00D91847" w:rsidRPr="00BD58C0">
        <w:rPr>
          <w:rFonts w:ascii="Times New Roman" w:eastAsiaTheme="minorEastAsia" w:hAnsi="Times New Roman" w:cs="Times New Roman"/>
          <w:iCs/>
          <w:sz w:val="24"/>
          <w:szCs w:val="24"/>
        </w:rPr>
        <w:t xml:space="preserve">greater for </w:t>
      </w:r>
      <w:r w:rsidR="00E65AB7" w:rsidRPr="00BD58C0">
        <w:rPr>
          <w:rFonts w:ascii="Times New Roman" w:eastAsiaTheme="minorEastAsia" w:hAnsi="Times New Roman" w:cs="Times New Roman"/>
          <w:iCs/>
          <w:sz w:val="24"/>
          <w:szCs w:val="24"/>
        </w:rPr>
        <w:t>POM</w:t>
      </w:r>
      <w:r w:rsidR="00D91847" w:rsidRPr="00BD58C0">
        <w:rPr>
          <w:rFonts w:ascii="Times New Roman" w:eastAsiaTheme="minorEastAsia" w:hAnsi="Times New Roman" w:cs="Times New Roman"/>
          <w:iCs/>
          <w:sz w:val="24"/>
          <w:szCs w:val="24"/>
        </w:rPr>
        <w:t xml:space="preserve"> 2</w:t>
      </w:r>
      <w:r w:rsidR="002D0A36" w:rsidRPr="00BD58C0">
        <w:rPr>
          <w:rFonts w:ascii="Times New Roman" w:eastAsiaTheme="minorEastAsia" w:hAnsi="Times New Roman" w:cs="Times New Roman"/>
          <w:iCs/>
          <w:sz w:val="24"/>
          <w:szCs w:val="24"/>
        </w:rPr>
        <w:t xml:space="preserve"> (8,760 hours) </w:t>
      </w:r>
      <w:r w:rsidR="00D91847" w:rsidRPr="00BD58C0">
        <w:rPr>
          <w:rFonts w:ascii="Times New Roman" w:eastAsiaTheme="minorEastAsia" w:hAnsi="Times New Roman" w:cs="Times New Roman"/>
          <w:iCs/>
          <w:sz w:val="24"/>
          <w:szCs w:val="24"/>
        </w:rPr>
        <w:t xml:space="preserve">compared to </w:t>
      </w:r>
      <w:r w:rsidR="00E65AB7" w:rsidRPr="00BD58C0">
        <w:rPr>
          <w:rFonts w:ascii="Times New Roman" w:eastAsiaTheme="minorEastAsia" w:hAnsi="Times New Roman" w:cs="Times New Roman"/>
          <w:iCs/>
          <w:sz w:val="24"/>
          <w:szCs w:val="24"/>
        </w:rPr>
        <w:t>POM</w:t>
      </w:r>
      <w:r w:rsidR="00D91847" w:rsidRPr="00BD58C0">
        <w:rPr>
          <w:rFonts w:ascii="Times New Roman" w:eastAsiaTheme="minorEastAsia" w:hAnsi="Times New Roman" w:cs="Times New Roman"/>
          <w:iCs/>
          <w:sz w:val="24"/>
          <w:szCs w:val="24"/>
        </w:rPr>
        <w:t xml:space="preserve"> 1</w:t>
      </w:r>
      <w:r w:rsidR="002D0A36" w:rsidRPr="00BD58C0">
        <w:rPr>
          <w:rFonts w:ascii="Times New Roman" w:eastAsiaTheme="minorEastAsia" w:hAnsi="Times New Roman" w:cs="Times New Roman"/>
          <w:iCs/>
          <w:sz w:val="24"/>
          <w:szCs w:val="24"/>
        </w:rPr>
        <w:t xml:space="preserve"> (7,200 hours)</w:t>
      </w:r>
      <w:r w:rsidR="00D91847" w:rsidRPr="00BD58C0">
        <w:rPr>
          <w:rFonts w:ascii="Times New Roman" w:eastAsiaTheme="minorEastAsia" w:hAnsi="Times New Roman" w:cs="Times New Roman"/>
          <w:iCs/>
          <w:sz w:val="24"/>
          <w:szCs w:val="24"/>
        </w:rPr>
        <w:t xml:space="preserve">. Besides, </w:t>
      </w:r>
      <w:r w:rsidR="00E65AB7" w:rsidRPr="00BD58C0">
        <w:rPr>
          <w:rFonts w:ascii="Times New Roman" w:eastAsiaTheme="minorEastAsia" w:hAnsi="Times New Roman" w:cs="Times New Roman"/>
          <w:iCs/>
          <w:sz w:val="24"/>
          <w:szCs w:val="24"/>
        </w:rPr>
        <w:t>POM</w:t>
      </w:r>
      <w:r w:rsidR="00D91847" w:rsidRPr="00BD58C0">
        <w:rPr>
          <w:rFonts w:ascii="Times New Roman" w:eastAsiaTheme="minorEastAsia" w:hAnsi="Times New Roman" w:cs="Times New Roman"/>
          <w:iCs/>
          <w:sz w:val="24"/>
          <w:szCs w:val="24"/>
        </w:rPr>
        <w:t xml:space="preserve"> 2 receives </w:t>
      </w:r>
      <w:r w:rsidR="002100B6" w:rsidRPr="00BD58C0">
        <w:rPr>
          <w:rFonts w:ascii="Times New Roman" w:eastAsiaTheme="minorEastAsia" w:hAnsi="Times New Roman" w:cs="Times New Roman"/>
          <w:iCs/>
          <w:sz w:val="24"/>
          <w:szCs w:val="24"/>
        </w:rPr>
        <w:t>USD</w:t>
      </w:r>
      <w:r w:rsidR="00D91847" w:rsidRPr="00BD58C0">
        <w:rPr>
          <w:rFonts w:ascii="Times New Roman" w:eastAsiaTheme="minorEastAsia" w:hAnsi="Times New Roman" w:cs="Times New Roman"/>
          <w:iCs/>
          <w:sz w:val="24"/>
          <w:szCs w:val="24"/>
        </w:rPr>
        <w:t xml:space="preserve"> </w:t>
      </w:r>
      <w:r w:rsidR="002100B6" w:rsidRPr="00BD58C0">
        <w:rPr>
          <w:rFonts w:ascii="Times New Roman" w:eastAsiaTheme="minorEastAsia" w:hAnsi="Times New Roman" w:cs="Times New Roman"/>
          <w:iCs/>
          <w:sz w:val="24"/>
          <w:szCs w:val="24"/>
        </w:rPr>
        <w:t>0.0049</w:t>
      </w:r>
      <w:r w:rsidR="00D91847" w:rsidRPr="00BD58C0">
        <w:rPr>
          <w:rFonts w:ascii="Times New Roman" w:eastAsiaTheme="minorEastAsia" w:hAnsi="Times New Roman" w:cs="Times New Roman"/>
          <w:iCs/>
          <w:sz w:val="24"/>
          <w:szCs w:val="24"/>
        </w:rPr>
        <w:t>/kWh</w:t>
      </w:r>
      <w:r w:rsidR="00E43ED3" w:rsidRPr="00BD58C0">
        <w:rPr>
          <w:rFonts w:ascii="Times New Roman" w:eastAsiaTheme="minorEastAsia" w:hAnsi="Times New Roman" w:cs="Times New Roman"/>
          <w:iCs/>
          <w:sz w:val="24"/>
          <w:szCs w:val="24"/>
        </w:rPr>
        <w:t>, a</w:t>
      </w:r>
      <w:r w:rsidR="00D91847" w:rsidRPr="00BD58C0">
        <w:rPr>
          <w:rFonts w:ascii="Times New Roman" w:eastAsiaTheme="minorEastAsia" w:hAnsi="Times New Roman" w:cs="Times New Roman"/>
          <w:iCs/>
          <w:sz w:val="24"/>
          <w:szCs w:val="24"/>
        </w:rPr>
        <w:t xml:space="preserve"> higher </w:t>
      </w:r>
      <w:proofErr w:type="spellStart"/>
      <w:r w:rsidR="00D91847" w:rsidRPr="00BD58C0">
        <w:rPr>
          <w:rFonts w:ascii="Times New Roman" w:eastAsiaTheme="minorEastAsia" w:hAnsi="Times New Roman" w:cs="Times New Roman"/>
          <w:iCs/>
          <w:sz w:val="24"/>
          <w:szCs w:val="24"/>
        </w:rPr>
        <w:t>FiT</w:t>
      </w:r>
      <w:proofErr w:type="spellEnd"/>
      <w:r w:rsidR="00D91847" w:rsidRPr="00BD58C0">
        <w:rPr>
          <w:rFonts w:ascii="Times New Roman" w:eastAsiaTheme="minorEastAsia" w:hAnsi="Times New Roman" w:cs="Times New Roman"/>
          <w:iCs/>
          <w:sz w:val="24"/>
          <w:szCs w:val="24"/>
        </w:rPr>
        <w:t xml:space="preserve"> compared to </w:t>
      </w:r>
      <w:r w:rsidR="00E65AB7" w:rsidRPr="00BD58C0">
        <w:rPr>
          <w:rFonts w:ascii="Times New Roman" w:eastAsiaTheme="minorEastAsia" w:hAnsi="Times New Roman" w:cs="Times New Roman"/>
          <w:iCs/>
          <w:sz w:val="24"/>
          <w:szCs w:val="24"/>
        </w:rPr>
        <w:t>POM</w:t>
      </w:r>
      <w:r w:rsidR="00D91847" w:rsidRPr="00BD58C0">
        <w:rPr>
          <w:rFonts w:ascii="Times New Roman" w:eastAsiaTheme="minorEastAsia" w:hAnsi="Times New Roman" w:cs="Times New Roman"/>
          <w:iCs/>
          <w:sz w:val="24"/>
          <w:szCs w:val="24"/>
        </w:rPr>
        <w:t xml:space="preserve"> 1. </w:t>
      </w:r>
      <w:r w:rsidR="00C77C54" w:rsidRPr="00BD58C0">
        <w:rPr>
          <w:rFonts w:ascii="Times New Roman" w:eastAsiaTheme="minorEastAsia" w:hAnsi="Times New Roman" w:cs="Times New Roman"/>
          <w:iCs/>
          <w:sz w:val="24"/>
          <w:szCs w:val="24"/>
        </w:rPr>
        <w:t xml:space="preserve">The </w:t>
      </w:r>
      <w:proofErr w:type="spellStart"/>
      <w:r w:rsidR="003F5F1D" w:rsidRPr="00BD58C0">
        <w:rPr>
          <w:rFonts w:ascii="Times New Roman" w:hAnsi="Times New Roman" w:cs="Times New Roman"/>
          <w:sz w:val="24"/>
          <w:szCs w:val="24"/>
        </w:rPr>
        <w:t>FiT</w:t>
      </w:r>
      <w:proofErr w:type="spellEnd"/>
      <w:r w:rsidR="003F5F1D" w:rsidRPr="00BD58C0">
        <w:rPr>
          <w:rFonts w:ascii="Times New Roman" w:hAnsi="Times New Roman" w:cs="Times New Roman"/>
          <w:sz w:val="24"/>
          <w:szCs w:val="24"/>
        </w:rPr>
        <w:t xml:space="preserve"> mechanism </w:t>
      </w:r>
      <w:r w:rsidR="00625BB3" w:rsidRPr="00BD58C0">
        <w:rPr>
          <w:rFonts w:ascii="Times New Roman" w:hAnsi="Times New Roman" w:cs="Times New Roman"/>
          <w:sz w:val="24"/>
          <w:szCs w:val="24"/>
        </w:rPr>
        <w:t>requires</w:t>
      </w:r>
      <w:r w:rsidR="003F5F1D" w:rsidRPr="00BD58C0">
        <w:rPr>
          <w:rFonts w:ascii="Times New Roman" w:hAnsi="Times New Roman" w:cs="Times New Roman"/>
          <w:sz w:val="24"/>
          <w:szCs w:val="24"/>
        </w:rPr>
        <w:t xml:space="preserve"> energy utilities to buy </w:t>
      </w:r>
      <w:r w:rsidR="008F26EA" w:rsidRPr="00BD58C0">
        <w:rPr>
          <w:rFonts w:ascii="Times New Roman" w:hAnsi="Times New Roman" w:cs="Times New Roman"/>
          <w:sz w:val="24"/>
          <w:szCs w:val="24"/>
        </w:rPr>
        <w:t xml:space="preserve">renewable energy </w:t>
      </w:r>
      <w:r w:rsidR="003F5F1D" w:rsidRPr="00BD58C0">
        <w:rPr>
          <w:rFonts w:ascii="Times New Roman" w:hAnsi="Times New Roman" w:cs="Times New Roman"/>
          <w:sz w:val="24"/>
          <w:szCs w:val="24"/>
        </w:rPr>
        <w:t>from producers, at a mandated price.</w:t>
      </w:r>
      <w:r w:rsidR="0070306C" w:rsidRPr="00BD58C0">
        <w:rPr>
          <w:rFonts w:ascii="Times New Roman" w:hAnsi="Times New Roman" w:cs="Times New Roman"/>
          <w:sz w:val="24"/>
          <w:szCs w:val="24"/>
        </w:rPr>
        <w:t xml:space="preserve"> </w:t>
      </w:r>
      <w:r w:rsidR="00B50707" w:rsidRPr="00BD58C0">
        <w:rPr>
          <w:rFonts w:ascii="Times New Roman" w:hAnsi="Times New Roman" w:cs="Times New Roman"/>
          <w:sz w:val="24"/>
          <w:szCs w:val="24"/>
        </w:rPr>
        <w:t>This</w:t>
      </w:r>
      <w:r w:rsidR="00C108EA" w:rsidRPr="00BD58C0">
        <w:rPr>
          <w:rFonts w:ascii="Times New Roman" w:hAnsi="Times New Roman" w:cs="Times New Roman"/>
          <w:sz w:val="24"/>
          <w:szCs w:val="24"/>
        </w:rPr>
        <w:t xml:space="preserve"> ensures that </w:t>
      </w:r>
      <w:r w:rsidR="007C165E" w:rsidRPr="00BD58C0">
        <w:rPr>
          <w:rFonts w:ascii="Times New Roman" w:hAnsi="Times New Roman" w:cs="Times New Roman"/>
          <w:sz w:val="24"/>
          <w:szCs w:val="24"/>
        </w:rPr>
        <w:t xml:space="preserve">renewable energy </w:t>
      </w:r>
      <w:r w:rsidR="00C108EA" w:rsidRPr="00BD58C0">
        <w:rPr>
          <w:rFonts w:ascii="Times New Roman" w:hAnsi="Times New Roman" w:cs="Times New Roman"/>
          <w:sz w:val="24"/>
          <w:szCs w:val="24"/>
        </w:rPr>
        <w:t>is a long-term investment for industries, companies and even for individuals</w:t>
      </w:r>
      <w:r w:rsidR="00B50707" w:rsidRPr="00BD58C0">
        <w:rPr>
          <w:rFonts w:ascii="Times New Roman" w:hAnsi="Times New Roman" w:cs="Times New Roman"/>
          <w:sz w:val="24"/>
          <w:szCs w:val="24"/>
        </w:rPr>
        <w:t>,</w:t>
      </w:r>
      <w:r w:rsidR="00C108EA" w:rsidRPr="00BD58C0">
        <w:rPr>
          <w:rFonts w:ascii="Times New Roman" w:hAnsi="Times New Roman" w:cs="Times New Roman"/>
          <w:sz w:val="24"/>
          <w:szCs w:val="24"/>
        </w:rPr>
        <w:t xml:space="preserve"> b</w:t>
      </w:r>
      <w:r w:rsidR="0070306C" w:rsidRPr="00BD58C0">
        <w:rPr>
          <w:rFonts w:ascii="Times New Roman" w:hAnsi="Times New Roman" w:cs="Times New Roman"/>
          <w:sz w:val="24"/>
          <w:szCs w:val="24"/>
        </w:rPr>
        <w:t xml:space="preserve">y </w:t>
      </w:r>
      <w:r w:rsidR="00241C4B" w:rsidRPr="00BD58C0">
        <w:rPr>
          <w:rFonts w:ascii="Times New Roman" w:hAnsi="Times New Roman" w:cs="Times New Roman"/>
          <w:sz w:val="24"/>
          <w:szCs w:val="24"/>
        </w:rPr>
        <w:t xml:space="preserve">setting a favourable price per unit of power and </w:t>
      </w:r>
      <w:r w:rsidR="0070306C" w:rsidRPr="00BD58C0">
        <w:rPr>
          <w:rFonts w:ascii="Times New Roman" w:hAnsi="Times New Roman" w:cs="Times New Roman"/>
          <w:sz w:val="24"/>
          <w:szCs w:val="24"/>
        </w:rPr>
        <w:t>guaranteeing access to the grid.</w:t>
      </w:r>
      <w:r w:rsidR="00DE110C" w:rsidRPr="00BD58C0">
        <w:rPr>
          <w:rFonts w:ascii="Times New Roman" w:hAnsi="Times New Roman" w:cs="Times New Roman"/>
          <w:sz w:val="24"/>
          <w:szCs w:val="24"/>
        </w:rPr>
        <w:t xml:space="preserve"> </w:t>
      </w:r>
      <w:r w:rsidR="00633988" w:rsidRPr="00BD58C0">
        <w:rPr>
          <w:rFonts w:ascii="Times New Roman" w:hAnsi="Times New Roman" w:cs="Times New Roman"/>
          <w:sz w:val="24"/>
          <w:szCs w:val="24"/>
        </w:rPr>
        <w:t xml:space="preserve">The </w:t>
      </w:r>
      <w:proofErr w:type="spellStart"/>
      <w:r w:rsidR="000F7DAB" w:rsidRPr="00BD58C0">
        <w:rPr>
          <w:rFonts w:ascii="Times New Roman" w:hAnsi="Times New Roman" w:cs="Times New Roman"/>
          <w:sz w:val="24"/>
          <w:szCs w:val="24"/>
        </w:rPr>
        <w:t>FiT</w:t>
      </w:r>
      <w:proofErr w:type="spellEnd"/>
      <w:r w:rsidR="000F7DAB" w:rsidRPr="00BD58C0">
        <w:rPr>
          <w:rFonts w:ascii="Times New Roman" w:hAnsi="Times New Roman" w:cs="Times New Roman"/>
          <w:sz w:val="24"/>
          <w:szCs w:val="24"/>
        </w:rPr>
        <w:t xml:space="preserve"> </w:t>
      </w:r>
      <w:r w:rsidR="00C77C54" w:rsidRPr="00BD58C0">
        <w:rPr>
          <w:rFonts w:ascii="Times New Roman" w:hAnsi="Times New Roman" w:cs="Times New Roman"/>
          <w:sz w:val="24"/>
          <w:szCs w:val="24"/>
        </w:rPr>
        <w:t>provided</w:t>
      </w:r>
      <w:r w:rsidR="00DE110C" w:rsidRPr="00BD58C0">
        <w:rPr>
          <w:rFonts w:ascii="Times New Roman" w:hAnsi="Times New Roman" w:cs="Times New Roman"/>
          <w:sz w:val="24"/>
          <w:szCs w:val="24"/>
        </w:rPr>
        <w:t xml:space="preserve"> to a particular technology </w:t>
      </w:r>
      <w:r w:rsidR="000F7DAB" w:rsidRPr="00BD58C0">
        <w:rPr>
          <w:rFonts w:ascii="Times New Roman" w:hAnsi="Times New Roman" w:cs="Times New Roman"/>
          <w:sz w:val="24"/>
          <w:szCs w:val="24"/>
        </w:rPr>
        <w:t>varies based on the</w:t>
      </w:r>
      <w:r w:rsidR="00DE110C" w:rsidRPr="00BD58C0">
        <w:rPr>
          <w:rFonts w:ascii="Times New Roman" w:hAnsi="Times New Roman" w:cs="Times New Roman"/>
          <w:sz w:val="24"/>
          <w:szCs w:val="24"/>
        </w:rPr>
        <w:t xml:space="preserve"> facilities</w:t>
      </w:r>
      <w:r w:rsidR="005B0743" w:rsidRPr="00BD58C0">
        <w:rPr>
          <w:rFonts w:ascii="Times New Roman" w:hAnsi="Times New Roman" w:cs="Times New Roman"/>
          <w:sz w:val="24"/>
          <w:szCs w:val="24"/>
        </w:rPr>
        <w:t>’</w:t>
      </w:r>
      <w:r w:rsidR="00DE110C" w:rsidRPr="00BD58C0">
        <w:rPr>
          <w:rFonts w:ascii="Times New Roman" w:hAnsi="Times New Roman" w:cs="Times New Roman"/>
          <w:sz w:val="24"/>
          <w:szCs w:val="24"/>
        </w:rPr>
        <w:t xml:space="preserve"> capacity</w:t>
      </w:r>
      <w:r w:rsidR="000F7DAB" w:rsidRPr="00BD58C0">
        <w:rPr>
          <w:rFonts w:ascii="Times New Roman" w:hAnsi="Times New Roman" w:cs="Times New Roman"/>
          <w:sz w:val="24"/>
          <w:szCs w:val="24"/>
        </w:rPr>
        <w:t xml:space="preserve"> according to the </w:t>
      </w:r>
      <w:r w:rsidR="00633988" w:rsidRPr="00BD58C0">
        <w:rPr>
          <w:rFonts w:ascii="Times New Roman" w:hAnsi="Times New Roman" w:cs="Times New Roman"/>
          <w:sz w:val="24"/>
          <w:szCs w:val="24"/>
        </w:rPr>
        <w:t xml:space="preserve">Renewable Energy </w:t>
      </w:r>
      <w:r w:rsidR="000F7DAB" w:rsidRPr="00BD58C0">
        <w:rPr>
          <w:rFonts w:ascii="Times New Roman" w:hAnsi="Times New Roman" w:cs="Times New Roman"/>
          <w:sz w:val="24"/>
          <w:szCs w:val="24"/>
        </w:rPr>
        <w:t>Act 2011</w:t>
      </w:r>
      <w:r w:rsidR="00DE110C" w:rsidRPr="00BD58C0">
        <w:rPr>
          <w:rFonts w:ascii="Times New Roman" w:hAnsi="Times New Roman" w:cs="Times New Roman"/>
          <w:sz w:val="24"/>
          <w:szCs w:val="24"/>
        </w:rPr>
        <w:t xml:space="preserve">. </w:t>
      </w:r>
      <w:r w:rsidR="000F7DAB" w:rsidRPr="00BD58C0">
        <w:rPr>
          <w:rFonts w:ascii="Times New Roman" w:hAnsi="Times New Roman" w:cs="Times New Roman"/>
          <w:sz w:val="24"/>
          <w:szCs w:val="24"/>
        </w:rPr>
        <w:t xml:space="preserve">Additional bonuses are given for employing </w:t>
      </w:r>
      <w:r w:rsidR="00DE110C" w:rsidRPr="00BD58C0">
        <w:rPr>
          <w:rFonts w:ascii="Times New Roman" w:hAnsi="Times New Roman" w:cs="Times New Roman"/>
          <w:sz w:val="24"/>
          <w:szCs w:val="24"/>
        </w:rPr>
        <w:t xml:space="preserve">local technology </w:t>
      </w:r>
      <w:r w:rsidR="000F7DAB" w:rsidRPr="00BD58C0">
        <w:rPr>
          <w:rFonts w:ascii="Times New Roman" w:hAnsi="Times New Roman" w:cs="Times New Roman"/>
          <w:sz w:val="24"/>
          <w:szCs w:val="24"/>
        </w:rPr>
        <w:t>and</w:t>
      </w:r>
      <w:r w:rsidR="00DE110C" w:rsidRPr="00BD58C0">
        <w:rPr>
          <w:rFonts w:ascii="Times New Roman" w:hAnsi="Times New Roman" w:cs="Times New Roman"/>
          <w:sz w:val="24"/>
          <w:szCs w:val="24"/>
        </w:rPr>
        <w:t xml:space="preserve"> achieving high efficiency in electricity generation</w:t>
      </w:r>
      <w:r w:rsidR="0052119F" w:rsidRPr="00BD58C0">
        <w:rPr>
          <w:rFonts w:ascii="Times New Roman" w:hAnsi="Times New Roman" w:cs="Times New Roman"/>
          <w:sz w:val="24"/>
          <w:szCs w:val="24"/>
        </w:rPr>
        <w:t xml:space="preserve"> [</w:t>
      </w:r>
      <w:r w:rsidR="00634F1B" w:rsidRPr="00BD58C0">
        <w:rPr>
          <w:rFonts w:ascii="Times New Roman" w:hAnsi="Times New Roman" w:cs="Times New Roman"/>
          <w:sz w:val="24"/>
          <w:szCs w:val="24"/>
        </w:rPr>
        <w:t>2</w:t>
      </w:r>
      <w:r w:rsidR="00003F42" w:rsidRPr="00BD58C0">
        <w:rPr>
          <w:rFonts w:ascii="Times New Roman" w:hAnsi="Times New Roman" w:cs="Times New Roman"/>
          <w:sz w:val="24"/>
          <w:szCs w:val="24"/>
        </w:rPr>
        <w:t>7</w:t>
      </w:r>
      <w:r w:rsidR="0052119F" w:rsidRPr="00BD58C0">
        <w:rPr>
          <w:rFonts w:ascii="Times New Roman" w:hAnsi="Times New Roman" w:cs="Times New Roman"/>
          <w:sz w:val="24"/>
          <w:szCs w:val="24"/>
        </w:rPr>
        <w:t>].</w:t>
      </w:r>
      <w:r w:rsidR="00204C7A" w:rsidRPr="00BD58C0">
        <w:rPr>
          <w:rFonts w:ascii="Times New Roman" w:hAnsi="Times New Roman" w:cs="Times New Roman"/>
          <w:sz w:val="24"/>
          <w:szCs w:val="24"/>
        </w:rPr>
        <w:t xml:space="preserve"> </w:t>
      </w:r>
    </w:p>
    <w:p w14:paraId="5DA895D6" w14:textId="58A660F9" w:rsidR="00BA70AD" w:rsidRPr="00BD58C0" w:rsidRDefault="00BA70AD" w:rsidP="00944210">
      <w:pPr>
        <w:spacing w:after="0" w:line="360" w:lineRule="auto"/>
        <w:jc w:val="both"/>
        <w:rPr>
          <w:rFonts w:ascii="Times New Roman" w:hAnsi="Times New Roman" w:cs="Times New Roman"/>
          <w:sz w:val="24"/>
          <w:szCs w:val="24"/>
        </w:rPr>
      </w:pPr>
    </w:p>
    <w:p w14:paraId="01E31DDB" w14:textId="00FD1588" w:rsidR="00031B16" w:rsidRPr="00BD58C0" w:rsidRDefault="00031B16" w:rsidP="00944210">
      <w:pPr>
        <w:spacing w:after="0" w:line="360" w:lineRule="auto"/>
        <w:jc w:val="both"/>
        <w:rPr>
          <w:rFonts w:ascii="Times New Roman" w:hAnsi="Times New Roman" w:cs="Times New Roman"/>
          <w:sz w:val="24"/>
          <w:szCs w:val="24"/>
        </w:rPr>
      </w:pPr>
    </w:p>
    <w:p w14:paraId="082FB404" w14:textId="5E7087F7" w:rsidR="00031B16" w:rsidRPr="00BD58C0" w:rsidRDefault="00031B16" w:rsidP="00944210">
      <w:pPr>
        <w:spacing w:after="0" w:line="360" w:lineRule="auto"/>
        <w:jc w:val="both"/>
        <w:rPr>
          <w:rFonts w:ascii="Times New Roman" w:hAnsi="Times New Roman" w:cs="Times New Roman"/>
          <w:sz w:val="24"/>
          <w:szCs w:val="24"/>
        </w:rPr>
      </w:pPr>
    </w:p>
    <w:p w14:paraId="1E1CEF51" w14:textId="5715AF12" w:rsidR="00EC506D" w:rsidRPr="00BD58C0" w:rsidRDefault="00EC506D" w:rsidP="00944210">
      <w:pPr>
        <w:spacing w:after="0" w:line="360" w:lineRule="auto"/>
        <w:jc w:val="both"/>
        <w:rPr>
          <w:rFonts w:ascii="Times New Roman" w:hAnsi="Times New Roman" w:cs="Times New Roman"/>
          <w:sz w:val="24"/>
          <w:szCs w:val="24"/>
        </w:rPr>
      </w:pPr>
    </w:p>
    <w:p w14:paraId="75EA2BAA" w14:textId="339A08B4" w:rsidR="00EC506D" w:rsidRPr="00BD58C0" w:rsidRDefault="00EC506D" w:rsidP="00944210">
      <w:pPr>
        <w:spacing w:after="0" w:line="360" w:lineRule="auto"/>
        <w:jc w:val="both"/>
        <w:rPr>
          <w:rFonts w:ascii="Times New Roman" w:hAnsi="Times New Roman" w:cs="Times New Roman"/>
          <w:sz w:val="24"/>
          <w:szCs w:val="24"/>
        </w:rPr>
      </w:pPr>
    </w:p>
    <w:p w14:paraId="374CA341" w14:textId="121FC17E" w:rsidR="00EC506D" w:rsidRPr="00BD58C0" w:rsidRDefault="00EC506D" w:rsidP="00944210">
      <w:pPr>
        <w:spacing w:after="0" w:line="360" w:lineRule="auto"/>
        <w:jc w:val="both"/>
        <w:rPr>
          <w:rFonts w:ascii="Times New Roman" w:hAnsi="Times New Roman" w:cs="Times New Roman"/>
          <w:sz w:val="24"/>
          <w:szCs w:val="24"/>
        </w:rPr>
      </w:pPr>
    </w:p>
    <w:p w14:paraId="674EC02F" w14:textId="532FBADE" w:rsidR="00EC506D" w:rsidRPr="00BD58C0" w:rsidRDefault="00EC506D" w:rsidP="00944210">
      <w:pPr>
        <w:spacing w:after="0" w:line="360" w:lineRule="auto"/>
        <w:jc w:val="both"/>
        <w:rPr>
          <w:rFonts w:ascii="Times New Roman" w:hAnsi="Times New Roman" w:cs="Times New Roman"/>
          <w:sz w:val="24"/>
          <w:szCs w:val="24"/>
        </w:rPr>
      </w:pPr>
    </w:p>
    <w:p w14:paraId="6920B0C9" w14:textId="262AFC91" w:rsidR="00EC506D" w:rsidRPr="00BD58C0" w:rsidRDefault="00EC506D" w:rsidP="00944210">
      <w:pPr>
        <w:spacing w:after="0" w:line="360" w:lineRule="auto"/>
        <w:jc w:val="both"/>
        <w:rPr>
          <w:rFonts w:ascii="Times New Roman" w:hAnsi="Times New Roman" w:cs="Times New Roman"/>
          <w:sz w:val="24"/>
          <w:szCs w:val="24"/>
        </w:rPr>
      </w:pPr>
    </w:p>
    <w:p w14:paraId="5A280F94" w14:textId="4DEA96DA" w:rsidR="00EC506D" w:rsidRPr="00BD58C0" w:rsidRDefault="00EC506D" w:rsidP="00944210">
      <w:pPr>
        <w:spacing w:after="0" w:line="360" w:lineRule="auto"/>
        <w:jc w:val="both"/>
        <w:rPr>
          <w:rFonts w:ascii="Times New Roman" w:hAnsi="Times New Roman" w:cs="Times New Roman"/>
          <w:sz w:val="24"/>
          <w:szCs w:val="24"/>
        </w:rPr>
      </w:pPr>
    </w:p>
    <w:p w14:paraId="3BAA0D3A" w14:textId="05CA305B" w:rsidR="00EC506D" w:rsidRPr="00BD58C0" w:rsidRDefault="00EC506D" w:rsidP="00944210">
      <w:pPr>
        <w:spacing w:after="0" w:line="360" w:lineRule="auto"/>
        <w:jc w:val="both"/>
        <w:rPr>
          <w:rFonts w:ascii="Times New Roman" w:hAnsi="Times New Roman" w:cs="Times New Roman"/>
          <w:sz w:val="24"/>
          <w:szCs w:val="24"/>
        </w:rPr>
      </w:pPr>
    </w:p>
    <w:p w14:paraId="449A9901" w14:textId="5CF599AB" w:rsidR="00EC506D" w:rsidRPr="00BD58C0" w:rsidRDefault="00EC506D" w:rsidP="00944210">
      <w:pPr>
        <w:spacing w:after="0" w:line="360" w:lineRule="auto"/>
        <w:jc w:val="both"/>
        <w:rPr>
          <w:rFonts w:ascii="Times New Roman" w:hAnsi="Times New Roman" w:cs="Times New Roman"/>
          <w:sz w:val="24"/>
          <w:szCs w:val="24"/>
        </w:rPr>
      </w:pPr>
    </w:p>
    <w:p w14:paraId="55152F41" w14:textId="0C82001C" w:rsidR="006F2156" w:rsidRPr="00BD58C0" w:rsidRDefault="006F2156" w:rsidP="00944210">
      <w:pPr>
        <w:spacing w:after="0" w:line="360" w:lineRule="auto"/>
        <w:jc w:val="both"/>
        <w:rPr>
          <w:rFonts w:ascii="Times New Roman" w:hAnsi="Times New Roman" w:cs="Times New Roman"/>
          <w:sz w:val="24"/>
          <w:szCs w:val="24"/>
        </w:rPr>
      </w:pPr>
    </w:p>
    <w:p w14:paraId="724AEC50" w14:textId="447462AA" w:rsidR="00EA5CB7" w:rsidRPr="00BD58C0" w:rsidRDefault="00EA5CB7" w:rsidP="00944210">
      <w:pPr>
        <w:spacing w:after="0" w:line="360" w:lineRule="auto"/>
        <w:jc w:val="both"/>
        <w:rPr>
          <w:rFonts w:ascii="Times New Roman" w:hAnsi="Times New Roman" w:cs="Times New Roman"/>
          <w:sz w:val="24"/>
          <w:szCs w:val="24"/>
        </w:rPr>
      </w:pPr>
    </w:p>
    <w:p w14:paraId="3FF9FC95" w14:textId="23847EE6" w:rsidR="00EA5CB7" w:rsidRPr="00BD58C0" w:rsidRDefault="00EA5CB7" w:rsidP="00944210">
      <w:pPr>
        <w:spacing w:after="0" w:line="360" w:lineRule="auto"/>
        <w:jc w:val="both"/>
        <w:rPr>
          <w:rFonts w:ascii="Times New Roman" w:hAnsi="Times New Roman" w:cs="Times New Roman"/>
          <w:sz w:val="24"/>
          <w:szCs w:val="24"/>
        </w:rPr>
      </w:pPr>
    </w:p>
    <w:p w14:paraId="26F5747F" w14:textId="77777777" w:rsidR="006F2156" w:rsidRPr="00BD58C0" w:rsidRDefault="006F2156" w:rsidP="00944210">
      <w:pPr>
        <w:spacing w:after="0" w:line="360" w:lineRule="auto"/>
        <w:jc w:val="both"/>
        <w:rPr>
          <w:rFonts w:ascii="Times New Roman" w:hAnsi="Times New Roman" w:cs="Times New Roman"/>
          <w:sz w:val="24"/>
          <w:szCs w:val="24"/>
        </w:rPr>
      </w:pPr>
    </w:p>
    <w:p w14:paraId="47A62380" w14:textId="3E795A74" w:rsidR="001D4212" w:rsidRPr="00BD58C0" w:rsidRDefault="001D4212" w:rsidP="00944210">
      <w:pPr>
        <w:spacing w:after="0" w:line="360" w:lineRule="auto"/>
        <w:jc w:val="both"/>
        <w:rPr>
          <w:rFonts w:ascii="Times New Roman" w:hAnsi="Times New Roman" w:cs="Times New Roman"/>
          <w:sz w:val="24"/>
          <w:szCs w:val="24"/>
        </w:rPr>
      </w:pPr>
      <w:r w:rsidRPr="00BD58C0">
        <w:rPr>
          <w:rFonts w:ascii="Times New Roman" w:eastAsiaTheme="minorEastAsia" w:hAnsi="Times New Roman" w:cs="Times New Roman"/>
          <w:b/>
          <w:bCs/>
          <w:iCs/>
          <w:sz w:val="24"/>
          <w:szCs w:val="24"/>
        </w:rPr>
        <w:lastRenderedPageBreak/>
        <w:t xml:space="preserve">Table </w:t>
      </w:r>
      <w:r w:rsidR="006C3D71" w:rsidRPr="00BD58C0">
        <w:rPr>
          <w:rFonts w:ascii="Times New Roman" w:eastAsiaTheme="minorEastAsia" w:hAnsi="Times New Roman" w:cs="Times New Roman"/>
          <w:b/>
          <w:bCs/>
          <w:iCs/>
          <w:sz w:val="24"/>
          <w:szCs w:val="24"/>
        </w:rPr>
        <w:t>6</w:t>
      </w:r>
      <w:r w:rsidR="00157552" w:rsidRPr="00BD58C0">
        <w:rPr>
          <w:rFonts w:ascii="Times New Roman" w:eastAsiaTheme="minorEastAsia" w:hAnsi="Times New Roman" w:cs="Times New Roman"/>
          <w:iCs/>
          <w:sz w:val="24"/>
          <w:szCs w:val="24"/>
        </w:rPr>
        <w:tab/>
      </w:r>
      <w:r w:rsidRPr="00BD58C0">
        <w:rPr>
          <w:rFonts w:ascii="Times New Roman" w:eastAsiaTheme="minorEastAsia" w:hAnsi="Times New Roman" w:cs="Times New Roman"/>
          <w:iCs/>
          <w:sz w:val="24"/>
          <w:szCs w:val="24"/>
        </w:rPr>
        <w:t>Capital cost of CLB and CSTR systems</w:t>
      </w:r>
    </w:p>
    <w:tbl>
      <w:tblPr>
        <w:tblStyle w:val="PlainTable2"/>
        <w:tblW w:w="0" w:type="auto"/>
        <w:tblLook w:val="0620" w:firstRow="1" w:lastRow="0" w:firstColumn="0" w:lastColumn="0" w:noHBand="1" w:noVBand="1"/>
      </w:tblPr>
      <w:tblGrid>
        <w:gridCol w:w="4076"/>
        <w:gridCol w:w="2224"/>
        <w:gridCol w:w="2340"/>
      </w:tblGrid>
      <w:tr w:rsidR="00BD58C0" w:rsidRPr="00BD58C0" w14:paraId="36D3E087" w14:textId="0E3CBC1C" w:rsidTr="00B2589A">
        <w:trPr>
          <w:cnfStyle w:val="100000000000" w:firstRow="1" w:lastRow="0" w:firstColumn="0" w:lastColumn="0" w:oddVBand="0" w:evenVBand="0" w:oddHBand="0" w:evenHBand="0" w:firstRowFirstColumn="0" w:firstRowLastColumn="0" w:lastRowFirstColumn="0" w:lastRowLastColumn="0"/>
        </w:trPr>
        <w:tc>
          <w:tcPr>
            <w:tcW w:w="4076" w:type="dxa"/>
          </w:tcPr>
          <w:p w14:paraId="3041C52B" w14:textId="161443D2" w:rsidR="00B2589A" w:rsidRPr="00BD58C0" w:rsidRDefault="00B2589A" w:rsidP="00B2589A">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Equipment</w:t>
            </w:r>
          </w:p>
        </w:tc>
        <w:tc>
          <w:tcPr>
            <w:tcW w:w="2224" w:type="dxa"/>
          </w:tcPr>
          <w:p w14:paraId="6635BE56" w14:textId="671F7AC0" w:rsidR="00B2589A" w:rsidRPr="00BD58C0" w:rsidRDefault="00B2589A" w:rsidP="00B2589A">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CLB (Million USD)</w:t>
            </w:r>
          </w:p>
        </w:tc>
        <w:tc>
          <w:tcPr>
            <w:tcW w:w="2340" w:type="dxa"/>
          </w:tcPr>
          <w:p w14:paraId="4B092E20" w14:textId="7A045AA0" w:rsidR="00B2589A" w:rsidRPr="00BD58C0" w:rsidRDefault="00B2589A" w:rsidP="00B2589A">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b w:val="0"/>
                <w:bCs w:val="0"/>
                <w:iCs/>
                <w:sz w:val="24"/>
                <w:szCs w:val="24"/>
              </w:rPr>
              <w:t>CSTR (Million USD)</w:t>
            </w:r>
          </w:p>
        </w:tc>
      </w:tr>
      <w:tr w:rsidR="00BD58C0" w:rsidRPr="00BD58C0" w14:paraId="28C465AD" w14:textId="3A3B708F" w:rsidTr="00B2589A">
        <w:tc>
          <w:tcPr>
            <w:tcW w:w="4076" w:type="dxa"/>
          </w:tcPr>
          <w:p w14:paraId="78E2C864" w14:textId="1B3D1A60" w:rsidR="00B2589A" w:rsidRPr="00BD58C0" w:rsidRDefault="00B2589A" w:rsidP="00B2589A">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Ponding system (</w:t>
            </w:r>
            <w:r w:rsidR="00AC08AD" w:rsidRPr="00BD58C0">
              <w:rPr>
                <w:rFonts w:ascii="Times New Roman" w:eastAsiaTheme="minorEastAsia" w:hAnsi="Times New Roman" w:cs="Times New Roman"/>
                <w:iCs/>
                <w:sz w:val="24"/>
                <w:szCs w:val="24"/>
              </w:rPr>
              <w:t>pre- and post-treatment</w:t>
            </w:r>
            <w:r w:rsidRPr="00BD58C0">
              <w:rPr>
                <w:rFonts w:ascii="Times New Roman" w:eastAsiaTheme="minorEastAsia" w:hAnsi="Times New Roman" w:cs="Times New Roman"/>
                <w:iCs/>
                <w:sz w:val="24"/>
                <w:szCs w:val="24"/>
              </w:rPr>
              <w:t xml:space="preserve"> of POME)</w:t>
            </w:r>
          </w:p>
        </w:tc>
        <w:tc>
          <w:tcPr>
            <w:tcW w:w="2224" w:type="dxa"/>
          </w:tcPr>
          <w:p w14:paraId="2F2E92D9" w14:textId="00E5760A" w:rsidR="00B2589A" w:rsidRPr="00BD58C0" w:rsidRDefault="00B2589A"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0.24</w:t>
            </w:r>
          </w:p>
        </w:tc>
        <w:tc>
          <w:tcPr>
            <w:tcW w:w="2340" w:type="dxa"/>
          </w:tcPr>
          <w:p w14:paraId="1559E18A" w14:textId="531C89BB" w:rsidR="00B2589A"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0.12</w:t>
            </w:r>
          </w:p>
        </w:tc>
      </w:tr>
      <w:tr w:rsidR="00BD58C0" w:rsidRPr="00BD58C0" w14:paraId="7129505B" w14:textId="342E1877" w:rsidTr="00B2589A">
        <w:tc>
          <w:tcPr>
            <w:tcW w:w="4076" w:type="dxa"/>
          </w:tcPr>
          <w:p w14:paraId="12A52C4C" w14:textId="401ECA6D" w:rsidR="00B2589A" w:rsidRPr="00BD58C0" w:rsidRDefault="00B2589A" w:rsidP="00B2589A">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Biodigester (CLB) including blowers and diffusers </w:t>
            </w:r>
          </w:p>
        </w:tc>
        <w:tc>
          <w:tcPr>
            <w:tcW w:w="2224" w:type="dxa"/>
          </w:tcPr>
          <w:p w14:paraId="65A11ED9" w14:textId="0D2E7680" w:rsidR="00B2589A" w:rsidRPr="00BD58C0" w:rsidRDefault="00B2589A"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0.87</w:t>
            </w:r>
          </w:p>
        </w:tc>
        <w:tc>
          <w:tcPr>
            <w:tcW w:w="2340" w:type="dxa"/>
          </w:tcPr>
          <w:p w14:paraId="676D62F2" w14:textId="7B029A31" w:rsidR="00B2589A"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t>
            </w:r>
          </w:p>
        </w:tc>
      </w:tr>
      <w:tr w:rsidR="00BD58C0" w:rsidRPr="00BD58C0" w14:paraId="45AF7AF3" w14:textId="77777777" w:rsidTr="00B2589A">
        <w:tc>
          <w:tcPr>
            <w:tcW w:w="4076" w:type="dxa"/>
          </w:tcPr>
          <w:p w14:paraId="1777BD63" w14:textId="13C88704"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Biodigester (CSTR) and storage tank</w:t>
            </w:r>
          </w:p>
        </w:tc>
        <w:tc>
          <w:tcPr>
            <w:tcW w:w="2224" w:type="dxa"/>
          </w:tcPr>
          <w:p w14:paraId="67A94146" w14:textId="2DE2565E"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t>
            </w:r>
          </w:p>
        </w:tc>
        <w:tc>
          <w:tcPr>
            <w:tcW w:w="2340" w:type="dxa"/>
          </w:tcPr>
          <w:p w14:paraId="633A111D" w14:textId="42226C1D"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1.14</w:t>
            </w:r>
          </w:p>
        </w:tc>
      </w:tr>
      <w:tr w:rsidR="00BD58C0" w:rsidRPr="00BD58C0" w14:paraId="5D8E7587" w14:textId="77777777" w:rsidTr="00B2589A">
        <w:tc>
          <w:tcPr>
            <w:tcW w:w="4076" w:type="dxa"/>
          </w:tcPr>
          <w:p w14:paraId="7571E1A9" w14:textId="6ED33A91"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Overflow tank</w:t>
            </w:r>
          </w:p>
        </w:tc>
        <w:tc>
          <w:tcPr>
            <w:tcW w:w="2224" w:type="dxa"/>
          </w:tcPr>
          <w:p w14:paraId="2CEB0B5A" w14:textId="5F1824B2"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t>
            </w:r>
          </w:p>
        </w:tc>
        <w:tc>
          <w:tcPr>
            <w:tcW w:w="2340" w:type="dxa"/>
          </w:tcPr>
          <w:p w14:paraId="501F5862" w14:textId="3D9A6B9A"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0.24</w:t>
            </w:r>
          </w:p>
        </w:tc>
      </w:tr>
      <w:tr w:rsidR="00BD58C0" w:rsidRPr="00BD58C0" w14:paraId="386EC719" w14:textId="77777777" w:rsidTr="00B2589A">
        <w:tc>
          <w:tcPr>
            <w:tcW w:w="4076" w:type="dxa"/>
          </w:tcPr>
          <w:p w14:paraId="335643E7" w14:textId="311E85DF"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Tanks (de-oiling tank, screening tank, raw POME tank, distribution tank)</w:t>
            </w:r>
          </w:p>
        </w:tc>
        <w:tc>
          <w:tcPr>
            <w:tcW w:w="2224" w:type="dxa"/>
          </w:tcPr>
          <w:p w14:paraId="0F77CAB7" w14:textId="3C44A49E"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w:t>
            </w:r>
          </w:p>
        </w:tc>
        <w:tc>
          <w:tcPr>
            <w:tcW w:w="2340" w:type="dxa"/>
          </w:tcPr>
          <w:p w14:paraId="01A88123" w14:textId="681ECF54"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0.39</w:t>
            </w:r>
          </w:p>
        </w:tc>
      </w:tr>
      <w:tr w:rsidR="00BD58C0" w:rsidRPr="00BD58C0" w14:paraId="0FB6A49E" w14:textId="6A79D652" w:rsidTr="00B2589A">
        <w:tc>
          <w:tcPr>
            <w:tcW w:w="4076" w:type="dxa"/>
          </w:tcPr>
          <w:p w14:paraId="722AFB03" w14:textId="3593E772"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Piping system (POME and biogas)</w:t>
            </w:r>
          </w:p>
        </w:tc>
        <w:tc>
          <w:tcPr>
            <w:tcW w:w="2224" w:type="dxa"/>
          </w:tcPr>
          <w:p w14:paraId="75EC9254" w14:textId="05DF299A"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0.21</w:t>
            </w:r>
          </w:p>
        </w:tc>
        <w:tc>
          <w:tcPr>
            <w:tcW w:w="2340" w:type="dxa"/>
          </w:tcPr>
          <w:p w14:paraId="5F200405" w14:textId="3CDB03D8"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0.05</w:t>
            </w:r>
          </w:p>
        </w:tc>
      </w:tr>
      <w:tr w:rsidR="00BD58C0" w:rsidRPr="00BD58C0" w14:paraId="7E155C0C" w14:textId="6A4713CC" w:rsidTr="00B2589A">
        <w:tc>
          <w:tcPr>
            <w:tcW w:w="4076" w:type="dxa"/>
          </w:tcPr>
          <w:p w14:paraId="6878F787" w14:textId="5A819EA8"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Biogas purification and electricity generation systems (</w:t>
            </w:r>
            <w:r w:rsidR="00F178A3" w:rsidRPr="00BD58C0">
              <w:rPr>
                <w:rFonts w:ascii="Times New Roman" w:eastAsiaTheme="minorEastAsia" w:hAnsi="Times New Roman" w:cs="Times New Roman"/>
                <w:iCs/>
                <w:sz w:val="24"/>
                <w:szCs w:val="24"/>
              </w:rPr>
              <w:t>booster fan- for CSTR</w:t>
            </w:r>
            <w:r w:rsidR="008676EC" w:rsidRPr="00BD58C0">
              <w:rPr>
                <w:rFonts w:ascii="Times New Roman" w:eastAsiaTheme="minorEastAsia" w:hAnsi="Times New Roman" w:cs="Times New Roman"/>
                <w:iCs/>
                <w:sz w:val="24"/>
                <w:szCs w:val="24"/>
              </w:rPr>
              <w:t>,</w:t>
            </w:r>
            <w:r w:rsidR="00F178A3" w:rsidRPr="00BD58C0">
              <w:rPr>
                <w:rFonts w:ascii="Times New Roman" w:eastAsiaTheme="minorEastAsia" w:hAnsi="Times New Roman" w:cs="Times New Roman"/>
                <w:iCs/>
                <w:sz w:val="24"/>
                <w:szCs w:val="24"/>
              </w:rPr>
              <w:t xml:space="preserve"> </w:t>
            </w:r>
            <w:r w:rsidRPr="00BD58C0">
              <w:rPr>
                <w:rFonts w:ascii="Times New Roman" w:eastAsiaTheme="minorEastAsia" w:hAnsi="Times New Roman" w:cs="Times New Roman"/>
                <w:iCs/>
                <w:sz w:val="24"/>
                <w:szCs w:val="24"/>
              </w:rPr>
              <w:t>scrubber, chiller, engine room and gas engines)</w:t>
            </w:r>
          </w:p>
        </w:tc>
        <w:tc>
          <w:tcPr>
            <w:tcW w:w="2224" w:type="dxa"/>
          </w:tcPr>
          <w:p w14:paraId="03BCD3C8" w14:textId="728E512A"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1.14</w:t>
            </w:r>
          </w:p>
        </w:tc>
        <w:tc>
          <w:tcPr>
            <w:tcW w:w="2340" w:type="dxa"/>
          </w:tcPr>
          <w:p w14:paraId="43CF6D19" w14:textId="6BECFAC6" w:rsidR="002C6E3C" w:rsidRPr="00BD58C0" w:rsidRDefault="003F7C4F"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2.44</w:t>
            </w:r>
          </w:p>
        </w:tc>
      </w:tr>
      <w:tr w:rsidR="00BD58C0" w:rsidRPr="00BD58C0" w14:paraId="4C7A6242" w14:textId="079938D1" w:rsidTr="00B2589A">
        <w:tc>
          <w:tcPr>
            <w:tcW w:w="4076" w:type="dxa"/>
          </w:tcPr>
          <w:p w14:paraId="060C25A3" w14:textId="067483A4"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Pumps and motors</w:t>
            </w:r>
          </w:p>
        </w:tc>
        <w:tc>
          <w:tcPr>
            <w:tcW w:w="2224" w:type="dxa"/>
          </w:tcPr>
          <w:p w14:paraId="1B0C9344" w14:textId="51433967"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0.012</w:t>
            </w:r>
          </w:p>
        </w:tc>
        <w:tc>
          <w:tcPr>
            <w:tcW w:w="2340" w:type="dxa"/>
          </w:tcPr>
          <w:p w14:paraId="1C257083" w14:textId="6DB89A27"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0.07</w:t>
            </w:r>
          </w:p>
        </w:tc>
      </w:tr>
      <w:tr w:rsidR="00BD58C0" w:rsidRPr="00BD58C0" w14:paraId="0AAE4EE8" w14:textId="635A091C" w:rsidTr="00B2589A">
        <w:tc>
          <w:tcPr>
            <w:tcW w:w="4076" w:type="dxa"/>
          </w:tcPr>
          <w:p w14:paraId="5563F050" w14:textId="4B088AC7" w:rsidR="002C6E3C" w:rsidRPr="00BD58C0" w:rsidRDefault="002C6E3C" w:rsidP="002C6E3C">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Electricity transmission to grid </w:t>
            </w:r>
          </w:p>
        </w:tc>
        <w:tc>
          <w:tcPr>
            <w:tcW w:w="2224" w:type="dxa"/>
          </w:tcPr>
          <w:p w14:paraId="760721F3" w14:textId="157AE80D" w:rsidR="002C6E3C" w:rsidRPr="00BD58C0" w:rsidRDefault="002C6E3C"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0.56</w:t>
            </w:r>
          </w:p>
        </w:tc>
        <w:tc>
          <w:tcPr>
            <w:tcW w:w="2340" w:type="dxa"/>
          </w:tcPr>
          <w:p w14:paraId="101C67DE" w14:textId="6BB64882" w:rsidR="002C6E3C" w:rsidRPr="00BD58C0" w:rsidRDefault="001C7FC7" w:rsidP="007B56EE">
            <w:pPr>
              <w:spacing w:line="360" w:lineRule="auto"/>
              <w:jc w:val="center"/>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0.41</w:t>
            </w:r>
          </w:p>
        </w:tc>
      </w:tr>
      <w:tr w:rsidR="00BD58C0" w:rsidRPr="00BD58C0" w14:paraId="3E71A64A" w14:textId="2CC96A52" w:rsidTr="00B2589A">
        <w:tc>
          <w:tcPr>
            <w:tcW w:w="4076" w:type="dxa"/>
          </w:tcPr>
          <w:p w14:paraId="4CB9CF2E" w14:textId="1FA8A9E9" w:rsidR="002C6E3C" w:rsidRPr="00BD58C0" w:rsidRDefault="002C6E3C" w:rsidP="002C6E3C">
            <w:pPr>
              <w:spacing w:line="360" w:lineRule="auto"/>
              <w:jc w:val="both"/>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Total</w:t>
            </w:r>
          </w:p>
        </w:tc>
        <w:tc>
          <w:tcPr>
            <w:tcW w:w="2224" w:type="dxa"/>
          </w:tcPr>
          <w:p w14:paraId="0F4E0064" w14:textId="6C469662" w:rsidR="002C6E3C" w:rsidRPr="00BD58C0" w:rsidRDefault="002C6E3C" w:rsidP="007B56EE">
            <w:pPr>
              <w:spacing w:line="360" w:lineRule="auto"/>
              <w:jc w:val="center"/>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3.03</w:t>
            </w:r>
          </w:p>
        </w:tc>
        <w:tc>
          <w:tcPr>
            <w:tcW w:w="2340" w:type="dxa"/>
          </w:tcPr>
          <w:p w14:paraId="460087E2" w14:textId="19994469" w:rsidR="002C6E3C" w:rsidRPr="00BD58C0" w:rsidRDefault="003F7C4F" w:rsidP="007B56EE">
            <w:pPr>
              <w:spacing w:line="360" w:lineRule="auto"/>
              <w:jc w:val="center"/>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4.86</w:t>
            </w:r>
          </w:p>
        </w:tc>
      </w:tr>
    </w:tbl>
    <w:p w14:paraId="6AC07670" w14:textId="0E55029E" w:rsidR="00E128E0" w:rsidRPr="00BD58C0" w:rsidRDefault="004343E3" w:rsidP="004343E3">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Current exchange rate 1 USD = 4.12 Malaysia</w:t>
      </w:r>
      <w:r w:rsidR="00C1624E" w:rsidRPr="00BD58C0">
        <w:rPr>
          <w:rFonts w:ascii="Times New Roman" w:eastAsiaTheme="minorEastAsia" w:hAnsi="Times New Roman" w:cs="Times New Roman"/>
          <w:iCs/>
          <w:sz w:val="24"/>
          <w:szCs w:val="24"/>
        </w:rPr>
        <w:t>n</w:t>
      </w:r>
      <w:r w:rsidRPr="00BD58C0">
        <w:rPr>
          <w:rFonts w:ascii="Times New Roman" w:eastAsiaTheme="minorEastAsia" w:hAnsi="Times New Roman" w:cs="Times New Roman"/>
          <w:iCs/>
          <w:sz w:val="24"/>
          <w:szCs w:val="24"/>
        </w:rPr>
        <w:t xml:space="preserve"> Ringgit (local currency) </w:t>
      </w:r>
    </w:p>
    <w:p w14:paraId="200480AF" w14:textId="7D4C769D" w:rsidR="00E128E0" w:rsidRPr="00BD58C0" w:rsidRDefault="00E128E0" w:rsidP="004343E3">
      <w:pPr>
        <w:spacing w:after="0" w:line="360" w:lineRule="auto"/>
        <w:jc w:val="both"/>
        <w:rPr>
          <w:rFonts w:ascii="Times New Roman" w:eastAsiaTheme="minorEastAsia" w:hAnsi="Times New Roman" w:cs="Times New Roman"/>
          <w:iCs/>
          <w:sz w:val="24"/>
          <w:szCs w:val="24"/>
        </w:rPr>
      </w:pPr>
    </w:p>
    <w:p w14:paraId="796F5A5F" w14:textId="3EAE43B5"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3E68432E" w14:textId="59EBE8A3"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4A48AE73" w14:textId="0A14A077"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545CA542" w14:textId="24AF750B"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7A29E1A9" w14:textId="07FA1CA6"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2129BBBD" w14:textId="44E5B58E"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3B72D47D" w14:textId="52BB6AAD"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7AF85319" w14:textId="784FD61C"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29D5DC25" w14:textId="0FA845D6"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458BD731" w14:textId="59C1EA83" w:rsidR="00E677EB" w:rsidRPr="00BD58C0" w:rsidRDefault="00E677EB" w:rsidP="004343E3">
      <w:pPr>
        <w:spacing w:after="0" w:line="360" w:lineRule="auto"/>
        <w:jc w:val="both"/>
        <w:rPr>
          <w:rFonts w:ascii="Times New Roman" w:eastAsiaTheme="minorEastAsia" w:hAnsi="Times New Roman" w:cs="Times New Roman"/>
          <w:iCs/>
          <w:sz w:val="24"/>
          <w:szCs w:val="24"/>
        </w:rPr>
      </w:pPr>
    </w:p>
    <w:p w14:paraId="7F4E7A34" w14:textId="77777777" w:rsidR="00E677EB" w:rsidRPr="00BD58C0" w:rsidRDefault="00E677EB" w:rsidP="004343E3">
      <w:pPr>
        <w:spacing w:after="0" w:line="360" w:lineRule="auto"/>
        <w:jc w:val="both"/>
        <w:rPr>
          <w:rFonts w:ascii="Times New Roman" w:eastAsiaTheme="minorEastAsia" w:hAnsi="Times New Roman" w:cs="Times New Roman"/>
          <w:iCs/>
          <w:sz w:val="24"/>
          <w:szCs w:val="24"/>
        </w:rPr>
      </w:pPr>
    </w:p>
    <w:p w14:paraId="3B6E7B92" w14:textId="417DDA2D" w:rsidR="0002411B" w:rsidRPr="00BD58C0" w:rsidRDefault="0002411B" w:rsidP="004343E3">
      <w:pPr>
        <w:spacing w:after="0" w:line="360" w:lineRule="auto"/>
        <w:jc w:val="both"/>
        <w:rPr>
          <w:rFonts w:ascii="Times New Roman" w:eastAsiaTheme="minorEastAsia" w:hAnsi="Times New Roman" w:cs="Times New Roman"/>
          <w:iCs/>
          <w:sz w:val="24"/>
          <w:szCs w:val="24"/>
        </w:rPr>
      </w:pPr>
    </w:p>
    <w:p w14:paraId="57221EF6" w14:textId="77777777" w:rsidR="00BA70AD" w:rsidRPr="00BD58C0" w:rsidRDefault="00BA70AD" w:rsidP="004343E3">
      <w:pPr>
        <w:spacing w:after="0" w:line="360" w:lineRule="auto"/>
        <w:jc w:val="both"/>
        <w:rPr>
          <w:rFonts w:ascii="Times New Roman" w:eastAsiaTheme="minorEastAsia" w:hAnsi="Times New Roman" w:cs="Times New Roman"/>
          <w:iCs/>
          <w:sz w:val="24"/>
          <w:szCs w:val="24"/>
        </w:rPr>
      </w:pPr>
    </w:p>
    <w:p w14:paraId="3ACE9AFA" w14:textId="55C2DEE1" w:rsidR="00721EE6" w:rsidRPr="00BD58C0" w:rsidRDefault="00721EE6" w:rsidP="00721EE6">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b/>
          <w:bCs/>
          <w:iCs/>
          <w:sz w:val="24"/>
          <w:szCs w:val="24"/>
        </w:rPr>
        <w:lastRenderedPageBreak/>
        <w:t xml:space="preserve">Table </w:t>
      </w:r>
      <w:r w:rsidR="00881EDD" w:rsidRPr="00BD58C0">
        <w:rPr>
          <w:rFonts w:ascii="Times New Roman" w:eastAsiaTheme="minorEastAsia" w:hAnsi="Times New Roman" w:cs="Times New Roman"/>
          <w:b/>
          <w:bCs/>
          <w:iCs/>
          <w:sz w:val="24"/>
          <w:szCs w:val="24"/>
        </w:rPr>
        <w:t>7</w:t>
      </w:r>
      <w:r w:rsidR="00157552" w:rsidRPr="00BD58C0">
        <w:rPr>
          <w:rFonts w:ascii="Times New Roman" w:eastAsiaTheme="minorEastAsia" w:hAnsi="Times New Roman" w:cs="Times New Roman"/>
          <w:b/>
          <w:bCs/>
          <w:iCs/>
          <w:sz w:val="24"/>
          <w:szCs w:val="24"/>
        </w:rPr>
        <w:tab/>
      </w:r>
      <w:r w:rsidR="00A078AC" w:rsidRPr="00BD58C0">
        <w:rPr>
          <w:rFonts w:ascii="Times New Roman" w:eastAsiaTheme="minorEastAsia" w:hAnsi="Times New Roman" w:cs="Times New Roman"/>
          <w:iCs/>
          <w:sz w:val="24"/>
          <w:szCs w:val="24"/>
        </w:rPr>
        <w:t>Cost</w:t>
      </w:r>
      <w:r w:rsidR="00444AF4" w:rsidRPr="00BD58C0">
        <w:rPr>
          <w:rFonts w:ascii="Times New Roman" w:eastAsiaTheme="minorEastAsia" w:hAnsi="Times New Roman" w:cs="Times New Roman"/>
          <w:iCs/>
          <w:sz w:val="24"/>
          <w:szCs w:val="24"/>
        </w:rPr>
        <w:t>s</w:t>
      </w:r>
      <w:r w:rsidR="00A078AC" w:rsidRPr="00BD58C0">
        <w:rPr>
          <w:rFonts w:ascii="Times New Roman" w:eastAsiaTheme="minorEastAsia" w:hAnsi="Times New Roman" w:cs="Times New Roman"/>
          <w:iCs/>
          <w:sz w:val="24"/>
          <w:szCs w:val="24"/>
        </w:rPr>
        <w:t xml:space="preserve"> and revenue </w:t>
      </w:r>
      <w:r w:rsidRPr="00BD58C0">
        <w:rPr>
          <w:rFonts w:ascii="Times New Roman" w:eastAsiaTheme="minorEastAsia" w:hAnsi="Times New Roman" w:cs="Times New Roman"/>
          <w:iCs/>
          <w:sz w:val="24"/>
          <w:szCs w:val="24"/>
        </w:rPr>
        <w:t>of CLB and CSTR systems</w:t>
      </w:r>
    </w:p>
    <w:tbl>
      <w:tblPr>
        <w:tblStyle w:val="PlainTable2"/>
        <w:tblW w:w="0" w:type="auto"/>
        <w:tblLook w:val="06A0" w:firstRow="1" w:lastRow="0" w:firstColumn="1" w:lastColumn="0" w:noHBand="1" w:noVBand="1"/>
      </w:tblPr>
      <w:tblGrid>
        <w:gridCol w:w="2694"/>
        <w:gridCol w:w="1814"/>
        <w:gridCol w:w="2254"/>
        <w:gridCol w:w="2254"/>
      </w:tblGrid>
      <w:tr w:rsidR="00BD58C0" w:rsidRPr="00BD58C0" w14:paraId="10BE4CE3" w14:textId="77777777" w:rsidTr="00292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09EC8A" w14:textId="62C917A6" w:rsidR="00721EE6" w:rsidRPr="00BD58C0" w:rsidRDefault="00721EE6" w:rsidP="00721EE6">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 xml:space="preserve">Items </w:t>
            </w:r>
          </w:p>
        </w:tc>
        <w:tc>
          <w:tcPr>
            <w:tcW w:w="1814" w:type="dxa"/>
          </w:tcPr>
          <w:p w14:paraId="14C4343D" w14:textId="50B2F4AB" w:rsidR="00721EE6" w:rsidRPr="00BD58C0" w:rsidRDefault="00721EE6" w:rsidP="00721EE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Unit Price (</w:t>
            </w:r>
            <w:r w:rsidR="000F0A1C" w:rsidRPr="00BD58C0">
              <w:rPr>
                <w:rFonts w:ascii="Times New Roman" w:eastAsiaTheme="minorEastAsia" w:hAnsi="Times New Roman" w:cs="Times New Roman"/>
                <w:b w:val="0"/>
                <w:bCs w:val="0"/>
                <w:iCs/>
                <w:sz w:val="24"/>
                <w:szCs w:val="24"/>
              </w:rPr>
              <w:t>USD</w:t>
            </w:r>
            <w:r w:rsidRPr="00BD58C0">
              <w:rPr>
                <w:rFonts w:ascii="Times New Roman" w:eastAsiaTheme="minorEastAsia" w:hAnsi="Times New Roman" w:cs="Times New Roman"/>
                <w:b w:val="0"/>
                <w:bCs w:val="0"/>
                <w:iCs/>
                <w:sz w:val="24"/>
                <w:szCs w:val="24"/>
              </w:rPr>
              <w:t>/kWh)</w:t>
            </w:r>
          </w:p>
        </w:tc>
        <w:tc>
          <w:tcPr>
            <w:tcW w:w="2254" w:type="dxa"/>
          </w:tcPr>
          <w:p w14:paraId="4614D44A" w14:textId="5E9768A5" w:rsidR="00721EE6" w:rsidRPr="00BD58C0" w:rsidRDefault="001C21A6" w:rsidP="00721EE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CLB</w:t>
            </w:r>
            <w:r w:rsidR="004B463E" w:rsidRPr="00BD58C0">
              <w:rPr>
                <w:rFonts w:ascii="Times New Roman" w:eastAsiaTheme="minorEastAsia" w:hAnsi="Times New Roman" w:cs="Times New Roman"/>
                <w:b w:val="0"/>
                <w:bCs w:val="0"/>
                <w:iCs/>
                <w:sz w:val="24"/>
                <w:szCs w:val="24"/>
              </w:rPr>
              <w:t xml:space="preserve"> (</w:t>
            </w:r>
            <w:r w:rsidR="00DA6728" w:rsidRPr="00BD58C0">
              <w:rPr>
                <w:rFonts w:ascii="Times New Roman" w:eastAsiaTheme="minorEastAsia" w:hAnsi="Times New Roman" w:cs="Times New Roman"/>
                <w:b w:val="0"/>
                <w:bCs w:val="0"/>
                <w:iCs/>
                <w:sz w:val="24"/>
                <w:szCs w:val="24"/>
              </w:rPr>
              <w:t xml:space="preserve">Million </w:t>
            </w:r>
            <w:r w:rsidR="000F0A1C" w:rsidRPr="00BD58C0">
              <w:rPr>
                <w:rFonts w:ascii="Times New Roman" w:eastAsiaTheme="minorEastAsia" w:hAnsi="Times New Roman" w:cs="Times New Roman"/>
                <w:b w:val="0"/>
                <w:bCs w:val="0"/>
                <w:iCs/>
                <w:sz w:val="24"/>
                <w:szCs w:val="24"/>
              </w:rPr>
              <w:t>USD</w:t>
            </w:r>
            <w:r w:rsidR="004B463E" w:rsidRPr="00BD58C0">
              <w:rPr>
                <w:rFonts w:ascii="Times New Roman" w:eastAsiaTheme="minorEastAsia" w:hAnsi="Times New Roman" w:cs="Times New Roman"/>
                <w:b w:val="0"/>
                <w:bCs w:val="0"/>
                <w:iCs/>
                <w:sz w:val="24"/>
                <w:szCs w:val="24"/>
              </w:rPr>
              <w:t>/y</w:t>
            </w:r>
            <w:r w:rsidR="0071135C" w:rsidRPr="00BD58C0">
              <w:rPr>
                <w:rFonts w:ascii="Times New Roman" w:eastAsiaTheme="minorEastAsia" w:hAnsi="Times New Roman" w:cs="Times New Roman"/>
                <w:b w:val="0"/>
                <w:bCs w:val="0"/>
                <w:iCs/>
                <w:sz w:val="24"/>
                <w:szCs w:val="24"/>
              </w:rPr>
              <w:t>ear</w:t>
            </w:r>
            <w:r w:rsidR="004B463E" w:rsidRPr="00BD58C0">
              <w:rPr>
                <w:rFonts w:ascii="Times New Roman" w:eastAsiaTheme="minorEastAsia" w:hAnsi="Times New Roman" w:cs="Times New Roman"/>
                <w:b w:val="0"/>
                <w:bCs w:val="0"/>
                <w:iCs/>
                <w:sz w:val="24"/>
                <w:szCs w:val="24"/>
              </w:rPr>
              <w:t>)</w:t>
            </w:r>
          </w:p>
        </w:tc>
        <w:tc>
          <w:tcPr>
            <w:tcW w:w="2254" w:type="dxa"/>
          </w:tcPr>
          <w:p w14:paraId="2820E357" w14:textId="0089C180" w:rsidR="00721EE6" w:rsidRPr="00BD58C0" w:rsidRDefault="001C21A6" w:rsidP="00721EE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CSTR</w:t>
            </w:r>
            <w:r w:rsidR="004B463E" w:rsidRPr="00BD58C0">
              <w:rPr>
                <w:rFonts w:ascii="Times New Roman" w:eastAsiaTheme="minorEastAsia" w:hAnsi="Times New Roman" w:cs="Times New Roman"/>
                <w:b w:val="0"/>
                <w:bCs w:val="0"/>
                <w:iCs/>
                <w:sz w:val="24"/>
                <w:szCs w:val="24"/>
              </w:rPr>
              <w:t xml:space="preserve"> (</w:t>
            </w:r>
            <w:r w:rsidR="00DA6728" w:rsidRPr="00BD58C0">
              <w:rPr>
                <w:rFonts w:ascii="Times New Roman" w:eastAsiaTheme="minorEastAsia" w:hAnsi="Times New Roman" w:cs="Times New Roman"/>
                <w:b w:val="0"/>
                <w:bCs w:val="0"/>
                <w:iCs/>
                <w:sz w:val="24"/>
                <w:szCs w:val="24"/>
              </w:rPr>
              <w:t xml:space="preserve">Million </w:t>
            </w:r>
            <w:r w:rsidR="000F0A1C" w:rsidRPr="00BD58C0">
              <w:rPr>
                <w:rFonts w:ascii="Times New Roman" w:eastAsiaTheme="minorEastAsia" w:hAnsi="Times New Roman" w:cs="Times New Roman"/>
                <w:b w:val="0"/>
                <w:bCs w:val="0"/>
                <w:iCs/>
                <w:sz w:val="24"/>
                <w:szCs w:val="24"/>
              </w:rPr>
              <w:t>USD</w:t>
            </w:r>
            <w:r w:rsidR="004B463E" w:rsidRPr="00BD58C0">
              <w:rPr>
                <w:rFonts w:ascii="Times New Roman" w:eastAsiaTheme="minorEastAsia" w:hAnsi="Times New Roman" w:cs="Times New Roman"/>
                <w:b w:val="0"/>
                <w:bCs w:val="0"/>
                <w:iCs/>
                <w:sz w:val="24"/>
                <w:szCs w:val="24"/>
              </w:rPr>
              <w:t>/y</w:t>
            </w:r>
            <w:r w:rsidR="0071135C" w:rsidRPr="00BD58C0">
              <w:rPr>
                <w:rFonts w:ascii="Times New Roman" w:eastAsiaTheme="minorEastAsia" w:hAnsi="Times New Roman" w:cs="Times New Roman"/>
                <w:b w:val="0"/>
                <w:bCs w:val="0"/>
                <w:iCs/>
                <w:sz w:val="24"/>
                <w:szCs w:val="24"/>
              </w:rPr>
              <w:t>ear</w:t>
            </w:r>
            <w:r w:rsidR="004B463E" w:rsidRPr="00BD58C0">
              <w:rPr>
                <w:rFonts w:ascii="Times New Roman" w:eastAsiaTheme="minorEastAsia" w:hAnsi="Times New Roman" w:cs="Times New Roman"/>
                <w:b w:val="0"/>
                <w:bCs w:val="0"/>
                <w:iCs/>
                <w:sz w:val="24"/>
                <w:szCs w:val="24"/>
              </w:rPr>
              <w:t>)</w:t>
            </w:r>
          </w:p>
        </w:tc>
      </w:tr>
      <w:tr w:rsidR="00BD58C0" w:rsidRPr="00BD58C0" w14:paraId="63301AA0" w14:textId="77777777" w:rsidTr="00321905">
        <w:tc>
          <w:tcPr>
            <w:cnfStyle w:val="001000000000" w:firstRow="0" w:lastRow="0" w:firstColumn="1" w:lastColumn="0" w:oddVBand="0" w:evenVBand="0" w:oddHBand="0" w:evenHBand="0" w:firstRowFirstColumn="0" w:firstRowLastColumn="0" w:lastRowFirstColumn="0" w:lastRowLastColumn="0"/>
            <w:tcW w:w="9016" w:type="dxa"/>
            <w:gridSpan w:val="4"/>
          </w:tcPr>
          <w:p w14:paraId="69A7BDFA" w14:textId="6F4264CD" w:rsidR="00CF1F16" w:rsidRPr="00BD58C0" w:rsidRDefault="00CF1F16" w:rsidP="00721EE6">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Annual operati</w:t>
            </w:r>
            <w:r w:rsidR="00370617" w:rsidRPr="00BD58C0">
              <w:rPr>
                <w:rFonts w:ascii="Times New Roman" w:eastAsiaTheme="minorEastAsia" w:hAnsi="Times New Roman" w:cs="Times New Roman"/>
                <w:iCs/>
                <w:sz w:val="24"/>
                <w:szCs w:val="24"/>
              </w:rPr>
              <w:t>onal</w:t>
            </w:r>
            <w:r w:rsidRPr="00BD58C0">
              <w:rPr>
                <w:rFonts w:ascii="Times New Roman" w:eastAsiaTheme="minorEastAsia" w:hAnsi="Times New Roman" w:cs="Times New Roman"/>
                <w:iCs/>
                <w:sz w:val="24"/>
                <w:szCs w:val="24"/>
              </w:rPr>
              <w:t xml:space="preserve"> costs</w:t>
            </w:r>
          </w:p>
        </w:tc>
      </w:tr>
      <w:tr w:rsidR="00BD58C0" w:rsidRPr="00BD58C0" w14:paraId="75BF314B"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477A612A" w14:textId="6596A486" w:rsidR="004B463E" w:rsidRPr="00BD58C0" w:rsidRDefault="004B463E" w:rsidP="00721EE6">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Utilities cost (electricity)</w:t>
            </w:r>
          </w:p>
        </w:tc>
        <w:tc>
          <w:tcPr>
            <w:tcW w:w="1814" w:type="dxa"/>
          </w:tcPr>
          <w:p w14:paraId="3CEE5775" w14:textId="72F9E653" w:rsidR="004B463E" w:rsidRPr="00BD58C0" w:rsidRDefault="000F0A1C" w:rsidP="00721E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0.092</w:t>
            </w:r>
          </w:p>
        </w:tc>
        <w:tc>
          <w:tcPr>
            <w:tcW w:w="2254" w:type="dxa"/>
          </w:tcPr>
          <w:p w14:paraId="1E9DFD1F" w14:textId="40D45B04" w:rsidR="004B463E" w:rsidRPr="00BD58C0" w:rsidRDefault="0062684D" w:rsidP="00721E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0.000</w:t>
            </w:r>
            <w:r w:rsidR="00091E65" w:rsidRPr="00BD58C0">
              <w:rPr>
                <w:rFonts w:ascii="Times New Roman" w:eastAsiaTheme="minorEastAsia" w:hAnsi="Times New Roman" w:cs="Times New Roman"/>
                <w:iCs/>
                <w:sz w:val="24"/>
                <w:szCs w:val="24"/>
              </w:rPr>
              <w:t>18</w:t>
            </w:r>
          </w:p>
        </w:tc>
        <w:tc>
          <w:tcPr>
            <w:tcW w:w="2254" w:type="dxa"/>
            <w:vMerge w:val="restart"/>
          </w:tcPr>
          <w:p w14:paraId="2E044B08" w14:textId="101BA286" w:rsidR="004B463E" w:rsidRPr="00BD58C0" w:rsidRDefault="005D5230" w:rsidP="00721EE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w:t>
            </w:r>
            <w:r w:rsidR="0045330A" w:rsidRPr="00BD58C0">
              <w:rPr>
                <w:rFonts w:ascii="Times New Roman" w:eastAsiaTheme="minorEastAsia" w:hAnsi="Times New Roman" w:cs="Times New Roman"/>
                <w:iCs/>
                <w:sz w:val="24"/>
                <w:szCs w:val="24"/>
              </w:rPr>
              <w:t>24</w:t>
            </w:r>
            <w:r w:rsidR="004B463E" w:rsidRPr="00BD58C0">
              <w:rPr>
                <w:rFonts w:ascii="Times New Roman" w:eastAsiaTheme="minorEastAsia" w:hAnsi="Times New Roman" w:cs="Times New Roman"/>
                <w:iCs/>
                <w:sz w:val="24"/>
                <w:szCs w:val="24"/>
              </w:rPr>
              <w:t xml:space="preserve"> </w:t>
            </w:r>
          </w:p>
        </w:tc>
      </w:tr>
      <w:tr w:rsidR="00BD58C0" w:rsidRPr="00BD58C0" w14:paraId="35B18D99"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5D4C5549" w14:textId="0F3697D2" w:rsidR="00D02739" w:rsidRPr="00BD58C0" w:rsidRDefault="00D02739" w:rsidP="00D02739">
            <w:pPr>
              <w:spacing w:line="360" w:lineRule="auto"/>
              <w:jc w:val="both"/>
              <w:rPr>
                <w:rFonts w:ascii="Times New Roman" w:eastAsiaTheme="minorEastAsia" w:hAnsi="Times New Roman" w:cs="Times New Roman"/>
                <w:iCs/>
                <w:sz w:val="24"/>
                <w:szCs w:val="24"/>
              </w:rPr>
            </w:pPr>
          </w:p>
        </w:tc>
        <w:tc>
          <w:tcPr>
            <w:tcW w:w="1814" w:type="dxa"/>
          </w:tcPr>
          <w:p w14:paraId="5470C668" w14:textId="4423A029" w:rsidR="00D02739" w:rsidRPr="00BD58C0" w:rsidRDefault="00D02739" w:rsidP="00905A0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0.11</w:t>
            </w:r>
          </w:p>
        </w:tc>
        <w:tc>
          <w:tcPr>
            <w:tcW w:w="2254" w:type="dxa"/>
          </w:tcPr>
          <w:p w14:paraId="05786B69" w14:textId="3BA50924"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0.032</w:t>
            </w:r>
          </w:p>
        </w:tc>
        <w:tc>
          <w:tcPr>
            <w:tcW w:w="2254" w:type="dxa"/>
            <w:vMerge/>
          </w:tcPr>
          <w:p w14:paraId="77BD56A2"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r>
      <w:tr w:rsidR="00BD58C0" w:rsidRPr="00BD58C0" w14:paraId="04316723"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42D2FDB6" w14:textId="13A242A4" w:rsidR="00D02739" w:rsidRPr="00BD58C0" w:rsidRDefault="00D02739" w:rsidP="00D02739">
            <w:pPr>
              <w:spacing w:line="360" w:lineRule="auto"/>
              <w:jc w:val="both"/>
              <w:rPr>
                <w:rFonts w:ascii="Times New Roman" w:eastAsiaTheme="minorEastAsia" w:hAnsi="Times New Roman" w:cs="Times New Roman"/>
                <w:b w:val="0"/>
                <w:bCs w:val="0"/>
                <w:iCs/>
                <w:sz w:val="24"/>
                <w:szCs w:val="24"/>
              </w:rPr>
            </w:pPr>
            <w:proofErr w:type="spellStart"/>
            <w:r w:rsidRPr="00BD58C0">
              <w:rPr>
                <w:rFonts w:ascii="Times New Roman" w:eastAsiaTheme="minorEastAsia" w:hAnsi="Times New Roman" w:cs="Times New Roman"/>
                <w:b w:val="0"/>
                <w:bCs w:val="0"/>
                <w:iCs/>
                <w:sz w:val="24"/>
                <w:szCs w:val="24"/>
              </w:rPr>
              <w:t>Labor</w:t>
            </w:r>
            <w:proofErr w:type="spellEnd"/>
            <w:r w:rsidRPr="00BD58C0">
              <w:rPr>
                <w:rFonts w:ascii="Times New Roman" w:eastAsiaTheme="minorEastAsia" w:hAnsi="Times New Roman" w:cs="Times New Roman"/>
                <w:b w:val="0"/>
                <w:bCs w:val="0"/>
                <w:iCs/>
                <w:sz w:val="24"/>
                <w:szCs w:val="24"/>
              </w:rPr>
              <w:t xml:space="preserve"> cost</w:t>
            </w:r>
          </w:p>
        </w:tc>
        <w:tc>
          <w:tcPr>
            <w:tcW w:w="1814" w:type="dxa"/>
          </w:tcPr>
          <w:p w14:paraId="335C0583"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c>
          <w:tcPr>
            <w:tcW w:w="2254" w:type="dxa"/>
          </w:tcPr>
          <w:p w14:paraId="6C4C369F" w14:textId="3E9137EA"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0.077</w:t>
            </w:r>
          </w:p>
        </w:tc>
        <w:tc>
          <w:tcPr>
            <w:tcW w:w="2254" w:type="dxa"/>
            <w:vMerge/>
          </w:tcPr>
          <w:p w14:paraId="42D86F44"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r>
      <w:tr w:rsidR="00BD58C0" w:rsidRPr="00BD58C0" w14:paraId="00A3809C"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764E5E9C" w14:textId="7394BA8B" w:rsidR="00D02739" w:rsidRPr="00BD58C0" w:rsidRDefault="00D02739" w:rsidP="00D02739">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Maintenance cost</w:t>
            </w:r>
          </w:p>
        </w:tc>
        <w:tc>
          <w:tcPr>
            <w:tcW w:w="1814" w:type="dxa"/>
          </w:tcPr>
          <w:p w14:paraId="37909004"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c>
          <w:tcPr>
            <w:tcW w:w="2254" w:type="dxa"/>
          </w:tcPr>
          <w:p w14:paraId="3FF1C158" w14:textId="5508D4A6"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0.20</w:t>
            </w:r>
          </w:p>
        </w:tc>
        <w:tc>
          <w:tcPr>
            <w:tcW w:w="2254" w:type="dxa"/>
            <w:vMerge/>
          </w:tcPr>
          <w:p w14:paraId="38932948"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r>
      <w:tr w:rsidR="00BD58C0" w:rsidRPr="00BD58C0" w14:paraId="151CE6C3"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743C4157" w14:textId="7413AAD2" w:rsidR="00D02739" w:rsidRPr="00BD58C0" w:rsidRDefault="00D02739" w:rsidP="00D02739">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Annualised capital cost</w:t>
            </w:r>
          </w:p>
        </w:tc>
        <w:tc>
          <w:tcPr>
            <w:tcW w:w="1814" w:type="dxa"/>
          </w:tcPr>
          <w:p w14:paraId="46A391D4"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p>
        </w:tc>
        <w:tc>
          <w:tcPr>
            <w:tcW w:w="2254" w:type="dxa"/>
          </w:tcPr>
          <w:p w14:paraId="0C1E4929" w14:textId="41CAA893"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0.22</w:t>
            </w:r>
          </w:p>
        </w:tc>
        <w:tc>
          <w:tcPr>
            <w:tcW w:w="2254" w:type="dxa"/>
          </w:tcPr>
          <w:p w14:paraId="00E966E4" w14:textId="1D55FC71"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0.35</w:t>
            </w:r>
          </w:p>
        </w:tc>
      </w:tr>
      <w:tr w:rsidR="00BD58C0" w:rsidRPr="00BD58C0" w14:paraId="583DEF89"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5CC39EF9" w14:textId="04658181" w:rsidR="00D02739" w:rsidRPr="00BD58C0" w:rsidRDefault="00D02739" w:rsidP="00D02739">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LCC </w:t>
            </w:r>
          </w:p>
        </w:tc>
        <w:tc>
          <w:tcPr>
            <w:tcW w:w="1814" w:type="dxa"/>
          </w:tcPr>
          <w:p w14:paraId="57B6971D"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p>
        </w:tc>
        <w:tc>
          <w:tcPr>
            <w:tcW w:w="2254" w:type="dxa"/>
          </w:tcPr>
          <w:p w14:paraId="12D01984" w14:textId="10C4C843"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0.53</w:t>
            </w:r>
          </w:p>
        </w:tc>
        <w:tc>
          <w:tcPr>
            <w:tcW w:w="2254" w:type="dxa"/>
          </w:tcPr>
          <w:p w14:paraId="546F9898" w14:textId="070CF6A0"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0.59</w:t>
            </w:r>
          </w:p>
        </w:tc>
      </w:tr>
      <w:tr w:rsidR="00BD58C0" w:rsidRPr="00BD58C0" w14:paraId="50622A59"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25482CAE" w14:textId="5EDB7309" w:rsidR="00D02739" w:rsidRPr="00BD58C0" w:rsidRDefault="00D02739" w:rsidP="00D02739">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Annual depreciation cost</w:t>
            </w:r>
          </w:p>
        </w:tc>
        <w:tc>
          <w:tcPr>
            <w:tcW w:w="1814" w:type="dxa"/>
          </w:tcPr>
          <w:p w14:paraId="5CE6E0BB"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p>
        </w:tc>
        <w:tc>
          <w:tcPr>
            <w:tcW w:w="2254" w:type="dxa"/>
          </w:tcPr>
          <w:p w14:paraId="204857C0" w14:textId="7B44A55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0.17</w:t>
            </w:r>
          </w:p>
        </w:tc>
        <w:tc>
          <w:tcPr>
            <w:tcW w:w="2254" w:type="dxa"/>
          </w:tcPr>
          <w:p w14:paraId="125B3738" w14:textId="28C9B0B2"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0.24</w:t>
            </w:r>
          </w:p>
        </w:tc>
      </w:tr>
      <w:tr w:rsidR="00BD58C0" w:rsidRPr="00BD58C0" w14:paraId="290D53D3" w14:textId="77777777" w:rsidTr="00321905">
        <w:tc>
          <w:tcPr>
            <w:cnfStyle w:val="001000000000" w:firstRow="0" w:lastRow="0" w:firstColumn="1" w:lastColumn="0" w:oddVBand="0" w:evenVBand="0" w:oddHBand="0" w:evenHBand="0" w:firstRowFirstColumn="0" w:firstRowLastColumn="0" w:lastRowFirstColumn="0" w:lastRowLastColumn="0"/>
            <w:tcW w:w="9016" w:type="dxa"/>
            <w:gridSpan w:val="4"/>
          </w:tcPr>
          <w:p w14:paraId="6303EFA4" w14:textId="7AE8EDDC" w:rsidR="00D02739" w:rsidRPr="00BD58C0" w:rsidRDefault="00D02739" w:rsidP="00D02739">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Revenue</w:t>
            </w:r>
          </w:p>
        </w:tc>
      </w:tr>
      <w:tr w:rsidR="00BD58C0" w:rsidRPr="00BD58C0" w14:paraId="7264A1DA"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49A4DB58" w14:textId="23AF9B30" w:rsidR="00D02739" w:rsidRPr="00BD58C0" w:rsidRDefault="00D02739" w:rsidP="00D02739">
            <w:pPr>
              <w:spacing w:line="360" w:lineRule="auto"/>
              <w:jc w:val="both"/>
              <w:rPr>
                <w:rFonts w:ascii="Times New Roman" w:eastAsiaTheme="minorEastAsia" w:hAnsi="Times New Roman" w:cs="Times New Roman"/>
                <w:b w:val="0"/>
                <w:bCs w:val="0"/>
                <w:iCs/>
                <w:sz w:val="24"/>
                <w:szCs w:val="24"/>
              </w:rPr>
            </w:pPr>
            <w:r w:rsidRPr="00BD58C0">
              <w:rPr>
                <w:rFonts w:ascii="Times New Roman" w:eastAsiaTheme="minorEastAsia" w:hAnsi="Times New Roman" w:cs="Times New Roman"/>
                <w:b w:val="0"/>
                <w:bCs w:val="0"/>
                <w:iCs/>
                <w:sz w:val="24"/>
                <w:szCs w:val="24"/>
              </w:rPr>
              <w:t xml:space="preserve">Electricity to grid </w:t>
            </w:r>
          </w:p>
        </w:tc>
        <w:tc>
          <w:tcPr>
            <w:tcW w:w="1814" w:type="dxa"/>
          </w:tcPr>
          <w:p w14:paraId="547F93B6" w14:textId="0B5EC3CF"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0.078 (CLB)</w:t>
            </w:r>
          </w:p>
        </w:tc>
        <w:tc>
          <w:tcPr>
            <w:tcW w:w="2254" w:type="dxa"/>
            <w:vMerge w:val="restart"/>
          </w:tcPr>
          <w:p w14:paraId="3D5297AA" w14:textId="1BFAA7EC"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0.57</w:t>
            </w:r>
          </w:p>
        </w:tc>
        <w:tc>
          <w:tcPr>
            <w:tcW w:w="2254" w:type="dxa"/>
            <w:vMerge w:val="restart"/>
          </w:tcPr>
          <w:p w14:paraId="249139D7" w14:textId="318D4900"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0.89</w:t>
            </w:r>
          </w:p>
        </w:tc>
      </w:tr>
      <w:tr w:rsidR="00BD58C0" w:rsidRPr="00BD58C0" w14:paraId="2B1EF8B9"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26361DEE" w14:textId="77777777" w:rsidR="00D02739" w:rsidRPr="00BD58C0" w:rsidRDefault="00D02739" w:rsidP="00D02739">
            <w:pPr>
              <w:spacing w:line="360" w:lineRule="auto"/>
              <w:jc w:val="both"/>
              <w:rPr>
                <w:rFonts w:ascii="Times New Roman" w:eastAsiaTheme="minorEastAsia" w:hAnsi="Times New Roman" w:cs="Times New Roman"/>
                <w:iCs/>
                <w:sz w:val="24"/>
                <w:szCs w:val="24"/>
              </w:rPr>
            </w:pPr>
          </w:p>
        </w:tc>
        <w:tc>
          <w:tcPr>
            <w:tcW w:w="1814" w:type="dxa"/>
          </w:tcPr>
          <w:p w14:paraId="0527085C" w14:textId="15D1E995"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0.10</w:t>
            </w:r>
            <w:proofErr w:type="gramStart"/>
            <w:r w:rsidRPr="00BD58C0">
              <w:rPr>
                <w:rFonts w:ascii="Times New Roman" w:eastAsiaTheme="minorEastAsia" w:hAnsi="Times New Roman" w:cs="Times New Roman"/>
                <w:iCs/>
                <w:sz w:val="24"/>
                <w:szCs w:val="24"/>
              </w:rPr>
              <w:t xml:space="preserve">   (</w:t>
            </w:r>
            <w:proofErr w:type="gramEnd"/>
            <w:r w:rsidRPr="00BD58C0">
              <w:rPr>
                <w:rFonts w:ascii="Times New Roman" w:eastAsiaTheme="minorEastAsia" w:hAnsi="Times New Roman" w:cs="Times New Roman"/>
                <w:iCs/>
                <w:sz w:val="24"/>
                <w:szCs w:val="24"/>
              </w:rPr>
              <w:t>CSTR)</w:t>
            </w:r>
          </w:p>
        </w:tc>
        <w:tc>
          <w:tcPr>
            <w:tcW w:w="2254" w:type="dxa"/>
            <w:vMerge/>
          </w:tcPr>
          <w:p w14:paraId="45785D2E"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c>
          <w:tcPr>
            <w:tcW w:w="2254" w:type="dxa"/>
            <w:vMerge/>
          </w:tcPr>
          <w:p w14:paraId="359B8A8C"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r>
      <w:tr w:rsidR="00BD58C0" w:rsidRPr="00BD58C0" w14:paraId="592B5D60" w14:textId="77777777" w:rsidTr="00292C26">
        <w:tc>
          <w:tcPr>
            <w:cnfStyle w:val="001000000000" w:firstRow="0" w:lastRow="0" w:firstColumn="1" w:lastColumn="0" w:oddVBand="0" w:evenVBand="0" w:oddHBand="0" w:evenHBand="0" w:firstRowFirstColumn="0" w:firstRowLastColumn="0" w:lastRowFirstColumn="0" w:lastRowLastColumn="0"/>
            <w:tcW w:w="2694" w:type="dxa"/>
          </w:tcPr>
          <w:p w14:paraId="41CBB22E" w14:textId="5BF921F6" w:rsidR="00D02739" w:rsidRPr="00BD58C0" w:rsidRDefault="00D02739" w:rsidP="00D02739">
            <w:pPr>
              <w:spacing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Annual profit</w:t>
            </w:r>
          </w:p>
        </w:tc>
        <w:tc>
          <w:tcPr>
            <w:tcW w:w="1814" w:type="dxa"/>
          </w:tcPr>
          <w:p w14:paraId="3E7F7404" w14:textId="77777777"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iCs/>
                <w:sz w:val="24"/>
                <w:szCs w:val="24"/>
              </w:rPr>
            </w:pPr>
          </w:p>
        </w:tc>
        <w:tc>
          <w:tcPr>
            <w:tcW w:w="2254" w:type="dxa"/>
          </w:tcPr>
          <w:p w14:paraId="3A92871C" w14:textId="262339F9"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0.57</w:t>
            </w:r>
          </w:p>
        </w:tc>
        <w:tc>
          <w:tcPr>
            <w:tcW w:w="2254" w:type="dxa"/>
          </w:tcPr>
          <w:p w14:paraId="225605DB" w14:textId="4B11CBBC" w:rsidR="00D02739" w:rsidRPr="00BD58C0" w:rsidRDefault="00D02739" w:rsidP="00D0273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BD58C0">
              <w:rPr>
                <w:rFonts w:ascii="Times New Roman" w:eastAsiaTheme="minorEastAsia" w:hAnsi="Times New Roman" w:cs="Times New Roman"/>
                <w:b/>
                <w:bCs/>
                <w:iCs/>
                <w:sz w:val="24"/>
                <w:szCs w:val="24"/>
              </w:rPr>
              <w:t>0.89</w:t>
            </w:r>
          </w:p>
        </w:tc>
      </w:tr>
    </w:tbl>
    <w:p w14:paraId="334009A4" w14:textId="1E81CDAA" w:rsidR="004343E3" w:rsidRPr="00BD58C0" w:rsidRDefault="004343E3" w:rsidP="004343E3">
      <w:pPr>
        <w:spacing w:after="0" w:line="360" w:lineRule="auto"/>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Current exchange rate 1 USD = 4.12 Malaysia</w:t>
      </w:r>
      <w:r w:rsidR="00843756" w:rsidRPr="00BD58C0">
        <w:rPr>
          <w:rFonts w:ascii="Times New Roman" w:eastAsiaTheme="minorEastAsia" w:hAnsi="Times New Roman" w:cs="Times New Roman"/>
          <w:iCs/>
          <w:sz w:val="24"/>
          <w:szCs w:val="24"/>
        </w:rPr>
        <w:t>n</w:t>
      </w:r>
      <w:r w:rsidRPr="00BD58C0">
        <w:rPr>
          <w:rFonts w:ascii="Times New Roman" w:eastAsiaTheme="minorEastAsia" w:hAnsi="Times New Roman" w:cs="Times New Roman"/>
          <w:iCs/>
          <w:sz w:val="24"/>
          <w:szCs w:val="24"/>
        </w:rPr>
        <w:t xml:space="preserve"> Ringgit (local currency) </w:t>
      </w:r>
    </w:p>
    <w:p w14:paraId="15EA8980" w14:textId="77777777" w:rsidR="00DD6640" w:rsidRPr="00BD58C0" w:rsidRDefault="00DD6640" w:rsidP="00944210">
      <w:pPr>
        <w:spacing w:after="0" w:line="360" w:lineRule="auto"/>
        <w:jc w:val="both"/>
        <w:rPr>
          <w:rFonts w:ascii="Times New Roman" w:eastAsiaTheme="minorEastAsia" w:hAnsi="Times New Roman" w:cs="Times New Roman"/>
          <w:iCs/>
          <w:sz w:val="24"/>
          <w:szCs w:val="24"/>
        </w:rPr>
      </w:pPr>
    </w:p>
    <w:p w14:paraId="2287C9B5" w14:textId="07193A70" w:rsidR="000E7370" w:rsidRPr="00BD58C0" w:rsidRDefault="00214B62" w:rsidP="00944210">
      <w:pPr>
        <w:spacing w:after="0" w:line="360" w:lineRule="auto"/>
        <w:jc w:val="both"/>
        <w:rPr>
          <w:rFonts w:ascii="Times New Roman" w:eastAsiaTheme="minorEastAsia" w:hAnsi="Times New Roman" w:cs="Times New Roman"/>
          <w:i/>
          <w:sz w:val="24"/>
          <w:szCs w:val="24"/>
        </w:rPr>
      </w:pPr>
      <w:r w:rsidRPr="00BD58C0">
        <w:rPr>
          <w:rFonts w:ascii="Times New Roman" w:eastAsiaTheme="minorEastAsia" w:hAnsi="Times New Roman" w:cs="Times New Roman"/>
          <w:i/>
          <w:sz w:val="24"/>
          <w:szCs w:val="24"/>
        </w:rPr>
        <w:t>4</w:t>
      </w:r>
      <w:r w:rsidR="000E7370" w:rsidRPr="00BD58C0">
        <w:rPr>
          <w:rFonts w:ascii="Times New Roman" w:eastAsiaTheme="minorEastAsia" w:hAnsi="Times New Roman" w:cs="Times New Roman"/>
          <w:i/>
          <w:sz w:val="24"/>
          <w:szCs w:val="24"/>
        </w:rPr>
        <w:t>.</w:t>
      </w:r>
      <w:r w:rsidR="007B56EE" w:rsidRPr="00BD58C0">
        <w:rPr>
          <w:rFonts w:ascii="Times New Roman" w:eastAsiaTheme="minorEastAsia" w:hAnsi="Times New Roman" w:cs="Times New Roman"/>
          <w:i/>
          <w:sz w:val="24"/>
          <w:szCs w:val="24"/>
        </w:rPr>
        <w:t>1.</w:t>
      </w:r>
      <w:r w:rsidR="000E7370" w:rsidRPr="00BD58C0">
        <w:rPr>
          <w:rFonts w:ascii="Times New Roman" w:eastAsiaTheme="minorEastAsia" w:hAnsi="Times New Roman" w:cs="Times New Roman"/>
          <w:i/>
          <w:sz w:val="24"/>
          <w:szCs w:val="24"/>
        </w:rPr>
        <w:t>2.</w:t>
      </w:r>
      <w:r w:rsidR="000E7370" w:rsidRPr="00BD58C0">
        <w:rPr>
          <w:rFonts w:ascii="Times New Roman" w:eastAsiaTheme="minorEastAsia" w:hAnsi="Times New Roman" w:cs="Times New Roman"/>
          <w:i/>
          <w:sz w:val="24"/>
          <w:szCs w:val="24"/>
        </w:rPr>
        <w:tab/>
        <w:t>Results of the economic analysis</w:t>
      </w:r>
    </w:p>
    <w:p w14:paraId="43CA86E7" w14:textId="67218435" w:rsidR="000E7370" w:rsidRPr="00BD58C0" w:rsidRDefault="000E7370" w:rsidP="00944210">
      <w:pPr>
        <w:spacing w:after="0" w:line="360" w:lineRule="auto"/>
        <w:jc w:val="both"/>
        <w:rPr>
          <w:rFonts w:ascii="Times New Roman" w:eastAsiaTheme="minorEastAsia" w:hAnsi="Times New Roman" w:cs="Times New Roman"/>
          <w:i/>
          <w:sz w:val="24"/>
          <w:szCs w:val="24"/>
        </w:rPr>
      </w:pPr>
    </w:p>
    <w:p w14:paraId="23820BA4" w14:textId="29701963" w:rsidR="00B268CA" w:rsidRPr="00BD58C0" w:rsidRDefault="001600E6" w:rsidP="0011302A">
      <w:pPr>
        <w:spacing w:after="0" w:line="360" w:lineRule="auto"/>
        <w:ind w:firstLine="720"/>
        <w:jc w:val="both"/>
        <w:rPr>
          <w:rFonts w:ascii="Times New Roman" w:eastAsiaTheme="minorEastAsia" w:hAnsi="Times New Roman" w:cs="Times New Roman"/>
          <w:iCs/>
          <w:sz w:val="24"/>
          <w:szCs w:val="24"/>
        </w:rPr>
      </w:pPr>
      <w:r w:rsidRPr="00BD58C0">
        <w:rPr>
          <w:rFonts w:ascii="Times New Roman" w:eastAsiaTheme="minorEastAsia" w:hAnsi="Times New Roman" w:cs="Times New Roman"/>
          <w:iCs/>
          <w:sz w:val="24"/>
          <w:szCs w:val="24"/>
        </w:rPr>
        <w:t xml:space="preserve">The NPV, ROI and PP of the CLB and CSTR systems are shown in Fig. </w:t>
      </w:r>
      <w:r w:rsidR="00EC506D" w:rsidRPr="00BD58C0">
        <w:rPr>
          <w:rFonts w:ascii="Times New Roman" w:eastAsiaTheme="minorEastAsia" w:hAnsi="Times New Roman" w:cs="Times New Roman"/>
          <w:iCs/>
          <w:sz w:val="24"/>
          <w:szCs w:val="24"/>
        </w:rPr>
        <w:t>2</w:t>
      </w:r>
      <w:r w:rsidRPr="00BD58C0">
        <w:rPr>
          <w:rFonts w:ascii="Times New Roman" w:eastAsiaTheme="minorEastAsia" w:hAnsi="Times New Roman" w:cs="Times New Roman"/>
          <w:iCs/>
          <w:sz w:val="24"/>
          <w:szCs w:val="24"/>
        </w:rPr>
        <w:t xml:space="preserve">. </w:t>
      </w:r>
      <w:r w:rsidR="008A344E" w:rsidRPr="00BD58C0">
        <w:rPr>
          <w:rFonts w:ascii="Times New Roman" w:eastAsiaTheme="minorEastAsia" w:hAnsi="Times New Roman" w:cs="Times New Roman"/>
          <w:iCs/>
          <w:sz w:val="24"/>
          <w:szCs w:val="24"/>
        </w:rPr>
        <w:t xml:space="preserve">The </w:t>
      </w:r>
      <w:r w:rsidR="005570AC" w:rsidRPr="00BD58C0">
        <w:rPr>
          <w:rFonts w:ascii="Times New Roman" w:eastAsiaTheme="minorEastAsia" w:hAnsi="Times New Roman" w:cs="Times New Roman"/>
          <w:iCs/>
          <w:sz w:val="24"/>
          <w:szCs w:val="24"/>
        </w:rPr>
        <w:t>CSTR system has the highe</w:t>
      </w:r>
      <w:r w:rsidR="00103E52" w:rsidRPr="00BD58C0">
        <w:rPr>
          <w:rFonts w:ascii="Times New Roman" w:eastAsiaTheme="minorEastAsia" w:hAnsi="Times New Roman" w:cs="Times New Roman"/>
          <w:iCs/>
          <w:sz w:val="24"/>
          <w:szCs w:val="24"/>
        </w:rPr>
        <w:t>st</w:t>
      </w:r>
      <w:r w:rsidR="005570AC" w:rsidRPr="00BD58C0">
        <w:rPr>
          <w:rFonts w:ascii="Times New Roman" w:eastAsiaTheme="minorEastAsia" w:hAnsi="Times New Roman" w:cs="Times New Roman"/>
          <w:iCs/>
          <w:sz w:val="24"/>
          <w:szCs w:val="24"/>
        </w:rPr>
        <w:t xml:space="preserve"> NPV of </w:t>
      </w:r>
      <w:r w:rsidR="00D2762C" w:rsidRPr="00BD58C0">
        <w:rPr>
          <w:rFonts w:ascii="Times New Roman" w:eastAsiaTheme="minorEastAsia" w:hAnsi="Times New Roman" w:cs="Times New Roman"/>
          <w:iCs/>
          <w:sz w:val="24"/>
          <w:szCs w:val="24"/>
        </w:rPr>
        <w:t>0.</w:t>
      </w:r>
      <w:r w:rsidR="00B0479C" w:rsidRPr="00BD58C0">
        <w:rPr>
          <w:rFonts w:ascii="Times New Roman" w:eastAsiaTheme="minorEastAsia" w:hAnsi="Times New Roman" w:cs="Times New Roman"/>
          <w:iCs/>
          <w:sz w:val="24"/>
          <w:szCs w:val="24"/>
        </w:rPr>
        <w:t>54</w:t>
      </w:r>
      <w:r w:rsidR="005570AC" w:rsidRPr="00BD58C0">
        <w:rPr>
          <w:rFonts w:ascii="Times New Roman" w:eastAsiaTheme="minorEastAsia" w:hAnsi="Times New Roman" w:cs="Times New Roman"/>
          <w:iCs/>
          <w:sz w:val="24"/>
          <w:szCs w:val="24"/>
        </w:rPr>
        <w:t xml:space="preserve"> </w:t>
      </w:r>
      <w:proofErr w:type="gramStart"/>
      <w:r w:rsidR="005570AC" w:rsidRPr="00BD58C0">
        <w:rPr>
          <w:rFonts w:ascii="Times New Roman" w:eastAsiaTheme="minorEastAsia" w:hAnsi="Times New Roman" w:cs="Times New Roman"/>
          <w:iCs/>
          <w:sz w:val="24"/>
          <w:szCs w:val="24"/>
        </w:rPr>
        <w:t>Million</w:t>
      </w:r>
      <w:proofErr w:type="gramEnd"/>
      <w:r w:rsidR="005570AC" w:rsidRPr="00BD58C0">
        <w:rPr>
          <w:rFonts w:ascii="Times New Roman" w:eastAsiaTheme="minorEastAsia" w:hAnsi="Times New Roman" w:cs="Times New Roman"/>
          <w:iCs/>
          <w:sz w:val="24"/>
          <w:szCs w:val="24"/>
        </w:rPr>
        <w:t xml:space="preserve"> </w:t>
      </w:r>
      <w:r w:rsidR="00D2762C" w:rsidRPr="00BD58C0">
        <w:rPr>
          <w:rFonts w:ascii="Times New Roman" w:eastAsiaTheme="minorEastAsia" w:hAnsi="Times New Roman" w:cs="Times New Roman"/>
          <w:iCs/>
          <w:sz w:val="24"/>
          <w:szCs w:val="24"/>
        </w:rPr>
        <w:t>USD</w:t>
      </w:r>
      <w:r w:rsidR="005570AC" w:rsidRPr="00BD58C0">
        <w:rPr>
          <w:rFonts w:ascii="Times New Roman" w:eastAsiaTheme="minorEastAsia" w:hAnsi="Times New Roman" w:cs="Times New Roman"/>
          <w:iCs/>
          <w:sz w:val="24"/>
          <w:szCs w:val="24"/>
        </w:rPr>
        <w:t>/y</w:t>
      </w:r>
      <w:r w:rsidR="0071135C" w:rsidRPr="00BD58C0">
        <w:rPr>
          <w:rFonts w:ascii="Times New Roman" w:eastAsiaTheme="minorEastAsia" w:hAnsi="Times New Roman" w:cs="Times New Roman"/>
          <w:iCs/>
          <w:sz w:val="24"/>
          <w:szCs w:val="24"/>
        </w:rPr>
        <w:t>ear</w:t>
      </w:r>
      <w:r w:rsidR="005570AC" w:rsidRPr="00BD58C0">
        <w:rPr>
          <w:rFonts w:ascii="Times New Roman" w:eastAsiaTheme="minorEastAsia" w:hAnsi="Times New Roman" w:cs="Times New Roman"/>
          <w:iCs/>
          <w:sz w:val="24"/>
          <w:szCs w:val="24"/>
        </w:rPr>
        <w:t>, highe</w:t>
      </w:r>
      <w:r w:rsidR="00103E52" w:rsidRPr="00BD58C0">
        <w:rPr>
          <w:rFonts w:ascii="Times New Roman" w:eastAsiaTheme="minorEastAsia" w:hAnsi="Times New Roman" w:cs="Times New Roman"/>
          <w:iCs/>
          <w:sz w:val="24"/>
          <w:szCs w:val="24"/>
        </w:rPr>
        <w:t>st</w:t>
      </w:r>
      <w:r w:rsidR="005570AC" w:rsidRPr="00BD58C0">
        <w:rPr>
          <w:rFonts w:ascii="Times New Roman" w:eastAsiaTheme="minorEastAsia" w:hAnsi="Times New Roman" w:cs="Times New Roman"/>
          <w:iCs/>
          <w:sz w:val="24"/>
          <w:szCs w:val="24"/>
        </w:rPr>
        <w:t xml:space="preserve"> ROI</w:t>
      </w:r>
      <w:r w:rsidR="007F1C38" w:rsidRPr="00BD58C0">
        <w:rPr>
          <w:rFonts w:ascii="Times New Roman" w:eastAsiaTheme="minorEastAsia" w:hAnsi="Times New Roman" w:cs="Times New Roman"/>
          <w:iCs/>
          <w:sz w:val="24"/>
          <w:szCs w:val="24"/>
        </w:rPr>
        <w:t xml:space="preserve"> </w:t>
      </w:r>
      <w:r w:rsidR="00643009" w:rsidRPr="00BD58C0">
        <w:rPr>
          <w:rFonts w:ascii="Times New Roman" w:eastAsiaTheme="minorEastAsia" w:hAnsi="Times New Roman" w:cs="Times New Roman"/>
          <w:iCs/>
          <w:sz w:val="24"/>
          <w:szCs w:val="24"/>
        </w:rPr>
        <w:t xml:space="preserve">of </w:t>
      </w:r>
      <w:r w:rsidR="006939F3" w:rsidRPr="00BD58C0">
        <w:rPr>
          <w:rFonts w:ascii="Times New Roman" w:eastAsiaTheme="minorEastAsia" w:hAnsi="Times New Roman" w:cs="Times New Roman"/>
          <w:iCs/>
          <w:sz w:val="24"/>
          <w:szCs w:val="24"/>
        </w:rPr>
        <w:t>1</w:t>
      </w:r>
      <w:r w:rsidR="00B0479C" w:rsidRPr="00BD58C0">
        <w:rPr>
          <w:rFonts w:ascii="Times New Roman" w:eastAsiaTheme="minorEastAsia" w:hAnsi="Times New Roman" w:cs="Times New Roman"/>
          <w:iCs/>
          <w:sz w:val="24"/>
          <w:szCs w:val="24"/>
        </w:rPr>
        <w:t>1.73</w:t>
      </w:r>
      <w:r w:rsidR="006939F3" w:rsidRPr="00BD58C0">
        <w:rPr>
          <w:rFonts w:ascii="Times New Roman" w:eastAsiaTheme="minorEastAsia" w:hAnsi="Times New Roman" w:cs="Times New Roman"/>
          <w:iCs/>
          <w:sz w:val="24"/>
          <w:szCs w:val="24"/>
        </w:rPr>
        <w:t>% and shorte</w:t>
      </w:r>
      <w:r w:rsidR="00103E52" w:rsidRPr="00BD58C0">
        <w:rPr>
          <w:rFonts w:ascii="Times New Roman" w:eastAsiaTheme="minorEastAsia" w:hAnsi="Times New Roman" w:cs="Times New Roman"/>
          <w:iCs/>
          <w:sz w:val="24"/>
          <w:szCs w:val="24"/>
        </w:rPr>
        <w:t>st</w:t>
      </w:r>
      <w:r w:rsidR="006939F3" w:rsidRPr="00BD58C0">
        <w:rPr>
          <w:rFonts w:ascii="Times New Roman" w:eastAsiaTheme="minorEastAsia" w:hAnsi="Times New Roman" w:cs="Times New Roman"/>
          <w:iCs/>
          <w:sz w:val="24"/>
          <w:szCs w:val="24"/>
        </w:rPr>
        <w:t xml:space="preserve"> PP of </w:t>
      </w:r>
      <w:r w:rsidR="00B0479C" w:rsidRPr="00BD58C0">
        <w:rPr>
          <w:rFonts w:ascii="Times New Roman" w:eastAsiaTheme="minorEastAsia" w:hAnsi="Times New Roman" w:cs="Times New Roman"/>
          <w:iCs/>
          <w:sz w:val="24"/>
          <w:szCs w:val="24"/>
        </w:rPr>
        <w:t>8.5</w:t>
      </w:r>
      <w:r w:rsidR="00B40B6E" w:rsidRPr="00BD58C0">
        <w:rPr>
          <w:rFonts w:ascii="Times New Roman" w:eastAsiaTheme="minorEastAsia" w:hAnsi="Times New Roman" w:cs="Times New Roman"/>
          <w:iCs/>
          <w:sz w:val="24"/>
          <w:szCs w:val="24"/>
        </w:rPr>
        <w:t xml:space="preserve"> years</w:t>
      </w:r>
      <w:r w:rsidR="009278BA" w:rsidRPr="00BD58C0">
        <w:rPr>
          <w:rFonts w:ascii="Times New Roman" w:eastAsiaTheme="minorEastAsia" w:hAnsi="Times New Roman" w:cs="Times New Roman"/>
          <w:iCs/>
          <w:sz w:val="24"/>
          <w:szCs w:val="24"/>
        </w:rPr>
        <w:t>,</w:t>
      </w:r>
      <w:r w:rsidR="00B40B6E" w:rsidRPr="00BD58C0">
        <w:rPr>
          <w:rFonts w:ascii="Times New Roman" w:eastAsiaTheme="minorEastAsia" w:hAnsi="Times New Roman" w:cs="Times New Roman"/>
          <w:iCs/>
          <w:sz w:val="24"/>
          <w:szCs w:val="24"/>
        </w:rPr>
        <w:t xml:space="preserve"> compared to</w:t>
      </w:r>
      <w:r w:rsidR="009278BA" w:rsidRPr="00BD58C0">
        <w:rPr>
          <w:rFonts w:ascii="Times New Roman" w:eastAsiaTheme="minorEastAsia" w:hAnsi="Times New Roman" w:cs="Times New Roman"/>
          <w:iCs/>
          <w:sz w:val="24"/>
          <w:szCs w:val="24"/>
        </w:rPr>
        <w:t xml:space="preserve"> the</w:t>
      </w:r>
      <w:r w:rsidR="00B40B6E" w:rsidRPr="00BD58C0">
        <w:rPr>
          <w:rFonts w:ascii="Times New Roman" w:eastAsiaTheme="minorEastAsia" w:hAnsi="Times New Roman" w:cs="Times New Roman"/>
          <w:iCs/>
          <w:sz w:val="24"/>
          <w:szCs w:val="24"/>
        </w:rPr>
        <w:t xml:space="preserve"> CLB system with NPV </w:t>
      </w:r>
      <w:r w:rsidR="00843756" w:rsidRPr="00BD58C0">
        <w:rPr>
          <w:rFonts w:ascii="Times New Roman" w:eastAsiaTheme="minorEastAsia" w:hAnsi="Times New Roman" w:cs="Times New Roman"/>
          <w:iCs/>
          <w:sz w:val="24"/>
          <w:szCs w:val="24"/>
        </w:rPr>
        <w:t xml:space="preserve">of </w:t>
      </w:r>
      <w:r w:rsidR="007B56EE" w:rsidRPr="00BD58C0">
        <w:rPr>
          <w:rFonts w:ascii="Times New Roman" w:eastAsiaTheme="minorEastAsia" w:hAnsi="Times New Roman" w:cs="Times New Roman"/>
          <w:iCs/>
          <w:sz w:val="24"/>
          <w:szCs w:val="24"/>
        </w:rPr>
        <w:t>0.22 Million USD/year, ROI of 7.79% and PP of 12.</w:t>
      </w:r>
      <w:r w:rsidR="00B0479C" w:rsidRPr="00BD58C0">
        <w:rPr>
          <w:rFonts w:ascii="Times New Roman" w:eastAsiaTheme="minorEastAsia" w:hAnsi="Times New Roman" w:cs="Times New Roman"/>
          <w:iCs/>
          <w:sz w:val="24"/>
          <w:szCs w:val="24"/>
        </w:rPr>
        <w:t>6</w:t>
      </w:r>
      <w:r w:rsidR="007B56EE" w:rsidRPr="00BD58C0">
        <w:rPr>
          <w:rFonts w:ascii="Times New Roman" w:eastAsiaTheme="minorEastAsia" w:hAnsi="Times New Roman" w:cs="Times New Roman"/>
          <w:iCs/>
          <w:sz w:val="24"/>
          <w:szCs w:val="24"/>
        </w:rPr>
        <w:t xml:space="preserve"> years. </w:t>
      </w:r>
      <w:r w:rsidR="00B50707" w:rsidRPr="00BD58C0">
        <w:rPr>
          <w:rFonts w:ascii="Times New Roman" w:eastAsiaTheme="minorEastAsia" w:hAnsi="Times New Roman" w:cs="Times New Roman"/>
          <w:iCs/>
          <w:sz w:val="24"/>
          <w:szCs w:val="24"/>
        </w:rPr>
        <w:t>T</w:t>
      </w:r>
      <w:r w:rsidR="007B56EE" w:rsidRPr="00BD58C0">
        <w:rPr>
          <w:rFonts w:ascii="Times New Roman" w:eastAsiaTheme="minorEastAsia" w:hAnsi="Times New Roman" w:cs="Times New Roman"/>
          <w:iCs/>
          <w:sz w:val="24"/>
          <w:szCs w:val="24"/>
        </w:rPr>
        <w:t>he CSTR system seems to be mo</w:t>
      </w:r>
      <w:r w:rsidR="00995B33" w:rsidRPr="00BD58C0">
        <w:rPr>
          <w:rFonts w:ascii="Times New Roman" w:eastAsiaTheme="minorEastAsia" w:hAnsi="Times New Roman" w:cs="Times New Roman"/>
          <w:iCs/>
          <w:sz w:val="24"/>
          <w:szCs w:val="24"/>
        </w:rPr>
        <w:t xml:space="preserve">st </w:t>
      </w:r>
      <w:r w:rsidR="007B56EE" w:rsidRPr="00BD58C0">
        <w:rPr>
          <w:rFonts w:ascii="Times New Roman" w:eastAsiaTheme="minorEastAsia" w:hAnsi="Times New Roman" w:cs="Times New Roman"/>
          <w:iCs/>
          <w:sz w:val="24"/>
          <w:szCs w:val="24"/>
        </w:rPr>
        <w:t>economically feasible. Previous studies [</w:t>
      </w:r>
      <w:r w:rsidR="0045012C" w:rsidRPr="00BD58C0">
        <w:rPr>
          <w:rFonts w:ascii="Times New Roman" w:eastAsiaTheme="minorEastAsia" w:hAnsi="Times New Roman" w:cs="Times New Roman"/>
          <w:iCs/>
          <w:sz w:val="24"/>
          <w:szCs w:val="24"/>
        </w:rPr>
        <w:t>22</w:t>
      </w:r>
      <w:r w:rsidR="007B56EE" w:rsidRPr="00BD58C0">
        <w:rPr>
          <w:rFonts w:ascii="Times New Roman" w:eastAsiaTheme="minorEastAsia" w:hAnsi="Times New Roman" w:cs="Times New Roman"/>
          <w:iCs/>
          <w:sz w:val="24"/>
          <w:szCs w:val="24"/>
        </w:rPr>
        <w:t>,</w:t>
      </w:r>
      <w:r w:rsidR="0064205C" w:rsidRPr="00BD58C0">
        <w:rPr>
          <w:rFonts w:ascii="Times New Roman" w:eastAsiaTheme="minorEastAsia" w:hAnsi="Times New Roman" w:cs="Times New Roman"/>
          <w:iCs/>
          <w:sz w:val="24"/>
          <w:szCs w:val="24"/>
        </w:rPr>
        <w:t>2</w:t>
      </w:r>
      <w:r w:rsidR="0045012C" w:rsidRPr="00BD58C0">
        <w:rPr>
          <w:rFonts w:ascii="Times New Roman" w:eastAsiaTheme="minorEastAsia" w:hAnsi="Times New Roman" w:cs="Times New Roman"/>
          <w:iCs/>
          <w:sz w:val="24"/>
          <w:szCs w:val="24"/>
        </w:rPr>
        <w:t>3</w:t>
      </w:r>
      <w:r w:rsidR="007B56EE" w:rsidRPr="00BD58C0">
        <w:rPr>
          <w:rFonts w:ascii="Times New Roman" w:eastAsiaTheme="minorEastAsia" w:hAnsi="Times New Roman" w:cs="Times New Roman"/>
          <w:iCs/>
          <w:sz w:val="24"/>
          <w:szCs w:val="24"/>
        </w:rPr>
        <w:t>,</w:t>
      </w:r>
      <w:r w:rsidR="00733C40" w:rsidRPr="00BD58C0">
        <w:rPr>
          <w:rFonts w:ascii="Times New Roman" w:eastAsiaTheme="minorEastAsia" w:hAnsi="Times New Roman" w:cs="Times New Roman"/>
          <w:iCs/>
          <w:sz w:val="24"/>
          <w:szCs w:val="24"/>
        </w:rPr>
        <w:t>9</w:t>
      </w:r>
      <w:r w:rsidR="007B56EE" w:rsidRPr="00BD58C0">
        <w:rPr>
          <w:rFonts w:ascii="Times New Roman" w:eastAsiaTheme="minorEastAsia" w:hAnsi="Times New Roman" w:cs="Times New Roman"/>
          <w:iCs/>
          <w:sz w:val="24"/>
          <w:szCs w:val="24"/>
        </w:rPr>
        <w:t>] have performed estimated cost-benefit calculations comparing the lagoon (CLB) and tank system. All three studies reported that for on-grid electricity generation, a digester tank has a PP of 8.3 years while the CLB system has a PP of 6.2 years without any additional bonuses provided. Additional bonus</w:t>
      </w:r>
      <w:r w:rsidR="00B50707" w:rsidRPr="00BD58C0">
        <w:rPr>
          <w:rFonts w:ascii="Times New Roman" w:eastAsiaTheme="minorEastAsia" w:hAnsi="Times New Roman" w:cs="Times New Roman"/>
          <w:iCs/>
          <w:sz w:val="24"/>
          <w:szCs w:val="24"/>
        </w:rPr>
        <w:t>es are</w:t>
      </w:r>
      <w:r w:rsidR="007B56EE" w:rsidRPr="00BD58C0">
        <w:rPr>
          <w:rFonts w:ascii="Times New Roman" w:eastAsiaTheme="minorEastAsia" w:hAnsi="Times New Roman" w:cs="Times New Roman"/>
          <w:iCs/>
          <w:sz w:val="24"/>
          <w:szCs w:val="24"/>
        </w:rPr>
        <w:t xml:space="preserve"> only given for the use of gas engine technology with an electrical efficiency </w:t>
      </w:r>
      <w:r w:rsidR="0011302A" w:rsidRPr="00BD58C0">
        <w:rPr>
          <w:rFonts w:ascii="Times New Roman" w:eastAsiaTheme="minorEastAsia" w:hAnsi="Times New Roman" w:cs="Times New Roman"/>
          <w:iCs/>
          <w:sz w:val="24"/>
          <w:szCs w:val="24"/>
        </w:rPr>
        <w:t>of &gt;</w:t>
      </w:r>
      <w:r w:rsidR="007B56EE" w:rsidRPr="00BD58C0">
        <w:rPr>
          <w:rFonts w:ascii="Times New Roman" w:eastAsiaTheme="minorEastAsia" w:hAnsi="Times New Roman" w:cs="Times New Roman"/>
          <w:iCs/>
          <w:sz w:val="24"/>
          <w:szCs w:val="24"/>
        </w:rPr>
        <w:t>40% and the use of locally manufactured and assembled gas engine technology [</w:t>
      </w:r>
      <w:r w:rsidR="00A85595" w:rsidRPr="00BD58C0">
        <w:rPr>
          <w:rFonts w:ascii="Times New Roman" w:eastAsiaTheme="minorEastAsia" w:hAnsi="Times New Roman" w:cs="Times New Roman"/>
          <w:iCs/>
          <w:sz w:val="24"/>
          <w:szCs w:val="24"/>
        </w:rPr>
        <w:t>5</w:t>
      </w:r>
      <w:r w:rsidR="0045012C" w:rsidRPr="00BD58C0">
        <w:rPr>
          <w:rFonts w:ascii="Times New Roman" w:eastAsiaTheme="minorEastAsia" w:hAnsi="Times New Roman" w:cs="Times New Roman"/>
          <w:iCs/>
          <w:sz w:val="24"/>
          <w:szCs w:val="24"/>
        </w:rPr>
        <w:t>7</w:t>
      </w:r>
      <w:r w:rsidR="007B56EE" w:rsidRPr="00BD58C0">
        <w:rPr>
          <w:rFonts w:ascii="Times New Roman" w:eastAsiaTheme="minorEastAsia" w:hAnsi="Times New Roman" w:cs="Times New Roman"/>
          <w:iCs/>
          <w:sz w:val="24"/>
          <w:szCs w:val="24"/>
        </w:rPr>
        <w:t>]. In th</w:t>
      </w:r>
      <w:r w:rsidR="00393B57">
        <w:rPr>
          <w:rFonts w:ascii="Times New Roman" w:eastAsiaTheme="minorEastAsia" w:hAnsi="Times New Roman" w:cs="Times New Roman"/>
          <w:iCs/>
          <w:sz w:val="24"/>
          <w:szCs w:val="24"/>
        </w:rPr>
        <w:t>e present</w:t>
      </w:r>
      <w:r w:rsidR="007B56EE" w:rsidRPr="00BD58C0">
        <w:rPr>
          <w:rFonts w:ascii="Times New Roman" w:eastAsiaTheme="minorEastAsia" w:hAnsi="Times New Roman" w:cs="Times New Roman"/>
          <w:iCs/>
          <w:sz w:val="24"/>
          <w:szCs w:val="24"/>
        </w:rPr>
        <w:t xml:space="preserve"> study, the CSTR system has a PP of </w:t>
      </w:r>
      <w:r w:rsidR="00B0479C" w:rsidRPr="00BD58C0">
        <w:rPr>
          <w:rFonts w:ascii="Times New Roman" w:eastAsiaTheme="minorEastAsia" w:hAnsi="Times New Roman" w:cs="Times New Roman"/>
          <w:iCs/>
          <w:sz w:val="24"/>
          <w:szCs w:val="24"/>
        </w:rPr>
        <w:t>8.5</w:t>
      </w:r>
      <w:r w:rsidR="007B56EE" w:rsidRPr="00BD58C0">
        <w:rPr>
          <w:rFonts w:ascii="Times New Roman" w:eastAsiaTheme="minorEastAsia" w:hAnsi="Times New Roman" w:cs="Times New Roman"/>
          <w:iCs/>
          <w:sz w:val="24"/>
          <w:szCs w:val="24"/>
        </w:rPr>
        <w:t xml:space="preserve"> years which is slightly higher compared to the previous studies due to the difference in total capital cost and operational cost. The CLB system has a PP of 12.</w:t>
      </w:r>
      <w:r w:rsidR="00B0479C" w:rsidRPr="00BD58C0">
        <w:rPr>
          <w:rFonts w:ascii="Times New Roman" w:eastAsiaTheme="minorEastAsia" w:hAnsi="Times New Roman" w:cs="Times New Roman"/>
          <w:iCs/>
          <w:sz w:val="24"/>
          <w:szCs w:val="24"/>
        </w:rPr>
        <w:t>6</w:t>
      </w:r>
      <w:r w:rsidR="007B56EE" w:rsidRPr="00BD58C0">
        <w:rPr>
          <w:rFonts w:ascii="Times New Roman" w:eastAsiaTheme="minorEastAsia" w:hAnsi="Times New Roman" w:cs="Times New Roman"/>
          <w:iCs/>
          <w:sz w:val="24"/>
          <w:szCs w:val="24"/>
        </w:rPr>
        <w:t xml:space="preserve"> years which is double the PP from the previous studies and greater than the CSTR system, even though the total capital cost of </w:t>
      </w:r>
      <w:r w:rsidR="00367B4C" w:rsidRPr="00BD58C0">
        <w:rPr>
          <w:rFonts w:ascii="Times New Roman" w:eastAsiaTheme="minorEastAsia" w:hAnsi="Times New Roman" w:cs="Times New Roman"/>
          <w:iCs/>
          <w:sz w:val="24"/>
          <w:szCs w:val="24"/>
        </w:rPr>
        <w:t xml:space="preserve">the </w:t>
      </w:r>
      <w:r w:rsidR="007B56EE" w:rsidRPr="00BD58C0">
        <w:rPr>
          <w:rFonts w:ascii="Times New Roman" w:eastAsiaTheme="minorEastAsia" w:hAnsi="Times New Roman" w:cs="Times New Roman"/>
          <w:iCs/>
          <w:sz w:val="24"/>
          <w:szCs w:val="24"/>
        </w:rPr>
        <w:t>CLB is lower than</w:t>
      </w:r>
      <w:r w:rsidR="00367B4C" w:rsidRPr="00BD58C0">
        <w:rPr>
          <w:rFonts w:ascii="Times New Roman" w:eastAsiaTheme="minorEastAsia" w:hAnsi="Times New Roman" w:cs="Times New Roman"/>
          <w:iCs/>
          <w:sz w:val="24"/>
          <w:szCs w:val="24"/>
        </w:rPr>
        <w:t xml:space="preserve"> that of the</w:t>
      </w:r>
      <w:r w:rsidR="007B56EE" w:rsidRPr="00BD58C0">
        <w:rPr>
          <w:rFonts w:ascii="Times New Roman" w:eastAsiaTheme="minorEastAsia" w:hAnsi="Times New Roman" w:cs="Times New Roman"/>
          <w:iCs/>
          <w:sz w:val="24"/>
          <w:szCs w:val="24"/>
        </w:rPr>
        <w:t xml:space="preserve"> CSTR. The main reason for the longer PP could be </w:t>
      </w:r>
      <w:r w:rsidR="007B56EE" w:rsidRPr="00BD58C0">
        <w:rPr>
          <w:rFonts w:ascii="Times New Roman" w:eastAsiaTheme="minorEastAsia" w:hAnsi="Times New Roman" w:cs="Times New Roman"/>
          <w:iCs/>
          <w:sz w:val="24"/>
          <w:szCs w:val="24"/>
        </w:rPr>
        <w:lastRenderedPageBreak/>
        <w:t xml:space="preserve">the lower </w:t>
      </w:r>
      <w:proofErr w:type="spellStart"/>
      <w:r w:rsidR="007B56EE" w:rsidRPr="00BD58C0">
        <w:rPr>
          <w:rFonts w:ascii="Times New Roman" w:eastAsiaTheme="minorEastAsia" w:hAnsi="Times New Roman" w:cs="Times New Roman"/>
          <w:iCs/>
          <w:sz w:val="24"/>
          <w:szCs w:val="24"/>
        </w:rPr>
        <w:t>FiT</w:t>
      </w:r>
      <w:proofErr w:type="spellEnd"/>
      <w:r w:rsidR="007B56EE" w:rsidRPr="00BD58C0">
        <w:rPr>
          <w:rFonts w:ascii="Times New Roman" w:eastAsiaTheme="minorEastAsia" w:hAnsi="Times New Roman" w:cs="Times New Roman"/>
          <w:iCs/>
          <w:sz w:val="24"/>
          <w:szCs w:val="24"/>
        </w:rPr>
        <w:t xml:space="preserve"> rate provided for the electricity sold to the grid by </w:t>
      </w:r>
      <w:r w:rsidR="00E65AB7" w:rsidRPr="00BD58C0">
        <w:rPr>
          <w:rFonts w:ascii="Times New Roman" w:eastAsiaTheme="minorEastAsia" w:hAnsi="Times New Roman" w:cs="Times New Roman"/>
          <w:iCs/>
          <w:sz w:val="24"/>
          <w:szCs w:val="24"/>
        </w:rPr>
        <w:t>POM</w:t>
      </w:r>
      <w:r w:rsidR="007B56EE" w:rsidRPr="00BD58C0">
        <w:rPr>
          <w:rFonts w:ascii="Times New Roman" w:eastAsiaTheme="minorEastAsia" w:hAnsi="Times New Roman" w:cs="Times New Roman"/>
          <w:iCs/>
          <w:sz w:val="24"/>
          <w:szCs w:val="24"/>
        </w:rPr>
        <w:t xml:space="preserve"> 1, and the higher operational cost. The higher operational cost for the CLB is due to high maintenance requirements (</w:t>
      </w:r>
      <w:r w:rsidR="00D36109" w:rsidRPr="00BD58C0">
        <w:rPr>
          <w:rFonts w:ascii="Times New Roman" w:eastAsiaTheme="minorEastAsia" w:hAnsi="Times New Roman" w:cs="Times New Roman"/>
          <w:iCs/>
          <w:sz w:val="24"/>
          <w:szCs w:val="24"/>
        </w:rPr>
        <w:t>i.e.,</w:t>
      </w:r>
      <w:r w:rsidR="007B56EE" w:rsidRPr="00BD58C0">
        <w:rPr>
          <w:rFonts w:ascii="Times New Roman" w:eastAsiaTheme="minorEastAsia" w:hAnsi="Times New Roman" w:cs="Times New Roman"/>
          <w:iCs/>
          <w:sz w:val="24"/>
          <w:szCs w:val="24"/>
        </w:rPr>
        <w:t xml:space="preserve"> </w:t>
      </w:r>
      <w:r w:rsidR="00A610F9" w:rsidRPr="00BD58C0">
        <w:rPr>
          <w:rFonts w:ascii="Times New Roman" w:eastAsiaTheme="minorEastAsia" w:hAnsi="Times New Roman" w:cs="Times New Roman"/>
          <w:iCs/>
          <w:sz w:val="24"/>
          <w:szCs w:val="24"/>
        </w:rPr>
        <w:t xml:space="preserve">of </w:t>
      </w:r>
      <w:r w:rsidR="007B56EE" w:rsidRPr="00BD58C0">
        <w:rPr>
          <w:rFonts w:ascii="Times New Roman" w:eastAsiaTheme="minorEastAsia" w:hAnsi="Times New Roman" w:cs="Times New Roman"/>
          <w:iCs/>
          <w:sz w:val="24"/>
          <w:szCs w:val="24"/>
        </w:rPr>
        <w:t xml:space="preserve">gas engines), which were purchased overseas according to representatives of </w:t>
      </w:r>
      <w:r w:rsidR="00E65AB7" w:rsidRPr="00BD58C0">
        <w:rPr>
          <w:rFonts w:ascii="Times New Roman" w:eastAsiaTheme="minorEastAsia" w:hAnsi="Times New Roman" w:cs="Times New Roman"/>
          <w:iCs/>
          <w:sz w:val="24"/>
          <w:szCs w:val="24"/>
        </w:rPr>
        <w:t>POM</w:t>
      </w:r>
      <w:r w:rsidR="007B56EE" w:rsidRPr="00BD58C0">
        <w:rPr>
          <w:rFonts w:ascii="Times New Roman" w:eastAsiaTheme="minorEastAsia" w:hAnsi="Times New Roman" w:cs="Times New Roman"/>
          <w:iCs/>
          <w:sz w:val="24"/>
          <w:szCs w:val="24"/>
        </w:rPr>
        <w:t xml:space="preserve"> 1.</w:t>
      </w:r>
    </w:p>
    <w:p w14:paraId="70D3684C" w14:textId="77777777" w:rsidR="00580442" w:rsidRPr="00BD58C0" w:rsidRDefault="00580442" w:rsidP="00944210">
      <w:pPr>
        <w:spacing w:after="0" w:line="360" w:lineRule="auto"/>
        <w:jc w:val="both"/>
        <w:rPr>
          <w:rFonts w:ascii="Times New Roman" w:eastAsiaTheme="minorEastAsia" w:hAnsi="Times New Roman" w:cs="Times New Roman"/>
          <w:iCs/>
          <w:sz w:val="24"/>
          <w:szCs w:val="24"/>
        </w:rPr>
      </w:pPr>
    </w:p>
    <w:p w14:paraId="411188FE" w14:textId="32B06D5E" w:rsidR="000E7370" w:rsidRPr="00BD58C0" w:rsidRDefault="00B0479C" w:rsidP="00944210">
      <w:pPr>
        <w:spacing w:after="0" w:line="360" w:lineRule="auto"/>
        <w:jc w:val="both"/>
        <w:rPr>
          <w:rFonts w:ascii="Times New Roman" w:eastAsiaTheme="minorEastAsia" w:hAnsi="Times New Roman" w:cs="Times New Roman"/>
          <w:iCs/>
          <w:sz w:val="24"/>
          <w:szCs w:val="24"/>
        </w:rPr>
      </w:pPr>
      <w:r w:rsidRPr="00BD58C0">
        <w:rPr>
          <w:rFonts w:ascii="Times New Roman" w:hAnsi="Times New Roman" w:cs="Times New Roman"/>
          <w:noProof/>
          <w:sz w:val="24"/>
          <w:szCs w:val="24"/>
          <w:lang w:val="el-GR" w:eastAsia="el-GR"/>
        </w:rPr>
        <w:drawing>
          <wp:inline distT="0" distB="0" distL="0" distR="0" wp14:anchorId="35608026" wp14:editId="63C42B7A">
            <wp:extent cx="5715000" cy="2763982"/>
            <wp:effectExtent l="0" t="0" r="0" b="0"/>
            <wp:docPr id="1" name="Chart 1">
              <a:extLst xmlns:a="http://schemas.openxmlformats.org/drawingml/2006/main">
                <a:ext uri="{FF2B5EF4-FFF2-40B4-BE49-F238E27FC236}">
                  <a16:creationId xmlns:a16="http://schemas.microsoft.com/office/drawing/2014/main" id="{9BE33935-8DC2-4068-BFB8-4049B67BE3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A36F98" w14:textId="29F2697E" w:rsidR="00C0268F" w:rsidRPr="00BD58C0" w:rsidRDefault="00C0268F" w:rsidP="00157552">
      <w:pPr>
        <w:spacing w:after="0" w:line="360" w:lineRule="auto"/>
        <w:jc w:val="center"/>
        <w:rPr>
          <w:rFonts w:ascii="Times New Roman" w:hAnsi="Times New Roman" w:cs="Times New Roman"/>
          <w:sz w:val="24"/>
          <w:szCs w:val="24"/>
        </w:rPr>
      </w:pPr>
      <w:r w:rsidRPr="00BD58C0">
        <w:rPr>
          <w:rFonts w:ascii="Times New Roman" w:hAnsi="Times New Roman" w:cs="Times New Roman"/>
          <w:b/>
          <w:bCs/>
          <w:sz w:val="24"/>
          <w:szCs w:val="24"/>
        </w:rPr>
        <w:t xml:space="preserve">Fig. </w:t>
      </w:r>
      <w:r w:rsidR="00EC506D" w:rsidRPr="00BD58C0">
        <w:rPr>
          <w:rFonts w:ascii="Times New Roman" w:hAnsi="Times New Roman" w:cs="Times New Roman"/>
          <w:b/>
          <w:bCs/>
          <w:sz w:val="24"/>
          <w:szCs w:val="24"/>
        </w:rPr>
        <w:t>2</w:t>
      </w:r>
      <w:r w:rsidRPr="00BD58C0">
        <w:rPr>
          <w:rFonts w:ascii="Times New Roman" w:hAnsi="Times New Roman" w:cs="Times New Roman"/>
          <w:b/>
          <w:bCs/>
          <w:sz w:val="24"/>
          <w:szCs w:val="24"/>
        </w:rPr>
        <w:t>.</w:t>
      </w:r>
      <w:r w:rsidR="00157552" w:rsidRPr="00BD58C0">
        <w:rPr>
          <w:rFonts w:ascii="Times New Roman" w:hAnsi="Times New Roman" w:cs="Times New Roman"/>
          <w:b/>
          <w:bCs/>
          <w:sz w:val="24"/>
          <w:szCs w:val="24"/>
        </w:rPr>
        <w:tab/>
      </w:r>
      <w:r w:rsidR="00A55735" w:rsidRPr="00BD58C0">
        <w:rPr>
          <w:rFonts w:ascii="Times New Roman" w:hAnsi="Times New Roman" w:cs="Times New Roman"/>
          <w:sz w:val="24"/>
          <w:szCs w:val="24"/>
        </w:rPr>
        <w:t>NPV, ROI and PP of the CLB and CSTR sy</w:t>
      </w:r>
      <w:r w:rsidR="00A167F6" w:rsidRPr="00BD58C0">
        <w:rPr>
          <w:rFonts w:ascii="Times New Roman" w:hAnsi="Times New Roman" w:cs="Times New Roman"/>
          <w:sz w:val="24"/>
          <w:szCs w:val="24"/>
        </w:rPr>
        <w:t>stem</w:t>
      </w:r>
      <w:r w:rsidR="005C0FA6" w:rsidRPr="00BD58C0">
        <w:rPr>
          <w:rFonts w:ascii="Times New Roman" w:hAnsi="Times New Roman" w:cs="Times New Roman"/>
          <w:sz w:val="24"/>
          <w:szCs w:val="24"/>
        </w:rPr>
        <w:t>s</w:t>
      </w:r>
    </w:p>
    <w:p w14:paraId="0E872F55" w14:textId="77777777" w:rsidR="007B56EE" w:rsidRPr="00BD58C0" w:rsidRDefault="007B56EE" w:rsidP="009207A7">
      <w:pPr>
        <w:spacing w:after="0" w:line="360" w:lineRule="auto"/>
        <w:jc w:val="both"/>
        <w:rPr>
          <w:rFonts w:ascii="Times New Roman" w:hAnsi="Times New Roman" w:cs="Times New Roman"/>
          <w:sz w:val="24"/>
          <w:szCs w:val="24"/>
        </w:rPr>
      </w:pPr>
    </w:p>
    <w:p w14:paraId="06D37876" w14:textId="2F3B6104" w:rsidR="00A91A54" w:rsidRPr="00BD58C0" w:rsidRDefault="00C61456" w:rsidP="00E810F5">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T</w:t>
      </w:r>
      <w:r w:rsidR="00395FCD" w:rsidRPr="00BD58C0">
        <w:rPr>
          <w:rFonts w:ascii="Times New Roman" w:hAnsi="Times New Roman" w:cs="Times New Roman"/>
          <w:sz w:val="24"/>
          <w:szCs w:val="24"/>
        </w:rPr>
        <w:t xml:space="preserve">he </w:t>
      </w:r>
      <w:proofErr w:type="spellStart"/>
      <w:r w:rsidR="00395FCD" w:rsidRPr="00BD58C0">
        <w:rPr>
          <w:rFonts w:ascii="Times New Roman" w:hAnsi="Times New Roman" w:cs="Times New Roman"/>
          <w:sz w:val="24"/>
          <w:szCs w:val="24"/>
        </w:rPr>
        <w:t>FiT</w:t>
      </w:r>
      <w:proofErr w:type="spellEnd"/>
      <w:r w:rsidR="00395FCD" w:rsidRPr="00BD58C0">
        <w:rPr>
          <w:rFonts w:ascii="Times New Roman" w:hAnsi="Times New Roman" w:cs="Times New Roman"/>
          <w:sz w:val="24"/>
          <w:szCs w:val="24"/>
        </w:rPr>
        <w:t xml:space="preserve"> rate </w:t>
      </w:r>
      <w:r w:rsidRPr="00BD58C0">
        <w:rPr>
          <w:rFonts w:ascii="Times New Roman" w:hAnsi="Times New Roman" w:cs="Times New Roman"/>
          <w:sz w:val="24"/>
          <w:szCs w:val="24"/>
        </w:rPr>
        <w:t xml:space="preserve">therefore </w:t>
      </w:r>
      <w:r w:rsidR="00395FCD" w:rsidRPr="00BD58C0">
        <w:rPr>
          <w:rFonts w:ascii="Times New Roman" w:hAnsi="Times New Roman" w:cs="Times New Roman"/>
          <w:sz w:val="24"/>
          <w:szCs w:val="24"/>
        </w:rPr>
        <w:t>plays an important role in ensuring the profitability and feasibility of the POME treatment process</w:t>
      </w:r>
      <w:r w:rsidR="005E06D7" w:rsidRPr="00BD58C0">
        <w:rPr>
          <w:rFonts w:ascii="Times New Roman" w:hAnsi="Times New Roman" w:cs="Times New Roman"/>
          <w:sz w:val="24"/>
          <w:szCs w:val="24"/>
        </w:rPr>
        <w:t xml:space="preserve"> as it is the only revenue obtained</w:t>
      </w:r>
      <w:r w:rsidR="00507C6B" w:rsidRPr="00BD58C0">
        <w:rPr>
          <w:rFonts w:ascii="Times New Roman" w:hAnsi="Times New Roman" w:cs="Times New Roman"/>
          <w:sz w:val="24"/>
          <w:szCs w:val="24"/>
        </w:rPr>
        <w:t xml:space="preserve"> by both the </w:t>
      </w:r>
      <w:r w:rsidR="00B21804" w:rsidRPr="00BD58C0">
        <w:rPr>
          <w:rFonts w:ascii="Times New Roman" w:hAnsi="Times New Roman" w:cs="Times New Roman"/>
          <w:sz w:val="24"/>
          <w:szCs w:val="24"/>
        </w:rPr>
        <w:t>POMs</w:t>
      </w:r>
      <w:r w:rsidR="00507C6B" w:rsidRPr="00BD58C0">
        <w:rPr>
          <w:rFonts w:ascii="Times New Roman" w:hAnsi="Times New Roman" w:cs="Times New Roman"/>
          <w:sz w:val="24"/>
          <w:szCs w:val="24"/>
        </w:rPr>
        <w:t>.</w:t>
      </w:r>
      <w:r w:rsidR="005E06D7" w:rsidRPr="00BD58C0">
        <w:rPr>
          <w:rFonts w:ascii="Times New Roman" w:hAnsi="Times New Roman" w:cs="Times New Roman"/>
          <w:sz w:val="24"/>
          <w:szCs w:val="24"/>
        </w:rPr>
        <w:t xml:space="preserve"> </w:t>
      </w:r>
      <w:r w:rsidR="005C53FD" w:rsidRPr="00BD58C0">
        <w:rPr>
          <w:rFonts w:ascii="Times New Roman" w:hAnsi="Times New Roman" w:cs="Times New Roman"/>
          <w:sz w:val="24"/>
          <w:szCs w:val="24"/>
        </w:rPr>
        <w:t xml:space="preserve">A sensitivity analysis varying the </w:t>
      </w:r>
      <w:proofErr w:type="spellStart"/>
      <w:r w:rsidR="005C53FD" w:rsidRPr="00BD58C0">
        <w:rPr>
          <w:rFonts w:ascii="Times New Roman" w:hAnsi="Times New Roman" w:cs="Times New Roman"/>
          <w:sz w:val="24"/>
          <w:szCs w:val="24"/>
        </w:rPr>
        <w:t>FiT</w:t>
      </w:r>
      <w:proofErr w:type="spellEnd"/>
      <w:r w:rsidR="005C53FD" w:rsidRPr="00BD58C0">
        <w:rPr>
          <w:rFonts w:ascii="Times New Roman" w:hAnsi="Times New Roman" w:cs="Times New Roman"/>
          <w:sz w:val="24"/>
          <w:szCs w:val="24"/>
        </w:rPr>
        <w:t xml:space="preserve"> rate </w:t>
      </w:r>
      <w:r w:rsidR="00DE3382" w:rsidRPr="00BD58C0">
        <w:rPr>
          <w:rFonts w:ascii="Times New Roman" w:hAnsi="Times New Roman" w:cs="Times New Roman"/>
          <w:sz w:val="24"/>
          <w:szCs w:val="24"/>
        </w:rPr>
        <w:t>wa</w:t>
      </w:r>
      <w:r w:rsidR="005C53FD" w:rsidRPr="00BD58C0">
        <w:rPr>
          <w:rFonts w:ascii="Times New Roman" w:hAnsi="Times New Roman" w:cs="Times New Roman"/>
          <w:sz w:val="24"/>
          <w:szCs w:val="24"/>
        </w:rPr>
        <w:t xml:space="preserve">s carried out to improve </w:t>
      </w:r>
      <w:r w:rsidRPr="00BD58C0">
        <w:rPr>
          <w:rFonts w:ascii="Times New Roman" w:hAnsi="Times New Roman" w:cs="Times New Roman"/>
          <w:sz w:val="24"/>
          <w:szCs w:val="24"/>
        </w:rPr>
        <w:t xml:space="preserve">understanding of </w:t>
      </w:r>
      <w:r w:rsidR="005C53FD" w:rsidRPr="00BD58C0">
        <w:rPr>
          <w:rFonts w:ascii="Times New Roman" w:hAnsi="Times New Roman" w:cs="Times New Roman"/>
          <w:sz w:val="24"/>
          <w:szCs w:val="24"/>
        </w:rPr>
        <w:t>the economic feasibility of the CLB system</w:t>
      </w:r>
      <w:r w:rsidRPr="00BD58C0">
        <w:rPr>
          <w:rFonts w:ascii="Times New Roman" w:hAnsi="Times New Roman" w:cs="Times New Roman"/>
          <w:sz w:val="24"/>
          <w:szCs w:val="24"/>
        </w:rPr>
        <w:t xml:space="preserve"> in particular</w:t>
      </w:r>
      <w:r w:rsidR="005C53FD" w:rsidRPr="00BD58C0">
        <w:rPr>
          <w:rFonts w:ascii="Times New Roman" w:hAnsi="Times New Roman" w:cs="Times New Roman"/>
          <w:sz w:val="24"/>
          <w:szCs w:val="24"/>
        </w:rPr>
        <w:t xml:space="preserve">. </w:t>
      </w:r>
    </w:p>
    <w:p w14:paraId="0FF3A504" w14:textId="77777777" w:rsidR="00B443C5" w:rsidRPr="00BD58C0" w:rsidRDefault="00B443C5" w:rsidP="009207A7">
      <w:pPr>
        <w:spacing w:after="0" w:line="360" w:lineRule="auto"/>
        <w:jc w:val="both"/>
        <w:rPr>
          <w:rFonts w:ascii="Times New Roman" w:hAnsi="Times New Roman" w:cs="Times New Roman"/>
          <w:sz w:val="24"/>
          <w:szCs w:val="24"/>
        </w:rPr>
      </w:pPr>
    </w:p>
    <w:p w14:paraId="26E71AAA" w14:textId="4CEBBD46" w:rsidR="00A804D8" w:rsidRPr="00BD58C0" w:rsidRDefault="00214B62" w:rsidP="009207A7">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4</w:t>
      </w:r>
      <w:r w:rsidR="00770893" w:rsidRPr="00BD58C0">
        <w:rPr>
          <w:rFonts w:ascii="Times New Roman" w:hAnsi="Times New Roman" w:cs="Times New Roman"/>
          <w:i/>
          <w:iCs/>
          <w:sz w:val="24"/>
          <w:szCs w:val="24"/>
        </w:rPr>
        <w:t>.</w:t>
      </w:r>
      <w:r w:rsidR="007B56EE" w:rsidRPr="00BD58C0">
        <w:rPr>
          <w:rFonts w:ascii="Times New Roman" w:hAnsi="Times New Roman" w:cs="Times New Roman"/>
          <w:i/>
          <w:iCs/>
          <w:sz w:val="24"/>
          <w:szCs w:val="24"/>
        </w:rPr>
        <w:t>1.</w:t>
      </w:r>
      <w:r w:rsidR="00770893" w:rsidRPr="00BD58C0">
        <w:rPr>
          <w:rFonts w:ascii="Times New Roman" w:hAnsi="Times New Roman" w:cs="Times New Roman"/>
          <w:i/>
          <w:iCs/>
          <w:sz w:val="24"/>
          <w:szCs w:val="24"/>
        </w:rPr>
        <w:t>3</w:t>
      </w:r>
      <w:r w:rsidR="0022184D" w:rsidRPr="00BD58C0">
        <w:rPr>
          <w:rFonts w:ascii="Times New Roman" w:hAnsi="Times New Roman" w:cs="Times New Roman"/>
          <w:i/>
          <w:iCs/>
          <w:sz w:val="24"/>
          <w:szCs w:val="24"/>
        </w:rPr>
        <w:t>.</w:t>
      </w:r>
      <w:r w:rsidR="00770893" w:rsidRPr="00BD58C0">
        <w:rPr>
          <w:rFonts w:ascii="Times New Roman" w:hAnsi="Times New Roman" w:cs="Times New Roman"/>
          <w:i/>
          <w:iCs/>
          <w:sz w:val="24"/>
          <w:szCs w:val="24"/>
        </w:rPr>
        <w:tab/>
        <w:t>Sensitivity analysis</w:t>
      </w:r>
      <w:r w:rsidR="00A804D8" w:rsidRPr="00BD58C0">
        <w:rPr>
          <w:rFonts w:ascii="Times New Roman" w:hAnsi="Times New Roman" w:cs="Times New Roman"/>
          <w:i/>
          <w:iCs/>
          <w:sz w:val="24"/>
          <w:szCs w:val="24"/>
        </w:rPr>
        <w:t xml:space="preserve">: Effects of change in rate of </w:t>
      </w:r>
      <w:proofErr w:type="spellStart"/>
      <w:r w:rsidR="00A804D8" w:rsidRPr="00BD58C0">
        <w:rPr>
          <w:rFonts w:ascii="Times New Roman" w:hAnsi="Times New Roman" w:cs="Times New Roman"/>
          <w:i/>
          <w:iCs/>
          <w:sz w:val="24"/>
          <w:szCs w:val="24"/>
        </w:rPr>
        <w:t>FiT</w:t>
      </w:r>
      <w:proofErr w:type="spellEnd"/>
    </w:p>
    <w:p w14:paraId="6AF49EEC" w14:textId="77777777" w:rsidR="00B443C5" w:rsidRPr="00BD58C0" w:rsidRDefault="00B443C5" w:rsidP="009207A7">
      <w:pPr>
        <w:spacing w:after="0" w:line="360" w:lineRule="auto"/>
        <w:jc w:val="both"/>
        <w:rPr>
          <w:rFonts w:ascii="Times New Roman" w:hAnsi="Times New Roman" w:cs="Times New Roman"/>
          <w:i/>
          <w:iCs/>
          <w:sz w:val="24"/>
          <w:szCs w:val="24"/>
        </w:rPr>
      </w:pPr>
    </w:p>
    <w:p w14:paraId="33DA005D" w14:textId="06EBBA73" w:rsidR="00A804D8" w:rsidRPr="00BD58C0" w:rsidRDefault="00BB452C" w:rsidP="009D6124">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The sensitivity analysis was c</w:t>
      </w:r>
      <w:r w:rsidR="00A8082E" w:rsidRPr="00BD58C0">
        <w:rPr>
          <w:rFonts w:ascii="Times New Roman" w:hAnsi="Times New Roman" w:cs="Times New Roman"/>
          <w:sz w:val="24"/>
          <w:szCs w:val="24"/>
        </w:rPr>
        <w:t>arried out for the CLB system</w:t>
      </w:r>
      <w:r w:rsidR="00506261" w:rsidRPr="00BD58C0">
        <w:rPr>
          <w:rFonts w:ascii="Times New Roman" w:hAnsi="Times New Roman" w:cs="Times New Roman"/>
          <w:sz w:val="24"/>
          <w:szCs w:val="24"/>
        </w:rPr>
        <w:t>,</w:t>
      </w:r>
      <w:r w:rsidR="00A8082E" w:rsidRPr="00BD58C0">
        <w:rPr>
          <w:rFonts w:ascii="Times New Roman" w:hAnsi="Times New Roman" w:cs="Times New Roman"/>
          <w:sz w:val="24"/>
          <w:szCs w:val="24"/>
        </w:rPr>
        <w:t xml:space="preserve"> </w:t>
      </w:r>
      <w:r w:rsidR="00C61456" w:rsidRPr="00BD58C0">
        <w:rPr>
          <w:rFonts w:ascii="Times New Roman" w:hAnsi="Times New Roman" w:cs="Times New Roman"/>
          <w:sz w:val="24"/>
          <w:szCs w:val="24"/>
        </w:rPr>
        <w:t xml:space="preserve">so </w:t>
      </w:r>
      <w:r w:rsidR="00A8082E" w:rsidRPr="00BD58C0">
        <w:rPr>
          <w:rFonts w:ascii="Times New Roman" w:hAnsi="Times New Roman" w:cs="Times New Roman"/>
          <w:sz w:val="24"/>
          <w:szCs w:val="24"/>
        </w:rPr>
        <w:t xml:space="preserve">as to improve </w:t>
      </w:r>
      <w:r w:rsidR="00C61456" w:rsidRPr="00BD58C0">
        <w:rPr>
          <w:rFonts w:ascii="Times New Roman" w:hAnsi="Times New Roman" w:cs="Times New Roman"/>
          <w:sz w:val="24"/>
          <w:szCs w:val="24"/>
        </w:rPr>
        <w:t xml:space="preserve">its </w:t>
      </w:r>
      <w:r w:rsidR="00A8082E" w:rsidRPr="00BD58C0">
        <w:rPr>
          <w:rFonts w:ascii="Times New Roman" w:hAnsi="Times New Roman" w:cs="Times New Roman"/>
          <w:sz w:val="24"/>
          <w:szCs w:val="24"/>
        </w:rPr>
        <w:t xml:space="preserve">economic feasibility. </w:t>
      </w:r>
      <w:r w:rsidR="00FA75BE" w:rsidRPr="00BD58C0">
        <w:rPr>
          <w:rFonts w:ascii="Times New Roman" w:hAnsi="Times New Roman" w:cs="Times New Roman"/>
          <w:sz w:val="24"/>
          <w:szCs w:val="24"/>
        </w:rPr>
        <w:t xml:space="preserve">Since POME treatment to energy generation is not the major </w:t>
      </w:r>
      <w:r w:rsidR="00C61456" w:rsidRPr="00BD58C0">
        <w:rPr>
          <w:rFonts w:ascii="Times New Roman" w:hAnsi="Times New Roman" w:cs="Times New Roman"/>
          <w:sz w:val="24"/>
          <w:szCs w:val="24"/>
        </w:rPr>
        <w:t xml:space="preserve">source of </w:t>
      </w:r>
      <w:r w:rsidR="00FA75BE" w:rsidRPr="00BD58C0">
        <w:rPr>
          <w:rFonts w:ascii="Times New Roman" w:hAnsi="Times New Roman" w:cs="Times New Roman"/>
          <w:sz w:val="24"/>
          <w:szCs w:val="24"/>
        </w:rPr>
        <w:t xml:space="preserve">income for </w:t>
      </w:r>
      <w:r w:rsidR="00C61456" w:rsidRPr="00BD58C0">
        <w:rPr>
          <w:rFonts w:ascii="Times New Roman" w:hAnsi="Times New Roman" w:cs="Times New Roman"/>
          <w:sz w:val="24"/>
          <w:szCs w:val="24"/>
        </w:rPr>
        <w:t xml:space="preserve">the </w:t>
      </w:r>
      <w:r w:rsidR="00E65AB7" w:rsidRPr="00BD58C0">
        <w:rPr>
          <w:rFonts w:ascii="Times New Roman" w:hAnsi="Times New Roman" w:cs="Times New Roman"/>
          <w:sz w:val="24"/>
          <w:szCs w:val="24"/>
        </w:rPr>
        <w:t>POM</w:t>
      </w:r>
      <w:r w:rsidR="00FA75BE" w:rsidRPr="00BD58C0">
        <w:rPr>
          <w:rFonts w:ascii="Times New Roman" w:hAnsi="Times New Roman" w:cs="Times New Roman"/>
          <w:sz w:val="24"/>
          <w:szCs w:val="24"/>
        </w:rPr>
        <w:t xml:space="preserve">, as long as there is a positive NPV, </w:t>
      </w:r>
      <w:r w:rsidR="00C61456" w:rsidRPr="00BD58C0">
        <w:rPr>
          <w:rFonts w:ascii="Times New Roman" w:hAnsi="Times New Roman" w:cs="Times New Roman"/>
          <w:sz w:val="24"/>
          <w:szCs w:val="24"/>
        </w:rPr>
        <w:t xml:space="preserve">a </w:t>
      </w:r>
      <w:r w:rsidR="00FA75BE" w:rsidRPr="00BD58C0">
        <w:rPr>
          <w:rFonts w:ascii="Times New Roman" w:hAnsi="Times New Roman" w:cs="Times New Roman"/>
          <w:sz w:val="24"/>
          <w:szCs w:val="24"/>
        </w:rPr>
        <w:t>higher ROI and PP of less than 10 years</w:t>
      </w:r>
      <w:r w:rsidR="0045623B" w:rsidRPr="00BD58C0">
        <w:rPr>
          <w:rFonts w:ascii="Times New Roman" w:hAnsi="Times New Roman" w:cs="Times New Roman"/>
          <w:sz w:val="24"/>
          <w:szCs w:val="24"/>
        </w:rPr>
        <w:t>,</w:t>
      </w:r>
      <w:r w:rsidR="00FA75BE" w:rsidRPr="00BD58C0">
        <w:rPr>
          <w:rFonts w:ascii="Times New Roman" w:hAnsi="Times New Roman" w:cs="Times New Roman"/>
          <w:sz w:val="24"/>
          <w:szCs w:val="24"/>
        </w:rPr>
        <w:t xml:space="preserve"> the system</w:t>
      </w:r>
      <w:r w:rsidR="002A1D39" w:rsidRPr="00BD58C0">
        <w:rPr>
          <w:rFonts w:ascii="Times New Roman" w:hAnsi="Times New Roman" w:cs="Times New Roman"/>
          <w:sz w:val="24"/>
          <w:szCs w:val="24"/>
        </w:rPr>
        <w:t xml:space="preserve"> </w:t>
      </w:r>
      <w:r w:rsidR="0045623B" w:rsidRPr="00BD58C0">
        <w:rPr>
          <w:rFonts w:ascii="Times New Roman" w:hAnsi="Times New Roman" w:cs="Times New Roman"/>
          <w:sz w:val="24"/>
          <w:szCs w:val="24"/>
        </w:rPr>
        <w:t xml:space="preserve">is </w:t>
      </w:r>
      <w:r w:rsidR="002A1D39" w:rsidRPr="00BD58C0">
        <w:rPr>
          <w:rFonts w:ascii="Times New Roman" w:hAnsi="Times New Roman" w:cs="Times New Roman"/>
          <w:sz w:val="24"/>
          <w:szCs w:val="24"/>
        </w:rPr>
        <w:t>more</w:t>
      </w:r>
      <w:r w:rsidR="00FA75BE" w:rsidRPr="00BD58C0">
        <w:rPr>
          <w:rFonts w:ascii="Times New Roman" w:hAnsi="Times New Roman" w:cs="Times New Roman"/>
          <w:sz w:val="24"/>
          <w:szCs w:val="24"/>
        </w:rPr>
        <w:t xml:space="preserve"> economically feasible</w:t>
      </w:r>
      <w:r w:rsidR="002A1D39" w:rsidRPr="00BD58C0">
        <w:rPr>
          <w:rFonts w:ascii="Times New Roman" w:hAnsi="Times New Roman" w:cs="Times New Roman"/>
          <w:sz w:val="24"/>
          <w:szCs w:val="24"/>
        </w:rPr>
        <w:t xml:space="preserve">. </w:t>
      </w:r>
      <w:r w:rsidR="005F3A2E" w:rsidRPr="00BD58C0">
        <w:rPr>
          <w:rFonts w:ascii="Times New Roman" w:hAnsi="Times New Roman" w:cs="Times New Roman"/>
          <w:sz w:val="24"/>
          <w:szCs w:val="24"/>
        </w:rPr>
        <w:t xml:space="preserve">A sensitivity analysis was carried out for </w:t>
      </w:r>
      <w:r w:rsidR="00BD2B1A" w:rsidRPr="00BD58C0">
        <w:rPr>
          <w:rFonts w:ascii="Times New Roman" w:hAnsi="Times New Roman" w:cs="Times New Roman"/>
          <w:sz w:val="24"/>
          <w:szCs w:val="24"/>
        </w:rPr>
        <w:t>the CLB system</w:t>
      </w:r>
      <w:r w:rsidR="00C61456" w:rsidRPr="00BD58C0">
        <w:rPr>
          <w:rFonts w:ascii="Times New Roman" w:hAnsi="Times New Roman" w:cs="Times New Roman"/>
          <w:sz w:val="24"/>
          <w:szCs w:val="24"/>
        </w:rPr>
        <w:t>,</w:t>
      </w:r>
      <w:r w:rsidR="004810A3" w:rsidRPr="00BD58C0">
        <w:rPr>
          <w:rFonts w:ascii="Times New Roman" w:hAnsi="Times New Roman" w:cs="Times New Roman"/>
          <w:sz w:val="24"/>
          <w:szCs w:val="24"/>
        </w:rPr>
        <w:t xml:space="preserve"> varying the rate of </w:t>
      </w:r>
      <w:proofErr w:type="spellStart"/>
      <w:r w:rsidR="004810A3" w:rsidRPr="00BD58C0">
        <w:rPr>
          <w:rFonts w:ascii="Times New Roman" w:hAnsi="Times New Roman" w:cs="Times New Roman"/>
          <w:sz w:val="24"/>
          <w:szCs w:val="24"/>
        </w:rPr>
        <w:t>FiT</w:t>
      </w:r>
      <w:proofErr w:type="spellEnd"/>
      <w:r w:rsidR="00C61456" w:rsidRPr="00BD58C0">
        <w:rPr>
          <w:rFonts w:ascii="Times New Roman" w:hAnsi="Times New Roman" w:cs="Times New Roman"/>
          <w:sz w:val="24"/>
          <w:szCs w:val="24"/>
        </w:rPr>
        <w:t>,</w:t>
      </w:r>
      <w:r w:rsidR="004810A3" w:rsidRPr="00BD58C0">
        <w:rPr>
          <w:rFonts w:ascii="Times New Roman" w:hAnsi="Times New Roman" w:cs="Times New Roman"/>
          <w:sz w:val="24"/>
          <w:szCs w:val="24"/>
        </w:rPr>
        <w:t xml:space="preserve"> as the rate provided for </w:t>
      </w:r>
      <w:r w:rsidR="00AE2DE6" w:rsidRPr="00BD58C0">
        <w:rPr>
          <w:rFonts w:ascii="Times New Roman" w:hAnsi="Times New Roman" w:cs="Times New Roman"/>
          <w:sz w:val="24"/>
          <w:szCs w:val="24"/>
        </w:rPr>
        <w:t>the CLB</w:t>
      </w:r>
      <w:r w:rsidR="004810A3" w:rsidRPr="00BD58C0">
        <w:rPr>
          <w:rFonts w:ascii="Times New Roman" w:hAnsi="Times New Roman" w:cs="Times New Roman"/>
          <w:sz w:val="24"/>
          <w:szCs w:val="24"/>
        </w:rPr>
        <w:t xml:space="preserve"> is much lower compared to </w:t>
      </w:r>
      <w:r w:rsidR="00AE2DE6" w:rsidRPr="00BD58C0">
        <w:rPr>
          <w:rFonts w:ascii="Times New Roman" w:hAnsi="Times New Roman" w:cs="Times New Roman"/>
          <w:sz w:val="24"/>
          <w:szCs w:val="24"/>
        </w:rPr>
        <w:t>the CSTR</w:t>
      </w:r>
      <w:r w:rsidR="00B3357B" w:rsidRPr="00BD58C0">
        <w:rPr>
          <w:rFonts w:ascii="Times New Roman" w:hAnsi="Times New Roman" w:cs="Times New Roman"/>
          <w:sz w:val="24"/>
          <w:szCs w:val="24"/>
        </w:rPr>
        <w:t xml:space="preserve"> system</w:t>
      </w:r>
      <w:r w:rsidR="004810A3" w:rsidRPr="00BD58C0">
        <w:rPr>
          <w:rFonts w:ascii="Times New Roman" w:hAnsi="Times New Roman" w:cs="Times New Roman"/>
          <w:sz w:val="24"/>
          <w:szCs w:val="24"/>
        </w:rPr>
        <w:t xml:space="preserve">. </w:t>
      </w:r>
      <w:r w:rsidR="00375703" w:rsidRPr="00BD58C0">
        <w:rPr>
          <w:rFonts w:ascii="Times New Roman" w:hAnsi="Times New Roman" w:cs="Times New Roman"/>
          <w:sz w:val="24"/>
          <w:szCs w:val="24"/>
        </w:rPr>
        <w:t xml:space="preserve">Sensitivity analysis was not conducted for the variations in </w:t>
      </w:r>
      <w:r w:rsidR="008F0DE5" w:rsidRPr="00BD58C0">
        <w:rPr>
          <w:rFonts w:ascii="Times New Roman" w:hAnsi="Times New Roman" w:cs="Times New Roman"/>
          <w:sz w:val="24"/>
          <w:szCs w:val="24"/>
        </w:rPr>
        <w:t xml:space="preserve">different </w:t>
      </w:r>
      <w:r w:rsidR="00375703" w:rsidRPr="00BD58C0">
        <w:rPr>
          <w:rFonts w:ascii="Times New Roman" w:hAnsi="Times New Roman" w:cs="Times New Roman"/>
          <w:sz w:val="24"/>
          <w:szCs w:val="24"/>
        </w:rPr>
        <w:t>cost items. This is because [</w:t>
      </w:r>
      <w:r w:rsidR="00745DE5" w:rsidRPr="00BD58C0">
        <w:rPr>
          <w:rFonts w:ascii="Times New Roman" w:hAnsi="Times New Roman" w:cs="Times New Roman"/>
          <w:sz w:val="24"/>
          <w:szCs w:val="24"/>
        </w:rPr>
        <w:t>1</w:t>
      </w:r>
      <w:r w:rsidR="00AF6B9A" w:rsidRPr="00BD58C0">
        <w:rPr>
          <w:rFonts w:ascii="Times New Roman" w:hAnsi="Times New Roman" w:cs="Times New Roman"/>
          <w:sz w:val="24"/>
          <w:szCs w:val="24"/>
        </w:rPr>
        <w:t>4</w:t>
      </w:r>
      <w:r w:rsidR="00375703" w:rsidRPr="00BD58C0">
        <w:rPr>
          <w:rFonts w:ascii="Times New Roman" w:hAnsi="Times New Roman" w:cs="Times New Roman"/>
          <w:sz w:val="24"/>
          <w:szCs w:val="24"/>
        </w:rPr>
        <w:t>]</w:t>
      </w:r>
      <w:r w:rsidR="003834BC" w:rsidRPr="00BD58C0">
        <w:rPr>
          <w:rFonts w:ascii="Times New Roman" w:hAnsi="Times New Roman" w:cs="Times New Roman"/>
          <w:sz w:val="24"/>
          <w:szCs w:val="24"/>
        </w:rPr>
        <w:t>, who studied</w:t>
      </w:r>
      <w:r w:rsidR="00375703" w:rsidRPr="00BD58C0">
        <w:rPr>
          <w:rFonts w:ascii="Times New Roman" w:hAnsi="Times New Roman" w:cs="Times New Roman"/>
          <w:sz w:val="24"/>
          <w:szCs w:val="24"/>
        </w:rPr>
        <w:t xml:space="preserve"> palm oil biodiesel production in Indonesia performed</w:t>
      </w:r>
      <w:r w:rsidR="003834BC" w:rsidRPr="00BD58C0">
        <w:rPr>
          <w:rFonts w:ascii="Times New Roman" w:hAnsi="Times New Roman" w:cs="Times New Roman"/>
          <w:sz w:val="24"/>
          <w:szCs w:val="24"/>
        </w:rPr>
        <w:t xml:space="preserve"> a</w:t>
      </w:r>
      <w:r w:rsidR="00375703" w:rsidRPr="00BD58C0">
        <w:rPr>
          <w:rFonts w:ascii="Times New Roman" w:hAnsi="Times New Roman" w:cs="Times New Roman"/>
          <w:sz w:val="24"/>
          <w:szCs w:val="24"/>
        </w:rPr>
        <w:t xml:space="preserve"> sensitivity analysis for parameters</w:t>
      </w:r>
      <w:r w:rsidR="00B4258D" w:rsidRPr="00BD58C0">
        <w:rPr>
          <w:rFonts w:ascii="Times New Roman" w:hAnsi="Times New Roman" w:cs="Times New Roman"/>
          <w:sz w:val="24"/>
          <w:szCs w:val="24"/>
        </w:rPr>
        <w:t xml:space="preserve"> that can impact net income, including</w:t>
      </w:r>
      <w:r w:rsidR="00375703" w:rsidRPr="00BD58C0">
        <w:rPr>
          <w:rFonts w:ascii="Times New Roman" w:hAnsi="Times New Roman" w:cs="Times New Roman"/>
          <w:sz w:val="24"/>
          <w:szCs w:val="24"/>
        </w:rPr>
        <w:t xml:space="preserve"> fresh fruit bunch cost, electricity price from biomass, </w:t>
      </w:r>
      <w:proofErr w:type="spellStart"/>
      <w:r w:rsidR="00375703" w:rsidRPr="00BD58C0">
        <w:rPr>
          <w:rFonts w:ascii="Times New Roman" w:hAnsi="Times New Roman" w:cs="Times New Roman"/>
          <w:sz w:val="24"/>
          <w:szCs w:val="24"/>
        </w:rPr>
        <w:t>biofertiliser</w:t>
      </w:r>
      <w:proofErr w:type="spellEnd"/>
      <w:r w:rsidR="00375703" w:rsidRPr="00BD58C0">
        <w:rPr>
          <w:rFonts w:ascii="Times New Roman" w:hAnsi="Times New Roman" w:cs="Times New Roman"/>
          <w:sz w:val="24"/>
          <w:szCs w:val="24"/>
        </w:rPr>
        <w:t xml:space="preserve"> price and biodiesel price. However, only the </w:t>
      </w:r>
      <w:r w:rsidR="00375703" w:rsidRPr="00BD58C0">
        <w:rPr>
          <w:rFonts w:ascii="Times New Roman" w:hAnsi="Times New Roman" w:cs="Times New Roman"/>
          <w:sz w:val="24"/>
          <w:szCs w:val="24"/>
        </w:rPr>
        <w:lastRenderedPageBreak/>
        <w:t>sale price of biodiesel and feedstock (fresh fruit bunch) cost</w:t>
      </w:r>
      <w:r w:rsidR="00B4258D" w:rsidRPr="00BD58C0">
        <w:rPr>
          <w:rFonts w:ascii="Times New Roman" w:hAnsi="Times New Roman" w:cs="Times New Roman"/>
          <w:sz w:val="24"/>
          <w:szCs w:val="24"/>
        </w:rPr>
        <w:t xml:space="preserve"> affected the net income</w:t>
      </w:r>
      <w:r w:rsidR="000715BF" w:rsidRPr="00BD58C0">
        <w:rPr>
          <w:rFonts w:ascii="Times New Roman" w:hAnsi="Times New Roman" w:cs="Times New Roman"/>
          <w:sz w:val="24"/>
          <w:szCs w:val="24"/>
        </w:rPr>
        <w:t xml:space="preserve"> [1</w:t>
      </w:r>
      <w:r w:rsidR="00AF6B9A" w:rsidRPr="00BD58C0">
        <w:rPr>
          <w:rFonts w:ascii="Times New Roman" w:hAnsi="Times New Roman" w:cs="Times New Roman"/>
          <w:sz w:val="24"/>
          <w:szCs w:val="24"/>
        </w:rPr>
        <w:t>4</w:t>
      </w:r>
      <w:r w:rsidR="000715BF" w:rsidRPr="00BD58C0">
        <w:rPr>
          <w:rFonts w:ascii="Times New Roman" w:hAnsi="Times New Roman" w:cs="Times New Roman"/>
          <w:sz w:val="24"/>
          <w:szCs w:val="24"/>
        </w:rPr>
        <w:t>]</w:t>
      </w:r>
      <w:r w:rsidR="00375703" w:rsidRPr="00BD58C0">
        <w:rPr>
          <w:rFonts w:ascii="Times New Roman" w:hAnsi="Times New Roman" w:cs="Times New Roman"/>
          <w:sz w:val="24"/>
          <w:szCs w:val="24"/>
        </w:rPr>
        <w:t xml:space="preserve">. </w:t>
      </w:r>
      <w:r w:rsidR="003D6F39" w:rsidRPr="00BD58C0">
        <w:rPr>
          <w:rFonts w:ascii="Times New Roman" w:hAnsi="Times New Roman" w:cs="Times New Roman"/>
          <w:sz w:val="24"/>
          <w:szCs w:val="24"/>
        </w:rPr>
        <w:t xml:space="preserve">In contrast, in </w:t>
      </w:r>
      <w:r w:rsidR="00375703" w:rsidRPr="00BD58C0">
        <w:rPr>
          <w:rFonts w:ascii="Times New Roman" w:hAnsi="Times New Roman" w:cs="Times New Roman"/>
          <w:sz w:val="24"/>
          <w:szCs w:val="24"/>
        </w:rPr>
        <w:t>th</w:t>
      </w:r>
      <w:r w:rsidR="00A62021">
        <w:rPr>
          <w:rFonts w:ascii="Times New Roman" w:hAnsi="Times New Roman" w:cs="Times New Roman"/>
          <w:sz w:val="24"/>
          <w:szCs w:val="24"/>
        </w:rPr>
        <w:t>e present</w:t>
      </w:r>
      <w:r w:rsidR="00375703" w:rsidRPr="00BD58C0">
        <w:rPr>
          <w:rFonts w:ascii="Times New Roman" w:hAnsi="Times New Roman" w:cs="Times New Roman"/>
          <w:sz w:val="24"/>
          <w:szCs w:val="24"/>
        </w:rPr>
        <w:t xml:space="preserve"> study, the feedstock is POME which is a waste </w:t>
      </w:r>
      <w:r w:rsidR="00C63A0A" w:rsidRPr="00BD58C0">
        <w:rPr>
          <w:rFonts w:ascii="Times New Roman" w:hAnsi="Times New Roman" w:cs="Times New Roman"/>
          <w:sz w:val="24"/>
          <w:szCs w:val="24"/>
        </w:rPr>
        <w:t>material,</w:t>
      </w:r>
      <w:r w:rsidR="00375703" w:rsidRPr="00BD58C0">
        <w:rPr>
          <w:rFonts w:ascii="Times New Roman" w:hAnsi="Times New Roman" w:cs="Times New Roman"/>
          <w:sz w:val="24"/>
          <w:szCs w:val="24"/>
        </w:rPr>
        <w:t xml:space="preserve"> while the output is the electricity sold to the grid. </w:t>
      </w:r>
      <w:r w:rsidR="00C63A0A" w:rsidRPr="00BD58C0">
        <w:rPr>
          <w:rFonts w:ascii="Times New Roman" w:hAnsi="Times New Roman" w:cs="Times New Roman"/>
          <w:sz w:val="24"/>
          <w:szCs w:val="24"/>
        </w:rPr>
        <w:t xml:space="preserve">Given the </w:t>
      </w:r>
      <w:r w:rsidR="00375703" w:rsidRPr="00BD58C0">
        <w:rPr>
          <w:rFonts w:ascii="Times New Roman" w:hAnsi="Times New Roman" w:cs="Times New Roman"/>
          <w:sz w:val="24"/>
          <w:szCs w:val="24"/>
        </w:rPr>
        <w:t xml:space="preserve">variation in </w:t>
      </w:r>
      <w:proofErr w:type="spellStart"/>
      <w:r w:rsidR="00375703" w:rsidRPr="00BD58C0">
        <w:rPr>
          <w:rFonts w:ascii="Times New Roman" w:hAnsi="Times New Roman" w:cs="Times New Roman"/>
          <w:sz w:val="24"/>
          <w:szCs w:val="24"/>
        </w:rPr>
        <w:t>Fi</w:t>
      </w:r>
      <w:r w:rsidR="008F0DE5" w:rsidRPr="00BD58C0">
        <w:rPr>
          <w:rFonts w:ascii="Times New Roman" w:hAnsi="Times New Roman" w:cs="Times New Roman"/>
          <w:sz w:val="24"/>
          <w:szCs w:val="24"/>
        </w:rPr>
        <w:t>T</w:t>
      </w:r>
      <w:proofErr w:type="spellEnd"/>
      <w:r w:rsidR="00375703" w:rsidRPr="00BD58C0">
        <w:rPr>
          <w:rFonts w:ascii="Times New Roman" w:hAnsi="Times New Roman" w:cs="Times New Roman"/>
          <w:sz w:val="24"/>
          <w:szCs w:val="24"/>
        </w:rPr>
        <w:t xml:space="preserve"> rate affects the price of the electricity sold to the grid</w:t>
      </w:r>
      <w:r w:rsidR="00505B1B" w:rsidRPr="00BD58C0">
        <w:rPr>
          <w:rFonts w:ascii="Times New Roman" w:hAnsi="Times New Roman" w:cs="Times New Roman"/>
          <w:sz w:val="24"/>
          <w:szCs w:val="24"/>
        </w:rPr>
        <w:t>, t</w:t>
      </w:r>
      <w:r w:rsidR="00375703" w:rsidRPr="00BD58C0">
        <w:rPr>
          <w:rFonts w:ascii="Times New Roman" w:hAnsi="Times New Roman" w:cs="Times New Roman"/>
          <w:sz w:val="24"/>
          <w:szCs w:val="24"/>
        </w:rPr>
        <w:t xml:space="preserve">he sensitivity analysis </w:t>
      </w:r>
      <w:r w:rsidR="00D54AE6" w:rsidRPr="00BD58C0">
        <w:rPr>
          <w:rFonts w:ascii="Times New Roman" w:hAnsi="Times New Roman" w:cs="Times New Roman"/>
          <w:sz w:val="24"/>
          <w:szCs w:val="24"/>
        </w:rPr>
        <w:t>focuses on</w:t>
      </w:r>
      <w:r w:rsidR="00375703" w:rsidRPr="00BD58C0">
        <w:rPr>
          <w:rFonts w:ascii="Times New Roman" w:hAnsi="Times New Roman" w:cs="Times New Roman"/>
          <w:sz w:val="24"/>
          <w:szCs w:val="24"/>
        </w:rPr>
        <w:t xml:space="preserve"> the variations in </w:t>
      </w:r>
      <w:proofErr w:type="spellStart"/>
      <w:r w:rsidR="00375703" w:rsidRPr="00BD58C0">
        <w:rPr>
          <w:rFonts w:ascii="Times New Roman" w:hAnsi="Times New Roman" w:cs="Times New Roman"/>
          <w:sz w:val="24"/>
          <w:szCs w:val="24"/>
        </w:rPr>
        <w:t>FiT</w:t>
      </w:r>
      <w:proofErr w:type="spellEnd"/>
      <w:r w:rsidR="00375703" w:rsidRPr="00BD58C0">
        <w:rPr>
          <w:rFonts w:ascii="Times New Roman" w:hAnsi="Times New Roman" w:cs="Times New Roman"/>
          <w:sz w:val="24"/>
          <w:szCs w:val="24"/>
        </w:rPr>
        <w:t xml:space="preserve"> rate. </w:t>
      </w:r>
      <w:r w:rsidR="009B498C" w:rsidRPr="00BD58C0">
        <w:rPr>
          <w:rFonts w:ascii="Times New Roman" w:hAnsi="Times New Roman" w:cs="Times New Roman"/>
          <w:sz w:val="24"/>
          <w:szCs w:val="24"/>
        </w:rPr>
        <w:t xml:space="preserve">Fig. </w:t>
      </w:r>
      <w:r w:rsidR="00EC506D" w:rsidRPr="00BD58C0">
        <w:rPr>
          <w:rFonts w:ascii="Times New Roman" w:hAnsi="Times New Roman" w:cs="Times New Roman"/>
          <w:sz w:val="24"/>
          <w:szCs w:val="24"/>
        </w:rPr>
        <w:t>3</w:t>
      </w:r>
      <w:r w:rsidR="009B498C" w:rsidRPr="00BD58C0">
        <w:rPr>
          <w:rFonts w:ascii="Times New Roman" w:hAnsi="Times New Roman" w:cs="Times New Roman"/>
          <w:sz w:val="24"/>
          <w:szCs w:val="24"/>
        </w:rPr>
        <w:t xml:space="preserve"> shows the sensitivity analysis </w:t>
      </w:r>
      <w:r w:rsidR="00C61456" w:rsidRPr="00BD58C0">
        <w:rPr>
          <w:rFonts w:ascii="Times New Roman" w:hAnsi="Times New Roman" w:cs="Times New Roman"/>
          <w:sz w:val="24"/>
          <w:szCs w:val="24"/>
        </w:rPr>
        <w:t xml:space="preserve">findings, comparing </w:t>
      </w:r>
      <w:r w:rsidR="001046FA" w:rsidRPr="00BD58C0">
        <w:rPr>
          <w:rFonts w:ascii="Times New Roman" w:hAnsi="Times New Roman" w:cs="Times New Roman"/>
          <w:sz w:val="24"/>
          <w:szCs w:val="24"/>
        </w:rPr>
        <w:t xml:space="preserve">the variations </w:t>
      </w:r>
      <w:r w:rsidR="00D62D1E" w:rsidRPr="00BD58C0">
        <w:rPr>
          <w:rFonts w:ascii="Times New Roman" w:hAnsi="Times New Roman" w:cs="Times New Roman"/>
          <w:sz w:val="24"/>
          <w:szCs w:val="24"/>
        </w:rPr>
        <w:t xml:space="preserve">in </w:t>
      </w:r>
      <w:r w:rsidR="001046FA" w:rsidRPr="00BD58C0">
        <w:rPr>
          <w:rFonts w:ascii="Times New Roman" w:hAnsi="Times New Roman" w:cs="Times New Roman"/>
          <w:sz w:val="24"/>
          <w:szCs w:val="24"/>
        </w:rPr>
        <w:t xml:space="preserve">NPV, ROI and PP based on the </w:t>
      </w:r>
      <w:proofErr w:type="spellStart"/>
      <w:r w:rsidR="001046FA" w:rsidRPr="00BD58C0">
        <w:rPr>
          <w:rFonts w:ascii="Times New Roman" w:hAnsi="Times New Roman" w:cs="Times New Roman"/>
          <w:sz w:val="24"/>
          <w:szCs w:val="24"/>
        </w:rPr>
        <w:t>FiT</w:t>
      </w:r>
      <w:proofErr w:type="spellEnd"/>
      <w:r w:rsidR="001046FA" w:rsidRPr="00BD58C0">
        <w:rPr>
          <w:rFonts w:ascii="Times New Roman" w:hAnsi="Times New Roman" w:cs="Times New Roman"/>
          <w:sz w:val="24"/>
          <w:szCs w:val="24"/>
        </w:rPr>
        <w:t xml:space="preserve"> rate base value</w:t>
      </w:r>
      <w:r w:rsidR="00C61456" w:rsidRPr="00BD58C0">
        <w:rPr>
          <w:rFonts w:ascii="Times New Roman" w:hAnsi="Times New Roman" w:cs="Times New Roman"/>
          <w:sz w:val="24"/>
          <w:szCs w:val="24"/>
        </w:rPr>
        <w:t>s</w:t>
      </w:r>
      <w:r w:rsidR="001046FA" w:rsidRPr="00BD58C0">
        <w:rPr>
          <w:rFonts w:ascii="Times New Roman" w:hAnsi="Times New Roman" w:cs="Times New Roman"/>
          <w:sz w:val="24"/>
          <w:szCs w:val="24"/>
        </w:rPr>
        <w:t xml:space="preserve"> listed in Table 2.  </w:t>
      </w:r>
    </w:p>
    <w:p w14:paraId="5FF5E2F3" w14:textId="77777777" w:rsidR="00E07BDC" w:rsidRPr="00BD58C0" w:rsidRDefault="00E07BDC" w:rsidP="009D6124">
      <w:pPr>
        <w:spacing w:after="0" w:line="360" w:lineRule="auto"/>
        <w:ind w:firstLine="720"/>
        <w:jc w:val="both"/>
        <w:rPr>
          <w:rFonts w:ascii="Times New Roman" w:hAnsi="Times New Roman" w:cs="Times New Roman"/>
          <w:sz w:val="24"/>
          <w:szCs w:val="24"/>
        </w:rPr>
      </w:pPr>
    </w:p>
    <w:p w14:paraId="733C27B4" w14:textId="4AD64D70" w:rsidR="004D6DBE" w:rsidRPr="00BD58C0" w:rsidRDefault="0041391E"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noProof/>
          <w:sz w:val="24"/>
          <w:szCs w:val="24"/>
          <w:lang w:val="el-GR" w:eastAsia="el-GR"/>
        </w:rPr>
        <w:drawing>
          <wp:inline distT="0" distB="0" distL="0" distR="0" wp14:anchorId="1A659C94" wp14:editId="71243C11">
            <wp:extent cx="5715000" cy="2730500"/>
            <wp:effectExtent l="0" t="0" r="0" b="0"/>
            <wp:docPr id="6" name="Chart 6">
              <a:extLst xmlns:a="http://schemas.openxmlformats.org/drawingml/2006/main">
                <a:ext uri="{FF2B5EF4-FFF2-40B4-BE49-F238E27FC236}">
                  <a16:creationId xmlns:a16="http://schemas.microsoft.com/office/drawing/2014/main" id="{D34DD4F8-6685-4702-B474-5802C9735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70E3FA" w14:textId="469A9720" w:rsidR="00D930D3" w:rsidRPr="00BD58C0" w:rsidRDefault="004D6DBE" w:rsidP="009207A7">
      <w:pPr>
        <w:spacing w:after="0" w:line="360" w:lineRule="auto"/>
        <w:jc w:val="both"/>
        <w:rPr>
          <w:rFonts w:ascii="Times New Roman" w:hAnsi="Times New Roman" w:cs="Times New Roman"/>
          <w:sz w:val="24"/>
          <w:szCs w:val="24"/>
        </w:rPr>
      </w:pPr>
      <w:r w:rsidRPr="00BD58C0">
        <w:rPr>
          <w:rFonts w:ascii="Times New Roman" w:hAnsi="Times New Roman" w:cs="Times New Roman"/>
          <w:b/>
          <w:bCs/>
          <w:sz w:val="24"/>
          <w:szCs w:val="24"/>
        </w:rPr>
        <w:t xml:space="preserve">Fig. </w:t>
      </w:r>
      <w:r w:rsidR="00EC506D" w:rsidRPr="00BD58C0">
        <w:rPr>
          <w:rFonts w:ascii="Times New Roman" w:hAnsi="Times New Roman" w:cs="Times New Roman"/>
          <w:b/>
          <w:bCs/>
          <w:sz w:val="24"/>
          <w:szCs w:val="24"/>
        </w:rPr>
        <w:t>3</w:t>
      </w:r>
      <w:r w:rsidRPr="00BD58C0">
        <w:rPr>
          <w:rFonts w:ascii="Times New Roman" w:hAnsi="Times New Roman" w:cs="Times New Roman"/>
          <w:b/>
          <w:bCs/>
          <w:sz w:val="24"/>
          <w:szCs w:val="24"/>
        </w:rPr>
        <w:t>.</w:t>
      </w:r>
      <w:r w:rsidR="00157552" w:rsidRPr="00BD58C0">
        <w:rPr>
          <w:rFonts w:ascii="Times New Roman" w:hAnsi="Times New Roman" w:cs="Times New Roman"/>
          <w:b/>
          <w:bCs/>
          <w:sz w:val="24"/>
          <w:szCs w:val="24"/>
        </w:rPr>
        <w:tab/>
      </w:r>
      <w:r w:rsidR="00A61EF0" w:rsidRPr="00BD58C0">
        <w:rPr>
          <w:rFonts w:ascii="Times New Roman" w:hAnsi="Times New Roman" w:cs="Times New Roman"/>
          <w:sz w:val="24"/>
          <w:szCs w:val="24"/>
        </w:rPr>
        <w:t xml:space="preserve">Sensitivity analysis on </w:t>
      </w:r>
      <w:r w:rsidR="002D1CCB" w:rsidRPr="00BD58C0">
        <w:rPr>
          <w:rFonts w:ascii="Times New Roman" w:hAnsi="Times New Roman" w:cs="Times New Roman"/>
          <w:sz w:val="24"/>
          <w:szCs w:val="24"/>
        </w:rPr>
        <w:t>annual profit (</w:t>
      </w:r>
      <w:r w:rsidR="00E7739F" w:rsidRPr="00BD58C0">
        <w:rPr>
          <w:rFonts w:ascii="Times New Roman" w:hAnsi="Times New Roman" w:cs="Times New Roman"/>
          <w:sz w:val="24"/>
          <w:szCs w:val="24"/>
        </w:rPr>
        <w:t>M</w:t>
      </w:r>
      <w:r w:rsidR="002D1CCB" w:rsidRPr="00BD58C0">
        <w:rPr>
          <w:rFonts w:ascii="Times New Roman" w:hAnsi="Times New Roman" w:cs="Times New Roman"/>
          <w:sz w:val="24"/>
          <w:szCs w:val="24"/>
        </w:rPr>
        <w:t xml:space="preserve">illion </w:t>
      </w:r>
      <w:r w:rsidR="0035504F" w:rsidRPr="00BD58C0">
        <w:rPr>
          <w:rFonts w:ascii="Times New Roman" w:hAnsi="Times New Roman" w:cs="Times New Roman"/>
          <w:sz w:val="24"/>
          <w:szCs w:val="24"/>
        </w:rPr>
        <w:t>USD</w:t>
      </w:r>
      <w:r w:rsidR="002D1CCB" w:rsidRPr="00BD58C0">
        <w:rPr>
          <w:rFonts w:ascii="Times New Roman" w:hAnsi="Times New Roman" w:cs="Times New Roman"/>
          <w:sz w:val="24"/>
          <w:szCs w:val="24"/>
        </w:rPr>
        <w:t>/y</w:t>
      </w:r>
      <w:r w:rsidR="0071135C" w:rsidRPr="00BD58C0">
        <w:rPr>
          <w:rFonts w:ascii="Times New Roman" w:hAnsi="Times New Roman" w:cs="Times New Roman"/>
          <w:sz w:val="24"/>
          <w:szCs w:val="24"/>
        </w:rPr>
        <w:t>ear</w:t>
      </w:r>
      <w:r w:rsidR="002D1CCB" w:rsidRPr="00BD58C0">
        <w:rPr>
          <w:rFonts w:ascii="Times New Roman" w:hAnsi="Times New Roman" w:cs="Times New Roman"/>
          <w:sz w:val="24"/>
          <w:szCs w:val="24"/>
        </w:rPr>
        <w:t xml:space="preserve">) of CLB system with parameter change of </w:t>
      </w:r>
      <w:r w:rsidR="00613E34" w:rsidRPr="00BD58C0">
        <w:rPr>
          <w:rFonts w:ascii="Times New Roman" w:hAnsi="Times New Roman" w:cs="Times New Roman"/>
          <w:sz w:val="24"/>
          <w:szCs w:val="24"/>
        </w:rPr>
        <w:t xml:space="preserve">+5%, </w:t>
      </w:r>
      <w:r w:rsidR="002D1CCB" w:rsidRPr="00BD58C0">
        <w:rPr>
          <w:rFonts w:ascii="Times New Roman" w:hAnsi="Times New Roman" w:cs="Times New Roman"/>
          <w:sz w:val="24"/>
          <w:szCs w:val="24"/>
        </w:rPr>
        <w:t>+10%,</w:t>
      </w:r>
      <w:r w:rsidR="00613E34" w:rsidRPr="00BD58C0">
        <w:rPr>
          <w:rFonts w:ascii="Times New Roman" w:hAnsi="Times New Roman" w:cs="Times New Roman"/>
          <w:sz w:val="24"/>
          <w:szCs w:val="24"/>
        </w:rPr>
        <w:t xml:space="preserve"> +15%,</w:t>
      </w:r>
      <w:r w:rsidR="002D1CCB" w:rsidRPr="00BD58C0">
        <w:rPr>
          <w:rFonts w:ascii="Times New Roman" w:hAnsi="Times New Roman" w:cs="Times New Roman"/>
          <w:sz w:val="24"/>
          <w:szCs w:val="24"/>
        </w:rPr>
        <w:t xml:space="preserve"> +20%, </w:t>
      </w:r>
      <w:r w:rsidR="00613E34" w:rsidRPr="00BD58C0">
        <w:rPr>
          <w:rFonts w:ascii="Times New Roman" w:hAnsi="Times New Roman" w:cs="Times New Roman"/>
          <w:sz w:val="24"/>
          <w:szCs w:val="24"/>
        </w:rPr>
        <w:t>+25%</w:t>
      </w:r>
      <w:r w:rsidR="00500129" w:rsidRPr="00BD58C0">
        <w:rPr>
          <w:rFonts w:ascii="Times New Roman" w:hAnsi="Times New Roman" w:cs="Times New Roman"/>
          <w:sz w:val="24"/>
          <w:szCs w:val="24"/>
        </w:rPr>
        <w:t xml:space="preserve"> and </w:t>
      </w:r>
      <w:r w:rsidR="002D1CCB" w:rsidRPr="00BD58C0">
        <w:rPr>
          <w:rFonts w:ascii="Times New Roman" w:hAnsi="Times New Roman" w:cs="Times New Roman"/>
          <w:sz w:val="24"/>
          <w:szCs w:val="24"/>
        </w:rPr>
        <w:t xml:space="preserve">+30% from the base value on rate of </w:t>
      </w:r>
      <w:proofErr w:type="spellStart"/>
      <w:r w:rsidR="002D1CCB" w:rsidRPr="00BD58C0">
        <w:rPr>
          <w:rFonts w:ascii="Times New Roman" w:hAnsi="Times New Roman" w:cs="Times New Roman"/>
          <w:sz w:val="24"/>
          <w:szCs w:val="24"/>
        </w:rPr>
        <w:t>FiT</w:t>
      </w:r>
      <w:proofErr w:type="spellEnd"/>
      <w:r w:rsidR="00BC1619" w:rsidRPr="00BD58C0">
        <w:rPr>
          <w:rFonts w:ascii="Times New Roman" w:hAnsi="Times New Roman" w:cs="Times New Roman"/>
          <w:sz w:val="24"/>
          <w:szCs w:val="24"/>
        </w:rPr>
        <w:t xml:space="preserve">. The </w:t>
      </w:r>
      <w:r w:rsidR="006E6FDE" w:rsidRPr="00BD58C0">
        <w:rPr>
          <w:rFonts w:ascii="Times New Roman" w:hAnsi="Times New Roman" w:cs="Times New Roman"/>
          <w:sz w:val="24"/>
          <w:szCs w:val="24"/>
        </w:rPr>
        <w:t>5% variation</w:t>
      </w:r>
      <w:r w:rsidR="00856AD7" w:rsidRPr="00BD58C0">
        <w:rPr>
          <w:rFonts w:ascii="Times New Roman" w:hAnsi="Times New Roman" w:cs="Times New Roman"/>
          <w:sz w:val="24"/>
          <w:szCs w:val="24"/>
        </w:rPr>
        <w:t>s</w:t>
      </w:r>
      <w:r w:rsidR="006E6FDE" w:rsidRPr="00BD58C0">
        <w:rPr>
          <w:rFonts w:ascii="Times New Roman" w:hAnsi="Times New Roman" w:cs="Times New Roman"/>
          <w:sz w:val="24"/>
          <w:szCs w:val="24"/>
        </w:rPr>
        <w:t xml:space="preserve"> in </w:t>
      </w:r>
      <w:proofErr w:type="spellStart"/>
      <w:r w:rsidR="006E6FDE" w:rsidRPr="00BD58C0">
        <w:rPr>
          <w:rFonts w:ascii="Times New Roman" w:hAnsi="Times New Roman" w:cs="Times New Roman"/>
          <w:sz w:val="24"/>
          <w:szCs w:val="24"/>
        </w:rPr>
        <w:t>FiT</w:t>
      </w:r>
      <w:proofErr w:type="spellEnd"/>
      <w:r w:rsidR="006E6FDE" w:rsidRPr="00BD58C0">
        <w:rPr>
          <w:rFonts w:ascii="Times New Roman" w:hAnsi="Times New Roman" w:cs="Times New Roman"/>
          <w:sz w:val="24"/>
          <w:szCs w:val="24"/>
        </w:rPr>
        <w:t xml:space="preserve"> rate followed [5</w:t>
      </w:r>
      <w:r w:rsidR="00733C40" w:rsidRPr="00BD58C0">
        <w:rPr>
          <w:rFonts w:ascii="Times New Roman" w:hAnsi="Times New Roman" w:cs="Times New Roman"/>
          <w:sz w:val="24"/>
          <w:szCs w:val="24"/>
        </w:rPr>
        <w:t>8</w:t>
      </w:r>
      <w:r w:rsidR="006E6FDE" w:rsidRPr="00BD58C0">
        <w:rPr>
          <w:rFonts w:ascii="Times New Roman" w:hAnsi="Times New Roman" w:cs="Times New Roman"/>
          <w:sz w:val="24"/>
          <w:szCs w:val="24"/>
        </w:rPr>
        <w:t xml:space="preserve">] who aimed to identify the optimal system configuration and cost-effective design of a grid connected rooftop photovoltaic under </w:t>
      </w:r>
      <w:proofErr w:type="spellStart"/>
      <w:r w:rsidR="006E6FDE" w:rsidRPr="00BD58C0">
        <w:rPr>
          <w:rFonts w:ascii="Times New Roman" w:hAnsi="Times New Roman" w:cs="Times New Roman"/>
          <w:sz w:val="24"/>
          <w:szCs w:val="24"/>
        </w:rPr>
        <w:t>FiT</w:t>
      </w:r>
      <w:proofErr w:type="spellEnd"/>
      <w:r w:rsidR="006E6FDE" w:rsidRPr="00BD58C0">
        <w:rPr>
          <w:rFonts w:ascii="Times New Roman" w:hAnsi="Times New Roman" w:cs="Times New Roman"/>
          <w:sz w:val="24"/>
          <w:szCs w:val="24"/>
        </w:rPr>
        <w:t xml:space="preserve"> or net metering mechanisms in Poland. There is no </w:t>
      </w:r>
      <w:r w:rsidR="009620E9" w:rsidRPr="00BD58C0">
        <w:rPr>
          <w:rFonts w:ascii="Times New Roman" w:hAnsi="Times New Roman" w:cs="Times New Roman"/>
          <w:sz w:val="24"/>
          <w:szCs w:val="24"/>
        </w:rPr>
        <w:t>standard method to perform sensitivity analysis based on the ISO standards [5</w:t>
      </w:r>
      <w:r w:rsidR="00733C40" w:rsidRPr="00BD58C0">
        <w:rPr>
          <w:rFonts w:ascii="Times New Roman" w:hAnsi="Times New Roman" w:cs="Times New Roman"/>
          <w:sz w:val="24"/>
          <w:szCs w:val="24"/>
        </w:rPr>
        <w:t>9</w:t>
      </w:r>
      <w:r w:rsidR="009620E9" w:rsidRPr="00BD58C0">
        <w:rPr>
          <w:rFonts w:ascii="Times New Roman" w:hAnsi="Times New Roman" w:cs="Times New Roman"/>
          <w:sz w:val="24"/>
          <w:szCs w:val="24"/>
        </w:rPr>
        <w:t>], so, the scenario undertaken in this study was assumed to illustrate possible alternative improvement.</w:t>
      </w:r>
    </w:p>
    <w:p w14:paraId="33A490B9" w14:textId="77777777" w:rsidR="00224BF9" w:rsidRPr="00BD58C0" w:rsidRDefault="00224BF9" w:rsidP="009207A7">
      <w:pPr>
        <w:spacing w:after="0" w:line="360" w:lineRule="auto"/>
        <w:jc w:val="both"/>
        <w:rPr>
          <w:rFonts w:ascii="Times New Roman" w:hAnsi="Times New Roman" w:cs="Times New Roman"/>
          <w:sz w:val="24"/>
          <w:szCs w:val="24"/>
        </w:rPr>
      </w:pPr>
    </w:p>
    <w:p w14:paraId="3BB6636A" w14:textId="68FEFEF3" w:rsidR="002E5295" w:rsidRPr="00BD58C0" w:rsidRDefault="009620E9" w:rsidP="00445ABE">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A</w:t>
      </w:r>
      <w:r w:rsidR="00E0747F" w:rsidRPr="00BD58C0">
        <w:rPr>
          <w:rFonts w:ascii="Times New Roman" w:hAnsi="Times New Roman" w:cs="Times New Roman"/>
          <w:sz w:val="24"/>
          <w:szCs w:val="24"/>
        </w:rPr>
        <w:t xml:space="preserve">s the </w:t>
      </w:r>
      <w:proofErr w:type="spellStart"/>
      <w:r w:rsidR="00E0747F" w:rsidRPr="00BD58C0">
        <w:rPr>
          <w:rFonts w:ascii="Times New Roman" w:hAnsi="Times New Roman" w:cs="Times New Roman"/>
          <w:sz w:val="24"/>
          <w:szCs w:val="24"/>
        </w:rPr>
        <w:t>FiT</w:t>
      </w:r>
      <w:proofErr w:type="spellEnd"/>
      <w:r w:rsidR="00E0747F" w:rsidRPr="00BD58C0">
        <w:rPr>
          <w:rFonts w:ascii="Times New Roman" w:hAnsi="Times New Roman" w:cs="Times New Roman"/>
          <w:sz w:val="24"/>
          <w:szCs w:val="24"/>
        </w:rPr>
        <w:t xml:space="preserve"> </w:t>
      </w:r>
      <w:r w:rsidR="009727E3" w:rsidRPr="00BD58C0">
        <w:rPr>
          <w:rFonts w:ascii="Times New Roman" w:hAnsi="Times New Roman" w:cs="Times New Roman"/>
          <w:sz w:val="24"/>
          <w:szCs w:val="24"/>
        </w:rPr>
        <w:t xml:space="preserve">rate </w:t>
      </w:r>
      <w:r w:rsidR="00E0747F" w:rsidRPr="00BD58C0">
        <w:rPr>
          <w:rFonts w:ascii="Times New Roman" w:hAnsi="Times New Roman" w:cs="Times New Roman"/>
          <w:sz w:val="24"/>
          <w:szCs w:val="24"/>
        </w:rPr>
        <w:t xml:space="preserve">increases </w:t>
      </w:r>
      <w:r w:rsidR="002638AB" w:rsidRPr="00BD58C0">
        <w:rPr>
          <w:rFonts w:ascii="Times New Roman" w:hAnsi="Times New Roman" w:cs="Times New Roman"/>
          <w:sz w:val="24"/>
          <w:szCs w:val="24"/>
        </w:rPr>
        <w:t xml:space="preserve">by </w:t>
      </w:r>
      <w:r w:rsidR="00E0747F" w:rsidRPr="00BD58C0">
        <w:rPr>
          <w:rFonts w:ascii="Times New Roman" w:hAnsi="Times New Roman" w:cs="Times New Roman"/>
          <w:sz w:val="24"/>
          <w:szCs w:val="24"/>
        </w:rPr>
        <w:t xml:space="preserve">every </w:t>
      </w:r>
      <w:r w:rsidR="00362C6E" w:rsidRPr="00BD58C0">
        <w:rPr>
          <w:rFonts w:ascii="Times New Roman" w:hAnsi="Times New Roman" w:cs="Times New Roman"/>
          <w:sz w:val="24"/>
          <w:szCs w:val="24"/>
        </w:rPr>
        <w:t>5%</w:t>
      </w:r>
      <w:r w:rsidR="00E0747F" w:rsidRPr="00BD58C0">
        <w:rPr>
          <w:rFonts w:ascii="Times New Roman" w:hAnsi="Times New Roman" w:cs="Times New Roman"/>
          <w:sz w:val="24"/>
          <w:szCs w:val="24"/>
        </w:rPr>
        <w:t>, NPV value increases, ROI increases</w:t>
      </w:r>
      <w:r w:rsidR="00B50707" w:rsidRPr="00BD58C0">
        <w:rPr>
          <w:rFonts w:ascii="Times New Roman" w:hAnsi="Times New Roman" w:cs="Times New Roman"/>
          <w:sz w:val="24"/>
          <w:szCs w:val="24"/>
        </w:rPr>
        <w:t>,</w:t>
      </w:r>
      <w:r w:rsidR="00E0747F" w:rsidRPr="00BD58C0">
        <w:rPr>
          <w:rFonts w:ascii="Times New Roman" w:hAnsi="Times New Roman" w:cs="Times New Roman"/>
          <w:sz w:val="24"/>
          <w:szCs w:val="24"/>
        </w:rPr>
        <w:t xml:space="preserve"> while </w:t>
      </w:r>
      <w:r w:rsidR="00C61456" w:rsidRPr="00BD58C0">
        <w:rPr>
          <w:rFonts w:ascii="Times New Roman" w:hAnsi="Times New Roman" w:cs="Times New Roman"/>
          <w:sz w:val="24"/>
          <w:szCs w:val="24"/>
        </w:rPr>
        <w:t xml:space="preserve">the </w:t>
      </w:r>
      <w:r w:rsidR="00E0747F" w:rsidRPr="00BD58C0">
        <w:rPr>
          <w:rFonts w:ascii="Times New Roman" w:hAnsi="Times New Roman" w:cs="Times New Roman"/>
          <w:sz w:val="24"/>
          <w:szCs w:val="24"/>
        </w:rPr>
        <w:t>PP value reduces</w:t>
      </w:r>
      <w:r w:rsidRPr="00BD58C0">
        <w:rPr>
          <w:rFonts w:ascii="Times New Roman" w:hAnsi="Times New Roman" w:cs="Times New Roman"/>
          <w:sz w:val="24"/>
          <w:szCs w:val="24"/>
        </w:rPr>
        <w:t>.</w:t>
      </w:r>
      <w:r w:rsidR="005040DC" w:rsidRPr="00BD58C0">
        <w:rPr>
          <w:rFonts w:ascii="Times New Roman" w:hAnsi="Times New Roman" w:cs="Times New Roman"/>
          <w:sz w:val="24"/>
          <w:szCs w:val="24"/>
        </w:rPr>
        <w:t xml:space="preserve"> </w:t>
      </w:r>
      <w:r w:rsidR="005A02B5" w:rsidRPr="00BD58C0">
        <w:rPr>
          <w:rFonts w:ascii="Times New Roman" w:hAnsi="Times New Roman" w:cs="Times New Roman"/>
          <w:sz w:val="24"/>
          <w:szCs w:val="24"/>
        </w:rPr>
        <w:t xml:space="preserve">When the </w:t>
      </w:r>
      <w:proofErr w:type="spellStart"/>
      <w:r w:rsidR="005A02B5" w:rsidRPr="00BD58C0">
        <w:rPr>
          <w:rFonts w:ascii="Times New Roman" w:hAnsi="Times New Roman" w:cs="Times New Roman"/>
          <w:sz w:val="24"/>
          <w:szCs w:val="24"/>
        </w:rPr>
        <w:t>FiT</w:t>
      </w:r>
      <w:proofErr w:type="spellEnd"/>
      <w:r w:rsidR="005A02B5" w:rsidRPr="00BD58C0">
        <w:rPr>
          <w:rFonts w:ascii="Times New Roman" w:hAnsi="Times New Roman" w:cs="Times New Roman"/>
          <w:sz w:val="24"/>
          <w:szCs w:val="24"/>
        </w:rPr>
        <w:t xml:space="preserve"> rate is </w:t>
      </w:r>
      <w:r w:rsidR="007D4F93" w:rsidRPr="00BD58C0">
        <w:rPr>
          <w:rFonts w:ascii="Times New Roman" w:hAnsi="Times New Roman" w:cs="Times New Roman"/>
          <w:sz w:val="24"/>
          <w:szCs w:val="24"/>
        </w:rPr>
        <w:t>20</w:t>
      </w:r>
      <w:r w:rsidR="005A02B5" w:rsidRPr="00BD58C0">
        <w:rPr>
          <w:rFonts w:ascii="Times New Roman" w:hAnsi="Times New Roman" w:cs="Times New Roman"/>
          <w:sz w:val="24"/>
          <w:szCs w:val="24"/>
        </w:rPr>
        <w:t xml:space="preserve">% higher than the base value </w:t>
      </w:r>
      <w:r w:rsidR="00D04FBA" w:rsidRPr="00BD58C0">
        <w:rPr>
          <w:rFonts w:ascii="Times New Roman" w:hAnsi="Times New Roman" w:cs="Times New Roman"/>
          <w:sz w:val="24"/>
          <w:szCs w:val="24"/>
        </w:rPr>
        <w:t>(</w:t>
      </w:r>
      <w:r w:rsidR="00BA08B4" w:rsidRPr="00BD58C0">
        <w:rPr>
          <w:rFonts w:ascii="Times New Roman" w:hAnsi="Times New Roman" w:cs="Times New Roman"/>
          <w:sz w:val="24"/>
          <w:szCs w:val="24"/>
        </w:rPr>
        <w:t>USD</w:t>
      </w:r>
      <w:r w:rsidR="000A476B" w:rsidRPr="00BD58C0">
        <w:rPr>
          <w:rFonts w:ascii="Times New Roman" w:hAnsi="Times New Roman" w:cs="Times New Roman"/>
          <w:sz w:val="24"/>
          <w:szCs w:val="24"/>
        </w:rPr>
        <w:t xml:space="preserve"> </w:t>
      </w:r>
      <w:r w:rsidR="00BA08B4" w:rsidRPr="00BD58C0">
        <w:rPr>
          <w:rFonts w:ascii="Times New Roman" w:hAnsi="Times New Roman" w:cs="Times New Roman"/>
          <w:sz w:val="24"/>
          <w:szCs w:val="24"/>
        </w:rPr>
        <w:t>0.07</w:t>
      </w:r>
      <w:r w:rsidR="00A65421" w:rsidRPr="00BD58C0">
        <w:rPr>
          <w:rFonts w:ascii="Times New Roman" w:hAnsi="Times New Roman" w:cs="Times New Roman"/>
          <w:sz w:val="24"/>
          <w:szCs w:val="24"/>
        </w:rPr>
        <w:t>8</w:t>
      </w:r>
      <w:r w:rsidR="00D04FBA" w:rsidRPr="00BD58C0">
        <w:rPr>
          <w:rFonts w:ascii="Times New Roman" w:hAnsi="Times New Roman" w:cs="Times New Roman"/>
          <w:sz w:val="24"/>
          <w:szCs w:val="24"/>
        </w:rPr>
        <w:t xml:space="preserve">/kWh), </w:t>
      </w:r>
      <w:r w:rsidR="003C21D4" w:rsidRPr="00BD58C0">
        <w:rPr>
          <w:rFonts w:ascii="Times New Roman" w:hAnsi="Times New Roman" w:cs="Times New Roman"/>
          <w:sz w:val="24"/>
          <w:szCs w:val="24"/>
        </w:rPr>
        <w:t xml:space="preserve">the NPV and ROI value increase to </w:t>
      </w:r>
      <w:r w:rsidR="00362C6E" w:rsidRPr="00BD58C0">
        <w:rPr>
          <w:rFonts w:ascii="Times New Roman" w:hAnsi="Times New Roman" w:cs="Times New Roman"/>
          <w:sz w:val="24"/>
          <w:szCs w:val="24"/>
        </w:rPr>
        <w:t>0.</w:t>
      </w:r>
      <w:r w:rsidR="007D4F93" w:rsidRPr="00BD58C0">
        <w:rPr>
          <w:rFonts w:ascii="Times New Roman" w:hAnsi="Times New Roman" w:cs="Times New Roman"/>
          <w:sz w:val="24"/>
          <w:szCs w:val="24"/>
        </w:rPr>
        <w:t>30</w:t>
      </w:r>
      <w:r w:rsidR="003C21D4" w:rsidRPr="00BD58C0">
        <w:rPr>
          <w:rFonts w:ascii="Times New Roman" w:hAnsi="Times New Roman" w:cs="Times New Roman"/>
          <w:sz w:val="24"/>
          <w:szCs w:val="24"/>
        </w:rPr>
        <w:t xml:space="preserve"> </w:t>
      </w:r>
      <w:proofErr w:type="gramStart"/>
      <w:r w:rsidR="00362C6E" w:rsidRPr="00BD58C0">
        <w:rPr>
          <w:rFonts w:ascii="Times New Roman" w:hAnsi="Times New Roman" w:cs="Times New Roman"/>
          <w:sz w:val="24"/>
          <w:szCs w:val="24"/>
        </w:rPr>
        <w:t>M</w:t>
      </w:r>
      <w:r w:rsidR="003C21D4" w:rsidRPr="00BD58C0">
        <w:rPr>
          <w:rFonts w:ascii="Times New Roman" w:hAnsi="Times New Roman" w:cs="Times New Roman"/>
          <w:sz w:val="24"/>
          <w:szCs w:val="24"/>
        </w:rPr>
        <w:t>illion</w:t>
      </w:r>
      <w:proofErr w:type="gramEnd"/>
      <w:r w:rsidR="003C21D4" w:rsidRPr="00BD58C0">
        <w:rPr>
          <w:rFonts w:ascii="Times New Roman" w:hAnsi="Times New Roman" w:cs="Times New Roman"/>
          <w:sz w:val="24"/>
          <w:szCs w:val="24"/>
        </w:rPr>
        <w:t xml:space="preserve"> </w:t>
      </w:r>
      <w:r w:rsidR="000A476B" w:rsidRPr="00BD58C0">
        <w:rPr>
          <w:rFonts w:ascii="Times New Roman" w:hAnsi="Times New Roman" w:cs="Times New Roman"/>
          <w:sz w:val="24"/>
          <w:szCs w:val="24"/>
        </w:rPr>
        <w:t>USD</w:t>
      </w:r>
      <w:r w:rsidR="003C21D4" w:rsidRPr="00BD58C0">
        <w:rPr>
          <w:rFonts w:ascii="Times New Roman" w:hAnsi="Times New Roman" w:cs="Times New Roman"/>
          <w:sz w:val="24"/>
          <w:szCs w:val="24"/>
        </w:rPr>
        <w:t>/y</w:t>
      </w:r>
      <w:r w:rsidR="0071135C" w:rsidRPr="00BD58C0">
        <w:rPr>
          <w:rFonts w:ascii="Times New Roman" w:hAnsi="Times New Roman" w:cs="Times New Roman"/>
          <w:sz w:val="24"/>
          <w:szCs w:val="24"/>
        </w:rPr>
        <w:t>ear</w:t>
      </w:r>
      <w:r w:rsidR="003C21D4" w:rsidRPr="00BD58C0">
        <w:rPr>
          <w:rFonts w:ascii="Times New Roman" w:hAnsi="Times New Roman" w:cs="Times New Roman"/>
          <w:sz w:val="24"/>
          <w:szCs w:val="24"/>
        </w:rPr>
        <w:t xml:space="preserve"> and </w:t>
      </w:r>
      <w:r w:rsidR="007D4F93" w:rsidRPr="00BD58C0">
        <w:rPr>
          <w:rFonts w:ascii="Times New Roman" w:hAnsi="Times New Roman" w:cs="Times New Roman"/>
          <w:sz w:val="24"/>
          <w:szCs w:val="24"/>
        </w:rPr>
        <w:t>10.56</w:t>
      </w:r>
      <w:r w:rsidR="003C21D4" w:rsidRPr="00BD58C0">
        <w:rPr>
          <w:rFonts w:ascii="Times New Roman" w:hAnsi="Times New Roman" w:cs="Times New Roman"/>
          <w:sz w:val="24"/>
          <w:szCs w:val="24"/>
        </w:rPr>
        <w:t>%, respectively</w:t>
      </w:r>
      <w:r w:rsidR="00C61456" w:rsidRPr="00BD58C0">
        <w:rPr>
          <w:rFonts w:ascii="Times New Roman" w:hAnsi="Times New Roman" w:cs="Times New Roman"/>
          <w:sz w:val="24"/>
          <w:szCs w:val="24"/>
        </w:rPr>
        <w:t>,</w:t>
      </w:r>
      <w:r w:rsidR="003C21D4" w:rsidRPr="00BD58C0">
        <w:rPr>
          <w:rFonts w:ascii="Times New Roman" w:hAnsi="Times New Roman" w:cs="Times New Roman"/>
          <w:sz w:val="24"/>
          <w:szCs w:val="24"/>
        </w:rPr>
        <w:t xml:space="preserve"> while the PP value reduces to </w:t>
      </w:r>
      <w:r w:rsidR="007D4F93" w:rsidRPr="00BD58C0">
        <w:rPr>
          <w:rFonts w:ascii="Times New Roman" w:hAnsi="Times New Roman" w:cs="Times New Roman"/>
          <w:sz w:val="24"/>
          <w:szCs w:val="24"/>
        </w:rPr>
        <w:t>9.5</w:t>
      </w:r>
      <w:r w:rsidR="003C21D4" w:rsidRPr="00BD58C0">
        <w:rPr>
          <w:rFonts w:ascii="Times New Roman" w:hAnsi="Times New Roman" w:cs="Times New Roman"/>
          <w:sz w:val="24"/>
          <w:szCs w:val="24"/>
        </w:rPr>
        <w:t xml:space="preserve"> years. </w:t>
      </w:r>
      <w:r w:rsidR="003C0B3B" w:rsidRPr="00BD58C0">
        <w:rPr>
          <w:rFonts w:ascii="Times New Roman" w:hAnsi="Times New Roman" w:cs="Times New Roman"/>
          <w:sz w:val="24"/>
          <w:szCs w:val="24"/>
        </w:rPr>
        <w:t xml:space="preserve">The highest NPV and ROI value of </w:t>
      </w:r>
      <w:r w:rsidR="007C686A" w:rsidRPr="00BD58C0">
        <w:rPr>
          <w:rFonts w:ascii="Times New Roman" w:hAnsi="Times New Roman" w:cs="Times New Roman"/>
          <w:sz w:val="24"/>
          <w:szCs w:val="24"/>
        </w:rPr>
        <w:t>0.34</w:t>
      </w:r>
      <w:r w:rsidR="003C0B3B" w:rsidRPr="00BD58C0">
        <w:rPr>
          <w:rFonts w:ascii="Times New Roman" w:hAnsi="Times New Roman" w:cs="Times New Roman"/>
          <w:sz w:val="24"/>
          <w:szCs w:val="24"/>
        </w:rPr>
        <w:t xml:space="preserve"> </w:t>
      </w:r>
      <w:proofErr w:type="gramStart"/>
      <w:r w:rsidR="007C686A" w:rsidRPr="00BD58C0">
        <w:rPr>
          <w:rFonts w:ascii="Times New Roman" w:hAnsi="Times New Roman" w:cs="Times New Roman"/>
          <w:sz w:val="24"/>
          <w:szCs w:val="24"/>
        </w:rPr>
        <w:t>M</w:t>
      </w:r>
      <w:r w:rsidR="003C0B3B" w:rsidRPr="00BD58C0">
        <w:rPr>
          <w:rFonts w:ascii="Times New Roman" w:hAnsi="Times New Roman" w:cs="Times New Roman"/>
          <w:sz w:val="24"/>
          <w:szCs w:val="24"/>
        </w:rPr>
        <w:t>illion</w:t>
      </w:r>
      <w:proofErr w:type="gramEnd"/>
      <w:r w:rsidR="003C0B3B" w:rsidRPr="00BD58C0">
        <w:rPr>
          <w:rFonts w:ascii="Times New Roman" w:hAnsi="Times New Roman" w:cs="Times New Roman"/>
          <w:sz w:val="24"/>
          <w:szCs w:val="24"/>
        </w:rPr>
        <w:t xml:space="preserve"> </w:t>
      </w:r>
      <w:r w:rsidR="000A476B" w:rsidRPr="00BD58C0">
        <w:rPr>
          <w:rFonts w:ascii="Times New Roman" w:hAnsi="Times New Roman" w:cs="Times New Roman"/>
          <w:sz w:val="24"/>
          <w:szCs w:val="24"/>
        </w:rPr>
        <w:t>USD</w:t>
      </w:r>
      <w:r w:rsidR="003C0B3B" w:rsidRPr="00BD58C0">
        <w:rPr>
          <w:rFonts w:ascii="Times New Roman" w:hAnsi="Times New Roman" w:cs="Times New Roman"/>
          <w:sz w:val="24"/>
          <w:szCs w:val="24"/>
        </w:rPr>
        <w:t>/y</w:t>
      </w:r>
      <w:r w:rsidR="0071135C" w:rsidRPr="00BD58C0">
        <w:rPr>
          <w:rFonts w:ascii="Times New Roman" w:hAnsi="Times New Roman" w:cs="Times New Roman"/>
          <w:sz w:val="24"/>
          <w:szCs w:val="24"/>
        </w:rPr>
        <w:t>ear</w:t>
      </w:r>
      <w:r w:rsidR="003C0B3B" w:rsidRPr="00BD58C0">
        <w:rPr>
          <w:rFonts w:ascii="Times New Roman" w:hAnsi="Times New Roman" w:cs="Times New Roman"/>
          <w:sz w:val="24"/>
          <w:szCs w:val="24"/>
        </w:rPr>
        <w:t xml:space="preserve"> and 12.</w:t>
      </w:r>
      <w:r w:rsidR="007C686A" w:rsidRPr="00BD58C0">
        <w:rPr>
          <w:rFonts w:ascii="Times New Roman" w:hAnsi="Times New Roman" w:cs="Times New Roman"/>
          <w:sz w:val="24"/>
          <w:szCs w:val="24"/>
        </w:rPr>
        <w:t>21</w:t>
      </w:r>
      <w:r w:rsidR="003C0B3B" w:rsidRPr="00BD58C0">
        <w:rPr>
          <w:rFonts w:ascii="Times New Roman" w:hAnsi="Times New Roman" w:cs="Times New Roman"/>
          <w:sz w:val="24"/>
          <w:szCs w:val="24"/>
        </w:rPr>
        <w:t>%, respectively and the lowest PP value of 8.</w:t>
      </w:r>
      <w:r w:rsidR="007C686A" w:rsidRPr="00BD58C0">
        <w:rPr>
          <w:rFonts w:ascii="Times New Roman" w:hAnsi="Times New Roman" w:cs="Times New Roman"/>
          <w:sz w:val="24"/>
          <w:szCs w:val="24"/>
        </w:rPr>
        <w:t>2</w:t>
      </w:r>
      <w:r w:rsidR="003C0B3B" w:rsidRPr="00BD58C0">
        <w:rPr>
          <w:rFonts w:ascii="Times New Roman" w:hAnsi="Times New Roman" w:cs="Times New Roman"/>
          <w:sz w:val="24"/>
          <w:szCs w:val="24"/>
        </w:rPr>
        <w:t xml:space="preserve"> years is considered to be the best solution when the </w:t>
      </w:r>
      <w:proofErr w:type="spellStart"/>
      <w:r w:rsidR="003C0B3B" w:rsidRPr="00BD58C0">
        <w:rPr>
          <w:rFonts w:ascii="Times New Roman" w:hAnsi="Times New Roman" w:cs="Times New Roman"/>
          <w:sz w:val="24"/>
          <w:szCs w:val="24"/>
        </w:rPr>
        <w:t>FiT</w:t>
      </w:r>
      <w:proofErr w:type="spellEnd"/>
      <w:r w:rsidR="003C0B3B" w:rsidRPr="00BD58C0">
        <w:rPr>
          <w:rFonts w:ascii="Times New Roman" w:hAnsi="Times New Roman" w:cs="Times New Roman"/>
          <w:sz w:val="24"/>
          <w:szCs w:val="24"/>
        </w:rPr>
        <w:t xml:space="preserve"> rate is</w:t>
      </w:r>
      <w:r w:rsidR="000761AF" w:rsidRPr="00BD58C0">
        <w:rPr>
          <w:rFonts w:ascii="Times New Roman" w:hAnsi="Times New Roman" w:cs="Times New Roman"/>
          <w:sz w:val="24"/>
          <w:szCs w:val="24"/>
        </w:rPr>
        <w:t xml:space="preserve"> </w:t>
      </w:r>
      <w:r w:rsidR="00C61456" w:rsidRPr="00BD58C0">
        <w:rPr>
          <w:rFonts w:ascii="Times New Roman" w:hAnsi="Times New Roman" w:cs="Times New Roman"/>
          <w:sz w:val="24"/>
          <w:szCs w:val="24"/>
        </w:rPr>
        <w:t>at</w:t>
      </w:r>
      <w:r w:rsidR="003C0B3B" w:rsidRPr="00BD58C0">
        <w:rPr>
          <w:rFonts w:ascii="Times New Roman" w:hAnsi="Times New Roman" w:cs="Times New Roman"/>
          <w:sz w:val="24"/>
          <w:szCs w:val="24"/>
        </w:rPr>
        <w:t xml:space="preserve"> 30%.</w:t>
      </w:r>
      <w:r w:rsidR="000761AF" w:rsidRPr="00BD58C0">
        <w:rPr>
          <w:rFonts w:ascii="Times New Roman" w:hAnsi="Times New Roman" w:cs="Times New Roman"/>
          <w:sz w:val="24"/>
          <w:szCs w:val="24"/>
        </w:rPr>
        <w:t xml:space="preserve"> </w:t>
      </w:r>
      <w:r w:rsidR="009665A2" w:rsidRPr="00BD58C0">
        <w:rPr>
          <w:rFonts w:ascii="Times New Roman" w:hAnsi="Times New Roman" w:cs="Times New Roman"/>
          <w:sz w:val="24"/>
          <w:szCs w:val="24"/>
        </w:rPr>
        <w:t xml:space="preserve">A </w:t>
      </w:r>
      <w:r w:rsidR="00ED24AB" w:rsidRPr="00BD58C0">
        <w:rPr>
          <w:rFonts w:ascii="Times New Roman" w:hAnsi="Times New Roman" w:cs="Times New Roman"/>
          <w:sz w:val="24"/>
          <w:szCs w:val="24"/>
        </w:rPr>
        <w:t>16</w:t>
      </w:r>
      <w:r w:rsidR="009665A2" w:rsidRPr="00BD58C0">
        <w:rPr>
          <w:rFonts w:ascii="Times New Roman" w:hAnsi="Times New Roman" w:cs="Times New Roman"/>
          <w:sz w:val="24"/>
          <w:szCs w:val="24"/>
        </w:rPr>
        <w:t xml:space="preserve">% increment to the base </w:t>
      </w:r>
      <w:proofErr w:type="spellStart"/>
      <w:r w:rsidR="009665A2" w:rsidRPr="00BD58C0">
        <w:rPr>
          <w:rFonts w:ascii="Times New Roman" w:hAnsi="Times New Roman" w:cs="Times New Roman"/>
          <w:sz w:val="24"/>
          <w:szCs w:val="24"/>
        </w:rPr>
        <w:t>FiT</w:t>
      </w:r>
      <w:proofErr w:type="spellEnd"/>
      <w:r w:rsidR="009665A2" w:rsidRPr="00BD58C0">
        <w:rPr>
          <w:rFonts w:ascii="Times New Roman" w:hAnsi="Times New Roman" w:cs="Times New Roman"/>
          <w:sz w:val="24"/>
          <w:szCs w:val="24"/>
        </w:rPr>
        <w:t xml:space="preserve"> value would be the minimum needed to </w:t>
      </w:r>
      <w:r w:rsidR="002F183E" w:rsidRPr="00BD58C0">
        <w:rPr>
          <w:rFonts w:ascii="Times New Roman" w:hAnsi="Times New Roman" w:cs="Times New Roman"/>
          <w:sz w:val="24"/>
          <w:szCs w:val="24"/>
        </w:rPr>
        <w:t xml:space="preserve">achieve minimum </w:t>
      </w:r>
      <w:r w:rsidR="003636F0" w:rsidRPr="00BD58C0">
        <w:rPr>
          <w:rFonts w:ascii="Times New Roman" w:hAnsi="Times New Roman" w:cs="Times New Roman"/>
          <w:sz w:val="24"/>
          <w:szCs w:val="24"/>
        </w:rPr>
        <w:t xml:space="preserve">economic </w:t>
      </w:r>
      <w:r w:rsidR="002F183E" w:rsidRPr="00BD58C0">
        <w:rPr>
          <w:rFonts w:ascii="Times New Roman" w:hAnsi="Times New Roman" w:cs="Times New Roman"/>
          <w:sz w:val="24"/>
          <w:szCs w:val="24"/>
        </w:rPr>
        <w:t>feasibility</w:t>
      </w:r>
      <w:r w:rsidR="00400B03" w:rsidRPr="00BD58C0">
        <w:rPr>
          <w:rFonts w:ascii="Times New Roman" w:hAnsi="Times New Roman" w:cs="Times New Roman"/>
          <w:sz w:val="24"/>
          <w:szCs w:val="24"/>
        </w:rPr>
        <w:t>,</w:t>
      </w:r>
      <w:r w:rsidR="00475800" w:rsidRPr="00BD58C0">
        <w:rPr>
          <w:rFonts w:ascii="Times New Roman" w:hAnsi="Times New Roman" w:cs="Times New Roman"/>
          <w:sz w:val="24"/>
          <w:szCs w:val="24"/>
        </w:rPr>
        <w:t xml:space="preserve"> while a </w:t>
      </w:r>
      <w:r w:rsidR="005F3E55" w:rsidRPr="00BD58C0">
        <w:rPr>
          <w:rFonts w:ascii="Times New Roman" w:hAnsi="Times New Roman" w:cs="Times New Roman"/>
          <w:sz w:val="24"/>
          <w:szCs w:val="24"/>
        </w:rPr>
        <w:t xml:space="preserve">30% increment </w:t>
      </w:r>
      <w:r w:rsidR="00F337DC" w:rsidRPr="00BD58C0">
        <w:rPr>
          <w:rFonts w:ascii="Times New Roman" w:hAnsi="Times New Roman" w:cs="Times New Roman"/>
          <w:sz w:val="24"/>
          <w:szCs w:val="24"/>
        </w:rPr>
        <w:t>on</w:t>
      </w:r>
      <w:r w:rsidR="005F3E55" w:rsidRPr="00BD58C0">
        <w:rPr>
          <w:rFonts w:ascii="Times New Roman" w:hAnsi="Times New Roman" w:cs="Times New Roman"/>
          <w:sz w:val="24"/>
          <w:szCs w:val="24"/>
        </w:rPr>
        <w:t xml:space="preserve"> the base value</w:t>
      </w:r>
      <w:r w:rsidR="00EE516D" w:rsidRPr="00BD58C0">
        <w:rPr>
          <w:rFonts w:ascii="Times New Roman" w:hAnsi="Times New Roman" w:cs="Times New Roman"/>
          <w:sz w:val="24"/>
          <w:szCs w:val="24"/>
        </w:rPr>
        <w:t xml:space="preserve"> would result in</w:t>
      </w:r>
      <w:r w:rsidR="005F3E55" w:rsidRPr="00BD58C0">
        <w:rPr>
          <w:rFonts w:ascii="Times New Roman" w:hAnsi="Times New Roman" w:cs="Times New Roman"/>
          <w:sz w:val="24"/>
          <w:szCs w:val="24"/>
        </w:rPr>
        <w:t xml:space="preserve"> </w:t>
      </w:r>
      <w:r w:rsidR="00C61456" w:rsidRPr="00BD58C0">
        <w:rPr>
          <w:rFonts w:ascii="Times New Roman" w:hAnsi="Times New Roman" w:cs="Times New Roman"/>
          <w:sz w:val="24"/>
          <w:szCs w:val="24"/>
        </w:rPr>
        <w:t xml:space="preserve">a </w:t>
      </w:r>
      <w:proofErr w:type="spellStart"/>
      <w:r w:rsidR="005F3E55" w:rsidRPr="00BD58C0">
        <w:rPr>
          <w:rFonts w:ascii="Times New Roman" w:hAnsi="Times New Roman" w:cs="Times New Roman"/>
          <w:sz w:val="24"/>
          <w:szCs w:val="24"/>
        </w:rPr>
        <w:t>FiT</w:t>
      </w:r>
      <w:proofErr w:type="spellEnd"/>
      <w:r w:rsidR="005F3E55" w:rsidRPr="00BD58C0">
        <w:rPr>
          <w:rFonts w:ascii="Times New Roman" w:hAnsi="Times New Roman" w:cs="Times New Roman"/>
          <w:sz w:val="24"/>
          <w:szCs w:val="24"/>
        </w:rPr>
        <w:t xml:space="preserve"> rate </w:t>
      </w:r>
      <w:r w:rsidR="00EE516D" w:rsidRPr="00BD58C0">
        <w:rPr>
          <w:rFonts w:ascii="Times New Roman" w:hAnsi="Times New Roman" w:cs="Times New Roman"/>
          <w:sz w:val="24"/>
          <w:szCs w:val="24"/>
        </w:rPr>
        <w:t>of</w:t>
      </w:r>
      <w:r w:rsidR="005F3E55" w:rsidRPr="00BD58C0">
        <w:rPr>
          <w:rFonts w:ascii="Times New Roman" w:hAnsi="Times New Roman" w:cs="Times New Roman"/>
          <w:sz w:val="24"/>
          <w:szCs w:val="24"/>
        </w:rPr>
        <w:t xml:space="preserve"> </w:t>
      </w:r>
      <w:r w:rsidR="00D738BF" w:rsidRPr="00BD58C0">
        <w:rPr>
          <w:rFonts w:ascii="Times New Roman" w:hAnsi="Times New Roman" w:cs="Times New Roman"/>
          <w:sz w:val="24"/>
          <w:szCs w:val="24"/>
        </w:rPr>
        <w:t>USD</w:t>
      </w:r>
      <w:r w:rsidR="005F3E55" w:rsidRPr="00BD58C0">
        <w:rPr>
          <w:rFonts w:ascii="Times New Roman" w:hAnsi="Times New Roman" w:cs="Times New Roman"/>
          <w:sz w:val="24"/>
          <w:szCs w:val="24"/>
        </w:rPr>
        <w:t xml:space="preserve"> </w:t>
      </w:r>
      <w:r w:rsidR="00D738BF" w:rsidRPr="00BD58C0">
        <w:rPr>
          <w:rFonts w:ascii="Times New Roman" w:hAnsi="Times New Roman" w:cs="Times New Roman"/>
          <w:sz w:val="24"/>
          <w:szCs w:val="24"/>
        </w:rPr>
        <w:t>0.10</w:t>
      </w:r>
      <w:r w:rsidR="005F3E55" w:rsidRPr="00BD58C0">
        <w:rPr>
          <w:rFonts w:ascii="Times New Roman" w:hAnsi="Times New Roman" w:cs="Times New Roman"/>
          <w:sz w:val="24"/>
          <w:szCs w:val="24"/>
        </w:rPr>
        <w:t>/kWh</w:t>
      </w:r>
      <w:r w:rsidR="008A35E6" w:rsidRPr="00BD58C0">
        <w:rPr>
          <w:rFonts w:ascii="Times New Roman" w:hAnsi="Times New Roman" w:cs="Times New Roman"/>
          <w:sz w:val="24"/>
          <w:szCs w:val="24"/>
        </w:rPr>
        <w:t>;</w:t>
      </w:r>
      <w:r w:rsidR="005F3E55" w:rsidRPr="00BD58C0">
        <w:rPr>
          <w:rFonts w:ascii="Times New Roman" w:hAnsi="Times New Roman" w:cs="Times New Roman"/>
          <w:sz w:val="24"/>
          <w:szCs w:val="24"/>
        </w:rPr>
        <w:t xml:space="preserve"> similar to </w:t>
      </w:r>
      <w:r w:rsidR="00EE516D" w:rsidRPr="00BD58C0">
        <w:rPr>
          <w:rFonts w:ascii="Times New Roman" w:hAnsi="Times New Roman" w:cs="Times New Roman"/>
          <w:sz w:val="24"/>
          <w:szCs w:val="24"/>
        </w:rPr>
        <w:t xml:space="preserve">the rate </w:t>
      </w:r>
      <w:r w:rsidR="00B84723" w:rsidRPr="00BD58C0">
        <w:rPr>
          <w:rFonts w:ascii="Times New Roman" w:hAnsi="Times New Roman" w:cs="Times New Roman"/>
          <w:sz w:val="24"/>
          <w:szCs w:val="24"/>
        </w:rPr>
        <w:t>for</w:t>
      </w:r>
      <w:r w:rsidR="00EE516D" w:rsidRPr="00BD58C0">
        <w:rPr>
          <w:rFonts w:ascii="Times New Roman" w:hAnsi="Times New Roman" w:cs="Times New Roman"/>
          <w:sz w:val="24"/>
          <w:szCs w:val="24"/>
        </w:rPr>
        <w:t xml:space="preserve"> </w:t>
      </w:r>
      <w:r w:rsidR="00BA4ABF" w:rsidRPr="00BD58C0">
        <w:rPr>
          <w:rFonts w:ascii="Times New Roman" w:hAnsi="Times New Roman" w:cs="Times New Roman"/>
          <w:sz w:val="24"/>
          <w:szCs w:val="24"/>
        </w:rPr>
        <w:t>the CSTR.</w:t>
      </w:r>
      <w:r w:rsidR="00EE516D" w:rsidRPr="00BD58C0">
        <w:rPr>
          <w:rFonts w:ascii="Times New Roman" w:hAnsi="Times New Roman" w:cs="Times New Roman"/>
          <w:sz w:val="24"/>
          <w:szCs w:val="24"/>
        </w:rPr>
        <w:t xml:space="preserve"> </w:t>
      </w:r>
      <w:r w:rsidR="00E30FC2" w:rsidRPr="00BD58C0">
        <w:rPr>
          <w:rFonts w:ascii="Times New Roman" w:hAnsi="Times New Roman" w:cs="Times New Roman"/>
          <w:sz w:val="24"/>
          <w:szCs w:val="24"/>
        </w:rPr>
        <w:t xml:space="preserve">To enable the </w:t>
      </w:r>
      <w:r w:rsidR="00E30FC2" w:rsidRPr="00BD58C0">
        <w:rPr>
          <w:rFonts w:ascii="Times New Roman" w:hAnsi="Times New Roman" w:cs="Times New Roman"/>
          <w:sz w:val="24"/>
          <w:szCs w:val="24"/>
        </w:rPr>
        <w:lastRenderedPageBreak/>
        <w:t xml:space="preserve">CLB system to </w:t>
      </w:r>
      <w:r w:rsidR="009205C4" w:rsidRPr="00BD58C0">
        <w:rPr>
          <w:rFonts w:ascii="Times New Roman" w:hAnsi="Times New Roman" w:cs="Times New Roman"/>
          <w:sz w:val="24"/>
          <w:szCs w:val="24"/>
        </w:rPr>
        <w:t>be</w:t>
      </w:r>
      <w:r w:rsidR="00E30FC2" w:rsidRPr="00BD58C0">
        <w:rPr>
          <w:rFonts w:ascii="Times New Roman" w:hAnsi="Times New Roman" w:cs="Times New Roman"/>
          <w:sz w:val="24"/>
          <w:szCs w:val="24"/>
        </w:rPr>
        <w:t xml:space="preserve"> more attractive to investors, electricity </w:t>
      </w:r>
      <w:r w:rsidR="00E85E5C" w:rsidRPr="00BD58C0">
        <w:rPr>
          <w:rFonts w:ascii="Times New Roman" w:hAnsi="Times New Roman" w:cs="Times New Roman"/>
          <w:sz w:val="24"/>
          <w:szCs w:val="24"/>
        </w:rPr>
        <w:t>buyers</w:t>
      </w:r>
      <w:r w:rsidR="00E30FC2" w:rsidRPr="00BD58C0">
        <w:rPr>
          <w:rFonts w:ascii="Times New Roman" w:hAnsi="Times New Roman" w:cs="Times New Roman"/>
          <w:sz w:val="24"/>
          <w:szCs w:val="24"/>
        </w:rPr>
        <w:t xml:space="preserve"> could increase the </w:t>
      </w:r>
      <w:proofErr w:type="spellStart"/>
      <w:r w:rsidR="00E30FC2" w:rsidRPr="00BD58C0">
        <w:rPr>
          <w:rFonts w:ascii="Times New Roman" w:hAnsi="Times New Roman" w:cs="Times New Roman"/>
          <w:sz w:val="24"/>
          <w:szCs w:val="24"/>
        </w:rPr>
        <w:t>FiT</w:t>
      </w:r>
      <w:proofErr w:type="spellEnd"/>
      <w:r w:rsidR="00E30FC2" w:rsidRPr="00BD58C0">
        <w:rPr>
          <w:rFonts w:ascii="Times New Roman" w:hAnsi="Times New Roman" w:cs="Times New Roman"/>
          <w:sz w:val="24"/>
          <w:szCs w:val="24"/>
        </w:rPr>
        <w:t xml:space="preserve"> rate given to </w:t>
      </w:r>
      <w:r w:rsidR="00B21804" w:rsidRPr="00BD58C0">
        <w:rPr>
          <w:rFonts w:ascii="Times New Roman" w:hAnsi="Times New Roman" w:cs="Times New Roman"/>
          <w:sz w:val="24"/>
          <w:szCs w:val="24"/>
        </w:rPr>
        <w:t>POMs</w:t>
      </w:r>
      <w:r w:rsidR="00E30FC2" w:rsidRPr="00BD58C0">
        <w:rPr>
          <w:rFonts w:ascii="Times New Roman" w:hAnsi="Times New Roman" w:cs="Times New Roman"/>
          <w:sz w:val="24"/>
          <w:szCs w:val="24"/>
        </w:rPr>
        <w:t xml:space="preserve"> employing the CLB system. </w:t>
      </w:r>
    </w:p>
    <w:p w14:paraId="7C6306AE" w14:textId="77777777" w:rsidR="00B5416B" w:rsidRPr="00BD58C0" w:rsidRDefault="00B5416B" w:rsidP="00445ABE">
      <w:pPr>
        <w:spacing w:after="0" w:line="360" w:lineRule="auto"/>
        <w:ind w:firstLine="720"/>
        <w:jc w:val="both"/>
        <w:rPr>
          <w:rFonts w:ascii="Times New Roman" w:hAnsi="Times New Roman" w:cs="Times New Roman"/>
          <w:sz w:val="24"/>
          <w:szCs w:val="24"/>
        </w:rPr>
      </w:pPr>
    </w:p>
    <w:p w14:paraId="424AFE08" w14:textId="382A7621" w:rsidR="007B56EE" w:rsidRPr="00BD58C0" w:rsidRDefault="00214B62" w:rsidP="009207A7">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4</w:t>
      </w:r>
      <w:r w:rsidR="00BC5D81" w:rsidRPr="00BD58C0">
        <w:rPr>
          <w:rFonts w:ascii="Times New Roman" w:hAnsi="Times New Roman" w:cs="Times New Roman"/>
          <w:i/>
          <w:iCs/>
          <w:sz w:val="24"/>
          <w:szCs w:val="24"/>
        </w:rPr>
        <w:t>.2.</w:t>
      </w:r>
      <w:r w:rsidR="00BC5D81" w:rsidRPr="00BD58C0">
        <w:rPr>
          <w:rFonts w:ascii="Times New Roman" w:hAnsi="Times New Roman" w:cs="Times New Roman"/>
          <w:i/>
          <w:iCs/>
          <w:sz w:val="24"/>
          <w:szCs w:val="24"/>
        </w:rPr>
        <w:tab/>
      </w:r>
      <w:r w:rsidR="00DC2A8D" w:rsidRPr="00BD58C0">
        <w:rPr>
          <w:rFonts w:ascii="Times New Roman" w:hAnsi="Times New Roman" w:cs="Times New Roman"/>
          <w:i/>
          <w:iCs/>
          <w:sz w:val="24"/>
          <w:szCs w:val="24"/>
        </w:rPr>
        <w:t>Criteria hierarchy results</w:t>
      </w:r>
    </w:p>
    <w:p w14:paraId="50029140" w14:textId="77777777" w:rsidR="002E5295" w:rsidRPr="00BD58C0" w:rsidRDefault="002E5295" w:rsidP="009207A7">
      <w:pPr>
        <w:spacing w:after="0" w:line="360" w:lineRule="auto"/>
        <w:jc w:val="both"/>
        <w:rPr>
          <w:rFonts w:ascii="Times New Roman" w:hAnsi="Times New Roman" w:cs="Times New Roman"/>
          <w:i/>
          <w:iCs/>
          <w:sz w:val="24"/>
          <w:szCs w:val="24"/>
        </w:rPr>
      </w:pPr>
    </w:p>
    <w:p w14:paraId="10E6FF37" w14:textId="669D21C7" w:rsidR="007B56EE" w:rsidRPr="00BD58C0" w:rsidRDefault="00214B62" w:rsidP="009207A7">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4</w:t>
      </w:r>
      <w:r w:rsidR="007B56EE" w:rsidRPr="00BD58C0">
        <w:rPr>
          <w:rFonts w:ascii="Times New Roman" w:hAnsi="Times New Roman" w:cs="Times New Roman"/>
          <w:i/>
          <w:iCs/>
          <w:sz w:val="24"/>
          <w:szCs w:val="24"/>
        </w:rPr>
        <w:t>.2.1.</w:t>
      </w:r>
      <w:r w:rsidR="00A31370" w:rsidRPr="00BD58C0">
        <w:rPr>
          <w:rFonts w:ascii="Times New Roman" w:hAnsi="Times New Roman" w:cs="Times New Roman"/>
          <w:i/>
          <w:iCs/>
          <w:sz w:val="24"/>
          <w:szCs w:val="24"/>
        </w:rPr>
        <w:tab/>
      </w:r>
      <w:r w:rsidR="007B56EE" w:rsidRPr="00BD58C0">
        <w:rPr>
          <w:rFonts w:ascii="Times New Roman" w:hAnsi="Times New Roman" w:cs="Times New Roman"/>
          <w:i/>
          <w:iCs/>
          <w:sz w:val="24"/>
          <w:szCs w:val="24"/>
        </w:rPr>
        <w:t>Main criteria hierarchy results</w:t>
      </w:r>
    </w:p>
    <w:p w14:paraId="5E3D8739" w14:textId="77777777" w:rsidR="007B56EE" w:rsidRPr="00BD58C0" w:rsidRDefault="007B56EE" w:rsidP="00D2736C">
      <w:pPr>
        <w:spacing w:after="0" w:line="360" w:lineRule="auto"/>
        <w:jc w:val="both"/>
        <w:rPr>
          <w:rFonts w:ascii="Times New Roman" w:hAnsi="Times New Roman" w:cs="Times New Roman"/>
          <w:sz w:val="24"/>
          <w:szCs w:val="24"/>
        </w:rPr>
      </w:pPr>
    </w:p>
    <w:p w14:paraId="1BA2325B" w14:textId="71B35EB4" w:rsidR="007B56EE" w:rsidRPr="00BD58C0" w:rsidRDefault="007B56EE" w:rsidP="009D6124">
      <w:pPr>
        <w:spacing w:after="0" w:line="360" w:lineRule="auto"/>
        <w:ind w:firstLine="720"/>
        <w:jc w:val="both"/>
        <w:rPr>
          <w:rFonts w:ascii="Times New Roman" w:eastAsia="Times New Roman" w:hAnsi="Times New Roman" w:cs="Times New Roman"/>
          <w:sz w:val="24"/>
          <w:szCs w:val="24"/>
          <w:lang w:val="en-US"/>
        </w:rPr>
      </w:pPr>
      <w:r w:rsidRPr="00BD58C0">
        <w:rPr>
          <w:rFonts w:ascii="Times New Roman" w:eastAsia="Times New Roman" w:hAnsi="Times New Roman" w:cs="Times New Roman"/>
          <w:sz w:val="24"/>
          <w:szCs w:val="24"/>
          <w:lang w:val="en-US"/>
        </w:rPr>
        <w:t xml:space="preserve">Table </w:t>
      </w:r>
      <w:r w:rsidR="00B81C00" w:rsidRPr="00BD58C0">
        <w:rPr>
          <w:rFonts w:ascii="Times New Roman" w:eastAsia="Times New Roman" w:hAnsi="Times New Roman" w:cs="Times New Roman"/>
          <w:sz w:val="24"/>
          <w:szCs w:val="24"/>
          <w:lang w:val="en-US"/>
        </w:rPr>
        <w:t>8</w:t>
      </w:r>
      <w:r w:rsidRPr="00BD58C0">
        <w:rPr>
          <w:rFonts w:ascii="Times New Roman" w:eastAsia="Times New Roman" w:hAnsi="Times New Roman" w:cs="Times New Roman"/>
          <w:sz w:val="24"/>
          <w:szCs w:val="24"/>
          <w:lang w:val="en-US"/>
        </w:rPr>
        <w:t xml:space="preserve"> </w:t>
      </w:r>
      <w:r w:rsidR="00A57BE2" w:rsidRPr="00BD58C0">
        <w:rPr>
          <w:rFonts w:ascii="Times New Roman" w:eastAsia="Times New Roman" w:hAnsi="Times New Roman" w:cs="Times New Roman"/>
          <w:sz w:val="24"/>
          <w:szCs w:val="24"/>
          <w:lang w:val="en-US"/>
        </w:rPr>
        <w:t xml:space="preserve">shows the ranking of the main criteria for policy consideration, showing </w:t>
      </w:r>
      <w:r w:rsidRPr="00BD58C0">
        <w:rPr>
          <w:rFonts w:ascii="Times New Roman" w:eastAsia="Times New Roman" w:hAnsi="Times New Roman" w:cs="Times New Roman"/>
          <w:sz w:val="24"/>
          <w:szCs w:val="24"/>
          <w:lang w:val="en-US"/>
        </w:rPr>
        <w:t xml:space="preserve">‘environmental impact’ (45.93%) is most highly </w:t>
      </w:r>
      <w:proofErr w:type="spellStart"/>
      <w:r w:rsidRPr="00BD58C0">
        <w:rPr>
          <w:rFonts w:ascii="Times New Roman" w:eastAsia="Times New Roman" w:hAnsi="Times New Roman" w:cs="Times New Roman"/>
          <w:sz w:val="24"/>
          <w:szCs w:val="24"/>
          <w:lang w:val="en-US"/>
        </w:rPr>
        <w:t>prioriti</w:t>
      </w:r>
      <w:r w:rsidR="00030666"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ed</w:t>
      </w:r>
      <w:proofErr w:type="spellEnd"/>
      <w:r w:rsidRPr="00BD58C0">
        <w:rPr>
          <w:rFonts w:ascii="Times New Roman" w:eastAsia="Times New Roman" w:hAnsi="Times New Roman" w:cs="Times New Roman"/>
          <w:sz w:val="24"/>
          <w:szCs w:val="24"/>
          <w:lang w:val="en-US"/>
        </w:rPr>
        <w:t>, followed by ‘investment cost’ (20.69%), ‘operational cost’ (19.51%), and ‘revenues’ (13.87%). This clearly demonstrates that environmental aspects were given more importance compared to the economic aspects</w:t>
      </w:r>
      <w:r w:rsidR="00B50707" w:rsidRPr="00BD58C0">
        <w:rPr>
          <w:rFonts w:ascii="Times New Roman" w:eastAsia="Times New Roman" w:hAnsi="Times New Roman" w:cs="Times New Roman"/>
          <w:sz w:val="24"/>
          <w:szCs w:val="24"/>
          <w:lang w:val="en-US"/>
        </w:rPr>
        <w:t>, which</w:t>
      </w:r>
      <w:r w:rsidRPr="00BD58C0">
        <w:rPr>
          <w:rFonts w:ascii="Times New Roman" w:eastAsia="Times New Roman" w:hAnsi="Times New Roman" w:cs="Times New Roman"/>
          <w:sz w:val="24"/>
          <w:szCs w:val="24"/>
          <w:lang w:val="en-US"/>
        </w:rPr>
        <w:t xml:space="preserve"> is in line with Malaysia’s target </w:t>
      </w:r>
      <w:r w:rsidR="00B50707" w:rsidRPr="00BD58C0">
        <w:rPr>
          <w:rFonts w:ascii="Times New Roman" w:eastAsia="Times New Roman" w:hAnsi="Times New Roman" w:cs="Times New Roman"/>
          <w:sz w:val="24"/>
          <w:szCs w:val="24"/>
          <w:lang w:val="en-US"/>
        </w:rPr>
        <w:t xml:space="preserve">under the Paris Agreement </w:t>
      </w:r>
      <w:r w:rsidRPr="00BD58C0">
        <w:rPr>
          <w:rFonts w:ascii="Times New Roman" w:eastAsia="Times New Roman" w:hAnsi="Times New Roman" w:cs="Times New Roman"/>
          <w:sz w:val="24"/>
          <w:szCs w:val="24"/>
          <w:lang w:val="en-US"/>
        </w:rPr>
        <w:t xml:space="preserve">of reducing </w:t>
      </w:r>
      <w:r w:rsidR="0079535F" w:rsidRPr="00BD58C0">
        <w:rPr>
          <w:rFonts w:ascii="Times New Roman" w:eastAsia="Times New Roman" w:hAnsi="Times New Roman" w:cs="Times New Roman"/>
          <w:sz w:val="24"/>
          <w:szCs w:val="24"/>
          <w:lang w:val="en-US"/>
        </w:rPr>
        <w:t>greenhouse gas</w:t>
      </w:r>
      <w:r w:rsidRPr="00BD58C0">
        <w:rPr>
          <w:rFonts w:ascii="Times New Roman" w:eastAsia="Times New Roman" w:hAnsi="Times New Roman" w:cs="Times New Roman"/>
          <w:sz w:val="24"/>
          <w:szCs w:val="24"/>
          <w:lang w:val="en-US"/>
        </w:rPr>
        <w:t xml:space="preserve"> emissions </w:t>
      </w:r>
      <w:r w:rsidR="00B50707" w:rsidRPr="00BD58C0">
        <w:rPr>
          <w:rFonts w:ascii="Times New Roman" w:eastAsia="Times New Roman" w:hAnsi="Times New Roman" w:cs="Times New Roman"/>
          <w:sz w:val="24"/>
          <w:szCs w:val="24"/>
          <w:lang w:val="en-US"/>
        </w:rPr>
        <w:t xml:space="preserve">intensity of </w:t>
      </w:r>
      <w:r w:rsidR="0079535F" w:rsidRPr="00BD58C0">
        <w:rPr>
          <w:rFonts w:ascii="Times New Roman" w:eastAsia="Times New Roman" w:hAnsi="Times New Roman" w:cs="Times New Roman"/>
          <w:sz w:val="24"/>
          <w:szCs w:val="24"/>
          <w:lang w:val="en-US"/>
        </w:rPr>
        <w:t>gross domestic product (</w:t>
      </w:r>
      <w:r w:rsidR="00B50707" w:rsidRPr="00BD58C0">
        <w:rPr>
          <w:rFonts w:ascii="Times New Roman" w:eastAsia="Times New Roman" w:hAnsi="Times New Roman" w:cs="Times New Roman"/>
          <w:sz w:val="24"/>
          <w:szCs w:val="24"/>
          <w:lang w:val="en-US"/>
        </w:rPr>
        <w:t>GDP</w:t>
      </w:r>
      <w:r w:rsidR="0079535F" w:rsidRPr="00BD58C0">
        <w:rPr>
          <w:rFonts w:ascii="Times New Roman" w:eastAsia="Times New Roman" w:hAnsi="Times New Roman" w:cs="Times New Roman"/>
          <w:sz w:val="24"/>
          <w:szCs w:val="24"/>
          <w:lang w:val="en-US"/>
        </w:rPr>
        <w:t>)</w:t>
      </w:r>
      <w:r w:rsidR="00B50707" w:rsidRPr="00BD58C0">
        <w:rPr>
          <w:rFonts w:ascii="Times New Roman" w:eastAsia="Times New Roman" w:hAnsi="Times New Roman" w:cs="Times New Roman"/>
          <w:sz w:val="24"/>
          <w:szCs w:val="24"/>
          <w:lang w:val="en-US"/>
        </w:rPr>
        <w:t xml:space="preserve"> </w:t>
      </w:r>
      <w:r w:rsidRPr="00BD58C0">
        <w:rPr>
          <w:rFonts w:ascii="Times New Roman" w:eastAsia="Times New Roman" w:hAnsi="Times New Roman" w:cs="Times New Roman"/>
          <w:sz w:val="24"/>
          <w:szCs w:val="24"/>
          <w:lang w:val="en-US"/>
        </w:rPr>
        <w:t xml:space="preserve">by 45% by 2030 </w:t>
      </w:r>
      <w:r w:rsidR="00B50707" w:rsidRPr="00BD58C0">
        <w:rPr>
          <w:rFonts w:ascii="Times New Roman" w:eastAsia="Times New Roman" w:hAnsi="Times New Roman" w:cs="Times New Roman"/>
          <w:sz w:val="24"/>
          <w:szCs w:val="24"/>
          <w:lang w:val="en-US"/>
        </w:rPr>
        <w:t xml:space="preserve">relative to the emissions intensity of GDP in 2005 </w:t>
      </w:r>
      <w:r w:rsidR="007E3830" w:rsidRPr="00BD58C0">
        <w:rPr>
          <w:rFonts w:ascii="Times New Roman" w:eastAsia="Times New Roman" w:hAnsi="Times New Roman" w:cs="Times New Roman"/>
          <w:sz w:val="24"/>
          <w:szCs w:val="24"/>
          <w:lang w:val="en-US"/>
        </w:rPr>
        <w:t>[</w:t>
      </w:r>
      <w:r w:rsidR="0064205C" w:rsidRPr="00BD58C0">
        <w:rPr>
          <w:rFonts w:ascii="Times New Roman" w:eastAsia="Times New Roman" w:hAnsi="Times New Roman" w:cs="Times New Roman"/>
          <w:sz w:val="24"/>
          <w:szCs w:val="24"/>
          <w:lang w:val="en-US"/>
        </w:rPr>
        <w:t>6</w:t>
      </w:r>
      <w:r w:rsidR="00801AAE" w:rsidRPr="00BD58C0">
        <w:rPr>
          <w:rFonts w:ascii="Times New Roman" w:eastAsia="Times New Roman" w:hAnsi="Times New Roman" w:cs="Times New Roman"/>
          <w:sz w:val="24"/>
          <w:szCs w:val="24"/>
          <w:lang w:val="en-US"/>
        </w:rPr>
        <w:t>0</w:t>
      </w:r>
      <w:r w:rsidR="007E3830" w:rsidRPr="00BD58C0">
        <w:rPr>
          <w:rFonts w:ascii="Times New Roman" w:eastAsia="Times New Roman" w:hAnsi="Times New Roman" w:cs="Times New Roman"/>
          <w:sz w:val="24"/>
          <w:szCs w:val="24"/>
          <w:lang w:val="en-US"/>
        </w:rPr>
        <w:t>]</w:t>
      </w:r>
      <w:r w:rsidRPr="00BD58C0">
        <w:rPr>
          <w:rFonts w:ascii="Times New Roman" w:eastAsia="Times New Roman" w:hAnsi="Times New Roman" w:cs="Times New Roman"/>
          <w:sz w:val="24"/>
          <w:szCs w:val="24"/>
          <w:lang w:val="en-US"/>
        </w:rPr>
        <w:t xml:space="preserve">. </w:t>
      </w:r>
    </w:p>
    <w:p w14:paraId="52606AA7" w14:textId="77777777" w:rsidR="0079535F" w:rsidRPr="00BD58C0" w:rsidRDefault="0079535F" w:rsidP="009D6124">
      <w:pPr>
        <w:spacing w:after="0" w:line="360" w:lineRule="auto"/>
        <w:ind w:firstLine="720"/>
        <w:jc w:val="both"/>
        <w:rPr>
          <w:rFonts w:ascii="Times New Roman" w:eastAsia="Times New Roman" w:hAnsi="Times New Roman" w:cs="Times New Roman"/>
          <w:sz w:val="24"/>
          <w:szCs w:val="24"/>
          <w:lang w:val="en-US"/>
        </w:rPr>
      </w:pPr>
    </w:p>
    <w:p w14:paraId="38727E5D" w14:textId="6F080DC2" w:rsidR="007B56EE" w:rsidRPr="00BD58C0" w:rsidRDefault="007B56EE" w:rsidP="00AD3ABD">
      <w:pPr>
        <w:spacing w:after="0" w:line="360" w:lineRule="auto"/>
        <w:rPr>
          <w:rFonts w:ascii="Times New Roman" w:eastAsia="Times New Roman" w:hAnsi="Times New Roman" w:cs="Times New Roman"/>
          <w:sz w:val="24"/>
          <w:szCs w:val="24"/>
          <w:lang w:val="en-US"/>
        </w:rPr>
      </w:pPr>
      <w:r w:rsidRPr="00BD58C0">
        <w:rPr>
          <w:rFonts w:ascii="Times New Roman" w:eastAsia="Times New Roman" w:hAnsi="Times New Roman" w:cs="Times New Roman"/>
          <w:b/>
          <w:bCs/>
          <w:sz w:val="24"/>
          <w:szCs w:val="24"/>
          <w:lang w:val="en-US"/>
        </w:rPr>
        <w:t>T</w:t>
      </w:r>
      <w:r w:rsidR="009F3FC2" w:rsidRPr="00BD58C0">
        <w:rPr>
          <w:rFonts w:ascii="Times New Roman" w:eastAsia="Times New Roman" w:hAnsi="Times New Roman" w:cs="Times New Roman"/>
          <w:b/>
          <w:bCs/>
          <w:sz w:val="24"/>
          <w:szCs w:val="24"/>
          <w:lang w:val="en-US"/>
        </w:rPr>
        <w:t>able</w:t>
      </w:r>
      <w:r w:rsidRPr="00BD58C0">
        <w:rPr>
          <w:rFonts w:ascii="Times New Roman" w:eastAsia="Times New Roman" w:hAnsi="Times New Roman" w:cs="Times New Roman"/>
          <w:b/>
          <w:bCs/>
          <w:sz w:val="24"/>
          <w:szCs w:val="24"/>
          <w:lang w:val="en-US"/>
        </w:rPr>
        <w:t xml:space="preserve"> </w:t>
      </w:r>
      <w:r w:rsidR="00B81C00" w:rsidRPr="00BD58C0">
        <w:rPr>
          <w:rFonts w:ascii="Times New Roman" w:eastAsia="Times New Roman" w:hAnsi="Times New Roman" w:cs="Times New Roman"/>
          <w:b/>
          <w:bCs/>
          <w:sz w:val="24"/>
          <w:szCs w:val="24"/>
          <w:lang w:val="en-US"/>
        </w:rPr>
        <w:t>8</w:t>
      </w:r>
      <w:r w:rsidRPr="00BD58C0">
        <w:rPr>
          <w:rFonts w:ascii="Times New Roman" w:eastAsia="Times New Roman" w:hAnsi="Times New Roman" w:cs="Times New Roman"/>
          <w:sz w:val="24"/>
          <w:szCs w:val="24"/>
          <w:lang w:val="en-US"/>
        </w:rPr>
        <w:tab/>
        <w:t xml:space="preserve">Main criteria rankings for policy </w:t>
      </w:r>
      <w:r w:rsidR="00747846" w:rsidRPr="00BD58C0">
        <w:rPr>
          <w:rFonts w:ascii="Times New Roman" w:eastAsia="Times New Roman" w:hAnsi="Times New Roman" w:cs="Times New Roman"/>
          <w:sz w:val="24"/>
          <w:szCs w:val="24"/>
          <w:lang w:val="en-US"/>
        </w:rPr>
        <w:t>consideration linked to POME treatment for energy generation</w:t>
      </w:r>
    </w:p>
    <w:tbl>
      <w:tblPr>
        <w:tblStyle w:val="PlainTable21"/>
        <w:tblW w:w="4986" w:type="pct"/>
        <w:tblLook w:val="0620" w:firstRow="1" w:lastRow="0" w:firstColumn="0" w:lastColumn="0" w:noHBand="1" w:noVBand="1"/>
      </w:tblPr>
      <w:tblGrid>
        <w:gridCol w:w="3421"/>
        <w:gridCol w:w="3420"/>
        <w:gridCol w:w="2160"/>
      </w:tblGrid>
      <w:tr w:rsidR="00BD58C0" w:rsidRPr="00BD58C0" w14:paraId="2849FB8D" w14:textId="77777777" w:rsidTr="00E70296">
        <w:trPr>
          <w:cnfStyle w:val="100000000000" w:firstRow="1" w:lastRow="0" w:firstColumn="0" w:lastColumn="0" w:oddVBand="0" w:evenVBand="0" w:oddHBand="0" w:evenHBand="0" w:firstRowFirstColumn="0" w:firstRowLastColumn="0" w:lastRowFirstColumn="0" w:lastRowLastColumn="0"/>
          <w:trHeight w:val="269"/>
        </w:trPr>
        <w:tc>
          <w:tcPr>
            <w:tcW w:w="1900" w:type="pct"/>
          </w:tcPr>
          <w:p w14:paraId="1B667D32"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Main criteria</w:t>
            </w:r>
          </w:p>
        </w:tc>
        <w:tc>
          <w:tcPr>
            <w:tcW w:w="1900" w:type="pct"/>
          </w:tcPr>
          <w:p w14:paraId="621AB065"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Priority Weight (%)</w:t>
            </w:r>
          </w:p>
        </w:tc>
        <w:tc>
          <w:tcPr>
            <w:tcW w:w="1200" w:type="pct"/>
          </w:tcPr>
          <w:p w14:paraId="34EDF7D8"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Rank</w:t>
            </w:r>
          </w:p>
        </w:tc>
      </w:tr>
      <w:tr w:rsidR="00BD58C0" w:rsidRPr="00BD58C0" w14:paraId="0322F8DB" w14:textId="77777777" w:rsidTr="00E70296">
        <w:trPr>
          <w:trHeight w:val="260"/>
        </w:trPr>
        <w:tc>
          <w:tcPr>
            <w:tcW w:w="1900" w:type="pct"/>
          </w:tcPr>
          <w:p w14:paraId="39442125"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Environmental impact</w:t>
            </w:r>
          </w:p>
        </w:tc>
        <w:tc>
          <w:tcPr>
            <w:tcW w:w="1900" w:type="pct"/>
          </w:tcPr>
          <w:p w14:paraId="0E9C2A73"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45.93</w:t>
            </w:r>
          </w:p>
        </w:tc>
        <w:tc>
          <w:tcPr>
            <w:tcW w:w="1200" w:type="pct"/>
          </w:tcPr>
          <w:p w14:paraId="181545C9"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w:t>
            </w:r>
          </w:p>
        </w:tc>
      </w:tr>
      <w:tr w:rsidR="00BD58C0" w:rsidRPr="00BD58C0" w14:paraId="099BB83E" w14:textId="77777777" w:rsidTr="00E70296">
        <w:trPr>
          <w:trHeight w:val="53"/>
        </w:trPr>
        <w:tc>
          <w:tcPr>
            <w:tcW w:w="1900" w:type="pct"/>
          </w:tcPr>
          <w:p w14:paraId="6FB18BF3"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Investment cost</w:t>
            </w:r>
          </w:p>
        </w:tc>
        <w:tc>
          <w:tcPr>
            <w:tcW w:w="1900" w:type="pct"/>
          </w:tcPr>
          <w:p w14:paraId="493945F2"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20.69</w:t>
            </w:r>
          </w:p>
        </w:tc>
        <w:tc>
          <w:tcPr>
            <w:tcW w:w="1200" w:type="pct"/>
          </w:tcPr>
          <w:p w14:paraId="353D3EB7"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w:t>
            </w:r>
          </w:p>
        </w:tc>
      </w:tr>
      <w:tr w:rsidR="00BD58C0" w:rsidRPr="00BD58C0" w14:paraId="1352557F" w14:textId="77777777" w:rsidTr="00E70296">
        <w:trPr>
          <w:trHeight w:val="53"/>
        </w:trPr>
        <w:tc>
          <w:tcPr>
            <w:tcW w:w="1900" w:type="pct"/>
          </w:tcPr>
          <w:p w14:paraId="35F7DA1F"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Operational cost</w:t>
            </w:r>
          </w:p>
        </w:tc>
        <w:tc>
          <w:tcPr>
            <w:tcW w:w="1900" w:type="pct"/>
          </w:tcPr>
          <w:p w14:paraId="098A52DD"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19.51</w:t>
            </w:r>
          </w:p>
        </w:tc>
        <w:tc>
          <w:tcPr>
            <w:tcW w:w="1200" w:type="pct"/>
          </w:tcPr>
          <w:p w14:paraId="1A99A4C2"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w:t>
            </w:r>
          </w:p>
        </w:tc>
      </w:tr>
      <w:tr w:rsidR="00BD58C0" w:rsidRPr="00BD58C0" w14:paraId="4798AA04" w14:textId="77777777" w:rsidTr="00E70296">
        <w:tc>
          <w:tcPr>
            <w:tcW w:w="1900" w:type="pct"/>
          </w:tcPr>
          <w:p w14:paraId="58A6AF02"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Revenues</w:t>
            </w:r>
          </w:p>
        </w:tc>
        <w:tc>
          <w:tcPr>
            <w:tcW w:w="1900" w:type="pct"/>
          </w:tcPr>
          <w:p w14:paraId="1CEEF944"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13.87</w:t>
            </w:r>
          </w:p>
        </w:tc>
        <w:tc>
          <w:tcPr>
            <w:tcW w:w="1200" w:type="pct"/>
          </w:tcPr>
          <w:p w14:paraId="16DD6C83" w14:textId="77777777" w:rsidR="00E70296" w:rsidRPr="00BD58C0" w:rsidRDefault="00E70296" w:rsidP="00D2736C">
            <w:pPr>
              <w:spacing w:line="360" w:lineRule="auto"/>
              <w:jc w:val="both"/>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4</w:t>
            </w:r>
          </w:p>
        </w:tc>
      </w:tr>
    </w:tbl>
    <w:p w14:paraId="46BF3FC8" w14:textId="77777777" w:rsidR="007B56EE" w:rsidRPr="00BD58C0" w:rsidRDefault="007B56EE" w:rsidP="00D2736C">
      <w:pPr>
        <w:spacing w:after="0" w:line="360" w:lineRule="auto"/>
        <w:rPr>
          <w:rFonts w:ascii="Times New Roman" w:eastAsia="Times New Roman" w:hAnsi="Times New Roman" w:cs="Times New Roman"/>
          <w:bCs/>
          <w:sz w:val="24"/>
          <w:szCs w:val="24"/>
          <w:lang w:val="en-US"/>
        </w:rPr>
      </w:pPr>
    </w:p>
    <w:p w14:paraId="1F96CD5E" w14:textId="016048D2" w:rsidR="007B56EE" w:rsidRPr="00BD58C0" w:rsidRDefault="00214B62" w:rsidP="00D2736C">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t>4</w:t>
      </w:r>
      <w:r w:rsidR="007B56EE" w:rsidRPr="00BD58C0">
        <w:rPr>
          <w:rFonts w:ascii="Times New Roman" w:hAnsi="Times New Roman" w:cs="Times New Roman"/>
          <w:i/>
          <w:iCs/>
          <w:sz w:val="24"/>
          <w:szCs w:val="24"/>
        </w:rPr>
        <w:t>.2.2.</w:t>
      </w:r>
      <w:r w:rsidR="00A31370" w:rsidRPr="00BD58C0">
        <w:rPr>
          <w:rFonts w:ascii="Times New Roman" w:hAnsi="Times New Roman" w:cs="Times New Roman"/>
          <w:i/>
          <w:iCs/>
          <w:sz w:val="24"/>
          <w:szCs w:val="24"/>
        </w:rPr>
        <w:tab/>
      </w:r>
      <w:r w:rsidR="007B56EE" w:rsidRPr="00BD58C0">
        <w:rPr>
          <w:rFonts w:ascii="Times New Roman" w:hAnsi="Times New Roman" w:cs="Times New Roman"/>
          <w:i/>
          <w:iCs/>
          <w:sz w:val="24"/>
          <w:szCs w:val="24"/>
        </w:rPr>
        <w:t>Results of possible solutions within main criteria</w:t>
      </w:r>
    </w:p>
    <w:p w14:paraId="03984440" w14:textId="1B2B244A" w:rsidR="007B56EE" w:rsidRPr="00BD58C0" w:rsidRDefault="007B56EE" w:rsidP="00D2736C">
      <w:pPr>
        <w:spacing w:after="0" w:line="360" w:lineRule="auto"/>
        <w:jc w:val="both"/>
        <w:rPr>
          <w:rFonts w:ascii="Times New Roman" w:hAnsi="Times New Roman" w:cs="Times New Roman"/>
          <w:sz w:val="24"/>
          <w:szCs w:val="24"/>
        </w:rPr>
      </w:pPr>
    </w:p>
    <w:p w14:paraId="7AC39751" w14:textId="48799FC0" w:rsidR="007B56EE" w:rsidRPr="00BD58C0" w:rsidRDefault="008A35E6" w:rsidP="009D6124">
      <w:pPr>
        <w:spacing w:after="0" w:line="360" w:lineRule="auto"/>
        <w:ind w:firstLine="720"/>
        <w:jc w:val="both"/>
        <w:rPr>
          <w:rFonts w:ascii="Times New Roman" w:eastAsia="Times New Roman" w:hAnsi="Times New Roman" w:cs="Times New Roman"/>
          <w:sz w:val="24"/>
          <w:szCs w:val="24"/>
          <w:lang w:val="en-GB"/>
        </w:rPr>
      </w:pPr>
      <w:bookmarkStart w:id="9" w:name="_Hlk26210185"/>
      <w:r w:rsidRPr="00BD58C0">
        <w:rPr>
          <w:rFonts w:ascii="Times New Roman" w:eastAsia="Times New Roman" w:hAnsi="Times New Roman" w:cs="Times New Roman"/>
          <w:sz w:val="24"/>
          <w:szCs w:val="24"/>
          <w:lang w:val="en-US"/>
        </w:rPr>
        <w:t>T</w:t>
      </w:r>
      <w:r w:rsidR="007B56EE" w:rsidRPr="00BD58C0">
        <w:rPr>
          <w:rFonts w:ascii="Times New Roman" w:eastAsia="Times New Roman" w:hAnsi="Times New Roman" w:cs="Times New Roman"/>
          <w:sz w:val="24"/>
          <w:szCs w:val="24"/>
          <w:lang w:val="en-US"/>
        </w:rPr>
        <w:t>he ‘environmental impact’ main criterion</w:t>
      </w:r>
      <w:r w:rsidR="001A186C" w:rsidRPr="00BD58C0">
        <w:rPr>
          <w:rFonts w:ascii="Times New Roman" w:eastAsia="Times New Roman" w:hAnsi="Times New Roman" w:cs="Times New Roman"/>
          <w:sz w:val="24"/>
          <w:szCs w:val="24"/>
          <w:lang w:val="en-US"/>
        </w:rPr>
        <w:t xml:space="preserve"> results are shown in Table 9</w:t>
      </w:r>
      <w:bookmarkEnd w:id="9"/>
      <w:r w:rsidR="001A186C" w:rsidRPr="00BD58C0">
        <w:rPr>
          <w:rFonts w:ascii="Times New Roman" w:eastAsia="Times New Roman" w:hAnsi="Times New Roman" w:cs="Times New Roman"/>
          <w:sz w:val="24"/>
          <w:szCs w:val="24"/>
          <w:lang w:val="en-US"/>
        </w:rPr>
        <w:t xml:space="preserve">. </w:t>
      </w:r>
      <w:r w:rsidR="007B56EE" w:rsidRPr="00BD58C0">
        <w:rPr>
          <w:rFonts w:ascii="Times New Roman" w:eastAsia="Times New Roman" w:hAnsi="Times New Roman" w:cs="Times New Roman"/>
          <w:sz w:val="24"/>
          <w:szCs w:val="24"/>
          <w:lang w:val="en-US"/>
        </w:rPr>
        <w:t>Th</w:t>
      </w:r>
      <w:r w:rsidR="00526B16" w:rsidRPr="00BD58C0">
        <w:rPr>
          <w:rFonts w:ascii="Times New Roman" w:eastAsia="Times New Roman" w:hAnsi="Times New Roman" w:cs="Times New Roman"/>
          <w:sz w:val="24"/>
          <w:szCs w:val="24"/>
          <w:lang w:val="en-US"/>
        </w:rPr>
        <w:t>e</w:t>
      </w:r>
      <w:r w:rsidR="007B56EE" w:rsidRPr="00BD58C0">
        <w:rPr>
          <w:rFonts w:ascii="Times New Roman" w:eastAsia="Times New Roman" w:hAnsi="Times New Roman" w:cs="Times New Roman"/>
          <w:sz w:val="24"/>
          <w:szCs w:val="24"/>
          <w:lang w:val="en-US"/>
        </w:rPr>
        <w:t xml:space="preserve"> ranking is not surprising</w:t>
      </w:r>
      <w:r w:rsidR="00B50707" w:rsidRPr="00BD58C0">
        <w:rPr>
          <w:rFonts w:ascii="Times New Roman" w:eastAsia="Times New Roman" w:hAnsi="Times New Roman" w:cs="Times New Roman"/>
          <w:sz w:val="24"/>
          <w:szCs w:val="24"/>
          <w:lang w:val="en-US"/>
        </w:rPr>
        <w:t>, as</w:t>
      </w:r>
      <w:r w:rsidR="007B56EE" w:rsidRPr="00BD58C0">
        <w:rPr>
          <w:rFonts w:ascii="Times New Roman" w:eastAsia="Times New Roman" w:hAnsi="Times New Roman" w:cs="Times New Roman"/>
          <w:sz w:val="24"/>
          <w:szCs w:val="24"/>
          <w:lang w:val="en-US"/>
        </w:rPr>
        <w:t xml:space="preserve"> </w:t>
      </w:r>
      <w:r w:rsidR="007B56EE" w:rsidRPr="00BD58C0">
        <w:rPr>
          <w:rFonts w:ascii="Times New Roman" w:eastAsia="Times New Roman" w:hAnsi="Times New Roman" w:cs="Times New Roman"/>
          <w:sz w:val="24"/>
          <w:szCs w:val="24"/>
          <w:lang w:val="en-GB"/>
        </w:rPr>
        <w:t xml:space="preserve">all eleven interviewees mentioned that the existing environmental regulation guidelines for the treatment of POME for energy generation are </w:t>
      </w:r>
      <w:r w:rsidR="00526B16" w:rsidRPr="00BD58C0">
        <w:rPr>
          <w:rFonts w:ascii="Times New Roman" w:eastAsia="Times New Roman" w:hAnsi="Times New Roman" w:cs="Times New Roman"/>
          <w:sz w:val="24"/>
          <w:szCs w:val="24"/>
          <w:lang w:val="en-GB"/>
        </w:rPr>
        <w:t>too</w:t>
      </w:r>
      <w:r w:rsidR="007B56EE" w:rsidRPr="00BD58C0">
        <w:rPr>
          <w:rFonts w:ascii="Times New Roman" w:eastAsia="Times New Roman" w:hAnsi="Times New Roman" w:cs="Times New Roman"/>
          <w:sz w:val="24"/>
          <w:szCs w:val="24"/>
          <w:lang w:val="en-GB"/>
        </w:rPr>
        <w:t xml:space="preserve"> general and </w:t>
      </w:r>
      <w:r w:rsidR="00526B16" w:rsidRPr="00BD58C0">
        <w:rPr>
          <w:rFonts w:ascii="Times New Roman" w:eastAsia="Times New Roman" w:hAnsi="Times New Roman" w:cs="Times New Roman"/>
          <w:sz w:val="24"/>
          <w:szCs w:val="24"/>
          <w:lang w:val="en-GB"/>
        </w:rPr>
        <w:t xml:space="preserve">insufficiently </w:t>
      </w:r>
      <w:r w:rsidR="007B56EE" w:rsidRPr="00BD58C0">
        <w:rPr>
          <w:rFonts w:ascii="Times New Roman" w:eastAsia="Times New Roman" w:hAnsi="Times New Roman" w:cs="Times New Roman"/>
          <w:sz w:val="24"/>
          <w:szCs w:val="24"/>
          <w:lang w:val="en-GB"/>
        </w:rPr>
        <w:t xml:space="preserve">specific. This suggests that POM </w:t>
      </w:r>
      <w:r w:rsidR="007B56EE" w:rsidRPr="00BD58C0">
        <w:rPr>
          <w:rFonts w:ascii="Times New Roman" w:eastAsia="Times New Roman" w:hAnsi="Times New Roman" w:cs="Times New Roman"/>
          <w:sz w:val="24"/>
          <w:szCs w:val="24"/>
          <w:lang w:val="en-GB" w:eastAsia="en-GB"/>
        </w:rPr>
        <w:t>manage</w:t>
      </w:r>
      <w:r w:rsidR="00057925" w:rsidRPr="00BD58C0">
        <w:rPr>
          <w:rFonts w:ascii="Times New Roman" w:eastAsia="Times New Roman" w:hAnsi="Times New Roman" w:cs="Times New Roman"/>
          <w:sz w:val="24"/>
          <w:szCs w:val="24"/>
          <w:lang w:val="en-GB" w:eastAsia="en-GB"/>
        </w:rPr>
        <w:t xml:space="preserve">rs </w:t>
      </w:r>
      <w:r w:rsidR="007B56EE" w:rsidRPr="00BD58C0">
        <w:rPr>
          <w:rFonts w:ascii="Times New Roman" w:eastAsia="Times New Roman" w:hAnsi="Times New Roman" w:cs="Times New Roman"/>
          <w:sz w:val="24"/>
          <w:szCs w:val="24"/>
          <w:lang w:val="en-GB"/>
        </w:rPr>
        <w:t xml:space="preserve">do not have a clear understanding </w:t>
      </w:r>
      <w:r w:rsidR="00B50707" w:rsidRPr="00BD58C0">
        <w:rPr>
          <w:rFonts w:ascii="Times New Roman" w:eastAsia="Times New Roman" w:hAnsi="Times New Roman" w:cs="Times New Roman"/>
          <w:sz w:val="24"/>
          <w:szCs w:val="24"/>
          <w:lang w:val="en-GB"/>
        </w:rPr>
        <w:t xml:space="preserve">regarding issues </w:t>
      </w:r>
      <w:r w:rsidR="00506261" w:rsidRPr="00BD58C0">
        <w:rPr>
          <w:rFonts w:ascii="Times New Roman" w:eastAsia="Times New Roman" w:hAnsi="Times New Roman" w:cs="Times New Roman"/>
          <w:sz w:val="24"/>
          <w:szCs w:val="24"/>
          <w:lang w:val="en-GB"/>
        </w:rPr>
        <w:t>like</w:t>
      </w:r>
      <w:r w:rsidR="00B50707" w:rsidRPr="00BD58C0">
        <w:rPr>
          <w:rFonts w:ascii="Times New Roman" w:eastAsia="Times New Roman" w:hAnsi="Times New Roman" w:cs="Times New Roman"/>
          <w:sz w:val="24"/>
          <w:szCs w:val="24"/>
          <w:lang w:val="en-GB"/>
        </w:rPr>
        <w:t xml:space="preserve"> </w:t>
      </w:r>
      <w:r w:rsidR="007B56EE" w:rsidRPr="00BD58C0">
        <w:rPr>
          <w:rFonts w:ascii="Times New Roman" w:eastAsia="Times New Roman" w:hAnsi="Times New Roman" w:cs="Times New Roman"/>
          <w:sz w:val="24"/>
          <w:szCs w:val="24"/>
          <w:lang w:val="en-GB"/>
        </w:rPr>
        <w:t>how to ensure the allowable emission limit is achieved</w:t>
      </w:r>
      <w:r w:rsidR="00B50707" w:rsidRPr="00BD58C0">
        <w:rPr>
          <w:rFonts w:ascii="Times New Roman" w:eastAsia="Times New Roman" w:hAnsi="Times New Roman" w:cs="Times New Roman"/>
          <w:sz w:val="24"/>
          <w:szCs w:val="24"/>
          <w:lang w:val="en-GB"/>
        </w:rPr>
        <w:t xml:space="preserve"> or </w:t>
      </w:r>
      <w:r w:rsidR="007B56EE" w:rsidRPr="00BD58C0">
        <w:rPr>
          <w:rFonts w:ascii="Times New Roman" w:eastAsia="Times New Roman" w:hAnsi="Times New Roman" w:cs="Times New Roman"/>
          <w:sz w:val="24"/>
          <w:szCs w:val="24"/>
          <w:lang w:val="en-GB"/>
        </w:rPr>
        <w:t xml:space="preserve">the proper way to construct a ponding system </w:t>
      </w:r>
      <w:r w:rsidR="00AE49E6" w:rsidRPr="00BD58C0">
        <w:rPr>
          <w:rFonts w:ascii="Times New Roman" w:eastAsia="Times New Roman" w:hAnsi="Times New Roman" w:cs="Times New Roman"/>
          <w:sz w:val="24"/>
          <w:szCs w:val="24"/>
          <w:lang w:val="en-GB"/>
        </w:rPr>
        <w:t xml:space="preserve">to avoid </w:t>
      </w:r>
      <w:r w:rsidR="007B56EE" w:rsidRPr="00BD58C0">
        <w:rPr>
          <w:rFonts w:ascii="Times New Roman" w:eastAsia="Times New Roman" w:hAnsi="Times New Roman" w:cs="Times New Roman"/>
          <w:sz w:val="24"/>
          <w:szCs w:val="24"/>
          <w:lang w:val="en-GB"/>
        </w:rPr>
        <w:t xml:space="preserve">leaching/overflows. </w:t>
      </w:r>
    </w:p>
    <w:p w14:paraId="7CF266B5" w14:textId="55B303EF" w:rsidR="0042777D" w:rsidRPr="00BD58C0" w:rsidRDefault="0042777D" w:rsidP="009D6124">
      <w:pPr>
        <w:spacing w:after="0" w:line="360" w:lineRule="auto"/>
        <w:ind w:firstLine="720"/>
        <w:jc w:val="both"/>
        <w:rPr>
          <w:rFonts w:ascii="Times New Roman" w:eastAsia="Times New Roman" w:hAnsi="Times New Roman" w:cs="Times New Roman"/>
          <w:sz w:val="24"/>
          <w:szCs w:val="24"/>
          <w:lang w:val="en-GB"/>
        </w:rPr>
      </w:pPr>
    </w:p>
    <w:p w14:paraId="2250A1A7" w14:textId="77777777" w:rsidR="00523B59" w:rsidRPr="00BD58C0" w:rsidRDefault="00523B59" w:rsidP="00D2736C">
      <w:pPr>
        <w:spacing w:after="0" w:line="360" w:lineRule="auto"/>
        <w:rPr>
          <w:rFonts w:ascii="Times New Roman" w:eastAsia="Times New Roman" w:hAnsi="Times New Roman" w:cs="Times New Roman"/>
          <w:b/>
          <w:bCs/>
          <w:sz w:val="24"/>
          <w:szCs w:val="24"/>
          <w:lang w:val="en-US"/>
        </w:rPr>
      </w:pPr>
    </w:p>
    <w:p w14:paraId="6846E873" w14:textId="67569602" w:rsidR="007B56EE" w:rsidRPr="00BD58C0" w:rsidRDefault="007B56EE" w:rsidP="00D2736C">
      <w:pPr>
        <w:spacing w:after="0" w:line="360" w:lineRule="auto"/>
        <w:rPr>
          <w:rFonts w:ascii="Times New Roman" w:eastAsia="Times New Roman" w:hAnsi="Times New Roman" w:cs="Times New Roman"/>
          <w:sz w:val="24"/>
          <w:szCs w:val="24"/>
          <w:lang w:val="en-US"/>
        </w:rPr>
      </w:pPr>
      <w:r w:rsidRPr="00BD58C0">
        <w:rPr>
          <w:rFonts w:ascii="Times New Roman" w:eastAsia="Times New Roman" w:hAnsi="Times New Roman" w:cs="Times New Roman"/>
          <w:b/>
          <w:bCs/>
          <w:sz w:val="24"/>
          <w:szCs w:val="24"/>
          <w:lang w:val="en-US"/>
        </w:rPr>
        <w:lastRenderedPageBreak/>
        <w:t>T</w:t>
      </w:r>
      <w:r w:rsidR="009F3FC2" w:rsidRPr="00BD58C0">
        <w:rPr>
          <w:rFonts w:ascii="Times New Roman" w:eastAsia="Times New Roman" w:hAnsi="Times New Roman" w:cs="Times New Roman"/>
          <w:b/>
          <w:bCs/>
          <w:sz w:val="24"/>
          <w:szCs w:val="24"/>
          <w:lang w:val="en-US"/>
        </w:rPr>
        <w:t>able</w:t>
      </w:r>
      <w:r w:rsidRPr="00BD58C0">
        <w:rPr>
          <w:rFonts w:ascii="Times New Roman" w:eastAsia="Times New Roman" w:hAnsi="Times New Roman" w:cs="Times New Roman"/>
          <w:b/>
          <w:bCs/>
          <w:sz w:val="24"/>
          <w:szCs w:val="24"/>
          <w:lang w:val="en-US"/>
        </w:rPr>
        <w:t xml:space="preserve"> </w:t>
      </w:r>
      <w:r w:rsidR="00B81C00" w:rsidRPr="00BD58C0">
        <w:rPr>
          <w:rFonts w:ascii="Times New Roman" w:eastAsia="Times New Roman" w:hAnsi="Times New Roman" w:cs="Times New Roman"/>
          <w:b/>
          <w:bCs/>
          <w:sz w:val="24"/>
          <w:szCs w:val="24"/>
          <w:lang w:val="en-US"/>
        </w:rPr>
        <w:t>9</w:t>
      </w:r>
      <w:r w:rsidR="009F3FC2" w:rsidRPr="00BD58C0">
        <w:rPr>
          <w:rFonts w:ascii="Times New Roman" w:eastAsia="Times New Roman" w:hAnsi="Times New Roman" w:cs="Times New Roman"/>
          <w:sz w:val="24"/>
          <w:szCs w:val="24"/>
          <w:lang w:val="en-US"/>
        </w:rPr>
        <w:tab/>
      </w:r>
      <w:r w:rsidRPr="00BD58C0">
        <w:rPr>
          <w:rFonts w:ascii="Times New Roman" w:eastAsia="Times New Roman" w:hAnsi="Times New Roman" w:cs="Times New Roman"/>
          <w:sz w:val="24"/>
          <w:szCs w:val="24"/>
          <w:lang w:val="en-US"/>
        </w:rPr>
        <w:t>Possible solution rankings targeting environmental impact</w:t>
      </w:r>
    </w:p>
    <w:tbl>
      <w:tblPr>
        <w:tblStyle w:val="PlainTable22"/>
        <w:tblW w:w="4986" w:type="pct"/>
        <w:tblLook w:val="06A0" w:firstRow="1" w:lastRow="0" w:firstColumn="1" w:lastColumn="0" w:noHBand="1" w:noVBand="1"/>
      </w:tblPr>
      <w:tblGrid>
        <w:gridCol w:w="4342"/>
        <w:gridCol w:w="2679"/>
        <w:gridCol w:w="1980"/>
      </w:tblGrid>
      <w:tr w:rsidR="00BD58C0" w:rsidRPr="00BD58C0" w14:paraId="622A6188" w14:textId="77777777" w:rsidTr="00E70296">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2412" w:type="pct"/>
          </w:tcPr>
          <w:p w14:paraId="0350602B" w14:textId="77777777" w:rsidR="00E70296" w:rsidRPr="00BD58C0" w:rsidRDefault="00E70296"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Possible solutions</w:t>
            </w:r>
          </w:p>
        </w:tc>
        <w:tc>
          <w:tcPr>
            <w:tcW w:w="1488" w:type="pct"/>
          </w:tcPr>
          <w:p w14:paraId="5947C436" w14:textId="77777777" w:rsidR="00E70296" w:rsidRPr="00BD58C0" w:rsidRDefault="00E70296" w:rsidP="00D2736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Priority Weight (%)</w:t>
            </w:r>
          </w:p>
        </w:tc>
        <w:tc>
          <w:tcPr>
            <w:tcW w:w="1100" w:type="pct"/>
          </w:tcPr>
          <w:p w14:paraId="313F3D96" w14:textId="77777777" w:rsidR="00E70296" w:rsidRPr="00BD58C0" w:rsidRDefault="00E70296" w:rsidP="00D2736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Rank</w:t>
            </w:r>
          </w:p>
        </w:tc>
      </w:tr>
      <w:tr w:rsidR="00BD58C0" w:rsidRPr="00BD58C0" w14:paraId="4B4F7268" w14:textId="77777777" w:rsidTr="00E70296">
        <w:trPr>
          <w:trHeight w:val="260"/>
        </w:trPr>
        <w:tc>
          <w:tcPr>
            <w:cnfStyle w:val="001000000000" w:firstRow="0" w:lastRow="0" w:firstColumn="1" w:lastColumn="0" w:oddVBand="0" w:evenVBand="0" w:oddHBand="0" w:evenHBand="0" w:firstRowFirstColumn="0" w:firstRowLastColumn="0" w:lastRowFirstColumn="0" w:lastRowLastColumn="0"/>
            <w:tcW w:w="2412" w:type="pct"/>
          </w:tcPr>
          <w:p w14:paraId="0EEC8789" w14:textId="77777777" w:rsidR="00E70296" w:rsidRPr="00BD58C0" w:rsidRDefault="00E70296" w:rsidP="00D2736C">
            <w:pPr>
              <w:spacing w:line="360" w:lineRule="auto"/>
              <w:rPr>
                <w:rFonts w:ascii="Times New Roman" w:eastAsia="Calibri" w:hAnsi="Times New Roman" w:cs="Times New Roman"/>
                <w:b w:val="0"/>
                <w:bCs w:val="0"/>
                <w:sz w:val="24"/>
                <w:szCs w:val="24"/>
                <w:lang w:val="en-US"/>
              </w:rPr>
            </w:pPr>
            <w:r w:rsidRPr="00BD58C0">
              <w:rPr>
                <w:rFonts w:ascii="Times New Roman" w:eastAsia="Calibri" w:hAnsi="Times New Roman" w:cs="Times New Roman"/>
                <w:b w:val="0"/>
                <w:bCs w:val="0"/>
                <w:sz w:val="24"/>
                <w:szCs w:val="24"/>
                <w:lang w:val="en-US"/>
              </w:rPr>
              <w:t>Cover open pond wall using lining</w:t>
            </w:r>
          </w:p>
        </w:tc>
        <w:tc>
          <w:tcPr>
            <w:tcW w:w="1488" w:type="pct"/>
          </w:tcPr>
          <w:p w14:paraId="7462DB08"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26.24</w:t>
            </w:r>
          </w:p>
        </w:tc>
        <w:tc>
          <w:tcPr>
            <w:tcW w:w="1100" w:type="pct"/>
          </w:tcPr>
          <w:p w14:paraId="0F79B633"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w:t>
            </w:r>
          </w:p>
        </w:tc>
      </w:tr>
      <w:tr w:rsidR="00BD58C0" w:rsidRPr="00BD58C0" w14:paraId="5316646C" w14:textId="77777777" w:rsidTr="00E70296">
        <w:trPr>
          <w:trHeight w:val="255"/>
        </w:trPr>
        <w:tc>
          <w:tcPr>
            <w:cnfStyle w:val="001000000000" w:firstRow="0" w:lastRow="0" w:firstColumn="1" w:lastColumn="0" w:oddVBand="0" w:evenVBand="0" w:oddHBand="0" w:evenHBand="0" w:firstRowFirstColumn="0" w:firstRowLastColumn="0" w:lastRowFirstColumn="0" w:lastRowLastColumn="0"/>
            <w:tcW w:w="2412" w:type="pct"/>
          </w:tcPr>
          <w:p w14:paraId="41E4DC3E" w14:textId="77777777" w:rsidR="00E70296" w:rsidRPr="00BD58C0" w:rsidRDefault="00E70296" w:rsidP="00D2736C">
            <w:pPr>
              <w:spacing w:line="360" w:lineRule="auto"/>
              <w:rPr>
                <w:rFonts w:ascii="Times New Roman" w:eastAsia="Calibri" w:hAnsi="Times New Roman" w:cs="Times New Roman"/>
                <w:b w:val="0"/>
                <w:bCs w:val="0"/>
                <w:sz w:val="24"/>
                <w:szCs w:val="24"/>
                <w:lang w:val="en-US"/>
              </w:rPr>
            </w:pPr>
            <w:r w:rsidRPr="00BD58C0">
              <w:rPr>
                <w:rFonts w:ascii="Times New Roman" w:eastAsia="Calibri" w:hAnsi="Times New Roman" w:cs="Times New Roman"/>
                <w:b w:val="0"/>
                <w:bCs w:val="0"/>
                <w:sz w:val="24"/>
                <w:szCs w:val="24"/>
                <w:lang w:val="en-US"/>
              </w:rPr>
              <w:t>Do not cover open pond wall</w:t>
            </w:r>
          </w:p>
        </w:tc>
        <w:tc>
          <w:tcPr>
            <w:tcW w:w="1488" w:type="pct"/>
          </w:tcPr>
          <w:p w14:paraId="136F47E4"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8.30</w:t>
            </w:r>
          </w:p>
        </w:tc>
        <w:tc>
          <w:tcPr>
            <w:tcW w:w="1100" w:type="pct"/>
          </w:tcPr>
          <w:p w14:paraId="2F25AACE"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w:t>
            </w:r>
          </w:p>
        </w:tc>
      </w:tr>
      <w:tr w:rsidR="00BD58C0" w:rsidRPr="00BD58C0" w14:paraId="1B34F3F4" w14:textId="77777777" w:rsidTr="00E70296">
        <w:trPr>
          <w:trHeight w:val="188"/>
        </w:trPr>
        <w:tc>
          <w:tcPr>
            <w:cnfStyle w:val="001000000000" w:firstRow="0" w:lastRow="0" w:firstColumn="1" w:lastColumn="0" w:oddVBand="0" w:evenVBand="0" w:oddHBand="0" w:evenHBand="0" w:firstRowFirstColumn="0" w:firstRowLastColumn="0" w:lastRowFirstColumn="0" w:lastRowLastColumn="0"/>
            <w:tcW w:w="2412" w:type="pct"/>
          </w:tcPr>
          <w:p w14:paraId="1D1756EF" w14:textId="77777777" w:rsidR="00E70296" w:rsidRPr="00BD58C0" w:rsidRDefault="00E70296" w:rsidP="00D2736C">
            <w:pPr>
              <w:spacing w:line="360" w:lineRule="auto"/>
              <w:rPr>
                <w:rFonts w:ascii="Times New Roman" w:eastAsia="Calibri" w:hAnsi="Times New Roman" w:cs="Times New Roman"/>
                <w:b w:val="0"/>
                <w:bCs w:val="0"/>
                <w:sz w:val="24"/>
                <w:szCs w:val="24"/>
                <w:lang w:val="en-US"/>
              </w:rPr>
            </w:pPr>
            <w:r w:rsidRPr="00BD58C0">
              <w:rPr>
                <w:rFonts w:ascii="Times New Roman" w:eastAsia="Calibri" w:hAnsi="Times New Roman" w:cs="Times New Roman"/>
                <w:b w:val="0"/>
                <w:bCs w:val="0"/>
                <w:sz w:val="24"/>
                <w:szCs w:val="24"/>
                <w:lang w:val="en-US"/>
              </w:rPr>
              <w:t>Provide detailed environmental guidelines</w:t>
            </w:r>
          </w:p>
        </w:tc>
        <w:tc>
          <w:tcPr>
            <w:tcW w:w="1488" w:type="pct"/>
          </w:tcPr>
          <w:p w14:paraId="6A82BCC1"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65.46</w:t>
            </w:r>
          </w:p>
        </w:tc>
        <w:tc>
          <w:tcPr>
            <w:tcW w:w="1100" w:type="pct"/>
          </w:tcPr>
          <w:p w14:paraId="34903458" w14:textId="77777777" w:rsidR="00E70296" w:rsidRPr="00BD58C0" w:rsidRDefault="00E70296" w:rsidP="00D2736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w:t>
            </w:r>
          </w:p>
        </w:tc>
      </w:tr>
    </w:tbl>
    <w:p w14:paraId="597FA544" w14:textId="77777777" w:rsidR="007B56EE" w:rsidRPr="00BD58C0" w:rsidRDefault="007B56EE" w:rsidP="00D2736C">
      <w:pPr>
        <w:spacing w:after="0" w:line="360" w:lineRule="auto"/>
        <w:rPr>
          <w:rFonts w:ascii="Times New Roman" w:eastAsia="Times New Roman" w:hAnsi="Times New Roman" w:cs="Times New Roman"/>
          <w:sz w:val="24"/>
          <w:szCs w:val="24"/>
          <w:lang w:val="en-GB"/>
        </w:rPr>
      </w:pPr>
      <w:r w:rsidRPr="00BD58C0">
        <w:rPr>
          <w:rFonts w:ascii="Times New Roman" w:eastAsia="Times New Roman" w:hAnsi="Times New Roman" w:cs="Times New Roman"/>
          <w:sz w:val="24"/>
          <w:szCs w:val="24"/>
          <w:lang w:val="en-GB"/>
        </w:rPr>
        <w:t>Consistency Ratio (CR) = 0.0816</w:t>
      </w:r>
    </w:p>
    <w:p w14:paraId="10F40270" w14:textId="77777777" w:rsidR="007B56EE" w:rsidRPr="00BD58C0" w:rsidRDefault="007B56EE" w:rsidP="00D2736C">
      <w:pPr>
        <w:spacing w:after="0" w:line="360" w:lineRule="auto"/>
        <w:rPr>
          <w:rFonts w:ascii="Times New Roman" w:eastAsia="Times New Roman" w:hAnsi="Times New Roman" w:cs="Times New Roman"/>
          <w:sz w:val="24"/>
          <w:szCs w:val="24"/>
          <w:lang w:val="en-GB"/>
        </w:rPr>
      </w:pPr>
    </w:p>
    <w:p w14:paraId="7C0E4944" w14:textId="1E237267" w:rsidR="007B56EE" w:rsidRPr="00BD58C0" w:rsidRDefault="007B56EE" w:rsidP="009D6124">
      <w:pPr>
        <w:spacing w:after="0" w:line="360" w:lineRule="auto"/>
        <w:ind w:firstLine="720"/>
        <w:jc w:val="both"/>
        <w:rPr>
          <w:rFonts w:ascii="Times New Roman" w:eastAsia="Times New Roman" w:hAnsi="Times New Roman" w:cs="Times New Roman"/>
          <w:sz w:val="24"/>
          <w:szCs w:val="24"/>
          <w:lang w:val="en-US"/>
        </w:rPr>
      </w:pPr>
      <w:r w:rsidRPr="00BD58C0">
        <w:rPr>
          <w:rFonts w:ascii="Times New Roman" w:eastAsia="Times New Roman" w:hAnsi="Times New Roman" w:cs="Times New Roman"/>
          <w:sz w:val="24"/>
          <w:szCs w:val="24"/>
          <w:lang w:val="en-GB"/>
        </w:rPr>
        <w:t>For the ‘investment cost’ main criterion</w:t>
      </w:r>
      <w:r w:rsidR="00AF7215" w:rsidRPr="00BD58C0">
        <w:rPr>
          <w:rFonts w:ascii="Times New Roman" w:eastAsia="Times New Roman" w:hAnsi="Times New Roman" w:cs="Times New Roman"/>
          <w:sz w:val="24"/>
          <w:szCs w:val="24"/>
          <w:lang w:val="en-GB"/>
        </w:rPr>
        <w:t xml:space="preserve"> (see Table </w:t>
      </w:r>
      <w:r w:rsidR="00D61BD1" w:rsidRPr="00BD58C0">
        <w:rPr>
          <w:rFonts w:ascii="Times New Roman" w:eastAsia="Times New Roman" w:hAnsi="Times New Roman" w:cs="Times New Roman"/>
          <w:sz w:val="24"/>
          <w:szCs w:val="24"/>
          <w:lang w:val="en-GB"/>
        </w:rPr>
        <w:t>10</w:t>
      </w:r>
      <w:r w:rsidR="00AF7215" w:rsidRPr="00BD58C0">
        <w:rPr>
          <w:rFonts w:ascii="Times New Roman" w:eastAsia="Times New Roman" w:hAnsi="Times New Roman" w:cs="Times New Roman"/>
          <w:sz w:val="24"/>
          <w:szCs w:val="24"/>
          <w:lang w:val="en-GB"/>
        </w:rPr>
        <w:t>)</w:t>
      </w:r>
      <w:r w:rsidRPr="00BD58C0">
        <w:rPr>
          <w:rFonts w:ascii="Times New Roman" w:eastAsia="Times New Roman" w:hAnsi="Times New Roman" w:cs="Times New Roman"/>
          <w:sz w:val="24"/>
          <w:szCs w:val="24"/>
          <w:lang w:val="en-GB"/>
        </w:rPr>
        <w:t>, the recommendation of ‘</w:t>
      </w:r>
      <w:r w:rsidRPr="00BD58C0">
        <w:rPr>
          <w:rFonts w:ascii="Times New Roman" w:eastAsia="Times New Roman" w:hAnsi="Times New Roman" w:cs="Times New Roman"/>
          <w:sz w:val="24"/>
          <w:szCs w:val="24"/>
          <w:lang w:val="en-US"/>
        </w:rPr>
        <w:t xml:space="preserve">enabling private millers to supply waste to a </w:t>
      </w:r>
      <w:proofErr w:type="spellStart"/>
      <w:r w:rsidRPr="00BD58C0">
        <w:rPr>
          <w:rFonts w:ascii="Times New Roman" w:eastAsia="Times New Roman" w:hAnsi="Times New Roman" w:cs="Times New Roman"/>
          <w:sz w:val="24"/>
          <w:szCs w:val="24"/>
          <w:lang w:val="en-US"/>
        </w:rPr>
        <w:t>centrali</w:t>
      </w:r>
      <w:r w:rsidR="007121A3"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ed</w:t>
      </w:r>
      <w:proofErr w:type="spellEnd"/>
      <w:r w:rsidRPr="00BD58C0">
        <w:rPr>
          <w:rFonts w:ascii="Times New Roman" w:eastAsia="Times New Roman" w:hAnsi="Times New Roman" w:cs="Times New Roman"/>
          <w:sz w:val="24"/>
          <w:szCs w:val="24"/>
          <w:lang w:val="en-US"/>
        </w:rPr>
        <w:t xml:space="preserve"> POME waste treatment facility’ (41.26%) was ranked highest. This </w:t>
      </w:r>
      <w:r w:rsidR="00711631" w:rsidRPr="00BD58C0">
        <w:rPr>
          <w:rFonts w:ascii="Times New Roman" w:eastAsia="Times New Roman" w:hAnsi="Times New Roman" w:cs="Times New Roman"/>
          <w:sz w:val="24"/>
          <w:szCs w:val="24"/>
          <w:lang w:val="en-US"/>
        </w:rPr>
        <w:t xml:space="preserve">option </w:t>
      </w:r>
      <w:r w:rsidRPr="00BD58C0">
        <w:rPr>
          <w:rFonts w:ascii="Times New Roman" w:eastAsia="Times New Roman" w:hAnsi="Times New Roman" w:cs="Times New Roman"/>
          <w:sz w:val="24"/>
          <w:szCs w:val="24"/>
          <w:lang w:val="en-US"/>
        </w:rPr>
        <w:t xml:space="preserve">is important as </w:t>
      </w:r>
      <w:r w:rsidRPr="00BD58C0">
        <w:rPr>
          <w:rFonts w:ascii="Times New Roman" w:eastAsia="Times New Roman" w:hAnsi="Times New Roman" w:cs="Times New Roman"/>
          <w:sz w:val="24"/>
          <w:szCs w:val="24"/>
          <w:lang w:val="en-GB"/>
        </w:rPr>
        <w:t xml:space="preserve">it would not be an easy task to encourage private millers to implement biogas facilities due to </w:t>
      </w:r>
      <w:r w:rsidR="00DD191D" w:rsidRPr="00BD58C0">
        <w:rPr>
          <w:rFonts w:ascii="Times New Roman" w:eastAsia="Times New Roman" w:hAnsi="Times New Roman" w:cs="Times New Roman"/>
          <w:sz w:val="24"/>
          <w:szCs w:val="24"/>
          <w:lang w:val="en-GB"/>
        </w:rPr>
        <w:t xml:space="preserve">the </w:t>
      </w:r>
      <w:r w:rsidRPr="00BD58C0">
        <w:rPr>
          <w:rFonts w:ascii="Times New Roman" w:eastAsia="Times New Roman" w:hAnsi="Times New Roman" w:cs="Times New Roman"/>
          <w:sz w:val="24"/>
          <w:szCs w:val="24"/>
          <w:lang w:val="en-GB"/>
        </w:rPr>
        <w:t>high investment cost required, especially as some of the</w:t>
      </w:r>
      <w:r w:rsidR="00B86786" w:rsidRPr="00BD58C0">
        <w:rPr>
          <w:rFonts w:ascii="Times New Roman" w:eastAsia="Times New Roman" w:hAnsi="Times New Roman" w:cs="Times New Roman"/>
          <w:sz w:val="24"/>
          <w:szCs w:val="24"/>
          <w:lang w:val="en-GB"/>
        </w:rPr>
        <w:t xml:space="preserve"> private</w:t>
      </w:r>
      <w:r w:rsidR="00323494" w:rsidRPr="00BD58C0">
        <w:rPr>
          <w:rFonts w:ascii="Times New Roman" w:eastAsia="Times New Roman" w:hAnsi="Times New Roman" w:cs="Times New Roman"/>
          <w:sz w:val="24"/>
          <w:szCs w:val="24"/>
          <w:lang w:val="en-GB"/>
        </w:rPr>
        <w:t xml:space="preserve"> millers</w:t>
      </w:r>
      <w:r w:rsidRPr="00BD58C0">
        <w:rPr>
          <w:rFonts w:ascii="Times New Roman" w:eastAsia="Times New Roman" w:hAnsi="Times New Roman" w:cs="Times New Roman"/>
          <w:sz w:val="24"/>
          <w:szCs w:val="24"/>
          <w:lang w:val="en-GB"/>
        </w:rPr>
        <w:t xml:space="preserve"> are small-scale waste producers. To address this, the POME waste generated by private millers could be supplied to a centralised POME treatment facility for further treatment for biogas generation and could also be converted into value-added products. Through this, the cost burden of installing expensive biogas facilities faced by the private millers could be reduced, making the establishment of </w:t>
      </w:r>
      <w:r w:rsidR="00AF7215" w:rsidRPr="00BD58C0">
        <w:rPr>
          <w:rFonts w:ascii="Times New Roman" w:eastAsia="Times New Roman" w:hAnsi="Times New Roman" w:cs="Times New Roman"/>
          <w:sz w:val="24"/>
          <w:szCs w:val="24"/>
          <w:lang w:val="en-GB"/>
        </w:rPr>
        <w:t xml:space="preserve">a </w:t>
      </w:r>
      <w:r w:rsidRPr="00BD58C0">
        <w:rPr>
          <w:rFonts w:ascii="Times New Roman" w:eastAsia="Times New Roman" w:hAnsi="Times New Roman" w:cs="Times New Roman"/>
          <w:sz w:val="24"/>
          <w:szCs w:val="24"/>
          <w:lang w:val="en-GB"/>
        </w:rPr>
        <w:t>centralised POME treatment facility</w:t>
      </w:r>
      <w:r w:rsidR="00AF7215" w:rsidRPr="00BD58C0">
        <w:rPr>
          <w:rFonts w:ascii="Times New Roman" w:eastAsia="Times New Roman" w:hAnsi="Times New Roman" w:cs="Times New Roman"/>
          <w:sz w:val="24"/>
          <w:szCs w:val="24"/>
          <w:lang w:val="en-GB"/>
        </w:rPr>
        <w:t>,</w:t>
      </w:r>
      <w:r w:rsidRPr="00BD58C0">
        <w:rPr>
          <w:rFonts w:ascii="Times New Roman" w:eastAsia="Times New Roman" w:hAnsi="Times New Roman" w:cs="Times New Roman"/>
          <w:sz w:val="24"/>
          <w:szCs w:val="24"/>
          <w:lang w:val="en-GB"/>
        </w:rPr>
        <w:t xml:space="preserve"> which could count on having a continuous supply of POME waste for biogas generation</w:t>
      </w:r>
      <w:r w:rsidR="00AF7215" w:rsidRPr="00BD58C0">
        <w:rPr>
          <w:rFonts w:ascii="Times New Roman" w:eastAsia="Times New Roman" w:hAnsi="Times New Roman" w:cs="Times New Roman"/>
          <w:sz w:val="24"/>
          <w:szCs w:val="24"/>
          <w:lang w:val="en-GB"/>
        </w:rPr>
        <w:t>,</w:t>
      </w:r>
      <w:r w:rsidRPr="00BD58C0">
        <w:rPr>
          <w:rFonts w:ascii="Times New Roman" w:eastAsia="Times New Roman" w:hAnsi="Times New Roman" w:cs="Times New Roman"/>
          <w:sz w:val="24"/>
          <w:szCs w:val="24"/>
          <w:lang w:val="en-GB"/>
        </w:rPr>
        <w:t xml:space="preserve"> a reliable proposition. </w:t>
      </w:r>
    </w:p>
    <w:p w14:paraId="4E73900B" w14:textId="77777777" w:rsidR="007B56EE" w:rsidRPr="00BD58C0" w:rsidRDefault="007B56EE" w:rsidP="00D2736C">
      <w:pPr>
        <w:spacing w:after="0" w:line="360" w:lineRule="auto"/>
        <w:jc w:val="both"/>
        <w:rPr>
          <w:rFonts w:ascii="Times New Roman" w:eastAsia="Times New Roman" w:hAnsi="Times New Roman" w:cs="Times New Roman"/>
          <w:sz w:val="24"/>
          <w:szCs w:val="24"/>
          <w:lang w:val="en-US"/>
        </w:rPr>
      </w:pPr>
    </w:p>
    <w:p w14:paraId="4269DDFF" w14:textId="7D6AF1A6" w:rsidR="007B56EE" w:rsidRPr="00BD58C0" w:rsidRDefault="007B56EE" w:rsidP="00D2736C">
      <w:pPr>
        <w:spacing w:after="0" w:line="360" w:lineRule="auto"/>
        <w:rPr>
          <w:rFonts w:ascii="Times New Roman" w:eastAsia="Times New Roman" w:hAnsi="Times New Roman" w:cs="Times New Roman"/>
          <w:sz w:val="24"/>
          <w:szCs w:val="24"/>
          <w:lang w:val="en-US"/>
        </w:rPr>
      </w:pPr>
      <w:r w:rsidRPr="00BD58C0">
        <w:rPr>
          <w:rFonts w:ascii="Times New Roman" w:eastAsia="Times New Roman" w:hAnsi="Times New Roman" w:cs="Times New Roman"/>
          <w:b/>
          <w:bCs/>
          <w:sz w:val="24"/>
          <w:szCs w:val="24"/>
          <w:lang w:val="en-US"/>
        </w:rPr>
        <w:t>T</w:t>
      </w:r>
      <w:r w:rsidR="0066554B" w:rsidRPr="00BD58C0">
        <w:rPr>
          <w:rFonts w:ascii="Times New Roman" w:eastAsia="Times New Roman" w:hAnsi="Times New Roman" w:cs="Times New Roman"/>
          <w:b/>
          <w:bCs/>
          <w:sz w:val="24"/>
          <w:szCs w:val="24"/>
          <w:lang w:val="en-US"/>
        </w:rPr>
        <w:t>able</w:t>
      </w:r>
      <w:r w:rsidRPr="00BD58C0">
        <w:rPr>
          <w:rFonts w:ascii="Times New Roman" w:eastAsia="Times New Roman" w:hAnsi="Times New Roman" w:cs="Times New Roman"/>
          <w:b/>
          <w:bCs/>
          <w:sz w:val="24"/>
          <w:szCs w:val="24"/>
          <w:lang w:val="en-US"/>
        </w:rPr>
        <w:t xml:space="preserve"> </w:t>
      </w:r>
      <w:r w:rsidR="00D61BD1" w:rsidRPr="00BD58C0">
        <w:rPr>
          <w:rFonts w:ascii="Times New Roman" w:eastAsia="Times New Roman" w:hAnsi="Times New Roman" w:cs="Times New Roman"/>
          <w:b/>
          <w:bCs/>
          <w:sz w:val="24"/>
          <w:szCs w:val="24"/>
          <w:lang w:val="en-US"/>
        </w:rPr>
        <w:t>10</w:t>
      </w:r>
      <w:r w:rsidRPr="00BD58C0">
        <w:rPr>
          <w:rFonts w:ascii="Times New Roman" w:eastAsia="Times New Roman" w:hAnsi="Times New Roman" w:cs="Times New Roman"/>
          <w:sz w:val="24"/>
          <w:szCs w:val="24"/>
          <w:lang w:val="en-US"/>
        </w:rPr>
        <w:tab/>
        <w:t xml:space="preserve">Possible solution rankings targeting investment cost </w:t>
      </w:r>
    </w:p>
    <w:tbl>
      <w:tblPr>
        <w:tblStyle w:val="PlainTable22"/>
        <w:tblW w:w="4986" w:type="pct"/>
        <w:tblLook w:val="0620" w:firstRow="1" w:lastRow="0" w:firstColumn="0" w:lastColumn="0" w:noHBand="1" w:noVBand="1"/>
      </w:tblPr>
      <w:tblGrid>
        <w:gridCol w:w="4861"/>
        <w:gridCol w:w="2520"/>
        <w:gridCol w:w="1620"/>
      </w:tblGrid>
      <w:tr w:rsidR="00BD58C0" w:rsidRPr="00BD58C0" w14:paraId="7772BF38" w14:textId="77777777" w:rsidTr="009D16D1">
        <w:trPr>
          <w:cnfStyle w:val="100000000000" w:firstRow="1" w:lastRow="0" w:firstColumn="0" w:lastColumn="0" w:oddVBand="0" w:evenVBand="0" w:oddHBand="0" w:evenHBand="0" w:firstRowFirstColumn="0" w:firstRowLastColumn="0" w:lastRowFirstColumn="0" w:lastRowLastColumn="0"/>
          <w:trHeight w:val="191"/>
        </w:trPr>
        <w:tc>
          <w:tcPr>
            <w:tcW w:w="2700" w:type="pct"/>
          </w:tcPr>
          <w:p w14:paraId="72765DF8"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Possible solutions</w:t>
            </w:r>
          </w:p>
        </w:tc>
        <w:tc>
          <w:tcPr>
            <w:tcW w:w="1400" w:type="pct"/>
          </w:tcPr>
          <w:p w14:paraId="1156B141"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Priority Weight (%)</w:t>
            </w:r>
          </w:p>
        </w:tc>
        <w:tc>
          <w:tcPr>
            <w:tcW w:w="900" w:type="pct"/>
          </w:tcPr>
          <w:p w14:paraId="45DAD6E4"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Rank</w:t>
            </w:r>
          </w:p>
        </w:tc>
      </w:tr>
      <w:tr w:rsidR="00BD58C0" w:rsidRPr="00BD58C0" w14:paraId="7269BB9D" w14:textId="77777777" w:rsidTr="009D16D1">
        <w:trPr>
          <w:trHeight w:val="260"/>
        </w:trPr>
        <w:tc>
          <w:tcPr>
            <w:tcW w:w="2700" w:type="pct"/>
          </w:tcPr>
          <w:p w14:paraId="081EB1BF"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Provide subsidy for the transmission of electricity to grid</w:t>
            </w:r>
          </w:p>
        </w:tc>
        <w:tc>
          <w:tcPr>
            <w:tcW w:w="1400" w:type="pct"/>
          </w:tcPr>
          <w:p w14:paraId="32BB379D"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16.90</w:t>
            </w:r>
          </w:p>
        </w:tc>
        <w:tc>
          <w:tcPr>
            <w:tcW w:w="900" w:type="pct"/>
          </w:tcPr>
          <w:p w14:paraId="53515654"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w:t>
            </w:r>
          </w:p>
        </w:tc>
      </w:tr>
      <w:tr w:rsidR="00BD58C0" w:rsidRPr="00BD58C0" w14:paraId="1417C5E6" w14:textId="77777777" w:rsidTr="009D16D1">
        <w:trPr>
          <w:trHeight w:val="66"/>
        </w:trPr>
        <w:tc>
          <w:tcPr>
            <w:tcW w:w="2700" w:type="pct"/>
          </w:tcPr>
          <w:p w14:paraId="5D4F73D7"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Provide subsidy to set up biogas facilities</w:t>
            </w:r>
          </w:p>
        </w:tc>
        <w:tc>
          <w:tcPr>
            <w:tcW w:w="1400" w:type="pct"/>
          </w:tcPr>
          <w:p w14:paraId="633C0F23"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10.28</w:t>
            </w:r>
          </w:p>
        </w:tc>
        <w:tc>
          <w:tcPr>
            <w:tcW w:w="900" w:type="pct"/>
          </w:tcPr>
          <w:p w14:paraId="121D9632"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4</w:t>
            </w:r>
          </w:p>
        </w:tc>
      </w:tr>
      <w:tr w:rsidR="00BD58C0" w:rsidRPr="00BD58C0" w14:paraId="3CEE72D4" w14:textId="77777777" w:rsidTr="009D16D1">
        <w:trPr>
          <w:trHeight w:val="441"/>
        </w:trPr>
        <w:tc>
          <w:tcPr>
            <w:tcW w:w="2700" w:type="pct"/>
          </w:tcPr>
          <w:p w14:paraId="6F0FB1D6" w14:textId="4D381C65"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Implement easy application procedure for ITA</w:t>
            </w:r>
          </w:p>
        </w:tc>
        <w:tc>
          <w:tcPr>
            <w:tcW w:w="1400" w:type="pct"/>
          </w:tcPr>
          <w:p w14:paraId="0390D62E"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31.55</w:t>
            </w:r>
          </w:p>
        </w:tc>
        <w:tc>
          <w:tcPr>
            <w:tcW w:w="900" w:type="pct"/>
          </w:tcPr>
          <w:p w14:paraId="66754BEB"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w:t>
            </w:r>
          </w:p>
        </w:tc>
      </w:tr>
      <w:tr w:rsidR="00BD58C0" w:rsidRPr="00BD58C0" w14:paraId="2C249DC6" w14:textId="77777777" w:rsidTr="009D16D1">
        <w:trPr>
          <w:trHeight w:val="441"/>
        </w:trPr>
        <w:tc>
          <w:tcPr>
            <w:tcW w:w="2700" w:type="pct"/>
          </w:tcPr>
          <w:p w14:paraId="22B7FD8B"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 xml:space="preserve">Enable private millers to supply waste to a </w:t>
            </w:r>
            <w:proofErr w:type="spellStart"/>
            <w:r w:rsidRPr="00BD58C0">
              <w:rPr>
                <w:rFonts w:ascii="Times New Roman" w:eastAsia="Calibri" w:hAnsi="Times New Roman" w:cs="Times New Roman"/>
                <w:sz w:val="24"/>
                <w:szCs w:val="24"/>
                <w:lang w:val="en-US"/>
              </w:rPr>
              <w:t>centralised</w:t>
            </w:r>
            <w:proofErr w:type="spellEnd"/>
            <w:r w:rsidRPr="00BD58C0">
              <w:rPr>
                <w:rFonts w:ascii="Times New Roman" w:eastAsia="Calibri" w:hAnsi="Times New Roman" w:cs="Times New Roman"/>
                <w:sz w:val="24"/>
                <w:szCs w:val="24"/>
                <w:lang w:val="en-US"/>
              </w:rPr>
              <w:t xml:space="preserve"> POME waste treatment facility</w:t>
            </w:r>
          </w:p>
        </w:tc>
        <w:tc>
          <w:tcPr>
            <w:tcW w:w="1400" w:type="pct"/>
          </w:tcPr>
          <w:p w14:paraId="4DB9BA55"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41.26</w:t>
            </w:r>
          </w:p>
        </w:tc>
        <w:tc>
          <w:tcPr>
            <w:tcW w:w="900" w:type="pct"/>
          </w:tcPr>
          <w:p w14:paraId="692E3142" w14:textId="77777777" w:rsidR="009D16D1" w:rsidRPr="00BD58C0" w:rsidRDefault="009D16D1"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w:t>
            </w:r>
          </w:p>
        </w:tc>
      </w:tr>
    </w:tbl>
    <w:p w14:paraId="13C584E2" w14:textId="77777777" w:rsidR="007B56EE" w:rsidRPr="00BD58C0" w:rsidRDefault="007B56EE" w:rsidP="00D2736C">
      <w:pPr>
        <w:spacing w:after="0" w:line="360" w:lineRule="auto"/>
        <w:rPr>
          <w:rFonts w:ascii="Times New Roman" w:eastAsia="Times New Roman" w:hAnsi="Times New Roman" w:cs="Times New Roman"/>
          <w:sz w:val="24"/>
          <w:szCs w:val="24"/>
          <w:lang w:val="en-GB"/>
        </w:rPr>
      </w:pPr>
      <w:r w:rsidRPr="00BD58C0">
        <w:rPr>
          <w:rFonts w:ascii="Times New Roman" w:eastAsia="Times New Roman" w:hAnsi="Times New Roman" w:cs="Times New Roman"/>
          <w:sz w:val="24"/>
          <w:szCs w:val="24"/>
          <w:lang w:val="en-GB"/>
        </w:rPr>
        <w:t>Consistency Ratio (CR) = 0.06994</w:t>
      </w:r>
    </w:p>
    <w:p w14:paraId="1B877E50" w14:textId="77777777" w:rsidR="007B56EE" w:rsidRPr="00BD58C0" w:rsidRDefault="007B56EE" w:rsidP="00D2736C">
      <w:pPr>
        <w:spacing w:after="0" w:line="360" w:lineRule="auto"/>
        <w:rPr>
          <w:rFonts w:ascii="Times New Roman" w:eastAsia="Times New Roman" w:hAnsi="Times New Roman" w:cs="Times New Roman"/>
          <w:sz w:val="24"/>
          <w:szCs w:val="24"/>
          <w:lang w:val="en-GB"/>
        </w:rPr>
      </w:pPr>
    </w:p>
    <w:p w14:paraId="459892AF" w14:textId="147F90A2" w:rsidR="007B56EE" w:rsidRPr="00BD58C0" w:rsidRDefault="007B56EE" w:rsidP="009D6124">
      <w:pPr>
        <w:spacing w:after="0" w:line="360" w:lineRule="auto"/>
        <w:ind w:firstLine="720"/>
        <w:jc w:val="both"/>
        <w:rPr>
          <w:rFonts w:ascii="Times New Roman" w:eastAsia="Times New Roman" w:hAnsi="Times New Roman" w:cs="Times New Roman"/>
          <w:sz w:val="24"/>
          <w:szCs w:val="24"/>
          <w:lang w:val="en-GB"/>
        </w:rPr>
      </w:pPr>
      <w:r w:rsidRPr="00BD58C0">
        <w:rPr>
          <w:rFonts w:ascii="Times New Roman" w:eastAsia="Times New Roman" w:hAnsi="Times New Roman" w:cs="Times New Roman"/>
          <w:sz w:val="24"/>
          <w:szCs w:val="24"/>
          <w:lang w:val="en-US"/>
        </w:rPr>
        <w:t xml:space="preserve">As can be seen in Table </w:t>
      </w:r>
      <w:r w:rsidR="00D149DE" w:rsidRPr="00BD58C0">
        <w:rPr>
          <w:rFonts w:ascii="Times New Roman" w:eastAsia="Times New Roman" w:hAnsi="Times New Roman" w:cs="Times New Roman"/>
          <w:sz w:val="24"/>
          <w:szCs w:val="24"/>
          <w:lang w:val="en-US"/>
        </w:rPr>
        <w:t>1</w:t>
      </w:r>
      <w:r w:rsidR="00D61BD1" w:rsidRPr="00BD58C0">
        <w:rPr>
          <w:rFonts w:ascii="Times New Roman" w:eastAsia="Times New Roman" w:hAnsi="Times New Roman" w:cs="Times New Roman"/>
          <w:sz w:val="24"/>
          <w:szCs w:val="24"/>
          <w:lang w:val="en-US"/>
        </w:rPr>
        <w:t>1</w:t>
      </w:r>
      <w:r w:rsidRPr="00BD58C0">
        <w:rPr>
          <w:rFonts w:ascii="Times New Roman" w:eastAsia="Times New Roman" w:hAnsi="Times New Roman" w:cs="Times New Roman"/>
          <w:sz w:val="24"/>
          <w:szCs w:val="24"/>
          <w:lang w:val="en-US"/>
        </w:rPr>
        <w:t>, ‘</w:t>
      </w:r>
      <w:proofErr w:type="spellStart"/>
      <w:r w:rsidRPr="00BD58C0">
        <w:rPr>
          <w:rFonts w:ascii="Times New Roman" w:eastAsia="Times New Roman" w:hAnsi="Times New Roman" w:cs="Times New Roman"/>
          <w:sz w:val="24"/>
          <w:szCs w:val="24"/>
          <w:lang w:val="en-US"/>
        </w:rPr>
        <w:t>standardi</w:t>
      </w:r>
      <w:r w:rsidR="003E66FB"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ing</w:t>
      </w:r>
      <w:proofErr w:type="spellEnd"/>
      <w:r w:rsidRPr="00BD58C0">
        <w:rPr>
          <w:rFonts w:ascii="Times New Roman" w:eastAsia="Times New Roman" w:hAnsi="Times New Roman" w:cs="Times New Roman"/>
          <w:sz w:val="24"/>
          <w:szCs w:val="24"/>
          <w:lang w:val="en-US"/>
        </w:rPr>
        <w:t xml:space="preserve"> technical guidelines for biogas installation’ (71.97%) was the highest priority amongst the possible solutions targeting operational cost, followed by ‘giving investors freedom to purchase either locally or imported manufactured technology’ (28.03%). </w:t>
      </w:r>
      <w:r w:rsidRPr="00BD58C0">
        <w:rPr>
          <w:rFonts w:ascii="Times New Roman" w:eastAsia="Times New Roman" w:hAnsi="Times New Roman" w:cs="Times New Roman"/>
          <w:sz w:val="24"/>
          <w:szCs w:val="24"/>
          <w:lang w:val="en-GB"/>
        </w:rPr>
        <w:t>The purpose of the technical guideline</w:t>
      </w:r>
      <w:r w:rsidR="00AF7215" w:rsidRPr="00BD58C0">
        <w:rPr>
          <w:rFonts w:ascii="Times New Roman" w:eastAsia="Times New Roman" w:hAnsi="Times New Roman" w:cs="Times New Roman"/>
          <w:sz w:val="24"/>
          <w:szCs w:val="24"/>
          <w:lang w:val="en-GB"/>
        </w:rPr>
        <w:t>s</w:t>
      </w:r>
      <w:r w:rsidRPr="00BD58C0">
        <w:rPr>
          <w:rFonts w:ascii="Times New Roman" w:eastAsia="Times New Roman" w:hAnsi="Times New Roman" w:cs="Times New Roman"/>
          <w:sz w:val="24"/>
          <w:szCs w:val="24"/>
          <w:lang w:val="en-GB"/>
        </w:rPr>
        <w:t xml:space="preserve"> would be to ensure that every </w:t>
      </w:r>
      <w:r w:rsidRPr="00BD58C0">
        <w:rPr>
          <w:rFonts w:ascii="Times New Roman" w:eastAsia="Times New Roman" w:hAnsi="Times New Roman" w:cs="Times New Roman"/>
          <w:sz w:val="24"/>
          <w:szCs w:val="24"/>
          <w:lang w:val="en-GB"/>
        </w:rPr>
        <w:lastRenderedPageBreak/>
        <w:t xml:space="preserve">POM followed a clear set of standards, preventing miscommunication. This </w:t>
      </w:r>
      <w:r w:rsidR="009015F8" w:rsidRPr="00BD58C0">
        <w:rPr>
          <w:rFonts w:ascii="Times New Roman" w:eastAsia="Times New Roman" w:hAnsi="Times New Roman" w:cs="Times New Roman"/>
          <w:sz w:val="24"/>
          <w:szCs w:val="24"/>
          <w:lang w:val="en-GB"/>
        </w:rPr>
        <w:t xml:space="preserve">would </w:t>
      </w:r>
      <w:r w:rsidRPr="00BD58C0">
        <w:rPr>
          <w:rFonts w:ascii="Times New Roman" w:eastAsia="Times New Roman" w:hAnsi="Times New Roman" w:cs="Times New Roman"/>
          <w:sz w:val="24"/>
          <w:szCs w:val="24"/>
          <w:lang w:val="en-GB"/>
        </w:rPr>
        <w:t>ensure the operational cost of biogas facilities is manageable and that the companies involved would generate sufficient profits to sustain the biogas plant. One out of the eleven interviewees mentioned that regulations such as those on using only imported technology (</w:t>
      </w:r>
      <w:r w:rsidR="00A9205C" w:rsidRPr="00BD58C0">
        <w:rPr>
          <w:rFonts w:ascii="Times New Roman" w:eastAsia="Times New Roman" w:hAnsi="Times New Roman" w:cs="Times New Roman"/>
          <w:sz w:val="24"/>
          <w:szCs w:val="24"/>
          <w:lang w:val="en-GB"/>
        </w:rPr>
        <w:t>e.g.,</w:t>
      </w:r>
      <w:r w:rsidRPr="00BD58C0">
        <w:rPr>
          <w:rFonts w:ascii="Times New Roman" w:eastAsia="Times New Roman" w:hAnsi="Times New Roman" w:cs="Times New Roman"/>
          <w:sz w:val="24"/>
          <w:szCs w:val="24"/>
          <w:lang w:val="en-GB"/>
        </w:rPr>
        <w:t xml:space="preserve"> gas engines) could be used as a condition to enable TNB to purchase electricity from a miller. </w:t>
      </w:r>
    </w:p>
    <w:p w14:paraId="094013D3" w14:textId="2655B0C1" w:rsidR="007B56EE" w:rsidRPr="00BD58C0" w:rsidRDefault="007B56EE" w:rsidP="00D2736C">
      <w:pPr>
        <w:spacing w:after="0" w:line="360" w:lineRule="auto"/>
        <w:ind w:firstLine="720"/>
        <w:jc w:val="both"/>
        <w:rPr>
          <w:rFonts w:ascii="Times New Roman" w:eastAsia="Times New Roman" w:hAnsi="Times New Roman" w:cs="Times New Roman"/>
          <w:sz w:val="24"/>
          <w:szCs w:val="24"/>
          <w:lang w:val="en-GB"/>
        </w:rPr>
      </w:pPr>
    </w:p>
    <w:p w14:paraId="7A454DBB" w14:textId="4C40BCC8" w:rsidR="007B56EE" w:rsidRPr="00BD58C0" w:rsidRDefault="007B56EE" w:rsidP="00D2736C">
      <w:pPr>
        <w:spacing w:after="0" w:line="360" w:lineRule="auto"/>
        <w:rPr>
          <w:rFonts w:ascii="Times New Roman" w:eastAsia="Times New Roman" w:hAnsi="Times New Roman" w:cs="Times New Roman"/>
          <w:sz w:val="24"/>
          <w:szCs w:val="24"/>
          <w:lang w:val="en-US"/>
        </w:rPr>
      </w:pPr>
      <w:r w:rsidRPr="00BD58C0">
        <w:rPr>
          <w:rFonts w:ascii="Times New Roman" w:eastAsia="Times New Roman" w:hAnsi="Times New Roman" w:cs="Times New Roman"/>
          <w:b/>
          <w:bCs/>
          <w:sz w:val="24"/>
          <w:szCs w:val="24"/>
          <w:lang w:val="en-US"/>
        </w:rPr>
        <w:t>T</w:t>
      </w:r>
      <w:r w:rsidR="00DF5E0E" w:rsidRPr="00BD58C0">
        <w:rPr>
          <w:rFonts w:ascii="Times New Roman" w:eastAsia="Times New Roman" w:hAnsi="Times New Roman" w:cs="Times New Roman"/>
          <w:b/>
          <w:bCs/>
          <w:sz w:val="24"/>
          <w:szCs w:val="24"/>
          <w:lang w:val="en-US"/>
        </w:rPr>
        <w:t>able</w:t>
      </w:r>
      <w:r w:rsidRPr="00BD58C0">
        <w:rPr>
          <w:rFonts w:ascii="Times New Roman" w:eastAsia="Times New Roman" w:hAnsi="Times New Roman" w:cs="Times New Roman"/>
          <w:b/>
          <w:bCs/>
          <w:sz w:val="24"/>
          <w:szCs w:val="24"/>
          <w:lang w:val="en-US"/>
        </w:rPr>
        <w:t xml:space="preserve"> </w:t>
      </w:r>
      <w:r w:rsidR="00D149DE" w:rsidRPr="00BD58C0">
        <w:rPr>
          <w:rFonts w:ascii="Times New Roman" w:eastAsia="Times New Roman" w:hAnsi="Times New Roman" w:cs="Times New Roman"/>
          <w:b/>
          <w:bCs/>
          <w:sz w:val="24"/>
          <w:szCs w:val="24"/>
          <w:lang w:val="en-US"/>
        </w:rPr>
        <w:t>1</w:t>
      </w:r>
      <w:r w:rsidR="00D61BD1" w:rsidRPr="00BD58C0">
        <w:rPr>
          <w:rFonts w:ascii="Times New Roman" w:eastAsia="Times New Roman" w:hAnsi="Times New Roman" w:cs="Times New Roman"/>
          <w:b/>
          <w:bCs/>
          <w:sz w:val="24"/>
          <w:szCs w:val="24"/>
          <w:lang w:val="en-US"/>
        </w:rPr>
        <w:t>1</w:t>
      </w:r>
      <w:r w:rsidRPr="00BD58C0">
        <w:rPr>
          <w:rFonts w:ascii="Times New Roman" w:eastAsia="Times New Roman" w:hAnsi="Times New Roman" w:cs="Times New Roman"/>
          <w:sz w:val="24"/>
          <w:szCs w:val="24"/>
          <w:lang w:val="en-US"/>
        </w:rPr>
        <w:tab/>
        <w:t>Possible solution rankings targeting operational cost</w:t>
      </w:r>
    </w:p>
    <w:tbl>
      <w:tblPr>
        <w:tblStyle w:val="PlainTable22"/>
        <w:tblW w:w="4986" w:type="pct"/>
        <w:tblLook w:val="0620" w:firstRow="1" w:lastRow="0" w:firstColumn="0" w:lastColumn="0" w:noHBand="1" w:noVBand="1"/>
      </w:tblPr>
      <w:tblGrid>
        <w:gridCol w:w="4861"/>
        <w:gridCol w:w="2520"/>
        <w:gridCol w:w="1620"/>
      </w:tblGrid>
      <w:tr w:rsidR="00BD58C0" w:rsidRPr="00BD58C0" w14:paraId="63FA441A" w14:textId="77777777" w:rsidTr="009A29B5">
        <w:trPr>
          <w:cnfStyle w:val="100000000000" w:firstRow="1" w:lastRow="0" w:firstColumn="0" w:lastColumn="0" w:oddVBand="0" w:evenVBand="0" w:oddHBand="0" w:evenHBand="0" w:firstRowFirstColumn="0" w:firstRowLastColumn="0" w:lastRowFirstColumn="0" w:lastRowLastColumn="0"/>
          <w:trHeight w:val="307"/>
        </w:trPr>
        <w:tc>
          <w:tcPr>
            <w:tcW w:w="2700" w:type="pct"/>
          </w:tcPr>
          <w:p w14:paraId="4FC3F518"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Possible solutions</w:t>
            </w:r>
          </w:p>
        </w:tc>
        <w:tc>
          <w:tcPr>
            <w:tcW w:w="1400" w:type="pct"/>
          </w:tcPr>
          <w:p w14:paraId="7B5928DF"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Priority Weight (%)</w:t>
            </w:r>
          </w:p>
        </w:tc>
        <w:tc>
          <w:tcPr>
            <w:tcW w:w="900" w:type="pct"/>
          </w:tcPr>
          <w:p w14:paraId="2681FE01"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Rank</w:t>
            </w:r>
          </w:p>
        </w:tc>
      </w:tr>
      <w:tr w:rsidR="00BD58C0" w:rsidRPr="00BD58C0" w14:paraId="37C5D1C4" w14:textId="77777777" w:rsidTr="009A29B5">
        <w:trPr>
          <w:trHeight w:val="260"/>
        </w:trPr>
        <w:tc>
          <w:tcPr>
            <w:tcW w:w="2700" w:type="pct"/>
          </w:tcPr>
          <w:p w14:paraId="13138E30" w14:textId="5925D977" w:rsidR="009A29B5" w:rsidRPr="00BD58C0" w:rsidRDefault="009A29B5" w:rsidP="00D2736C">
            <w:pPr>
              <w:spacing w:line="360" w:lineRule="auto"/>
              <w:rPr>
                <w:rFonts w:ascii="Times New Roman" w:eastAsia="Calibri" w:hAnsi="Times New Roman" w:cs="Times New Roman"/>
                <w:sz w:val="24"/>
                <w:szCs w:val="24"/>
                <w:lang w:val="en-US"/>
              </w:rPr>
            </w:pPr>
            <w:proofErr w:type="spellStart"/>
            <w:r w:rsidRPr="00BD58C0">
              <w:rPr>
                <w:rFonts w:ascii="Times New Roman" w:eastAsia="Calibri" w:hAnsi="Times New Roman" w:cs="Times New Roman"/>
                <w:sz w:val="24"/>
                <w:szCs w:val="24"/>
                <w:lang w:val="en-US"/>
              </w:rPr>
              <w:t>Standardise</w:t>
            </w:r>
            <w:proofErr w:type="spellEnd"/>
            <w:r w:rsidRPr="00BD58C0">
              <w:rPr>
                <w:rFonts w:ascii="Times New Roman" w:eastAsia="Calibri" w:hAnsi="Times New Roman" w:cs="Times New Roman"/>
                <w:sz w:val="24"/>
                <w:szCs w:val="24"/>
                <w:lang w:val="en-US"/>
              </w:rPr>
              <w:t xml:space="preserve"> technical guidelines for biogas installation</w:t>
            </w:r>
          </w:p>
        </w:tc>
        <w:tc>
          <w:tcPr>
            <w:tcW w:w="1400" w:type="pct"/>
          </w:tcPr>
          <w:p w14:paraId="416C74F0"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71.97</w:t>
            </w:r>
          </w:p>
        </w:tc>
        <w:tc>
          <w:tcPr>
            <w:tcW w:w="900" w:type="pct"/>
          </w:tcPr>
          <w:p w14:paraId="78CEFCD1"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w:t>
            </w:r>
          </w:p>
        </w:tc>
      </w:tr>
      <w:tr w:rsidR="00BD58C0" w:rsidRPr="00BD58C0" w14:paraId="0D717033" w14:textId="77777777" w:rsidTr="009A29B5">
        <w:trPr>
          <w:trHeight w:val="357"/>
        </w:trPr>
        <w:tc>
          <w:tcPr>
            <w:tcW w:w="2700" w:type="pct"/>
          </w:tcPr>
          <w:p w14:paraId="3B0D1F26"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Give investors freedom to purchase either locally or imported manufactured technology</w:t>
            </w:r>
          </w:p>
        </w:tc>
        <w:tc>
          <w:tcPr>
            <w:tcW w:w="1400" w:type="pct"/>
          </w:tcPr>
          <w:p w14:paraId="60247C91"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28.03</w:t>
            </w:r>
          </w:p>
        </w:tc>
        <w:tc>
          <w:tcPr>
            <w:tcW w:w="900" w:type="pct"/>
          </w:tcPr>
          <w:p w14:paraId="72CBBF29" w14:textId="77777777" w:rsidR="009A29B5" w:rsidRPr="00BD58C0" w:rsidRDefault="009A29B5"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w:t>
            </w:r>
          </w:p>
        </w:tc>
      </w:tr>
    </w:tbl>
    <w:p w14:paraId="53EA0202" w14:textId="77777777" w:rsidR="007B56EE" w:rsidRPr="00BD58C0" w:rsidRDefault="007B56EE" w:rsidP="00D2736C">
      <w:pPr>
        <w:spacing w:after="0" w:line="360" w:lineRule="auto"/>
        <w:rPr>
          <w:rFonts w:ascii="Times New Roman" w:eastAsia="Times New Roman" w:hAnsi="Times New Roman" w:cs="Times New Roman"/>
          <w:sz w:val="24"/>
          <w:szCs w:val="24"/>
          <w:lang w:val="en-GB"/>
        </w:rPr>
      </w:pPr>
      <w:r w:rsidRPr="00BD58C0">
        <w:rPr>
          <w:rFonts w:ascii="Times New Roman" w:eastAsia="Times New Roman" w:hAnsi="Times New Roman" w:cs="Times New Roman"/>
          <w:sz w:val="24"/>
          <w:szCs w:val="24"/>
          <w:lang w:val="en-GB"/>
        </w:rPr>
        <w:t>Consistency Ratio (CR) = 0.0000</w:t>
      </w:r>
    </w:p>
    <w:p w14:paraId="535BEA61" w14:textId="77777777" w:rsidR="007B56EE" w:rsidRPr="00BD58C0" w:rsidRDefault="007B56EE" w:rsidP="00D2736C">
      <w:pPr>
        <w:spacing w:after="0" w:line="360" w:lineRule="auto"/>
        <w:ind w:firstLine="720"/>
        <w:jc w:val="both"/>
        <w:rPr>
          <w:rFonts w:ascii="Times New Roman" w:eastAsia="Times New Roman" w:hAnsi="Times New Roman" w:cs="Times New Roman"/>
          <w:sz w:val="24"/>
          <w:szCs w:val="24"/>
          <w:lang w:val="en-US"/>
        </w:rPr>
      </w:pPr>
    </w:p>
    <w:p w14:paraId="4142527E" w14:textId="28DA5999" w:rsidR="00E51FD5" w:rsidRPr="00BD58C0" w:rsidRDefault="007B56EE" w:rsidP="00E51FD5">
      <w:pPr>
        <w:spacing w:after="0" w:line="360" w:lineRule="auto"/>
        <w:ind w:firstLine="720"/>
        <w:jc w:val="both"/>
        <w:rPr>
          <w:rFonts w:ascii="Times New Roman" w:eastAsia="Times New Roman" w:hAnsi="Times New Roman" w:cs="Times New Roman"/>
          <w:sz w:val="24"/>
          <w:szCs w:val="24"/>
          <w:lang w:val="en-US"/>
        </w:rPr>
      </w:pPr>
      <w:r w:rsidRPr="00BD58C0">
        <w:rPr>
          <w:rFonts w:ascii="Times New Roman" w:eastAsia="Times New Roman" w:hAnsi="Times New Roman" w:cs="Times New Roman"/>
          <w:sz w:val="24"/>
          <w:szCs w:val="24"/>
          <w:lang w:val="en-US"/>
        </w:rPr>
        <w:t xml:space="preserve">Table </w:t>
      </w:r>
      <w:r w:rsidR="0073254D" w:rsidRPr="00BD58C0">
        <w:rPr>
          <w:rFonts w:ascii="Times New Roman" w:eastAsia="Times New Roman" w:hAnsi="Times New Roman" w:cs="Times New Roman"/>
          <w:sz w:val="24"/>
          <w:szCs w:val="24"/>
          <w:lang w:val="en-US"/>
        </w:rPr>
        <w:t>1</w:t>
      </w:r>
      <w:r w:rsidR="00D61BD1" w:rsidRPr="00BD58C0">
        <w:rPr>
          <w:rFonts w:ascii="Times New Roman" w:eastAsia="Times New Roman" w:hAnsi="Times New Roman" w:cs="Times New Roman"/>
          <w:sz w:val="24"/>
          <w:szCs w:val="24"/>
          <w:lang w:val="en-US"/>
        </w:rPr>
        <w:t>2</w:t>
      </w:r>
      <w:r w:rsidRPr="00BD58C0">
        <w:rPr>
          <w:rFonts w:ascii="Times New Roman" w:eastAsia="Times New Roman" w:hAnsi="Times New Roman" w:cs="Times New Roman"/>
          <w:sz w:val="24"/>
          <w:szCs w:val="24"/>
          <w:lang w:val="en-US"/>
        </w:rPr>
        <w:t xml:space="preserve"> shows </w:t>
      </w:r>
      <w:r w:rsidR="00E37544" w:rsidRPr="00BD58C0">
        <w:rPr>
          <w:rFonts w:ascii="Times New Roman" w:eastAsia="Times New Roman" w:hAnsi="Times New Roman" w:cs="Times New Roman"/>
          <w:sz w:val="24"/>
          <w:szCs w:val="24"/>
          <w:lang w:val="en-US"/>
        </w:rPr>
        <w:t xml:space="preserve">rankings within the ‘revenue’ main criterion, demonstrating </w:t>
      </w:r>
      <w:r w:rsidRPr="00BD58C0">
        <w:rPr>
          <w:rFonts w:ascii="Times New Roman" w:eastAsia="Times New Roman" w:hAnsi="Times New Roman" w:cs="Times New Roman"/>
          <w:sz w:val="24"/>
          <w:szCs w:val="24"/>
          <w:lang w:val="en-US"/>
        </w:rPr>
        <w:t>that ‘allow</w:t>
      </w:r>
      <w:r w:rsidR="00AF7215" w:rsidRPr="00BD58C0">
        <w:rPr>
          <w:rFonts w:ascii="Times New Roman" w:eastAsia="Times New Roman" w:hAnsi="Times New Roman" w:cs="Times New Roman"/>
          <w:sz w:val="24"/>
          <w:szCs w:val="24"/>
          <w:lang w:val="en-US"/>
        </w:rPr>
        <w:t>ing</w:t>
      </w:r>
      <w:r w:rsidRPr="00BD58C0">
        <w:rPr>
          <w:rFonts w:ascii="Times New Roman" w:eastAsia="Times New Roman" w:hAnsi="Times New Roman" w:cs="Times New Roman"/>
          <w:sz w:val="24"/>
          <w:szCs w:val="24"/>
          <w:lang w:val="en-US"/>
        </w:rPr>
        <w:t xml:space="preserve"> variations in </w:t>
      </w:r>
      <w:proofErr w:type="spellStart"/>
      <w:r w:rsidR="00E51FD5" w:rsidRPr="00BD58C0">
        <w:rPr>
          <w:rFonts w:ascii="Times New Roman" w:eastAsia="Times New Roman" w:hAnsi="Times New Roman" w:cs="Times New Roman"/>
          <w:sz w:val="24"/>
          <w:szCs w:val="24"/>
          <w:lang w:val="en-US"/>
        </w:rPr>
        <w:t>FiT</w:t>
      </w:r>
      <w:proofErr w:type="spellEnd"/>
      <w:r w:rsidR="00E51FD5" w:rsidRPr="00BD58C0">
        <w:rPr>
          <w:rFonts w:ascii="Times New Roman" w:eastAsia="Times New Roman" w:hAnsi="Times New Roman" w:cs="Times New Roman"/>
          <w:sz w:val="24"/>
          <w:szCs w:val="24"/>
          <w:lang w:val="en-US"/>
        </w:rPr>
        <w:t xml:space="preserve"> </w:t>
      </w:r>
      <w:r w:rsidRPr="00BD58C0">
        <w:rPr>
          <w:rFonts w:ascii="Times New Roman" w:eastAsia="Times New Roman" w:hAnsi="Times New Roman" w:cs="Times New Roman"/>
          <w:sz w:val="24"/>
          <w:szCs w:val="24"/>
          <w:lang w:val="en-US"/>
        </w:rPr>
        <w:t xml:space="preserve">rate’ (34.34%) was </w:t>
      </w:r>
      <w:r w:rsidR="003532F5" w:rsidRPr="00BD58C0">
        <w:rPr>
          <w:rFonts w:ascii="Times New Roman" w:eastAsia="Times New Roman" w:hAnsi="Times New Roman" w:cs="Times New Roman"/>
          <w:sz w:val="24"/>
          <w:szCs w:val="24"/>
          <w:lang w:val="en-US"/>
        </w:rPr>
        <w:t>ranked</w:t>
      </w:r>
      <w:r w:rsidRPr="00BD58C0">
        <w:rPr>
          <w:rFonts w:ascii="Times New Roman" w:eastAsia="Times New Roman" w:hAnsi="Times New Roman" w:cs="Times New Roman"/>
          <w:sz w:val="24"/>
          <w:szCs w:val="24"/>
          <w:lang w:val="en-US"/>
        </w:rPr>
        <w:t xml:space="preserve"> highest. </w:t>
      </w:r>
      <w:r w:rsidR="00033D0A" w:rsidRPr="00BD58C0">
        <w:rPr>
          <w:rFonts w:ascii="Times New Roman" w:eastAsia="Times New Roman" w:hAnsi="Times New Roman" w:cs="Times New Roman"/>
          <w:sz w:val="24"/>
          <w:szCs w:val="24"/>
          <w:lang w:val="en-US"/>
        </w:rPr>
        <w:t>O</w:t>
      </w:r>
      <w:r w:rsidRPr="00BD58C0">
        <w:rPr>
          <w:rFonts w:ascii="Times New Roman" w:eastAsia="Times New Roman" w:hAnsi="Times New Roman" w:cs="Times New Roman"/>
          <w:sz w:val="24"/>
          <w:szCs w:val="24"/>
          <w:lang w:val="en-US"/>
        </w:rPr>
        <w:t>perational costs (both maintenance and labor costs) tend to increase</w:t>
      </w:r>
      <w:r w:rsidR="00033D0A" w:rsidRPr="00BD58C0">
        <w:rPr>
          <w:rFonts w:ascii="Times New Roman" w:eastAsia="Times New Roman" w:hAnsi="Times New Roman" w:cs="Times New Roman"/>
          <w:sz w:val="24"/>
          <w:szCs w:val="24"/>
          <w:lang w:val="en-US"/>
        </w:rPr>
        <w:t xml:space="preserve"> over time</w:t>
      </w:r>
      <w:r w:rsidRPr="00BD58C0">
        <w:rPr>
          <w:rFonts w:ascii="Times New Roman" w:eastAsia="Times New Roman" w:hAnsi="Times New Roman" w:cs="Times New Roman"/>
          <w:sz w:val="24"/>
          <w:szCs w:val="24"/>
          <w:lang w:val="en-US"/>
        </w:rPr>
        <w:t xml:space="preserve">. </w:t>
      </w:r>
      <w:r w:rsidR="00846070" w:rsidRPr="00BD58C0">
        <w:rPr>
          <w:rFonts w:ascii="Times New Roman" w:eastAsia="Times New Roman" w:hAnsi="Times New Roman" w:cs="Times New Roman"/>
          <w:sz w:val="24"/>
          <w:szCs w:val="24"/>
          <w:lang w:val="en-US"/>
        </w:rPr>
        <w:t>T</w:t>
      </w:r>
      <w:r w:rsidRPr="00BD58C0">
        <w:rPr>
          <w:rFonts w:ascii="Times New Roman" w:eastAsia="Times New Roman" w:hAnsi="Times New Roman" w:cs="Times New Roman"/>
          <w:sz w:val="24"/>
          <w:szCs w:val="24"/>
          <w:lang w:val="en-US"/>
        </w:rPr>
        <w:t xml:space="preserve">here is a need </w:t>
      </w:r>
      <w:r w:rsidR="00AF7215" w:rsidRPr="00BD58C0">
        <w:rPr>
          <w:rFonts w:ascii="Times New Roman" w:eastAsia="Times New Roman" w:hAnsi="Times New Roman" w:cs="Times New Roman"/>
          <w:sz w:val="24"/>
          <w:szCs w:val="24"/>
          <w:lang w:val="en-US"/>
        </w:rPr>
        <w:t xml:space="preserve">for </w:t>
      </w:r>
      <w:r w:rsidRPr="00BD58C0">
        <w:rPr>
          <w:rFonts w:ascii="Times New Roman" w:eastAsia="Times New Roman" w:hAnsi="Times New Roman" w:cs="Times New Roman"/>
          <w:sz w:val="24"/>
          <w:szCs w:val="24"/>
          <w:lang w:val="en-US"/>
        </w:rPr>
        <w:t>more maintenance due to the year-on-year wear and tear of the gas engine. In addition, labor cost</w:t>
      </w:r>
      <w:r w:rsidR="00AF7215"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 xml:space="preserve"> increase due to salary increments and bonuses given to workers. </w:t>
      </w:r>
      <w:r w:rsidR="00FA47BB" w:rsidRPr="00BD58C0">
        <w:rPr>
          <w:rFonts w:ascii="Times New Roman" w:eastAsia="Times New Roman" w:hAnsi="Times New Roman" w:cs="Times New Roman"/>
          <w:sz w:val="24"/>
          <w:szCs w:val="24"/>
          <w:lang w:val="en-US"/>
        </w:rPr>
        <w:t>T</w:t>
      </w:r>
      <w:r w:rsidRPr="00BD58C0">
        <w:rPr>
          <w:rFonts w:ascii="Times New Roman" w:eastAsia="Times New Roman" w:hAnsi="Times New Roman" w:cs="Times New Roman"/>
          <w:sz w:val="24"/>
          <w:szCs w:val="24"/>
          <w:lang w:val="en-US"/>
        </w:rPr>
        <w:t xml:space="preserve">his requires the </w:t>
      </w:r>
      <w:proofErr w:type="spellStart"/>
      <w:r w:rsidRPr="00BD58C0">
        <w:rPr>
          <w:rFonts w:ascii="Times New Roman" w:eastAsia="Times New Roman" w:hAnsi="Times New Roman" w:cs="Times New Roman"/>
          <w:sz w:val="24"/>
          <w:szCs w:val="24"/>
          <w:lang w:val="en-US"/>
        </w:rPr>
        <w:t>FiT</w:t>
      </w:r>
      <w:proofErr w:type="spellEnd"/>
      <w:r w:rsidRPr="00BD58C0">
        <w:rPr>
          <w:rFonts w:ascii="Times New Roman" w:eastAsia="Times New Roman" w:hAnsi="Times New Roman" w:cs="Times New Roman"/>
          <w:sz w:val="24"/>
          <w:szCs w:val="24"/>
          <w:lang w:val="en-US"/>
        </w:rPr>
        <w:t xml:space="preserve"> rate to increase over time </w:t>
      </w:r>
      <w:r w:rsidR="006B1335" w:rsidRPr="00BD58C0">
        <w:rPr>
          <w:rFonts w:ascii="Times New Roman" w:eastAsia="Times New Roman" w:hAnsi="Times New Roman" w:cs="Times New Roman"/>
          <w:sz w:val="24"/>
          <w:szCs w:val="24"/>
          <w:lang w:val="en-US"/>
        </w:rPr>
        <w:t>to</w:t>
      </w:r>
      <w:r w:rsidRPr="00BD58C0">
        <w:rPr>
          <w:rFonts w:ascii="Times New Roman" w:eastAsia="Times New Roman" w:hAnsi="Times New Roman" w:cs="Times New Roman"/>
          <w:sz w:val="24"/>
          <w:szCs w:val="24"/>
          <w:lang w:val="en-US"/>
        </w:rPr>
        <w:t xml:space="preserve"> maintain profitability and </w:t>
      </w:r>
      <w:r w:rsidR="00AF7215" w:rsidRPr="00BD58C0">
        <w:rPr>
          <w:rFonts w:ascii="Times New Roman" w:eastAsia="Times New Roman" w:hAnsi="Times New Roman" w:cs="Times New Roman"/>
          <w:sz w:val="24"/>
          <w:szCs w:val="24"/>
          <w:lang w:val="en-US"/>
        </w:rPr>
        <w:t xml:space="preserve">allow the </w:t>
      </w:r>
      <w:r w:rsidRPr="00BD58C0">
        <w:rPr>
          <w:rFonts w:ascii="Times New Roman" w:eastAsia="Times New Roman" w:hAnsi="Times New Roman" w:cs="Times New Roman"/>
          <w:sz w:val="24"/>
          <w:szCs w:val="24"/>
          <w:lang w:val="en-US"/>
        </w:rPr>
        <w:t>run</w:t>
      </w:r>
      <w:r w:rsidR="00AF7215" w:rsidRPr="00BD58C0">
        <w:rPr>
          <w:rFonts w:ascii="Times New Roman" w:eastAsia="Times New Roman" w:hAnsi="Times New Roman" w:cs="Times New Roman"/>
          <w:sz w:val="24"/>
          <w:szCs w:val="24"/>
          <w:lang w:val="en-US"/>
        </w:rPr>
        <w:t>ning</w:t>
      </w:r>
      <w:r w:rsidR="006B1335" w:rsidRPr="00BD58C0">
        <w:rPr>
          <w:rFonts w:ascii="Times New Roman" w:eastAsia="Times New Roman" w:hAnsi="Times New Roman" w:cs="Times New Roman"/>
          <w:sz w:val="24"/>
          <w:szCs w:val="24"/>
          <w:lang w:val="en-US"/>
        </w:rPr>
        <w:t xml:space="preserve"> of</w:t>
      </w:r>
      <w:r w:rsidRPr="00BD58C0">
        <w:rPr>
          <w:rFonts w:ascii="Times New Roman" w:eastAsia="Times New Roman" w:hAnsi="Times New Roman" w:cs="Times New Roman"/>
          <w:sz w:val="24"/>
          <w:szCs w:val="24"/>
          <w:lang w:val="en-US"/>
        </w:rPr>
        <w:t xml:space="preserve"> the plant for a longer period. </w:t>
      </w:r>
    </w:p>
    <w:p w14:paraId="36C46BB6" w14:textId="77777777" w:rsidR="00801AAE" w:rsidRPr="00BD58C0" w:rsidRDefault="00801AAE" w:rsidP="00E37544">
      <w:pPr>
        <w:spacing w:after="0" w:line="360" w:lineRule="auto"/>
        <w:jc w:val="both"/>
        <w:rPr>
          <w:rFonts w:ascii="Times New Roman" w:eastAsia="Times New Roman" w:hAnsi="Times New Roman" w:cs="Times New Roman"/>
          <w:sz w:val="24"/>
          <w:szCs w:val="24"/>
          <w:lang w:val="en-US"/>
        </w:rPr>
      </w:pPr>
    </w:p>
    <w:p w14:paraId="177B84AF" w14:textId="07B355B1" w:rsidR="007B56EE" w:rsidRPr="00BD58C0" w:rsidRDefault="007B56EE" w:rsidP="00D2736C">
      <w:pPr>
        <w:spacing w:after="0" w:line="360" w:lineRule="auto"/>
        <w:rPr>
          <w:rFonts w:ascii="Times New Roman" w:eastAsia="Times New Roman" w:hAnsi="Times New Roman" w:cs="Times New Roman"/>
          <w:sz w:val="24"/>
          <w:szCs w:val="24"/>
          <w:lang w:val="en-US"/>
        </w:rPr>
      </w:pPr>
      <w:r w:rsidRPr="00BD58C0">
        <w:rPr>
          <w:rFonts w:ascii="Times New Roman" w:eastAsia="Times New Roman" w:hAnsi="Times New Roman" w:cs="Times New Roman"/>
          <w:b/>
          <w:bCs/>
          <w:sz w:val="24"/>
          <w:szCs w:val="24"/>
          <w:lang w:val="en-US"/>
        </w:rPr>
        <w:t>T</w:t>
      </w:r>
      <w:r w:rsidR="0073254D" w:rsidRPr="00BD58C0">
        <w:rPr>
          <w:rFonts w:ascii="Times New Roman" w:eastAsia="Times New Roman" w:hAnsi="Times New Roman" w:cs="Times New Roman"/>
          <w:b/>
          <w:bCs/>
          <w:sz w:val="24"/>
          <w:szCs w:val="24"/>
          <w:lang w:val="en-US"/>
        </w:rPr>
        <w:t>able 1</w:t>
      </w:r>
      <w:r w:rsidR="00D61BD1" w:rsidRPr="00BD58C0">
        <w:rPr>
          <w:rFonts w:ascii="Times New Roman" w:eastAsia="Times New Roman" w:hAnsi="Times New Roman" w:cs="Times New Roman"/>
          <w:b/>
          <w:bCs/>
          <w:sz w:val="24"/>
          <w:szCs w:val="24"/>
          <w:lang w:val="en-US"/>
        </w:rPr>
        <w:t>2</w:t>
      </w:r>
      <w:r w:rsidR="0073254D" w:rsidRPr="00BD58C0">
        <w:rPr>
          <w:rFonts w:ascii="Times New Roman" w:eastAsia="Times New Roman" w:hAnsi="Times New Roman" w:cs="Times New Roman"/>
          <w:sz w:val="24"/>
          <w:szCs w:val="24"/>
          <w:lang w:val="en-US"/>
        </w:rPr>
        <w:tab/>
      </w:r>
      <w:r w:rsidRPr="00BD58C0">
        <w:rPr>
          <w:rFonts w:ascii="Times New Roman" w:eastAsia="Times New Roman" w:hAnsi="Times New Roman" w:cs="Times New Roman"/>
          <w:sz w:val="24"/>
          <w:szCs w:val="24"/>
          <w:lang w:val="en-US"/>
        </w:rPr>
        <w:t>Possible solution rankings targeting revenue</w:t>
      </w:r>
    </w:p>
    <w:tbl>
      <w:tblPr>
        <w:tblStyle w:val="PlainTable22"/>
        <w:tblW w:w="4986" w:type="pct"/>
        <w:tblLook w:val="0620" w:firstRow="1" w:lastRow="0" w:firstColumn="0" w:lastColumn="0" w:noHBand="1" w:noVBand="1"/>
      </w:tblPr>
      <w:tblGrid>
        <w:gridCol w:w="4861"/>
        <w:gridCol w:w="2340"/>
        <w:gridCol w:w="1800"/>
      </w:tblGrid>
      <w:tr w:rsidR="00BD58C0" w:rsidRPr="00BD58C0" w14:paraId="5FF7B901" w14:textId="77777777" w:rsidTr="0043350C">
        <w:trPr>
          <w:cnfStyle w:val="100000000000" w:firstRow="1" w:lastRow="0" w:firstColumn="0" w:lastColumn="0" w:oddVBand="0" w:evenVBand="0" w:oddHBand="0" w:evenHBand="0" w:firstRowFirstColumn="0" w:firstRowLastColumn="0" w:lastRowFirstColumn="0" w:lastRowLastColumn="0"/>
          <w:trHeight w:val="264"/>
        </w:trPr>
        <w:tc>
          <w:tcPr>
            <w:tcW w:w="2700" w:type="pct"/>
          </w:tcPr>
          <w:p w14:paraId="789DE52C"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Possible solutions</w:t>
            </w:r>
          </w:p>
        </w:tc>
        <w:tc>
          <w:tcPr>
            <w:tcW w:w="1300" w:type="pct"/>
          </w:tcPr>
          <w:p w14:paraId="7737115C"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Priority Weight (%)</w:t>
            </w:r>
          </w:p>
        </w:tc>
        <w:tc>
          <w:tcPr>
            <w:tcW w:w="1000" w:type="pct"/>
          </w:tcPr>
          <w:p w14:paraId="16A20071"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Rank</w:t>
            </w:r>
          </w:p>
        </w:tc>
      </w:tr>
      <w:tr w:rsidR="00BD58C0" w:rsidRPr="00BD58C0" w14:paraId="2790F7EB" w14:textId="77777777" w:rsidTr="0043350C">
        <w:trPr>
          <w:trHeight w:val="260"/>
        </w:trPr>
        <w:tc>
          <w:tcPr>
            <w:tcW w:w="2700" w:type="pct"/>
          </w:tcPr>
          <w:p w14:paraId="3D813FEB" w14:textId="5D1E0DDF"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 xml:space="preserve">Set high, fixed </w:t>
            </w:r>
            <w:proofErr w:type="spellStart"/>
            <w:r w:rsidRPr="00BD58C0">
              <w:rPr>
                <w:rFonts w:ascii="Times New Roman" w:eastAsia="Calibri" w:hAnsi="Times New Roman" w:cs="Times New Roman"/>
                <w:sz w:val="24"/>
                <w:szCs w:val="24"/>
                <w:lang w:val="en-US"/>
              </w:rPr>
              <w:t>FiT</w:t>
            </w:r>
            <w:proofErr w:type="spellEnd"/>
            <w:r w:rsidRPr="00BD58C0">
              <w:rPr>
                <w:rFonts w:ascii="Times New Roman" w:eastAsia="Calibri" w:hAnsi="Times New Roman" w:cs="Times New Roman"/>
                <w:sz w:val="24"/>
                <w:szCs w:val="24"/>
                <w:lang w:val="en-US"/>
              </w:rPr>
              <w:t xml:space="preserve"> rate</w:t>
            </w:r>
          </w:p>
        </w:tc>
        <w:tc>
          <w:tcPr>
            <w:tcW w:w="1300" w:type="pct"/>
          </w:tcPr>
          <w:p w14:paraId="53AFDD11"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11.32</w:t>
            </w:r>
          </w:p>
        </w:tc>
        <w:tc>
          <w:tcPr>
            <w:tcW w:w="1000" w:type="pct"/>
          </w:tcPr>
          <w:p w14:paraId="1CC0B29D"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4</w:t>
            </w:r>
          </w:p>
        </w:tc>
      </w:tr>
      <w:tr w:rsidR="00BD58C0" w:rsidRPr="00BD58C0" w14:paraId="39D246EC" w14:textId="77777777" w:rsidTr="0043350C">
        <w:trPr>
          <w:trHeight w:val="129"/>
        </w:trPr>
        <w:tc>
          <w:tcPr>
            <w:tcW w:w="2700" w:type="pct"/>
          </w:tcPr>
          <w:p w14:paraId="7F83C5C3" w14:textId="2816618B"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 xml:space="preserve">Allow variations in </w:t>
            </w:r>
            <w:proofErr w:type="spellStart"/>
            <w:r w:rsidRPr="00BD58C0">
              <w:rPr>
                <w:rFonts w:ascii="Times New Roman" w:eastAsia="Calibri" w:hAnsi="Times New Roman" w:cs="Times New Roman"/>
                <w:sz w:val="24"/>
                <w:szCs w:val="24"/>
                <w:lang w:val="en-US"/>
              </w:rPr>
              <w:t>FiT</w:t>
            </w:r>
            <w:proofErr w:type="spellEnd"/>
            <w:r w:rsidRPr="00BD58C0">
              <w:rPr>
                <w:rFonts w:ascii="Times New Roman" w:eastAsia="Calibri" w:hAnsi="Times New Roman" w:cs="Times New Roman"/>
                <w:sz w:val="24"/>
                <w:szCs w:val="24"/>
                <w:lang w:val="en-US"/>
              </w:rPr>
              <w:t xml:space="preserve"> rate</w:t>
            </w:r>
          </w:p>
        </w:tc>
        <w:tc>
          <w:tcPr>
            <w:tcW w:w="1300" w:type="pct"/>
          </w:tcPr>
          <w:p w14:paraId="20B62EAD"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34.34</w:t>
            </w:r>
          </w:p>
        </w:tc>
        <w:tc>
          <w:tcPr>
            <w:tcW w:w="1000" w:type="pct"/>
          </w:tcPr>
          <w:p w14:paraId="0829774C"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1</w:t>
            </w:r>
          </w:p>
        </w:tc>
      </w:tr>
      <w:tr w:rsidR="00BD58C0" w:rsidRPr="00BD58C0" w14:paraId="16CC0A30" w14:textId="77777777" w:rsidTr="0043350C">
        <w:trPr>
          <w:trHeight w:val="441"/>
        </w:trPr>
        <w:tc>
          <w:tcPr>
            <w:tcW w:w="2700" w:type="pct"/>
          </w:tcPr>
          <w:p w14:paraId="52F79AEF" w14:textId="74BFF17D"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 xml:space="preserve">Set </w:t>
            </w:r>
            <w:proofErr w:type="spellStart"/>
            <w:r w:rsidRPr="00BD58C0">
              <w:rPr>
                <w:rFonts w:ascii="Times New Roman" w:eastAsia="Calibri" w:hAnsi="Times New Roman" w:cs="Times New Roman"/>
                <w:sz w:val="24"/>
                <w:szCs w:val="24"/>
                <w:lang w:val="en-US"/>
              </w:rPr>
              <w:t>FiT</w:t>
            </w:r>
            <w:proofErr w:type="spellEnd"/>
            <w:r w:rsidRPr="00BD58C0">
              <w:rPr>
                <w:rFonts w:ascii="Times New Roman" w:eastAsia="Calibri" w:hAnsi="Times New Roman" w:cs="Times New Roman"/>
                <w:sz w:val="24"/>
                <w:szCs w:val="24"/>
                <w:lang w:val="en-US"/>
              </w:rPr>
              <w:t xml:space="preserve"> rate according to electricity transmission to grid</w:t>
            </w:r>
          </w:p>
        </w:tc>
        <w:tc>
          <w:tcPr>
            <w:tcW w:w="1300" w:type="pct"/>
          </w:tcPr>
          <w:p w14:paraId="0C2157D2"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24.43</w:t>
            </w:r>
          </w:p>
        </w:tc>
        <w:tc>
          <w:tcPr>
            <w:tcW w:w="1000" w:type="pct"/>
          </w:tcPr>
          <w:p w14:paraId="7632D2C0"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3</w:t>
            </w:r>
          </w:p>
        </w:tc>
      </w:tr>
      <w:tr w:rsidR="00BD58C0" w:rsidRPr="00BD58C0" w14:paraId="665578D6" w14:textId="77777777" w:rsidTr="0043350C">
        <w:trPr>
          <w:trHeight w:val="441"/>
        </w:trPr>
        <w:tc>
          <w:tcPr>
            <w:tcW w:w="2700" w:type="pct"/>
          </w:tcPr>
          <w:p w14:paraId="2CAF7F6C"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Introduce new legislation on carbon trading</w:t>
            </w:r>
          </w:p>
        </w:tc>
        <w:tc>
          <w:tcPr>
            <w:tcW w:w="1300" w:type="pct"/>
          </w:tcPr>
          <w:p w14:paraId="2954DF89"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29.90</w:t>
            </w:r>
          </w:p>
        </w:tc>
        <w:tc>
          <w:tcPr>
            <w:tcW w:w="1000" w:type="pct"/>
          </w:tcPr>
          <w:p w14:paraId="381059E5" w14:textId="77777777" w:rsidR="0043350C" w:rsidRPr="00BD58C0" w:rsidRDefault="0043350C" w:rsidP="00D2736C">
            <w:pPr>
              <w:spacing w:line="360" w:lineRule="auto"/>
              <w:rPr>
                <w:rFonts w:ascii="Times New Roman" w:eastAsia="Calibri" w:hAnsi="Times New Roman" w:cs="Times New Roman"/>
                <w:sz w:val="24"/>
                <w:szCs w:val="24"/>
                <w:lang w:val="en-US"/>
              </w:rPr>
            </w:pPr>
            <w:r w:rsidRPr="00BD58C0">
              <w:rPr>
                <w:rFonts w:ascii="Times New Roman" w:eastAsia="Calibri" w:hAnsi="Times New Roman" w:cs="Times New Roman"/>
                <w:sz w:val="24"/>
                <w:szCs w:val="24"/>
                <w:lang w:val="en-US"/>
              </w:rPr>
              <w:t>2</w:t>
            </w:r>
          </w:p>
        </w:tc>
      </w:tr>
    </w:tbl>
    <w:p w14:paraId="780990FE" w14:textId="4CEB90AE" w:rsidR="007B56EE" w:rsidRPr="00BD58C0" w:rsidRDefault="007B56EE" w:rsidP="00D2736C">
      <w:pPr>
        <w:spacing w:after="0" w:line="360" w:lineRule="auto"/>
        <w:rPr>
          <w:rFonts w:ascii="Times New Roman" w:eastAsia="Times New Roman" w:hAnsi="Times New Roman" w:cs="Times New Roman"/>
          <w:sz w:val="24"/>
          <w:szCs w:val="24"/>
          <w:lang w:val="en-GB"/>
        </w:rPr>
      </w:pPr>
      <w:r w:rsidRPr="00BD58C0">
        <w:rPr>
          <w:rFonts w:ascii="Times New Roman" w:eastAsia="Times New Roman" w:hAnsi="Times New Roman" w:cs="Times New Roman"/>
          <w:sz w:val="24"/>
          <w:szCs w:val="24"/>
          <w:lang w:val="en-GB"/>
        </w:rPr>
        <w:t>Consistency Ratio (CR) = 0.07175</w:t>
      </w:r>
    </w:p>
    <w:p w14:paraId="28B565B9" w14:textId="7BCF6C3C" w:rsidR="0043599A" w:rsidRPr="00BD58C0" w:rsidRDefault="0043599A" w:rsidP="00D2736C">
      <w:pPr>
        <w:spacing w:after="0" w:line="360" w:lineRule="auto"/>
        <w:rPr>
          <w:rFonts w:ascii="Times New Roman" w:eastAsia="Times New Roman" w:hAnsi="Times New Roman" w:cs="Times New Roman"/>
          <w:sz w:val="24"/>
          <w:szCs w:val="24"/>
          <w:lang w:val="en-GB"/>
        </w:rPr>
      </w:pPr>
    </w:p>
    <w:p w14:paraId="5F783D72" w14:textId="4637443A" w:rsidR="00D81F43" w:rsidRPr="00BD58C0" w:rsidRDefault="00D81F43" w:rsidP="00D2736C">
      <w:pPr>
        <w:spacing w:after="0" w:line="360" w:lineRule="auto"/>
        <w:rPr>
          <w:rFonts w:ascii="Times New Roman" w:eastAsia="Times New Roman" w:hAnsi="Times New Roman" w:cs="Times New Roman"/>
          <w:sz w:val="24"/>
          <w:szCs w:val="24"/>
          <w:lang w:val="en-GB"/>
        </w:rPr>
      </w:pPr>
    </w:p>
    <w:p w14:paraId="514134DE" w14:textId="0B743D7D" w:rsidR="00D81F43" w:rsidRPr="00BD58C0" w:rsidRDefault="00D81F43" w:rsidP="00D2736C">
      <w:pPr>
        <w:spacing w:after="0" w:line="360" w:lineRule="auto"/>
        <w:rPr>
          <w:rFonts w:ascii="Times New Roman" w:eastAsia="Times New Roman" w:hAnsi="Times New Roman" w:cs="Times New Roman"/>
          <w:sz w:val="24"/>
          <w:szCs w:val="24"/>
          <w:lang w:val="en-GB"/>
        </w:rPr>
      </w:pPr>
    </w:p>
    <w:p w14:paraId="0567ABD2" w14:textId="77777777" w:rsidR="00D81F43" w:rsidRPr="00BD58C0" w:rsidRDefault="00D81F43" w:rsidP="00D2736C">
      <w:pPr>
        <w:spacing w:after="0" w:line="360" w:lineRule="auto"/>
        <w:rPr>
          <w:rFonts w:ascii="Times New Roman" w:eastAsia="Times New Roman" w:hAnsi="Times New Roman" w:cs="Times New Roman"/>
          <w:sz w:val="24"/>
          <w:szCs w:val="24"/>
          <w:lang w:val="en-GB"/>
        </w:rPr>
      </w:pPr>
    </w:p>
    <w:p w14:paraId="097FB0D2" w14:textId="7C51BCA7" w:rsidR="007B56EE" w:rsidRPr="00BD58C0" w:rsidRDefault="00214B62" w:rsidP="00D2736C">
      <w:pPr>
        <w:spacing w:after="0" w:line="360" w:lineRule="auto"/>
        <w:jc w:val="both"/>
        <w:rPr>
          <w:rFonts w:ascii="Times New Roman" w:hAnsi="Times New Roman" w:cs="Times New Roman"/>
          <w:i/>
          <w:iCs/>
          <w:sz w:val="24"/>
          <w:szCs w:val="24"/>
        </w:rPr>
      </w:pPr>
      <w:r w:rsidRPr="00BD58C0">
        <w:rPr>
          <w:rFonts w:ascii="Times New Roman" w:hAnsi="Times New Roman" w:cs="Times New Roman"/>
          <w:i/>
          <w:iCs/>
          <w:sz w:val="24"/>
          <w:szCs w:val="24"/>
        </w:rPr>
        <w:lastRenderedPageBreak/>
        <w:t>4</w:t>
      </w:r>
      <w:r w:rsidR="00D2736C" w:rsidRPr="00BD58C0">
        <w:rPr>
          <w:rFonts w:ascii="Times New Roman" w:hAnsi="Times New Roman" w:cs="Times New Roman"/>
          <w:i/>
          <w:iCs/>
          <w:sz w:val="24"/>
          <w:szCs w:val="24"/>
        </w:rPr>
        <w:t>.2.3.</w:t>
      </w:r>
      <w:r w:rsidR="00A31370" w:rsidRPr="00BD58C0">
        <w:rPr>
          <w:rFonts w:ascii="Times New Roman" w:hAnsi="Times New Roman" w:cs="Times New Roman"/>
          <w:i/>
          <w:iCs/>
          <w:sz w:val="24"/>
          <w:szCs w:val="24"/>
        </w:rPr>
        <w:tab/>
      </w:r>
      <w:r w:rsidR="00D2736C" w:rsidRPr="00BD58C0">
        <w:rPr>
          <w:rFonts w:ascii="Times New Roman" w:hAnsi="Times New Roman" w:cs="Times New Roman"/>
          <w:i/>
          <w:iCs/>
          <w:sz w:val="24"/>
          <w:szCs w:val="24"/>
        </w:rPr>
        <w:t>Results of the overall ranking</w:t>
      </w:r>
    </w:p>
    <w:p w14:paraId="66BF45FB" w14:textId="77777777" w:rsidR="00B22979" w:rsidRPr="00BD58C0" w:rsidRDefault="00B22979" w:rsidP="00D2736C">
      <w:pPr>
        <w:spacing w:after="0" w:line="360" w:lineRule="auto"/>
        <w:jc w:val="both"/>
        <w:rPr>
          <w:rFonts w:ascii="Times New Roman" w:hAnsi="Times New Roman" w:cs="Times New Roman"/>
          <w:i/>
          <w:iCs/>
          <w:sz w:val="24"/>
          <w:szCs w:val="24"/>
        </w:rPr>
      </w:pPr>
    </w:p>
    <w:p w14:paraId="467E68B7" w14:textId="191D51B9" w:rsidR="00D2736C" w:rsidRPr="00BD58C0" w:rsidRDefault="00D2736C" w:rsidP="00D7163B">
      <w:pPr>
        <w:spacing w:after="0" w:line="360" w:lineRule="auto"/>
        <w:ind w:firstLine="720"/>
        <w:jc w:val="both"/>
        <w:rPr>
          <w:rFonts w:ascii="Times New Roman" w:eastAsia="Times New Roman" w:hAnsi="Times New Roman" w:cs="Times New Roman"/>
          <w:sz w:val="24"/>
          <w:szCs w:val="24"/>
          <w:lang w:val="en-US"/>
        </w:rPr>
      </w:pPr>
      <w:r w:rsidRPr="00BD58C0">
        <w:rPr>
          <w:rFonts w:ascii="Times New Roman" w:eastAsia="Times New Roman" w:hAnsi="Times New Roman" w:cs="Times New Roman"/>
          <w:sz w:val="24"/>
          <w:szCs w:val="24"/>
          <w:lang w:val="en-US"/>
        </w:rPr>
        <w:t>The overall ranking of possible solutions is presented in Fig</w:t>
      </w:r>
      <w:r w:rsidR="003924F3" w:rsidRPr="00BD58C0">
        <w:rPr>
          <w:rFonts w:ascii="Times New Roman" w:eastAsia="Times New Roman" w:hAnsi="Times New Roman" w:cs="Times New Roman"/>
          <w:sz w:val="24"/>
          <w:szCs w:val="24"/>
          <w:lang w:val="en-US"/>
        </w:rPr>
        <w:t xml:space="preserve">. </w:t>
      </w:r>
      <w:r w:rsidR="00EC506D" w:rsidRPr="00BD58C0">
        <w:rPr>
          <w:rFonts w:ascii="Times New Roman" w:eastAsia="Times New Roman" w:hAnsi="Times New Roman" w:cs="Times New Roman"/>
          <w:sz w:val="24"/>
          <w:szCs w:val="24"/>
          <w:lang w:val="en-US"/>
        </w:rPr>
        <w:t>4</w:t>
      </w:r>
      <w:r w:rsidR="009D0C1A" w:rsidRPr="00BD58C0">
        <w:rPr>
          <w:rFonts w:ascii="Times New Roman" w:eastAsia="Times New Roman" w:hAnsi="Times New Roman" w:cs="Times New Roman"/>
          <w:sz w:val="24"/>
          <w:szCs w:val="24"/>
          <w:lang w:val="en-US"/>
        </w:rPr>
        <w:t>.</w:t>
      </w:r>
      <w:r w:rsidRPr="00BD58C0">
        <w:rPr>
          <w:rFonts w:ascii="Times New Roman" w:eastAsia="Times New Roman" w:hAnsi="Times New Roman" w:cs="Times New Roman"/>
          <w:sz w:val="24"/>
          <w:szCs w:val="24"/>
          <w:lang w:val="en-US"/>
        </w:rPr>
        <w:t xml:space="preserve"> ‘Provid</w:t>
      </w:r>
      <w:r w:rsidR="009D0C1A" w:rsidRPr="00BD58C0">
        <w:rPr>
          <w:rFonts w:ascii="Times New Roman" w:eastAsia="Times New Roman" w:hAnsi="Times New Roman" w:cs="Times New Roman"/>
          <w:sz w:val="24"/>
          <w:szCs w:val="24"/>
          <w:lang w:val="en-US"/>
        </w:rPr>
        <w:t>ing</w:t>
      </w:r>
      <w:r w:rsidRPr="00BD58C0">
        <w:rPr>
          <w:rFonts w:ascii="Times New Roman" w:eastAsia="Times New Roman" w:hAnsi="Times New Roman" w:cs="Times New Roman"/>
          <w:sz w:val="24"/>
          <w:szCs w:val="24"/>
          <w:lang w:val="en-US"/>
        </w:rPr>
        <w:t xml:space="preserve"> detailed environmental guidelines’ (30.1%) was </w:t>
      </w:r>
      <w:r w:rsidR="00D81F43" w:rsidRPr="00BD58C0">
        <w:rPr>
          <w:rFonts w:ascii="Times New Roman" w:eastAsia="Times New Roman" w:hAnsi="Times New Roman" w:cs="Times New Roman"/>
          <w:sz w:val="24"/>
          <w:szCs w:val="24"/>
          <w:lang w:val="en-US"/>
        </w:rPr>
        <w:t>considered</w:t>
      </w:r>
      <w:r w:rsidRPr="00BD58C0">
        <w:rPr>
          <w:rFonts w:ascii="Times New Roman" w:eastAsia="Times New Roman" w:hAnsi="Times New Roman" w:cs="Times New Roman"/>
          <w:sz w:val="24"/>
          <w:szCs w:val="24"/>
          <w:lang w:val="en-US"/>
        </w:rPr>
        <w:t xml:space="preserve"> most important </w:t>
      </w:r>
      <w:r w:rsidR="009D0C1A" w:rsidRPr="00BD58C0">
        <w:rPr>
          <w:rFonts w:ascii="Times New Roman" w:eastAsia="Times New Roman" w:hAnsi="Times New Roman" w:cs="Times New Roman"/>
          <w:sz w:val="24"/>
          <w:szCs w:val="24"/>
          <w:lang w:val="en-US"/>
        </w:rPr>
        <w:t>overall</w:t>
      </w:r>
      <w:r w:rsidRPr="00BD58C0">
        <w:rPr>
          <w:rFonts w:ascii="Times New Roman" w:eastAsia="Times New Roman" w:hAnsi="Times New Roman" w:cs="Times New Roman"/>
          <w:sz w:val="24"/>
          <w:szCs w:val="24"/>
          <w:lang w:val="en-US"/>
        </w:rPr>
        <w:t>, followed by ‘</w:t>
      </w:r>
      <w:proofErr w:type="spellStart"/>
      <w:r w:rsidRPr="00BD58C0">
        <w:rPr>
          <w:rFonts w:ascii="Times New Roman" w:eastAsia="Times New Roman" w:hAnsi="Times New Roman" w:cs="Times New Roman"/>
          <w:sz w:val="24"/>
          <w:szCs w:val="24"/>
          <w:lang w:val="en-US"/>
        </w:rPr>
        <w:t>standardi</w:t>
      </w:r>
      <w:r w:rsidR="00205F55"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ing</w:t>
      </w:r>
      <w:proofErr w:type="spellEnd"/>
      <w:r w:rsidRPr="00BD58C0">
        <w:rPr>
          <w:rFonts w:ascii="Times New Roman" w:eastAsia="Times New Roman" w:hAnsi="Times New Roman" w:cs="Times New Roman"/>
          <w:sz w:val="24"/>
          <w:szCs w:val="24"/>
          <w:lang w:val="en-US"/>
        </w:rPr>
        <w:t xml:space="preserve"> technical guidelines for biogas installation’ (14.0%), ‘cover</w:t>
      </w:r>
      <w:r w:rsidR="00117721" w:rsidRPr="00BD58C0">
        <w:rPr>
          <w:rFonts w:ascii="Times New Roman" w:eastAsia="Times New Roman" w:hAnsi="Times New Roman" w:cs="Times New Roman"/>
          <w:sz w:val="24"/>
          <w:szCs w:val="24"/>
          <w:lang w:val="en-US"/>
        </w:rPr>
        <w:t>ing</w:t>
      </w:r>
      <w:r w:rsidRPr="00BD58C0">
        <w:rPr>
          <w:rFonts w:ascii="Times New Roman" w:eastAsia="Times New Roman" w:hAnsi="Times New Roman" w:cs="Times New Roman"/>
          <w:sz w:val="24"/>
          <w:szCs w:val="24"/>
          <w:lang w:val="en-US"/>
        </w:rPr>
        <w:t xml:space="preserve"> open pond wall using lining’ (12.1%), ‘enabl</w:t>
      </w:r>
      <w:r w:rsidR="00117721" w:rsidRPr="00BD58C0">
        <w:rPr>
          <w:rFonts w:ascii="Times New Roman" w:eastAsia="Times New Roman" w:hAnsi="Times New Roman" w:cs="Times New Roman"/>
          <w:sz w:val="24"/>
          <w:szCs w:val="24"/>
          <w:lang w:val="en-US"/>
        </w:rPr>
        <w:t>ing</w:t>
      </w:r>
      <w:r w:rsidRPr="00BD58C0">
        <w:rPr>
          <w:rFonts w:ascii="Times New Roman" w:eastAsia="Times New Roman" w:hAnsi="Times New Roman" w:cs="Times New Roman"/>
          <w:sz w:val="24"/>
          <w:szCs w:val="24"/>
          <w:lang w:val="en-US"/>
        </w:rPr>
        <w:t xml:space="preserve"> private millers to supply waste to a </w:t>
      </w:r>
      <w:proofErr w:type="spellStart"/>
      <w:r w:rsidRPr="00BD58C0">
        <w:rPr>
          <w:rFonts w:ascii="Times New Roman" w:eastAsia="Times New Roman" w:hAnsi="Times New Roman" w:cs="Times New Roman"/>
          <w:sz w:val="24"/>
          <w:szCs w:val="24"/>
          <w:lang w:val="en-US"/>
        </w:rPr>
        <w:t>centrali</w:t>
      </w:r>
      <w:r w:rsidR="00E51FD5" w:rsidRPr="00BD58C0">
        <w:rPr>
          <w:rFonts w:ascii="Times New Roman" w:eastAsia="Times New Roman" w:hAnsi="Times New Roman" w:cs="Times New Roman"/>
          <w:sz w:val="24"/>
          <w:szCs w:val="24"/>
          <w:lang w:val="en-US"/>
        </w:rPr>
        <w:t>s</w:t>
      </w:r>
      <w:r w:rsidRPr="00BD58C0">
        <w:rPr>
          <w:rFonts w:ascii="Times New Roman" w:eastAsia="Times New Roman" w:hAnsi="Times New Roman" w:cs="Times New Roman"/>
          <w:sz w:val="24"/>
          <w:szCs w:val="24"/>
          <w:lang w:val="en-US"/>
        </w:rPr>
        <w:t>ed</w:t>
      </w:r>
      <w:proofErr w:type="spellEnd"/>
      <w:r w:rsidRPr="00BD58C0">
        <w:rPr>
          <w:rFonts w:ascii="Times New Roman" w:eastAsia="Times New Roman" w:hAnsi="Times New Roman" w:cs="Times New Roman"/>
          <w:sz w:val="24"/>
          <w:szCs w:val="24"/>
          <w:lang w:val="en-US"/>
        </w:rPr>
        <w:t xml:space="preserve"> POME waste treatment facility’ (8.5%) and ‘implement</w:t>
      </w:r>
      <w:r w:rsidR="00117721" w:rsidRPr="00BD58C0">
        <w:rPr>
          <w:rFonts w:ascii="Times New Roman" w:eastAsia="Times New Roman" w:hAnsi="Times New Roman" w:cs="Times New Roman"/>
          <w:sz w:val="24"/>
          <w:szCs w:val="24"/>
          <w:lang w:val="en-US"/>
        </w:rPr>
        <w:t>ing</w:t>
      </w:r>
      <w:r w:rsidRPr="00BD58C0">
        <w:rPr>
          <w:rFonts w:ascii="Times New Roman" w:eastAsia="Times New Roman" w:hAnsi="Times New Roman" w:cs="Times New Roman"/>
          <w:sz w:val="24"/>
          <w:szCs w:val="24"/>
          <w:lang w:val="en-US"/>
        </w:rPr>
        <w:t xml:space="preserve"> easy application procedure for </w:t>
      </w:r>
      <w:r w:rsidR="001E50AB" w:rsidRPr="00BD58C0">
        <w:rPr>
          <w:rFonts w:ascii="Times New Roman" w:eastAsia="Times New Roman" w:hAnsi="Times New Roman" w:cs="Times New Roman"/>
          <w:sz w:val="24"/>
          <w:szCs w:val="24"/>
          <w:lang w:val="en-US"/>
        </w:rPr>
        <w:t>ITA</w:t>
      </w:r>
      <w:r w:rsidRPr="00BD58C0">
        <w:rPr>
          <w:rFonts w:ascii="Times New Roman" w:eastAsia="Times New Roman" w:hAnsi="Times New Roman" w:cs="Times New Roman"/>
          <w:sz w:val="24"/>
          <w:szCs w:val="24"/>
          <w:lang w:val="en-US"/>
        </w:rPr>
        <w:t xml:space="preserve">’ (6.5%). These top five </w:t>
      </w:r>
      <w:r w:rsidR="00033D0A" w:rsidRPr="00BD58C0">
        <w:rPr>
          <w:rFonts w:ascii="Times New Roman" w:eastAsia="Times New Roman" w:hAnsi="Times New Roman" w:cs="Times New Roman"/>
          <w:sz w:val="24"/>
          <w:szCs w:val="24"/>
          <w:lang w:val="en-US"/>
        </w:rPr>
        <w:t xml:space="preserve">options </w:t>
      </w:r>
      <w:r w:rsidRPr="00BD58C0">
        <w:rPr>
          <w:rFonts w:ascii="Times New Roman" w:eastAsia="Times New Roman" w:hAnsi="Times New Roman" w:cs="Times New Roman"/>
          <w:sz w:val="24"/>
          <w:szCs w:val="24"/>
          <w:lang w:val="en-US"/>
        </w:rPr>
        <w:t xml:space="preserve">serve as recommendations for policy </w:t>
      </w:r>
      <w:r w:rsidR="00B41D3C" w:rsidRPr="00BD58C0">
        <w:rPr>
          <w:rFonts w:ascii="Times New Roman" w:eastAsia="Times New Roman" w:hAnsi="Times New Roman" w:cs="Times New Roman"/>
          <w:sz w:val="24"/>
          <w:szCs w:val="24"/>
          <w:lang w:val="en-US"/>
        </w:rPr>
        <w:t xml:space="preserve">targeting the treatment of </w:t>
      </w:r>
      <w:r w:rsidRPr="00BD58C0">
        <w:rPr>
          <w:rFonts w:ascii="Times New Roman" w:eastAsia="Times New Roman" w:hAnsi="Times New Roman" w:cs="Times New Roman"/>
          <w:sz w:val="24"/>
          <w:szCs w:val="24"/>
          <w:lang w:val="en-US"/>
        </w:rPr>
        <w:t xml:space="preserve">POME for energy generation. </w:t>
      </w:r>
    </w:p>
    <w:p w14:paraId="2AD32666" w14:textId="77777777" w:rsidR="00905A09" w:rsidRPr="00BD58C0" w:rsidRDefault="00905A09" w:rsidP="00D7163B">
      <w:pPr>
        <w:spacing w:after="0" w:line="360" w:lineRule="auto"/>
        <w:ind w:firstLine="720"/>
        <w:jc w:val="both"/>
        <w:rPr>
          <w:rFonts w:ascii="Times New Roman" w:eastAsia="Times New Roman" w:hAnsi="Times New Roman" w:cs="Times New Roman"/>
          <w:sz w:val="24"/>
          <w:szCs w:val="24"/>
          <w:lang w:val="en-US"/>
        </w:rPr>
      </w:pPr>
    </w:p>
    <w:p w14:paraId="36147DB2" w14:textId="73FA1A25" w:rsidR="003924F3" w:rsidRPr="00BD58C0" w:rsidRDefault="002F765E" w:rsidP="003924F3">
      <w:pPr>
        <w:spacing w:after="0" w:line="360" w:lineRule="auto"/>
        <w:jc w:val="both"/>
        <w:rPr>
          <w:rFonts w:ascii="Times New Roman" w:eastAsia="Times New Roman" w:hAnsi="Times New Roman" w:cs="Times New Roman"/>
          <w:sz w:val="24"/>
          <w:szCs w:val="24"/>
          <w:lang w:val="en-US"/>
        </w:rPr>
      </w:pPr>
      <w:r w:rsidRPr="00BD58C0">
        <w:rPr>
          <w:noProof/>
        </w:rPr>
        <w:drawing>
          <wp:inline distT="0" distB="0" distL="0" distR="0" wp14:anchorId="5CC9E451" wp14:editId="4ED2D4F9">
            <wp:extent cx="5715000" cy="2804795"/>
            <wp:effectExtent l="0" t="0" r="0" b="0"/>
            <wp:docPr id="3" name="Chart 3">
              <a:extLst xmlns:a="http://schemas.openxmlformats.org/drawingml/2006/main">
                <a:ext uri="{FF2B5EF4-FFF2-40B4-BE49-F238E27FC236}">
                  <a16:creationId xmlns:a16="http://schemas.microsoft.com/office/drawing/2014/main" id="{03179FB3-7414-4914-B781-E7C1D077F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166D3F" w14:textId="618D6FBC" w:rsidR="007B56EE" w:rsidRPr="00BD58C0" w:rsidRDefault="003924F3" w:rsidP="00CC30AA">
      <w:pPr>
        <w:spacing w:after="0" w:line="360" w:lineRule="auto"/>
        <w:jc w:val="center"/>
        <w:rPr>
          <w:rFonts w:ascii="Times New Roman" w:hAnsi="Times New Roman" w:cs="Times New Roman"/>
          <w:sz w:val="24"/>
          <w:szCs w:val="24"/>
        </w:rPr>
      </w:pPr>
      <w:r w:rsidRPr="00BD58C0">
        <w:rPr>
          <w:rFonts w:ascii="Times New Roman" w:hAnsi="Times New Roman" w:cs="Times New Roman"/>
          <w:b/>
          <w:bCs/>
          <w:sz w:val="24"/>
          <w:szCs w:val="24"/>
        </w:rPr>
        <w:t xml:space="preserve">Fig. </w:t>
      </w:r>
      <w:r w:rsidR="00EC506D" w:rsidRPr="00BD58C0">
        <w:rPr>
          <w:rFonts w:ascii="Times New Roman" w:hAnsi="Times New Roman" w:cs="Times New Roman"/>
          <w:b/>
          <w:bCs/>
          <w:sz w:val="24"/>
          <w:szCs w:val="24"/>
        </w:rPr>
        <w:t>4</w:t>
      </w:r>
      <w:r w:rsidRPr="00BD58C0">
        <w:rPr>
          <w:rFonts w:ascii="Times New Roman" w:hAnsi="Times New Roman" w:cs="Times New Roman"/>
          <w:b/>
          <w:bCs/>
          <w:sz w:val="24"/>
          <w:szCs w:val="24"/>
        </w:rPr>
        <w:t>.</w:t>
      </w:r>
      <w:r w:rsidR="00157552" w:rsidRPr="00BD58C0">
        <w:rPr>
          <w:rFonts w:ascii="Times New Roman" w:hAnsi="Times New Roman" w:cs="Times New Roman"/>
          <w:b/>
          <w:bCs/>
          <w:sz w:val="24"/>
          <w:szCs w:val="24"/>
        </w:rPr>
        <w:tab/>
      </w:r>
      <w:r w:rsidRPr="00BD58C0">
        <w:rPr>
          <w:rFonts w:ascii="Times New Roman" w:hAnsi="Times New Roman" w:cs="Times New Roman"/>
          <w:sz w:val="24"/>
          <w:szCs w:val="24"/>
        </w:rPr>
        <w:t>Overall ranking of possible solutions</w:t>
      </w:r>
    </w:p>
    <w:p w14:paraId="10D57874" w14:textId="049278DA" w:rsidR="00905A09" w:rsidRPr="00BD58C0" w:rsidRDefault="00905A09" w:rsidP="00CC30AA">
      <w:pPr>
        <w:spacing w:after="0" w:line="360" w:lineRule="auto"/>
        <w:jc w:val="center"/>
        <w:rPr>
          <w:rFonts w:ascii="Times New Roman" w:hAnsi="Times New Roman" w:cs="Times New Roman"/>
          <w:sz w:val="24"/>
          <w:szCs w:val="24"/>
        </w:rPr>
      </w:pPr>
    </w:p>
    <w:p w14:paraId="0232FCF8" w14:textId="77777777" w:rsidR="004925A2" w:rsidRPr="00BD58C0" w:rsidRDefault="004925A2" w:rsidP="00CC30AA">
      <w:pPr>
        <w:spacing w:after="0" w:line="360" w:lineRule="auto"/>
        <w:jc w:val="center"/>
        <w:rPr>
          <w:rFonts w:ascii="Times New Roman" w:hAnsi="Times New Roman" w:cs="Times New Roman"/>
          <w:sz w:val="24"/>
          <w:szCs w:val="24"/>
        </w:rPr>
      </w:pPr>
    </w:p>
    <w:p w14:paraId="15309D25" w14:textId="7DB42959" w:rsidR="003835D4" w:rsidRPr="00BD58C0" w:rsidRDefault="00214B62" w:rsidP="009207A7">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5</w:t>
      </w:r>
      <w:r w:rsidR="00612939" w:rsidRPr="00BD58C0">
        <w:rPr>
          <w:rFonts w:ascii="Times New Roman" w:hAnsi="Times New Roman" w:cs="Times New Roman"/>
          <w:b/>
          <w:bCs/>
          <w:sz w:val="24"/>
          <w:szCs w:val="24"/>
        </w:rPr>
        <w:t>.</w:t>
      </w:r>
      <w:r w:rsidR="00612939" w:rsidRPr="00BD58C0">
        <w:rPr>
          <w:rFonts w:ascii="Times New Roman" w:hAnsi="Times New Roman" w:cs="Times New Roman"/>
          <w:b/>
          <w:bCs/>
          <w:sz w:val="24"/>
          <w:szCs w:val="24"/>
        </w:rPr>
        <w:tab/>
      </w:r>
      <w:r w:rsidR="00D2736C" w:rsidRPr="00BD58C0">
        <w:rPr>
          <w:rFonts w:ascii="Times New Roman" w:hAnsi="Times New Roman" w:cs="Times New Roman"/>
          <w:b/>
          <w:bCs/>
          <w:sz w:val="24"/>
          <w:szCs w:val="24"/>
        </w:rPr>
        <w:t xml:space="preserve">Discussion and </w:t>
      </w:r>
      <w:r w:rsidR="00612939" w:rsidRPr="00BD58C0">
        <w:rPr>
          <w:rFonts w:ascii="Times New Roman" w:hAnsi="Times New Roman" w:cs="Times New Roman"/>
          <w:b/>
          <w:bCs/>
          <w:sz w:val="24"/>
          <w:szCs w:val="24"/>
        </w:rPr>
        <w:t>Conclusion</w:t>
      </w:r>
    </w:p>
    <w:p w14:paraId="71410D4E" w14:textId="77777777" w:rsidR="003F12BC" w:rsidRPr="00BD58C0" w:rsidRDefault="003F12BC" w:rsidP="009207A7">
      <w:pPr>
        <w:spacing w:after="0" w:line="360" w:lineRule="auto"/>
        <w:jc w:val="both"/>
        <w:rPr>
          <w:rFonts w:ascii="Times New Roman" w:hAnsi="Times New Roman" w:cs="Times New Roman"/>
          <w:b/>
          <w:bCs/>
          <w:sz w:val="24"/>
          <w:szCs w:val="24"/>
        </w:rPr>
      </w:pPr>
    </w:p>
    <w:p w14:paraId="24E93E8B" w14:textId="4872661C" w:rsidR="009B65B6" w:rsidRPr="00BD58C0" w:rsidRDefault="009B65B6" w:rsidP="009A1401">
      <w:pPr>
        <w:spacing w:after="0" w:line="360" w:lineRule="auto"/>
        <w:jc w:val="both"/>
        <w:rPr>
          <w:rFonts w:ascii="Times New Roman" w:hAnsi="Times New Roman" w:cs="Times New Roman"/>
          <w:b/>
          <w:bCs/>
          <w:sz w:val="24"/>
          <w:szCs w:val="24"/>
        </w:rPr>
      </w:pPr>
      <w:r w:rsidRPr="00BD58C0">
        <w:rPr>
          <w:rFonts w:ascii="Times New Roman" w:hAnsi="Times New Roman" w:cs="Times New Roman"/>
          <w:b/>
          <w:bCs/>
          <w:sz w:val="24"/>
          <w:szCs w:val="24"/>
        </w:rPr>
        <w:tab/>
      </w:r>
      <w:r w:rsidR="00AB0A9F" w:rsidRPr="00BD58C0">
        <w:rPr>
          <w:rFonts w:ascii="Times New Roman" w:hAnsi="Times New Roman" w:cs="Times New Roman"/>
          <w:sz w:val="24"/>
          <w:szCs w:val="24"/>
        </w:rPr>
        <w:t>In terms of LCCBA, t</w:t>
      </w:r>
      <w:r w:rsidR="00702B2C" w:rsidRPr="00BD58C0">
        <w:rPr>
          <w:rFonts w:ascii="Times New Roman" w:hAnsi="Times New Roman" w:cs="Times New Roman"/>
          <w:sz w:val="24"/>
          <w:szCs w:val="24"/>
        </w:rPr>
        <w:t xml:space="preserve">he CSTR system </w:t>
      </w:r>
      <w:r w:rsidR="009D0C1A" w:rsidRPr="00BD58C0">
        <w:rPr>
          <w:rFonts w:ascii="Times New Roman" w:hAnsi="Times New Roman" w:cs="Times New Roman"/>
          <w:sz w:val="24"/>
          <w:szCs w:val="24"/>
        </w:rPr>
        <w:t xml:space="preserve">was found to be </w:t>
      </w:r>
      <w:r w:rsidR="00A1140B" w:rsidRPr="00BD58C0">
        <w:rPr>
          <w:rFonts w:ascii="Times New Roman" w:hAnsi="Times New Roman" w:cs="Times New Roman"/>
          <w:sz w:val="24"/>
          <w:szCs w:val="24"/>
        </w:rPr>
        <w:t xml:space="preserve">more </w:t>
      </w:r>
      <w:r w:rsidR="00702B2C" w:rsidRPr="00BD58C0">
        <w:rPr>
          <w:rFonts w:ascii="Times New Roman" w:hAnsi="Times New Roman" w:cs="Times New Roman"/>
          <w:sz w:val="24"/>
          <w:szCs w:val="24"/>
        </w:rPr>
        <w:t xml:space="preserve">economically feasible </w:t>
      </w:r>
      <w:r w:rsidR="0001383E" w:rsidRPr="00BD58C0">
        <w:rPr>
          <w:rFonts w:ascii="Times New Roman" w:hAnsi="Times New Roman" w:cs="Times New Roman"/>
          <w:sz w:val="24"/>
          <w:szCs w:val="24"/>
        </w:rPr>
        <w:t xml:space="preserve">than </w:t>
      </w:r>
      <w:r w:rsidR="00702B2C" w:rsidRPr="00BD58C0">
        <w:rPr>
          <w:rFonts w:ascii="Times New Roman" w:hAnsi="Times New Roman" w:cs="Times New Roman"/>
          <w:sz w:val="24"/>
          <w:szCs w:val="24"/>
        </w:rPr>
        <w:t xml:space="preserve">the CLB system. </w:t>
      </w:r>
      <w:r w:rsidR="009D0C1A" w:rsidRPr="00BD58C0">
        <w:rPr>
          <w:rFonts w:ascii="Times New Roman" w:hAnsi="Times New Roman" w:cs="Times New Roman"/>
          <w:sz w:val="24"/>
          <w:szCs w:val="24"/>
        </w:rPr>
        <w:t>B</w:t>
      </w:r>
      <w:r w:rsidR="00702B2C" w:rsidRPr="00BD58C0">
        <w:rPr>
          <w:rFonts w:ascii="Times New Roman" w:hAnsi="Times New Roman" w:cs="Times New Roman"/>
          <w:sz w:val="24"/>
          <w:szCs w:val="24"/>
        </w:rPr>
        <w:t xml:space="preserve">oth systems </w:t>
      </w:r>
      <w:r w:rsidR="009D0C1A" w:rsidRPr="00BD58C0">
        <w:rPr>
          <w:rFonts w:ascii="Times New Roman" w:hAnsi="Times New Roman" w:cs="Times New Roman"/>
          <w:sz w:val="24"/>
          <w:szCs w:val="24"/>
        </w:rPr>
        <w:t xml:space="preserve">were </w:t>
      </w:r>
      <w:r w:rsidR="00702B2C" w:rsidRPr="00BD58C0">
        <w:rPr>
          <w:rFonts w:ascii="Times New Roman" w:hAnsi="Times New Roman" w:cs="Times New Roman"/>
          <w:sz w:val="24"/>
          <w:szCs w:val="24"/>
        </w:rPr>
        <w:t xml:space="preserve">capable of generating revenues from the sale of electricity to the grid. </w:t>
      </w:r>
      <w:r w:rsidR="0001383E" w:rsidRPr="00BD58C0">
        <w:rPr>
          <w:rFonts w:ascii="Times New Roman" w:hAnsi="Times New Roman" w:cs="Times New Roman"/>
          <w:sz w:val="24"/>
          <w:szCs w:val="24"/>
        </w:rPr>
        <w:t>T</w:t>
      </w:r>
      <w:r w:rsidR="00702B2C" w:rsidRPr="00BD58C0">
        <w:rPr>
          <w:rFonts w:ascii="Times New Roman" w:hAnsi="Times New Roman" w:cs="Times New Roman"/>
          <w:sz w:val="24"/>
          <w:szCs w:val="24"/>
        </w:rPr>
        <w:t xml:space="preserve">he total capital cost of the CSTR system </w:t>
      </w:r>
      <w:r w:rsidR="009D0C1A" w:rsidRPr="00BD58C0">
        <w:rPr>
          <w:rFonts w:ascii="Times New Roman" w:hAnsi="Times New Roman" w:cs="Times New Roman"/>
          <w:sz w:val="24"/>
          <w:szCs w:val="24"/>
        </w:rPr>
        <w:t xml:space="preserve">was estimated to be </w:t>
      </w:r>
      <w:r w:rsidR="00101922" w:rsidRPr="00BD58C0">
        <w:rPr>
          <w:rFonts w:ascii="Times New Roman" w:hAnsi="Times New Roman" w:cs="Times New Roman"/>
          <w:sz w:val="24"/>
          <w:szCs w:val="24"/>
        </w:rPr>
        <w:t>1.8</w:t>
      </w:r>
      <w:r w:rsidR="00590D82" w:rsidRPr="00BD58C0">
        <w:rPr>
          <w:rFonts w:ascii="Times New Roman" w:hAnsi="Times New Roman" w:cs="Times New Roman"/>
          <w:sz w:val="24"/>
          <w:szCs w:val="24"/>
        </w:rPr>
        <w:t>3</w:t>
      </w:r>
      <w:r w:rsidR="0071478A" w:rsidRPr="00BD58C0">
        <w:rPr>
          <w:rFonts w:ascii="Times New Roman" w:hAnsi="Times New Roman" w:cs="Times New Roman"/>
          <w:sz w:val="24"/>
          <w:szCs w:val="24"/>
        </w:rPr>
        <w:t xml:space="preserve"> </w:t>
      </w:r>
      <w:proofErr w:type="gramStart"/>
      <w:r w:rsidR="0071478A" w:rsidRPr="00BD58C0">
        <w:rPr>
          <w:rFonts w:ascii="Times New Roman" w:hAnsi="Times New Roman" w:cs="Times New Roman"/>
          <w:sz w:val="24"/>
          <w:szCs w:val="24"/>
        </w:rPr>
        <w:t>Million</w:t>
      </w:r>
      <w:proofErr w:type="gramEnd"/>
      <w:r w:rsidR="0071478A" w:rsidRPr="00BD58C0">
        <w:rPr>
          <w:rFonts w:ascii="Times New Roman" w:hAnsi="Times New Roman" w:cs="Times New Roman"/>
          <w:sz w:val="24"/>
          <w:szCs w:val="24"/>
        </w:rPr>
        <w:t xml:space="preserve"> </w:t>
      </w:r>
      <w:r w:rsidR="00101922" w:rsidRPr="00BD58C0">
        <w:rPr>
          <w:rFonts w:ascii="Times New Roman" w:hAnsi="Times New Roman" w:cs="Times New Roman"/>
          <w:sz w:val="24"/>
          <w:szCs w:val="24"/>
        </w:rPr>
        <w:t>USD</w:t>
      </w:r>
      <w:r w:rsidR="0071478A" w:rsidRPr="00BD58C0">
        <w:rPr>
          <w:rFonts w:ascii="Times New Roman" w:hAnsi="Times New Roman" w:cs="Times New Roman"/>
          <w:sz w:val="24"/>
          <w:szCs w:val="24"/>
        </w:rPr>
        <w:t xml:space="preserve"> more than the CLB system. </w:t>
      </w:r>
      <w:r w:rsidR="00EA78F6" w:rsidRPr="00BD58C0">
        <w:rPr>
          <w:rFonts w:ascii="Times New Roman" w:hAnsi="Times New Roman" w:cs="Times New Roman"/>
          <w:sz w:val="24"/>
          <w:szCs w:val="24"/>
        </w:rPr>
        <w:t>Key findings of this study show that:</w:t>
      </w:r>
    </w:p>
    <w:p w14:paraId="78E70413" w14:textId="77777777" w:rsidR="00A769BA" w:rsidRPr="00BD58C0" w:rsidRDefault="00A769BA" w:rsidP="009207A7">
      <w:pPr>
        <w:spacing w:after="0" w:line="360" w:lineRule="auto"/>
        <w:jc w:val="both"/>
        <w:rPr>
          <w:rFonts w:ascii="Times New Roman" w:hAnsi="Times New Roman" w:cs="Times New Roman"/>
          <w:sz w:val="24"/>
          <w:szCs w:val="24"/>
        </w:rPr>
      </w:pPr>
    </w:p>
    <w:p w14:paraId="21FE6607" w14:textId="37EE28E2" w:rsidR="00EA78F6" w:rsidRPr="00BD58C0" w:rsidRDefault="00F3045A" w:rsidP="00103E52">
      <w:pPr>
        <w:pStyle w:val="ListParagraph"/>
        <w:numPr>
          <w:ilvl w:val="0"/>
          <w:numId w:val="10"/>
        </w:num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 xml:space="preserve">The </w:t>
      </w:r>
      <w:r w:rsidR="00103E52" w:rsidRPr="00BD58C0">
        <w:rPr>
          <w:rFonts w:ascii="Times New Roman" w:hAnsi="Times New Roman" w:cs="Times New Roman"/>
          <w:sz w:val="24"/>
          <w:szCs w:val="24"/>
        </w:rPr>
        <w:t xml:space="preserve">CSTR system </w:t>
      </w:r>
      <w:r w:rsidR="0022641A" w:rsidRPr="00BD58C0">
        <w:rPr>
          <w:rFonts w:ascii="Times New Roman" w:hAnsi="Times New Roman" w:cs="Times New Roman"/>
          <w:sz w:val="24"/>
          <w:szCs w:val="24"/>
        </w:rPr>
        <w:t>has a</w:t>
      </w:r>
      <w:r w:rsidR="007A30F9" w:rsidRPr="00BD58C0">
        <w:rPr>
          <w:rFonts w:ascii="Times New Roman" w:hAnsi="Times New Roman" w:cs="Times New Roman"/>
          <w:sz w:val="24"/>
          <w:szCs w:val="24"/>
        </w:rPr>
        <w:t>n</w:t>
      </w:r>
      <w:r w:rsidR="0022641A" w:rsidRPr="00BD58C0">
        <w:rPr>
          <w:rFonts w:ascii="Times New Roman" w:hAnsi="Times New Roman" w:cs="Times New Roman"/>
          <w:sz w:val="24"/>
          <w:szCs w:val="24"/>
        </w:rPr>
        <w:t xml:space="preserve"> NPV value of </w:t>
      </w:r>
      <w:r w:rsidR="002540C8" w:rsidRPr="00BD58C0">
        <w:rPr>
          <w:rFonts w:ascii="Times New Roman" w:hAnsi="Times New Roman" w:cs="Times New Roman"/>
          <w:sz w:val="24"/>
          <w:szCs w:val="24"/>
        </w:rPr>
        <w:t>0.</w:t>
      </w:r>
      <w:r w:rsidR="00EC38BD" w:rsidRPr="00BD58C0">
        <w:rPr>
          <w:rFonts w:ascii="Times New Roman" w:hAnsi="Times New Roman" w:cs="Times New Roman"/>
          <w:sz w:val="24"/>
          <w:szCs w:val="24"/>
        </w:rPr>
        <w:t>32</w:t>
      </w:r>
      <w:r w:rsidR="0022641A" w:rsidRPr="00BD58C0">
        <w:rPr>
          <w:rFonts w:ascii="Times New Roman" w:hAnsi="Times New Roman" w:cs="Times New Roman"/>
          <w:sz w:val="24"/>
          <w:szCs w:val="24"/>
        </w:rPr>
        <w:t xml:space="preserve"> </w:t>
      </w:r>
      <w:proofErr w:type="gramStart"/>
      <w:r w:rsidR="0022641A" w:rsidRPr="00BD58C0">
        <w:rPr>
          <w:rFonts w:ascii="Times New Roman" w:hAnsi="Times New Roman" w:cs="Times New Roman"/>
          <w:sz w:val="24"/>
          <w:szCs w:val="24"/>
        </w:rPr>
        <w:t>Million</w:t>
      </w:r>
      <w:proofErr w:type="gramEnd"/>
      <w:r w:rsidR="0022641A" w:rsidRPr="00BD58C0">
        <w:rPr>
          <w:rFonts w:ascii="Times New Roman" w:hAnsi="Times New Roman" w:cs="Times New Roman"/>
          <w:sz w:val="24"/>
          <w:szCs w:val="24"/>
        </w:rPr>
        <w:t xml:space="preserve"> </w:t>
      </w:r>
      <w:r w:rsidR="002540C8" w:rsidRPr="00BD58C0">
        <w:rPr>
          <w:rFonts w:ascii="Times New Roman" w:hAnsi="Times New Roman" w:cs="Times New Roman"/>
          <w:sz w:val="24"/>
          <w:szCs w:val="24"/>
        </w:rPr>
        <w:t>USD</w:t>
      </w:r>
      <w:r w:rsidR="0022641A" w:rsidRPr="00BD58C0">
        <w:rPr>
          <w:rFonts w:ascii="Times New Roman" w:hAnsi="Times New Roman" w:cs="Times New Roman"/>
          <w:sz w:val="24"/>
          <w:szCs w:val="24"/>
        </w:rPr>
        <w:t>/y</w:t>
      </w:r>
      <w:r w:rsidR="0071135C" w:rsidRPr="00BD58C0">
        <w:rPr>
          <w:rFonts w:ascii="Times New Roman" w:hAnsi="Times New Roman" w:cs="Times New Roman"/>
          <w:sz w:val="24"/>
          <w:szCs w:val="24"/>
        </w:rPr>
        <w:t>ear</w:t>
      </w:r>
      <w:r w:rsidR="0022641A" w:rsidRPr="00BD58C0">
        <w:rPr>
          <w:rFonts w:ascii="Times New Roman" w:hAnsi="Times New Roman" w:cs="Times New Roman"/>
          <w:sz w:val="24"/>
          <w:szCs w:val="24"/>
        </w:rPr>
        <w:t xml:space="preserve"> more than the CLB system</w:t>
      </w:r>
      <w:r w:rsidR="00D1531B" w:rsidRPr="00BD58C0">
        <w:rPr>
          <w:rFonts w:ascii="Times New Roman" w:hAnsi="Times New Roman" w:cs="Times New Roman"/>
          <w:sz w:val="24"/>
          <w:szCs w:val="24"/>
        </w:rPr>
        <w:t xml:space="preserve"> </w:t>
      </w:r>
      <w:r w:rsidRPr="00BD58C0">
        <w:rPr>
          <w:rFonts w:ascii="Times New Roman" w:hAnsi="Times New Roman" w:cs="Times New Roman"/>
          <w:sz w:val="24"/>
          <w:szCs w:val="24"/>
        </w:rPr>
        <w:t>over a</w:t>
      </w:r>
      <w:r w:rsidR="00D1531B" w:rsidRPr="00BD58C0">
        <w:rPr>
          <w:rFonts w:ascii="Times New Roman" w:hAnsi="Times New Roman" w:cs="Times New Roman"/>
          <w:sz w:val="24"/>
          <w:szCs w:val="24"/>
        </w:rPr>
        <w:t xml:space="preserve"> 20</w:t>
      </w:r>
      <w:r w:rsidRPr="00BD58C0">
        <w:rPr>
          <w:rFonts w:ascii="Times New Roman" w:hAnsi="Times New Roman" w:cs="Times New Roman"/>
          <w:sz w:val="24"/>
          <w:szCs w:val="24"/>
        </w:rPr>
        <w:t>-</w:t>
      </w:r>
      <w:r w:rsidR="00D1531B" w:rsidRPr="00BD58C0">
        <w:rPr>
          <w:rFonts w:ascii="Times New Roman" w:hAnsi="Times New Roman" w:cs="Times New Roman"/>
          <w:sz w:val="24"/>
          <w:szCs w:val="24"/>
        </w:rPr>
        <w:t>year life span</w:t>
      </w:r>
      <w:r w:rsidR="0022641A" w:rsidRPr="00BD58C0">
        <w:rPr>
          <w:rFonts w:ascii="Times New Roman" w:hAnsi="Times New Roman" w:cs="Times New Roman"/>
          <w:sz w:val="24"/>
          <w:szCs w:val="24"/>
        </w:rPr>
        <w:t>.</w:t>
      </w:r>
    </w:p>
    <w:p w14:paraId="3D5B904D" w14:textId="4020A41C" w:rsidR="0022641A" w:rsidRPr="00BD58C0" w:rsidRDefault="00F3045A" w:rsidP="0022641A">
      <w:pPr>
        <w:pStyle w:val="ListParagraph"/>
        <w:numPr>
          <w:ilvl w:val="0"/>
          <w:numId w:val="10"/>
        </w:num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lastRenderedPageBreak/>
        <w:t xml:space="preserve">The </w:t>
      </w:r>
      <w:r w:rsidR="0022641A" w:rsidRPr="00BD58C0">
        <w:rPr>
          <w:rFonts w:ascii="Times New Roman" w:hAnsi="Times New Roman" w:cs="Times New Roman"/>
          <w:sz w:val="24"/>
          <w:szCs w:val="24"/>
        </w:rPr>
        <w:t>CSTR system has a</w:t>
      </w:r>
      <w:r w:rsidR="007A30F9" w:rsidRPr="00BD58C0">
        <w:rPr>
          <w:rFonts w:ascii="Times New Roman" w:hAnsi="Times New Roman" w:cs="Times New Roman"/>
          <w:sz w:val="24"/>
          <w:szCs w:val="24"/>
        </w:rPr>
        <w:t>n</w:t>
      </w:r>
      <w:r w:rsidR="0022641A" w:rsidRPr="00BD58C0">
        <w:rPr>
          <w:rFonts w:ascii="Times New Roman" w:hAnsi="Times New Roman" w:cs="Times New Roman"/>
          <w:sz w:val="24"/>
          <w:szCs w:val="24"/>
        </w:rPr>
        <w:t xml:space="preserve"> ROI value of </w:t>
      </w:r>
      <w:r w:rsidR="00105A60" w:rsidRPr="00BD58C0">
        <w:rPr>
          <w:rFonts w:ascii="Times New Roman" w:hAnsi="Times New Roman" w:cs="Times New Roman"/>
          <w:sz w:val="24"/>
          <w:szCs w:val="24"/>
        </w:rPr>
        <w:t>3.94</w:t>
      </w:r>
      <w:r w:rsidR="0022641A" w:rsidRPr="00BD58C0">
        <w:rPr>
          <w:rFonts w:ascii="Times New Roman" w:hAnsi="Times New Roman" w:cs="Times New Roman"/>
          <w:sz w:val="24"/>
          <w:szCs w:val="24"/>
        </w:rPr>
        <w:t>% higher than the CLB system.</w:t>
      </w:r>
    </w:p>
    <w:p w14:paraId="69A235F7" w14:textId="4E24B098" w:rsidR="0022641A" w:rsidRPr="00BD58C0" w:rsidRDefault="00F3045A" w:rsidP="0022641A">
      <w:pPr>
        <w:pStyle w:val="ListParagraph"/>
        <w:numPr>
          <w:ilvl w:val="0"/>
          <w:numId w:val="10"/>
        </w:numPr>
        <w:spacing w:after="0" w:line="360" w:lineRule="auto"/>
        <w:jc w:val="both"/>
        <w:rPr>
          <w:rFonts w:ascii="Times New Roman" w:hAnsi="Times New Roman" w:cs="Times New Roman"/>
          <w:sz w:val="24"/>
          <w:szCs w:val="24"/>
        </w:rPr>
      </w:pPr>
      <w:r w:rsidRPr="00BD58C0">
        <w:rPr>
          <w:rFonts w:ascii="Times New Roman" w:hAnsi="Times New Roman" w:cs="Times New Roman"/>
          <w:sz w:val="24"/>
          <w:szCs w:val="24"/>
        </w:rPr>
        <w:t xml:space="preserve">The </w:t>
      </w:r>
      <w:r w:rsidR="0022641A" w:rsidRPr="00BD58C0">
        <w:rPr>
          <w:rFonts w:ascii="Times New Roman" w:hAnsi="Times New Roman" w:cs="Times New Roman"/>
          <w:sz w:val="24"/>
          <w:szCs w:val="24"/>
        </w:rPr>
        <w:t xml:space="preserve">CLB system has a PP value of </w:t>
      </w:r>
      <w:r w:rsidR="00105A60" w:rsidRPr="00BD58C0">
        <w:rPr>
          <w:rFonts w:ascii="Times New Roman" w:hAnsi="Times New Roman" w:cs="Times New Roman"/>
          <w:sz w:val="24"/>
          <w:szCs w:val="24"/>
        </w:rPr>
        <w:t>4.1</w:t>
      </w:r>
      <w:r w:rsidR="0022641A" w:rsidRPr="00BD58C0">
        <w:rPr>
          <w:rFonts w:ascii="Times New Roman" w:hAnsi="Times New Roman" w:cs="Times New Roman"/>
          <w:sz w:val="24"/>
          <w:szCs w:val="24"/>
        </w:rPr>
        <w:t xml:space="preserve"> years longer than the CSTR system.</w:t>
      </w:r>
    </w:p>
    <w:p w14:paraId="5A4FFBA4" w14:textId="77777777" w:rsidR="00B22979" w:rsidRPr="00BD58C0" w:rsidRDefault="00B22979" w:rsidP="00B22979">
      <w:pPr>
        <w:pStyle w:val="ListParagraph"/>
        <w:spacing w:after="0" w:line="360" w:lineRule="auto"/>
        <w:jc w:val="both"/>
        <w:rPr>
          <w:rFonts w:ascii="Times New Roman" w:hAnsi="Times New Roman" w:cs="Times New Roman"/>
          <w:sz w:val="24"/>
          <w:szCs w:val="24"/>
        </w:rPr>
      </w:pPr>
    </w:p>
    <w:p w14:paraId="631E52C5" w14:textId="19CCF186" w:rsidR="005E1AD6" w:rsidRPr="00BD58C0" w:rsidRDefault="00E95160" w:rsidP="00B33BCA">
      <w:pPr>
        <w:spacing w:after="0" w:line="360" w:lineRule="auto"/>
        <w:ind w:firstLine="360"/>
        <w:jc w:val="both"/>
        <w:rPr>
          <w:rFonts w:ascii="Times New Roman" w:hAnsi="Times New Roman" w:cs="Times New Roman"/>
          <w:sz w:val="24"/>
          <w:szCs w:val="24"/>
        </w:rPr>
      </w:pPr>
      <w:r w:rsidRPr="00BD58C0">
        <w:rPr>
          <w:rFonts w:ascii="Times New Roman" w:hAnsi="Times New Roman" w:cs="Times New Roman"/>
          <w:sz w:val="24"/>
          <w:szCs w:val="24"/>
        </w:rPr>
        <w:t xml:space="preserve">In terms of policy </w:t>
      </w:r>
      <w:r w:rsidR="002C51C4" w:rsidRPr="00BD58C0">
        <w:rPr>
          <w:rFonts w:ascii="Times New Roman" w:hAnsi="Times New Roman" w:cs="Times New Roman"/>
          <w:sz w:val="24"/>
          <w:szCs w:val="24"/>
        </w:rPr>
        <w:t>development</w:t>
      </w:r>
      <w:r w:rsidRPr="00BD58C0">
        <w:rPr>
          <w:rFonts w:ascii="Times New Roman" w:hAnsi="Times New Roman" w:cs="Times New Roman"/>
          <w:sz w:val="24"/>
          <w:szCs w:val="24"/>
        </w:rPr>
        <w:t xml:space="preserve">, </w:t>
      </w:r>
      <w:r w:rsidR="00095DDB" w:rsidRPr="00BD58C0">
        <w:rPr>
          <w:rFonts w:ascii="Times New Roman" w:hAnsi="Times New Roman" w:cs="Times New Roman"/>
          <w:sz w:val="24"/>
          <w:szCs w:val="24"/>
        </w:rPr>
        <w:t>the most important area to address is</w:t>
      </w:r>
      <w:r w:rsidR="00B93829" w:rsidRPr="00BD58C0">
        <w:rPr>
          <w:rFonts w:ascii="Times New Roman" w:hAnsi="Times New Roman" w:cs="Times New Roman"/>
          <w:sz w:val="24"/>
          <w:szCs w:val="24"/>
        </w:rPr>
        <w:t xml:space="preserve"> the</w:t>
      </w:r>
      <w:r w:rsidR="00095DDB" w:rsidRPr="00BD58C0">
        <w:rPr>
          <w:rFonts w:ascii="Times New Roman" w:hAnsi="Times New Roman" w:cs="Times New Roman"/>
          <w:sz w:val="24"/>
          <w:szCs w:val="24"/>
        </w:rPr>
        <w:t xml:space="preserve"> environmental impact.</w:t>
      </w:r>
      <w:bookmarkStart w:id="10" w:name="_Hlk30496395"/>
      <w:r w:rsidR="00594962" w:rsidRPr="00BD58C0">
        <w:rPr>
          <w:rFonts w:ascii="Times New Roman" w:hAnsi="Times New Roman" w:cs="Times New Roman"/>
          <w:sz w:val="24"/>
          <w:szCs w:val="24"/>
        </w:rPr>
        <w:t xml:space="preserve"> </w:t>
      </w:r>
      <w:r w:rsidR="00BC50F6" w:rsidRPr="00BD58C0">
        <w:rPr>
          <w:rFonts w:ascii="Times New Roman" w:hAnsi="Times New Roman" w:cs="Times New Roman"/>
          <w:sz w:val="24"/>
          <w:szCs w:val="24"/>
        </w:rPr>
        <w:t>‘</w:t>
      </w:r>
      <w:r w:rsidR="00594962" w:rsidRPr="00BD58C0">
        <w:rPr>
          <w:rFonts w:ascii="Times New Roman" w:hAnsi="Times New Roman" w:cs="Times New Roman"/>
          <w:sz w:val="24"/>
          <w:szCs w:val="24"/>
        </w:rPr>
        <w:t>C</w:t>
      </w:r>
      <w:r w:rsidR="00BC50F6" w:rsidRPr="00BD58C0">
        <w:rPr>
          <w:rFonts w:ascii="Times New Roman" w:hAnsi="Times New Roman" w:cs="Times New Roman"/>
          <w:sz w:val="24"/>
          <w:szCs w:val="24"/>
        </w:rPr>
        <w:t xml:space="preserve">overing the open pond wall by using a lining’ </w:t>
      </w:r>
      <w:bookmarkEnd w:id="10"/>
      <w:r w:rsidR="00BC50F6" w:rsidRPr="00BD58C0">
        <w:rPr>
          <w:rFonts w:ascii="Times New Roman" w:hAnsi="Times New Roman" w:cs="Times New Roman"/>
          <w:sz w:val="24"/>
          <w:szCs w:val="24"/>
        </w:rPr>
        <w:t xml:space="preserve">comes under the ‘environmental impact’ main criterion. The benefit of doing this reduces the eutrophication potential (e.g. </w:t>
      </w:r>
      <w:r w:rsidR="006615BA" w:rsidRPr="00BD58C0">
        <w:rPr>
          <w:rFonts w:ascii="Times New Roman" w:hAnsi="Times New Roman" w:cs="Times New Roman"/>
          <w:sz w:val="24"/>
          <w:szCs w:val="24"/>
        </w:rPr>
        <w:t>[</w:t>
      </w:r>
      <w:r w:rsidR="00D77103" w:rsidRPr="00BD58C0">
        <w:rPr>
          <w:rFonts w:ascii="Times New Roman" w:hAnsi="Times New Roman" w:cs="Times New Roman"/>
          <w:sz w:val="24"/>
          <w:szCs w:val="24"/>
        </w:rPr>
        <w:t>18</w:t>
      </w:r>
      <w:r w:rsidR="006615BA" w:rsidRPr="00BD58C0">
        <w:rPr>
          <w:rFonts w:ascii="Times New Roman" w:hAnsi="Times New Roman" w:cs="Times New Roman"/>
          <w:sz w:val="24"/>
          <w:szCs w:val="24"/>
        </w:rPr>
        <w:t>]</w:t>
      </w:r>
      <w:r w:rsidR="00BC50F6" w:rsidRPr="00BD58C0">
        <w:rPr>
          <w:rFonts w:ascii="Times New Roman" w:hAnsi="Times New Roman" w:cs="Times New Roman"/>
          <w:sz w:val="24"/>
          <w:szCs w:val="24"/>
        </w:rPr>
        <w:t>)</w:t>
      </w:r>
      <w:r w:rsidR="00432C7F" w:rsidRPr="00BD58C0">
        <w:rPr>
          <w:rFonts w:ascii="Times New Roman" w:hAnsi="Times New Roman" w:cs="Times New Roman"/>
          <w:sz w:val="24"/>
          <w:szCs w:val="24"/>
        </w:rPr>
        <w:t xml:space="preserve"> and was seen as a priority</w:t>
      </w:r>
      <w:r w:rsidR="00BC50F6" w:rsidRPr="00BD58C0">
        <w:rPr>
          <w:rFonts w:ascii="Times New Roman" w:hAnsi="Times New Roman" w:cs="Times New Roman"/>
          <w:sz w:val="24"/>
          <w:szCs w:val="24"/>
        </w:rPr>
        <w:t xml:space="preserve">. </w:t>
      </w:r>
      <w:bookmarkStart w:id="11" w:name="_Hlk30496568"/>
      <w:r w:rsidR="00BC50F6" w:rsidRPr="00BD58C0">
        <w:rPr>
          <w:rFonts w:ascii="Times New Roman" w:hAnsi="Times New Roman" w:cs="Times New Roman"/>
          <w:sz w:val="24"/>
          <w:szCs w:val="24"/>
        </w:rPr>
        <w:t xml:space="preserve"> </w:t>
      </w:r>
      <w:bookmarkEnd w:id="11"/>
      <w:r w:rsidR="00BC50F6" w:rsidRPr="00BD58C0">
        <w:rPr>
          <w:rFonts w:ascii="Times New Roman" w:hAnsi="Times New Roman" w:cs="Times New Roman"/>
          <w:sz w:val="24"/>
          <w:szCs w:val="24"/>
        </w:rPr>
        <w:t>Among the four main criteria, the lowest ranked main criterion is ‘revenue’. This criterion is of the utmost importance to investors</w:t>
      </w:r>
      <w:r w:rsidR="006C1534" w:rsidRPr="00BD58C0">
        <w:rPr>
          <w:rFonts w:ascii="Times New Roman" w:hAnsi="Times New Roman" w:cs="Times New Roman"/>
          <w:sz w:val="24"/>
          <w:szCs w:val="24"/>
        </w:rPr>
        <w:t xml:space="preserve"> [</w:t>
      </w:r>
      <w:r w:rsidR="004925A2" w:rsidRPr="00BD58C0">
        <w:rPr>
          <w:rFonts w:ascii="Times New Roman" w:hAnsi="Times New Roman" w:cs="Times New Roman"/>
          <w:sz w:val="24"/>
          <w:szCs w:val="24"/>
        </w:rPr>
        <w:t>61</w:t>
      </w:r>
      <w:r w:rsidR="006C1534" w:rsidRPr="00BD58C0">
        <w:rPr>
          <w:rFonts w:ascii="Times New Roman" w:hAnsi="Times New Roman" w:cs="Times New Roman"/>
          <w:sz w:val="24"/>
          <w:szCs w:val="24"/>
        </w:rPr>
        <w:t>]</w:t>
      </w:r>
      <w:r w:rsidR="00506261" w:rsidRPr="00BD58C0">
        <w:rPr>
          <w:rFonts w:ascii="Times New Roman" w:hAnsi="Times New Roman" w:cs="Times New Roman"/>
          <w:sz w:val="24"/>
          <w:szCs w:val="24"/>
        </w:rPr>
        <w:t>,</w:t>
      </w:r>
      <w:r w:rsidR="00BC50F6" w:rsidRPr="00BD58C0">
        <w:rPr>
          <w:rFonts w:ascii="Times New Roman" w:hAnsi="Times New Roman" w:cs="Times New Roman"/>
          <w:sz w:val="24"/>
          <w:szCs w:val="24"/>
        </w:rPr>
        <w:t xml:space="preserve"> but was not the key focus of experts. </w:t>
      </w:r>
      <w:r w:rsidR="00D519B9" w:rsidRPr="00BD58C0">
        <w:rPr>
          <w:rFonts w:ascii="Times New Roman" w:hAnsi="Times New Roman" w:cs="Times New Roman"/>
          <w:sz w:val="24"/>
          <w:szCs w:val="24"/>
        </w:rPr>
        <w:t xml:space="preserve">The highest ranked possible solution under the ‘revenue’ main criterion identified by the AHP is to ‘allow variation in the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rate’. However, one expert </w:t>
      </w:r>
      <w:r w:rsidR="002421DE" w:rsidRPr="00BD58C0">
        <w:rPr>
          <w:rFonts w:ascii="Times New Roman" w:hAnsi="Times New Roman" w:cs="Times New Roman"/>
          <w:sz w:val="24"/>
          <w:szCs w:val="24"/>
        </w:rPr>
        <w:t>noted</w:t>
      </w:r>
      <w:r w:rsidR="00D519B9" w:rsidRPr="00BD58C0">
        <w:rPr>
          <w:rFonts w:ascii="Times New Roman" w:hAnsi="Times New Roman" w:cs="Times New Roman"/>
          <w:sz w:val="24"/>
          <w:szCs w:val="24"/>
        </w:rPr>
        <w:t xml:space="preserve"> there can be no variation according to </w:t>
      </w:r>
      <w:r w:rsidR="00A24F72" w:rsidRPr="00BD58C0">
        <w:rPr>
          <w:rFonts w:ascii="Times New Roman" w:hAnsi="Times New Roman" w:cs="Times New Roman"/>
          <w:sz w:val="24"/>
          <w:szCs w:val="24"/>
        </w:rPr>
        <w:t>current</w:t>
      </w:r>
      <w:r w:rsidR="00D519B9" w:rsidRPr="00BD58C0">
        <w:rPr>
          <w:rFonts w:ascii="Times New Roman" w:hAnsi="Times New Roman" w:cs="Times New Roman"/>
          <w:sz w:val="24"/>
          <w:szCs w:val="24"/>
        </w:rPr>
        <w:t xml:space="preserve"> regulations</w:t>
      </w:r>
      <w:r w:rsidR="00C253F7" w:rsidRPr="00BD58C0">
        <w:rPr>
          <w:rFonts w:ascii="Times New Roman" w:hAnsi="Times New Roman" w:cs="Times New Roman"/>
          <w:sz w:val="24"/>
          <w:szCs w:val="24"/>
        </w:rPr>
        <w:t>,</w:t>
      </w:r>
      <w:r w:rsidR="00D519B9" w:rsidRPr="00BD58C0">
        <w:rPr>
          <w:rFonts w:ascii="Times New Roman" w:hAnsi="Times New Roman" w:cs="Times New Roman"/>
          <w:sz w:val="24"/>
          <w:szCs w:val="24"/>
        </w:rPr>
        <w:t xml:space="preserve"> and the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w:t>
      </w:r>
      <w:bookmarkStart w:id="12" w:name="_Hlk30496969"/>
      <w:r w:rsidR="00D519B9" w:rsidRPr="00BD58C0">
        <w:rPr>
          <w:rFonts w:ascii="Times New Roman" w:hAnsi="Times New Roman" w:cs="Times New Roman"/>
          <w:sz w:val="24"/>
          <w:szCs w:val="24"/>
        </w:rPr>
        <w:t>rate is now set based on a bidding process among the millers</w:t>
      </w:r>
      <w:bookmarkEnd w:id="12"/>
      <w:r w:rsidR="00D519B9" w:rsidRPr="00BD58C0">
        <w:rPr>
          <w:rFonts w:ascii="Times New Roman" w:hAnsi="Times New Roman" w:cs="Times New Roman"/>
          <w:sz w:val="24"/>
          <w:szCs w:val="24"/>
        </w:rPr>
        <w:t xml:space="preserve">. It is not possible to ‘vary the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or to ‘set a high, fixed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or to ‘set the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according to the distance that the electricity has to travel to reach the grid’</w:t>
      </w:r>
      <w:r w:rsidR="00C53C76" w:rsidRPr="00BD58C0">
        <w:rPr>
          <w:rFonts w:ascii="Times New Roman" w:hAnsi="Times New Roman" w:cs="Times New Roman"/>
          <w:sz w:val="24"/>
          <w:szCs w:val="24"/>
        </w:rPr>
        <w:t xml:space="preserve">. </w:t>
      </w:r>
    </w:p>
    <w:p w14:paraId="7FBB6C4D" w14:textId="0822E35D" w:rsidR="00D519B9" w:rsidRPr="00BD58C0" w:rsidRDefault="005E1AD6" w:rsidP="005E1AD6">
      <w:pPr>
        <w:spacing w:after="0" w:line="360" w:lineRule="auto"/>
        <w:ind w:firstLine="360"/>
        <w:jc w:val="both"/>
        <w:rPr>
          <w:rFonts w:ascii="Times New Roman" w:hAnsi="Times New Roman" w:cs="Times New Roman"/>
          <w:sz w:val="24"/>
          <w:szCs w:val="24"/>
        </w:rPr>
      </w:pPr>
      <w:r w:rsidRPr="00BD58C0">
        <w:rPr>
          <w:rFonts w:ascii="Times New Roman" w:hAnsi="Times New Roman" w:cs="Times New Roman"/>
          <w:sz w:val="24"/>
          <w:szCs w:val="24"/>
        </w:rPr>
        <w:t>‘New legislation on carbon trading’ which is one of the possible solutions suggested could be introduced in Malaysia to enable millers to claim carbon credits. Currently, to achieve nationally determined contributions under the Paris agreement, 19 emission trading systems (ETSs) have started operating at the national and subnational levels. Developing countries that wish to develop their own ETS are being encouraged to gain insights from the Korea</w:t>
      </w:r>
      <w:r w:rsidR="00720BD6" w:rsidRPr="00BD58C0">
        <w:rPr>
          <w:rFonts w:ascii="Times New Roman" w:hAnsi="Times New Roman" w:cs="Times New Roman"/>
          <w:sz w:val="24"/>
          <w:szCs w:val="24"/>
        </w:rPr>
        <w:t xml:space="preserve">n ETS (KETS), as well as </w:t>
      </w:r>
      <w:r w:rsidRPr="00BD58C0">
        <w:rPr>
          <w:rFonts w:ascii="Times New Roman" w:hAnsi="Times New Roman" w:cs="Times New Roman"/>
          <w:sz w:val="24"/>
          <w:szCs w:val="24"/>
        </w:rPr>
        <w:t xml:space="preserve">schemes in other countries within Asia and the Pacific region </w:t>
      </w:r>
      <w:r w:rsidR="00F857E3" w:rsidRPr="00BD58C0">
        <w:rPr>
          <w:rFonts w:ascii="Times New Roman" w:hAnsi="Times New Roman" w:cs="Times New Roman"/>
          <w:sz w:val="24"/>
          <w:szCs w:val="24"/>
        </w:rPr>
        <w:t>[</w:t>
      </w:r>
      <w:r w:rsidR="004925A2" w:rsidRPr="00BD58C0">
        <w:rPr>
          <w:rFonts w:ascii="Times New Roman" w:hAnsi="Times New Roman" w:cs="Times New Roman"/>
          <w:sz w:val="24"/>
          <w:szCs w:val="24"/>
        </w:rPr>
        <w:t>62</w:t>
      </w:r>
      <w:r w:rsidR="00F857E3" w:rsidRPr="00BD58C0">
        <w:rPr>
          <w:rFonts w:ascii="Times New Roman" w:hAnsi="Times New Roman" w:cs="Times New Roman"/>
          <w:sz w:val="24"/>
          <w:szCs w:val="24"/>
        </w:rPr>
        <w:t>]</w:t>
      </w:r>
      <w:r w:rsidR="00720BD6" w:rsidRPr="00BD58C0">
        <w:rPr>
          <w:rFonts w:ascii="Times New Roman" w:hAnsi="Times New Roman" w:cs="Times New Roman"/>
          <w:sz w:val="24"/>
          <w:szCs w:val="24"/>
        </w:rPr>
        <w:t xml:space="preserve">. </w:t>
      </w:r>
      <w:r w:rsidR="002421DE" w:rsidRPr="00BD58C0">
        <w:rPr>
          <w:rFonts w:ascii="Times New Roman" w:hAnsi="Times New Roman" w:cs="Times New Roman"/>
          <w:sz w:val="24"/>
          <w:szCs w:val="24"/>
        </w:rPr>
        <w:t>To</w:t>
      </w:r>
      <w:r w:rsidRPr="00BD58C0">
        <w:rPr>
          <w:rFonts w:ascii="Times New Roman" w:hAnsi="Times New Roman" w:cs="Times New Roman"/>
          <w:sz w:val="24"/>
          <w:szCs w:val="24"/>
        </w:rPr>
        <w:t xml:space="preserve"> deliver a carbon price signal against which participants can invest in emission reductions, an efficient carbon market is necessary. </w:t>
      </w:r>
      <w:r w:rsidR="00D519B9" w:rsidRPr="00BD58C0">
        <w:rPr>
          <w:rFonts w:ascii="Times New Roman" w:hAnsi="Times New Roman" w:cs="Times New Roman"/>
          <w:sz w:val="24"/>
          <w:szCs w:val="24"/>
        </w:rPr>
        <w:t xml:space="preserve">The other two possible solutions under the ‘revenue’ main criterion were based on ‘providing a subsidy for biogas installation’ and ‘providing a subsidy for the transmission of electricity to the grid’. However, most of the experts did not agree with these suggestions as the allocation of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currently subsidi</w:t>
      </w:r>
      <w:r w:rsidR="00F955F8" w:rsidRPr="00BD58C0">
        <w:rPr>
          <w:rFonts w:ascii="Times New Roman" w:hAnsi="Times New Roman" w:cs="Times New Roman"/>
          <w:sz w:val="24"/>
          <w:szCs w:val="24"/>
        </w:rPr>
        <w:t>s</w:t>
      </w:r>
      <w:r w:rsidR="00D519B9" w:rsidRPr="00BD58C0">
        <w:rPr>
          <w:rFonts w:ascii="Times New Roman" w:hAnsi="Times New Roman" w:cs="Times New Roman"/>
          <w:sz w:val="24"/>
          <w:szCs w:val="24"/>
        </w:rPr>
        <w:t>es the cost of investment in the transmission of electricity to the grid. As a whole,</w:t>
      </w:r>
      <w:r w:rsidR="006B325A" w:rsidRPr="00BD58C0">
        <w:rPr>
          <w:rFonts w:ascii="Times New Roman" w:hAnsi="Times New Roman" w:cs="Times New Roman"/>
          <w:sz w:val="24"/>
          <w:szCs w:val="24"/>
        </w:rPr>
        <w:t xml:space="preserve"> </w:t>
      </w:r>
      <w:r w:rsidR="00D519B9" w:rsidRPr="00BD58C0">
        <w:rPr>
          <w:rFonts w:ascii="Times New Roman" w:hAnsi="Times New Roman" w:cs="Times New Roman"/>
          <w:sz w:val="24"/>
          <w:szCs w:val="24"/>
        </w:rPr>
        <w:t xml:space="preserve">some of the possible solutions suggested in relation to the </w:t>
      </w:r>
      <w:proofErr w:type="spellStart"/>
      <w:r w:rsidR="00D519B9" w:rsidRPr="00BD58C0">
        <w:rPr>
          <w:rFonts w:ascii="Times New Roman" w:hAnsi="Times New Roman" w:cs="Times New Roman"/>
          <w:sz w:val="24"/>
          <w:szCs w:val="24"/>
        </w:rPr>
        <w:t>FiT</w:t>
      </w:r>
      <w:proofErr w:type="spellEnd"/>
      <w:r w:rsidR="00D519B9" w:rsidRPr="00BD58C0">
        <w:rPr>
          <w:rFonts w:ascii="Times New Roman" w:hAnsi="Times New Roman" w:cs="Times New Roman"/>
          <w:sz w:val="24"/>
          <w:szCs w:val="24"/>
        </w:rPr>
        <w:t xml:space="preserve"> </w:t>
      </w:r>
      <w:r w:rsidR="00364B1F" w:rsidRPr="00BD58C0">
        <w:rPr>
          <w:rFonts w:ascii="Times New Roman" w:hAnsi="Times New Roman" w:cs="Times New Roman"/>
          <w:sz w:val="24"/>
          <w:szCs w:val="24"/>
        </w:rPr>
        <w:t>are not viable policy options</w:t>
      </w:r>
      <w:r w:rsidR="00D519B9" w:rsidRPr="00BD58C0">
        <w:rPr>
          <w:rFonts w:ascii="Times New Roman" w:hAnsi="Times New Roman" w:cs="Times New Roman"/>
          <w:sz w:val="24"/>
          <w:szCs w:val="24"/>
        </w:rPr>
        <w:t xml:space="preserve"> </w:t>
      </w:r>
      <w:r w:rsidR="00364B1F" w:rsidRPr="00BD58C0">
        <w:rPr>
          <w:rFonts w:ascii="Times New Roman" w:hAnsi="Times New Roman" w:cs="Times New Roman"/>
          <w:sz w:val="24"/>
          <w:szCs w:val="24"/>
        </w:rPr>
        <w:t>based on the current situation in Malaysia</w:t>
      </w:r>
      <w:r w:rsidR="00D519B9" w:rsidRPr="00BD58C0">
        <w:rPr>
          <w:rFonts w:ascii="Times New Roman" w:hAnsi="Times New Roman" w:cs="Times New Roman"/>
          <w:sz w:val="24"/>
          <w:szCs w:val="24"/>
        </w:rPr>
        <w:t xml:space="preserve">. The remaining possible solutions could </w:t>
      </w:r>
      <w:r w:rsidR="00364B1F" w:rsidRPr="00BD58C0">
        <w:rPr>
          <w:rFonts w:ascii="Times New Roman" w:hAnsi="Times New Roman" w:cs="Times New Roman"/>
          <w:sz w:val="24"/>
          <w:szCs w:val="24"/>
        </w:rPr>
        <w:t xml:space="preserve">nevertheless </w:t>
      </w:r>
      <w:r w:rsidR="00D519B9" w:rsidRPr="00BD58C0">
        <w:rPr>
          <w:rFonts w:ascii="Times New Roman" w:hAnsi="Times New Roman" w:cs="Times New Roman"/>
          <w:sz w:val="24"/>
          <w:szCs w:val="24"/>
        </w:rPr>
        <w:t xml:space="preserve">be considered and usefully improve current policy </w:t>
      </w:r>
      <w:r w:rsidR="00364B1F" w:rsidRPr="00BD58C0">
        <w:rPr>
          <w:rFonts w:ascii="Times New Roman" w:hAnsi="Times New Roman" w:cs="Times New Roman"/>
          <w:sz w:val="24"/>
          <w:szCs w:val="24"/>
        </w:rPr>
        <w:t xml:space="preserve">on </w:t>
      </w:r>
      <w:r w:rsidR="00D519B9" w:rsidRPr="00BD58C0">
        <w:rPr>
          <w:rFonts w:ascii="Times New Roman" w:hAnsi="Times New Roman" w:cs="Times New Roman"/>
          <w:sz w:val="24"/>
          <w:szCs w:val="24"/>
        </w:rPr>
        <w:t>the treatment of POME for energy generation.</w:t>
      </w:r>
    </w:p>
    <w:p w14:paraId="5FE9007E" w14:textId="69881ED2" w:rsidR="0022641A" w:rsidRPr="00BD58C0" w:rsidRDefault="00DB5CB2" w:rsidP="009B792C">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F</w:t>
      </w:r>
      <w:r w:rsidR="004B3F11" w:rsidRPr="00BD58C0">
        <w:rPr>
          <w:rFonts w:ascii="Times New Roman" w:hAnsi="Times New Roman" w:cs="Times New Roman"/>
          <w:sz w:val="24"/>
          <w:szCs w:val="24"/>
        </w:rPr>
        <w:t xml:space="preserve">indings presented in this study </w:t>
      </w:r>
      <w:r w:rsidR="007A30F9" w:rsidRPr="00BD58C0">
        <w:rPr>
          <w:rFonts w:ascii="Times New Roman" w:hAnsi="Times New Roman" w:cs="Times New Roman"/>
          <w:sz w:val="24"/>
          <w:szCs w:val="24"/>
        </w:rPr>
        <w:t>are</w:t>
      </w:r>
      <w:r w:rsidR="004B3F11" w:rsidRPr="00BD58C0">
        <w:rPr>
          <w:rFonts w:ascii="Times New Roman" w:hAnsi="Times New Roman" w:cs="Times New Roman"/>
          <w:sz w:val="24"/>
          <w:szCs w:val="24"/>
        </w:rPr>
        <w:t xml:space="preserve"> crucial for </w:t>
      </w:r>
      <w:r w:rsidR="004A7907" w:rsidRPr="00BD58C0">
        <w:rPr>
          <w:rFonts w:ascii="Times New Roman" w:hAnsi="Times New Roman" w:cs="Times New Roman"/>
          <w:sz w:val="24"/>
          <w:szCs w:val="24"/>
        </w:rPr>
        <w:t xml:space="preserve">investors </w:t>
      </w:r>
      <w:r w:rsidR="001D4760" w:rsidRPr="00BD58C0">
        <w:rPr>
          <w:rFonts w:ascii="Times New Roman" w:hAnsi="Times New Roman" w:cs="Times New Roman"/>
          <w:sz w:val="24"/>
          <w:szCs w:val="24"/>
        </w:rPr>
        <w:t>deciding</w:t>
      </w:r>
      <w:r w:rsidR="004A7907" w:rsidRPr="00BD58C0">
        <w:rPr>
          <w:rFonts w:ascii="Times New Roman" w:hAnsi="Times New Roman" w:cs="Times New Roman"/>
          <w:sz w:val="24"/>
          <w:szCs w:val="24"/>
        </w:rPr>
        <w:t xml:space="preserve"> on </w:t>
      </w:r>
      <w:r w:rsidR="00B678FF" w:rsidRPr="00BD58C0">
        <w:rPr>
          <w:rFonts w:ascii="Times New Roman" w:hAnsi="Times New Roman" w:cs="Times New Roman"/>
          <w:sz w:val="24"/>
          <w:szCs w:val="24"/>
        </w:rPr>
        <w:t xml:space="preserve">the </w:t>
      </w:r>
      <w:r w:rsidR="004A7907" w:rsidRPr="00BD58C0">
        <w:rPr>
          <w:rFonts w:ascii="Times New Roman" w:hAnsi="Times New Roman" w:cs="Times New Roman"/>
          <w:sz w:val="24"/>
          <w:szCs w:val="24"/>
        </w:rPr>
        <w:t xml:space="preserve">technologies to be employed in </w:t>
      </w:r>
      <w:r w:rsidR="00B21804" w:rsidRPr="00BD58C0">
        <w:rPr>
          <w:rFonts w:ascii="Times New Roman" w:hAnsi="Times New Roman" w:cs="Times New Roman"/>
          <w:sz w:val="24"/>
          <w:szCs w:val="24"/>
        </w:rPr>
        <w:t>POMs</w:t>
      </w:r>
      <w:r w:rsidR="00EB7489" w:rsidRPr="00BD58C0">
        <w:rPr>
          <w:rFonts w:ascii="Times New Roman" w:hAnsi="Times New Roman" w:cs="Times New Roman"/>
          <w:sz w:val="24"/>
          <w:szCs w:val="24"/>
        </w:rPr>
        <w:t xml:space="preserve"> as well as helping decision makers/policy makers to make more effective and efficient decisions. </w:t>
      </w:r>
      <w:r w:rsidR="00B678FF" w:rsidRPr="00BD58C0">
        <w:rPr>
          <w:rFonts w:ascii="Times New Roman" w:hAnsi="Times New Roman" w:cs="Times New Roman"/>
          <w:sz w:val="24"/>
          <w:szCs w:val="24"/>
        </w:rPr>
        <w:t>The m</w:t>
      </w:r>
      <w:r w:rsidR="004A7907" w:rsidRPr="00BD58C0">
        <w:rPr>
          <w:rFonts w:ascii="Times New Roman" w:hAnsi="Times New Roman" w:cs="Times New Roman"/>
          <w:sz w:val="24"/>
          <w:szCs w:val="24"/>
        </w:rPr>
        <w:t xml:space="preserve">ajority of investors are </w:t>
      </w:r>
      <w:r w:rsidR="001433A8" w:rsidRPr="00BD58C0">
        <w:rPr>
          <w:rFonts w:ascii="Times New Roman" w:hAnsi="Times New Roman" w:cs="Times New Roman"/>
          <w:sz w:val="24"/>
          <w:szCs w:val="24"/>
        </w:rPr>
        <w:t>sceptical</w:t>
      </w:r>
      <w:r w:rsidR="00F45EA9" w:rsidRPr="00BD58C0">
        <w:rPr>
          <w:rFonts w:ascii="Times New Roman" w:hAnsi="Times New Roman" w:cs="Times New Roman"/>
          <w:sz w:val="24"/>
          <w:szCs w:val="24"/>
        </w:rPr>
        <w:t xml:space="preserve"> when it comes </w:t>
      </w:r>
      <w:r w:rsidR="004A7907" w:rsidRPr="00BD58C0">
        <w:rPr>
          <w:rFonts w:ascii="Times New Roman" w:hAnsi="Times New Roman" w:cs="Times New Roman"/>
          <w:sz w:val="24"/>
          <w:szCs w:val="24"/>
        </w:rPr>
        <w:t>to invest</w:t>
      </w:r>
      <w:r w:rsidR="00F45EA9" w:rsidRPr="00BD58C0">
        <w:rPr>
          <w:rFonts w:ascii="Times New Roman" w:hAnsi="Times New Roman" w:cs="Times New Roman"/>
          <w:sz w:val="24"/>
          <w:szCs w:val="24"/>
        </w:rPr>
        <w:t>ing</w:t>
      </w:r>
      <w:r w:rsidR="004A7907" w:rsidRPr="00BD58C0">
        <w:rPr>
          <w:rFonts w:ascii="Times New Roman" w:hAnsi="Times New Roman" w:cs="Times New Roman"/>
          <w:sz w:val="24"/>
          <w:szCs w:val="24"/>
        </w:rPr>
        <w:t xml:space="preserve"> into </w:t>
      </w:r>
      <w:r w:rsidR="00506261" w:rsidRPr="00BD58C0">
        <w:rPr>
          <w:rFonts w:ascii="Times New Roman" w:hAnsi="Times New Roman" w:cs="Times New Roman"/>
          <w:sz w:val="24"/>
          <w:szCs w:val="24"/>
        </w:rPr>
        <w:t xml:space="preserve">renewable energy </w:t>
      </w:r>
      <w:r w:rsidR="004A7907" w:rsidRPr="00BD58C0">
        <w:rPr>
          <w:rFonts w:ascii="Times New Roman" w:hAnsi="Times New Roman" w:cs="Times New Roman"/>
          <w:sz w:val="24"/>
          <w:szCs w:val="24"/>
        </w:rPr>
        <w:t>technologies</w:t>
      </w:r>
      <w:r w:rsidR="00F45EA9" w:rsidRPr="00BD58C0">
        <w:rPr>
          <w:rFonts w:ascii="Times New Roman" w:hAnsi="Times New Roman" w:cs="Times New Roman"/>
          <w:sz w:val="24"/>
          <w:szCs w:val="24"/>
        </w:rPr>
        <w:t>,</w:t>
      </w:r>
      <w:r w:rsidR="004A7907" w:rsidRPr="00BD58C0">
        <w:rPr>
          <w:rFonts w:ascii="Times New Roman" w:hAnsi="Times New Roman" w:cs="Times New Roman"/>
          <w:sz w:val="24"/>
          <w:szCs w:val="24"/>
        </w:rPr>
        <w:t xml:space="preserve"> as the profitability </w:t>
      </w:r>
      <w:r w:rsidR="00FB552B" w:rsidRPr="00BD58C0">
        <w:rPr>
          <w:rFonts w:ascii="Times New Roman" w:hAnsi="Times New Roman" w:cs="Times New Roman"/>
          <w:sz w:val="24"/>
          <w:szCs w:val="24"/>
        </w:rPr>
        <w:t xml:space="preserve">in </w:t>
      </w:r>
      <w:r w:rsidR="004A7907" w:rsidRPr="00BD58C0">
        <w:rPr>
          <w:rFonts w:ascii="Times New Roman" w:hAnsi="Times New Roman" w:cs="Times New Roman"/>
          <w:sz w:val="24"/>
          <w:szCs w:val="24"/>
        </w:rPr>
        <w:t xml:space="preserve">investing in a new system </w:t>
      </w:r>
      <w:r w:rsidR="00B678FF" w:rsidRPr="00BD58C0">
        <w:rPr>
          <w:rFonts w:ascii="Times New Roman" w:hAnsi="Times New Roman" w:cs="Times New Roman"/>
          <w:sz w:val="24"/>
          <w:szCs w:val="24"/>
        </w:rPr>
        <w:t>is fraught with uncertainty</w:t>
      </w:r>
      <w:r w:rsidR="001A5556" w:rsidRPr="00BD58C0">
        <w:rPr>
          <w:rFonts w:ascii="Times New Roman" w:hAnsi="Times New Roman" w:cs="Times New Roman"/>
          <w:sz w:val="24"/>
          <w:szCs w:val="24"/>
        </w:rPr>
        <w:t xml:space="preserve"> [1</w:t>
      </w:r>
      <w:r w:rsidR="004925A2" w:rsidRPr="00BD58C0">
        <w:rPr>
          <w:rFonts w:ascii="Times New Roman" w:hAnsi="Times New Roman" w:cs="Times New Roman"/>
          <w:sz w:val="24"/>
          <w:szCs w:val="24"/>
        </w:rPr>
        <w:t>9</w:t>
      </w:r>
      <w:r w:rsidR="001A5556" w:rsidRPr="00BD58C0">
        <w:rPr>
          <w:rFonts w:ascii="Times New Roman" w:hAnsi="Times New Roman" w:cs="Times New Roman"/>
          <w:sz w:val="24"/>
          <w:szCs w:val="24"/>
        </w:rPr>
        <w:t>]</w:t>
      </w:r>
      <w:r w:rsidR="004A7907" w:rsidRPr="00BD58C0">
        <w:rPr>
          <w:rFonts w:ascii="Times New Roman" w:hAnsi="Times New Roman" w:cs="Times New Roman"/>
          <w:sz w:val="24"/>
          <w:szCs w:val="24"/>
        </w:rPr>
        <w:t xml:space="preserve">. </w:t>
      </w:r>
      <w:r w:rsidR="00C76444" w:rsidRPr="00BD58C0">
        <w:rPr>
          <w:rFonts w:ascii="Times New Roman" w:hAnsi="Times New Roman" w:cs="Times New Roman"/>
          <w:sz w:val="24"/>
          <w:szCs w:val="24"/>
        </w:rPr>
        <w:t>Findings from this</w:t>
      </w:r>
      <w:r w:rsidR="004A7907" w:rsidRPr="00BD58C0">
        <w:rPr>
          <w:rFonts w:ascii="Times New Roman" w:hAnsi="Times New Roman" w:cs="Times New Roman"/>
          <w:sz w:val="24"/>
          <w:szCs w:val="24"/>
        </w:rPr>
        <w:t xml:space="preserve"> study </w:t>
      </w:r>
      <w:r w:rsidR="00FB552B" w:rsidRPr="00BD58C0">
        <w:rPr>
          <w:rFonts w:ascii="Times New Roman" w:hAnsi="Times New Roman" w:cs="Times New Roman"/>
          <w:sz w:val="24"/>
          <w:szCs w:val="24"/>
        </w:rPr>
        <w:t xml:space="preserve">are </w:t>
      </w:r>
      <w:r w:rsidR="004A7907" w:rsidRPr="00BD58C0">
        <w:rPr>
          <w:rFonts w:ascii="Times New Roman" w:hAnsi="Times New Roman" w:cs="Times New Roman"/>
          <w:sz w:val="24"/>
          <w:szCs w:val="24"/>
        </w:rPr>
        <w:t xml:space="preserve">able to provide useful information </w:t>
      </w:r>
      <w:r w:rsidR="004A7907" w:rsidRPr="00BD58C0">
        <w:rPr>
          <w:rFonts w:ascii="Times New Roman" w:hAnsi="Times New Roman" w:cs="Times New Roman"/>
          <w:sz w:val="24"/>
          <w:szCs w:val="24"/>
        </w:rPr>
        <w:lastRenderedPageBreak/>
        <w:t xml:space="preserve">reflecting the current </w:t>
      </w:r>
      <w:r w:rsidR="001469BF" w:rsidRPr="00BD58C0">
        <w:rPr>
          <w:rFonts w:ascii="Times New Roman" w:hAnsi="Times New Roman" w:cs="Times New Roman"/>
          <w:sz w:val="24"/>
          <w:szCs w:val="24"/>
        </w:rPr>
        <w:t xml:space="preserve">situation </w:t>
      </w:r>
      <w:r w:rsidR="004A7907" w:rsidRPr="00BD58C0">
        <w:rPr>
          <w:rFonts w:ascii="Times New Roman" w:hAnsi="Times New Roman" w:cs="Times New Roman"/>
          <w:sz w:val="24"/>
          <w:szCs w:val="24"/>
        </w:rPr>
        <w:t xml:space="preserve">in Malaysia </w:t>
      </w:r>
      <w:r w:rsidR="001469BF" w:rsidRPr="00BD58C0">
        <w:rPr>
          <w:rFonts w:ascii="Times New Roman" w:hAnsi="Times New Roman" w:cs="Times New Roman"/>
          <w:sz w:val="24"/>
          <w:szCs w:val="24"/>
        </w:rPr>
        <w:t xml:space="preserve">and can be used to </w:t>
      </w:r>
      <w:r w:rsidR="00B678FF" w:rsidRPr="00BD58C0">
        <w:rPr>
          <w:rFonts w:ascii="Times New Roman" w:hAnsi="Times New Roman" w:cs="Times New Roman"/>
          <w:sz w:val="24"/>
          <w:szCs w:val="24"/>
        </w:rPr>
        <w:t xml:space="preserve">inform investors’ </w:t>
      </w:r>
      <w:r w:rsidR="004A7907" w:rsidRPr="00BD58C0">
        <w:rPr>
          <w:rFonts w:ascii="Times New Roman" w:hAnsi="Times New Roman" w:cs="Times New Roman"/>
          <w:sz w:val="24"/>
          <w:szCs w:val="24"/>
        </w:rPr>
        <w:t>decision</w:t>
      </w:r>
      <w:r w:rsidR="001469BF" w:rsidRPr="00BD58C0">
        <w:rPr>
          <w:rFonts w:ascii="Times New Roman" w:hAnsi="Times New Roman" w:cs="Times New Roman"/>
          <w:sz w:val="24"/>
          <w:szCs w:val="24"/>
        </w:rPr>
        <w:t xml:space="preserve"> making</w:t>
      </w:r>
      <w:r w:rsidR="004A7907" w:rsidRPr="00BD58C0">
        <w:rPr>
          <w:rFonts w:ascii="Times New Roman" w:hAnsi="Times New Roman" w:cs="Times New Roman"/>
          <w:sz w:val="24"/>
          <w:szCs w:val="24"/>
        </w:rPr>
        <w:t xml:space="preserve">. </w:t>
      </w:r>
      <w:r w:rsidR="00B678FF" w:rsidRPr="00BD58C0">
        <w:rPr>
          <w:rFonts w:ascii="Times New Roman" w:hAnsi="Times New Roman" w:cs="Times New Roman"/>
          <w:sz w:val="24"/>
          <w:szCs w:val="24"/>
        </w:rPr>
        <w:t>M</w:t>
      </w:r>
      <w:r w:rsidR="00414977" w:rsidRPr="00BD58C0">
        <w:rPr>
          <w:rFonts w:ascii="Times New Roman" w:hAnsi="Times New Roman" w:cs="Times New Roman"/>
          <w:sz w:val="24"/>
          <w:szCs w:val="24"/>
        </w:rPr>
        <w:t xml:space="preserve">ost previous studies did not perform </w:t>
      </w:r>
      <w:r w:rsidR="00B678FF" w:rsidRPr="00BD58C0">
        <w:rPr>
          <w:rFonts w:ascii="Times New Roman" w:hAnsi="Times New Roman" w:cs="Times New Roman"/>
          <w:sz w:val="24"/>
          <w:szCs w:val="24"/>
        </w:rPr>
        <w:t xml:space="preserve">an </w:t>
      </w:r>
      <w:r w:rsidR="00414977" w:rsidRPr="00BD58C0">
        <w:rPr>
          <w:rFonts w:ascii="Times New Roman" w:hAnsi="Times New Roman" w:cs="Times New Roman"/>
          <w:sz w:val="24"/>
          <w:szCs w:val="24"/>
        </w:rPr>
        <w:t>in-depth analysis on the economic aspects due to insufficient information</w:t>
      </w:r>
      <w:r w:rsidR="00B678FF" w:rsidRPr="00BD58C0">
        <w:rPr>
          <w:rFonts w:ascii="Times New Roman" w:hAnsi="Times New Roman" w:cs="Times New Roman"/>
          <w:sz w:val="24"/>
          <w:szCs w:val="24"/>
        </w:rPr>
        <w:t xml:space="preserve">, so this study extends previous knowledge on the </w:t>
      </w:r>
      <w:r w:rsidR="00414977" w:rsidRPr="00BD58C0">
        <w:rPr>
          <w:rFonts w:ascii="Times New Roman" w:hAnsi="Times New Roman" w:cs="Times New Roman"/>
          <w:sz w:val="24"/>
          <w:szCs w:val="24"/>
        </w:rPr>
        <w:t xml:space="preserve">current situation </w:t>
      </w:r>
      <w:r w:rsidR="001469BF" w:rsidRPr="00BD58C0">
        <w:rPr>
          <w:rFonts w:ascii="Times New Roman" w:hAnsi="Times New Roman" w:cs="Times New Roman"/>
          <w:sz w:val="24"/>
          <w:szCs w:val="24"/>
        </w:rPr>
        <w:t xml:space="preserve">of </w:t>
      </w:r>
      <w:r w:rsidR="00B21804" w:rsidRPr="00BD58C0">
        <w:rPr>
          <w:rFonts w:ascii="Times New Roman" w:hAnsi="Times New Roman" w:cs="Times New Roman"/>
          <w:sz w:val="24"/>
          <w:szCs w:val="24"/>
        </w:rPr>
        <w:t>POMs</w:t>
      </w:r>
      <w:r w:rsidR="00414977" w:rsidRPr="00BD58C0">
        <w:rPr>
          <w:rFonts w:ascii="Times New Roman" w:hAnsi="Times New Roman" w:cs="Times New Roman"/>
          <w:sz w:val="24"/>
          <w:szCs w:val="24"/>
        </w:rPr>
        <w:t xml:space="preserve"> in Malaysia.</w:t>
      </w:r>
      <w:r w:rsidR="007D19AF" w:rsidRPr="00BD58C0">
        <w:rPr>
          <w:rFonts w:ascii="Times New Roman" w:hAnsi="Times New Roman" w:cs="Times New Roman"/>
          <w:sz w:val="24"/>
          <w:szCs w:val="24"/>
        </w:rPr>
        <w:t xml:space="preserve"> </w:t>
      </w:r>
    </w:p>
    <w:p w14:paraId="4D3635B0" w14:textId="77777777" w:rsidR="005811D6" w:rsidRPr="00BD58C0" w:rsidRDefault="00414977" w:rsidP="009B792C">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In this study, the system boundary for bot</w:t>
      </w:r>
      <w:r w:rsidR="00D4044F" w:rsidRPr="00BD58C0">
        <w:rPr>
          <w:rFonts w:ascii="Times New Roman" w:hAnsi="Times New Roman" w:cs="Times New Roman"/>
          <w:sz w:val="24"/>
          <w:szCs w:val="24"/>
        </w:rPr>
        <w:t>h</w:t>
      </w:r>
      <w:r w:rsidRPr="00BD58C0">
        <w:rPr>
          <w:rFonts w:ascii="Times New Roman" w:hAnsi="Times New Roman" w:cs="Times New Roman"/>
          <w:sz w:val="24"/>
          <w:szCs w:val="24"/>
        </w:rPr>
        <w:t xml:space="preserve"> </w:t>
      </w:r>
      <w:r w:rsidR="00B21804" w:rsidRPr="00BD58C0">
        <w:rPr>
          <w:rFonts w:ascii="Times New Roman" w:hAnsi="Times New Roman" w:cs="Times New Roman"/>
          <w:sz w:val="24"/>
          <w:szCs w:val="24"/>
        </w:rPr>
        <w:t>POMs</w:t>
      </w:r>
      <w:r w:rsidRPr="00BD58C0">
        <w:rPr>
          <w:rFonts w:ascii="Times New Roman" w:hAnsi="Times New Roman" w:cs="Times New Roman"/>
          <w:sz w:val="24"/>
          <w:szCs w:val="24"/>
        </w:rPr>
        <w:t xml:space="preserve"> did not cover the usage of sludge for composting</w:t>
      </w:r>
      <w:r w:rsidR="00B678FF" w:rsidRPr="00BD58C0">
        <w:rPr>
          <w:rFonts w:ascii="Times New Roman" w:hAnsi="Times New Roman" w:cs="Times New Roman"/>
          <w:sz w:val="24"/>
          <w:szCs w:val="24"/>
        </w:rPr>
        <w:t>; this was</w:t>
      </w:r>
      <w:r w:rsidRPr="00BD58C0">
        <w:rPr>
          <w:rFonts w:ascii="Times New Roman" w:hAnsi="Times New Roman" w:cs="Times New Roman"/>
          <w:sz w:val="24"/>
          <w:szCs w:val="24"/>
        </w:rPr>
        <w:t xml:space="preserve"> due to insufficient information. </w:t>
      </w:r>
      <w:r w:rsidR="00B21804" w:rsidRPr="00BD58C0">
        <w:rPr>
          <w:rFonts w:ascii="Times New Roman" w:hAnsi="Times New Roman" w:cs="Times New Roman"/>
          <w:sz w:val="24"/>
          <w:szCs w:val="24"/>
        </w:rPr>
        <w:t>POMs</w:t>
      </w:r>
      <w:r w:rsidRPr="00BD58C0">
        <w:rPr>
          <w:rFonts w:ascii="Times New Roman" w:hAnsi="Times New Roman" w:cs="Times New Roman"/>
          <w:sz w:val="24"/>
          <w:szCs w:val="24"/>
        </w:rPr>
        <w:t xml:space="preserve"> </w:t>
      </w:r>
      <w:r w:rsidR="00B678FF" w:rsidRPr="00BD58C0">
        <w:rPr>
          <w:rFonts w:ascii="Times New Roman" w:hAnsi="Times New Roman" w:cs="Times New Roman"/>
          <w:sz w:val="24"/>
          <w:szCs w:val="24"/>
        </w:rPr>
        <w:t>that</w:t>
      </w:r>
      <w:r w:rsidRPr="00BD58C0">
        <w:rPr>
          <w:rFonts w:ascii="Times New Roman" w:hAnsi="Times New Roman" w:cs="Times New Roman"/>
          <w:sz w:val="24"/>
          <w:szCs w:val="24"/>
        </w:rPr>
        <w:t xml:space="preserve"> sell compost </w:t>
      </w:r>
      <w:r w:rsidR="00B678FF" w:rsidRPr="00BD58C0">
        <w:rPr>
          <w:rFonts w:ascii="Times New Roman" w:hAnsi="Times New Roman" w:cs="Times New Roman"/>
          <w:sz w:val="24"/>
          <w:szCs w:val="24"/>
        </w:rPr>
        <w:t xml:space="preserve">could obtain </w:t>
      </w:r>
      <w:r w:rsidRPr="00BD58C0">
        <w:rPr>
          <w:rFonts w:ascii="Times New Roman" w:hAnsi="Times New Roman" w:cs="Times New Roman"/>
          <w:sz w:val="24"/>
          <w:szCs w:val="24"/>
        </w:rPr>
        <w:t xml:space="preserve">additional revenue to the system besides the sales of electricity to the grid. </w:t>
      </w:r>
      <w:r w:rsidR="001469BF" w:rsidRPr="00BD58C0">
        <w:rPr>
          <w:rFonts w:ascii="Times New Roman" w:hAnsi="Times New Roman" w:cs="Times New Roman"/>
          <w:sz w:val="24"/>
          <w:szCs w:val="24"/>
        </w:rPr>
        <w:t xml:space="preserve">The present </w:t>
      </w:r>
      <w:r w:rsidRPr="00BD58C0">
        <w:rPr>
          <w:rFonts w:ascii="Times New Roman" w:hAnsi="Times New Roman" w:cs="Times New Roman"/>
          <w:sz w:val="24"/>
          <w:szCs w:val="24"/>
        </w:rPr>
        <w:t>study</w:t>
      </w:r>
      <w:r w:rsidR="00D4044F" w:rsidRPr="00BD58C0">
        <w:rPr>
          <w:rFonts w:ascii="Times New Roman" w:hAnsi="Times New Roman" w:cs="Times New Roman"/>
          <w:sz w:val="24"/>
          <w:szCs w:val="24"/>
        </w:rPr>
        <w:t xml:space="preserve"> </w:t>
      </w:r>
      <w:r w:rsidR="00844D2A" w:rsidRPr="00BD58C0">
        <w:rPr>
          <w:rFonts w:ascii="Times New Roman" w:hAnsi="Times New Roman" w:cs="Times New Roman"/>
          <w:sz w:val="24"/>
          <w:szCs w:val="24"/>
        </w:rPr>
        <w:t>wa</w:t>
      </w:r>
      <w:r w:rsidR="00D4044F" w:rsidRPr="00BD58C0">
        <w:rPr>
          <w:rFonts w:ascii="Times New Roman" w:hAnsi="Times New Roman" w:cs="Times New Roman"/>
          <w:sz w:val="24"/>
          <w:szCs w:val="24"/>
        </w:rPr>
        <w:t>s</w:t>
      </w:r>
      <w:r w:rsidRPr="00BD58C0">
        <w:rPr>
          <w:rFonts w:ascii="Times New Roman" w:hAnsi="Times New Roman" w:cs="Times New Roman"/>
          <w:sz w:val="24"/>
          <w:szCs w:val="24"/>
        </w:rPr>
        <w:t xml:space="preserve"> limited to two commercially available POME treatment technologies in Malaysia</w:t>
      </w:r>
    </w:p>
    <w:p w14:paraId="305EEEDA" w14:textId="3D5E35F3" w:rsidR="00414977" w:rsidRPr="00BD58C0" w:rsidRDefault="00414977" w:rsidP="009B792C">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Looking into </w:t>
      </w:r>
      <w:r w:rsidR="007F161F" w:rsidRPr="00BD58C0">
        <w:rPr>
          <w:rFonts w:ascii="Times New Roman" w:hAnsi="Times New Roman" w:cs="Times New Roman"/>
          <w:sz w:val="24"/>
          <w:szCs w:val="24"/>
        </w:rPr>
        <w:t xml:space="preserve">other </w:t>
      </w:r>
      <w:r w:rsidRPr="00BD58C0">
        <w:rPr>
          <w:rFonts w:ascii="Times New Roman" w:hAnsi="Times New Roman" w:cs="Times New Roman"/>
          <w:sz w:val="24"/>
          <w:szCs w:val="24"/>
        </w:rPr>
        <w:t>treatment technologies</w:t>
      </w:r>
      <w:r w:rsidR="007F161F"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could </w:t>
      </w:r>
      <w:r w:rsidR="00B678FF" w:rsidRPr="00BD58C0">
        <w:rPr>
          <w:rFonts w:ascii="Times New Roman" w:hAnsi="Times New Roman" w:cs="Times New Roman"/>
          <w:sz w:val="24"/>
          <w:szCs w:val="24"/>
        </w:rPr>
        <w:t>provide a wider economic overview of potential options</w:t>
      </w:r>
      <w:r w:rsidR="00357584" w:rsidRPr="00BD58C0">
        <w:rPr>
          <w:rFonts w:ascii="Times New Roman" w:hAnsi="Times New Roman" w:cs="Times New Roman"/>
          <w:sz w:val="24"/>
          <w:szCs w:val="24"/>
        </w:rPr>
        <w:t xml:space="preserve">. </w:t>
      </w:r>
      <w:r w:rsidR="00B678FF" w:rsidRPr="00BD58C0">
        <w:rPr>
          <w:rFonts w:ascii="Times New Roman" w:hAnsi="Times New Roman" w:cs="Times New Roman"/>
          <w:sz w:val="24"/>
          <w:szCs w:val="24"/>
        </w:rPr>
        <w:t xml:space="preserve">Some </w:t>
      </w:r>
      <w:r w:rsidR="00B21804" w:rsidRPr="00BD58C0">
        <w:rPr>
          <w:rFonts w:ascii="Times New Roman" w:hAnsi="Times New Roman" w:cs="Times New Roman"/>
          <w:sz w:val="24"/>
          <w:szCs w:val="24"/>
        </w:rPr>
        <w:t>POMs</w:t>
      </w:r>
      <w:r w:rsidR="00357584" w:rsidRPr="00BD58C0">
        <w:rPr>
          <w:rFonts w:ascii="Times New Roman" w:hAnsi="Times New Roman" w:cs="Times New Roman"/>
          <w:sz w:val="24"/>
          <w:szCs w:val="24"/>
        </w:rPr>
        <w:t xml:space="preserve"> use a portion of the biogas generated to heat the boilers</w:t>
      </w:r>
      <w:r w:rsidR="00B678FF" w:rsidRPr="00BD58C0">
        <w:rPr>
          <w:rFonts w:ascii="Times New Roman" w:hAnsi="Times New Roman" w:cs="Times New Roman"/>
          <w:sz w:val="24"/>
          <w:szCs w:val="24"/>
        </w:rPr>
        <w:t>,</w:t>
      </w:r>
      <w:r w:rsidR="00357584" w:rsidRPr="00BD58C0">
        <w:rPr>
          <w:rFonts w:ascii="Times New Roman" w:hAnsi="Times New Roman" w:cs="Times New Roman"/>
          <w:sz w:val="24"/>
          <w:szCs w:val="24"/>
        </w:rPr>
        <w:t xml:space="preserve"> substituting the usage of palm kernel shells (PKS)</w:t>
      </w:r>
      <w:r w:rsidR="00E736B4" w:rsidRPr="00BD58C0">
        <w:rPr>
          <w:rFonts w:ascii="Times New Roman" w:hAnsi="Times New Roman" w:cs="Times New Roman"/>
          <w:sz w:val="24"/>
          <w:szCs w:val="24"/>
        </w:rPr>
        <w:t xml:space="preserve"> [</w:t>
      </w:r>
      <w:r w:rsidR="00AF6B9A" w:rsidRPr="00BD58C0">
        <w:rPr>
          <w:rFonts w:ascii="Times New Roman" w:hAnsi="Times New Roman" w:cs="Times New Roman"/>
          <w:sz w:val="24"/>
          <w:szCs w:val="24"/>
        </w:rPr>
        <w:t>20</w:t>
      </w:r>
      <w:r w:rsidR="00E736B4" w:rsidRPr="00BD58C0">
        <w:rPr>
          <w:rFonts w:ascii="Times New Roman" w:hAnsi="Times New Roman" w:cs="Times New Roman"/>
          <w:sz w:val="24"/>
          <w:szCs w:val="24"/>
        </w:rPr>
        <w:t>]</w:t>
      </w:r>
      <w:r w:rsidR="00357584" w:rsidRPr="00BD58C0">
        <w:rPr>
          <w:rFonts w:ascii="Times New Roman" w:hAnsi="Times New Roman" w:cs="Times New Roman"/>
          <w:sz w:val="24"/>
          <w:szCs w:val="24"/>
        </w:rPr>
        <w:t xml:space="preserve">. In those cases, </w:t>
      </w:r>
      <w:r w:rsidR="007B4803" w:rsidRPr="00BD58C0">
        <w:rPr>
          <w:rFonts w:ascii="Times New Roman" w:hAnsi="Times New Roman" w:cs="Times New Roman"/>
          <w:sz w:val="24"/>
          <w:szCs w:val="24"/>
        </w:rPr>
        <w:t xml:space="preserve">unused </w:t>
      </w:r>
      <w:r w:rsidR="00357584" w:rsidRPr="00BD58C0">
        <w:rPr>
          <w:rFonts w:ascii="Times New Roman" w:hAnsi="Times New Roman" w:cs="Times New Roman"/>
          <w:sz w:val="24"/>
          <w:szCs w:val="24"/>
        </w:rPr>
        <w:t xml:space="preserve">PKS </w:t>
      </w:r>
      <w:r w:rsidR="00B678FF" w:rsidRPr="00BD58C0">
        <w:rPr>
          <w:rFonts w:ascii="Times New Roman" w:hAnsi="Times New Roman" w:cs="Times New Roman"/>
          <w:sz w:val="24"/>
          <w:szCs w:val="24"/>
        </w:rPr>
        <w:t xml:space="preserve">could </w:t>
      </w:r>
      <w:r w:rsidR="00357584" w:rsidRPr="00BD58C0">
        <w:rPr>
          <w:rFonts w:ascii="Times New Roman" w:hAnsi="Times New Roman" w:cs="Times New Roman"/>
          <w:sz w:val="24"/>
          <w:szCs w:val="24"/>
        </w:rPr>
        <w:t>be sold</w:t>
      </w:r>
      <w:r w:rsidR="00B678FF" w:rsidRPr="00BD58C0">
        <w:rPr>
          <w:rFonts w:ascii="Times New Roman" w:hAnsi="Times New Roman" w:cs="Times New Roman"/>
          <w:sz w:val="24"/>
          <w:szCs w:val="24"/>
        </w:rPr>
        <w:t>,</w:t>
      </w:r>
      <w:r w:rsidR="00357584" w:rsidRPr="00BD58C0">
        <w:rPr>
          <w:rFonts w:ascii="Times New Roman" w:hAnsi="Times New Roman" w:cs="Times New Roman"/>
          <w:sz w:val="24"/>
          <w:szCs w:val="24"/>
        </w:rPr>
        <w:t xml:space="preserve"> </w:t>
      </w:r>
      <w:r w:rsidR="007B4803" w:rsidRPr="00BD58C0">
        <w:rPr>
          <w:rFonts w:ascii="Times New Roman" w:hAnsi="Times New Roman" w:cs="Times New Roman"/>
          <w:sz w:val="24"/>
          <w:szCs w:val="24"/>
        </w:rPr>
        <w:t>as the</w:t>
      </w:r>
      <w:r w:rsidR="00D02900" w:rsidRPr="00BD58C0">
        <w:rPr>
          <w:rFonts w:ascii="Times New Roman" w:hAnsi="Times New Roman" w:cs="Times New Roman"/>
          <w:sz w:val="24"/>
          <w:szCs w:val="24"/>
        </w:rPr>
        <w:t xml:space="preserve"> unused PKS</w:t>
      </w:r>
      <w:r w:rsidR="007B4803" w:rsidRPr="00BD58C0">
        <w:rPr>
          <w:rFonts w:ascii="Times New Roman" w:hAnsi="Times New Roman" w:cs="Times New Roman"/>
          <w:sz w:val="24"/>
          <w:szCs w:val="24"/>
        </w:rPr>
        <w:t xml:space="preserve"> have</w:t>
      </w:r>
      <w:r w:rsidR="00357584" w:rsidRPr="00BD58C0">
        <w:rPr>
          <w:rFonts w:ascii="Times New Roman" w:hAnsi="Times New Roman" w:cs="Times New Roman"/>
          <w:sz w:val="24"/>
          <w:szCs w:val="24"/>
        </w:rPr>
        <w:t xml:space="preserve"> a g</w:t>
      </w:r>
      <w:r w:rsidR="007B4803" w:rsidRPr="00BD58C0">
        <w:rPr>
          <w:rFonts w:ascii="Times New Roman" w:hAnsi="Times New Roman" w:cs="Times New Roman"/>
          <w:sz w:val="24"/>
          <w:szCs w:val="24"/>
        </w:rPr>
        <w:t>ood</w:t>
      </w:r>
      <w:r w:rsidR="00357584" w:rsidRPr="00BD58C0">
        <w:rPr>
          <w:rFonts w:ascii="Times New Roman" w:hAnsi="Times New Roman" w:cs="Times New Roman"/>
          <w:sz w:val="24"/>
          <w:szCs w:val="24"/>
        </w:rPr>
        <w:t xml:space="preserve"> </w:t>
      </w:r>
      <w:r w:rsidR="00215F0F" w:rsidRPr="00BD58C0">
        <w:rPr>
          <w:rFonts w:ascii="Times New Roman" w:hAnsi="Times New Roman" w:cs="Times New Roman"/>
          <w:sz w:val="24"/>
          <w:szCs w:val="24"/>
        </w:rPr>
        <w:t>market value</w:t>
      </w:r>
      <w:r w:rsidR="00357584" w:rsidRPr="00BD58C0">
        <w:rPr>
          <w:rFonts w:ascii="Times New Roman" w:hAnsi="Times New Roman" w:cs="Times New Roman"/>
          <w:sz w:val="24"/>
          <w:szCs w:val="24"/>
        </w:rPr>
        <w:t xml:space="preserve">. This could be </w:t>
      </w:r>
      <w:r w:rsidR="00215F0F" w:rsidRPr="00BD58C0">
        <w:rPr>
          <w:rFonts w:ascii="Times New Roman" w:hAnsi="Times New Roman" w:cs="Times New Roman"/>
          <w:sz w:val="24"/>
          <w:szCs w:val="24"/>
        </w:rPr>
        <w:t>another contributor to</w:t>
      </w:r>
      <w:r w:rsidR="00357584" w:rsidRPr="00BD58C0">
        <w:rPr>
          <w:rFonts w:ascii="Times New Roman" w:hAnsi="Times New Roman" w:cs="Times New Roman"/>
          <w:sz w:val="24"/>
          <w:szCs w:val="24"/>
        </w:rPr>
        <w:t xml:space="preserve"> the revenues gained</w:t>
      </w:r>
      <w:r w:rsidR="00F45EA9" w:rsidRPr="00BD58C0">
        <w:rPr>
          <w:rFonts w:ascii="Times New Roman" w:hAnsi="Times New Roman" w:cs="Times New Roman"/>
          <w:sz w:val="24"/>
          <w:szCs w:val="24"/>
        </w:rPr>
        <w:t>,</w:t>
      </w:r>
      <w:r w:rsidR="00357584" w:rsidRPr="00BD58C0">
        <w:rPr>
          <w:rFonts w:ascii="Times New Roman" w:hAnsi="Times New Roman" w:cs="Times New Roman"/>
          <w:sz w:val="24"/>
          <w:szCs w:val="24"/>
        </w:rPr>
        <w:t xml:space="preserve"> which could definitely improve the NPV, ROI and PP</w:t>
      </w:r>
      <w:r w:rsidR="00E736B4" w:rsidRPr="00BD58C0">
        <w:rPr>
          <w:rFonts w:ascii="Times New Roman" w:hAnsi="Times New Roman" w:cs="Times New Roman"/>
          <w:sz w:val="24"/>
          <w:szCs w:val="24"/>
        </w:rPr>
        <w:t xml:space="preserve"> [</w:t>
      </w:r>
      <w:r w:rsidR="00041C87" w:rsidRPr="00BD58C0">
        <w:rPr>
          <w:rFonts w:ascii="Times New Roman" w:hAnsi="Times New Roman" w:cs="Times New Roman"/>
          <w:sz w:val="24"/>
          <w:szCs w:val="24"/>
        </w:rPr>
        <w:t>20</w:t>
      </w:r>
      <w:r w:rsidR="00E736B4" w:rsidRPr="00BD58C0">
        <w:rPr>
          <w:rFonts w:ascii="Times New Roman" w:hAnsi="Times New Roman" w:cs="Times New Roman"/>
          <w:sz w:val="24"/>
          <w:szCs w:val="24"/>
        </w:rPr>
        <w:t>]</w:t>
      </w:r>
      <w:r w:rsidR="00357584" w:rsidRPr="00BD58C0">
        <w:rPr>
          <w:rFonts w:ascii="Times New Roman" w:hAnsi="Times New Roman" w:cs="Times New Roman"/>
          <w:sz w:val="24"/>
          <w:szCs w:val="24"/>
        </w:rPr>
        <w:t xml:space="preserve">. </w:t>
      </w:r>
      <w:r w:rsidR="00E34E1E" w:rsidRPr="00BD58C0">
        <w:rPr>
          <w:rFonts w:ascii="Times New Roman" w:hAnsi="Times New Roman" w:cs="Times New Roman"/>
          <w:sz w:val="24"/>
          <w:szCs w:val="24"/>
        </w:rPr>
        <w:t>As</w:t>
      </w:r>
      <w:r w:rsidR="00357584" w:rsidRPr="00BD58C0">
        <w:rPr>
          <w:rFonts w:ascii="Times New Roman" w:hAnsi="Times New Roman" w:cs="Times New Roman"/>
          <w:sz w:val="24"/>
          <w:szCs w:val="24"/>
        </w:rPr>
        <w:t xml:space="preserve"> both </w:t>
      </w:r>
      <w:r w:rsidR="00B21804" w:rsidRPr="00BD58C0">
        <w:rPr>
          <w:rFonts w:ascii="Times New Roman" w:hAnsi="Times New Roman" w:cs="Times New Roman"/>
          <w:sz w:val="24"/>
          <w:szCs w:val="24"/>
        </w:rPr>
        <w:t>POMs</w:t>
      </w:r>
      <w:r w:rsidR="00BD0C33" w:rsidRPr="00BD58C0">
        <w:rPr>
          <w:rFonts w:ascii="Times New Roman" w:hAnsi="Times New Roman" w:cs="Times New Roman"/>
          <w:sz w:val="24"/>
          <w:szCs w:val="24"/>
        </w:rPr>
        <w:t xml:space="preserve"> </w:t>
      </w:r>
      <w:r w:rsidR="00357584" w:rsidRPr="00BD58C0">
        <w:rPr>
          <w:rFonts w:ascii="Times New Roman" w:hAnsi="Times New Roman" w:cs="Times New Roman"/>
          <w:sz w:val="24"/>
          <w:szCs w:val="24"/>
        </w:rPr>
        <w:t>in this study did not utilise biogas to heat the boiler</w:t>
      </w:r>
      <w:r w:rsidR="00215F0F" w:rsidRPr="00BD58C0">
        <w:rPr>
          <w:rFonts w:ascii="Times New Roman" w:hAnsi="Times New Roman" w:cs="Times New Roman"/>
          <w:sz w:val="24"/>
          <w:szCs w:val="24"/>
        </w:rPr>
        <w:t>s</w:t>
      </w:r>
      <w:r w:rsidR="00357584" w:rsidRPr="00BD58C0">
        <w:rPr>
          <w:rFonts w:ascii="Times New Roman" w:hAnsi="Times New Roman" w:cs="Times New Roman"/>
          <w:sz w:val="24"/>
          <w:szCs w:val="24"/>
        </w:rPr>
        <w:t xml:space="preserve">, future studies may look into </w:t>
      </w:r>
      <w:r w:rsidR="00B21804" w:rsidRPr="00BD58C0">
        <w:rPr>
          <w:rFonts w:ascii="Times New Roman" w:hAnsi="Times New Roman" w:cs="Times New Roman"/>
          <w:sz w:val="24"/>
          <w:szCs w:val="24"/>
        </w:rPr>
        <w:t>POMs</w:t>
      </w:r>
      <w:r w:rsidR="00357584" w:rsidRPr="00BD58C0">
        <w:rPr>
          <w:rFonts w:ascii="Times New Roman" w:hAnsi="Times New Roman" w:cs="Times New Roman"/>
          <w:sz w:val="24"/>
          <w:szCs w:val="24"/>
        </w:rPr>
        <w:t xml:space="preserve"> </w:t>
      </w:r>
      <w:r w:rsidR="00F45EA9" w:rsidRPr="00BD58C0">
        <w:rPr>
          <w:rFonts w:ascii="Times New Roman" w:hAnsi="Times New Roman" w:cs="Times New Roman"/>
          <w:sz w:val="24"/>
          <w:szCs w:val="24"/>
        </w:rPr>
        <w:t>with</w:t>
      </w:r>
      <w:r w:rsidR="00964AA7" w:rsidRPr="00BD58C0">
        <w:rPr>
          <w:rFonts w:ascii="Times New Roman" w:hAnsi="Times New Roman" w:cs="Times New Roman"/>
          <w:sz w:val="24"/>
          <w:szCs w:val="24"/>
        </w:rPr>
        <w:t xml:space="preserve"> different pathway</w:t>
      </w:r>
      <w:r w:rsidR="0085096A" w:rsidRPr="00BD58C0">
        <w:rPr>
          <w:rFonts w:ascii="Times New Roman" w:hAnsi="Times New Roman" w:cs="Times New Roman"/>
          <w:sz w:val="24"/>
          <w:szCs w:val="24"/>
        </w:rPr>
        <w:t>s</w:t>
      </w:r>
      <w:r w:rsidR="00964AA7" w:rsidRPr="00BD58C0">
        <w:rPr>
          <w:rFonts w:ascii="Times New Roman" w:hAnsi="Times New Roman" w:cs="Times New Roman"/>
          <w:sz w:val="24"/>
          <w:szCs w:val="24"/>
        </w:rPr>
        <w:t xml:space="preserve"> </w:t>
      </w:r>
      <w:r w:rsidR="00357584" w:rsidRPr="00BD58C0">
        <w:rPr>
          <w:rFonts w:ascii="Times New Roman" w:hAnsi="Times New Roman" w:cs="Times New Roman"/>
          <w:sz w:val="24"/>
          <w:szCs w:val="24"/>
        </w:rPr>
        <w:t xml:space="preserve">for better comparison. </w:t>
      </w:r>
      <w:r w:rsidR="00364F8C" w:rsidRPr="00BD58C0">
        <w:rPr>
          <w:rFonts w:ascii="Times New Roman" w:hAnsi="Times New Roman" w:cs="Times New Roman"/>
          <w:sz w:val="24"/>
          <w:szCs w:val="24"/>
        </w:rPr>
        <w:t>D</w:t>
      </w:r>
      <w:r w:rsidR="0021170B" w:rsidRPr="00BD58C0">
        <w:rPr>
          <w:rFonts w:ascii="Times New Roman" w:hAnsi="Times New Roman" w:cs="Times New Roman"/>
          <w:sz w:val="24"/>
          <w:szCs w:val="24"/>
        </w:rPr>
        <w:t xml:space="preserve">ata </w:t>
      </w:r>
      <w:r w:rsidR="0013682F" w:rsidRPr="00BD58C0">
        <w:rPr>
          <w:rFonts w:ascii="Times New Roman" w:hAnsi="Times New Roman" w:cs="Times New Roman"/>
          <w:sz w:val="24"/>
          <w:szCs w:val="24"/>
        </w:rPr>
        <w:t xml:space="preserve">used </w:t>
      </w:r>
      <w:r w:rsidR="0021170B" w:rsidRPr="00BD58C0">
        <w:rPr>
          <w:rFonts w:ascii="Times New Roman" w:hAnsi="Times New Roman" w:cs="Times New Roman"/>
          <w:sz w:val="24"/>
          <w:szCs w:val="24"/>
        </w:rPr>
        <w:t xml:space="preserve">in this study were mostly obtained from the </w:t>
      </w:r>
      <w:r w:rsidR="00B21804" w:rsidRPr="00BD58C0">
        <w:rPr>
          <w:rFonts w:ascii="Times New Roman" w:hAnsi="Times New Roman" w:cs="Times New Roman"/>
          <w:sz w:val="24"/>
          <w:szCs w:val="24"/>
        </w:rPr>
        <w:t>POMs</w:t>
      </w:r>
      <w:r w:rsidR="00B678FF" w:rsidRPr="00BD58C0">
        <w:rPr>
          <w:rFonts w:ascii="Times New Roman" w:hAnsi="Times New Roman" w:cs="Times New Roman"/>
          <w:sz w:val="24"/>
          <w:szCs w:val="24"/>
        </w:rPr>
        <w:t>,</w:t>
      </w:r>
      <w:r w:rsidR="0021170B" w:rsidRPr="00BD58C0">
        <w:rPr>
          <w:rFonts w:ascii="Times New Roman" w:hAnsi="Times New Roman" w:cs="Times New Roman"/>
          <w:sz w:val="24"/>
          <w:szCs w:val="24"/>
        </w:rPr>
        <w:t xml:space="preserve"> except for the excavation costs</w:t>
      </w:r>
      <w:r w:rsidR="00B678FF" w:rsidRPr="00BD58C0">
        <w:rPr>
          <w:rFonts w:ascii="Times New Roman" w:hAnsi="Times New Roman" w:cs="Times New Roman"/>
          <w:sz w:val="24"/>
          <w:szCs w:val="24"/>
        </w:rPr>
        <w:t xml:space="preserve">. </w:t>
      </w:r>
      <w:r w:rsidR="0013682F" w:rsidRPr="00BD58C0">
        <w:rPr>
          <w:rFonts w:ascii="Times New Roman" w:hAnsi="Times New Roman" w:cs="Times New Roman"/>
          <w:sz w:val="24"/>
          <w:szCs w:val="24"/>
        </w:rPr>
        <w:t>O</w:t>
      </w:r>
      <w:r w:rsidR="0021170B" w:rsidRPr="00BD58C0">
        <w:rPr>
          <w:rFonts w:ascii="Times New Roman" w:hAnsi="Times New Roman" w:cs="Times New Roman"/>
          <w:sz w:val="24"/>
          <w:szCs w:val="24"/>
        </w:rPr>
        <w:t>perati</w:t>
      </w:r>
      <w:r w:rsidR="00370617" w:rsidRPr="00BD58C0">
        <w:rPr>
          <w:rFonts w:ascii="Times New Roman" w:hAnsi="Times New Roman" w:cs="Times New Roman"/>
          <w:sz w:val="24"/>
          <w:szCs w:val="24"/>
        </w:rPr>
        <w:t>onal</w:t>
      </w:r>
      <w:r w:rsidR="0021170B" w:rsidRPr="00BD58C0">
        <w:rPr>
          <w:rFonts w:ascii="Times New Roman" w:hAnsi="Times New Roman" w:cs="Times New Roman"/>
          <w:sz w:val="24"/>
          <w:szCs w:val="24"/>
        </w:rPr>
        <w:t xml:space="preserve"> and depreciation costs</w:t>
      </w:r>
      <w:r w:rsidR="00B678FF" w:rsidRPr="00BD58C0">
        <w:rPr>
          <w:rFonts w:ascii="Times New Roman" w:hAnsi="Times New Roman" w:cs="Times New Roman"/>
          <w:sz w:val="24"/>
          <w:szCs w:val="24"/>
        </w:rPr>
        <w:t>,</w:t>
      </w:r>
      <w:r w:rsidR="00215F0F" w:rsidRPr="00BD58C0">
        <w:rPr>
          <w:rFonts w:ascii="Times New Roman" w:hAnsi="Times New Roman" w:cs="Times New Roman"/>
          <w:sz w:val="24"/>
          <w:szCs w:val="24"/>
        </w:rPr>
        <w:t xml:space="preserve"> </w:t>
      </w:r>
      <w:r w:rsidR="0085096A" w:rsidRPr="00BD58C0">
        <w:rPr>
          <w:rFonts w:ascii="Times New Roman" w:hAnsi="Times New Roman" w:cs="Times New Roman"/>
          <w:sz w:val="24"/>
          <w:szCs w:val="24"/>
        </w:rPr>
        <w:t>particularly for</w:t>
      </w:r>
      <w:r w:rsidR="00215F0F" w:rsidRPr="00BD58C0">
        <w:rPr>
          <w:rFonts w:ascii="Times New Roman" w:hAnsi="Times New Roman" w:cs="Times New Roman"/>
          <w:sz w:val="24"/>
          <w:szCs w:val="24"/>
        </w:rPr>
        <w:t xml:space="preserve"> </w:t>
      </w:r>
      <w:r w:rsidR="00E65AB7" w:rsidRPr="00BD58C0">
        <w:rPr>
          <w:rFonts w:ascii="Times New Roman" w:eastAsiaTheme="minorEastAsia" w:hAnsi="Times New Roman" w:cs="Times New Roman"/>
          <w:iCs/>
          <w:sz w:val="24"/>
          <w:szCs w:val="24"/>
        </w:rPr>
        <w:t>POM</w:t>
      </w:r>
      <w:r w:rsidR="00215F0F" w:rsidRPr="00BD58C0">
        <w:rPr>
          <w:rFonts w:ascii="Times New Roman" w:hAnsi="Times New Roman" w:cs="Times New Roman"/>
          <w:sz w:val="24"/>
          <w:szCs w:val="24"/>
        </w:rPr>
        <w:t xml:space="preserve"> 2</w:t>
      </w:r>
      <w:r w:rsidR="00B678FF" w:rsidRPr="00BD58C0">
        <w:rPr>
          <w:rFonts w:ascii="Times New Roman" w:hAnsi="Times New Roman" w:cs="Times New Roman"/>
          <w:sz w:val="24"/>
          <w:szCs w:val="24"/>
        </w:rPr>
        <w:t>,</w:t>
      </w:r>
      <w:r w:rsidR="0021170B" w:rsidRPr="00BD58C0">
        <w:rPr>
          <w:rFonts w:ascii="Times New Roman" w:hAnsi="Times New Roman" w:cs="Times New Roman"/>
          <w:sz w:val="24"/>
          <w:szCs w:val="24"/>
        </w:rPr>
        <w:t xml:space="preserve"> were estimated based on calculation</w:t>
      </w:r>
      <w:r w:rsidR="00B678FF" w:rsidRPr="00BD58C0">
        <w:rPr>
          <w:rFonts w:ascii="Times New Roman" w:hAnsi="Times New Roman" w:cs="Times New Roman"/>
          <w:sz w:val="24"/>
          <w:szCs w:val="24"/>
        </w:rPr>
        <w:t>s</w:t>
      </w:r>
      <w:r w:rsidR="0021170B" w:rsidRPr="00BD58C0">
        <w:rPr>
          <w:rFonts w:ascii="Times New Roman" w:hAnsi="Times New Roman" w:cs="Times New Roman"/>
          <w:sz w:val="24"/>
          <w:szCs w:val="24"/>
        </w:rPr>
        <w:t xml:space="preserve"> </w:t>
      </w:r>
      <w:r w:rsidR="00C4319B" w:rsidRPr="00BD58C0">
        <w:rPr>
          <w:rFonts w:ascii="Times New Roman" w:hAnsi="Times New Roman" w:cs="Times New Roman"/>
          <w:sz w:val="24"/>
          <w:szCs w:val="24"/>
        </w:rPr>
        <w:t>in the literature</w:t>
      </w:r>
      <w:r w:rsidR="00E736B4" w:rsidRPr="00BD58C0">
        <w:rPr>
          <w:rFonts w:ascii="Times New Roman" w:hAnsi="Times New Roman" w:cs="Times New Roman"/>
          <w:sz w:val="24"/>
          <w:szCs w:val="24"/>
        </w:rPr>
        <w:t xml:space="preserve"> [</w:t>
      </w:r>
      <w:r w:rsidR="00041C87" w:rsidRPr="00BD58C0">
        <w:rPr>
          <w:rFonts w:ascii="Times New Roman" w:hAnsi="Times New Roman" w:cs="Times New Roman"/>
          <w:sz w:val="24"/>
          <w:szCs w:val="24"/>
        </w:rPr>
        <w:t>20</w:t>
      </w:r>
      <w:r w:rsidR="00C4319B" w:rsidRPr="00BD58C0">
        <w:rPr>
          <w:rFonts w:ascii="Times New Roman" w:hAnsi="Times New Roman" w:cs="Times New Roman"/>
          <w:sz w:val="24"/>
          <w:szCs w:val="24"/>
        </w:rPr>
        <w:t>,</w:t>
      </w:r>
      <w:r w:rsidR="00E736B4" w:rsidRPr="00BD58C0">
        <w:rPr>
          <w:rFonts w:ascii="Times New Roman" w:hAnsi="Times New Roman" w:cs="Times New Roman"/>
          <w:sz w:val="24"/>
          <w:szCs w:val="24"/>
        </w:rPr>
        <w:t>3</w:t>
      </w:r>
      <w:r w:rsidR="004925A2" w:rsidRPr="00BD58C0">
        <w:rPr>
          <w:rFonts w:ascii="Times New Roman" w:hAnsi="Times New Roman" w:cs="Times New Roman"/>
          <w:sz w:val="24"/>
          <w:szCs w:val="24"/>
        </w:rPr>
        <w:t>6</w:t>
      </w:r>
      <w:r w:rsidR="00E736B4" w:rsidRPr="00BD58C0">
        <w:rPr>
          <w:rFonts w:ascii="Times New Roman" w:hAnsi="Times New Roman" w:cs="Times New Roman"/>
          <w:sz w:val="24"/>
          <w:szCs w:val="24"/>
        </w:rPr>
        <w:t>]</w:t>
      </w:r>
      <w:r w:rsidR="00C4319B" w:rsidRPr="00BD58C0">
        <w:rPr>
          <w:rFonts w:ascii="Times New Roman" w:hAnsi="Times New Roman" w:cs="Times New Roman"/>
          <w:sz w:val="24"/>
          <w:szCs w:val="24"/>
        </w:rPr>
        <w:t xml:space="preserve"> </w:t>
      </w:r>
      <w:r w:rsidR="0021170B" w:rsidRPr="00BD58C0">
        <w:rPr>
          <w:rFonts w:ascii="Times New Roman" w:hAnsi="Times New Roman" w:cs="Times New Roman"/>
          <w:sz w:val="24"/>
          <w:szCs w:val="24"/>
        </w:rPr>
        <w:t>due to data</w:t>
      </w:r>
      <w:r w:rsidR="00CB171C" w:rsidRPr="00BD58C0">
        <w:rPr>
          <w:rFonts w:ascii="Times New Roman" w:hAnsi="Times New Roman" w:cs="Times New Roman"/>
          <w:sz w:val="24"/>
          <w:szCs w:val="24"/>
        </w:rPr>
        <w:t xml:space="preserve"> unavailability</w:t>
      </w:r>
      <w:r w:rsidR="0021170B" w:rsidRPr="00BD58C0">
        <w:rPr>
          <w:rFonts w:ascii="Times New Roman" w:hAnsi="Times New Roman" w:cs="Times New Roman"/>
          <w:sz w:val="24"/>
          <w:szCs w:val="24"/>
        </w:rPr>
        <w:t xml:space="preserve">. </w:t>
      </w:r>
      <w:r w:rsidR="00DF0161" w:rsidRPr="00BD58C0">
        <w:rPr>
          <w:rFonts w:ascii="Times New Roman" w:hAnsi="Times New Roman" w:cs="Times New Roman"/>
          <w:sz w:val="24"/>
          <w:szCs w:val="24"/>
        </w:rPr>
        <w:t>T</w:t>
      </w:r>
      <w:r w:rsidR="0021170B" w:rsidRPr="00BD58C0">
        <w:rPr>
          <w:rFonts w:ascii="Times New Roman" w:hAnsi="Times New Roman" w:cs="Times New Roman"/>
          <w:sz w:val="24"/>
          <w:szCs w:val="24"/>
        </w:rPr>
        <w:t xml:space="preserve">he results would better reflect </w:t>
      </w:r>
      <w:r w:rsidR="00B678FF" w:rsidRPr="00BD58C0">
        <w:rPr>
          <w:rFonts w:ascii="Times New Roman" w:hAnsi="Times New Roman" w:cs="Times New Roman"/>
          <w:sz w:val="24"/>
          <w:szCs w:val="24"/>
        </w:rPr>
        <w:t xml:space="preserve">real, on-the-ground situation </w:t>
      </w:r>
      <w:r w:rsidR="0021170B" w:rsidRPr="00BD58C0">
        <w:rPr>
          <w:rFonts w:ascii="Times New Roman" w:hAnsi="Times New Roman" w:cs="Times New Roman"/>
          <w:sz w:val="24"/>
          <w:szCs w:val="24"/>
        </w:rPr>
        <w:t>if all the values can be obtained directly from the compared mills.</w:t>
      </w:r>
    </w:p>
    <w:p w14:paraId="0149FAB3" w14:textId="23490B74" w:rsidR="00095DDB" w:rsidRPr="00BD58C0" w:rsidRDefault="00095DDB" w:rsidP="00095DDB">
      <w:pPr>
        <w:spacing w:after="0" w:line="360" w:lineRule="auto"/>
        <w:ind w:firstLine="720"/>
        <w:jc w:val="both"/>
        <w:rPr>
          <w:rFonts w:ascii="Times New Roman" w:hAnsi="Times New Roman" w:cs="Times New Roman"/>
          <w:sz w:val="24"/>
          <w:szCs w:val="24"/>
        </w:rPr>
      </w:pPr>
      <w:r w:rsidRPr="00BD58C0">
        <w:rPr>
          <w:rFonts w:ascii="Times New Roman" w:hAnsi="Times New Roman" w:cs="Times New Roman"/>
          <w:sz w:val="24"/>
          <w:szCs w:val="24"/>
        </w:rPr>
        <w:t xml:space="preserve">Future researchers may wish to consider social aspects related to job creation, safety and health of workers in addition to the environmental and economic aspects. Further, the number of respondents could be increased, including other relevant stakeholders. </w:t>
      </w:r>
      <w:bookmarkStart w:id="13" w:name="_Hlk31287488"/>
      <w:r w:rsidRPr="00BD58C0">
        <w:rPr>
          <w:rFonts w:ascii="Times New Roman" w:hAnsi="Times New Roman" w:cs="Times New Roman"/>
          <w:sz w:val="24"/>
          <w:szCs w:val="24"/>
        </w:rPr>
        <w:t xml:space="preserve">This would be especially important at the interview stage when eliciting possible solutions. However, </w:t>
      </w:r>
      <w:r w:rsidR="009D3906" w:rsidRPr="00BD58C0">
        <w:rPr>
          <w:rFonts w:ascii="Times New Roman" w:hAnsi="Times New Roman" w:cs="Times New Roman"/>
          <w:sz w:val="24"/>
          <w:szCs w:val="24"/>
        </w:rPr>
        <w:t>a sample of</w:t>
      </w:r>
      <w:r w:rsidRPr="00BD58C0">
        <w:rPr>
          <w:rFonts w:ascii="Times New Roman" w:hAnsi="Times New Roman" w:cs="Times New Roman"/>
          <w:sz w:val="24"/>
          <w:szCs w:val="24"/>
        </w:rPr>
        <w:t xml:space="preserve"> many respondents may cause</w:t>
      </w:r>
      <w:r w:rsidR="009D3906" w:rsidRPr="00BD58C0">
        <w:rPr>
          <w:rFonts w:ascii="Times New Roman" w:hAnsi="Times New Roman" w:cs="Times New Roman"/>
          <w:sz w:val="24"/>
          <w:szCs w:val="24"/>
        </w:rPr>
        <w:t xml:space="preserve"> greater</w:t>
      </w:r>
      <w:r w:rsidRPr="00BD58C0">
        <w:rPr>
          <w:rFonts w:ascii="Times New Roman" w:hAnsi="Times New Roman" w:cs="Times New Roman"/>
          <w:sz w:val="24"/>
          <w:szCs w:val="24"/>
        </w:rPr>
        <w:t xml:space="preserve"> difficulty in obtaining a consistent output, even using multi-criteria approaches.</w:t>
      </w:r>
      <w:bookmarkEnd w:id="13"/>
      <w:r w:rsidRPr="00BD58C0">
        <w:rPr>
          <w:rFonts w:ascii="Times New Roman" w:hAnsi="Times New Roman" w:cs="Times New Roman"/>
          <w:sz w:val="24"/>
          <w:szCs w:val="24"/>
        </w:rPr>
        <w:t xml:space="preserve"> Finally, adapting another developing country’s method</w:t>
      </w:r>
      <w:r w:rsidR="00F857E3" w:rsidRPr="00BD58C0">
        <w:rPr>
          <w:rFonts w:ascii="Times New Roman" w:hAnsi="Times New Roman" w:cs="Times New Roman"/>
          <w:sz w:val="24"/>
          <w:szCs w:val="24"/>
        </w:rPr>
        <w:t xml:space="preserve"> [</w:t>
      </w:r>
      <w:r w:rsidR="008242F2" w:rsidRPr="00BD58C0">
        <w:rPr>
          <w:rFonts w:ascii="Times New Roman" w:hAnsi="Times New Roman" w:cs="Times New Roman"/>
          <w:sz w:val="24"/>
          <w:szCs w:val="24"/>
        </w:rPr>
        <w:t>62</w:t>
      </w:r>
      <w:r w:rsidR="00F857E3" w:rsidRPr="00BD58C0">
        <w:rPr>
          <w:rFonts w:ascii="Times New Roman" w:hAnsi="Times New Roman" w:cs="Times New Roman"/>
          <w:sz w:val="24"/>
          <w:szCs w:val="24"/>
        </w:rPr>
        <w:t>]</w:t>
      </w:r>
      <w:r w:rsidRPr="00BD58C0">
        <w:rPr>
          <w:rFonts w:ascii="Times New Roman" w:hAnsi="Times New Roman" w:cs="Times New Roman"/>
          <w:sz w:val="24"/>
          <w:szCs w:val="24"/>
        </w:rPr>
        <w:t xml:space="preserve"> as a basis to improve the current policy/regulations in Malaysia could offer a useful way forward. However, it is crucial to ensure that any such regulations suit the Malaysian </w:t>
      </w:r>
      <w:r w:rsidR="001A04A7" w:rsidRPr="00BD58C0">
        <w:rPr>
          <w:rFonts w:ascii="Times New Roman" w:hAnsi="Times New Roman" w:cs="Times New Roman"/>
          <w:sz w:val="24"/>
          <w:szCs w:val="24"/>
        </w:rPr>
        <w:t>context</w:t>
      </w:r>
      <w:r w:rsidRPr="00BD58C0">
        <w:rPr>
          <w:rFonts w:ascii="Times New Roman" w:hAnsi="Times New Roman" w:cs="Times New Roman"/>
          <w:sz w:val="24"/>
          <w:szCs w:val="24"/>
        </w:rPr>
        <w:t xml:space="preserve">. </w:t>
      </w:r>
      <w:r w:rsidR="001A04A7" w:rsidRPr="00BD58C0">
        <w:rPr>
          <w:rFonts w:ascii="Times New Roman" w:hAnsi="Times New Roman" w:cs="Times New Roman"/>
          <w:sz w:val="24"/>
          <w:szCs w:val="24"/>
        </w:rPr>
        <w:t>T</w:t>
      </w:r>
      <w:r w:rsidRPr="00BD58C0">
        <w:rPr>
          <w:rFonts w:ascii="Times New Roman" w:hAnsi="Times New Roman" w:cs="Times New Roman"/>
          <w:sz w:val="24"/>
          <w:szCs w:val="24"/>
        </w:rPr>
        <w:t xml:space="preserve">he output of this study from Malaysia will be useful for future researchers </w:t>
      </w:r>
      <w:r w:rsidR="001A04A7" w:rsidRPr="00BD58C0">
        <w:rPr>
          <w:rFonts w:ascii="Times New Roman" w:hAnsi="Times New Roman" w:cs="Times New Roman"/>
          <w:sz w:val="24"/>
          <w:szCs w:val="24"/>
        </w:rPr>
        <w:t xml:space="preserve">both within and external to Malaysia, </w:t>
      </w:r>
      <w:r w:rsidRPr="00BD58C0">
        <w:rPr>
          <w:rFonts w:ascii="Times New Roman" w:hAnsi="Times New Roman" w:cs="Times New Roman"/>
          <w:sz w:val="24"/>
          <w:szCs w:val="24"/>
        </w:rPr>
        <w:t>as it can act as a benchmark for other case studies.</w:t>
      </w:r>
    </w:p>
    <w:bookmarkEnd w:id="1"/>
    <w:p w14:paraId="6B4B9826" w14:textId="77777777" w:rsidR="00D53F55" w:rsidRPr="00BD58C0" w:rsidRDefault="00D53F55" w:rsidP="00D92FBF">
      <w:pPr>
        <w:spacing w:after="0" w:line="360" w:lineRule="auto"/>
        <w:rPr>
          <w:rFonts w:ascii="Times New Roman" w:hAnsi="Times New Roman" w:cs="Times New Roman"/>
          <w:sz w:val="24"/>
          <w:szCs w:val="24"/>
        </w:rPr>
      </w:pPr>
    </w:p>
    <w:bookmarkEnd w:id="0"/>
    <w:p w14:paraId="22B7BFB2" w14:textId="2369A8D3" w:rsidR="00D92FBF" w:rsidRPr="00BD58C0" w:rsidRDefault="00FD1369" w:rsidP="00D92FBF">
      <w:pPr>
        <w:spacing w:after="0" w:line="360" w:lineRule="auto"/>
        <w:rPr>
          <w:rFonts w:ascii="Times New Roman" w:hAnsi="Times New Roman" w:cs="Times New Roman"/>
          <w:sz w:val="24"/>
          <w:szCs w:val="24"/>
        </w:rPr>
      </w:pPr>
      <w:r w:rsidRPr="00BD58C0">
        <w:rPr>
          <w:rFonts w:ascii="Times New Roman" w:hAnsi="Times New Roman" w:cs="Times New Roman"/>
          <w:b/>
          <w:bCs/>
          <w:sz w:val="24"/>
          <w:szCs w:val="24"/>
        </w:rPr>
        <w:t>Acknowledgements</w:t>
      </w:r>
    </w:p>
    <w:p w14:paraId="19E2F819" w14:textId="5FE3009B" w:rsidR="00D92FBF" w:rsidRPr="00BD58C0" w:rsidRDefault="00D92FBF" w:rsidP="005C52B2">
      <w:pPr>
        <w:spacing w:after="0" w:line="360" w:lineRule="auto"/>
        <w:jc w:val="both"/>
        <w:rPr>
          <w:rFonts w:ascii="Times New Roman" w:hAnsi="Times New Roman" w:cs="Times New Roman"/>
          <w:b/>
          <w:bCs/>
          <w:sz w:val="24"/>
          <w:szCs w:val="24"/>
        </w:rPr>
      </w:pPr>
    </w:p>
    <w:p w14:paraId="02354318" w14:textId="188A60B3" w:rsidR="008954C8" w:rsidRPr="00BD58C0" w:rsidRDefault="005C52B2" w:rsidP="00445ABE">
      <w:pPr>
        <w:spacing w:after="0" w:line="360" w:lineRule="auto"/>
        <w:ind w:firstLine="720"/>
        <w:jc w:val="both"/>
        <w:rPr>
          <w:rFonts w:ascii="Times New Roman" w:hAnsi="Times New Roman" w:cs="Times New Roman"/>
          <w:sz w:val="24"/>
          <w:szCs w:val="24"/>
        </w:rPr>
      </w:pPr>
      <w:bookmarkStart w:id="14" w:name="_Hlk59139323"/>
      <w:r w:rsidRPr="00BD58C0">
        <w:rPr>
          <w:rFonts w:ascii="Times New Roman" w:hAnsi="Times New Roman" w:cs="Times New Roman"/>
          <w:sz w:val="24"/>
          <w:szCs w:val="24"/>
        </w:rPr>
        <w:t>This work was supported by the Ministry of Education Malaysia (4B297) and the Biotechnology and Biological Sciences Research Council (BB/P027717/1).</w:t>
      </w:r>
      <w:bookmarkEnd w:id="14"/>
    </w:p>
    <w:p w14:paraId="52D6C3C3" w14:textId="32F0A951" w:rsidR="00FF5EC6" w:rsidRPr="00BD58C0" w:rsidRDefault="00FD1369" w:rsidP="00D92FBF">
      <w:pPr>
        <w:spacing w:after="0" w:line="360" w:lineRule="auto"/>
        <w:rPr>
          <w:rFonts w:ascii="Times New Roman" w:hAnsi="Times New Roman" w:cs="Times New Roman"/>
          <w:b/>
          <w:bCs/>
          <w:sz w:val="24"/>
          <w:szCs w:val="24"/>
        </w:rPr>
      </w:pPr>
      <w:r w:rsidRPr="00BD58C0">
        <w:rPr>
          <w:rFonts w:ascii="Times New Roman" w:hAnsi="Times New Roman" w:cs="Times New Roman"/>
          <w:b/>
          <w:bCs/>
          <w:sz w:val="24"/>
          <w:szCs w:val="24"/>
        </w:rPr>
        <w:lastRenderedPageBreak/>
        <w:t>References</w:t>
      </w:r>
    </w:p>
    <w:p w14:paraId="13383A2D" w14:textId="772A5700" w:rsidR="00C83D6A" w:rsidRPr="00BD58C0" w:rsidRDefault="00C83D6A" w:rsidP="00C0287E">
      <w:pPr>
        <w:spacing w:after="0" w:line="360" w:lineRule="auto"/>
        <w:jc w:val="both"/>
        <w:rPr>
          <w:rFonts w:ascii="Times New Roman" w:hAnsi="Times New Roman" w:cs="Times New Roman"/>
          <w:b/>
          <w:bCs/>
          <w:sz w:val="24"/>
          <w:szCs w:val="24"/>
        </w:rPr>
      </w:pPr>
    </w:p>
    <w:p w14:paraId="08FE6BB7" w14:textId="22AC6027" w:rsidR="00A61BB9" w:rsidRPr="00BD58C0" w:rsidRDefault="00FD1369" w:rsidP="00564A90">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[1]</w:t>
      </w:r>
      <w:r w:rsidR="00564A90" w:rsidRPr="00BD58C0">
        <w:rPr>
          <w:rFonts w:ascii="Times New Roman" w:hAnsi="Times New Roman" w:cs="Times New Roman"/>
          <w:sz w:val="24"/>
          <w:szCs w:val="24"/>
        </w:rPr>
        <w:tab/>
        <w:t>Rahman</w:t>
      </w:r>
      <w:r w:rsidR="00BC6CB0" w:rsidRPr="00BD58C0">
        <w:rPr>
          <w:rFonts w:ascii="Times New Roman" w:hAnsi="Times New Roman" w:cs="Times New Roman"/>
          <w:sz w:val="24"/>
          <w:szCs w:val="24"/>
        </w:rPr>
        <w:t xml:space="preserve"> </w:t>
      </w:r>
      <w:proofErr w:type="spellStart"/>
      <w:r w:rsidR="00564A90" w:rsidRPr="00BD58C0">
        <w:rPr>
          <w:rFonts w:ascii="Times New Roman" w:hAnsi="Times New Roman" w:cs="Times New Roman"/>
          <w:sz w:val="24"/>
          <w:szCs w:val="24"/>
        </w:rPr>
        <w:t>MdS</w:t>
      </w:r>
      <w:proofErr w:type="spellEnd"/>
      <w:r w:rsidR="00564A90" w:rsidRPr="00BD58C0">
        <w:rPr>
          <w:rFonts w:ascii="Times New Roman" w:hAnsi="Times New Roman" w:cs="Times New Roman"/>
          <w:sz w:val="24"/>
          <w:szCs w:val="24"/>
        </w:rPr>
        <w:t xml:space="preserve">, Noman </w:t>
      </w:r>
      <w:proofErr w:type="spellStart"/>
      <w:r w:rsidR="00564A90" w:rsidRPr="00BD58C0">
        <w:rPr>
          <w:rFonts w:ascii="Times New Roman" w:hAnsi="Times New Roman" w:cs="Times New Roman"/>
          <w:sz w:val="24"/>
          <w:szCs w:val="24"/>
        </w:rPr>
        <w:t>AHMd</w:t>
      </w:r>
      <w:proofErr w:type="spellEnd"/>
      <w:r w:rsidR="00564A90" w:rsidRPr="00BD58C0">
        <w:rPr>
          <w:rFonts w:ascii="Times New Roman" w:hAnsi="Times New Roman" w:cs="Times New Roman"/>
          <w:sz w:val="24"/>
          <w:szCs w:val="24"/>
        </w:rPr>
        <w:t xml:space="preserve">, </w:t>
      </w:r>
      <w:proofErr w:type="spellStart"/>
      <w:r w:rsidR="00564A90" w:rsidRPr="00BD58C0">
        <w:rPr>
          <w:rFonts w:ascii="Times New Roman" w:hAnsi="Times New Roman" w:cs="Times New Roman"/>
          <w:sz w:val="24"/>
          <w:szCs w:val="24"/>
        </w:rPr>
        <w:t>Shahari</w:t>
      </w:r>
      <w:proofErr w:type="spellEnd"/>
      <w:r w:rsidR="00564A90" w:rsidRPr="00BD58C0">
        <w:rPr>
          <w:rFonts w:ascii="Times New Roman" w:hAnsi="Times New Roman" w:cs="Times New Roman"/>
          <w:sz w:val="24"/>
          <w:szCs w:val="24"/>
        </w:rPr>
        <w:t xml:space="preserve"> F. Does economic growth in Malaysia depend on disaggregate energy? </w:t>
      </w:r>
      <w:r w:rsidR="00564A90" w:rsidRPr="00BD58C0">
        <w:rPr>
          <w:rFonts w:ascii="Times New Roman" w:hAnsi="Times New Roman" w:cs="Times New Roman"/>
          <w:iCs/>
          <w:sz w:val="24"/>
          <w:szCs w:val="24"/>
        </w:rPr>
        <w:t xml:space="preserve">Renew Sust </w:t>
      </w:r>
      <w:proofErr w:type="spellStart"/>
      <w:r w:rsidR="00564A90" w:rsidRPr="00BD58C0">
        <w:rPr>
          <w:rFonts w:ascii="Times New Roman" w:hAnsi="Times New Roman" w:cs="Times New Roman"/>
          <w:iCs/>
          <w:sz w:val="24"/>
          <w:szCs w:val="24"/>
        </w:rPr>
        <w:t>Energ</w:t>
      </w:r>
      <w:proofErr w:type="spellEnd"/>
      <w:r w:rsidR="00564A90" w:rsidRPr="00BD58C0">
        <w:rPr>
          <w:rFonts w:ascii="Times New Roman" w:hAnsi="Times New Roman" w:cs="Times New Roman"/>
          <w:iCs/>
          <w:sz w:val="24"/>
          <w:szCs w:val="24"/>
        </w:rPr>
        <w:t xml:space="preserve"> Rev </w:t>
      </w:r>
      <w:proofErr w:type="gramStart"/>
      <w:r w:rsidR="00D07798" w:rsidRPr="00BD58C0">
        <w:rPr>
          <w:rFonts w:ascii="Times New Roman" w:hAnsi="Times New Roman" w:cs="Times New Roman"/>
          <w:iCs/>
          <w:sz w:val="24"/>
          <w:szCs w:val="24"/>
        </w:rPr>
        <w:t>2017;78:640</w:t>
      </w:r>
      <w:proofErr w:type="gramEnd"/>
      <w:r w:rsidR="00564A90" w:rsidRPr="00BD58C0">
        <w:rPr>
          <w:rFonts w:ascii="Times New Roman" w:hAnsi="Times New Roman" w:cs="Times New Roman"/>
          <w:iCs/>
          <w:sz w:val="24"/>
          <w:szCs w:val="24"/>
        </w:rPr>
        <w:t>-47.</w:t>
      </w:r>
    </w:p>
    <w:p w14:paraId="5818EE47" w14:textId="4C246B36" w:rsidR="00885E3A" w:rsidRPr="00BD58C0" w:rsidRDefault="00885E3A" w:rsidP="005906B4">
      <w:pPr>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iCs/>
          <w:sz w:val="24"/>
          <w:szCs w:val="24"/>
        </w:rPr>
        <w:t>[</w:t>
      </w:r>
      <w:r w:rsidR="00D9384E" w:rsidRPr="00BD58C0">
        <w:rPr>
          <w:rFonts w:ascii="Times New Roman" w:hAnsi="Times New Roman" w:cs="Times New Roman"/>
          <w:iCs/>
          <w:sz w:val="24"/>
          <w:szCs w:val="24"/>
        </w:rPr>
        <w:t>2</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t xml:space="preserve">Hamzah N, </w:t>
      </w:r>
      <w:proofErr w:type="spellStart"/>
      <w:r w:rsidRPr="00BD58C0">
        <w:rPr>
          <w:rFonts w:ascii="Times New Roman" w:hAnsi="Times New Roman" w:cs="Times New Roman"/>
          <w:iCs/>
          <w:sz w:val="24"/>
          <w:szCs w:val="24"/>
        </w:rPr>
        <w:t>Tokimatsu</w:t>
      </w:r>
      <w:proofErr w:type="spellEnd"/>
      <w:r w:rsidRPr="00BD58C0">
        <w:rPr>
          <w:rFonts w:ascii="Times New Roman" w:hAnsi="Times New Roman" w:cs="Times New Roman"/>
          <w:iCs/>
          <w:sz w:val="24"/>
          <w:szCs w:val="24"/>
        </w:rPr>
        <w:t xml:space="preserve"> K, Yoshikawa K. Prospective for power generation of solid fuel from hydrothermal treatment of biomass and waste in Malaysia. In: The 9</w:t>
      </w:r>
      <w:r w:rsidRPr="00BD58C0">
        <w:rPr>
          <w:rFonts w:ascii="Times New Roman" w:hAnsi="Times New Roman" w:cs="Times New Roman"/>
          <w:iCs/>
          <w:sz w:val="24"/>
          <w:szCs w:val="24"/>
          <w:vertAlign w:val="superscript"/>
        </w:rPr>
        <w:t>th</w:t>
      </w:r>
      <w:r w:rsidRPr="00BD58C0">
        <w:rPr>
          <w:rFonts w:ascii="Times New Roman" w:hAnsi="Times New Roman" w:cs="Times New Roman"/>
          <w:iCs/>
          <w:sz w:val="24"/>
          <w:szCs w:val="24"/>
        </w:rPr>
        <w:t xml:space="preserve"> international conference on “applied energy”;2017. p. 369-73 [Cardiff, UK].  </w:t>
      </w:r>
    </w:p>
    <w:p w14:paraId="2C31CEA9" w14:textId="50F5866B" w:rsidR="005820F3" w:rsidRPr="00BD58C0" w:rsidRDefault="005820F3" w:rsidP="005820F3">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iCs/>
          <w:sz w:val="24"/>
          <w:szCs w:val="24"/>
        </w:rPr>
        <w:t>[3]</w:t>
      </w:r>
      <w:r w:rsidRPr="00BD58C0">
        <w:rPr>
          <w:rFonts w:ascii="Times New Roman" w:hAnsi="Times New Roman" w:cs="Times New Roman"/>
          <w:iCs/>
          <w:sz w:val="24"/>
          <w:szCs w:val="24"/>
        </w:rPr>
        <w:tab/>
      </w:r>
      <w:r w:rsidRPr="00BD58C0">
        <w:rPr>
          <w:rFonts w:ascii="Times New Roman" w:hAnsi="Times New Roman" w:cs="Times New Roman"/>
          <w:sz w:val="24"/>
          <w:szCs w:val="24"/>
        </w:rPr>
        <w:t xml:space="preserve">EC. National Energy Balance. Malaysia: Energy Commission. </w:t>
      </w:r>
      <w:hyperlink r:id="rId13" w:history="1">
        <w:r w:rsidRPr="00BD58C0">
          <w:rPr>
            <w:rStyle w:val="Hyperlink"/>
            <w:rFonts w:ascii="Times New Roman" w:hAnsi="Times New Roman" w:cs="Times New Roman"/>
            <w:color w:val="auto"/>
            <w:sz w:val="24"/>
            <w:szCs w:val="24"/>
            <w:u w:val="none"/>
          </w:rPr>
          <w:t>National_Energy_Balance_2018.pdf (st.gov.my)</w:t>
        </w:r>
      </w:hyperlink>
      <w:r w:rsidRPr="00BD58C0">
        <w:rPr>
          <w:rFonts w:ascii="Times New Roman" w:hAnsi="Times New Roman" w:cs="Times New Roman"/>
          <w:sz w:val="24"/>
          <w:szCs w:val="24"/>
        </w:rPr>
        <w:t xml:space="preserve">;2018 [accessed 3 October 2021]. </w:t>
      </w:r>
    </w:p>
    <w:p w14:paraId="5CB6522C" w14:textId="066A24F3" w:rsidR="005001CF" w:rsidRPr="00BD58C0" w:rsidRDefault="005001CF" w:rsidP="005001CF">
      <w:pPr>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iCs/>
          <w:sz w:val="24"/>
          <w:szCs w:val="24"/>
        </w:rPr>
        <w:t>[</w:t>
      </w:r>
      <w:r w:rsidR="005820F3" w:rsidRPr="00BD58C0">
        <w:rPr>
          <w:rFonts w:ascii="Times New Roman" w:hAnsi="Times New Roman" w:cs="Times New Roman"/>
          <w:iCs/>
          <w:sz w:val="24"/>
          <w:szCs w:val="24"/>
        </w:rPr>
        <w:t>4</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t>SEDA</w:t>
      </w:r>
      <w:r w:rsidR="00D07798" w:rsidRPr="00BD58C0">
        <w:rPr>
          <w:rFonts w:ascii="Times New Roman" w:hAnsi="Times New Roman" w:cs="Times New Roman"/>
          <w:iCs/>
          <w:sz w:val="24"/>
          <w:szCs w:val="24"/>
        </w:rPr>
        <w:t xml:space="preserve">. </w:t>
      </w:r>
      <w:r w:rsidRPr="00BD58C0">
        <w:rPr>
          <w:rFonts w:ascii="Times New Roman" w:hAnsi="Times New Roman" w:cs="Times New Roman"/>
          <w:iCs/>
          <w:sz w:val="24"/>
          <w:szCs w:val="24"/>
        </w:rPr>
        <w:t xml:space="preserve">National Renewable Energy Policy. Malaysia: Sustainable Energy Development Authority. </w:t>
      </w:r>
      <w:hyperlink r:id="rId14" w:history="1">
        <w:r w:rsidRPr="00BD58C0">
          <w:rPr>
            <w:rStyle w:val="Hyperlink"/>
            <w:rFonts w:ascii="Times New Roman" w:hAnsi="Times New Roman" w:cs="Times New Roman"/>
            <w:iCs/>
            <w:color w:val="auto"/>
            <w:sz w:val="24"/>
            <w:szCs w:val="24"/>
            <w:u w:val="none"/>
          </w:rPr>
          <w:t>http://www.seda.gov.my/policies/national-renewable-energy-policy-and-action-plan-2009/</w:t>
        </w:r>
      </w:hyperlink>
      <w:r w:rsidR="00395C1E" w:rsidRPr="00BD58C0">
        <w:rPr>
          <w:rStyle w:val="Hyperlink"/>
          <w:rFonts w:ascii="Times New Roman" w:hAnsi="Times New Roman" w:cs="Times New Roman"/>
          <w:iCs/>
          <w:color w:val="auto"/>
          <w:sz w:val="24"/>
          <w:szCs w:val="24"/>
          <w:u w:val="none"/>
        </w:rPr>
        <w:t>; 2019</w:t>
      </w:r>
      <w:r w:rsidR="00395C1E" w:rsidRPr="00BD58C0">
        <w:rPr>
          <w:rFonts w:ascii="Times New Roman" w:hAnsi="Times New Roman" w:cs="Times New Roman"/>
          <w:iCs/>
          <w:sz w:val="24"/>
          <w:szCs w:val="24"/>
        </w:rPr>
        <w:t xml:space="preserve"> </w:t>
      </w:r>
      <w:r w:rsidRPr="00BD58C0">
        <w:rPr>
          <w:rFonts w:ascii="Times New Roman" w:hAnsi="Times New Roman" w:cs="Times New Roman"/>
          <w:iCs/>
          <w:sz w:val="24"/>
          <w:szCs w:val="24"/>
        </w:rPr>
        <w:t>[accessed 25 November 2020].</w:t>
      </w:r>
    </w:p>
    <w:p w14:paraId="76AF4A02" w14:textId="556E597D" w:rsidR="00D34E3E" w:rsidRPr="00BD58C0" w:rsidRDefault="002F52BE" w:rsidP="005001CF">
      <w:pPr>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iCs/>
          <w:sz w:val="24"/>
          <w:szCs w:val="24"/>
        </w:rPr>
        <w:t>[</w:t>
      </w:r>
      <w:r w:rsidR="005820F3" w:rsidRPr="00BD58C0">
        <w:rPr>
          <w:rFonts w:ascii="Times New Roman" w:hAnsi="Times New Roman" w:cs="Times New Roman"/>
          <w:iCs/>
          <w:sz w:val="24"/>
          <w:szCs w:val="24"/>
        </w:rPr>
        <w:t>5</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r>
      <w:r w:rsidR="00FA0495" w:rsidRPr="00BD58C0">
        <w:rPr>
          <w:rFonts w:ascii="Times New Roman" w:hAnsi="Times New Roman" w:cs="Times New Roman"/>
          <w:sz w:val="24"/>
          <w:szCs w:val="24"/>
        </w:rPr>
        <w:t xml:space="preserve">Oh TH, </w:t>
      </w:r>
      <w:proofErr w:type="spellStart"/>
      <w:r w:rsidR="00FA0495" w:rsidRPr="00BD58C0">
        <w:rPr>
          <w:rFonts w:ascii="Times New Roman" w:hAnsi="Times New Roman" w:cs="Times New Roman"/>
          <w:sz w:val="24"/>
          <w:szCs w:val="24"/>
        </w:rPr>
        <w:t>Hasanuzzaman</w:t>
      </w:r>
      <w:proofErr w:type="spellEnd"/>
      <w:r w:rsidR="00FA0495" w:rsidRPr="00BD58C0">
        <w:rPr>
          <w:rFonts w:ascii="Times New Roman" w:hAnsi="Times New Roman" w:cs="Times New Roman"/>
          <w:sz w:val="24"/>
          <w:szCs w:val="24"/>
        </w:rPr>
        <w:t xml:space="preserve"> Md, Selvaraj J, Teo SC, Chua SC. Energy policy and alternative energy in Malaysia: Issues and challenges for sustainable growth</w:t>
      </w:r>
      <w:r w:rsidR="00FB2FEA" w:rsidRPr="00BD58C0">
        <w:rPr>
          <w:rFonts w:ascii="Times New Roman" w:hAnsi="Times New Roman" w:cs="Times New Roman"/>
          <w:sz w:val="24"/>
          <w:szCs w:val="24"/>
        </w:rPr>
        <w:t xml:space="preserve"> </w:t>
      </w:r>
      <w:r w:rsidR="00FA0495" w:rsidRPr="00BD58C0">
        <w:rPr>
          <w:rFonts w:ascii="Times New Roman" w:hAnsi="Times New Roman" w:cs="Times New Roman"/>
          <w:sz w:val="24"/>
          <w:szCs w:val="24"/>
        </w:rPr>
        <w:t xml:space="preserve">- An update. </w:t>
      </w:r>
      <w:r w:rsidR="00FA0495" w:rsidRPr="00BD58C0">
        <w:rPr>
          <w:rFonts w:ascii="Times New Roman" w:hAnsi="Times New Roman" w:cs="Times New Roman"/>
          <w:iCs/>
          <w:sz w:val="24"/>
          <w:szCs w:val="24"/>
        </w:rPr>
        <w:t xml:space="preserve">Renew Sust </w:t>
      </w:r>
      <w:proofErr w:type="spellStart"/>
      <w:r w:rsidR="00FA0495" w:rsidRPr="00BD58C0">
        <w:rPr>
          <w:rFonts w:ascii="Times New Roman" w:hAnsi="Times New Roman" w:cs="Times New Roman"/>
          <w:iCs/>
          <w:sz w:val="24"/>
          <w:szCs w:val="24"/>
        </w:rPr>
        <w:t>Energ</w:t>
      </w:r>
      <w:proofErr w:type="spellEnd"/>
      <w:r w:rsidR="00FA0495" w:rsidRPr="00BD58C0">
        <w:rPr>
          <w:rFonts w:ascii="Times New Roman" w:hAnsi="Times New Roman" w:cs="Times New Roman"/>
          <w:iCs/>
          <w:sz w:val="24"/>
          <w:szCs w:val="24"/>
        </w:rPr>
        <w:t xml:space="preserve"> Rev </w:t>
      </w:r>
      <w:proofErr w:type="gramStart"/>
      <w:r w:rsidR="00FA0495" w:rsidRPr="00BD58C0">
        <w:rPr>
          <w:rFonts w:ascii="Times New Roman" w:hAnsi="Times New Roman" w:cs="Times New Roman"/>
          <w:iCs/>
          <w:sz w:val="24"/>
          <w:szCs w:val="24"/>
        </w:rPr>
        <w:t>2018;81:3021</w:t>
      </w:r>
      <w:proofErr w:type="gramEnd"/>
      <w:r w:rsidR="00FA0495" w:rsidRPr="00BD58C0">
        <w:rPr>
          <w:rFonts w:ascii="Times New Roman" w:hAnsi="Times New Roman" w:cs="Times New Roman"/>
          <w:iCs/>
          <w:sz w:val="24"/>
          <w:szCs w:val="24"/>
        </w:rPr>
        <w:t>-31.</w:t>
      </w:r>
    </w:p>
    <w:p w14:paraId="196AD20C" w14:textId="0BEFCADB" w:rsidR="008C50DF" w:rsidRPr="00BD58C0" w:rsidRDefault="008C50DF" w:rsidP="005906B4">
      <w:pPr>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iCs/>
          <w:sz w:val="24"/>
          <w:szCs w:val="24"/>
        </w:rPr>
        <w:t>[</w:t>
      </w:r>
      <w:r w:rsidR="005820F3" w:rsidRPr="00BD58C0">
        <w:rPr>
          <w:rFonts w:ascii="Times New Roman" w:hAnsi="Times New Roman" w:cs="Times New Roman"/>
          <w:iCs/>
          <w:sz w:val="24"/>
          <w:szCs w:val="24"/>
        </w:rPr>
        <w:t>6</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r>
      <w:r w:rsidR="00A21DD7" w:rsidRPr="00BD58C0">
        <w:rPr>
          <w:rFonts w:ascii="Times New Roman" w:hAnsi="Times New Roman" w:cs="Times New Roman"/>
          <w:iCs/>
          <w:sz w:val="24"/>
          <w:szCs w:val="24"/>
        </w:rPr>
        <w:t xml:space="preserve">Chan YH, Cheah KW, How BS, Loy ACM, Shahbaz M, Singh HKG, et al. An overview of biomass thermochemical conversion technologies in Malaysia. </w:t>
      </w:r>
      <w:r w:rsidR="0010675C" w:rsidRPr="00BD58C0">
        <w:rPr>
          <w:rFonts w:ascii="Times New Roman" w:hAnsi="Times New Roman" w:cs="Times New Roman"/>
          <w:iCs/>
          <w:sz w:val="24"/>
          <w:szCs w:val="24"/>
        </w:rPr>
        <w:t xml:space="preserve">Sci Total Environ </w:t>
      </w:r>
      <w:proofErr w:type="gramStart"/>
      <w:r w:rsidR="0010675C" w:rsidRPr="00BD58C0">
        <w:rPr>
          <w:rFonts w:ascii="Times New Roman" w:hAnsi="Times New Roman" w:cs="Times New Roman"/>
          <w:iCs/>
          <w:sz w:val="24"/>
          <w:szCs w:val="24"/>
        </w:rPr>
        <w:t>2019;680:105</w:t>
      </w:r>
      <w:proofErr w:type="gramEnd"/>
      <w:r w:rsidR="0010675C" w:rsidRPr="00BD58C0">
        <w:rPr>
          <w:rFonts w:ascii="Times New Roman" w:hAnsi="Times New Roman" w:cs="Times New Roman"/>
          <w:iCs/>
          <w:sz w:val="24"/>
          <w:szCs w:val="24"/>
        </w:rPr>
        <w:t>-23.</w:t>
      </w:r>
    </w:p>
    <w:p w14:paraId="7CB54612" w14:textId="3AB19431" w:rsidR="00FA0495" w:rsidRPr="00BD58C0" w:rsidRDefault="00FA0495" w:rsidP="00FA0495">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iCs/>
          <w:sz w:val="24"/>
          <w:szCs w:val="24"/>
        </w:rPr>
        <w:t>[</w:t>
      </w:r>
      <w:r w:rsidR="005820F3" w:rsidRPr="00BD58C0">
        <w:rPr>
          <w:rFonts w:ascii="Times New Roman" w:hAnsi="Times New Roman" w:cs="Times New Roman"/>
          <w:iCs/>
          <w:sz w:val="24"/>
          <w:szCs w:val="24"/>
        </w:rPr>
        <w:t>7</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r>
      <w:r w:rsidRPr="00BD58C0">
        <w:rPr>
          <w:rFonts w:ascii="Times New Roman" w:hAnsi="Times New Roman" w:cs="Times New Roman"/>
          <w:sz w:val="24"/>
          <w:szCs w:val="24"/>
        </w:rPr>
        <w:t xml:space="preserve">Petinrin JO, Shaaban M. Renewable energy for continuous energy sustainability in Malaysia. </w:t>
      </w:r>
      <w:r w:rsidRPr="00BD58C0">
        <w:rPr>
          <w:rFonts w:ascii="Times New Roman" w:hAnsi="Times New Roman" w:cs="Times New Roman"/>
          <w:iCs/>
          <w:sz w:val="24"/>
          <w:szCs w:val="24"/>
        </w:rPr>
        <w:t>Renew Sust Energ Rev 2015</w:t>
      </w:r>
      <w:r w:rsidRPr="00BD58C0">
        <w:rPr>
          <w:rFonts w:ascii="Times New Roman" w:hAnsi="Times New Roman" w:cs="Times New Roman"/>
          <w:sz w:val="24"/>
          <w:szCs w:val="24"/>
        </w:rPr>
        <w:t xml:space="preserve">;50:967-81. </w:t>
      </w:r>
    </w:p>
    <w:p w14:paraId="1CD870BC" w14:textId="0081BAEE" w:rsidR="00FF5EC6" w:rsidRPr="00BD58C0" w:rsidRDefault="00FD1369" w:rsidP="00AC2F0B">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5820F3" w:rsidRPr="00BD58C0">
        <w:rPr>
          <w:rFonts w:ascii="Times New Roman" w:hAnsi="Times New Roman" w:cs="Times New Roman"/>
          <w:sz w:val="24"/>
          <w:szCs w:val="24"/>
        </w:rPr>
        <w:t>8</w:t>
      </w:r>
      <w:r w:rsidRPr="00BD58C0">
        <w:rPr>
          <w:rFonts w:ascii="Times New Roman" w:hAnsi="Times New Roman" w:cs="Times New Roman"/>
          <w:sz w:val="24"/>
          <w:szCs w:val="24"/>
        </w:rPr>
        <w:t>]</w:t>
      </w:r>
      <w:r w:rsidRPr="00BD58C0">
        <w:rPr>
          <w:rFonts w:ascii="Times New Roman" w:hAnsi="Times New Roman" w:cs="Times New Roman"/>
          <w:sz w:val="24"/>
          <w:szCs w:val="24"/>
        </w:rPr>
        <w:tab/>
      </w:r>
      <w:proofErr w:type="spellStart"/>
      <w:r w:rsidRPr="00BD58C0">
        <w:rPr>
          <w:rFonts w:ascii="Times New Roman" w:hAnsi="Times New Roman" w:cs="Times New Roman"/>
          <w:sz w:val="24"/>
          <w:szCs w:val="24"/>
        </w:rPr>
        <w:t>Saelor</w:t>
      </w:r>
      <w:proofErr w:type="spellEnd"/>
      <w:r w:rsidRPr="00BD58C0">
        <w:rPr>
          <w:rFonts w:ascii="Times New Roman" w:hAnsi="Times New Roman" w:cs="Times New Roman"/>
          <w:sz w:val="24"/>
          <w:szCs w:val="24"/>
        </w:rPr>
        <w:t xml:space="preserve"> S, </w:t>
      </w:r>
      <w:proofErr w:type="spellStart"/>
      <w:r w:rsidRPr="00BD58C0">
        <w:rPr>
          <w:rFonts w:ascii="Times New Roman" w:hAnsi="Times New Roman" w:cs="Times New Roman"/>
          <w:sz w:val="24"/>
          <w:szCs w:val="24"/>
        </w:rPr>
        <w:t>Kongjan</w:t>
      </w:r>
      <w:proofErr w:type="spellEnd"/>
      <w:r w:rsidRPr="00BD58C0">
        <w:rPr>
          <w:rFonts w:ascii="Times New Roman" w:hAnsi="Times New Roman" w:cs="Times New Roman"/>
          <w:sz w:val="24"/>
          <w:szCs w:val="24"/>
        </w:rPr>
        <w:t xml:space="preserve"> </w:t>
      </w:r>
      <w:r w:rsidR="00C9509D" w:rsidRPr="00BD58C0">
        <w:rPr>
          <w:rFonts w:ascii="Times New Roman" w:hAnsi="Times New Roman" w:cs="Times New Roman"/>
          <w:sz w:val="24"/>
          <w:szCs w:val="24"/>
        </w:rPr>
        <w:t>P</w:t>
      </w:r>
      <w:r w:rsidRPr="00BD58C0">
        <w:rPr>
          <w:rFonts w:ascii="Times New Roman" w:hAnsi="Times New Roman" w:cs="Times New Roman"/>
          <w:sz w:val="24"/>
          <w:szCs w:val="24"/>
        </w:rPr>
        <w:t>, O-Thong S. Biogas production from anaerobic co-digestion of palm oil mill effluent and empty fruit bunches. In: The international conference on “alternative energy in development countries and emerging economies”;2017. p. 717-22 [Bangkok, Thailand].</w:t>
      </w:r>
    </w:p>
    <w:p w14:paraId="6F0FAFFD" w14:textId="329A7301" w:rsidR="00367B53" w:rsidRPr="00BD58C0" w:rsidRDefault="00367B53" w:rsidP="00367B53">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5820F3" w:rsidRPr="00BD58C0">
        <w:rPr>
          <w:rFonts w:ascii="Times New Roman" w:hAnsi="Times New Roman" w:cs="Times New Roman"/>
          <w:sz w:val="24"/>
          <w:szCs w:val="24"/>
        </w:rPr>
        <w:t>9</w:t>
      </w:r>
      <w:r w:rsidRPr="00BD58C0">
        <w:rPr>
          <w:rFonts w:ascii="Times New Roman" w:hAnsi="Times New Roman" w:cs="Times New Roman"/>
          <w:sz w:val="24"/>
          <w:szCs w:val="24"/>
        </w:rPr>
        <w:t xml:space="preserve">] </w:t>
      </w:r>
      <w:r w:rsidRPr="00BD58C0">
        <w:rPr>
          <w:rFonts w:ascii="Times New Roman" w:hAnsi="Times New Roman" w:cs="Times New Roman"/>
          <w:sz w:val="24"/>
          <w:szCs w:val="24"/>
        </w:rPr>
        <w:tab/>
        <w:t xml:space="preserve">Choong YY, Chou KW, </w:t>
      </w:r>
      <w:proofErr w:type="spellStart"/>
      <w:r w:rsidRPr="00BD58C0">
        <w:rPr>
          <w:rFonts w:ascii="Times New Roman" w:hAnsi="Times New Roman" w:cs="Times New Roman"/>
          <w:sz w:val="24"/>
          <w:szCs w:val="24"/>
        </w:rPr>
        <w:t>Norli</w:t>
      </w:r>
      <w:proofErr w:type="spellEnd"/>
      <w:r w:rsidRPr="00BD58C0">
        <w:rPr>
          <w:rFonts w:ascii="Times New Roman" w:hAnsi="Times New Roman" w:cs="Times New Roman"/>
          <w:sz w:val="24"/>
          <w:szCs w:val="24"/>
        </w:rPr>
        <w:t xml:space="preserve"> I. Strategies for improving biogas production of palm oil mill effluent (POME) anaerobic digestion: A critical review. </w:t>
      </w:r>
      <w:r w:rsidRPr="00BD58C0">
        <w:rPr>
          <w:rFonts w:ascii="Times New Roman" w:hAnsi="Times New Roman" w:cs="Times New Roman"/>
          <w:iCs/>
          <w:sz w:val="24"/>
          <w:szCs w:val="24"/>
        </w:rPr>
        <w:t xml:space="preserve">Renew Sust </w:t>
      </w:r>
      <w:proofErr w:type="spellStart"/>
      <w:r w:rsidRPr="00BD58C0">
        <w:rPr>
          <w:rFonts w:ascii="Times New Roman" w:hAnsi="Times New Roman" w:cs="Times New Roman"/>
          <w:iCs/>
          <w:sz w:val="24"/>
          <w:szCs w:val="24"/>
        </w:rPr>
        <w:t>Energ</w:t>
      </w:r>
      <w:proofErr w:type="spellEnd"/>
      <w:r w:rsidRPr="00BD58C0">
        <w:rPr>
          <w:rFonts w:ascii="Times New Roman" w:hAnsi="Times New Roman" w:cs="Times New Roman"/>
          <w:iCs/>
          <w:sz w:val="24"/>
          <w:szCs w:val="24"/>
        </w:rPr>
        <w:t xml:space="preserve"> Rev</w:t>
      </w:r>
      <w:r w:rsidRPr="00BD58C0">
        <w:rPr>
          <w:rFonts w:ascii="Times New Roman" w:hAnsi="Times New Roman" w:cs="Times New Roman"/>
          <w:i/>
          <w:sz w:val="24"/>
          <w:szCs w:val="24"/>
        </w:rPr>
        <w:t xml:space="preserve"> </w:t>
      </w:r>
      <w:proofErr w:type="gramStart"/>
      <w:r w:rsidRPr="00BD58C0">
        <w:rPr>
          <w:rFonts w:ascii="Times New Roman" w:hAnsi="Times New Roman" w:cs="Times New Roman"/>
          <w:iCs/>
          <w:sz w:val="24"/>
          <w:szCs w:val="24"/>
        </w:rPr>
        <w:t>2018;82:2993</w:t>
      </w:r>
      <w:proofErr w:type="gramEnd"/>
      <w:r w:rsidRPr="00BD58C0">
        <w:rPr>
          <w:rFonts w:ascii="Times New Roman" w:hAnsi="Times New Roman" w:cs="Times New Roman"/>
          <w:iCs/>
          <w:sz w:val="24"/>
          <w:szCs w:val="24"/>
        </w:rPr>
        <w:t>-3006.</w:t>
      </w:r>
    </w:p>
    <w:p w14:paraId="40F886D3" w14:textId="731E2CF8" w:rsidR="007C0330" w:rsidRPr="00BD58C0" w:rsidRDefault="00FD1369" w:rsidP="005820F3">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5820F3" w:rsidRPr="00BD58C0">
        <w:rPr>
          <w:rFonts w:ascii="Times New Roman" w:hAnsi="Times New Roman" w:cs="Times New Roman"/>
          <w:sz w:val="24"/>
          <w:szCs w:val="24"/>
        </w:rPr>
        <w:t>10</w:t>
      </w:r>
      <w:r w:rsidRPr="00BD58C0">
        <w:rPr>
          <w:rFonts w:ascii="Times New Roman" w:hAnsi="Times New Roman" w:cs="Times New Roman"/>
          <w:sz w:val="24"/>
          <w:szCs w:val="24"/>
        </w:rPr>
        <w:t>]</w:t>
      </w:r>
      <w:r w:rsidR="00526FDD" w:rsidRPr="00BD58C0">
        <w:rPr>
          <w:rFonts w:ascii="Times New Roman" w:hAnsi="Times New Roman" w:cs="Times New Roman"/>
          <w:sz w:val="24"/>
          <w:szCs w:val="24"/>
        </w:rPr>
        <w:tab/>
      </w:r>
      <w:proofErr w:type="spellStart"/>
      <w:r w:rsidR="00526FDD" w:rsidRPr="00BD58C0">
        <w:rPr>
          <w:rFonts w:ascii="Times New Roman" w:hAnsi="Times New Roman" w:cs="Times New Roman"/>
          <w:sz w:val="24"/>
          <w:szCs w:val="24"/>
        </w:rPr>
        <w:t>Loh</w:t>
      </w:r>
      <w:proofErr w:type="spellEnd"/>
      <w:r w:rsidR="00526FDD" w:rsidRPr="00BD58C0">
        <w:rPr>
          <w:rFonts w:ascii="Times New Roman" w:hAnsi="Times New Roman" w:cs="Times New Roman"/>
          <w:sz w:val="24"/>
          <w:szCs w:val="24"/>
        </w:rPr>
        <w:t xml:space="preserve"> SK, Nasrin AB, Mohamad </w:t>
      </w:r>
      <w:proofErr w:type="spellStart"/>
      <w:r w:rsidR="00526FDD" w:rsidRPr="00BD58C0">
        <w:rPr>
          <w:rFonts w:ascii="Times New Roman" w:hAnsi="Times New Roman" w:cs="Times New Roman"/>
          <w:sz w:val="24"/>
          <w:szCs w:val="24"/>
        </w:rPr>
        <w:t>A</w:t>
      </w:r>
      <w:r w:rsidR="00DA7352" w:rsidRPr="00BD58C0">
        <w:rPr>
          <w:rFonts w:ascii="Times New Roman" w:hAnsi="Times New Roman" w:cs="Times New Roman"/>
          <w:sz w:val="24"/>
          <w:szCs w:val="24"/>
        </w:rPr>
        <w:t>zri</w:t>
      </w:r>
      <w:proofErr w:type="spellEnd"/>
      <w:r w:rsidR="00DA7352" w:rsidRPr="00BD58C0">
        <w:rPr>
          <w:rFonts w:ascii="Times New Roman" w:hAnsi="Times New Roman" w:cs="Times New Roman"/>
          <w:sz w:val="24"/>
          <w:szCs w:val="24"/>
        </w:rPr>
        <w:t xml:space="preserve"> </w:t>
      </w:r>
      <w:r w:rsidR="00526FDD" w:rsidRPr="00BD58C0">
        <w:rPr>
          <w:rFonts w:ascii="Times New Roman" w:hAnsi="Times New Roman" w:cs="Times New Roman"/>
          <w:sz w:val="24"/>
          <w:szCs w:val="24"/>
        </w:rPr>
        <w:t>S,</w:t>
      </w:r>
      <w:r w:rsidR="00DA7352" w:rsidRPr="00BD58C0">
        <w:rPr>
          <w:rFonts w:ascii="Times New Roman" w:hAnsi="Times New Roman" w:cs="Times New Roman"/>
          <w:sz w:val="24"/>
          <w:szCs w:val="24"/>
        </w:rPr>
        <w:t xml:space="preserve"> Nurul Adela B, </w:t>
      </w:r>
      <w:proofErr w:type="spellStart"/>
      <w:r w:rsidR="00DA7352" w:rsidRPr="00BD58C0">
        <w:rPr>
          <w:rFonts w:ascii="Times New Roman" w:hAnsi="Times New Roman" w:cs="Times New Roman"/>
          <w:sz w:val="24"/>
          <w:szCs w:val="24"/>
        </w:rPr>
        <w:t>Muzzammil</w:t>
      </w:r>
      <w:proofErr w:type="spellEnd"/>
      <w:r w:rsidR="00DA7352" w:rsidRPr="00BD58C0">
        <w:rPr>
          <w:rFonts w:ascii="Times New Roman" w:hAnsi="Times New Roman" w:cs="Times New Roman"/>
          <w:sz w:val="24"/>
          <w:szCs w:val="24"/>
        </w:rPr>
        <w:t xml:space="preserve"> N, Daryl Jay T, et al</w:t>
      </w:r>
      <w:r w:rsidR="00526FDD" w:rsidRPr="00BD58C0">
        <w:rPr>
          <w:rFonts w:ascii="Times New Roman" w:hAnsi="Times New Roman" w:cs="Times New Roman"/>
          <w:sz w:val="24"/>
          <w:szCs w:val="24"/>
        </w:rPr>
        <w:t xml:space="preserve">. Biogas capture-a means of reducing greenhouse gas emissions from palm oil mill effluent. Oil Palm Bulletin. </w:t>
      </w:r>
      <w:proofErr w:type="gramStart"/>
      <w:r w:rsidR="00526FDD" w:rsidRPr="00BD58C0">
        <w:rPr>
          <w:rFonts w:ascii="Times New Roman" w:hAnsi="Times New Roman" w:cs="Times New Roman"/>
          <w:sz w:val="24"/>
          <w:szCs w:val="24"/>
        </w:rPr>
        <w:t>2017</w:t>
      </w:r>
      <w:r w:rsidR="00323C63" w:rsidRPr="00BD58C0">
        <w:rPr>
          <w:rFonts w:ascii="Times New Roman" w:hAnsi="Times New Roman" w:cs="Times New Roman"/>
          <w:sz w:val="24"/>
          <w:szCs w:val="24"/>
        </w:rPr>
        <w:t>;</w:t>
      </w:r>
      <w:r w:rsidR="00526FDD" w:rsidRPr="00BD58C0">
        <w:rPr>
          <w:rFonts w:ascii="Times New Roman" w:hAnsi="Times New Roman" w:cs="Times New Roman"/>
          <w:sz w:val="24"/>
          <w:szCs w:val="24"/>
        </w:rPr>
        <w:t>75:27</w:t>
      </w:r>
      <w:proofErr w:type="gramEnd"/>
      <w:r w:rsidR="00526FDD" w:rsidRPr="00BD58C0">
        <w:rPr>
          <w:rFonts w:ascii="Times New Roman" w:hAnsi="Times New Roman" w:cs="Times New Roman"/>
          <w:sz w:val="24"/>
          <w:szCs w:val="24"/>
        </w:rPr>
        <w:t>-36.</w:t>
      </w:r>
    </w:p>
    <w:p w14:paraId="0CFEAEE3" w14:textId="2740BF17" w:rsidR="00CE2DEE" w:rsidRPr="00BD58C0" w:rsidRDefault="00FD1369" w:rsidP="007D3EDC">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4E109D" w:rsidRPr="00BD58C0">
        <w:rPr>
          <w:rFonts w:ascii="Times New Roman" w:hAnsi="Times New Roman" w:cs="Times New Roman"/>
          <w:sz w:val="24"/>
          <w:szCs w:val="24"/>
        </w:rPr>
        <w:t>1</w:t>
      </w:r>
      <w:r w:rsidR="00017EE3" w:rsidRPr="00BD58C0">
        <w:rPr>
          <w:rFonts w:ascii="Times New Roman" w:hAnsi="Times New Roman" w:cs="Times New Roman"/>
          <w:sz w:val="24"/>
          <w:szCs w:val="24"/>
        </w:rPr>
        <w:t>1</w:t>
      </w:r>
      <w:r w:rsidRPr="00BD58C0">
        <w:rPr>
          <w:rFonts w:ascii="Times New Roman" w:hAnsi="Times New Roman" w:cs="Times New Roman"/>
          <w:sz w:val="24"/>
          <w:szCs w:val="24"/>
        </w:rPr>
        <w:t>]</w:t>
      </w:r>
      <w:r w:rsidR="00A33AA6" w:rsidRPr="00BD58C0">
        <w:rPr>
          <w:rFonts w:ascii="Times New Roman" w:hAnsi="Times New Roman" w:cs="Times New Roman"/>
          <w:sz w:val="24"/>
          <w:szCs w:val="24"/>
        </w:rPr>
        <w:tab/>
        <w:t>EC. National energy balance. Putrajaya,</w:t>
      </w:r>
      <w:r w:rsidR="0028775B" w:rsidRPr="00BD58C0">
        <w:rPr>
          <w:rFonts w:ascii="Times New Roman" w:hAnsi="Times New Roman" w:cs="Times New Roman"/>
          <w:sz w:val="24"/>
          <w:szCs w:val="24"/>
        </w:rPr>
        <w:t xml:space="preserve"> </w:t>
      </w:r>
      <w:r w:rsidR="00A33AA6" w:rsidRPr="00BD58C0">
        <w:rPr>
          <w:rFonts w:ascii="Times New Roman" w:hAnsi="Times New Roman" w:cs="Times New Roman"/>
          <w:sz w:val="24"/>
          <w:szCs w:val="24"/>
        </w:rPr>
        <w:t>Malaysia: Energy Commission</w:t>
      </w:r>
      <w:r w:rsidR="007D3EDC" w:rsidRPr="00BD58C0">
        <w:rPr>
          <w:rFonts w:ascii="Times New Roman" w:hAnsi="Times New Roman" w:cs="Times New Roman"/>
          <w:sz w:val="24"/>
          <w:szCs w:val="24"/>
        </w:rPr>
        <w:t xml:space="preserve">. </w:t>
      </w:r>
      <w:hyperlink r:id="rId15" w:history="1">
        <w:r w:rsidR="007D3EDC" w:rsidRPr="00BD58C0">
          <w:rPr>
            <w:rStyle w:val="Hyperlink"/>
            <w:rFonts w:ascii="Times New Roman" w:hAnsi="Times New Roman" w:cs="Times New Roman"/>
            <w:color w:val="auto"/>
            <w:sz w:val="24"/>
            <w:szCs w:val="24"/>
            <w:u w:val="none"/>
          </w:rPr>
          <w:t>https://meih.st.gov.my/documents/10620/5bb0f85c-fc99-4743-a8a9-8ee0d65f1299;2014</w:t>
        </w:r>
      </w:hyperlink>
      <w:r w:rsidR="007D3EDC" w:rsidRPr="00BD58C0">
        <w:rPr>
          <w:rFonts w:ascii="Times New Roman" w:hAnsi="Times New Roman" w:cs="Times New Roman"/>
          <w:sz w:val="24"/>
          <w:szCs w:val="24"/>
        </w:rPr>
        <w:t xml:space="preserve"> [accessed 25 November 2020].</w:t>
      </w:r>
    </w:p>
    <w:p w14:paraId="79EFA501" w14:textId="7049F77C" w:rsidR="009734DC" w:rsidRPr="00BD58C0" w:rsidRDefault="009734DC" w:rsidP="009734DC">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lastRenderedPageBreak/>
        <w:t>[12]</w:t>
      </w:r>
      <w:r w:rsidRPr="00BD58C0">
        <w:rPr>
          <w:rFonts w:ascii="Times New Roman" w:hAnsi="Times New Roman" w:cs="Times New Roman"/>
          <w:sz w:val="24"/>
          <w:szCs w:val="24"/>
        </w:rPr>
        <w:tab/>
        <w:t xml:space="preserve">Jain, S. Market Report-World Biogas Association. </w:t>
      </w:r>
      <w:hyperlink r:id="rId16" w:history="1">
        <w:r w:rsidRPr="00BD58C0">
          <w:rPr>
            <w:rStyle w:val="Hyperlink"/>
            <w:rFonts w:ascii="Times New Roman" w:hAnsi="Times New Roman" w:cs="Times New Roman"/>
            <w:color w:val="auto"/>
            <w:sz w:val="24"/>
            <w:szCs w:val="24"/>
            <w:u w:val="none"/>
          </w:rPr>
          <w:t>WBA-malaysia-4ppa4_v1.pdf (worldbiogasassociation.org)</w:t>
        </w:r>
      </w:hyperlink>
      <w:r w:rsidRPr="00BD58C0">
        <w:rPr>
          <w:rFonts w:ascii="Times New Roman" w:hAnsi="Times New Roman" w:cs="Times New Roman"/>
          <w:sz w:val="24"/>
          <w:szCs w:val="24"/>
        </w:rPr>
        <w:t>;2019 [accessed 3 October 2021].</w:t>
      </w:r>
    </w:p>
    <w:p w14:paraId="615E6282" w14:textId="6EE86FA3" w:rsidR="00D603BD" w:rsidRPr="00BD58C0" w:rsidRDefault="00D603BD" w:rsidP="00D603BD">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[13]</w:t>
      </w:r>
      <w:r w:rsidRPr="00BD58C0">
        <w:rPr>
          <w:rFonts w:ascii="Times New Roman" w:hAnsi="Times New Roman" w:cs="Times New Roman"/>
          <w:sz w:val="24"/>
          <w:szCs w:val="24"/>
        </w:rPr>
        <w:tab/>
      </w:r>
      <w:proofErr w:type="spellStart"/>
      <w:r w:rsidRPr="00BD58C0">
        <w:rPr>
          <w:rFonts w:ascii="Times New Roman" w:hAnsi="Times New Roman" w:cs="Times New Roman"/>
          <w:sz w:val="24"/>
          <w:szCs w:val="24"/>
        </w:rPr>
        <w:t>Harahap</w:t>
      </w:r>
      <w:proofErr w:type="spellEnd"/>
      <w:r w:rsidRPr="00BD58C0">
        <w:rPr>
          <w:rFonts w:ascii="Times New Roman" w:hAnsi="Times New Roman" w:cs="Times New Roman"/>
          <w:sz w:val="24"/>
          <w:szCs w:val="24"/>
        </w:rPr>
        <w:t xml:space="preserve"> F, Silveira S, Khatiwada D. Cost competitiveness of palm oil biodiesel production in Indonesia. Energy </w:t>
      </w:r>
      <w:proofErr w:type="gramStart"/>
      <w:r w:rsidRPr="00BD58C0">
        <w:rPr>
          <w:rFonts w:ascii="Times New Roman" w:hAnsi="Times New Roman" w:cs="Times New Roman"/>
          <w:sz w:val="24"/>
          <w:szCs w:val="24"/>
        </w:rPr>
        <w:t>2019;170:62</w:t>
      </w:r>
      <w:proofErr w:type="gramEnd"/>
      <w:r w:rsidRPr="00BD58C0">
        <w:rPr>
          <w:rFonts w:ascii="Times New Roman" w:hAnsi="Times New Roman" w:cs="Times New Roman"/>
          <w:sz w:val="24"/>
          <w:szCs w:val="24"/>
        </w:rPr>
        <w:t>-72.</w:t>
      </w:r>
    </w:p>
    <w:p w14:paraId="7CF5F655" w14:textId="16DC881C" w:rsidR="00D603BD" w:rsidRPr="00BD58C0" w:rsidRDefault="00D603BD" w:rsidP="00D603BD">
      <w:pPr>
        <w:pStyle w:val="Default"/>
        <w:spacing w:line="360" w:lineRule="auto"/>
        <w:ind w:left="720" w:hanging="720"/>
        <w:rPr>
          <w:color w:val="auto"/>
        </w:rPr>
      </w:pPr>
      <w:r w:rsidRPr="00BD58C0">
        <w:rPr>
          <w:color w:val="auto"/>
        </w:rPr>
        <w:t>[14]</w:t>
      </w:r>
      <w:r w:rsidRPr="00BD58C0">
        <w:rPr>
          <w:color w:val="auto"/>
        </w:rPr>
        <w:tab/>
      </w:r>
      <w:proofErr w:type="spellStart"/>
      <w:r w:rsidRPr="00BD58C0">
        <w:rPr>
          <w:color w:val="auto"/>
        </w:rPr>
        <w:t>Habibzadeh-Bigdarvish</w:t>
      </w:r>
      <w:proofErr w:type="spellEnd"/>
      <w:r w:rsidRPr="00BD58C0">
        <w:rPr>
          <w:color w:val="auto"/>
        </w:rPr>
        <w:t xml:space="preserve"> O, Yu X, Lei G, Li T, </w:t>
      </w:r>
      <w:proofErr w:type="spellStart"/>
      <w:r w:rsidRPr="00BD58C0">
        <w:rPr>
          <w:color w:val="auto"/>
        </w:rPr>
        <w:t>Puppala</w:t>
      </w:r>
      <w:proofErr w:type="spellEnd"/>
      <w:r w:rsidRPr="00BD58C0">
        <w:rPr>
          <w:color w:val="auto"/>
        </w:rPr>
        <w:t xml:space="preserve"> AJ. Life - Cycle cost-benefit analysis of Bridge deck de-icing using geothermal heat pump system: A case study of North Texas. Sustainable Cities and Society</w:t>
      </w:r>
      <w:r w:rsidRPr="00BD58C0">
        <w:rPr>
          <w:i/>
          <w:iCs/>
          <w:color w:val="auto"/>
        </w:rPr>
        <w:t xml:space="preserve"> </w:t>
      </w:r>
      <w:proofErr w:type="gramStart"/>
      <w:r w:rsidRPr="00BD58C0">
        <w:rPr>
          <w:color w:val="auto"/>
        </w:rPr>
        <w:t>2019</w:t>
      </w:r>
      <w:r w:rsidRPr="00BD58C0">
        <w:rPr>
          <w:i/>
          <w:iCs/>
          <w:color w:val="auto"/>
        </w:rPr>
        <w:t>;</w:t>
      </w:r>
      <w:r w:rsidRPr="00BD58C0">
        <w:rPr>
          <w:color w:val="auto"/>
        </w:rPr>
        <w:t>47:101492</w:t>
      </w:r>
      <w:proofErr w:type="gramEnd"/>
      <w:r w:rsidRPr="00BD58C0">
        <w:rPr>
          <w:color w:val="auto"/>
        </w:rPr>
        <w:t>.</w:t>
      </w:r>
    </w:p>
    <w:p w14:paraId="02F8044F" w14:textId="01E08C40" w:rsidR="00D603BD" w:rsidRPr="00BD58C0" w:rsidRDefault="00D603BD" w:rsidP="00D603BD">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[15]</w:t>
      </w:r>
      <w:r w:rsidRPr="00BD58C0">
        <w:rPr>
          <w:rFonts w:ascii="Times New Roman" w:hAnsi="Times New Roman" w:cs="Times New Roman"/>
          <w:sz w:val="24"/>
          <w:szCs w:val="24"/>
        </w:rPr>
        <w:tab/>
        <w:t xml:space="preserve">George AM, Banerjee A, </w:t>
      </w:r>
      <w:proofErr w:type="spellStart"/>
      <w:r w:rsidRPr="00BD58C0">
        <w:rPr>
          <w:rFonts w:ascii="Times New Roman" w:hAnsi="Times New Roman" w:cs="Times New Roman"/>
          <w:sz w:val="24"/>
          <w:szCs w:val="24"/>
        </w:rPr>
        <w:t>Puppala</w:t>
      </w:r>
      <w:proofErr w:type="spellEnd"/>
      <w:r w:rsidRPr="00BD58C0">
        <w:rPr>
          <w:rFonts w:ascii="Times New Roman" w:hAnsi="Times New Roman" w:cs="Times New Roman"/>
          <w:sz w:val="24"/>
          <w:szCs w:val="24"/>
        </w:rPr>
        <w:t xml:space="preserve"> AJ, </w:t>
      </w:r>
      <w:proofErr w:type="spellStart"/>
      <w:r w:rsidRPr="00BD58C0">
        <w:rPr>
          <w:rFonts w:ascii="Times New Roman" w:hAnsi="Times New Roman" w:cs="Times New Roman"/>
          <w:sz w:val="24"/>
          <w:szCs w:val="24"/>
        </w:rPr>
        <w:t>Practico</w:t>
      </w:r>
      <w:proofErr w:type="spellEnd"/>
      <w:r w:rsidRPr="00BD58C0">
        <w:rPr>
          <w:rFonts w:ascii="Times New Roman" w:hAnsi="Times New Roman" w:cs="Times New Roman"/>
          <w:sz w:val="24"/>
          <w:szCs w:val="24"/>
        </w:rPr>
        <w:t xml:space="preserve"> F. An integrated LCA-LCCA framework for the selection of sustainable pavement design. Transportation Research Board 98th Annual Meeting 2019.</w:t>
      </w:r>
    </w:p>
    <w:p w14:paraId="7FC9EDB0" w14:textId="64199DCF" w:rsidR="00D603BD" w:rsidRPr="00BD58C0" w:rsidRDefault="00D603BD" w:rsidP="00D603BD">
      <w:pPr>
        <w:pStyle w:val="EndNoteBibliography"/>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sz w:val="24"/>
          <w:szCs w:val="24"/>
        </w:rPr>
        <w:t>[16]</w:t>
      </w:r>
      <w:r w:rsidRPr="00BD58C0">
        <w:rPr>
          <w:rFonts w:ascii="Times New Roman" w:hAnsi="Times New Roman" w:cs="Times New Roman"/>
          <w:sz w:val="24"/>
          <w:szCs w:val="24"/>
        </w:rPr>
        <w:tab/>
      </w:r>
      <w:bookmarkStart w:id="15" w:name="_ENREF_115"/>
      <w:r w:rsidRPr="00BD58C0">
        <w:rPr>
          <w:rFonts w:ascii="Times New Roman" w:hAnsi="Times New Roman" w:cs="Times New Roman"/>
          <w:sz w:val="24"/>
          <w:szCs w:val="24"/>
        </w:rPr>
        <w:t xml:space="preserve">Yien WS, Sharaai AH, Kusin FM, Ismail MM. Renewable energy policy status and challenges of POME-biogas industry in Malaysia. </w:t>
      </w:r>
      <w:r w:rsidRPr="00BD58C0">
        <w:rPr>
          <w:rFonts w:ascii="Times New Roman" w:hAnsi="Times New Roman" w:cs="Times New Roman"/>
          <w:iCs/>
          <w:sz w:val="24"/>
          <w:szCs w:val="24"/>
        </w:rPr>
        <w:t>Pertanika Journal of Scholarly Research Reviews 2015;33-9.</w:t>
      </w:r>
      <w:bookmarkEnd w:id="15"/>
    </w:p>
    <w:p w14:paraId="00B0727A" w14:textId="30316771" w:rsidR="00D603BD" w:rsidRPr="00BD58C0" w:rsidRDefault="00D603BD" w:rsidP="00D603BD">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iCs/>
          <w:sz w:val="24"/>
          <w:szCs w:val="24"/>
        </w:rPr>
        <w:t>[17]</w:t>
      </w:r>
      <w:r w:rsidRPr="00BD58C0">
        <w:rPr>
          <w:rFonts w:ascii="Times New Roman" w:hAnsi="Times New Roman" w:cs="Times New Roman"/>
          <w:iCs/>
          <w:sz w:val="24"/>
          <w:szCs w:val="24"/>
        </w:rPr>
        <w:tab/>
      </w:r>
      <w:proofErr w:type="spellStart"/>
      <w:r w:rsidRPr="00BD58C0">
        <w:rPr>
          <w:rFonts w:ascii="Times New Roman" w:hAnsi="Times New Roman" w:cs="Times New Roman"/>
          <w:sz w:val="24"/>
          <w:szCs w:val="24"/>
        </w:rPr>
        <w:t>Saaty</w:t>
      </w:r>
      <w:proofErr w:type="spellEnd"/>
      <w:r w:rsidRPr="00BD58C0">
        <w:rPr>
          <w:rFonts w:ascii="Times New Roman" w:hAnsi="Times New Roman" w:cs="Times New Roman"/>
          <w:sz w:val="24"/>
          <w:szCs w:val="24"/>
        </w:rPr>
        <w:t xml:space="preserve"> RW. The analytic hierarchy process-what it is and how it is used. Math Mod 1987;9(3):161-76.</w:t>
      </w:r>
    </w:p>
    <w:p w14:paraId="591CD73B" w14:textId="1DE803B4" w:rsidR="00D603BD" w:rsidRPr="00BD58C0" w:rsidRDefault="00D603BD" w:rsidP="00D603BD">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iCs/>
          <w:sz w:val="24"/>
          <w:szCs w:val="24"/>
        </w:rPr>
        <w:t>[18]</w:t>
      </w:r>
      <w:r w:rsidRPr="00BD58C0">
        <w:rPr>
          <w:rFonts w:ascii="Times New Roman" w:hAnsi="Times New Roman" w:cs="Times New Roman"/>
          <w:iCs/>
          <w:sz w:val="24"/>
          <w:szCs w:val="24"/>
        </w:rPr>
        <w:tab/>
      </w:r>
      <w:r w:rsidRPr="00BD58C0">
        <w:rPr>
          <w:rFonts w:ascii="Times New Roman" w:hAnsi="Times New Roman" w:cs="Times New Roman"/>
          <w:sz w:val="24"/>
          <w:szCs w:val="24"/>
        </w:rPr>
        <w:t>Sharvini SR, Noor ZZ, Chong CS, Stringer LC, Glew D. Energy generation from palm oil mill effluent: A life cycle assessment of two biogas technologies. Energy 2019;191:116513.</w:t>
      </w:r>
    </w:p>
    <w:p w14:paraId="66193654" w14:textId="2BB9096B" w:rsidR="00F326CB" w:rsidRPr="00BD58C0" w:rsidRDefault="00FD1369" w:rsidP="00F326CB">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4E109D" w:rsidRPr="00BD58C0">
        <w:rPr>
          <w:rFonts w:ascii="Times New Roman" w:hAnsi="Times New Roman" w:cs="Times New Roman"/>
          <w:sz w:val="24"/>
          <w:szCs w:val="24"/>
        </w:rPr>
        <w:t>1</w:t>
      </w:r>
      <w:r w:rsidR="00D603BD" w:rsidRPr="00BD58C0">
        <w:rPr>
          <w:rFonts w:ascii="Times New Roman" w:hAnsi="Times New Roman" w:cs="Times New Roman"/>
          <w:sz w:val="24"/>
          <w:szCs w:val="24"/>
        </w:rPr>
        <w:t>9</w:t>
      </w:r>
      <w:r w:rsidRPr="00BD58C0">
        <w:rPr>
          <w:rFonts w:ascii="Times New Roman" w:hAnsi="Times New Roman" w:cs="Times New Roman"/>
          <w:sz w:val="24"/>
          <w:szCs w:val="24"/>
        </w:rPr>
        <w:t>]</w:t>
      </w:r>
      <w:r w:rsidR="008777E6" w:rsidRPr="00BD58C0">
        <w:rPr>
          <w:rFonts w:ascii="Times New Roman" w:hAnsi="Times New Roman" w:cs="Times New Roman"/>
          <w:sz w:val="24"/>
          <w:szCs w:val="24"/>
        </w:rPr>
        <w:tab/>
      </w:r>
      <w:r w:rsidR="00F326CB" w:rsidRPr="00BD58C0">
        <w:rPr>
          <w:rFonts w:ascii="Times New Roman" w:hAnsi="Times New Roman" w:cs="Times New Roman"/>
          <w:sz w:val="24"/>
          <w:szCs w:val="24"/>
        </w:rPr>
        <w:t>Yeoh</w:t>
      </w:r>
      <w:r w:rsidR="008B5F3C" w:rsidRPr="00BD58C0">
        <w:rPr>
          <w:rFonts w:ascii="Times New Roman" w:hAnsi="Times New Roman" w:cs="Times New Roman"/>
          <w:sz w:val="24"/>
          <w:szCs w:val="24"/>
        </w:rPr>
        <w:t xml:space="preserve"> </w:t>
      </w:r>
      <w:r w:rsidR="00F326CB" w:rsidRPr="00BD58C0">
        <w:rPr>
          <w:rFonts w:ascii="Times New Roman" w:hAnsi="Times New Roman" w:cs="Times New Roman"/>
          <w:sz w:val="24"/>
          <w:szCs w:val="24"/>
        </w:rPr>
        <w:t>BG. A technical and economic analysis of heat and power generation from biomethanation of palm oil mill effluent. Int</w:t>
      </w:r>
      <w:r w:rsidR="00A31616" w:rsidRPr="00BD58C0">
        <w:rPr>
          <w:rFonts w:ascii="Times New Roman" w:hAnsi="Times New Roman" w:cs="Times New Roman"/>
          <w:sz w:val="24"/>
          <w:szCs w:val="24"/>
        </w:rPr>
        <w:t>.</w:t>
      </w:r>
      <w:r w:rsidR="00F326CB" w:rsidRPr="00BD58C0">
        <w:rPr>
          <w:rFonts w:ascii="Times New Roman" w:hAnsi="Times New Roman" w:cs="Times New Roman"/>
          <w:sz w:val="24"/>
          <w:szCs w:val="24"/>
        </w:rPr>
        <w:t xml:space="preserve"> Energy J 2005;6(1):15-27.</w:t>
      </w:r>
    </w:p>
    <w:p w14:paraId="3425180B" w14:textId="6B6B9E6A" w:rsidR="00196A2A" w:rsidRPr="00BD58C0" w:rsidRDefault="00FD1369" w:rsidP="00932F70">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D603BD" w:rsidRPr="00BD58C0">
        <w:rPr>
          <w:rFonts w:ascii="Times New Roman" w:hAnsi="Times New Roman" w:cs="Times New Roman"/>
          <w:sz w:val="24"/>
          <w:szCs w:val="24"/>
        </w:rPr>
        <w:t>20</w:t>
      </w:r>
      <w:r w:rsidRPr="00BD58C0">
        <w:rPr>
          <w:rFonts w:ascii="Times New Roman" w:hAnsi="Times New Roman" w:cs="Times New Roman"/>
          <w:sz w:val="24"/>
          <w:szCs w:val="24"/>
        </w:rPr>
        <w:t>]</w:t>
      </w:r>
      <w:r w:rsidR="008777E6" w:rsidRPr="00BD58C0">
        <w:rPr>
          <w:rFonts w:ascii="Times New Roman" w:hAnsi="Times New Roman" w:cs="Times New Roman"/>
          <w:sz w:val="24"/>
          <w:szCs w:val="24"/>
        </w:rPr>
        <w:tab/>
      </w:r>
      <w:r w:rsidR="00932F70" w:rsidRPr="00BD58C0">
        <w:rPr>
          <w:rFonts w:ascii="Times New Roman" w:hAnsi="Times New Roman" w:cs="Times New Roman"/>
          <w:sz w:val="24"/>
          <w:szCs w:val="24"/>
        </w:rPr>
        <w:t xml:space="preserve">Abas R, Abdullah R, Hawari Y. Economic feasibility study on establishing an oil palm biogas plant in Malaysia. </w:t>
      </w:r>
      <w:r w:rsidR="00932F70" w:rsidRPr="00BD58C0">
        <w:rPr>
          <w:rFonts w:ascii="Times New Roman" w:hAnsi="Times New Roman" w:cs="Times New Roman"/>
          <w:iCs/>
          <w:sz w:val="24"/>
          <w:szCs w:val="24"/>
        </w:rPr>
        <w:t xml:space="preserve">Oil Palm Industry Economic Journal, </w:t>
      </w:r>
      <w:r w:rsidR="00932F70" w:rsidRPr="00BD58C0">
        <w:rPr>
          <w:rFonts w:ascii="Times New Roman" w:hAnsi="Times New Roman" w:cs="Times New Roman"/>
          <w:sz w:val="24"/>
          <w:szCs w:val="24"/>
        </w:rPr>
        <w:t>2013;13(1):14-21.</w:t>
      </w:r>
    </w:p>
    <w:p w14:paraId="32AF61FC" w14:textId="7D5E5EF8" w:rsidR="00B05AB9" w:rsidRPr="00BD58C0" w:rsidRDefault="006D1440" w:rsidP="00F326CB">
      <w:pPr>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D603BD" w:rsidRPr="00BD58C0">
        <w:rPr>
          <w:rFonts w:ascii="Times New Roman" w:hAnsi="Times New Roman" w:cs="Times New Roman"/>
          <w:sz w:val="24"/>
          <w:szCs w:val="24"/>
        </w:rPr>
        <w:t>21</w:t>
      </w:r>
      <w:r w:rsidRPr="00BD58C0">
        <w:rPr>
          <w:rFonts w:ascii="Times New Roman" w:hAnsi="Times New Roman" w:cs="Times New Roman"/>
          <w:sz w:val="24"/>
          <w:szCs w:val="24"/>
        </w:rPr>
        <w:t>]</w:t>
      </w:r>
      <w:r w:rsidR="00196A2A" w:rsidRPr="00BD58C0">
        <w:rPr>
          <w:rFonts w:ascii="Times New Roman" w:hAnsi="Times New Roman" w:cs="Times New Roman"/>
          <w:sz w:val="24"/>
          <w:szCs w:val="24"/>
        </w:rPr>
        <w:tab/>
      </w:r>
      <w:r w:rsidR="008777E6" w:rsidRPr="00BD58C0">
        <w:rPr>
          <w:rFonts w:ascii="Times New Roman" w:hAnsi="Times New Roman" w:cs="Times New Roman"/>
          <w:sz w:val="24"/>
          <w:szCs w:val="24"/>
        </w:rPr>
        <w:t xml:space="preserve">Garcia-Nunez JA, Rodrigues DT, Fontanilla CA, </w:t>
      </w:r>
      <w:r w:rsidR="001246BF" w:rsidRPr="00BD58C0">
        <w:rPr>
          <w:rFonts w:ascii="Times New Roman" w:hAnsi="Times New Roman" w:cs="Times New Roman"/>
          <w:sz w:val="24"/>
          <w:szCs w:val="24"/>
        </w:rPr>
        <w:t xml:space="preserve">Ramirez NE, Silva Lora EE, </w:t>
      </w:r>
      <w:proofErr w:type="spellStart"/>
      <w:r w:rsidR="001246BF" w:rsidRPr="00BD58C0">
        <w:rPr>
          <w:rFonts w:ascii="Times New Roman" w:hAnsi="Times New Roman" w:cs="Times New Roman"/>
          <w:sz w:val="24"/>
          <w:szCs w:val="24"/>
        </w:rPr>
        <w:t>Frear</w:t>
      </w:r>
      <w:proofErr w:type="spellEnd"/>
      <w:r w:rsidR="001246BF" w:rsidRPr="00BD58C0">
        <w:rPr>
          <w:rFonts w:ascii="Times New Roman" w:hAnsi="Times New Roman" w:cs="Times New Roman"/>
          <w:sz w:val="24"/>
          <w:szCs w:val="24"/>
        </w:rPr>
        <w:t xml:space="preserve"> CS, </w:t>
      </w:r>
      <w:r w:rsidR="008777E6" w:rsidRPr="00BD58C0">
        <w:rPr>
          <w:rFonts w:ascii="Times New Roman" w:hAnsi="Times New Roman" w:cs="Times New Roman"/>
          <w:sz w:val="24"/>
          <w:szCs w:val="24"/>
        </w:rPr>
        <w:t xml:space="preserve">et al. Evaluation of alternatives for the evolution of palm oil mills into biorefineries. Biomass </w:t>
      </w:r>
      <w:proofErr w:type="spellStart"/>
      <w:r w:rsidR="001246BF" w:rsidRPr="00BD58C0">
        <w:rPr>
          <w:rFonts w:ascii="Times New Roman" w:hAnsi="Times New Roman" w:cs="Times New Roman"/>
          <w:sz w:val="24"/>
          <w:szCs w:val="24"/>
        </w:rPr>
        <w:t>B</w:t>
      </w:r>
      <w:r w:rsidR="008777E6" w:rsidRPr="00BD58C0">
        <w:rPr>
          <w:rFonts w:ascii="Times New Roman" w:hAnsi="Times New Roman" w:cs="Times New Roman"/>
          <w:sz w:val="24"/>
          <w:szCs w:val="24"/>
        </w:rPr>
        <w:t>ioenerg</w:t>
      </w:r>
      <w:proofErr w:type="spellEnd"/>
      <w:r w:rsidR="00562D1D" w:rsidRPr="00BD58C0">
        <w:rPr>
          <w:rFonts w:ascii="Times New Roman" w:hAnsi="Times New Roman" w:cs="Times New Roman"/>
          <w:sz w:val="24"/>
          <w:szCs w:val="24"/>
        </w:rPr>
        <w:t xml:space="preserve"> </w:t>
      </w:r>
      <w:proofErr w:type="gramStart"/>
      <w:r w:rsidR="008777E6" w:rsidRPr="00BD58C0">
        <w:rPr>
          <w:rFonts w:ascii="Times New Roman" w:hAnsi="Times New Roman" w:cs="Times New Roman"/>
          <w:sz w:val="24"/>
          <w:szCs w:val="24"/>
        </w:rPr>
        <w:t>2016;95:310</w:t>
      </w:r>
      <w:proofErr w:type="gramEnd"/>
      <w:r w:rsidR="008777E6" w:rsidRPr="00BD58C0">
        <w:rPr>
          <w:rFonts w:ascii="Times New Roman" w:hAnsi="Times New Roman" w:cs="Times New Roman"/>
          <w:sz w:val="24"/>
          <w:szCs w:val="24"/>
        </w:rPr>
        <w:t>-29.</w:t>
      </w:r>
    </w:p>
    <w:p w14:paraId="331BAE49" w14:textId="5C36DA0D" w:rsidR="00F0191C" w:rsidRPr="00BD58C0" w:rsidRDefault="00F0191C" w:rsidP="00F0191C">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iCs/>
          <w:sz w:val="24"/>
          <w:szCs w:val="24"/>
        </w:rPr>
        <w:t>[</w:t>
      </w:r>
      <w:r w:rsidR="00CA51D6" w:rsidRPr="00BD58C0">
        <w:rPr>
          <w:rFonts w:ascii="Times New Roman" w:hAnsi="Times New Roman" w:cs="Times New Roman"/>
          <w:iCs/>
          <w:sz w:val="24"/>
          <w:szCs w:val="24"/>
        </w:rPr>
        <w:t>22</w:t>
      </w:r>
      <w:r w:rsidRPr="00BD58C0">
        <w:rPr>
          <w:rFonts w:ascii="Times New Roman" w:hAnsi="Times New Roman" w:cs="Times New Roman"/>
          <w:iCs/>
          <w:sz w:val="24"/>
          <w:szCs w:val="24"/>
        </w:rPr>
        <w:t>]</w:t>
      </w:r>
      <w:r w:rsidRPr="00BD58C0">
        <w:rPr>
          <w:rFonts w:ascii="Times New Roman" w:hAnsi="Times New Roman" w:cs="Times New Roman"/>
          <w:sz w:val="24"/>
          <w:szCs w:val="24"/>
        </w:rPr>
        <w:t xml:space="preserve"> </w:t>
      </w:r>
      <w:r w:rsidRPr="00BD58C0">
        <w:rPr>
          <w:rFonts w:ascii="Times New Roman" w:hAnsi="Times New Roman" w:cs="Times New Roman"/>
          <w:sz w:val="24"/>
          <w:szCs w:val="24"/>
        </w:rPr>
        <w:tab/>
        <w:t>NKEA. National biogas implementation (EPP 5). Putrajaya, Malaysia: National Key Economic Area</w:t>
      </w:r>
      <w:r w:rsidR="007D3EDC" w:rsidRPr="00BD58C0">
        <w:rPr>
          <w:rFonts w:ascii="Times New Roman" w:hAnsi="Times New Roman" w:cs="Times New Roman"/>
          <w:sz w:val="24"/>
          <w:szCs w:val="24"/>
        </w:rPr>
        <w:t>.</w:t>
      </w:r>
      <w:r w:rsidR="007D3EDC" w:rsidRPr="00BD58C0">
        <w:t xml:space="preserve"> </w:t>
      </w:r>
      <w:hyperlink r:id="rId17" w:history="1">
        <w:r w:rsidR="007D3EDC" w:rsidRPr="00BD58C0">
          <w:rPr>
            <w:rStyle w:val="Hyperlink"/>
            <w:rFonts w:ascii="Times New Roman" w:hAnsi="Times New Roman" w:cs="Times New Roman"/>
            <w:color w:val="auto"/>
            <w:sz w:val="24"/>
            <w:szCs w:val="24"/>
            <w:u w:val="none"/>
          </w:rPr>
          <w:t>http://www.palmoilworld.org/PDFs/NKEA-EPP5-Biogas.pdf;2014</w:t>
        </w:r>
      </w:hyperlink>
      <w:r w:rsidR="007D3EDC" w:rsidRPr="00BD58C0">
        <w:rPr>
          <w:rFonts w:ascii="Times New Roman" w:hAnsi="Times New Roman" w:cs="Times New Roman"/>
          <w:sz w:val="24"/>
          <w:szCs w:val="24"/>
        </w:rPr>
        <w:t xml:space="preserve"> [accessed 27 November 2020]</w:t>
      </w:r>
      <w:r w:rsidRPr="00BD58C0">
        <w:rPr>
          <w:rFonts w:ascii="Times New Roman" w:hAnsi="Times New Roman" w:cs="Times New Roman"/>
          <w:sz w:val="24"/>
          <w:szCs w:val="24"/>
        </w:rPr>
        <w:t>.</w:t>
      </w:r>
    </w:p>
    <w:p w14:paraId="75557104" w14:textId="392AB978" w:rsidR="00F0191C" w:rsidRPr="00BD58C0" w:rsidRDefault="00F0191C" w:rsidP="00F0191C">
      <w:pPr>
        <w:pStyle w:val="EndNoteBibliography"/>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iCs/>
          <w:sz w:val="24"/>
          <w:szCs w:val="24"/>
        </w:rPr>
        <w:t>[</w:t>
      </w:r>
      <w:r w:rsidR="009734DC" w:rsidRPr="00BD58C0">
        <w:rPr>
          <w:rFonts w:ascii="Times New Roman" w:hAnsi="Times New Roman" w:cs="Times New Roman"/>
          <w:iCs/>
          <w:sz w:val="24"/>
          <w:szCs w:val="24"/>
        </w:rPr>
        <w:t>2</w:t>
      </w:r>
      <w:r w:rsidR="00CA51D6" w:rsidRPr="00BD58C0">
        <w:rPr>
          <w:rFonts w:ascii="Times New Roman" w:hAnsi="Times New Roman" w:cs="Times New Roman"/>
          <w:iCs/>
          <w:sz w:val="24"/>
          <w:szCs w:val="24"/>
        </w:rPr>
        <w:t>3</w:t>
      </w:r>
      <w:r w:rsidRPr="00BD58C0">
        <w:rPr>
          <w:rFonts w:ascii="Times New Roman" w:hAnsi="Times New Roman" w:cs="Times New Roman"/>
          <w:iCs/>
          <w:sz w:val="24"/>
          <w:szCs w:val="24"/>
        </w:rPr>
        <w:t>]</w:t>
      </w:r>
      <w:r w:rsidRPr="00BD58C0">
        <w:rPr>
          <w:rFonts w:ascii="Times New Roman" w:hAnsi="Times New Roman" w:cs="Times New Roman"/>
          <w:iCs/>
          <w:sz w:val="24"/>
          <w:szCs w:val="24"/>
        </w:rPr>
        <w:tab/>
      </w:r>
      <w:r w:rsidRPr="00BD58C0">
        <w:rPr>
          <w:rFonts w:ascii="Times New Roman" w:hAnsi="Times New Roman" w:cs="Times New Roman"/>
          <w:sz w:val="24"/>
          <w:szCs w:val="24"/>
        </w:rPr>
        <w:t xml:space="preserve">Loh SK, Nasrin AB, Azri SM, Adela BN, Muzzammil N, Jay TD et al. First report on Malaysia’s experiences and development in biogas capture and utilization from palm oil mill effluent under the Economic Transformation Programme: Current and future perspectives. </w:t>
      </w:r>
      <w:r w:rsidRPr="00BD58C0">
        <w:rPr>
          <w:rFonts w:ascii="Times New Roman" w:hAnsi="Times New Roman" w:cs="Times New Roman"/>
          <w:iCs/>
          <w:sz w:val="24"/>
          <w:szCs w:val="24"/>
        </w:rPr>
        <w:t>Renew Sust Energ Rev 2017;74:1257-74.</w:t>
      </w:r>
    </w:p>
    <w:p w14:paraId="01DB45F2" w14:textId="14EEB9A6" w:rsidR="00936F84" w:rsidRPr="00BD58C0" w:rsidRDefault="00F0191C" w:rsidP="00936F84">
      <w:pPr>
        <w:pStyle w:val="reference"/>
        <w:numPr>
          <w:ilvl w:val="0"/>
          <w:numId w:val="0"/>
        </w:numPr>
        <w:spacing w:line="360" w:lineRule="auto"/>
        <w:ind w:left="720" w:hanging="720"/>
      </w:pPr>
      <w:r w:rsidRPr="00BD58C0">
        <w:rPr>
          <w:iCs/>
        </w:rPr>
        <w:t>[</w:t>
      </w:r>
      <w:r w:rsidR="009734DC" w:rsidRPr="00BD58C0">
        <w:rPr>
          <w:iCs/>
        </w:rPr>
        <w:t>2</w:t>
      </w:r>
      <w:r w:rsidR="00CA51D6" w:rsidRPr="00BD58C0">
        <w:rPr>
          <w:iCs/>
        </w:rPr>
        <w:t>4</w:t>
      </w:r>
      <w:r w:rsidRPr="00BD58C0">
        <w:rPr>
          <w:iCs/>
        </w:rPr>
        <w:t>]</w:t>
      </w:r>
      <w:r w:rsidR="00936F84" w:rsidRPr="00BD58C0">
        <w:rPr>
          <w:iCs/>
        </w:rPr>
        <w:tab/>
      </w:r>
      <w:r w:rsidR="00936F84" w:rsidRPr="00BD58C0">
        <w:t>EQA</w:t>
      </w:r>
      <w:r w:rsidR="007737A8" w:rsidRPr="00BD58C0">
        <w:t xml:space="preserve">. </w:t>
      </w:r>
      <w:r w:rsidR="00936F84" w:rsidRPr="00BD58C0">
        <w:t xml:space="preserve">Environmental Quality (Prescribed Premises) (Crude Palm Oil) Regulations 1977. </w:t>
      </w:r>
      <w:r w:rsidR="007737A8" w:rsidRPr="00BD58C0">
        <w:t xml:space="preserve">Malaysia: Environmental Quality Act. </w:t>
      </w:r>
      <w:hyperlink r:id="rId18" w:history="1">
        <w:r w:rsidR="007737A8" w:rsidRPr="00BD58C0">
          <w:rPr>
            <w:rStyle w:val="Hyperlink"/>
            <w:color w:val="auto"/>
            <w:u w:val="none"/>
          </w:rPr>
          <w:t>https://www.doe.gov.my/portalv1/wpcontent/uploads/2015/01/Environmental_Quality_Prescribed_Premises_Crude_Palm_Oil_Regulations_1977_-_P.U.A_342-77.pdf;1974</w:t>
        </w:r>
      </w:hyperlink>
      <w:r w:rsidR="007737A8" w:rsidRPr="00BD58C0">
        <w:t xml:space="preserve"> [accessed 2</w:t>
      </w:r>
      <w:r w:rsidR="007D3EDC" w:rsidRPr="00BD58C0">
        <w:t>8 November</w:t>
      </w:r>
      <w:r w:rsidR="007737A8" w:rsidRPr="00BD58C0">
        <w:t xml:space="preserve"> 2020].</w:t>
      </w:r>
    </w:p>
    <w:p w14:paraId="2B14A05A" w14:textId="0FB5C4AD" w:rsidR="00470982" w:rsidRPr="00BD58C0" w:rsidRDefault="00991440" w:rsidP="00470982">
      <w:pPr>
        <w:pStyle w:val="EndNoteBibliography"/>
        <w:spacing w:after="0" w:line="360" w:lineRule="auto"/>
        <w:ind w:left="720" w:hanging="720"/>
        <w:jc w:val="both"/>
        <w:rPr>
          <w:rStyle w:val="Hyperlink"/>
          <w:rFonts w:ascii="Times New Roman" w:hAnsi="Times New Roman" w:cs="Times New Roman"/>
          <w:color w:val="auto"/>
          <w:sz w:val="24"/>
          <w:szCs w:val="24"/>
          <w:u w:val="none"/>
        </w:rPr>
      </w:pPr>
      <w:r w:rsidRPr="00BD58C0">
        <w:rPr>
          <w:rFonts w:ascii="Times New Roman" w:hAnsi="Times New Roman" w:cs="Times New Roman"/>
          <w:sz w:val="24"/>
          <w:szCs w:val="24"/>
        </w:rPr>
        <w:t>[2</w:t>
      </w:r>
      <w:r w:rsidR="00CA51D6" w:rsidRPr="00BD58C0">
        <w:rPr>
          <w:rFonts w:ascii="Times New Roman" w:hAnsi="Times New Roman" w:cs="Times New Roman"/>
          <w:sz w:val="24"/>
          <w:szCs w:val="24"/>
        </w:rPr>
        <w:t>5</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470982" w:rsidRPr="00BD58C0">
        <w:rPr>
          <w:rFonts w:ascii="Times New Roman" w:hAnsi="Times New Roman" w:cs="Times New Roman"/>
          <w:sz w:val="24"/>
          <w:szCs w:val="24"/>
          <w:lang w:val="en-GB"/>
        </w:rPr>
        <w:t>MPOB</w:t>
      </w:r>
      <w:r w:rsidR="007737A8" w:rsidRPr="00BD58C0">
        <w:rPr>
          <w:rFonts w:ascii="Times New Roman" w:hAnsi="Times New Roman" w:cs="Times New Roman"/>
          <w:sz w:val="24"/>
          <w:szCs w:val="24"/>
          <w:lang w:val="en-GB"/>
        </w:rPr>
        <w:t xml:space="preserve">. </w:t>
      </w:r>
      <w:r w:rsidR="00470982" w:rsidRPr="00BD58C0">
        <w:rPr>
          <w:rFonts w:ascii="Times New Roman" w:hAnsi="Times New Roman" w:cs="Times New Roman"/>
          <w:sz w:val="24"/>
          <w:szCs w:val="24"/>
          <w:lang w:val="en-GB"/>
        </w:rPr>
        <w:t>Criteria and Guidelines on MPOB License Application. Selangor, Malaysia</w:t>
      </w:r>
      <w:r w:rsidR="007737A8" w:rsidRPr="00BD58C0">
        <w:rPr>
          <w:rFonts w:ascii="Times New Roman" w:hAnsi="Times New Roman" w:cs="Times New Roman"/>
          <w:sz w:val="24"/>
          <w:szCs w:val="24"/>
          <w:lang w:val="en-GB"/>
        </w:rPr>
        <w:t>: Malaysian Palm Oil Board.</w:t>
      </w:r>
      <w:r w:rsidR="00470982" w:rsidRPr="00BD58C0">
        <w:rPr>
          <w:rFonts w:ascii="Times New Roman" w:hAnsi="Times New Roman" w:cs="Times New Roman"/>
          <w:sz w:val="24"/>
          <w:szCs w:val="24"/>
          <w:lang w:val="en-GB"/>
        </w:rPr>
        <w:t xml:space="preserve"> </w:t>
      </w:r>
      <w:hyperlink r:id="rId19" w:history="1">
        <w:r w:rsidR="007737A8" w:rsidRPr="00BD58C0">
          <w:rPr>
            <w:rStyle w:val="Hyperlink"/>
            <w:rFonts w:ascii="Times New Roman" w:hAnsi="Times New Roman" w:cs="Times New Roman"/>
            <w:color w:val="auto"/>
            <w:sz w:val="24"/>
            <w:szCs w:val="24"/>
            <w:u w:val="none"/>
          </w:rPr>
          <w:t>https://e-lesen.mpob.gov.my/document/CRITERIA%20AND%20GUIDELINES%20ON%20MPOB%20LICENSE%20APPLICATION%20cetakan%202018%20ENGLISH.pdf;2018</w:t>
        </w:r>
      </w:hyperlink>
      <w:r w:rsidR="007737A8" w:rsidRPr="00BD58C0">
        <w:rPr>
          <w:rStyle w:val="Hyperlink"/>
          <w:rFonts w:ascii="Times New Roman" w:hAnsi="Times New Roman" w:cs="Times New Roman"/>
          <w:color w:val="auto"/>
          <w:sz w:val="24"/>
          <w:szCs w:val="24"/>
          <w:u w:val="none"/>
        </w:rPr>
        <w:t xml:space="preserve"> [accessed </w:t>
      </w:r>
      <w:r w:rsidR="007D3EDC" w:rsidRPr="00BD58C0">
        <w:rPr>
          <w:rStyle w:val="Hyperlink"/>
          <w:rFonts w:ascii="Times New Roman" w:hAnsi="Times New Roman" w:cs="Times New Roman"/>
          <w:color w:val="auto"/>
          <w:sz w:val="24"/>
          <w:szCs w:val="24"/>
          <w:u w:val="none"/>
        </w:rPr>
        <w:t>1</w:t>
      </w:r>
      <w:r w:rsidR="007737A8" w:rsidRPr="00BD58C0">
        <w:rPr>
          <w:rStyle w:val="Hyperlink"/>
          <w:rFonts w:ascii="Times New Roman" w:hAnsi="Times New Roman" w:cs="Times New Roman"/>
          <w:color w:val="auto"/>
          <w:sz w:val="24"/>
          <w:szCs w:val="24"/>
          <w:u w:val="none"/>
        </w:rPr>
        <w:t xml:space="preserve"> December 2020].</w:t>
      </w:r>
    </w:p>
    <w:p w14:paraId="41524B8C" w14:textId="44AF3B47" w:rsidR="00FF56A0" w:rsidRPr="00BD58C0" w:rsidRDefault="00470982" w:rsidP="004464DE">
      <w:pPr>
        <w:autoSpaceDE w:val="0"/>
        <w:autoSpaceDN w:val="0"/>
        <w:adjustRightInd w:val="0"/>
        <w:spacing w:after="0" w:line="360" w:lineRule="auto"/>
        <w:ind w:left="720" w:hanging="720"/>
        <w:jc w:val="both"/>
        <w:rPr>
          <w:rStyle w:val="Hyperlink"/>
          <w:rFonts w:ascii="Times New Roman" w:hAnsi="Times New Roman" w:cs="Times New Roman"/>
          <w:color w:val="auto"/>
          <w:sz w:val="24"/>
          <w:szCs w:val="24"/>
          <w:u w:val="none"/>
        </w:rPr>
      </w:pPr>
      <w:r w:rsidRPr="00BD58C0">
        <w:rPr>
          <w:rStyle w:val="Hyperlink"/>
          <w:rFonts w:ascii="Times New Roman" w:hAnsi="Times New Roman" w:cs="Times New Roman"/>
          <w:color w:val="auto"/>
          <w:sz w:val="24"/>
          <w:szCs w:val="24"/>
          <w:u w:val="none"/>
        </w:rPr>
        <w:t>[2</w:t>
      </w:r>
      <w:r w:rsidR="00CA51D6" w:rsidRPr="00BD58C0">
        <w:rPr>
          <w:rStyle w:val="Hyperlink"/>
          <w:rFonts w:ascii="Times New Roman" w:hAnsi="Times New Roman" w:cs="Times New Roman"/>
          <w:color w:val="auto"/>
          <w:sz w:val="24"/>
          <w:szCs w:val="24"/>
          <w:u w:val="none"/>
        </w:rPr>
        <w:t>6</w:t>
      </w:r>
      <w:r w:rsidRPr="00BD58C0">
        <w:rPr>
          <w:rStyle w:val="Hyperlink"/>
          <w:rFonts w:ascii="Times New Roman" w:hAnsi="Times New Roman" w:cs="Times New Roman"/>
          <w:color w:val="auto"/>
          <w:sz w:val="24"/>
          <w:szCs w:val="24"/>
          <w:u w:val="none"/>
        </w:rPr>
        <w:t>]</w:t>
      </w:r>
      <w:r w:rsidRPr="00BD58C0">
        <w:rPr>
          <w:rStyle w:val="Hyperlink"/>
          <w:rFonts w:ascii="Times New Roman" w:hAnsi="Times New Roman" w:cs="Times New Roman"/>
          <w:color w:val="auto"/>
          <w:sz w:val="24"/>
          <w:szCs w:val="24"/>
          <w:u w:val="none"/>
        </w:rPr>
        <w:tab/>
      </w:r>
      <w:r w:rsidR="00FF56A0" w:rsidRPr="00BD58C0">
        <w:rPr>
          <w:rFonts w:ascii="Times New Roman" w:hAnsi="Times New Roman" w:cs="Times New Roman"/>
          <w:sz w:val="24"/>
          <w:szCs w:val="24"/>
        </w:rPr>
        <w:t>MGTC</w:t>
      </w:r>
      <w:r w:rsidR="00BE21AA" w:rsidRPr="00BD58C0">
        <w:rPr>
          <w:rFonts w:ascii="Times New Roman" w:hAnsi="Times New Roman" w:cs="Times New Roman"/>
          <w:sz w:val="24"/>
          <w:szCs w:val="24"/>
        </w:rPr>
        <w:t xml:space="preserve">. </w:t>
      </w:r>
      <w:r w:rsidR="00FF56A0" w:rsidRPr="00BD58C0">
        <w:rPr>
          <w:rFonts w:ascii="Times New Roman" w:hAnsi="Times New Roman" w:cs="Times New Roman"/>
          <w:sz w:val="24"/>
          <w:szCs w:val="24"/>
        </w:rPr>
        <w:t>Guidelines for Green Technology Tax Incentive. Malaysia</w:t>
      </w:r>
      <w:r w:rsidR="00BE21AA" w:rsidRPr="00BD58C0">
        <w:rPr>
          <w:rFonts w:ascii="Times New Roman" w:hAnsi="Times New Roman" w:cs="Times New Roman"/>
          <w:sz w:val="24"/>
          <w:szCs w:val="24"/>
        </w:rPr>
        <w:t xml:space="preserve">: Malaysian Green Technology Corporation. </w:t>
      </w:r>
      <w:hyperlink r:id="rId20" w:history="1">
        <w:r w:rsidR="00BE21AA" w:rsidRPr="00BD58C0">
          <w:rPr>
            <w:rStyle w:val="Hyperlink"/>
            <w:rFonts w:ascii="Times New Roman" w:hAnsi="Times New Roman" w:cs="Times New Roman"/>
            <w:color w:val="auto"/>
            <w:sz w:val="24"/>
            <w:szCs w:val="24"/>
            <w:u w:val="none"/>
          </w:rPr>
          <w:t>https://www.myhijau.my/wp-content/uploads/2019/05/Guidelines-for-Green-Technology-Tax-Incentive-Rev.1-March-2019.pdf;2019</w:t>
        </w:r>
      </w:hyperlink>
      <w:r w:rsidR="00BE21AA" w:rsidRPr="00BD58C0">
        <w:rPr>
          <w:rFonts w:ascii="Times New Roman" w:hAnsi="Times New Roman" w:cs="Times New Roman"/>
          <w:sz w:val="24"/>
          <w:szCs w:val="24"/>
        </w:rPr>
        <w:t xml:space="preserve"> [accessed </w:t>
      </w:r>
      <w:r w:rsidR="007D3EDC" w:rsidRPr="00BD58C0">
        <w:rPr>
          <w:rFonts w:ascii="Times New Roman" w:hAnsi="Times New Roman" w:cs="Times New Roman"/>
          <w:sz w:val="24"/>
          <w:szCs w:val="24"/>
        </w:rPr>
        <w:t>1</w:t>
      </w:r>
      <w:r w:rsidR="00BE21AA" w:rsidRPr="00BD58C0">
        <w:rPr>
          <w:rFonts w:ascii="Times New Roman" w:hAnsi="Times New Roman" w:cs="Times New Roman"/>
          <w:sz w:val="24"/>
          <w:szCs w:val="24"/>
        </w:rPr>
        <w:t xml:space="preserve"> December 2020]</w:t>
      </w:r>
      <w:r w:rsidR="00660C17" w:rsidRPr="00BD58C0">
        <w:rPr>
          <w:rStyle w:val="Hyperlink"/>
          <w:rFonts w:ascii="Times New Roman" w:hAnsi="Times New Roman" w:cs="Times New Roman"/>
          <w:color w:val="auto"/>
          <w:sz w:val="24"/>
          <w:szCs w:val="24"/>
          <w:u w:val="none"/>
        </w:rPr>
        <w:t>.</w:t>
      </w:r>
    </w:p>
    <w:p w14:paraId="45D601C8" w14:textId="52F81806" w:rsidR="004464DE" w:rsidRPr="00BD58C0" w:rsidRDefault="00660C17" w:rsidP="004464DE">
      <w:pPr>
        <w:pStyle w:val="EndNoteBibliography"/>
        <w:spacing w:after="0" w:line="360" w:lineRule="auto"/>
        <w:ind w:left="720" w:hanging="720"/>
        <w:jc w:val="both"/>
        <w:rPr>
          <w:rFonts w:ascii="Times New Roman" w:hAnsi="Times New Roman" w:cs="Times New Roman"/>
          <w:sz w:val="24"/>
          <w:szCs w:val="24"/>
        </w:rPr>
      </w:pPr>
      <w:r w:rsidRPr="00BD58C0">
        <w:rPr>
          <w:rStyle w:val="Hyperlink"/>
          <w:rFonts w:ascii="Times New Roman" w:hAnsi="Times New Roman" w:cs="Times New Roman"/>
          <w:color w:val="auto"/>
          <w:sz w:val="24"/>
          <w:szCs w:val="24"/>
          <w:u w:val="none"/>
        </w:rPr>
        <w:t>[2</w:t>
      </w:r>
      <w:r w:rsidR="00CA51D6" w:rsidRPr="00BD58C0">
        <w:rPr>
          <w:rStyle w:val="Hyperlink"/>
          <w:rFonts w:ascii="Times New Roman" w:hAnsi="Times New Roman" w:cs="Times New Roman"/>
          <w:color w:val="auto"/>
          <w:sz w:val="24"/>
          <w:szCs w:val="24"/>
          <w:u w:val="none"/>
        </w:rPr>
        <w:t>7</w:t>
      </w:r>
      <w:r w:rsidRPr="00BD58C0">
        <w:rPr>
          <w:rStyle w:val="Hyperlink"/>
          <w:rFonts w:ascii="Times New Roman" w:hAnsi="Times New Roman" w:cs="Times New Roman"/>
          <w:color w:val="auto"/>
          <w:sz w:val="24"/>
          <w:szCs w:val="24"/>
          <w:u w:val="none"/>
        </w:rPr>
        <w:t>]</w:t>
      </w:r>
      <w:r w:rsidRPr="00BD58C0">
        <w:rPr>
          <w:rStyle w:val="Hyperlink"/>
          <w:rFonts w:ascii="Times New Roman" w:hAnsi="Times New Roman" w:cs="Times New Roman"/>
          <w:color w:val="auto"/>
          <w:sz w:val="24"/>
          <w:szCs w:val="24"/>
          <w:u w:val="none"/>
        </w:rPr>
        <w:tab/>
      </w:r>
      <w:r w:rsidR="004464DE" w:rsidRPr="00BD58C0">
        <w:rPr>
          <w:rFonts w:ascii="Times New Roman" w:hAnsi="Times New Roman" w:cs="Times New Roman"/>
          <w:sz w:val="24"/>
          <w:szCs w:val="24"/>
        </w:rPr>
        <w:t>Wong SL, Ngadi N, Abdullah TAT, Inuwa IM. Recent advances of feed-in tariff in Malaysia. Renew Sust Energ Rev 2015;41:42-52.</w:t>
      </w:r>
    </w:p>
    <w:p w14:paraId="1C989933" w14:textId="4A6A2AB4" w:rsidR="003E7735" w:rsidRPr="00BD58C0" w:rsidRDefault="003E7735" w:rsidP="004464DE">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[2</w:t>
      </w:r>
      <w:r w:rsidR="00CA51D6" w:rsidRPr="00BD58C0">
        <w:rPr>
          <w:rFonts w:ascii="Times New Roman" w:hAnsi="Times New Roman" w:cs="Times New Roman"/>
          <w:sz w:val="24"/>
          <w:szCs w:val="24"/>
        </w:rPr>
        <w:t>8</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A56D33" w:rsidRPr="00BD58C0">
        <w:rPr>
          <w:rFonts w:ascii="Times New Roman" w:hAnsi="Times New Roman" w:cs="Times New Roman"/>
          <w:sz w:val="24"/>
          <w:szCs w:val="24"/>
        </w:rPr>
        <w:t>Ghazali F</w:t>
      </w:r>
      <w:r w:rsidR="00F055DF" w:rsidRPr="00BD58C0">
        <w:rPr>
          <w:rFonts w:ascii="Times New Roman" w:hAnsi="Times New Roman" w:cs="Times New Roman"/>
          <w:sz w:val="24"/>
          <w:szCs w:val="24"/>
        </w:rPr>
        <w:t xml:space="preserve">, </w:t>
      </w:r>
      <w:r w:rsidR="00A56D33" w:rsidRPr="00BD58C0">
        <w:rPr>
          <w:rFonts w:ascii="Times New Roman" w:hAnsi="Times New Roman" w:cs="Times New Roman"/>
          <w:sz w:val="24"/>
          <w:szCs w:val="24"/>
        </w:rPr>
        <w:t>Ansari AH.</w:t>
      </w:r>
      <w:r w:rsidR="00F055DF" w:rsidRPr="00BD58C0">
        <w:rPr>
          <w:rFonts w:ascii="Times New Roman" w:hAnsi="Times New Roman" w:cs="Times New Roman"/>
          <w:sz w:val="24"/>
          <w:szCs w:val="24"/>
        </w:rPr>
        <w:t xml:space="preserve"> </w:t>
      </w:r>
      <w:r w:rsidR="00A56D33" w:rsidRPr="00BD58C0">
        <w:rPr>
          <w:rFonts w:ascii="Times New Roman" w:hAnsi="Times New Roman" w:cs="Times New Roman"/>
          <w:sz w:val="24"/>
          <w:szCs w:val="24"/>
        </w:rPr>
        <w:t xml:space="preserve">The Renewable Energy Act 2011: A </w:t>
      </w:r>
      <w:r w:rsidR="00BB44EB" w:rsidRPr="00BD58C0">
        <w:rPr>
          <w:rFonts w:ascii="Times New Roman" w:hAnsi="Times New Roman" w:cs="Times New Roman"/>
          <w:sz w:val="24"/>
          <w:szCs w:val="24"/>
        </w:rPr>
        <w:t>S</w:t>
      </w:r>
      <w:r w:rsidR="00A56D33" w:rsidRPr="00BD58C0">
        <w:rPr>
          <w:rFonts w:ascii="Times New Roman" w:hAnsi="Times New Roman" w:cs="Times New Roman"/>
          <w:sz w:val="24"/>
          <w:szCs w:val="24"/>
        </w:rPr>
        <w:t xml:space="preserve">tudy on </w:t>
      </w:r>
      <w:r w:rsidR="00BB44EB" w:rsidRPr="00BD58C0">
        <w:rPr>
          <w:rFonts w:ascii="Times New Roman" w:hAnsi="Times New Roman" w:cs="Times New Roman"/>
          <w:sz w:val="24"/>
          <w:szCs w:val="24"/>
        </w:rPr>
        <w:t>R</w:t>
      </w:r>
      <w:r w:rsidR="00A56D33" w:rsidRPr="00BD58C0">
        <w:rPr>
          <w:rFonts w:ascii="Times New Roman" w:hAnsi="Times New Roman" w:cs="Times New Roman"/>
          <w:sz w:val="24"/>
          <w:szCs w:val="24"/>
        </w:rPr>
        <w:t xml:space="preserve">enewable </w:t>
      </w:r>
      <w:r w:rsidR="00BB44EB" w:rsidRPr="00BD58C0">
        <w:rPr>
          <w:rFonts w:ascii="Times New Roman" w:hAnsi="Times New Roman" w:cs="Times New Roman"/>
          <w:sz w:val="24"/>
          <w:szCs w:val="24"/>
        </w:rPr>
        <w:t>E</w:t>
      </w:r>
      <w:r w:rsidR="00A56D33" w:rsidRPr="00BD58C0">
        <w:rPr>
          <w:rFonts w:ascii="Times New Roman" w:hAnsi="Times New Roman" w:cs="Times New Roman"/>
          <w:sz w:val="24"/>
          <w:szCs w:val="24"/>
        </w:rPr>
        <w:t xml:space="preserve">nergy </w:t>
      </w:r>
      <w:r w:rsidR="00BB44EB" w:rsidRPr="00BD58C0">
        <w:rPr>
          <w:rFonts w:ascii="Times New Roman" w:hAnsi="Times New Roman" w:cs="Times New Roman"/>
          <w:sz w:val="24"/>
          <w:szCs w:val="24"/>
        </w:rPr>
        <w:t>D</w:t>
      </w:r>
      <w:r w:rsidR="00A56D33" w:rsidRPr="00BD58C0">
        <w:rPr>
          <w:rFonts w:ascii="Times New Roman" w:hAnsi="Times New Roman" w:cs="Times New Roman"/>
          <w:sz w:val="24"/>
          <w:szCs w:val="24"/>
        </w:rPr>
        <w:t xml:space="preserve">evelopment in Malaysia. </w:t>
      </w:r>
      <w:r w:rsidR="008C20BF" w:rsidRPr="00BD58C0">
        <w:rPr>
          <w:rFonts w:ascii="Times New Roman" w:hAnsi="Times New Roman" w:cs="Times New Roman"/>
          <w:sz w:val="24"/>
          <w:szCs w:val="24"/>
        </w:rPr>
        <w:t xml:space="preserve">International Journal of Law, Government and Communication. </w:t>
      </w:r>
      <w:r w:rsidR="00F055DF" w:rsidRPr="00BD58C0">
        <w:rPr>
          <w:rFonts w:ascii="Times New Roman" w:hAnsi="Times New Roman" w:cs="Times New Roman"/>
          <w:sz w:val="24"/>
          <w:szCs w:val="24"/>
        </w:rPr>
        <w:t>2018;</w:t>
      </w:r>
      <w:r w:rsidR="008C20BF" w:rsidRPr="00BD58C0">
        <w:rPr>
          <w:rFonts w:ascii="Times New Roman" w:hAnsi="Times New Roman" w:cs="Times New Roman"/>
          <w:sz w:val="24"/>
          <w:szCs w:val="24"/>
        </w:rPr>
        <w:t>3(7)</w:t>
      </w:r>
      <w:r w:rsidR="00F055DF" w:rsidRPr="00BD58C0">
        <w:rPr>
          <w:rFonts w:ascii="Times New Roman" w:hAnsi="Times New Roman" w:cs="Times New Roman"/>
          <w:sz w:val="24"/>
          <w:szCs w:val="24"/>
        </w:rPr>
        <w:t>:</w:t>
      </w:r>
      <w:r w:rsidR="008C20BF" w:rsidRPr="00BD58C0">
        <w:rPr>
          <w:rFonts w:ascii="Times New Roman" w:hAnsi="Times New Roman" w:cs="Times New Roman"/>
          <w:sz w:val="24"/>
          <w:szCs w:val="24"/>
        </w:rPr>
        <w:t>143-51.</w:t>
      </w:r>
    </w:p>
    <w:p w14:paraId="67F2AE3D" w14:textId="22C48E67" w:rsidR="00087989" w:rsidRPr="00BD58C0" w:rsidRDefault="00087989" w:rsidP="004464DE">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[2</w:t>
      </w:r>
      <w:r w:rsidR="00CA51D6" w:rsidRPr="00BD58C0">
        <w:rPr>
          <w:rFonts w:ascii="Times New Roman" w:hAnsi="Times New Roman" w:cs="Times New Roman"/>
          <w:sz w:val="24"/>
          <w:szCs w:val="24"/>
        </w:rPr>
        <w:t>9</w:t>
      </w:r>
      <w:r w:rsidRPr="00BD58C0">
        <w:rPr>
          <w:rFonts w:ascii="Times New Roman" w:hAnsi="Times New Roman" w:cs="Times New Roman"/>
          <w:sz w:val="24"/>
          <w:szCs w:val="24"/>
        </w:rPr>
        <w:t>]</w:t>
      </w:r>
      <w:r w:rsidR="003F4B97" w:rsidRPr="00BD58C0">
        <w:rPr>
          <w:rFonts w:ascii="Times New Roman" w:hAnsi="Times New Roman" w:cs="Times New Roman"/>
          <w:sz w:val="24"/>
          <w:szCs w:val="24"/>
        </w:rPr>
        <w:tab/>
      </w:r>
      <w:r w:rsidR="00C9533F" w:rsidRPr="00BD58C0">
        <w:rPr>
          <w:rFonts w:ascii="Times New Roman" w:hAnsi="Times New Roman" w:cs="Times New Roman"/>
          <w:sz w:val="24"/>
          <w:szCs w:val="24"/>
        </w:rPr>
        <w:t>Chang</w:t>
      </w:r>
      <w:r w:rsidR="00F055DF" w:rsidRPr="00BD58C0">
        <w:rPr>
          <w:rFonts w:ascii="Times New Roman" w:hAnsi="Times New Roman" w:cs="Times New Roman"/>
          <w:sz w:val="24"/>
          <w:szCs w:val="24"/>
        </w:rPr>
        <w:t xml:space="preserve"> </w:t>
      </w:r>
      <w:r w:rsidR="00C9533F" w:rsidRPr="00BD58C0">
        <w:rPr>
          <w:rFonts w:ascii="Times New Roman" w:hAnsi="Times New Roman" w:cs="Times New Roman"/>
          <w:sz w:val="24"/>
          <w:szCs w:val="24"/>
        </w:rPr>
        <w:t>YH</w:t>
      </w:r>
      <w:r w:rsidR="00F055DF" w:rsidRPr="00BD58C0">
        <w:rPr>
          <w:rFonts w:ascii="Times New Roman" w:hAnsi="Times New Roman" w:cs="Times New Roman"/>
          <w:sz w:val="24"/>
          <w:szCs w:val="24"/>
        </w:rPr>
        <w:t xml:space="preserve">, </w:t>
      </w:r>
      <w:r w:rsidR="00C9533F" w:rsidRPr="00BD58C0">
        <w:rPr>
          <w:rFonts w:ascii="Times New Roman" w:hAnsi="Times New Roman" w:cs="Times New Roman"/>
          <w:sz w:val="24"/>
          <w:szCs w:val="24"/>
        </w:rPr>
        <w:t>Li</w:t>
      </w:r>
      <w:r w:rsidR="00F055DF" w:rsidRPr="00BD58C0">
        <w:rPr>
          <w:rFonts w:ascii="Times New Roman" w:hAnsi="Times New Roman" w:cs="Times New Roman"/>
          <w:sz w:val="24"/>
          <w:szCs w:val="24"/>
        </w:rPr>
        <w:t xml:space="preserve"> </w:t>
      </w:r>
      <w:r w:rsidR="00C9533F" w:rsidRPr="00BD58C0">
        <w:rPr>
          <w:rFonts w:ascii="Times New Roman" w:hAnsi="Times New Roman" w:cs="Times New Roman"/>
          <w:sz w:val="24"/>
          <w:szCs w:val="24"/>
        </w:rPr>
        <w:t>YF.</w:t>
      </w:r>
      <w:r w:rsidR="00F055DF" w:rsidRPr="00BD58C0">
        <w:rPr>
          <w:rFonts w:ascii="Times New Roman" w:hAnsi="Times New Roman" w:cs="Times New Roman"/>
          <w:sz w:val="24"/>
          <w:szCs w:val="24"/>
        </w:rPr>
        <w:t xml:space="preserve"> </w:t>
      </w:r>
      <w:r w:rsidR="00C9533F" w:rsidRPr="00BD58C0">
        <w:rPr>
          <w:rFonts w:ascii="Times New Roman" w:hAnsi="Times New Roman" w:cs="Times New Roman"/>
          <w:sz w:val="24"/>
          <w:szCs w:val="24"/>
        </w:rPr>
        <w:t>Renewable energy and policy options in an integrated ASEAN electricity market: Quantitative assessements and policy implications. Energ Policy</w:t>
      </w:r>
      <w:r w:rsidR="00F055DF" w:rsidRPr="00BD58C0">
        <w:rPr>
          <w:rFonts w:ascii="Times New Roman" w:hAnsi="Times New Roman" w:cs="Times New Roman"/>
          <w:sz w:val="24"/>
          <w:szCs w:val="24"/>
        </w:rPr>
        <w:t xml:space="preserve"> 2015;</w:t>
      </w:r>
      <w:r w:rsidR="00C9533F" w:rsidRPr="00BD58C0">
        <w:rPr>
          <w:rFonts w:ascii="Times New Roman" w:hAnsi="Times New Roman" w:cs="Times New Roman"/>
          <w:sz w:val="24"/>
          <w:szCs w:val="24"/>
        </w:rPr>
        <w:t>85</w:t>
      </w:r>
      <w:r w:rsidR="00F055DF" w:rsidRPr="00BD58C0">
        <w:rPr>
          <w:rFonts w:ascii="Times New Roman" w:hAnsi="Times New Roman" w:cs="Times New Roman"/>
          <w:sz w:val="24"/>
          <w:szCs w:val="24"/>
        </w:rPr>
        <w:t>:</w:t>
      </w:r>
      <w:r w:rsidR="00C9533F" w:rsidRPr="00BD58C0">
        <w:rPr>
          <w:rFonts w:ascii="Times New Roman" w:hAnsi="Times New Roman" w:cs="Times New Roman"/>
          <w:sz w:val="24"/>
          <w:szCs w:val="24"/>
        </w:rPr>
        <w:t>39-49.</w:t>
      </w:r>
    </w:p>
    <w:p w14:paraId="62E7FCCF" w14:textId="3A09B342" w:rsidR="00087989" w:rsidRPr="00BD58C0" w:rsidRDefault="00087989" w:rsidP="004464DE">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30</w:t>
      </w:r>
      <w:r w:rsidRPr="00BD58C0">
        <w:rPr>
          <w:rFonts w:ascii="Times New Roman" w:hAnsi="Times New Roman" w:cs="Times New Roman"/>
          <w:sz w:val="24"/>
          <w:szCs w:val="24"/>
        </w:rPr>
        <w:t>]</w:t>
      </w:r>
      <w:r w:rsidR="005C4DEA" w:rsidRPr="00BD58C0">
        <w:rPr>
          <w:rFonts w:ascii="Times New Roman" w:hAnsi="Times New Roman" w:cs="Times New Roman"/>
          <w:sz w:val="24"/>
          <w:szCs w:val="24"/>
        </w:rPr>
        <w:tab/>
        <w:t>Haas</w:t>
      </w:r>
      <w:r w:rsidR="00F055DF" w:rsidRPr="00BD58C0">
        <w:rPr>
          <w:rFonts w:ascii="Times New Roman" w:hAnsi="Times New Roman" w:cs="Times New Roman"/>
          <w:sz w:val="24"/>
          <w:szCs w:val="24"/>
        </w:rPr>
        <w:t xml:space="preserve"> </w:t>
      </w:r>
      <w:r w:rsidR="005C4DEA" w:rsidRPr="00BD58C0">
        <w:rPr>
          <w:rFonts w:ascii="Times New Roman" w:hAnsi="Times New Roman" w:cs="Times New Roman"/>
          <w:sz w:val="24"/>
          <w:szCs w:val="24"/>
        </w:rPr>
        <w:t>R, Resch G, Panzer C, Busch S, Ragwitz M</w:t>
      </w:r>
      <w:r w:rsidR="00F055DF" w:rsidRPr="00BD58C0">
        <w:rPr>
          <w:rFonts w:ascii="Times New Roman" w:hAnsi="Times New Roman" w:cs="Times New Roman"/>
          <w:sz w:val="24"/>
          <w:szCs w:val="24"/>
        </w:rPr>
        <w:t xml:space="preserve">, </w:t>
      </w:r>
      <w:r w:rsidR="005C4DEA" w:rsidRPr="00BD58C0">
        <w:rPr>
          <w:rFonts w:ascii="Times New Roman" w:hAnsi="Times New Roman" w:cs="Times New Roman"/>
          <w:sz w:val="24"/>
          <w:szCs w:val="24"/>
        </w:rPr>
        <w:t>Held A.</w:t>
      </w:r>
      <w:r w:rsidR="00F055DF" w:rsidRPr="00BD58C0">
        <w:rPr>
          <w:rFonts w:ascii="Times New Roman" w:hAnsi="Times New Roman" w:cs="Times New Roman"/>
          <w:sz w:val="24"/>
          <w:szCs w:val="24"/>
        </w:rPr>
        <w:t xml:space="preserve"> </w:t>
      </w:r>
      <w:r w:rsidR="005C4DEA" w:rsidRPr="00BD58C0">
        <w:rPr>
          <w:rFonts w:ascii="Times New Roman" w:hAnsi="Times New Roman" w:cs="Times New Roman"/>
          <w:sz w:val="24"/>
          <w:szCs w:val="24"/>
        </w:rPr>
        <w:t xml:space="preserve">Efficiency and Effectiveness of Promotion Systems for Electricity Generation from Renewable Energy Sources – Lessons from EU Countries. Energy </w:t>
      </w:r>
      <w:r w:rsidR="00F055DF" w:rsidRPr="00BD58C0">
        <w:rPr>
          <w:rFonts w:ascii="Times New Roman" w:hAnsi="Times New Roman" w:cs="Times New Roman"/>
          <w:sz w:val="24"/>
          <w:szCs w:val="24"/>
        </w:rPr>
        <w:t>2011;</w:t>
      </w:r>
      <w:r w:rsidR="005C4DEA" w:rsidRPr="00BD58C0">
        <w:rPr>
          <w:rFonts w:ascii="Times New Roman" w:hAnsi="Times New Roman" w:cs="Times New Roman"/>
          <w:sz w:val="24"/>
          <w:szCs w:val="24"/>
        </w:rPr>
        <w:t>36(4)</w:t>
      </w:r>
      <w:r w:rsidR="00F055DF" w:rsidRPr="00BD58C0">
        <w:rPr>
          <w:rFonts w:ascii="Times New Roman" w:hAnsi="Times New Roman" w:cs="Times New Roman"/>
          <w:sz w:val="24"/>
          <w:szCs w:val="24"/>
        </w:rPr>
        <w:t>:</w:t>
      </w:r>
      <w:r w:rsidR="005C4DEA" w:rsidRPr="00BD58C0">
        <w:rPr>
          <w:rFonts w:ascii="Times New Roman" w:hAnsi="Times New Roman" w:cs="Times New Roman"/>
          <w:sz w:val="24"/>
          <w:szCs w:val="24"/>
        </w:rPr>
        <w:t>2186-93.</w:t>
      </w:r>
    </w:p>
    <w:p w14:paraId="7285BA39" w14:textId="38C64EB1" w:rsidR="00A409C8" w:rsidRPr="00BD58C0" w:rsidRDefault="00A409C8" w:rsidP="004464DE">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31</w:t>
      </w:r>
      <w:r w:rsidRPr="00BD58C0">
        <w:rPr>
          <w:rFonts w:ascii="Times New Roman" w:hAnsi="Times New Roman" w:cs="Times New Roman"/>
          <w:sz w:val="24"/>
          <w:szCs w:val="24"/>
        </w:rPr>
        <w:t>]</w:t>
      </w:r>
      <w:r w:rsidRPr="00BD58C0">
        <w:rPr>
          <w:rFonts w:ascii="Times New Roman" w:hAnsi="Times New Roman" w:cs="Times New Roman"/>
          <w:sz w:val="24"/>
          <w:szCs w:val="24"/>
        </w:rPr>
        <w:tab/>
        <w:t>JKR. Schedule of rates. Malaysia: Jabatan Kerja Raya;2015.</w:t>
      </w:r>
    </w:p>
    <w:p w14:paraId="4A2EBF93" w14:textId="648E646D" w:rsidR="00A409C8" w:rsidRPr="00BD58C0" w:rsidRDefault="00A409C8" w:rsidP="00A409C8">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32</w:t>
      </w:r>
      <w:r w:rsidRPr="00BD58C0">
        <w:rPr>
          <w:rFonts w:ascii="Times New Roman" w:hAnsi="Times New Roman" w:cs="Times New Roman"/>
          <w:sz w:val="24"/>
          <w:szCs w:val="24"/>
        </w:rPr>
        <w:t>]</w:t>
      </w:r>
      <w:r w:rsidRPr="00BD58C0">
        <w:rPr>
          <w:rFonts w:ascii="Times New Roman" w:hAnsi="Times New Roman" w:cs="Times New Roman"/>
          <w:sz w:val="24"/>
          <w:szCs w:val="24"/>
        </w:rPr>
        <w:tab/>
        <w:t>JKR. Schedule of rates for building works in Sarawak. Sarawak, Malaysia: Jabatan Kerja Raya;2016.</w:t>
      </w:r>
    </w:p>
    <w:p w14:paraId="4CFCB581" w14:textId="2B4982B5" w:rsidR="008777E6" w:rsidRPr="00BD58C0" w:rsidRDefault="00CF55D1" w:rsidP="00CF55D1">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6C2B" w:rsidRPr="00BD58C0">
        <w:rPr>
          <w:rFonts w:ascii="Times New Roman" w:hAnsi="Times New Roman" w:cs="Times New Roman"/>
          <w:sz w:val="24"/>
          <w:szCs w:val="24"/>
        </w:rPr>
        <w:t>3</w:t>
      </w:r>
      <w:r w:rsidR="00CA51D6" w:rsidRPr="00BD58C0">
        <w:rPr>
          <w:rFonts w:ascii="Times New Roman" w:hAnsi="Times New Roman" w:cs="Times New Roman"/>
          <w:sz w:val="24"/>
          <w:szCs w:val="24"/>
        </w:rPr>
        <w:t>3</w:t>
      </w:r>
      <w:r w:rsidRPr="00BD58C0">
        <w:rPr>
          <w:rFonts w:ascii="Times New Roman" w:hAnsi="Times New Roman" w:cs="Times New Roman"/>
          <w:sz w:val="24"/>
          <w:szCs w:val="24"/>
        </w:rPr>
        <w:t>]</w:t>
      </w:r>
      <w:r w:rsidRPr="00BD58C0">
        <w:rPr>
          <w:rFonts w:ascii="Times New Roman" w:hAnsi="Times New Roman" w:cs="Times New Roman"/>
          <w:sz w:val="24"/>
          <w:szCs w:val="24"/>
        </w:rPr>
        <w:tab/>
      </w:r>
      <w:bookmarkStart w:id="16" w:name="_ENREF_90"/>
      <w:r w:rsidR="006217BA" w:rsidRPr="00BD58C0">
        <w:rPr>
          <w:rFonts w:ascii="Times New Roman" w:hAnsi="Times New Roman" w:cs="Times New Roman"/>
          <w:sz w:val="24"/>
          <w:szCs w:val="24"/>
        </w:rPr>
        <w:t>Schmidt</w:t>
      </w:r>
      <w:r w:rsidR="00692866" w:rsidRPr="00BD58C0">
        <w:rPr>
          <w:rFonts w:ascii="Times New Roman" w:hAnsi="Times New Roman" w:cs="Times New Roman"/>
          <w:sz w:val="24"/>
          <w:szCs w:val="24"/>
        </w:rPr>
        <w:t xml:space="preserve"> </w:t>
      </w:r>
      <w:r w:rsidR="006217BA" w:rsidRPr="00BD58C0">
        <w:rPr>
          <w:rFonts w:ascii="Times New Roman" w:hAnsi="Times New Roman" w:cs="Times New Roman"/>
          <w:sz w:val="24"/>
          <w:szCs w:val="24"/>
        </w:rPr>
        <w:t>M,</w:t>
      </w:r>
      <w:r w:rsidR="00692866" w:rsidRPr="00BD58C0">
        <w:rPr>
          <w:rFonts w:ascii="Times New Roman" w:hAnsi="Times New Roman" w:cs="Times New Roman"/>
          <w:sz w:val="24"/>
          <w:szCs w:val="24"/>
        </w:rPr>
        <w:t xml:space="preserve"> </w:t>
      </w:r>
      <w:r w:rsidR="006217BA" w:rsidRPr="00BD58C0">
        <w:rPr>
          <w:rFonts w:ascii="Times New Roman" w:hAnsi="Times New Roman" w:cs="Times New Roman"/>
          <w:sz w:val="24"/>
          <w:szCs w:val="24"/>
        </w:rPr>
        <w:t>Crawford RH.</w:t>
      </w:r>
      <w:r w:rsidR="00692866" w:rsidRPr="00BD58C0">
        <w:rPr>
          <w:rFonts w:ascii="Times New Roman" w:hAnsi="Times New Roman" w:cs="Times New Roman"/>
          <w:sz w:val="24"/>
          <w:szCs w:val="24"/>
        </w:rPr>
        <w:t xml:space="preserve"> </w:t>
      </w:r>
      <w:r w:rsidR="006217BA" w:rsidRPr="00BD58C0">
        <w:rPr>
          <w:rFonts w:ascii="Times New Roman" w:hAnsi="Times New Roman" w:cs="Times New Roman"/>
          <w:sz w:val="24"/>
          <w:szCs w:val="24"/>
        </w:rPr>
        <w:t xml:space="preserve">Developing an </w:t>
      </w:r>
      <w:r w:rsidR="00692866" w:rsidRPr="00BD58C0">
        <w:rPr>
          <w:rFonts w:ascii="Times New Roman" w:hAnsi="Times New Roman" w:cs="Times New Roman"/>
          <w:sz w:val="24"/>
          <w:szCs w:val="24"/>
        </w:rPr>
        <w:t>i</w:t>
      </w:r>
      <w:r w:rsidR="006217BA" w:rsidRPr="00BD58C0">
        <w:rPr>
          <w:rFonts w:ascii="Times New Roman" w:hAnsi="Times New Roman" w:cs="Times New Roman"/>
          <w:sz w:val="24"/>
          <w:szCs w:val="24"/>
        </w:rPr>
        <w:t xml:space="preserve">ntegrated </w:t>
      </w:r>
      <w:r w:rsidR="00692866" w:rsidRPr="00BD58C0">
        <w:rPr>
          <w:rFonts w:ascii="Times New Roman" w:hAnsi="Times New Roman" w:cs="Times New Roman"/>
          <w:sz w:val="24"/>
          <w:szCs w:val="24"/>
        </w:rPr>
        <w:t>f</w:t>
      </w:r>
      <w:r w:rsidR="006217BA" w:rsidRPr="00BD58C0">
        <w:rPr>
          <w:rFonts w:ascii="Times New Roman" w:hAnsi="Times New Roman" w:cs="Times New Roman"/>
          <w:sz w:val="24"/>
          <w:szCs w:val="24"/>
        </w:rPr>
        <w:t xml:space="preserve">ramework for </w:t>
      </w:r>
      <w:r w:rsidR="00692866" w:rsidRPr="00BD58C0">
        <w:rPr>
          <w:rFonts w:ascii="Times New Roman" w:hAnsi="Times New Roman" w:cs="Times New Roman"/>
          <w:sz w:val="24"/>
          <w:szCs w:val="24"/>
        </w:rPr>
        <w:t>a</w:t>
      </w:r>
      <w:r w:rsidR="006217BA" w:rsidRPr="00BD58C0">
        <w:rPr>
          <w:rFonts w:ascii="Times New Roman" w:hAnsi="Times New Roman" w:cs="Times New Roman"/>
          <w:sz w:val="24"/>
          <w:szCs w:val="24"/>
        </w:rPr>
        <w:t xml:space="preserve">ssessing the </w:t>
      </w:r>
      <w:r w:rsidR="00692866" w:rsidRPr="00BD58C0">
        <w:rPr>
          <w:rFonts w:ascii="Times New Roman" w:hAnsi="Times New Roman" w:cs="Times New Roman"/>
          <w:sz w:val="24"/>
          <w:szCs w:val="24"/>
        </w:rPr>
        <w:t>l</w:t>
      </w:r>
      <w:r w:rsidR="006217BA" w:rsidRPr="00BD58C0">
        <w:rPr>
          <w:rFonts w:ascii="Times New Roman" w:hAnsi="Times New Roman" w:cs="Times New Roman"/>
          <w:sz w:val="24"/>
          <w:szCs w:val="24"/>
        </w:rPr>
        <w:t xml:space="preserve">ife </w:t>
      </w:r>
      <w:r w:rsidR="00692866" w:rsidRPr="00BD58C0">
        <w:rPr>
          <w:rFonts w:ascii="Times New Roman" w:hAnsi="Times New Roman" w:cs="Times New Roman"/>
          <w:sz w:val="24"/>
          <w:szCs w:val="24"/>
        </w:rPr>
        <w:t>c</w:t>
      </w:r>
      <w:r w:rsidR="006217BA" w:rsidRPr="00BD58C0">
        <w:rPr>
          <w:rFonts w:ascii="Times New Roman" w:hAnsi="Times New Roman" w:cs="Times New Roman"/>
          <w:sz w:val="24"/>
          <w:szCs w:val="24"/>
        </w:rPr>
        <w:t xml:space="preserve">ycle </w:t>
      </w:r>
      <w:r w:rsidR="00692866" w:rsidRPr="00BD58C0">
        <w:rPr>
          <w:rFonts w:ascii="Times New Roman" w:hAnsi="Times New Roman" w:cs="Times New Roman"/>
          <w:sz w:val="24"/>
          <w:szCs w:val="24"/>
        </w:rPr>
        <w:t>g</w:t>
      </w:r>
      <w:r w:rsidR="006217BA" w:rsidRPr="00BD58C0">
        <w:rPr>
          <w:rFonts w:ascii="Times New Roman" w:hAnsi="Times New Roman" w:cs="Times New Roman"/>
          <w:sz w:val="24"/>
          <w:szCs w:val="24"/>
        </w:rPr>
        <w:t xml:space="preserve">reenhouse </w:t>
      </w:r>
      <w:r w:rsidR="00692866" w:rsidRPr="00BD58C0">
        <w:rPr>
          <w:rFonts w:ascii="Times New Roman" w:hAnsi="Times New Roman" w:cs="Times New Roman"/>
          <w:sz w:val="24"/>
          <w:szCs w:val="24"/>
        </w:rPr>
        <w:t>g</w:t>
      </w:r>
      <w:r w:rsidR="006217BA" w:rsidRPr="00BD58C0">
        <w:rPr>
          <w:rFonts w:ascii="Times New Roman" w:hAnsi="Times New Roman" w:cs="Times New Roman"/>
          <w:sz w:val="24"/>
          <w:szCs w:val="24"/>
        </w:rPr>
        <w:t xml:space="preserve">as </w:t>
      </w:r>
      <w:r w:rsidR="00692866" w:rsidRPr="00BD58C0">
        <w:rPr>
          <w:rFonts w:ascii="Times New Roman" w:hAnsi="Times New Roman" w:cs="Times New Roman"/>
          <w:sz w:val="24"/>
          <w:szCs w:val="24"/>
        </w:rPr>
        <w:t>e</w:t>
      </w:r>
      <w:r w:rsidR="006217BA" w:rsidRPr="00BD58C0">
        <w:rPr>
          <w:rFonts w:ascii="Times New Roman" w:hAnsi="Times New Roman" w:cs="Times New Roman"/>
          <w:sz w:val="24"/>
          <w:szCs w:val="24"/>
        </w:rPr>
        <w:t xml:space="preserve">missions and </w:t>
      </w:r>
      <w:r w:rsidR="00692866" w:rsidRPr="00BD58C0">
        <w:rPr>
          <w:rFonts w:ascii="Times New Roman" w:hAnsi="Times New Roman" w:cs="Times New Roman"/>
          <w:sz w:val="24"/>
          <w:szCs w:val="24"/>
        </w:rPr>
        <w:t>l</w:t>
      </w:r>
      <w:r w:rsidR="006217BA" w:rsidRPr="00BD58C0">
        <w:rPr>
          <w:rFonts w:ascii="Times New Roman" w:hAnsi="Times New Roman" w:cs="Times New Roman"/>
          <w:sz w:val="24"/>
          <w:szCs w:val="24"/>
        </w:rPr>
        <w:t xml:space="preserve">ife </w:t>
      </w:r>
      <w:r w:rsidR="00692866" w:rsidRPr="00BD58C0">
        <w:rPr>
          <w:rFonts w:ascii="Times New Roman" w:hAnsi="Times New Roman" w:cs="Times New Roman"/>
          <w:sz w:val="24"/>
          <w:szCs w:val="24"/>
        </w:rPr>
        <w:t>c</w:t>
      </w:r>
      <w:r w:rsidR="006217BA" w:rsidRPr="00BD58C0">
        <w:rPr>
          <w:rFonts w:ascii="Times New Roman" w:hAnsi="Times New Roman" w:cs="Times New Roman"/>
          <w:sz w:val="24"/>
          <w:szCs w:val="24"/>
        </w:rPr>
        <w:t xml:space="preserve">ycle </w:t>
      </w:r>
      <w:r w:rsidR="00692866" w:rsidRPr="00BD58C0">
        <w:rPr>
          <w:rFonts w:ascii="Times New Roman" w:hAnsi="Times New Roman" w:cs="Times New Roman"/>
          <w:sz w:val="24"/>
          <w:szCs w:val="24"/>
        </w:rPr>
        <w:t>c</w:t>
      </w:r>
      <w:r w:rsidR="006217BA" w:rsidRPr="00BD58C0">
        <w:rPr>
          <w:rFonts w:ascii="Times New Roman" w:hAnsi="Times New Roman" w:cs="Times New Roman"/>
          <w:sz w:val="24"/>
          <w:szCs w:val="24"/>
        </w:rPr>
        <w:t xml:space="preserve">ost of </w:t>
      </w:r>
      <w:r w:rsidR="00692866" w:rsidRPr="00BD58C0">
        <w:rPr>
          <w:rFonts w:ascii="Times New Roman" w:hAnsi="Times New Roman" w:cs="Times New Roman"/>
          <w:sz w:val="24"/>
          <w:szCs w:val="24"/>
        </w:rPr>
        <w:t>b</w:t>
      </w:r>
      <w:r w:rsidR="006217BA" w:rsidRPr="00BD58C0">
        <w:rPr>
          <w:rFonts w:ascii="Times New Roman" w:hAnsi="Times New Roman" w:cs="Times New Roman"/>
          <w:sz w:val="24"/>
          <w:szCs w:val="24"/>
        </w:rPr>
        <w:t xml:space="preserve">uildings. </w:t>
      </w:r>
      <w:r w:rsidR="006217BA" w:rsidRPr="00BD58C0">
        <w:rPr>
          <w:rFonts w:ascii="Times New Roman" w:hAnsi="Times New Roman" w:cs="Times New Roman"/>
          <w:iCs/>
          <w:sz w:val="24"/>
          <w:szCs w:val="24"/>
        </w:rPr>
        <w:t>Procedia Engineer</w:t>
      </w:r>
      <w:r w:rsidR="00692866" w:rsidRPr="00BD58C0">
        <w:rPr>
          <w:rFonts w:ascii="Times New Roman" w:hAnsi="Times New Roman" w:cs="Times New Roman"/>
          <w:sz w:val="24"/>
          <w:szCs w:val="24"/>
        </w:rPr>
        <w:t xml:space="preserve"> 2017;</w:t>
      </w:r>
      <w:r w:rsidR="006217BA" w:rsidRPr="00BD58C0">
        <w:rPr>
          <w:rFonts w:ascii="Times New Roman" w:hAnsi="Times New Roman" w:cs="Times New Roman"/>
          <w:sz w:val="24"/>
          <w:szCs w:val="24"/>
        </w:rPr>
        <w:t>196</w:t>
      </w:r>
      <w:r w:rsidR="00692866" w:rsidRPr="00BD58C0">
        <w:rPr>
          <w:rFonts w:ascii="Times New Roman" w:hAnsi="Times New Roman" w:cs="Times New Roman"/>
          <w:sz w:val="24"/>
          <w:szCs w:val="24"/>
        </w:rPr>
        <w:t>:</w:t>
      </w:r>
      <w:r w:rsidR="006217BA" w:rsidRPr="00BD58C0">
        <w:rPr>
          <w:rFonts w:ascii="Times New Roman" w:hAnsi="Times New Roman" w:cs="Times New Roman"/>
          <w:sz w:val="24"/>
          <w:szCs w:val="24"/>
        </w:rPr>
        <w:t xml:space="preserve">988-95. </w:t>
      </w:r>
      <w:bookmarkEnd w:id="16"/>
    </w:p>
    <w:p w14:paraId="37D508BE" w14:textId="402255CA" w:rsidR="00434DD9" w:rsidRPr="00BD58C0" w:rsidRDefault="00F9686F" w:rsidP="00434DD9">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6C2B" w:rsidRPr="00BD58C0">
        <w:rPr>
          <w:rFonts w:ascii="Times New Roman" w:hAnsi="Times New Roman" w:cs="Times New Roman"/>
          <w:sz w:val="24"/>
          <w:szCs w:val="24"/>
        </w:rPr>
        <w:t>3</w:t>
      </w:r>
      <w:r w:rsidR="00CA51D6" w:rsidRPr="00BD58C0">
        <w:rPr>
          <w:rFonts w:ascii="Times New Roman" w:hAnsi="Times New Roman" w:cs="Times New Roman"/>
          <w:sz w:val="24"/>
          <w:szCs w:val="24"/>
        </w:rPr>
        <w:t>4</w:t>
      </w:r>
      <w:r w:rsidRPr="00BD58C0">
        <w:rPr>
          <w:rFonts w:ascii="Times New Roman" w:hAnsi="Times New Roman" w:cs="Times New Roman"/>
          <w:sz w:val="24"/>
          <w:szCs w:val="24"/>
        </w:rPr>
        <w:t>]</w:t>
      </w:r>
      <w:r w:rsidR="000C3E36" w:rsidRPr="00BD58C0">
        <w:rPr>
          <w:rFonts w:ascii="Times New Roman" w:hAnsi="Times New Roman" w:cs="Times New Roman"/>
          <w:sz w:val="24"/>
          <w:szCs w:val="24"/>
        </w:rPr>
        <w:tab/>
      </w:r>
      <w:bookmarkStart w:id="17" w:name="_ENREF_77"/>
      <w:r w:rsidR="00434DD9" w:rsidRPr="00BD58C0">
        <w:rPr>
          <w:rFonts w:ascii="Times New Roman" w:hAnsi="Times New Roman" w:cs="Times New Roman"/>
          <w:sz w:val="24"/>
          <w:szCs w:val="24"/>
        </w:rPr>
        <w:t>Petrillo A, De Felice F, Jannelli E, Autorino C, Minutillo M,</w:t>
      </w:r>
      <w:r w:rsidR="006E30EB" w:rsidRPr="00BD58C0">
        <w:rPr>
          <w:rFonts w:ascii="Times New Roman" w:hAnsi="Times New Roman" w:cs="Times New Roman"/>
          <w:sz w:val="24"/>
          <w:szCs w:val="24"/>
        </w:rPr>
        <w:t xml:space="preserve"> </w:t>
      </w:r>
      <w:r w:rsidR="00434DD9" w:rsidRPr="00BD58C0">
        <w:rPr>
          <w:rFonts w:ascii="Times New Roman" w:hAnsi="Times New Roman" w:cs="Times New Roman"/>
          <w:sz w:val="24"/>
          <w:szCs w:val="24"/>
        </w:rPr>
        <w:t>Lavadera AL.</w:t>
      </w:r>
      <w:r w:rsidR="006E30EB" w:rsidRPr="00BD58C0">
        <w:rPr>
          <w:rFonts w:ascii="Times New Roman" w:hAnsi="Times New Roman" w:cs="Times New Roman"/>
          <w:sz w:val="24"/>
          <w:szCs w:val="24"/>
        </w:rPr>
        <w:t xml:space="preserve"> </w:t>
      </w:r>
      <w:r w:rsidR="00434DD9" w:rsidRPr="00BD58C0">
        <w:rPr>
          <w:rFonts w:ascii="Times New Roman" w:hAnsi="Times New Roman" w:cs="Times New Roman"/>
          <w:sz w:val="24"/>
          <w:szCs w:val="24"/>
        </w:rPr>
        <w:t xml:space="preserve">Life cycle assessment (LCA) and life cycle cost (LCC) analysis model for a stand-alone hybrid renewable energy system. </w:t>
      </w:r>
      <w:r w:rsidR="00434DD9" w:rsidRPr="00BD58C0">
        <w:rPr>
          <w:rFonts w:ascii="Times New Roman" w:hAnsi="Times New Roman" w:cs="Times New Roman"/>
          <w:iCs/>
          <w:sz w:val="24"/>
          <w:szCs w:val="24"/>
        </w:rPr>
        <w:t>Renew Energ</w:t>
      </w:r>
      <w:r w:rsidR="006E30EB" w:rsidRPr="00BD58C0">
        <w:rPr>
          <w:rFonts w:ascii="Times New Roman" w:hAnsi="Times New Roman" w:cs="Times New Roman"/>
          <w:iCs/>
          <w:sz w:val="24"/>
          <w:szCs w:val="24"/>
        </w:rPr>
        <w:t xml:space="preserve"> 2016;</w:t>
      </w:r>
      <w:r w:rsidR="00434DD9" w:rsidRPr="00BD58C0">
        <w:rPr>
          <w:rFonts w:ascii="Times New Roman" w:hAnsi="Times New Roman" w:cs="Times New Roman"/>
          <w:iCs/>
          <w:sz w:val="24"/>
          <w:szCs w:val="24"/>
        </w:rPr>
        <w:t>95</w:t>
      </w:r>
      <w:r w:rsidR="006E30EB" w:rsidRPr="00BD58C0">
        <w:rPr>
          <w:rFonts w:ascii="Times New Roman" w:hAnsi="Times New Roman" w:cs="Times New Roman"/>
          <w:sz w:val="24"/>
          <w:szCs w:val="24"/>
        </w:rPr>
        <w:t>:</w:t>
      </w:r>
      <w:r w:rsidR="00434DD9" w:rsidRPr="00BD58C0">
        <w:rPr>
          <w:rFonts w:ascii="Times New Roman" w:hAnsi="Times New Roman" w:cs="Times New Roman"/>
          <w:sz w:val="24"/>
          <w:szCs w:val="24"/>
        </w:rPr>
        <w:t xml:space="preserve">337-55. </w:t>
      </w:r>
      <w:bookmarkEnd w:id="17"/>
    </w:p>
    <w:p w14:paraId="74398F8F" w14:textId="5F6744D4" w:rsidR="006B01F3" w:rsidRPr="00BD58C0" w:rsidRDefault="00F9686F" w:rsidP="00B86A31">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lastRenderedPageBreak/>
        <w:t>[</w:t>
      </w:r>
      <w:r w:rsidR="00087989" w:rsidRPr="00BD58C0">
        <w:rPr>
          <w:rFonts w:ascii="Times New Roman" w:hAnsi="Times New Roman" w:cs="Times New Roman"/>
          <w:sz w:val="24"/>
          <w:szCs w:val="24"/>
        </w:rPr>
        <w:t>3</w:t>
      </w:r>
      <w:r w:rsidR="00CA51D6" w:rsidRPr="00BD58C0">
        <w:rPr>
          <w:rFonts w:ascii="Times New Roman" w:hAnsi="Times New Roman" w:cs="Times New Roman"/>
          <w:sz w:val="24"/>
          <w:szCs w:val="24"/>
        </w:rPr>
        <w:t>5</w:t>
      </w:r>
      <w:r w:rsidRPr="00BD58C0">
        <w:rPr>
          <w:rFonts w:ascii="Times New Roman" w:hAnsi="Times New Roman" w:cs="Times New Roman"/>
          <w:sz w:val="24"/>
          <w:szCs w:val="24"/>
        </w:rPr>
        <w:t>]</w:t>
      </w:r>
      <w:r w:rsidR="0035322B" w:rsidRPr="00BD58C0">
        <w:rPr>
          <w:rFonts w:ascii="Times New Roman" w:hAnsi="Times New Roman" w:cs="Times New Roman"/>
          <w:sz w:val="24"/>
          <w:szCs w:val="24"/>
        </w:rPr>
        <w:tab/>
      </w:r>
      <w:r w:rsidR="00616F5A" w:rsidRPr="00BD58C0">
        <w:rPr>
          <w:rFonts w:ascii="Times New Roman" w:hAnsi="Times New Roman" w:cs="Times New Roman"/>
          <w:sz w:val="24"/>
          <w:szCs w:val="24"/>
        </w:rPr>
        <w:t>Clement S, Watt J,</w:t>
      </w:r>
      <w:r w:rsidR="00380427" w:rsidRPr="00BD58C0">
        <w:rPr>
          <w:rFonts w:ascii="Times New Roman" w:hAnsi="Times New Roman" w:cs="Times New Roman"/>
          <w:sz w:val="24"/>
          <w:szCs w:val="24"/>
        </w:rPr>
        <w:t xml:space="preserve"> </w:t>
      </w:r>
      <w:r w:rsidR="00616F5A" w:rsidRPr="00BD58C0">
        <w:rPr>
          <w:rFonts w:ascii="Times New Roman" w:hAnsi="Times New Roman" w:cs="Times New Roman"/>
          <w:sz w:val="24"/>
          <w:szCs w:val="24"/>
        </w:rPr>
        <w:t>Semple A.</w:t>
      </w:r>
      <w:r w:rsidR="005833B4" w:rsidRPr="00BD58C0">
        <w:rPr>
          <w:rFonts w:ascii="Times New Roman" w:hAnsi="Times New Roman" w:cs="Times New Roman"/>
          <w:sz w:val="24"/>
          <w:szCs w:val="24"/>
        </w:rPr>
        <w:t xml:space="preserve"> </w:t>
      </w:r>
      <w:r w:rsidR="00616F5A" w:rsidRPr="00BD58C0">
        <w:rPr>
          <w:rFonts w:ascii="Times New Roman" w:hAnsi="Times New Roman" w:cs="Times New Roman"/>
          <w:iCs/>
          <w:sz w:val="24"/>
          <w:szCs w:val="24"/>
        </w:rPr>
        <w:t xml:space="preserve">The </w:t>
      </w:r>
      <w:r w:rsidR="00380427" w:rsidRPr="00BD58C0">
        <w:rPr>
          <w:rFonts w:ascii="Times New Roman" w:hAnsi="Times New Roman" w:cs="Times New Roman"/>
          <w:iCs/>
          <w:sz w:val="24"/>
          <w:szCs w:val="24"/>
        </w:rPr>
        <w:t>p</w:t>
      </w:r>
      <w:r w:rsidR="00616F5A" w:rsidRPr="00BD58C0">
        <w:rPr>
          <w:rFonts w:ascii="Times New Roman" w:hAnsi="Times New Roman" w:cs="Times New Roman"/>
          <w:iCs/>
          <w:sz w:val="24"/>
          <w:szCs w:val="24"/>
        </w:rPr>
        <w:t xml:space="preserve">rocura+ </w:t>
      </w:r>
      <w:r w:rsidR="00380427" w:rsidRPr="00BD58C0">
        <w:rPr>
          <w:rFonts w:ascii="Times New Roman" w:hAnsi="Times New Roman" w:cs="Times New Roman"/>
          <w:iCs/>
          <w:sz w:val="24"/>
          <w:szCs w:val="24"/>
        </w:rPr>
        <w:t>m</w:t>
      </w:r>
      <w:r w:rsidR="00616F5A" w:rsidRPr="00BD58C0">
        <w:rPr>
          <w:rFonts w:ascii="Times New Roman" w:hAnsi="Times New Roman" w:cs="Times New Roman"/>
          <w:iCs/>
          <w:sz w:val="24"/>
          <w:szCs w:val="24"/>
        </w:rPr>
        <w:t xml:space="preserve">anual : A </w:t>
      </w:r>
      <w:r w:rsidR="00380427" w:rsidRPr="00BD58C0">
        <w:rPr>
          <w:rFonts w:ascii="Times New Roman" w:hAnsi="Times New Roman" w:cs="Times New Roman"/>
          <w:iCs/>
          <w:sz w:val="24"/>
          <w:szCs w:val="24"/>
        </w:rPr>
        <w:t>g</w:t>
      </w:r>
      <w:r w:rsidR="00616F5A" w:rsidRPr="00BD58C0">
        <w:rPr>
          <w:rFonts w:ascii="Times New Roman" w:hAnsi="Times New Roman" w:cs="Times New Roman"/>
          <w:iCs/>
          <w:sz w:val="24"/>
          <w:szCs w:val="24"/>
        </w:rPr>
        <w:t xml:space="preserve">uide to </w:t>
      </w:r>
      <w:r w:rsidR="00380427" w:rsidRPr="00BD58C0">
        <w:rPr>
          <w:rFonts w:ascii="Times New Roman" w:hAnsi="Times New Roman" w:cs="Times New Roman"/>
          <w:iCs/>
          <w:sz w:val="24"/>
          <w:szCs w:val="24"/>
        </w:rPr>
        <w:t>i</w:t>
      </w:r>
      <w:r w:rsidR="00616F5A" w:rsidRPr="00BD58C0">
        <w:rPr>
          <w:rFonts w:ascii="Times New Roman" w:hAnsi="Times New Roman" w:cs="Times New Roman"/>
          <w:iCs/>
          <w:sz w:val="24"/>
          <w:szCs w:val="24"/>
        </w:rPr>
        <w:t xml:space="preserve">mplementing </w:t>
      </w:r>
      <w:r w:rsidR="00380427" w:rsidRPr="00BD58C0">
        <w:rPr>
          <w:rFonts w:ascii="Times New Roman" w:hAnsi="Times New Roman" w:cs="Times New Roman"/>
          <w:iCs/>
          <w:sz w:val="24"/>
          <w:szCs w:val="24"/>
        </w:rPr>
        <w:t>s</w:t>
      </w:r>
      <w:r w:rsidR="00616F5A" w:rsidRPr="00BD58C0">
        <w:rPr>
          <w:rFonts w:ascii="Times New Roman" w:hAnsi="Times New Roman" w:cs="Times New Roman"/>
          <w:iCs/>
          <w:sz w:val="24"/>
          <w:szCs w:val="24"/>
        </w:rPr>
        <w:t xml:space="preserve">ustainable </w:t>
      </w:r>
      <w:r w:rsidR="00380427" w:rsidRPr="00BD58C0">
        <w:rPr>
          <w:rFonts w:ascii="Times New Roman" w:hAnsi="Times New Roman" w:cs="Times New Roman"/>
          <w:iCs/>
          <w:sz w:val="24"/>
          <w:szCs w:val="24"/>
        </w:rPr>
        <w:t>p</w:t>
      </w:r>
      <w:r w:rsidR="00616F5A" w:rsidRPr="00BD58C0">
        <w:rPr>
          <w:rFonts w:ascii="Times New Roman" w:hAnsi="Times New Roman" w:cs="Times New Roman"/>
          <w:iCs/>
          <w:sz w:val="24"/>
          <w:szCs w:val="24"/>
        </w:rPr>
        <w:t>rocurement.</w:t>
      </w:r>
      <w:r w:rsidR="005833B4" w:rsidRPr="00BD58C0">
        <w:rPr>
          <w:rFonts w:ascii="Times New Roman" w:hAnsi="Times New Roman" w:cs="Times New Roman"/>
          <w:iCs/>
          <w:sz w:val="24"/>
          <w:szCs w:val="24"/>
        </w:rPr>
        <w:t xml:space="preserve"> </w:t>
      </w:r>
      <w:r w:rsidR="00616F5A" w:rsidRPr="00BD58C0">
        <w:rPr>
          <w:rFonts w:ascii="Times New Roman" w:hAnsi="Times New Roman" w:cs="Times New Roman"/>
          <w:iCs/>
          <w:sz w:val="24"/>
          <w:szCs w:val="24"/>
        </w:rPr>
        <w:t>3</w:t>
      </w:r>
      <w:r w:rsidR="005833B4" w:rsidRPr="00BD58C0">
        <w:rPr>
          <w:rFonts w:ascii="Times New Roman" w:hAnsi="Times New Roman" w:cs="Times New Roman"/>
          <w:iCs/>
          <w:sz w:val="24"/>
          <w:szCs w:val="24"/>
        </w:rPr>
        <w:t>rd</w:t>
      </w:r>
      <w:r w:rsidR="00616F5A" w:rsidRPr="00BD58C0">
        <w:rPr>
          <w:rFonts w:ascii="Times New Roman" w:hAnsi="Times New Roman" w:cs="Times New Roman"/>
          <w:iCs/>
          <w:sz w:val="24"/>
          <w:szCs w:val="24"/>
        </w:rPr>
        <w:t xml:space="preserve"> ed.</w:t>
      </w:r>
      <w:r w:rsidR="00616F5A" w:rsidRPr="00BD58C0">
        <w:rPr>
          <w:rFonts w:ascii="Times New Roman" w:hAnsi="Times New Roman" w:cs="Times New Roman"/>
          <w:sz w:val="24"/>
          <w:szCs w:val="24"/>
        </w:rPr>
        <w:t xml:space="preserve"> Freiburg, Germany: Local Governments for Sustainability, European Secretariat</w:t>
      </w:r>
      <w:r w:rsidR="005833B4" w:rsidRPr="00BD58C0">
        <w:rPr>
          <w:rFonts w:ascii="Times New Roman" w:hAnsi="Times New Roman" w:cs="Times New Roman"/>
          <w:sz w:val="24"/>
          <w:szCs w:val="24"/>
        </w:rPr>
        <w:t>;2016.</w:t>
      </w:r>
    </w:p>
    <w:p w14:paraId="6920CC50" w14:textId="6B69B377" w:rsidR="0012682A" w:rsidRPr="00BD58C0" w:rsidRDefault="00F158F3" w:rsidP="00B52714">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E162CB" w:rsidRPr="00BD58C0">
        <w:rPr>
          <w:rFonts w:ascii="Times New Roman" w:hAnsi="Times New Roman" w:cs="Times New Roman"/>
          <w:sz w:val="24"/>
          <w:szCs w:val="24"/>
        </w:rPr>
        <w:t>3</w:t>
      </w:r>
      <w:r w:rsidR="00CA51D6" w:rsidRPr="00BD58C0">
        <w:rPr>
          <w:rFonts w:ascii="Times New Roman" w:hAnsi="Times New Roman" w:cs="Times New Roman"/>
          <w:sz w:val="24"/>
          <w:szCs w:val="24"/>
        </w:rPr>
        <w:t>6</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6F16AC" w:rsidRPr="00BD58C0">
        <w:rPr>
          <w:rFonts w:ascii="Times New Roman" w:hAnsi="Times New Roman" w:cs="Times New Roman"/>
          <w:sz w:val="24"/>
          <w:szCs w:val="24"/>
        </w:rPr>
        <w:t>CBM. Monthly highlights and statistics.</w:t>
      </w:r>
      <w:r w:rsidR="002E0942" w:rsidRPr="00BD58C0">
        <w:rPr>
          <w:rFonts w:ascii="Times New Roman" w:hAnsi="Times New Roman" w:cs="Times New Roman"/>
          <w:sz w:val="24"/>
          <w:szCs w:val="24"/>
        </w:rPr>
        <w:t xml:space="preserve"> Malaysia: </w:t>
      </w:r>
      <w:r w:rsidR="006F16AC" w:rsidRPr="00BD58C0">
        <w:rPr>
          <w:rFonts w:ascii="Times New Roman" w:hAnsi="Times New Roman" w:cs="Times New Roman"/>
          <w:sz w:val="24"/>
          <w:szCs w:val="24"/>
        </w:rPr>
        <w:t>Central Bank of Malaysia</w:t>
      </w:r>
      <w:r w:rsidR="005A2A42" w:rsidRPr="00BD58C0">
        <w:rPr>
          <w:rFonts w:ascii="Times New Roman" w:hAnsi="Times New Roman" w:cs="Times New Roman"/>
          <w:sz w:val="24"/>
          <w:szCs w:val="24"/>
        </w:rPr>
        <w:t>.</w:t>
      </w:r>
      <w:r w:rsidR="006F16AC" w:rsidRPr="00BD58C0">
        <w:rPr>
          <w:rFonts w:ascii="Times New Roman" w:hAnsi="Times New Roman" w:cs="Times New Roman"/>
          <w:sz w:val="24"/>
          <w:szCs w:val="24"/>
        </w:rPr>
        <w:t xml:space="preserve"> </w:t>
      </w:r>
      <w:r w:rsidR="00B00FB1" w:rsidRPr="00BD58C0">
        <w:rPr>
          <w:rFonts w:ascii="Times New Roman" w:hAnsi="Times New Roman" w:cs="Times New Roman"/>
          <w:sz w:val="24"/>
          <w:szCs w:val="24"/>
        </w:rPr>
        <w:t>https://www.bnm.gov.my/files/publication/msb/2020/9/ebook_9.pdf</w:t>
      </w:r>
      <w:r w:rsidR="007E2461" w:rsidRPr="00BD58C0">
        <w:rPr>
          <w:rFonts w:ascii="Times New Roman" w:hAnsi="Times New Roman" w:cs="Times New Roman"/>
          <w:sz w:val="24"/>
          <w:szCs w:val="24"/>
        </w:rPr>
        <w:t>;2020</w:t>
      </w:r>
      <w:r w:rsidR="00D34F17" w:rsidRPr="00BD58C0">
        <w:rPr>
          <w:rFonts w:ascii="Times New Roman" w:hAnsi="Times New Roman" w:cs="Times New Roman"/>
          <w:sz w:val="24"/>
          <w:szCs w:val="24"/>
        </w:rPr>
        <w:t xml:space="preserve"> </w:t>
      </w:r>
      <w:r w:rsidR="006F16AC" w:rsidRPr="00BD58C0">
        <w:rPr>
          <w:rFonts w:ascii="Times New Roman" w:hAnsi="Times New Roman" w:cs="Times New Roman"/>
          <w:sz w:val="24"/>
          <w:szCs w:val="24"/>
        </w:rPr>
        <w:t xml:space="preserve">[accessed </w:t>
      </w:r>
      <w:r w:rsidR="006B1A18" w:rsidRPr="00BD58C0">
        <w:rPr>
          <w:rFonts w:ascii="Times New Roman" w:hAnsi="Times New Roman" w:cs="Times New Roman"/>
          <w:sz w:val="24"/>
          <w:szCs w:val="24"/>
        </w:rPr>
        <w:t>2</w:t>
      </w:r>
      <w:r w:rsidR="002E0942" w:rsidRPr="00BD58C0">
        <w:rPr>
          <w:rFonts w:ascii="Times New Roman" w:hAnsi="Times New Roman" w:cs="Times New Roman"/>
          <w:sz w:val="24"/>
          <w:szCs w:val="24"/>
        </w:rPr>
        <w:t xml:space="preserve"> </w:t>
      </w:r>
      <w:r w:rsidR="00A26D4C" w:rsidRPr="00BD58C0">
        <w:rPr>
          <w:rFonts w:ascii="Times New Roman" w:hAnsi="Times New Roman" w:cs="Times New Roman"/>
          <w:sz w:val="24"/>
          <w:szCs w:val="24"/>
        </w:rPr>
        <w:t>December</w:t>
      </w:r>
      <w:r w:rsidR="002E0942" w:rsidRPr="00BD58C0">
        <w:rPr>
          <w:rFonts w:ascii="Times New Roman" w:hAnsi="Times New Roman" w:cs="Times New Roman"/>
          <w:sz w:val="24"/>
          <w:szCs w:val="24"/>
        </w:rPr>
        <w:t xml:space="preserve"> </w:t>
      </w:r>
      <w:r w:rsidR="006F16AC" w:rsidRPr="00BD58C0">
        <w:rPr>
          <w:rFonts w:ascii="Times New Roman" w:hAnsi="Times New Roman" w:cs="Times New Roman"/>
          <w:sz w:val="24"/>
          <w:szCs w:val="24"/>
        </w:rPr>
        <w:t>20</w:t>
      </w:r>
      <w:r w:rsidR="00B00FB1" w:rsidRPr="00BD58C0">
        <w:rPr>
          <w:rFonts w:ascii="Times New Roman" w:hAnsi="Times New Roman" w:cs="Times New Roman"/>
          <w:sz w:val="24"/>
          <w:szCs w:val="24"/>
        </w:rPr>
        <w:t>20</w:t>
      </w:r>
      <w:r w:rsidR="006F16AC" w:rsidRPr="00BD58C0">
        <w:rPr>
          <w:rFonts w:ascii="Times New Roman" w:hAnsi="Times New Roman" w:cs="Times New Roman"/>
          <w:sz w:val="24"/>
          <w:szCs w:val="24"/>
        </w:rPr>
        <w:t>].</w:t>
      </w:r>
    </w:p>
    <w:p w14:paraId="03588A06" w14:textId="22F25960" w:rsidR="000533AA" w:rsidRPr="00BD58C0" w:rsidRDefault="000533AA" w:rsidP="00B52714">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123327" w:rsidRPr="00BD58C0">
        <w:rPr>
          <w:rFonts w:ascii="Times New Roman" w:hAnsi="Times New Roman" w:cs="Times New Roman"/>
          <w:sz w:val="24"/>
          <w:szCs w:val="24"/>
        </w:rPr>
        <w:t>3</w:t>
      </w:r>
      <w:r w:rsidR="00CA51D6" w:rsidRPr="00BD58C0">
        <w:rPr>
          <w:rFonts w:ascii="Times New Roman" w:hAnsi="Times New Roman" w:cs="Times New Roman"/>
          <w:sz w:val="24"/>
          <w:szCs w:val="24"/>
        </w:rPr>
        <w:t>7</w:t>
      </w:r>
      <w:r w:rsidRPr="00BD58C0">
        <w:rPr>
          <w:rFonts w:ascii="Times New Roman" w:hAnsi="Times New Roman" w:cs="Times New Roman"/>
          <w:sz w:val="24"/>
          <w:szCs w:val="24"/>
        </w:rPr>
        <w:t>]</w:t>
      </w:r>
      <w:r w:rsidR="00B05FAC" w:rsidRPr="00BD58C0">
        <w:rPr>
          <w:rFonts w:ascii="Times New Roman" w:hAnsi="Times New Roman" w:cs="Times New Roman"/>
          <w:sz w:val="24"/>
          <w:szCs w:val="24"/>
        </w:rPr>
        <w:tab/>
      </w:r>
      <w:r w:rsidR="00CF14BB" w:rsidRPr="00BD58C0">
        <w:rPr>
          <w:rFonts w:ascii="Times New Roman" w:hAnsi="Times New Roman" w:cs="Times New Roman"/>
          <w:sz w:val="24"/>
          <w:szCs w:val="24"/>
        </w:rPr>
        <w:t xml:space="preserve">TNB. Electricity tariff schedule. </w:t>
      </w:r>
      <w:r w:rsidR="001F1EC9" w:rsidRPr="00BD58C0">
        <w:rPr>
          <w:rFonts w:ascii="Times New Roman" w:hAnsi="Times New Roman" w:cs="Times New Roman"/>
          <w:sz w:val="24"/>
          <w:szCs w:val="24"/>
        </w:rPr>
        <w:t xml:space="preserve">Malaysia: </w:t>
      </w:r>
      <w:r w:rsidR="00CF14BB" w:rsidRPr="00BD58C0">
        <w:rPr>
          <w:rFonts w:ascii="Times New Roman" w:hAnsi="Times New Roman" w:cs="Times New Roman"/>
          <w:sz w:val="24"/>
          <w:szCs w:val="24"/>
        </w:rPr>
        <w:t>Tenaga Nasional Berhad</w:t>
      </w:r>
      <w:r w:rsidR="005A2A42" w:rsidRPr="00BD58C0">
        <w:rPr>
          <w:rFonts w:ascii="Times New Roman" w:hAnsi="Times New Roman" w:cs="Times New Roman"/>
          <w:sz w:val="24"/>
          <w:szCs w:val="24"/>
        </w:rPr>
        <w:t>.</w:t>
      </w:r>
      <w:r w:rsidR="001F1EC9" w:rsidRPr="00BD58C0">
        <w:rPr>
          <w:rFonts w:ascii="Times New Roman" w:hAnsi="Times New Roman" w:cs="Times New Roman"/>
          <w:sz w:val="24"/>
          <w:szCs w:val="24"/>
        </w:rPr>
        <w:t xml:space="preserve"> </w:t>
      </w:r>
      <w:hyperlink r:id="rId21" w:history="1">
        <w:r w:rsidR="001F1EC9" w:rsidRPr="00BD58C0">
          <w:rPr>
            <w:rStyle w:val="Hyperlink"/>
            <w:rFonts w:ascii="Times New Roman" w:hAnsi="Times New Roman" w:cs="Times New Roman"/>
            <w:color w:val="auto"/>
            <w:sz w:val="24"/>
            <w:szCs w:val="24"/>
            <w:u w:val="none"/>
          </w:rPr>
          <w:t>https://www.tnb.com.my/assets/files/Tariff_Rate_Final_01.Jan.2014.pdf</w:t>
        </w:r>
      </w:hyperlink>
      <w:r w:rsidR="007F1058" w:rsidRPr="00BD58C0">
        <w:rPr>
          <w:rFonts w:ascii="Times New Roman" w:hAnsi="Times New Roman" w:cs="Times New Roman"/>
          <w:sz w:val="24"/>
          <w:szCs w:val="24"/>
        </w:rPr>
        <w:t xml:space="preserve">;2014. [accessed </w:t>
      </w:r>
      <w:r w:rsidR="00A26D4C" w:rsidRPr="00BD58C0">
        <w:rPr>
          <w:rFonts w:ascii="Times New Roman" w:hAnsi="Times New Roman" w:cs="Times New Roman"/>
          <w:sz w:val="24"/>
          <w:szCs w:val="24"/>
        </w:rPr>
        <w:t>3 December</w:t>
      </w:r>
      <w:r w:rsidR="001F1EC9" w:rsidRPr="00BD58C0">
        <w:rPr>
          <w:rFonts w:ascii="Times New Roman" w:hAnsi="Times New Roman" w:cs="Times New Roman"/>
          <w:sz w:val="24"/>
          <w:szCs w:val="24"/>
        </w:rPr>
        <w:t xml:space="preserve"> </w:t>
      </w:r>
      <w:r w:rsidR="007F1058" w:rsidRPr="00BD58C0">
        <w:rPr>
          <w:rFonts w:ascii="Times New Roman" w:hAnsi="Times New Roman" w:cs="Times New Roman"/>
          <w:sz w:val="24"/>
          <w:szCs w:val="24"/>
        </w:rPr>
        <w:t>20</w:t>
      </w:r>
      <w:r w:rsidR="00A26D4C" w:rsidRPr="00BD58C0">
        <w:rPr>
          <w:rFonts w:ascii="Times New Roman" w:hAnsi="Times New Roman" w:cs="Times New Roman"/>
          <w:sz w:val="24"/>
          <w:szCs w:val="24"/>
        </w:rPr>
        <w:t>20</w:t>
      </w:r>
      <w:r w:rsidR="007F1058" w:rsidRPr="00BD58C0">
        <w:rPr>
          <w:rFonts w:ascii="Times New Roman" w:hAnsi="Times New Roman" w:cs="Times New Roman"/>
          <w:sz w:val="24"/>
          <w:szCs w:val="24"/>
        </w:rPr>
        <w:t>]</w:t>
      </w:r>
      <w:r w:rsidR="00123327" w:rsidRPr="00BD58C0">
        <w:rPr>
          <w:rFonts w:ascii="Times New Roman" w:hAnsi="Times New Roman" w:cs="Times New Roman"/>
          <w:sz w:val="24"/>
          <w:szCs w:val="24"/>
        </w:rPr>
        <w:t>.</w:t>
      </w:r>
    </w:p>
    <w:p w14:paraId="7D888CF3" w14:textId="4FA8A312" w:rsidR="00D43A2E" w:rsidRPr="00BD58C0" w:rsidRDefault="004A7A80" w:rsidP="004A7A80">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[3</w:t>
      </w:r>
      <w:r w:rsidR="00CA51D6" w:rsidRPr="00BD58C0">
        <w:rPr>
          <w:rFonts w:ascii="Times New Roman" w:hAnsi="Times New Roman" w:cs="Times New Roman"/>
          <w:sz w:val="24"/>
          <w:szCs w:val="24"/>
        </w:rPr>
        <w:t>8</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8C65FE" w:rsidRPr="00BD58C0">
        <w:rPr>
          <w:rFonts w:ascii="Times New Roman" w:hAnsi="Times New Roman" w:cs="Times New Roman"/>
          <w:sz w:val="24"/>
          <w:szCs w:val="24"/>
        </w:rPr>
        <w:t xml:space="preserve">Jeswani HK, Azapagic A, Schepelmann P, Ritthoff, M. Options for broadening and deepening the LCA approaches. </w:t>
      </w:r>
      <w:r w:rsidR="008C65FE" w:rsidRPr="00BD58C0">
        <w:rPr>
          <w:rFonts w:ascii="Times New Roman" w:hAnsi="Times New Roman" w:cs="Times New Roman"/>
          <w:iCs/>
          <w:sz w:val="24"/>
          <w:szCs w:val="24"/>
        </w:rPr>
        <w:t>J</w:t>
      </w:r>
      <w:r w:rsidR="00961F33" w:rsidRPr="00BD58C0">
        <w:rPr>
          <w:rFonts w:ascii="Times New Roman" w:hAnsi="Times New Roman" w:cs="Times New Roman"/>
          <w:iCs/>
          <w:sz w:val="24"/>
          <w:szCs w:val="24"/>
        </w:rPr>
        <w:t xml:space="preserve"> </w:t>
      </w:r>
      <w:r w:rsidR="008C65FE" w:rsidRPr="00BD58C0">
        <w:rPr>
          <w:rFonts w:ascii="Times New Roman" w:hAnsi="Times New Roman" w:cs="Times New Roman"/>
          <w:iCs/>
          <w:sz w:val="24"/>
          <w:szCs w:val="24"/>
        </w:rPr>
        <w:t>Clean Prod</w:t>
      </w:r>
      <w:r w:rsidR="00961F33" w:rsidRPr="00BD58C0">
        <w:rPr>
          <w:rFonts w:ascii="Times New Roman" w:hAnsi="Times New Roman" w:cs="Times New Roman"/>
          <w:iCs/>
          <w:sz w:val="24"/>
          <w:szCs w:val="24"/>
        </w:rPr>
        <w:t xml:space="preserve"> </w:t>
      </w:r>
      <w:r w:rsidR="008C65FE" w:rsidRPr="00BD58C0">
        <w:rPr>
          <w:rFonts w:ascii="Times New Roman" w:hAnsi="Times New Roman" w:cs="Times New Roman"/>
          <w:iCs/>
          <w:sz w:val="24"/>
          <w:szCs w:val="24"/>
        </w:rPr>
        <w:t>2010;1</w:t>
      </w:r>
      <w:r w:rsidR="008C65FE" w:rsidRPr="00BD58C0">
        <w:rPr>
          <w:rFonts w:ascii="Times New Roman" w:hAnsi="Times New Roman" w:cs="Times New Roman"/>
          <w:sz w:val="24"/>
          <w:szCs w:val="24"/>
        </w:rPr>
        <w:t>8:120-27.</w:t>
      </w:r>
    </w:p>
    <w:p w14:paraId="5DD94903" w14:textId="5E01EEBC" w:rsidR="00D43A2E" w:rsidRPr="00BD58C0" w:rsidRDefault="00D43A2E" w:rsidP="00E17CAC">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77776C" w:rsidRPr="00BD58C0">
        <w:rPr>
          <w:rFonts w:ascii="Times New Roman" w:hAnsi="Times New Roman" w:cs="Times New Roman"/>
          <w:sz w:val="24"/>
          <w:szCs w:val="24"/>
        </w:rPr>
        <w:t>3</w:t>
      </w:r>
      <w:r w:rsidR="00CA51D6" w:rsidRPr="00BD58C0">
        <w:rPr>
          <w:rFonts w:ascii="Times New Roman" w:hAnsi="Times New Roman" w:cs="Times New Roman"/>
          <w:sz w:val="24"/>
          <w:szCs w:val="24"/>
        </w:rPr>
        <w:t>9</w:t>
      </w:r>
      <w:r w:rsidRPr="00BD58C0">
        <w:rPr>
          <w:rFonts w:ascii="Times New Roman" w:hAnsi="Times New Roman" w:cs="Times New Roman"/>
          <w:sz w:val="24"/>
          <w:szCs w:val="24"/>
        </w:rPr>
        <w:t>]</w:t>
      </w:r>
      <w:r w:rsidR="0040746D" w:rsidRPr="00BD58C0">
        <w:rPr>
          <w:rFonts w:ascii="Times New Roman" w:hAnsi="Times New Roman" w:cs="Times New Roman"/>
          <w:sz w:val="24"/>
          <w:szCs w:val="24"/>
        </w:rPr>
        <w:tab/>
      </w:r>
      <w:proofErr w:type="spellStart"/>
      <w:r w:rsidR="0040746D" w:rsidRPr="00BD58C0">
        <w:rPr>
          <w:rFonts w:ascii="Times New Roman" w:hAnsi="Times New Roman" w:cs="Times New Roman"/>
          <w:sz w:val="24"/>
          <w:szCs w:val="24"/>
        </w:rPr>
        <w:t>Finnveden</w:t>
      </w:r>
      <w:proofErr w:type="spellEnd"/>
      <w:r w:rsidR="0040746D" w:rsidRPr="00BD58C0">
        <w:rPr>
          <w:rFonts w:ascii="Times New Roman" w:hAnsi="Times New Roman" w:cs="Times New Roman"/>
          <w:sz w:val="24"/>
          <w:szCs w:val="24"/>
        </w:rPr>
        <w:t xml:space="preserve"> G, Moberg A. Environmental systems analysis tools – an overview. </w:t>
      </w:r>
      <w:r w:rsidR="0040746D" w:rsidRPr="00BD58C0">
        <w:rPr>
          <w:rFonts w:ascii="Times New Roman" w:hAnsi="Times New Roman" w:cs="Times New Roman"/>
          <w:iCs/>
          <w:sz w:val="24"/>
          <w:szCs w:val="24"/>
        </w:rPr>
        <w:t>J Clean Prod</w:t>
      </w:r>
      <w:r w:rsidR="0040746D" w:rsidRPr="00BD58C0">
        <w:rPr>
          <w:rFonts w:ascii="Times New Roman" w:hAnsi="Times New Roman" w:cs="Times New Roman"/>
          <w:sz w:val="24"/>
          <w:szCs w:val="24"/>
        </w:rPr>
        <w:t xml:space="preserve"> </w:t>
      </w:r>
      <w:proofErr w:type="gramStart"/>
      <w:r w:rsidR="0040746D" w:rsidRPr="00BD58C0">
        <w:rPr>
          <w:rFonts w:ascii="Times New Roman" w:hAnsi="Times New Roman" w:cs="Times New Roman"/>
          <w:sz w:val="24"/>
          <w:szCs w:val="24"/>
        </w:rPr>
        <w:t>2005;13:1165</w:t>
      </w:r>
      <w:proofErr w:type="gramEnd"/>
      <w:r w:rsidR="0040746D" w:rsidRPr="00BD58C0">
        <w:rPr>
          <w:rFonts w:ascii="Times New Roman" w:hAnsi="Times New Roman" w:cs="Times New Roman"/>
          <w:sz w:val="24"/>
          <w:szCs w:val="24"/>
        </w:rPr>
        <w:t>–73.</w:t>
      </w:r>
    </w:p>
    <w:p w14:paraId="238EFC52" w14:textId="6B77ABD8" w:rsidR="00D43A2E" w:rsidRPr="00BD58C0" w:rsidRDefault="00D43A2E" w:rsidP="001B4203">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40</w:t>
      </w:r>
      <w:r w:rsidRPr="00BD58C0">
        <w:rPr>
          <w:rFonts w:ascii="Times New Roman" w:hAnsi="Times New Roman" w:cs="Times New Roman"/>
          <w:sz w:val="24"/>
          <w:szCs w:val="24"/>
        </w:rPr>
        <w:t>]</w:t>
      </w:r>
      <w:r w:rsidR="00E17CAC" w:rsidRPr="00BD58C0">
        <w:rPr>
          <w:rFonts w:ascii="Times New Roman" w:hAnsi="Times New Roman" w:cs="Times New Roman"/>
          <w:sz w:val="24"/>
          <w:szCs w:val="24"/>
        </w:rPr>
        <w:tab/>
      </w:r>
      <w:proofErr w:type="spellStart"/>
      <w:r w:rsidR="00E17CAC" w:rsidRPr="00BD58C0">
        <w:rPr>
          <w:rFonts w:ascii="Times New Roman" w:hAnsi="Times New Roman" w:cs="Times New Roman"/>
          <w:sz w:val="24"/>
          <w:szCs w:val="24"/>
        </w:rPr>
        <w:t>Hoogmartens</w:t>
      </w:r>
      <w:proofErr w:type="spellEnd"/>
      <w:r w:rsidR="00E17CAC" w:rsidRPr="00BD58C0">
        <w:rPr>
          <w:rFonts w:ascii="Times New Roman" w:hAnsi="Times New Roman" w:cs="Times New Roman"/>
          <w:sz w:val="24"/>
          <w:szCs w:val="24"/>
        </w:rPr>
        <w:t xml:space="preserve"> R, </w:t>
      </w:r>
      <w:proofErr w:type="spellStart"/>
      <w:r w:rsidR="00E17CAC" w:rsidRPr="00BD58C0">
        <w:rPr>
          <w:rFonts w:ascii="Times New Roman" w:hAnsi="Times New Roman" w:cs="Times New Roman"/>
          <w:sz w:val="24"/>
          <w:szCs w:val="24"/>
        </w:rPr>
        <w:t>Passel</w:t>
      </w:r>
      <w:proofErr w:type="spellEnd"/>
      <w:r w:rsidR="00E17CAC" w:rsidRPr="00BD58C0">
        <w:rPr>
          <w:rFonts w:ascii="Times New Roman" w:hAnsi="Times New Roman" w:cs="Times New Roman"/>
          <w:sz w:val="24"/>
          <w:szCs w:val="24"/>
        </w:rPr>
        <w:t xml:space="preserve"> SV, Acker KV, Dubois M. Bridging the gap between LCA, LCC and CBA as sustainability assessment tools. Enviro</w:t>
      </w:r>
      <w:r w:rsidR="001B4203" w:rsidRPr="00BD58C0">
        <w:rPr>
          <w:rFonts w:ascii="Times New Roman" w:hAnsi="Times New Roman" w:cs="Times New Roman"/>
          <w:sz w:val="24"/>
          <w:szCs w:val="24"/>
        </w:rPr>
        <w:t>n</w:t>
      </w:r>
      <w:r w:rsidR="00E17CAC" w:rsidRPr="00BD58C0">
        <w:rPr>
          <w:rFonts w:ascii="Times New Roman" w:hAnsi="Times New Roman" w:cs="Times New Roman"/>
          <w:sz w:val="24"/>
          <w:szCs w:val="24"/>
        </w:rPr>
        <w:t xml:space="preserve"> Impact Asses </w:t>
      </w:r>
      <w:proofErr w:type="gramStart"/>
      <w:r w:rsidR="00E17CAC" w:rsidRPr="00BD58C0">
        <w:rPr>
          <w:rFonts w:ascii="Times New Roman" w:hAnsi="Times New Roman" w:cs="Times New Roman"/>
          <w:sz w:val="24"/>
          <w:szCs w:val="24"/>
        </w:rPr>
        <w:t>2014</w:t>
      </w:r>
      <w:r w:rsidR="001B4203" w:rsidRPr="00BD58C0">
        <w:rPr>
          <w:rFonts w:ascii="Times New Roman" w:hAnsi="Times New Roman" w:cs="Times New Roman"/>
          <w:sz w:val="24"/>
          <w:szCs w:val="24"/>
        </w:rPr>
        <w:t>;</w:t>
      </w:r>
      <w:r w:rsidR="00E17CAC" w:rsidRPr="00BD58C0">
        <w:rPr>
          <w:rFonts w:ascii="Times New Roman" w:hAnsi="Times New Roman" w:cs="Times New Roman"/>
          <w:sz w:val="24"/>
          <w:szCs w:val="24"/>
        </w:rPr>
        <w:t>48:27</w:t>
      </w:r>
      <w:proofErr w:type="gramEnd"/>
      <w:r w:rsidR="00E17CAC" w:rsidRPr="00BD58C0">
        <w:rPr>
          <w:rFonts w:ascii="Times New Roman" w:hAnsi="Times New Roman" w:cs="Times New Roman"/>
          <w:sz w:val="24"/>
          <w:szCs w:val="24"/>
        </w:rPr>
        <w:t>-33.</w:t>
      </w:r>
    </w:p>
    <w:p w14:paraId="0C9F8700" w14:textId="3A9814C5" w:rsidR="00E66955" w:rsidRPr="00BD58C0" w:rsidRDefault="00D43A2E" w:rsidP="00D43A2E">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41</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1914B2" w:rsidRPr="00BD58C0">
        <w:rPr>
          <w:rFonts w:ascii="Times New Roman" w:hAnsi="Times New Roman" w:cs="Times New Roman"/>
          <w:sz w:val="24"/>
          <w:szCs w:val="24"/>
        </w:rPr>
        <w:t>Svatonova T, Herak D, Kabutey A. Financial profitability and sensitivity analysis of palm oil plantation in Indonesia. ACTA Univ Agric Silvic Mendelianae Brun 2015;63(4)</w:t>
      </w:r>
      <w:r w:rsidR="005B41CB" w:rsidRPr="00BD58C0">
        <w:rPr>
          <w:rFonts w:ascii="Times New Roman" w:hAnsi="Times New Roman" w:cs="Times New Roman"/>
          <w:sz w:val="24"/>
          <w:szCs w:val="24"/>
        </w:rPr>
        <w:t>:1365-73</w:t>
      </w:r>
      <w:r w:rsidR="001914B2" w:rsidRPr="00BD58C0">
        <w:rPr>
          <w:rFonts w:ascii="Times New Roman" w:hAnsi="Times New Roman" w:cs="Times New Roman"/>
          <w:sz w:val="24"/>
          <w:szCs w:val="24"/>
        </w:rPr>
        <w:t>.</w:t>
      </w:r>
    </w:p>
    <w:p w14:paraId="59396D0C" w14:textId="4E4AB9A9" w:rsidR="001E4233" w:rsidRPr="00BD58C0" w:rsidRDefault="00911F6F" w:rsidP="00911F6F">
      <w:pPr>
        <w:pStyle w:val="EndNoteBibliography"/>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sz w:val="24"/>
          <w:szCs w:val="24"/>
        </w:rPr>
        <w:t>[</w:t>
      </w:r>
      <w:r w:rsidR="00BC3819" w:rsidRPr="00BD58C0">
        <w:rPr>
          <w:rFonts w:ascii="Times New Roman" w:hAnsi="Times New Roman" w:cs="Times New Roman"/>
          <w:sz w:val="24"/>
          <w:szCs w:val="24"/>
        </w:rPr>
        <w:t>4</w:t>
      </w:r>
      <w:r w:rsidR="00CA51D6" w:rsidRPr="00BD58C0">
        <w:rPr>
          <w:rFonts w:ascii="Times New Roman" w:hAnsi="Times New Roman" w:cs="Times New Roman"/>
          <w:sz w:val="24"/>
          <w:szCs w:val="24"/>
        </w:rPr>
        <w:t>2</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2A716E" w:rsidRPr="00BD58C0">
        <w:rPr>
          <w:rFonts w:ascii="Times New Roman" w:hAnsi="Times New Roman" w:cs="Times New Roman"/>
          <w:sz w:val="24"/>
          <w:szCs w:val="24"/>
        </w:rPr>
        <w:t xml:space="preserve">Basher SA, G. Raboy D. The misuse of net present value in energy efficiency standards. </w:t>
      </w:r>
      <w:r w:rsidR="002A716E" w:rsidRPr="00BD58C0">
        <w:rPr>
          <w:rFonts w:ascii="Times New Roman" w:hAnsi="Times New Roman" w:cs="Times New Roman"/>
          <w:iCs/>
          <w:sz w:val="24"/>
          <w:szCs w:val="24"/>
        </w:rPr>
        <w:t>Renew Sust Energ Rev 2018;96:218-25.</w:t>
      </w:r>
    </w:p>
    <w:p w14:paraId="32FB991A" w14:textId="4AFAAF02" w:rsidR="00B86CA6" w:rsidRPr="00BD58C0" w:rsidRDefault="00536474" w:rsidP="00085AE3">
      <w:pPr>
        <w:pStyle w:val="EndNoteBibliography"/>
        <w:spacing w:after="0" w:line="360" w:lineRule="auto"/>
        <w:ind w:left="720" w:hanging="720"/>
        <w:jc w:val="both"/>
        <w:rPr>
          <w:rFonts w:ascii="Times New Roman" w:hAnsi="Times New Roman" w:cs="Times New Roman"/>
          <w:iCs/>
          <w:sz w:val="24"/>
          <w:szCs w:val="24"/>
        </w:rPr>
      </w:pPr>
      <w:r w:rsidRPr="00BD58C0">
        <w:rPr>
          <w:rFonts w:ascii="Times New Roman" w:hAnsi="Times New Roman" w:cs="Times New Roman"/>
          <w:sz w:val="24"/>
          <w:szCs w:val="24"/>
        </w:rPr>
        <w:t>[</w:t>
      </w:r>
      <w:r w:rsidR="00BC3819" w:rsidRPr="00BD58C0">
        <w:rPr>
          <w:rFonts w:ascii="Times New Roman" w:hAnsi="Times New Roman" w:cs="Times New Roman"/>
          <w:sz w:val="24"/>
          <w:szCs w:val="24"/>
        </w:rPr>
        <w:t>4</w:t>
      </w:r>
      <w:r w:rsidR="00CA51D6" w:rsidRPr="00BD58C0">
        <w:rPr>
          <w:rFonts w:ascii="Times New Roman" w:hAnsi="Times New Roman" w:cs="Times New Roman"/>
          <w:sz w:val="24"/>
          <w:szCs w:val="24"/>
        </w:rPr>
        <w:t>3</w:t>
      </w:r>
      <w:r w:rsidRPr="00BD58C0">
        <w:rPr>
          <w:rFonts w:ascii="Times New Roman" w:hAnsi="Times New Roman" w:cs="Times New Roman"/>
          <w:sz w:val="24"/>
          <w:szCs w:val="24"/>
        </w:rPr>
        <w:t>]</w:t>
      </w:r>
      <w:r w:rsidR="002A716E" w:rsidRPr="00BD58C0">
        <w:rPr>
          <w:rFonts w:ascii="Times New Roman" w:hAnsi="Times New Roman" w:cs="Times New Roman"/>
          <w:sz w:val="24"/>
          <w:szCs w:val="24"/>
        </w:rPr>
        <w:tab/>
      </w:r>
      <w:r w:rsidR="003F0B57" w:rsidRPr="00BD58C0">
        <w:rPr>
          <w:rFonts w:ascii="Times New Roman" w:hAnsi="Times New Roman" w:cs="Times New Roman"/>
          <w:sz w:val="24"/>
          <w:szCs w:val="24"/>
        </w:rPr>
        <w:t xml:space="preserve">Zore Z, Cucek L, Sirovnik D, Pintaric ZN, Kravanja Z. Maximizing the sustainability net present value of renewable energy supply networks. </w:t>
      </w:r>
      <w:r w:rsidR="003F0B57" w:rsidRPr="00BD58C0">
        <w:rPr>
          <w:rFonts w:ascii="Times New Roman" w:hAnsi="Times New Roman" w:cs="Times New Roman"/>
          <w:iCs/>
          <w:sz w:val="24"/>
          <w:szCs w:val="24"/>
        </w:rPr>
        <w:t>Renew Sust Energ Rev 2018;131:245-65.</w:t>
      </w:r>
    </w:p>
    <w:p w14:paraId="3727C89E" w14:textId="2A037BC5" w:rsidR="00536474" w:rsidRPr="00BD58C0" w:rsidRDefault="00536474" w:rsidP="00536474">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87989" w:rsidRPr="00BD58C0">
        <w:rPr>
          <w:rFonts w:ascii="Times New Roman" w:hAnsi="Times New Roman" w:cs="Times New Roman"/>
          <w:sz w:val="24"/>
          <w:szCs w:val="24"/>
        </w:rPr>
        <w:t>4</w:t>
      </w:r>
      <w:r w:rsidR="00CA51D6" w:rsidRPr="00BD58C0">
        <w:rPr>
          <w:rFonts w:ascii="Times New Roman" w:hAnsi="Times New Roman" w:cs="Times New Roman"/>
          <w:sz w:val="24"/>
          <w:szCs w:val="24"/>
        </w:rPr>
        <w:t>4</w:t>
      </w:r>
      <w:r w:rsidRPr="00BD58C0">
        <w:rPr>
          <w:rFonts w:ascii="Times New Roman" w:hAnsi="Times New Roman" w:cs="Times New Roman"/>
          <w:sz w:val="24"/>
          <w:szCs w:val="24"/>
        </w:rPr>
        <w:t>]</w:t>
      </w:r>
      <w:r w:rsidR="00001C8D" w:rsidRPr="00BD58C0">
        <w:rPr>
          <w:rFonts w:ascii="Times New Roman" w:hAnsi="Times New Roman" w:cs="Times New Roman"/>
          <w:sz w:val="24"/>
          <w:szCs w:val="24"/>
        </w:rPr>
        <w:tab/>
        <w:t>Carlini M, Mosconi EM, Castellucci S, Villarini M, Colantoni A. An economical evaluation of anaerobic digestion plants fed with organic agro-industrial waste. Energies 2017;10:1-15.</w:t>
      </w:r>
    </w:p>
    <w:p w14:paraId="2F5FA589" w14:textId="04574DAA" w:rsidR="001E4233" w:rsidRPr="00BD58C0" w:rsidRDefault="001E4233" w:rsidP="006D40D0">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85AE3" w:rsidRPr="00BD58C0">
        <w:rPr>
          <w:rFonts w:ascii="Times New Roman" w:hAnsi="Times New Roman" w:cs="Times New Roman"/>
          <w:sz w:val="24"/>
          <w:szCs w:val="24"/>
        </w:rPr>
        <w:t>4</w:t>
      </w:r>
      <w:r w:rsidR="00CA51D6" w:rsidRPr="00BD58C0">
        <w:rPr>
          <w:rFonts w:ascii="Times New Roman" w:hAnsi="Times New Roman" w:cs="Times New Roman"/>
          <w:sz w:val="24"/>
          <w:szCs w:val="24"/>
        </w:rPr>
        <w:t>5</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6D40D0" w:rsidRPr="00BD58C0">
        <w:rPr>
          <w:rFonts w:ascii="Times New Roman" w:hAnsi="Times New Roman" w:cs="Times New Roman"/>
          <w:sz w:val="24"/>
          <w:szCs w:val="24"/>
        </w:rPr>
        <w:t>PWC. Malaysian tax booklet. Malaysia: PricewaterhouseCoopers;2018.</w:t>
      </w:r>
    </w:p>
    <w:p w14:paraId="0D95B556" w14:textId="10D08FAC" w:rsidR="00085AE3" w:rsidRPr="00BD58C0" w:rsidRDefault="001E4233" w:rsidP="00DB1182">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85AE3" w:rsidRPr="00BD58C0">
        <w:rPr>
          <w:rFonts w:ascii="Times New Roman" w:hAnsi="Times New Roman" w:cs="Times New Roman"/>
          <w:sz w:val="24"/>
          <w:szCs w:val="24"/>
        </w:rPr>
        <w:t>4</w:t>
      </w:r>
      <w:r w:rsidR="00CA51D6" w:rsidRPr="00BD58C0">
        <w:rPr>
          <w:rFonts w:ascii="Times New Roman" w:hAnsi="Times New Roman" w:cs="Times New Roman"/>
          <w:sz w:val="24"/>
          <w:szCs w:val="24"/>
        </w:rPr>
        <w:t>6</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B52714" w:rsidRPr="00BD58C0">
        <w:rPr>
          <w:rFonts w:ascii="Times New Roman" w:hAnsi="Times New Roman" w:cs="Times New Roman"/>
          <w:sz w:val="24"/>
          <w:szCs w:val="24"/>
        </w:rPr>
        <w:t>Seider</w:t>
      </w:r>
      <w:r w:rsidR="00187A31" w:rsidRPr="00BD58C0">
        <w:rPr>
          <w:rFonts w:ascii="Times New Roman" w:hAnsi="Times New Roman" w:cs="Times New Roman"/>
          <w:sz w:val="24"/>
          <w:szCs w:val="24"/>
        </w:rPr>
        <w:t xml:space="preserve"> </w:t>
      </w:r>
      <w:r w:rsidR="00B52714" w:rsidRPr="00BD58C0">
        <w:rPr>
          <w:rFonts w:ascii="Times New Roman" w:hAnsi="Times New Roman" w:cs="Times New Roman"/>
          <w:sz w:val="24"/>
          <w:szCs w:val="24"/>
        </w:rPr>
        <w:t>DW, Seader</w:t>
      </w:r>
      <w:r w:rsidR="00187A31" w:rsidRPr="00BD58C0">
        <w:rPr>
          <w:rFonts w:ascii="Times New Roman" w:hAnsi="Times New Roman" w:cs="Times New Roman"/>
          <w:sz w:val="24"/>
          <w:szCs w:val="24"/>
        </w:rPr>
        <w:t xml:space="preserve"> </w:t>
      </w:r>
      <w:r w:rsidR="00B52714" w:rsidRPr="00BD58C0">
        <w:rPr>
          <w:rFonts w:ascii="Times New Roman" w:hAnsi="Times New Roman" w:cs="Times New Roman"/>
          <w:sz w:val="24"/>
          <w:szCs w:val="24"/>
        </w:rPr>
        <w:t>JD, Lewin RD,</w:t>
      </w:r>
      <w:r w:rsidR="00187A31" w:rsidRPr="00BD58C0">
        <w:rPr>
          <w:rFonts w:ascii="Times New Roman" w:hAnsi="Times New Roman" w:cs="Times New Roman"/>
          <w:sz w:val="24"/>
          <w:szCs w:val="24"/>
        </w:rPr>
        <w:t xml:space="preserve"> </w:t>
      </w:r>
      <w:r w:rsidR="00B52714" w:rsidRPr="00BD58C0">
        <w:rPr>
          <w:rFonts w:ascii="Times New Roman" w:hAnsi="Times New Roman" w:cs="Times New Roman"/>
          <w:sz w:val="24"/>
          <w:szCs w:val="24"/>
        </w:rPr>
        <w:t>Widagdo S.</w:t>
      </w:r>
      <w:r w:rsidR="001F6728" w:rsidRPr="00BD58C0">
        <w:rPr>
          <w:rFonts w:ascii="Times New Roman" w:hAnsi="Times New Roman" w:cs="Times New Roman"/>
          <w:sz w:val="24"/>
          <w:szCs w:val="24"/>
        </w:rPr>
        <w:t xml:space="preserve"> </w:t>
      </w:r>
      <w:r w:rsidR="00B52714" w:rsidRPr="00BD58C0">
        <w:rPr>
          <w:rFonts w:ascii="Times New Roman" w:hAnsi="Times New Roman" w:cs="Times New Roman"/>
          <w:sz w:val="24"/>
          <w:szCs w:val="24"/>
        </w:rPr>
        <w:t>Product and Process Design Principle. 3</w:t>
      </w:r>
      <w:r w:rsidR="001F6728" w:rsidRPr="00BD58C0">
        <w:rPr>
          <w:rFonts w:ascii="Times New Roman" w:hAnsi="Times New Roman" w:cs="Times New Roman"/>
          <w:sz w:val="24"/>
          <w:szCs w:val="24"/>
        </w:rPr>
        <w:t>rd</w:t>
      </w:r>
      <w:r w:rsidR="00B52714" w:rsidRPr="00BD58C0">
        <w:rPr>
          <w:rFonts w:ascii="Times New Roman" w:hAnsi="Times New Roman" w:cs="Times New Roman"/>
          <w:sz w:val="24"/>
          <w:szCs w:val="24"/>
        </w:rPr>
        <w:t xml:space="preserve"> ed. United States: John Wiley &amp; Sons, Inc</w:t>
      </w:r>
      <w:r w:rsidR="001F6728" w:rsidRPr="00BD58C0">
        <w:rPr>
          <w:rFonts w:ascii="Times New Roman" w:hAnsi="Times New Roman" w:cs="Times New Roman"/>
          <w:sz w:val="24"/>
          <w:szCs w:val="24"/>
        </w:rPr>
        <w:t>;2010.</w:t>
      </w:r>
      <w:r w:rsidR="00187A31" w:rsidRPr="00BD58C0">
        <w:rPr>
          <w:rFonts w:ascii="Times New Roman" w:hAnsi="Times New Roman" w:cs="Times New Roman"/>
          <w:sz w:val="24"/>
          <w:szCs w:val="24"/>
        </w:rPr>
        <w:t xml:space="preserve"> </w:t>
      </w:r>
    </w:p>
    <w:p w14:paraId="7F1D6951" w14:textId="0C0B0783" w:rsidR="0082197F" w:rsidRPr="00BD58C0" w:rsidRDefault="001E4233" w:rsidP="0048450A">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DB1182" w:rsidRPr="00BD58C0">
        <w:rPr>
          <w:rFonts w:ascii="Times New Roman" w:hAnsi="Times New Roman" w:cs="Times New Roman"/>
          <w:sz w:val="24"/>
          <w:szCs w:val="24"/>
        </w:rPr>
        <w:t>4</w:t>
      </w:r>
      <w:r w:rsidR="00CA51D6" w:rsidRPr="00BD58C0">
        <w:rPr>
          <w:rFonts w:ascii="Times New Roman" w:hAnsi="Times New Roman" w:cs="Times New Roman"/>
          <w:sz w:val="24"/>
          <w:szCs w:val="24"/>
        </w:rPr>
        <w:t>7</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972699" w:rsidRPr="00BD58C0">
        <w:rPr>
          <w:rFonts w:ascii="Times New Roman" w:hAnsi="Times New Roman" w:cs="Times New Roman"/>
          <w:sz w:val="24"/>
          <w:szCs w:val="24"/>
        </w:rPr>
        <w:t xml:space="preserve">Andersson J, Lundgren J, </w:t>
      </w:r>
      <w:proofErr w:type="spellStart"/>
      <w:r w:rsidR="00972699" w:rsidRPr="00BD58C0">
        <w:rPr>
          <w:rFonts w:ascii="Times New Roman" w:hAnsi="Times New Roman" w:cs="Times New Roman"/>
          <w:sz w:val="24"/>
          <w:szCs w:val="24"/>
        </w:rPr>
        <w:t>Marklund</w:t>
      </w:r>
      <w:proofErr w:type="spellEnd"/>
      <w:r w:rsidR="00972699" w:rsidRPr="00BD58C0">
        <w:rPr>
          <w:rFonts w:ascii="Times New Roman" w:hAnsi="Times New Roman" w:cs="Times New Roman"/>
          <w:sz w:val="24"/>
          <w:szCs w:val="24"/>
        </w:rPr>
        <w:t xml:space="preserve"> M. Methanol production via pressurized entrained flow biomass gasification e techno-economic comparison of integrated vs. stand-alone production. Biomass </w:t>
      </w:r>
      <w:proofErr w:type="spellStart"/>
      <w:r w:rsidR="00972699" w:rsidRPr="00BD58C0">
        <w:rPr>
          <w:rFonts w:ascii="Times New Roman" w:hAnsi="Times New Roman" w:cs="Times New Roman"/>
          <w:sz w:val="24"/>
          <w:szCs w:val="24"/>
        </w:rPr>
        <w:t>Bioenerg</w:t>
      </w:r>
      <w:proofErr w:type="spellEnd"/>
      <w:r w:rsidR="00972699" w:rsidRPr="00BD58C0">
        <w:rPr>
          <w:rFonts w:ascii="Times New Roman" w:hAnsi="Times New Roman" w:cs="Times New Roman"/>
          <w:sz w:val="24"/>
          <w:szCs w:val="24"/>
        </w:rPr>
        <w:t xml:space="preserve"> </w:t>
      </w:r>
      <w:proofErr w:type="gramStart"/>
      <w:r w:rsidR="00972699" w:rsidRPr="00BD58C0">
        <w:rPr>
          <w:rFonts w:ascii="Times New Roman" w:hAnsi="Times New Roman" w:cs="Times New Roman"/>
          <w:sz w:val="24"/>
          <w:szCs w:val="24"/>
        </w:rPr>
        <w:t>2014;64:256</w:t>
      </w:r>
      <w:proofErr w:type="gramEnd"/>
      <w:r w:rsidR="00F167A3" w:rsidRPr="00BD58C0">
        <w:rPr>
          <w:rFonts w:ascii="Times New Roman" w:hAnsi="Times New Roman" w:cs="Times New Roman"/>
          <w:sz w:val="24"/>
          <w:szCs w:val="24"/>
        </w:rPr>
        <w:t>-</w:t>
      </w:r>
      <w:r w:rsidR="00972699" w:rsidRPr="00BD58C0">
        <w:rPr>
          <w:rFonts w:ascii="Times New Roman" w:hAnsi="Times New Roman" w:cs="Times New Roman"/>
          <w:sz w:val="24"/>
          <w:szCs w:val="24"/>
        </w:rPr>
        <w:t>68.</w:t>
      </w:r>
    </w:p>
    <w:p w14:paraId="6A4CD3FE" w14:textId="098ADA64" w:rsidR="00EA2E5F" w:rsidRPr="00BD58C0" w:rsidRDefault="0082197F" w:rsidP="005229A1">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lastRenderedPageBreak/>
        <w:t>[</w:t>
      </w:r>
      <w:r w:rsidR="00984C2C" w:rsidRPr="00BD58C0">
        <w:rPr>
          <w:rFonts w:ascii="Times New Roman" w:hAnsi="Times New Roman" w:cs="Times New Roman"/>
          <w:sz w:val="24"/>
          <w:szCs w:val="24"/>
        </w:rPr>
        <w:t>4</w:t>
      </w:r>
      <w:r w:rsidR="00CA51D6" w:rsidRPr="00BD58C0">
        <w:rPr>
          <w:rFonts w:ascii="Times New Roman" w:hAnsi="Times New Roman" w:cs="Times New Roman"/>
          <w:sz w:val="24"/>
          <w:szCs w:val="24"/>
        </w:rPr>
        <w:t>8</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7C21DA" w:rsidRPr="00BD58C0">
        <w:rPr>
          <w:rFonts w:ascii="Times New Roman" w:hAnsi="Times New Roman" w:cs="Times New Roman"/>
          <w:sz w:val="24"/>
          <w:szCs w:val="24"/>
        </w:rPr>
        <w:t xml:space="preserve">Ong HC, </w:t>
      </w:r>
      <w:proofErr w:type="spellStart"/>
      <w:r w:rsidR="007C21DA" w:rsidRPr="00BD58C0">
        <w:rPr>
          <w:rFonts w:ascii="Times New Roman" w:hAnsi="Times New Roman" w:cs="Times New Roman"/>
          <w:sz w:val="24"/>
          <w:szCs w:val="24"/>
        </w:rPr>
        <w:t>Mahlia</w:t>
      </w:r>
      <w:proofErr w:type="spellEnd"/>
      <w:r w:rsidR="007C21DA" w:rsidRPr="00BD58C0">
        <w:rPr>
          <w:rFonts w:ascii="Times New Roman" w:hAnsi="Times New Roman" w:cs="Times New Roman"/>
          <w:sz w:val="24"/>
          <w:szCs w:val="24"/>
        </w:rPr>
        <w:t xml:space="preserve"> TMI, </w:t>
      </w:r>
      <w:proofErr w:type="spellStart"/>
      <w:r w:rsidR="007C21DA" w:rsidRPr="00BD58C0">
        <w:rPr>
          <w:rFonts w:ascii="Times New Roman" w:hAnsi="Times New Roman" w:cs="Times New Roman"/>
          <w:sz w:val="24"/>
          <w:szCs w:val="24"/>
        </w:rPr>
        <w:t>Masjuki</w:t>
      </w:r>
      <w:proofErr w:type="spellEnd"/>
      <w:r w:rsidR="007C21DA" w:rsidRPr="00BD58C0">
        <w:rPr>
          <w:rFonts w:ascii="Times New Roman" w:hAnsi="Times New Roman" w:cs="Times New Roman"/>
          <w:sz w:val="24"/>
          <w:szCs w:val="24"/>
        </w:rPr>
        <w:t xml:space="preserve"> HH, </w:t>
      </w:r>
      <w:proofErr w:type="spellStart"/>
      <w:r w:rsidR="007C21DA" w:rsidRPr="00BD58C0">
        <w:rPr>
          <w:rFonts w:ascii="Times New Roman" w:hAnsi="Times New Roman" w:cs="Times New Roman"/>
          <w:sz w:val="24"/>
          <w:szCs w:val="24"/>
        </w:rPr>
        <w:t>Honnery</w:t>
      </w:r>
      <w:proofErr w:type="spellEnd"/>
      <w:r w:rsidR="007C21DA" w:rsidRPr="00BD58C0">
        <w:rPr>
          <w:rFonts w:ascii="Times New Roman" w:hAnsi="Times New Roman" w:cs="Times New Roman"/>
          <w:sz w:val="24"/>
          <w:szCs w:val="24"/>
        </w:rPr>
        <w:t xml:space="preserve"> D. Life cycle cost and sensitivity analysis of palm biodiesel production. Fuel</w:t>
      </w:r>
      <w:r w:rsidR="00843EE3" w:rsidRPr="00BD58C0">
        <w:rPr>
          <w:rFonts w:ascii="Times New Roman" w:hAnsi="Times New Roman" w:cs="Times New Roman"/>
          <w:sz w:val="24"/>
          <w:szCs w:val="24"/>
        </w:rPr>
        <w:t xml:space="preserve"> </w:t>
      </w:r>
      <w:proofErr w:type="gramStart"/>
      <w:r w:rsidR="007C21DA" w:rsidRPr="00BD58C0">
        <w:rPr>
          <w:rFonts w:ascii="Times New Roman" w:hAnsi="Times New Roman" w:cs="Times New Roman"/>
          <w:sz w:val="24"/>
          <w:szCs w:val="24"/>
        </w:rPr>
        <w:t>2012;98:131</w:t>
      </w:r>
      <w:proofErr w:type="gramEnd"/>
      <w:r w:rsidR="007C21DA" w:rsidRPr="00BD58C0">
        <w:rPr>
          <w:rFonts w:ascii="Times New Roman" w:hAnsi="Times New Roman" w:cs="Times New Roman"/>
          <w:sz w:val="24"/>
          <w:szCs w:val="24"/>
        </w:rPr>
        <w:t>-9.</w:t>
      </w:r>
      <w:r w:rsidR="00564159" w:rsidRPr="00BD58C0">
        <w:rPr>
          <w:rFonts w:ascii="Times New Roman" w:hAnsi="Times New Roman" w:cs="Times New Roman"/>
          <w:sz w:val="24"/>
          <w:szCs w:val="24"/>
        </w:rPr>
        <w:tab/>
      </w:r>
      <w:r w:rsidR="005A6050" w:rsidRPr="00BD58C0">
        <w:rPr>
          <w:rFonts w:ascii="Times New Roman" w:hAnsi="Times New Roman" w:cs="Times New Roman"/>
          <w:sz w:val="24"/>
          <w:szCs w:val="24"/>
        </w:rPr>
        <w:tab/>
      </w:r>
    </w:p>
    <w:p w14:paraId="30782196" w14:textId="071E19EB" w:rsidR="00F554FB" w:rsidRPr="00BD58C0" w:rsidRDefault="00F554FB" w:rsidP="00F554FB">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[4</w:t>
      </w:r>
      <w:r w:rsidR="00CA51D6" w:rsidRPr="00BD58C0">
        <w:rPr>
          <w:rFonts w:ascii="Times New Roman" w:hAnsi="Times New Roman" w:cs="Times New Roman"/>
          <w:sz w:val="24"/>
          <w:szCs w:val="24"/>
        </w:rPr>
        <w:t>9</w:t>
      </w:r>
      <w:r w:rsidRPr="00BD58C0">
        <w:rPr>
          <w:rFonts w:ascii="Times New Roman" w:hAnsi="Times New Roman" w:cs="Times New Roman"/>
          <w:sz w:val="24"/>
          <w:szCs w:val="24"/>
        </w:rPr>
        <w:t>]</w:t>
      </w:r>
      <w:r w:rsidRPr="00BD58C0">
        <w:rPr>
          <w:rFonts w:ascii="Times New Roman" w:hAnsi="Times New Roman" w:cs="Times New Roman"/>
          <w:sz w:val="24"/>
          <w:szCs w:val="24"/>
        </w:rPr>
        <w:tab/>
      </w:r>
      <w:proofErr w:type="spellStart"/>
      <w:r w:rsidRPr="00BD58C0">
        <w:rPr>
          <w:rFonts w:ascii="Times New Roman" w:hAnsi="Times New Roman" w:cs="Times New Roman"/>
          <w:sz w:val="24"/>
          <w:szCs w:val="24"/>
        </w:rPr>
        <w:t>Zamparas</w:t>
      </w:r>
      <w:proofErr w:type="spellEnd"/>
      <w:r w:rsidR="005E24D4"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M, </w:t>
      </w:r>
      <w:proofErr w:type="spellStart"/>
      <w:r w:rsidRPr="00BD58C0">
        <w:rPr>
          <w:rFonts w:ascii="Times New Roman" w:hAnsi="Times New Roman" w:cs="Times New Roman"/>
          <w:sz w:val="24"/>
          <w:szCs w:val="24"/>
        </w:rPr>
        <w:t>Kapsalis</w:t>
      </w:r>
      <w:proofErr w:type="spellEnd"/>
      <w:r w:rsidRPr="00BD58C0">
        <w:rPr>
          <w:rFonts w:ascii="Times New Roman" w:hAnsi="Times New Roman" w:cs="Times New Roman"/>
          <w:sz w:val="24"/>
          <w:szCs w:val="24"/>
        </w:rPr>
        <w:t xml:space="preserve"> VC, Kyriakopoulos GL, </w:t>
      </w:r>
      <w:proofErr w:type="spellStart"/>
      <w:r w:rsidRPr="00BD58C0">
        <w:rPr>
          <w:rFonts w:ascii="Times New Roman" w:hAnsi="Times New Roman" w:cs="Times New Roman"/>
          <w:sz w:val="24"/>
          <w:szCs w:val="24"/>
        </w:rPr>
        <w:t>Aravossis</w:t>
      </w:r>
      <w:proofErr w:type="spellEnd"/>
      <w:r w:rsidRPr="00BD58C0">
        <w:rPr>
          <w:rFonts w:ascii="Times New Roman" w:hAnsi="Times New Roman" w:cs="Times New Roman"/>
          <w:sz w:val="24"/>
          <w:szCs w:val="24"/>
        </w:rPr>
        <w:t xml:space="preserve"> KG, </w:t>
      </w:r>
      <w:proofErr w:type="spellStart"/>
      <w:r w:rsidRPr="00BD58C0">
        <w:rPr>
          <w:rFonts w:ascii="Times New Roman" w:hAnsi="Times New Roman" w:cs="Times New Roman"/>
          <w:sz w:val="24"/>
          <w:szCs w:val="24"/>
        </w:rPr>
        <w:t>Kanteraki</w:t>
      </w:r>
      <w:proofErr w:type="spellEnd"/>
      <w:r w:rsidRPr="00BD58C0">
        <w:rPr>
          <w:rFonts w:ascii="Times New Roman" w:hAnsi="Times New Roman" w:cs="Times New Roman"/>
          <w:sz w:val="24"/>
          <w:szCs w:val="24"/>
        </w:rPr>
        <w:t xml:space="preserve"> AE, </w:t>
      </w:r>
      <w:proofErr w:type="spellStart"/>
      <w:r w:rsidRPr="00BD58C0">
        <w:rPr>
          <w:rFonts w:ascii="Times New Roman" w:hAnsi="Times New Roman" w:cs="Times New Roman"/>
          <w:sz w:val="24"/>
          <w:szCs w:val="24"/>
        </w:rPr>
        <w:t>Vantarakis</w:t>
      </w:r>
      <w:proofErr w:type="spellEnd"/>
      <w:r w:rsidRPr="00BD58C0">
        <w:rPr>
          <w:rFonts w:ascii="Times New Roman" w:hAnsi="Times New Roman" w:cs="Times New Roman"/>
          <w:sz w:val="24"/>
          <w:szCs w:val="24"/>
        </w:rPr>
        <w:t xml:space="preserve"> A,</w:t>
      </w:r>
      <w:r w:rsidR="005E24D4" w:rsidRPr="00BD58C0">
        <w:rPr>
          <w:rFonts w:ascii="Times New Roman" w:hAnsi="Times New Roman" w:cs="Times New Roman"/>
          <w:sz w:val="24"/>
          <w:szCs w:val="24"/>
        </w:rPr>
        <w:t xml:space="preserve"> </w:t>
      </w:r>
      <w:r w:rsidR="00A26D4C" w:rsidRPr="00BD58C0">
        <w:rPr>
          <w:rFonts w:ascii="Times New Roman" w:hAnsi="Times New Roman" w:cs="Times New Roman"/>
          <w:sz w:val="24"/>
          <w:szCs w:val="24"/>
        </w:rPr>
        <w:t>et al</w:t>
      </w:r>
      <w:r w:rsidRPr="00BD58C0">
        <w:rPr>
          <w:rFonts w:ascii="Times New Roman" w:hAnsi="Times New Roman" w:cs="Times New Roman"/>
          <w:sz w:val="24"/>
          <w:szCs w:val="24"/>
        </w:rPr>
        <w:t>.</w:t>
      </w:r>
      <w:r w:rsidR="005E24D4" w:rsidRPr="00BD58C0">
        <w:rPr>
          <w:rFonts w:ascii="Times New Roman" w:hAnsi="Times New Roman" w:cs="Times New Roman"/>
          <w:sz w:val="24"/>
          <w:szCs w:val="24"/>
        </w:rPr>
        <w:t xml:space="preserve"> </w:t>
      </w:r>
      <w:proofErr w:type="gramStart"/>
      <w:r w:rsidRPr="00BD58C0">
        <w:rPr>
          <w:rFonts w:ascii="Times New Roman" w:hAnsi="Times New Roman" w:cs="Times New Roman"/>
          <w:sz w:val="24"/>
          <w:szCs w:val="24"/>
        </w:rPr>
        <w:t>Medical</w:t>
      </w:r>
      <w:proofErr w:type="gramEnd"/>
      <w:r w:rsidRPr="00BD58C0">
        <w:rPr>
          <w:rFonts w:ascii="Times New Roman" w:hAnsi="Times New Roman" w:cs="Times New Roman"/>
          <w:sz w:val="24"/>
          <w:szCs w:val="24"/>
        </w:rPr>
        <w:t xml:space="preserve"> waste management and environmental assessment in the Rio University Hospital, Western Greece. Sustain Chem</w:t>
      </w:r>
      <w:r w:rsidR="005E24D4" w:rsidRPr="00BD58C0">
        <w:rPr>
          <w:rFonts w:ascii="Times New Roman" w:hAnsi="Times New Roman" w:cs="Times New Roman"/>
          <w:sz w:val="24"/>
          <w:szCs w:val="24"/>
        </w:rPr>
        <w:t xml:space="preserve"> </w:t>
      </w:r>
      <w:r w:rsidRPr="00BD58C0">
        <w:rPr>
          <w:rFonts w:ascii="Times New Roman" w:hAnsi="Times New Roman" w:cs="Times New Roman"/>
          <w:sz w:val="24"/>
          <w:szCs w:val="24"/>
        </w:rPr>
        <w:t>Pharm</w:t>
      </w:r>
      <w:r w:rsidR="005E24D4" w:rsidRPr="00BD58C0">
        <w:rPr>
          <w:rFonts w:ascii="Times New Roman" w:hAnsi="Times New Roman" w:cs="Times New Roman"/>
          <w:sz w:val="24"/>
          <w:szCs w:val="24"/>
        </w:rPr>
        <w:t xml:space="preserve"> </w:t>
      </w:r>
      <w:proofErr w:type="gramStart"/>
      <w:r w:rsidR="005E24D4" w:rsidRPr="00BD58C0">
        <w:rPr>
          <w:rFonts w:ascii="Times New Roman" w:hAnsi="Times New Roman" w:cs="Times New Roman"/>
          <w:sz w:val="24"/>
          <w:szCs w:val="24"/>
        </w:rPr>
        <w:t>2019;</w:t>
      </w:r>
      <w:r w:rsidRPr="00BD58C0">
        <w:rPr>
          <w:rFonts w:ascii="Times New Roman" w:hAnsi="Times New Roman" w:cs="Times New Roman"/>
          <w:sz w:val="24"/>
          <w:szCs w:val="24"/>
        </w:rPr>
        <w:t>13</w:t>
      </w:r>
      <w:r w:rsidR="005E24D4" w:rsidRPr="00BD58C0">
        <w:rPr>
          <w:rFonts w:ascii="Times New Roman" w:hAnsi="Times New Roman" w:cs="Times New Roman"/>
          <w:sz w:val="24"/>
          <w:szCs w:val="24"/>
        </w:rPr>
        <w:t>:</w:t>
      </w:r>
      <w:r w:rsidRPr="00BD58C0">
        <w:rPr>
          <w:rFonts w:ascii="Times New Roman" w:hAnsi="Times New Roman" w:cs="Times New Roman"/>
          <w:sz w:val="24"/>
          <w:szCs w:val="24"/>
        </w:rPr>
        <w:t>100163</w:t>
      </w:r>
      <w:proofErr w:type="gramEnd"/>
      <w:r w:rsidRPr="00BD58C0">
        <w:rPr>
          <w:rFonts w:ascii="Times New Roman" w:hAnsi="Times New Roman" w:cs="Times New Roman"/>
          <w:sz w:val="24"/>
          <w:szCs w:val="24"/>
        </w:rPr>
        <w:t>.</w:t>
      </w:r>
    </w:p>
    <w:p w14:paraId="584F5691" w14:textId="2C0A6E09" w:rsidR="006D7C43" w:rsidRPr="00BD58C0" w:rsidRDefault="006D7C43" w:rsidP="006D7C43">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50</w:t>
      </w:r>
      <w:r w:rsidRPr="00BD58C0">
        <w:rPr>
          <w:rFonts w:ascii="Times New Roman" w:hAnsi="Times New Roman" w:cs="Times New Roman"/>
          <w:sz w:val="24"/>
          <w:szCs w:val="24"/>
        </w:rPr>
        <w:t>]</w:t>
      </w:r>
      <w:r w:rsidRPr="00BD58C0">
        <w:rPr>
          <w:rFonts w:ascii="Times New Roman" w:hAnsi="Times New Roman" w:cs="Times New Roman"/>
          <w:sz w:val="24"/>
          <w:szCs w:val="24"/>
        </w:rPr>
        <w:tab/>
        <w:t>Ishizaka</w:t>
      </w:r>
      <w:r w:rsidR="00AC549D" w:rsidRPr="00BD58C0">
        <w:rPr>
          <w:rFonts w:ascii="Times New Roman" w:hAnsi="Times New Roman" w:cs="Times New Roman"/>
          <w:sz w:val="24"/>
          <w:szCs w:val="24"/>
        </w:rPr>
        <w:t xml:space="preserve"> </w:t>
      </w:r>
      <w:r w:rsidRPr="00BD58C0">
        <w:rPr>
          <w:rFonts w:ascii="Times New Roman" w:hAnsi="Times New Roman" w:cs="Times New Roman"/>
          <w:sz w:val="24"/>
          <w:szCs w:val="24"/>
        </w:rPr>
        <w:t>A,</w:t>
      </w:r>
      <w:r w:rsidR="00AC549D" w:rsidRPr="00BD58C0">
        <w:rPr>
          <w:rFonts w:ascii="Times New Roman" w:hAnsi="Times New Roman" w:cs="Times New Roman"/>
          <w:sz w:val="24"/>
          <w:szCs w:val="24"/>
        </w:rPr>
        <w:t xml:space="preserve"> </w:t>
      </w:r>
      <w:proofErr w:type="spellStart"/>
      <w:r w:rsidRPr="00BD58C0">
        <w:rPr>
          <w:rFonts w:ascii="Times New Roman" w:hAnsi="Times New Roman" w:cs="Times New Roman"/>
          <w:sz w:val="24"/>
          <w:szCs w:val="24"/>
        </w:rPr>
        <w:t>Nemery</w:t>
      </w:r>
      <w:proofErr w:type="spellEnd"/>
      <w:r w:rsidRPr="00BD58C0">
        <w:rPr>
          <w:rFonts w:ascii="Times New Roman" w:hAnsi="Times New Roman" w:cs="Times New Roman"/>
          <w:sz w:val="24"/>
          <w:szCs w:val="24"/>
        </w:rPr>
        <w:t xml:space="preserve"> P.</w:t>
      </w:r>
      <w:r w:rsidR="00AC549D"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Multi-criteria decision analysis: methods and Software, </w:t>
      </w:r>
      <w:r w:rsidR="00355AFF" w:rsidRPr="00BD58C0">
        <w:rPr>
          <w:rFonts w:ascii="Times New Roman" w:hAnsi="Times New Roman" w:cs="Times New Roman"/>
          <w:sz w:val="24"/>
          <w:szCs w:val="24"/>
        </w:rPr>
        <w:t xml:space="preserve">Chichester, UK: </w:t>
      </w:r>
      <w:r w:rsidRPr="00BD58C0">
        <w:rPr>
          <w:rFonts w:ascii="Times New Roman" w:hAnsi="Times New Roman" w:cs="Times New Roman"/>
          <w:sz w:val="24"/>
          <w:szCs w:val="24"/>
        </w:rPr>
        <w:t>John Wiley &amp; Sons</w:t>
      </w:r>
      <w:r w:rsidR="00AC549D" w:rsidRPr="00BD58C0">
        <w:rPr>
          <w:rFonts w:ascii="Times New Roman" w:hAnsi="Times New Roman" w:cs="Times New Roman"/>
          <w:sz w:val="24"/>
          <w:szCs w:val="24"/>
        </w:rPr>
        <w:t>;2013</w:t>
      </w:r>
      <w:r w:rsidRPr="00BD58C0">
        <w:rPr>
          <w:rFonts w:ascii="Times New Roman" w:hAnsi="Times New Roman" w:cs="Times New Roman"/>
          <w:sz w:val="24"/>
          <w:szCs w:val="24"/>
        </w:rPr>
        <w:t>.</w:t>
      </w:r>
    </w:p>
    <w:p w14:paraId="163333D5" w14:textId="100F486B" w:rsidR="00DF3E21" w:rsidRPr="00BD58C0" w:rsidRDefault="00DF3E21" w:rsidP="00AC549D">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CA51D6" w:rsidRPr="00BD58C0">
        <w:rPr>
          <w:rFonts w:ascii="Times New Roman" w:hAnsi="Times New Roman" w:cs="Times New Roman"/>
          <w:sz w:val="24"/>
          <w:szCs w:val="24"/>
        </w:rPr>
        <w:t>51</w:t>
      </w:r>
      <w:r w:rsidRPr="00BD58C0">
        <w:rPr>
          <w:rFonts w:ascii="Times New Roman" w:hAnsi="Times New Roman" w:cs="Times New Roman"/>
          <w:sz w:val="24"/>
          <w:szCs w:val="24"/>
        </w:rPr>
        <w:t>]</w:t>
      </w:r>
      <w:r w:rsidRPr="00BD58C0">
        <w:rPr>
          <w:rFonts w:ascii="Times New Roman" w:hAnsi="Times New Roman" w:cs="Times New Roman"/>
          <w:sz w:val="24"/>
          <w:szCs w:val="24"/>
        </w:rPr>
        <w:tab/>
        <w:t>Sinha KC,</w:t>
      </w:r>
      <w:r w:rsidR="00AC549D" w:rsidRPr="00BD58C0">
        <w:rPr>
          <w:rFonts w:ascii="Times New Roman" w:hAnsi="Times New Roman" w:cs="Times New Roman"/>
          <w:sz w:val="24"/>
          <w:szCs w:val="24"/>
        </w:rPr>
        <w:t xml:space="preserve"> </w:t>
      </w:r>
      <w:proofErr w:type="spellStart"/>
      <w:r w:rsidRPr="00BD58C0">
        <w:rPr>
          <w:rFonts w:ascii="Times New Roman" w:hAnsi="Times New Roman" w:cs="Times New Roman"/>
          <w:sz w:val="24"/>
          <w:szCs w:val="24"/>
        </w:rPr>
        <w:t>Labi</w:t>
      </w:r>
      <w:proofErr w:type="spellEnd"/>
      <w:r w:rsidRPr="00BD58C0">
        <w:rPr>
          <w:rFonts w:ascii="Times New Roman" w:hAnsi="Times New Roman" w:cs="Times New Roman"/>
          <w:sz w:val="24"/>
          <w:szCs w:val="24"/>
        </w:rPr>
        <w:t xml:space="preserve"> S.</w:t>
      </w:r>
      <w:r w:rsidR="00AC549D"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Transportation Decision Making: Principles of Project Evaluation and Programming. </w:t>
      </w:r>
      <w:r w:rsidR="00AF3516" w:rsidRPr="00BD58C0">
        <w:rPr>
          <w:rFonts w:ascii="Times New Roman" w:hAnsi="Times New Roman" w:cs="Times New Roman"/>
          <w:sz w:val="24"/>
          <w:szCs w:val="24"/>
        </w:rPr>
        <w:t xml:space="preserve">Hoboken, New Jersey: </w:t>
      </w:r>
      <w:r w:rsidRPr="00BD58C0">
        <w:rPr>
          <w:rFonts w:ascii="Times New Roman" w:hAnsi="Times New Roman" w:cs="Times New Roman"/>
          <w:sz w:val="24"/>
          <w:szCs w:val="24"/>
        </w:rPr>
        <w:t>Wiley</w:t>
      </w:r>
      <w:r w:rsidR="00AC549D" w:rsidRPr="00BD58C0">
        <w:rPr>
          <w:rFonts w:ascii="Times New Roman" w:hAnsi="Times New Roman" w:cs="Times New Roman"/>
          <w:sz w:val="24"/>
          <w:szCs w:val="24"/>
        </w:rPr>
        <w:t>;2007.</w:t>
      </w:r>
    </w:p>
    <w:p w14:paraId="2F6C71E5" w14:textId="2D29C311" w:rsidR="00D7361A" w:rsidRPr="00BD58C0" w:rsidRDefault="00D7361A" w:rsidP="00D7361A">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BC3819" w:rsidRPr="00BD58C0">
        <w:rPr>
          <w:rFonts w:ascii="Times New Roman" w:hAnsi="Times New Roman" w:cs="Times New Roman"/>
          <w:sz w:val="24"/>
          <w:szCs w:val="24"/>
        </w:rPr>
        <w:t>5</w:t>
      </w:r>
      <w:r w:rsidR="00CA51D6" w:rsidRPr="00BD58C0">
        <w:rPr>
          <w:rFonts w:ascii="Times New Roman" w:hAnsi="Times New Roman" w:cs="Times New Roman"/>
          <w:sz w:val="24"/>
          <w:szCs w:val="24"/>
        </w:rPr>
        <w:t>2</w:t>
      </w:r>
      <w:r w:rsidRPr="00BD58C0">
        <w:rPr>
          <w:rFonts w:ascii="Times New Roman" w:hAnsi="Times New Roman" w:cs="Times New Roman"/>
          <w:sz w:val="24"/>
          <w:szCs w:val="24"/>
        </w:rPr>
        <w:t>]</w:t>
      </w:r>
      <w:r w:rsidRPr="00BD58C0">
        <w:rPr>
          <w:rFonts w:ascii="Times New Roman" w:hAnsi="Times New Roman" w:cs="Times New Roman"/>
          <w:sz w:val="24"/>
          <w:szCs w:val="24"/>
        </w:rPr>
        <w:tab/>
      </w:r>
      <w:proofErr w:type="spellStart"/>
      <w:r w:rsidRPr="00BD58C0">
        <w:rPr>
          <w:rFonts w:ascii="Times New Roman" w:hAnsi="Times New Roman" w:cs="Times New Roman"/>
          <w:sz w:val="24"/>
          <w:szCs w:val="24"/>
        </w:rPr>
        <w:t>Saaty</w:t>
      </w:r>
      <w:proofErr w:type="spellEnd"/>
      <w:r w:rsidRPr="00BD58C0">
        <w:rPr>
          <w:rFonts w:ascii="Times New Roman" w:hAnsi="Times New Roman" w:cs="Times New Roman"/>
          <w:sz w:val="24"/>
          <w:szCs w:val="24"/>
        </w:rPr>
        <w:t xml:space="preserve"> TL.</w:t>
      </w:r>
      <w:r w:rsidR="00AC549D" w:rsidRPr="00BD58C0">
        <w:rPr>
          <w:rFonts w:ascii="Times New Roman" w:hAnsi="Times New Roman" w:cs="Times New Roman"/>
          <w:sz w:val="24"/>
          <w:szCs w:val="24"/>
        </w:rPr>
        <w:t xml:space="preserve"> </w:t>
      </w:r>
      <w:r w:rsidRPr="00BD58C0">
        <w:rPr>
          <w:rFonts w:ascii="Times New Roman" w:hAnsi="Times New Roman" w:cs="Times New Roman"/>
          <w:sz w:val="24"/>
          <w:szCs w:val="24"/>
        </w:rPr>
        <w:t>Fundamentals of Decision Making and Priority Theory with the Analytic Hierarchy Process</w:t>
      </w:r>
      <w:r w:rsidR="00AF3516" w:rsidRPr="00BD58C0">
        <w:rPr>
          <w:rFonts w:ascii="Times New Roman" w:hAnsi="Times New Roman" w:cs="Times New Roman"/>
          <w:sz w:val="24"/>
          <w:szCs w:val="24"/>
        </w:rPr>
        <w:t xml:space="preserve">. Pittsburgh: </w:t>
      </w:r>
      <w:r w:rsidRPr="00BD58C0">
        <w:rPr>
          <w:rFonts w:ascii="Times New Roman" w:hAnsi="Times New Roman" w:cs="Times New Roman"/>
          <w:sz w:val="24"/>
          <w:szCs w:val="24"/>
        </w:rPr>
        <w:t>RWS Publications</w:t>
      </w:r>
      <w:r w:rsidR="00AC549D" w:rsidRPr="00BD58C0">
        <w:rPr>
          <w:rFonts w:ascii="Times New Roman" w:hAnsi="Times New Roman" w:cs="Times New Roman"/>
          <w:sz w:val="24"/>
          <w:szCs w:val="24"/>
        </w:rPr>
        <w:t>;2000</w:t>
      </w:r>
      <w:r w:rsidRPr="00BD58C0">
        <w:rPr>
          <w:rFonts w:ascii="Times New Roman" w:hAnsi="Times New Roman" w:cs="Times New Roman"/>
          <w:sz w:val="24"/>
          <w:szCs w:val="24"/>
        </w:rPr>
        <w:t>.</w:t>
      </w:r>
    </w:p>
    <w:p w14:paraId="3ACA8134" w14:textId="501CF5A5" w:rsidR="00935CAC" w:rsidRPr="00BD58C0" w:rsidRDefault="00935CAC" w:rsidP="00935CAC">
      <w:pPr>
        <w:pStyle w:val="reference"/>
        <w:numPr>
          <w:ilvl w:val="0"/>
          <w:numId w:val="0"/>
        </w:numPr>
        <w:spacing w:line="360" w:lineRule="auto"/>
        <w:ind w:left="720" w:hanging="720"/>
      </w:pPr>
      <w:r w:rsidRPr="00BD58C0">
        <w:t>[</w:t>
      </w:r>
      <w:r w:rsidR="00BC3819" w:rsidRPr="00BD58C0">
        <w:t>5</w:t>
      </w:r>
      <w:r w:rsidR="00CA51D6" w:rsidRPr="00BD58C0">
        <w:t>3</w:t>
      </w:r>
      <w:r w:rsidRPr="00BD58C0">
        <w:t>]</w:t>
      </w:r>
      <w:r w:rsidRPr="00BD58C0">
        <w:tab/>
      </w:r>
      <w:proofErr w:type="spellStart"/>
      <w:r w:rsidRPr="00BD58C0">
        <w:t>Saaty</w:t>
      </w:r>
      <w:proofErr w:type="spellEnd"/>
      <w:r w:rsidRPr="00BD58C0">
        <w:t xml:space="preserve"> TL.</w:t>
      </w:r>
      <w:r w:rsidR="00AC549D" w:rsidRPr="00BD58C0">
        <w:t xml:space="preserve"> </w:t>
      </w:r>
      <w:r w:rsidRPr="00BD58C0">
        <w:t>The analytic hierarchy process: Planning, priority setting, resources allocation. New York: McGraw</w:t>
      </w:r>
      <w:r w:rsidR="00AC549D" w:rsidRPr="00BD58C0">
        <w:t>;1980</w:t>
      </w:r>
      <w:r w:rsidRPr="00BD58C0">
        <w:t>.</w:t>
      </w:r>
    </w:p>
    <w:p w14:paraId="4E43EF59" w14:textId="085D8741" w:rsidR="00984C2C" w:rsidRPr="00BD58C0" w:rsidRDefault="008D0CA2" w:rsidP="00187DEE">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87989" w:rsidRPr="00BD58C0">
        <w:rPr>
          <w:rFonts w:ascii="Times New Roman" w:hAnsi="Times New Roman" w:cs="Times New Roman"/>
          <w:sz w:val="24"/>
          <w:szCs w:val="24"/>
        </w:rPr>
        <w:t>5</w:t>
      </w:r>
      <w:r w:rsidR="00CA51D6" w:rsidRPr="00BD58C0">
        <w:rPr>
          <w:rFonts w:ascii="Times New Roman" w:hAnsi="Times New Roman" w:cs="Times New Roman"/>
          <w:sz w:val="24"/>
          <w:szCs w:val="24"/>
        </w:rPr>
        <w:t>4</w:t>
      </w:r>
      <w:r w:rsidRPr="00BD58C0">
        <w:rPr>
          <w:rFonts w:ascii="Times New Roman" w:hAnsi="Times New Roman" w:cs="Times New Roman"/>
          <w:sz w:val="24"/>
          <w:szCs w:val="24"/>
        </w:rPr>
        <w:t>]</w:t>
      </w:r>
      <w:r w:rsidRPr="00BD58C0">
        <w:rPr>
          <w:rFonts w:ascii="Times New Roman" w:hAnsi="Times New Roman" w:cs="Times New Roman"/>
          <w:sz w:val="24"/>
          <w:szCs w:val="24"/>
        </w:rPr>
        <w:tab/>
        <w:t>Ghimire</w:t>
      </w:r>
      <w:r w:rsidR="00735F1D" w:rsidRPr="00BD58C0">
        <w:rPr>
          <w:rFonts w:ascii="Times New Roman" w:hAnsi="Times New Roman" w:cs="Times New Roman"/>
          <w:sz w:val="24"/>
          <w:szCs w:val="24"/>
        </w:rPr>
        <w:t xml:space="preserve"> </w:t>
      </w:r>
      <w:r w:rsidRPr="00BD58C0">
        <w:rPr>
          <w:rFonts w:ascii="Times New Roman" w:hAnsi="Times New Roman" w:cs="Times New Roman"/>
          <w:sz w:val="24"/>
          <w:szCs w:val="24"/>
        </w:rPr>
        <w:t>LP,</w:t>
      </w:r>
      <w:r w:rsidR="00735F1D" w:rsidRPr="00BD58C0">
        <w:rPr>
          <w:rFonts w:ascii="Times New Roman" w:hAnsi="Times New Roman" w:cs="Times New Roman"/>
          <w:sz w:val="24"/>
          <w:szCs w:val="24"/>
        </w:rPr>
        <w:t xml:space="preserve"> </w:t>
      </w:r>
      <w:r w:rsidRPr="00BD58C0">
        <w:rPr>
          <w:rFonts w:ascii="Times New Roman" w:hAnsi="Times New Roman" w:cs="Times New Roman"/>
          <w:sz w:val="24"/>
          <w:szCs w:val="24"/>
        </w:rPr>
        <w:t>Kim</w:t>
      </w:r>
      <w:r w:rsidR="00735F1D" w:rsidRPr="00BD58C0">
        <w:rPr>
          <w:rFonts w:ascii="Times New Roman" w:hAnsi="Times New Roman" w:cs="Times New Roman"/>
          <w:sz w:val="24"/>
          <w:szCs w:val="24"/>
        </w:rPr>
        <w:t xml:space="preserve"> </w:t>
      </w:r>
      <w:r w:rsidRPr="00BD58C0">
        <w:rPr>
          <w:rFonts w:ascii="Times New Roman" w:hAnsi="Times New Roman" w:cs="Times New Roman"/>
          <w:sz w:val="24"/>
          <w:szCs w:val="24"/>
        </w:rPr>
        <w:t>Y.</w:t>
      </w:r>
      <w:r w:rsidR="00735F1D" w:rsidRPr="00BD58C0">
        <w:rPr>
          <w:rFonts w:ascii="Times New Roman" w:hAnsi="Times New Roman" w:cs="Times New Roman"/>
          <w:sz w:val="24"/>
          <w:szCs w:val="24"/>
        </w:rPr>
        <w:t xml:space="preserve"> </w:t>
      </w:r>
      <w:r w:rsidRPr="00BD58C0">
        <w:rPr>
          <w:rFonts w:ascii="Times New Roman" w:hAnsi="Times New Roman" w:cs="Times New Roman"/>
          <w:sz w:val="24"/>
          <w:szCs w:val="24"/>
        </w:rPr>
        <w:t>An analysis on barriers to renewable energy development in the context of Nepal using AHP. Renew</w:t>
      </w:r>
      <w:r w:rsidR="00735F1D" w:rsidRPr="00BD58C0">
        <w:rPr>
          <w:rFonts w:ascii="Times New Roman" w:hAnsi="Times New Roman" w:cs="Times New Roman"/>
          <w:sz w:val="24"/>
          <w:szCs w:val="24"/>
        </w:rPr>
        <w:t xml:space="preserve"> </w:t>
      </w:r>
      <w:proofErr w:type="spellStart"/>
      <w:r w:rsidRPr="00BD58C0">
        <w:rPr>
          <w:rFonts w:ascii="Times New Roman" w:hAnsi="Times New Roman" w:cs="Times New Roman"/>
          <w:sz w:val="24"/>
          <w:szCs w:val="24"/>
        </w:rPr>
        <w:t>Energ</w:t>
      </w:r>
      <w:proofErr w:type="spellEnd"/>
      <w:r w:rsidRPr="00BD58C0">
        <w:rPr>
          <w:rFonts w:ascii="Times New Roman" w:hAnsi="Times New Roman" w:cs="Times New Roman"/>
          <w:sz w:val="24"/>
          <w:szCs w:val="24"/>
        </w:rPr>
        <w:t xml:space="preserve"> </w:t>
      </w:r>
      <w:proofErr w:type="gramStart"/>
      <w:r w:rsidR="00735F1D" w:rsidRPr="00BD58C0">
        <w:rPr>
          <w:rFonts w:ascii="Times New Roman" w:hAnsi="Times New Roman" w:cs="Times New Roman"/>
          <w:sz w:val="24"/>
          <w:szCs w:val="24"/>
        </w:rPr>
        <w:t>2018;</w:t>
      </w:r>
      <w:r w:rsidRPr="00BD58C0">
        <w:rPr>
          <w:rFonts w:ascii="Times New Roman" w:hAnsi="Times New Roman" w:cs="Times New Roman"/>
          <w:sz w:val="24"/>
          <w:szCs w:val="24"/>
        </w:rPr>
        <w:t>129</w:t>
      </w:r>
      <w:r w:rsidR="00735F1D" w:rsidRPr="00BD58C0">
        <w:rPr>
          <w:rFonts w:ascii="Times New Roman" w:hAnsi="Times New Roman" w:cs="Times New Roman"/>
          <w:sz w:val="24"/>
          <w:szCs w:val="24"/>
        </w:rPr>
        <w:t>:</w:t>
      </w:r>
      <w:r w:rsidRPr="00BD58C0">
        <w:rPr>
          <w:rFonts w:ascii="Times New Roman" w:hAnsi="Times New Roman" w:cs="Times New Roman"/>
          <w:sz w:val="24"/>
          <w:szCs w:val="24"/>
        </w:rPr>
        <w:t>446</w:t>
      </w:r>
      <w:proofErr w:type="gramEnd"/>
      <w:r w:rsidRPr="00BD58C0">
        <w:rPr>
          <w:rFonts w:ascii="Times New Roman" w:hAnsi="Times New Roman" w:cs="Times New Roman"/>
          <w:sz w:val="24"/>
          <w:szCs w:val="24"/>
        </w:rPr>
        <w:t>-56.</w:t>
      </w:r>
    </w:p>
    <w:p w14:paraId="42952B82" w14:textId="42F7080F" w:rsidR="00187DEE" w:rsidRPr="00BD58C0" w:rsidRDefault="00ED36F5" w:rsidP="00D07F48">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187DEE" w:rsidRPr="00BD58C0">
        <w:rPr>
          <w:rFonts w:ascii="Times New Roman" w:hAnsi="Times New Roman" w:cs="Times New Roman"/>
          <w:sz w:val="24"/>
          <w:szCs w:val="24"/>
        </w:rPr>
        <w:t>5</w:t>
      </w:r>
      <w:r w:rsidR="00CA51D6" w:rsidRPr="00BD58C0">
        <w:rPr>
          <w:rFonts w:ascii="Times New Roman" w:hAnsi="Times New Roman" w:cs="Times New Roman"/>
          <w:sz w:val="24"/>
          <w:szCs w:val="24"/>
        </w:rPr>
        <w:t>5</w:t>
      </w:r>
      <w:r w:rsidRPr="00BD58C0">
        <w:rPr>
          <w:rFonts w:ascii="Times New Roman" w:hAnsi="Times New Roman" w:cs="Times New Roman"/>
          <w:sz w:val="24"/>
          <w:szCs w:val="24"/>
        </w:rPr>
        <w:t>]</w:t>
      </w:r>
      <w:r w:rsidRPr="00BD58C0">
        <w:rPr>
          <w:rFonts w:ascii="Times New Roman" w:hAnsi="Times New Roman" w:cs="Times New Roman"/>
          <w:sz w:val="24"/>
          <w:szCs w:val="24"/>
        </w:rPr>
        <w:tab/>
      </w:r>
      <w:r w:rsidR="00906BD4" w:rsidRPr="00BD58C0">
        <w:rPr>
          <w:rFonts w:ascii="Times New Roman" w:hAnsi="Times New Roman" w:cs="Times New Roman"/>
          <w:sz w:val="24"/>
          <w:szCs w:val="24"/>
        </w:rPr>
        <w:t xml:space="preserve">Ahmed Y, </w:t>
      </w:r>
      <w:proofErr w:type="spellStart"/>
      <w:r w:rsidR="00906BD4" w:rsidRPr="00BD58C0">
        <w:rPr>
          <w:rFonts w:ascii="Times New Roman" w:hAnsi="Times New Roman" w:cs="Times New Roman"/>
          <w:sz w:val="24"/>
          <w:szCs w:val="24"/>
        </w:rPr>
        <w:t>Yaakob</w:t>
      </w:r>
      <w:proofErr w:type="spellEnd"/>
      <w:r w:rsidR="00906BD4" w:rsidRPr="00BD58C0">
        <w:rPr>
          <w:rFonts w:ascii="Times New Roman" w:hAnsi="Times New Roman" w:cs="Times New Roman"/>
          <w:sz w:val="24"/>
          <w:szCs w:val="24"/>
        </w:rPr>
        <w:t xml:space="preserve"> Z, Akhtar P, </w:t>
      </w:r>
      <w:proofErr w:type="spellStart"/>
      <w:r w:rsidR="00906BD4" w:rsidRPr="00BD58C0">
        <w:rPr>
          <w:rFonts w:ascii="Times New Roman" w:hAnsi="Times New Roman" w:cs="Times New Roman"/>
          <w:sz w:val="24"/>
          <w:szCs w:val="24"/>
        </w:rPr>
        <w:t>Sopian</w:t>
      </w:r>
      <w:proofErr w:type="spellEnd"/>
      <w:r w:rsidR="00906BD4" w:rsidRPr="00BD58C0">
        <w:rPr>
          <w:rFonts w:ascii="Times New Roman" w:hAnsi="Times New Roman" w:cs="Times New Roman"/>
          <w:sz w:val="24"/>
          <w:szCs w:val="24"/>
        </w:rPr>
        <w:t xml:space="preserve"> K. Production of biogas and performance evaluation of existing treatment processes in palm oil mill effluent (POME). Renew Sust </w:t>
      </w:r>
      <w:proofErr w:type="spellStart"/>
      <w:r w:rsidR="00906BD4" w:rsidRPr="00BD58C0">
        <w:rPr>
          <w:rFonts w:ascii="Times New Roman" w:hAnsi="Times New Roman" w:cs="Times New Roman"/>
          <w:sz w:val="24"/>
          <w:szCs w:val="24"/>
        </w:rPr>
        <w:t>Energ</w:t>
      </w:r>
      <w:proofErr w:type="spellEnd"/>
      <w:r w:rsidR="00906BD4" w:rsidRPr="00BD58C0">
        <w:rPr>
          <w:rFonts w:ascii="Times New Roman" w:hAnsi="Times New Roman" w:cs="Times New Roman"/>
          <w:sz w:val="24"/>
          <w:szCs w:val="24"/>
        </w:rPr>
        <w:t xml:space="preserve"> Rev </w:t>
      </w:r>
      <w:proofErr w:type="gramStart"/>
      <w:r w:rsidR="00906BD4" w:rsidRPr="00BD58C0">
        <w:rPr>
          <w:rFonts w:ascii="Times New Roman" w:hAnsi="Times New Roman" w:cs="Times New Roman"/>
          <w:sz w:val="24"/>
          <w:szCs w:val="24"/>
        </w:rPr>
        <w:t>2015;42:1260</w:t>
      </w:r>
      <w:proofErr w:type="gramEnd"/>
      <w:r w:rsidR="00906BD4" w:rsidRPr="00BD58C0">
        <w:rPr>
          <w:rFonts w:ascii="Times New Roman" w:hAnsi="Times New Roman" w:cs="Times New Roman"/>
          <w:sz w:val="24"/>
          <w:szCs w:val="24"/>
        </w:rPr>
        <w:t>-78.</w:t>
      </w:r>
    </w:p>
    <w:p w14:paraId="0C825305" w14:textId="402C013B" w:rsidR="00564159" w:rsidRPr="00BD58C0" w:rsidRDefault="00564159" w:rsidP="00D355D9">
      <w:pPr>
        <w:autoSpaceDE w:val="0"/>
        <w:autoSpaceDN w:val="0"/>
        <w:adjustRightInd w:val="0"/>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D07F48" w:rsidRPr="00BD58C0">
        <w:rPr>
          <w:rFonts w:ascii="Times New Roman" w:hAnsi="Times New Roman" w:cs="Times New Roman"/>
          <w:sz w:val="24"/>
          <w:szCs w:val="24"/>
        </w:rPr>
        <w:t>5</w:t>
      </w:r>
      <w:r w:rsidR="00CA51D6" w:rsidRPr="00BD58C0">
        <w:rPr>
          <w:rFonts w:ascii="Times New Roman" w:hAnsi="Times New Roman" w:cs="Times New Roman"/>
          <w:sz w:val="24"/>
          <w:szCs w:val="24"/>
        </w:rPr>
        <w:t>6</w:t>
      </w:r>
      <w:r w:rsidRPr="00BD58C0">
        <w:rPr>
          <w:rFonts w:ascii="Times New Roman" w:hAnsi="Times New Roman" w:cs="Times New Roman"/>
          <w:sz w:val="24"/>
          <w:szCs w:val="24"/>
        </w:rPr>
        <w:t>]</w:t>
      </w:r>
      <w:r w:rsidR="005A6050" w:rsidRPr="00BD58C0">
        <w:rPr>
          <w:rFonts w:ascii="Times New Roman" w:hAnsi="Times New Roman" w:cs="Times New Roman"/>
          <w:sz w:val="24"/>
          <w:szCs w:val="24"/>
        </w:rPr>
        <w:tab/>
      </w:r>
      <w:proofErr w:type="spellStart"/>
      <w:r w:rsidR="00D355D9" w:rsidRPr="00BD58C0">
        <w:rPr>
          <w:rFonts w:ascii="Times New Roman" w:hAnsi="Times New Roman" w:cs="Times New Roman"/>
          <w:sz w:val="24"/>
          <w:szCs w:val="24"/>
        </w:rPr>
        <w:t>Kasivisvanathan</w:t>
      </w:r>
      <w:proofErr w:type="spellEnd"/>
      <w:r w:rsidR="00D355D9" w:rsidRPr="00BD58C0">
        <w:rPr>
          <w:rFonts w:ascii="Times New Roman" w:hAnsi="Times New Roman" w:cs="Times New Roman"/>
          <w:sz w:val="24"/>
          <w:szCs w:val="24"/>
        </w:rPr>
        <w:t xml:space="preserve"> H, Ng RTL, Tay DHS, Ng DKS. Fuzzy optimisation for retrofitting a   palm oil mill into a sustainable palm oil-based integrated biorefinery. Chem </w:t>
      </w:r>
      <w:proofErr w:type="spellStart"/>
      <w:r w:rsidR="00D355D9" w:rsidRPr="00BD58C0">
        <w:rPr>
          <w:rFonts w:ascii="Times New Roman" w:hAnsi="Times New Roman" w:cs="Times New Roman"/>
          <w:sz w:val="24"/>
          <w:szCs w:val="24"/>
        </w:rPr>
        <w:t>Eng</w:t>
      </w:r>
      <w:proofErr w:type="spellEnd"/>
      <w:r w:rsidR="00D355D9" w:rsidRPr="00BD58C0">
        <w:rPr>
          <w:rFonts w:ascii="Times New Roman" w:hAnsi="Times New Roman" w:cs="Times New Roman"/>
          <w:sz w:val="24"/>
          <w:szCs w:val="24"/>
        </w:rPr>
        <w:t xml:space="preserve"> J </w:t>
      </w:r>
      <w:proofErr w:type="gramStart"/>
      <w:r w:rsidR="00D355D9" w:rsidRPr="00BD58C0">
        <w:rPr>
          <w:rFonts w:ascii="Times New Roman" w:hAnsi="Times New Roman" w:cs="Times New Roman"/>
          <w:sz w:val="24"/>
          <w:szCs w:val="24"/>
        </w:rPr>
        <w:t>2012;200:694</w:t>
      </w:r>
      <w:proofErr w:type="gramEnd"/>
      <w:r w:rsidR="00D355D9" w:rsidRPr="00BD58C0">
        <w:rPr>
          <w:rFonts w:ascii="Times New Roman" w:hAnsi="Times New Roman" w:cs="Times New Roman"/>
          <w:sz w:val="24"/>
          <w:szCs w:val="24"/>
        </w:rPr>
        <w:t>-709.</w:t>
      </w:r>
    </w:p>
    <w:p w14:paraId="0581869E" w14:textId="198A9E99" w:rsidR="00A54D74" w:rsidRPr="00BD58C0" w:rsidRDefault="005229A1" w:rsidP="009B4DC3">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A85595" w:rsidRPr="00BD58C0">
        <w:rPr>
          <w:rFonts w:ascii="Times New Roman" w:hAnsi="Times New Roman" w:cs="Times New Roman"/>
          <w:sz w:val="24"/>
          <w:szCs w:val="24"/>
        </w:rPr>
        <w:t>5</w:t>
      </w:r>
      <w:r w:rsidR="00CA51D6" w:rsidRPr="00BD58C0">
        <w:rPr>
          <w:rFonts w:ascii="Times New Roman" w:hAnsi="Times New Roman" w:cs="Times New Roman"/>
          <w:sz w:val="24"/>
          <w:szCs w:val="24"/>
        </w:rPr>
        <w:t>7</w:t>
      </w:r>
      <w:r w:rsidRPr="00BD58C0">
        <w:rPr>
          <w:rFonts w:ascii="Times New Roman" w:hAnsi="Times New Roman" w:cs="Times New Roman"/>
          <w:sz w:val="24"/>
          <w:szCs w:val="24"/>
        </w:rPr>
        <w:t>]</w:t>
      </w:r>
      <w:r w:rsidR="00A54D74" w:rsidRPr="00BD58C0">
        <w:rPr>
          <w:rFonts w:ascii="Times New Roman" w:hAnsi="Times New Roman" w:cs="Times New Roman"/>
          <w:sz w:val="24"/>
          <w:szCs w:val="24"/>
        </w:rPr>
        <w:tab/>
      </w:r>
      <w:r w:rsidRPr="00BD58C0">
        <w:rPr>
          <w:rFonts w:ascii="Times New Roman" w:hAnsi="Times New Roman" w:cs="Times New Roman"/>
          <w:sz w:val="24"/>
          <w:szCs w:val="24"/>
        </w:rPr>
        <w:t xml:space="preserve">SEDA. FiT Rates for biogas. Malaysia: Sustainable Energy Development Authority, http://www.seda.gov.my;2018 [accessed </w:t>
      </w:r>
      <w:r w:rsidR="000C134A" w:rsidRPr="00BD58C0">
        <w:rPr>
          <w:rFonts w:ascii="Times New Roman" w:hAnsi="Times New Roman" w:cs="Times New Roman"/>
          <w:sz w:val="24"/>
          <w:szCs w:val="24"/>
        </w:rPr>
        <w:t>5 December</w:t>
      </w:r>
      <w:r w:rsidRPr="00BD58C0">
        <w:rPr>
          <w:rFonts w:ascii="Times New Roman" w:hAnsi="Times New Roman" w:cs="Times New Roman"/>
          <w:sz w:val="24"/>
          <w:szCs w:val="24"/>
        </w:rPr>
        <w:t xml:space="preserve"> 20</w:t>
      </w:r>
      <w:r w:rsidR="000C134A" w:rsidRPr="00BD58C0">
        <w:rPr>
          <w:rFonts w:ascii="Times New Roman" w:hAnsi="Times New Roman" w:cs="Times New Roman"/>
          <w:sz w:val="24"/>
          <w:szCs w:val="24"/>
        </w:rPr>
        <w:t>20</w:t>
      </w:r>
      <w:r w:rsidRPr="00BD58C0">
        <w:rPr>
          <w:rFonts w:ascii="Times New Roman" w:hAnsi="Times New Roman" w:cs="Times New Roman"/>
          <w:sz w:val="24"/>
          <w:szCs w:val="24"/>
        </w:rPr>
        <w:t>]</w:t>
      </w:r>
      <w:r w:rsidR="009B4DC3" w:rsidRPr="00BD58C0">
        <w:rPr>
          <w:rFonts w:ascii="Times New Roman" w:hAnsi="Times New Roman" w:cs="Times New Roman"/>
          <w:sz w:val="24"/>
          <w:szCs w:val="24"/>
        </w:rPr>
        <w:t>.</w:t>
      </w:r>
    </w:p>
    <w:p w14:paraId="62515F54" w14:textId="5159F3EF" w:rsidR="00CA51D6" w:rsidRPr="00BD58C0" w:rsidRDefault="00CA51D6" w:rsidP="006F216A">
      <w:pPr>
        <w:pStyle w:val="Default"/>
        <w:spacing w:line="360" w:lineRule="auto"/>
        <w:ind w:left="720" w:hanging="720"/>
        <w:jc w:val="both"/>
        <w:rPr>
          <w:color w:val="auto"/>
        </w:rPr>
      </w:pPr>
      <w:r w:rsidRPr="00BD58C0">
        <w:rPr>
          <w:color w:val="auto"/>
        </w:rPr>
        <w:t>[5</w:t>
      </w:r>
      <w:r w:rsidR="00B03AB9" w:rsidRPr="00BD58C0">
        <w:rPr>
          <w:color w:val="auto"/>
        </w:rPr>
        <w:t>8</w:t>
      </w:r>
      <w:r w:rsidRPr="00BD58C0">
        <w:rPr>
          <w:color w:val="auto"/>
        </w:rPr>
        <w:t>]</w:t>
      </w:r>
      <w:r w:rsidR="00FA7DB1" w:rsidRPr="00BD58C0">
        <w:rPr>
          <w:color w:val="auto"/>
        </w:rPr>
        <w:tab/>
      </w:r>
      <w:proofErr w:type="spellStart"/>
      <w:r w:rsidR="00FA7DB1" w:rsidRPr="00BD58C0">
        <w:rPr>
          <w:color w:val="auto"/>
        </w:rPr>
        <w:t>G´ornowicz</w:t>
      </w:r>
      <w:proofErr w:type="spellEnd"/>
      <w:r w:rsidR="00FA7DB1" w:rsidRPr="00BD58C0">
        <w:rPr>
          <w:color w:val="auto"/>
        </w:rPr>
        <w:t xml:space="preserve"> R, Castro, R. Optimal design and economic analysis of a PV system operating under Net Metering or Feed-In-Tariff support mechanisms: A case study in Poland</w:t>
      </w:r>
      <w:r w:rsidR="006F216A" w:rsidRPr="00BD58C0">
        <w:rPr>
          <w:color w:val="auto"/>
        </w:rPr>
        <w:t xml:space="preserve">. Sustainable Energy Technologies and Assessments </w:t>
      </w:r>
      <w:proofErr w:type="gramStart"/>
      <w:r w:rsidR="006F216A" w:rsidRPr="00BD58C0">
        <w:rPr>
          <w:color w:val="auto"/>
        </w:rPr>
        <w:t>2020;42:100863</w:t>
      </w:r>
      <w:proofErr w:type="gramEnd"/>
      <w:r w:rsidR="006F216A" w:rsidRPr="00BD58C0">
        <w:rPr>
          <w:color w:val="auto"/>
        </w:rPr>
        <w:t>.</w:t>
      </w:r>
    </w:p>
    <w:p w14:paraId="4472EDE1" w14:textId="14D2E788" w:rsidR="00B03AB9" w:rsidRPr="00BD58C0" w:rsidRDefault="00B03AB9" w:rsidP="00B03AB9">
      <w:pPr>
        <w:pStyle w:val="Default"/>
        <w:spacing w:line="360" w:lineRule="auto"/>
        <w:ind w:left="720" w:hanging="720"/>
        <w:jc w:val="both"/>
        <w:rPr>
          <w:color w:val="auto"/>
        </w:rPr>
      </w:pPr>
      <w:r w:rsidRPr="00BD58C0">
        <w:rPr>
          <w:color w:val="auto"/>
        </w:rPr>
        <w:t>[59]</w:t>
      </w:r>
      <w:r w:rsidRPr="00BD58C0">
        <w:rPr>
          <w:color w:val="auto"/>
        </w:rPr>
        <w:tab/>
        <w:t xml:space="preserve">Aziz NIHA, </w:t>
      </w:r>
      <w:proofErr w:type="spellStart"/>
      <w:r w:rsidRPr="00BD58C0">
        <w:rPr>
          <w:color w:val="auto"/>
        </w:rPr>
        <w:t>Hanafiah</w:t>
      </w:r>
      <w:proofErr w:type="spellEnd"/>
      <w:r w:rsidRPr="00BD58C0">
        <w:rPr>
          <w:color w:val="auto"/>
        </w:rPr>
        <w:t xml:space="preserve"> MM. Life cycle analysis of biogas production from anaerobic digestion of palm oil mill effluent. Renewable Energy </w:t>
      </w:r>
      <w:proofErr w:type="gramStart"/>
      <w:r w:rsidRPr="00BD58C0">
        <w:rPr>
          <w:color w:val="auto"/>
        </w:rPr>
        <w:t>2020;145:847</w:t>
      </w:r>
      <w:proofErr w:type="gramEnd"/>
      <w:r w:rsidRPr="00BD58C0">
        <w:rPr>
          <w:color w:val="auto"/>
        </w:rPr>
        <w:t>-57.</w:t>
      </w:r>
    </w:p>
    <w:p w14:paraId="7F102BA9" w14:textId="2F11CBA2" w:rsidR="007E3830" w:rsidRPr="00BD58C0" w:rsidRDefault="007E3830" w:rsidP="00FA7DB1">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321B1" w:rsidRPr="00BD58C0">
        <w:rPr>
          <w:rFonts w:ascii="Times New Roman" w:hAnsi="Times New Roman" w:cs="Times New Roman"/>
          <w:sz w:val="24"/>
          <w:szCs w:val="24"/>
        </w:rPr>
        <w:t>60</w:t>
      </w:r>
      <w:r w:rsidRPr="00BD58C0">
        <w:rPr>
          <w:rFonts w:ascii="Times New Roman" w:hAnsi="Times New Roman" w:cs="Times New Roman"/>
          <w:sz w:val="24"/>
          <w:szCs w:val="24"/>
        </w:rPr>
        <w:t>]</w:t>
      </w:r>
      <w:r w:rsidRPr="00BD58C0">
        <w:rPr>
          <w:rFonts w:ascii="Times New Roman" w:hAnsi="Times New Roman" w:cs="Times New Roman"/>
          <w:sz w:val="24"/>
          <w:szCs w:val="24"/>
        </w:rPr>
        <w:tab/>
        <w:t>INDC</w:t>
      </w:r>
      <w:r w:rsidR="00355AFF" w:rsidRPr="00BD58C0">
        <w:rPr>
          <w:rFonts w:ascii="Times New Roman" w:hAnsi="Times New Roman" w:cs="Times New Roman"/>
          <w:sz w:val="24"/>
          <w:szCs w:val="24"/>
        </w:rPr>
        <w:t xml:space="preserve">. Malaysia: </w:t>
      </w:r>
      <w:r w:rsidRPr="00BD58C0">
        <w:rPr>
          <w:rFonts w:ascii="Times New Roman" w:hAnsi="Times New Roman" w:cs="Times New Roman"/>
          <w:sz w:val="24"/>
          <w:szCs w:val="24"/>
        </w:rPr>
        <w:t>Intended Nationally Determined Contribution of the Government of Malaysia.</w:t>
      </w:r>
      <w:hyperlink r:id="rId22" w:history="1">
        <w:r w:rsidR="00355AFF" w:rsidRPr="00BD58C0">
          <w:rPr>
            <w:rStyle w:val="Hyperlink"/>
            <w:rFonts w:ascii="Times New Roman" w:hAnsi="Times New Roman" w:cs="Times New Roman"/>
            <w:color w:val="auto"/>
            <w:sz w:val="24"/>
            <w:szCs w:val="24"/>
            <w:u w:val="none"/>
          </w:rPr>
          <w:t>https://www4.unfccc.int/sites/submissions/INDC/Published%20Documents/Malaysia/1/INDC%20Malaysia%20Final%2027%20November%202015%20Revised%20Final%20UNFCCC.pdf</w:t>
        </w:r>
      </w:hyperlink>
      <w:r w:rsidR="00355AFF" w:rsidRPr="00BD58C0">
        <w:rPr>
          <w:rStyle w:val="Hyperlink"/>
          <w:rFonts w:ascii="Times New Roman" w:hAnsi="Times New Roman" w:cs="Times New Roman"/>
          <w:color w:val="auto"/>
          <w:sz w:val="24"/>
          <w:szCs w:val="24"/>
          <w:u w:val="none"/>
        </w:rPr>
        <w:t>;2015</w:t>
      </w:r>
      <w:r w:rsidR="00355AFF" w:rsidRPr="00BD58C0">
        <w:rPr>
          <w:rFonts w:ascii="Times New Roman" w:hAnsi="Times New Roman" w:cs="Times New Roman"/>
          <w:sz w:val="24"/>
          <w:szCs w:val="24"/>
        </w:rPr>
        <w:t xml:space="preserve"> [accessed </w:t>
      </w:r>
      <w:r w:rsidR="000C134A" w:rsidRPr="00BD58C0">
        <w:rPr>
          <w:rFonts w:ascii="Times New Roman" w:hAnsi="Times New Roman" w:cs="Times New Roman"/>
          <w:sz w:val="24"/>
          <w:szCs w:val="24"/>
        </w:rPr>
        <w:t>5</w:t>
      </w:r>
      <w:r w:rsidR="00355AFF" w:rsidRPr="00BD58C0">
        <w:rPr>
          <w:rFonts w:ascii="Times New Roman" w:hAnsi="Times New Roman" w:cs="Times New Roman"/>
          <w:sz w:val="24"/>
          <w:szCs w:val="24"/>
        </w:rPr>
        <w:t xml:space="preserve"> December 2020].</w:t>
      </w:r>
    </w:p>
    <w:p w14:paraId="1E84908A" w14:textId="2F6997F8" w:rsidR="006C1534" w:rsidRPr="00BD58C0" w:rsidRDefault="006C1534" w:rsidP="00BC4B75">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lastRenderedPageBreak/>
        <w:t>[</w:t>
      </w:r>
      <w:r w:rsidR="000321B1" w:rsidRPr="00BD58C0">
        <w:rPr>
          <w:rFonts w:ascii="Times New Roman" w:hAnsi="Times New Roman" w:cs="Times New Roman"/>
          <w:sz w:val="24"/>
          <w:szCs w:val="24"/>
        </w:rPr>
        <w:t>61</w:t>
      </w:r>
      <w:r w:rsidRPr="00BD58C0">
        <w:rPr>
          <w:rFonts w:ascii="Times New Roman" w:hAnsi="Times New Roman" w:cs="Times New Roman"/>
          <w:sz w:val="24"/>
          <w:szCs w:val="24"/>
        </w:rPr>
        <w:t>]</w:t>
      </w:r>
      <w:r w:rsidRPr="00BD58C0">
        <w:rPr>
          <w:rFonts w:ascii="Times New Roman" w:hAnsi="Times New Roman" w:cs="Times New Roman"/>
          <w:sz w:val="24"/>
          <w:szCs w:val="24"/>
        </w:rPr>
        <w:tab/>
        <w:t>Energypedia.</w:t>
      </w:r>
      <w:r w:rsidR="00BC4B75" w:rsidRPr="00BD58C0">
        <w:rPr>
          <w:rFonts w:ascii="Times New Roman" w:hAnsi="Times New Roman" w:cs="Times New Roman"/>
          <w:sz w:val="24"/>
          <w:szCs w:val="24"/>
        </w:rPr>
        <w:t xml:space="preserve"> </w:t>
      </w:r>
      <w:r w:rsidRPr="00BD58C0">
        <w:rPr>
          <w:rFonts w:ascii="Times New Roman" w:hAnsi="Times New Roman" w:cs="Times New Roman"/>
          <w:sz w:val="24"/>
          <w:szCs w:val="24"/>
        </w:rPr>
        <w:t xml:space="preserve">Financing &amp; Public Support of Biogas Plant. </w:t>
      </w:r>
      <w:hyperlink r:id="rId23" w:history="1">
        <w:r w:rsidR="00EF479C" w:rsidRPr="00BD58C0">
          <w:rPr>
            <w:rStyle w:val="Hyperlink"/>
            <w:rFonts w:ascii="Times New Roman" w:hAnsi="Times New Roman" w:cs="Times New Roman"/>
            <w:color w:val="auto"/>
            <w:sz w:val="24"/>
            <w:szCs w:val="24"/>
            <w:u w:val="none"/>
          </w:rPr>
          <w:t>https://energypedia.info/wiki/Financing_%26_Public_Support_of_Biogas_Plants;2020</w:t>
        </w:r>
      </w:hyperlink>
      <w:r w:rsidR="00EF479C" w:rsidRPr="00BD58C0">
        <w:rPr>
          <w:rFonts w:ascii="Times New Roman" w:hAnsi="Times New Roman" w:cs="Times New Roman"/>
          <w:sz w:val="24"/>
          <w:szCs w:val="24"/>
        </w:rPr>
        <w:t xml:space="preserve"> [accessed </w:t>
      </w:r>
      <w:r w:rsidR="000C134A" w:rsidRPr="00BD58C0">
        <w:rPr>
          <w:rFonts w:ascii="Times New Roman" w:hAnsi="Times New Roman" w:cs="Times New Roman"/>
          <w:sz w:val="24"/>
          <w:szCs w:val="24"/>
        </w:rPr>
        <w:t>6</w:t>
      </w:r>
      <w:r w:rsidR="00EF479C" w:rsidRPr="00BD58C0">
        <w:rPr>
          <w:rFonts w:ascii="Times New Roman" w:hAnsi="Times New Roman" w:cs="Times New Roman"/>
          <w:sz w:val="24"/>
          <w:szCs w:val="24"/>
        </w:rPr>
        <w:t xml:space="preserve"> December 2020]</w:t>
      </w:r>
      <w:r w:rsidRPr="00BD58C0">
        <w:rPr>
          <w:rFonts w:ascii="Times New Roman" w:hAnsi="Times New Roman" w:cs="Times New Roman"/>
          <w:sz w:val="24"/>
          <w:szCs w:val="24"/>
        </w:rPr>
        <w:t>.</w:t>
      </w:r>
    </w:p>
    <w:p w14:paraId="556550A7" w14:textId="0B1D42AB" w:rsidR="00481CF7" w:rsidRPr="00BD58C0" w:rsidRDefault="00481CF7" w:rsidP="00BC4B75">
      <w:pPr>
        <w:pStyle w:val="EndNoteBibliography"/>
        <w:spacing w:after="0" w:line="360" w:lineRule="auto"/>
        <w:ind w:left="720" w:hanging="720"/>
        <w:jc w:val="both"/>
        <w:rPr>
          <w:rFonts w:ascii="Times New Roman" w:hAnsi="Times New Roman" w:cs="Times New Roman"/>
          <w:sz w:val="24"/>
          <w:szCs w:val="24"/>
        </w:rPr>
      </w:pPr>
      <w:r w:rsidRPr="00BD58C0">
        <w:rPr>
          <w:rFonts w:ascii="Times New Roman" w:hAnsi="Times New Roman" w:cs="Times New Roman"/>
          <w:sz w:val="24"/>
          <w:szCs w:val="24"/>
        </w:rPr>
        <w:t>[</w:t>
      </w:r>
      <w:r w:rsidR="000321B1" w:rsidRPr="00BD58C0">
        <w:rPr>
          <w:rFonts w:ascii="Times New Roman" w:hAnsi="Times New Roman" w:cs="Times New Roman"/>
          <w:sz w:val="24"/>
          <w:szCs w:val="24"/>
        </w:rPr>
        <w:t>62</w:t>
      </w:r>
      <w:r w:rsidRPr="00BD58C0">
        <w:rPr>
          <w:rFonts w:ascii="Times New Roman" w:hAnsi="Times New Roman" w:cs="Times New Roman"/>
          <w:sz w:val="24"/>
          <w:szCs w:val="24"/>
        </w:rPr>
        <w:t>]</w:t>
      </w:r>
      <w:r w:rsidRPr="00BD58C0">
        <w:rPr>
          <w:rFonts w:ascii="Times New Roman" w:hAnsi="Times New Roman" w:cs="Times New Roman"/>
          <w:sz w:val="24"/>
          <w:szCs w:val="24"/>
        </w:rPr>
        <w:tab/>
        <w:t>AD</w:t>
      </w:r>
      <w:r w:rsidR="005B0A4B" w:rsidRPr="00BD58C0">
        <w:rPr>
          <w:rFonts w:ascii="Times New Roman" w:hAnsi="Times New Roman" w:cs="Times New Roman"/>
          <w:sz w:val="24"/>
          <w:szCs w:val="24"/>
        </w:rPr>
        <w:t xml:space="preserve">B. </w:t>
      </w:r>
      <w:r w:rsidRPr="00BD58C0">
        <w:rPr>
          <w:rFonts w:ascii="Times New Roman" w:hAnsi="Times New Roman" w:cs="Times New Roman"/>
          <w:sz w:val="24"/>
          <w:szCs w:val="24"/>
        </w:rPr>
        <w:t>The Korean Emissions Trading Scheme: Challenges and Emerging Opportunities. Manila, Philippines</w:t>
      </w:r>
      <w:r w:rsidR="005B0A4B" w:rsidRPr="00BD58C0">
        <w:rPr>
          <w:rFonts w:ascii="Times New Roman" w:hAnsi="Times New Roman" w:cs="Times New Roman"/>
          <w:sz w:val="24"/>
          <w:szCs w:val="24"/>
        </w:rPr>
        <w:t>: Asian Development Bank.</w:t>
      </w:r>
      <w:r w:rsidRPr="00BD58C0">
        <w:rPr>
          <w:rFonts w:ascii="Times New Roman" w:hAnsi="Times New Roman" w:cs="Times New Roman"/>
          <w:sz w:val="24"/>
          <w:szCs w:val="24"/>
        </w:rPr>
        <w:t xml:space="preserve"> </w:t>
      </w:r>
      <w:hyperlink r:id="rId24" w:history="1">
        <w:r w:rsidR="00314AF2" w:rsidRPr="00BD58C0">
          <w:rPr>
            <w:rStyle w:val="Hyperlink"/>
            <w:rFonts w:ascii="Times New Roman" w:hAnsi="Times New Roman" w:cs="Times New Roman"/>
            <w:color w:val="auto"/>
            <w:sz w:val="24"/>
            <w:szCs w:val="24"/>
            <w:u w:val="none"/>
          </w:rPr>
          <w:t>https://www.adb.org/sites/default/files/publication/469821/korea-emissions-trading-scheme.pdf;2018</w:t>
        </w:r>
      </w:hyperlink>
      <w:r w:rsidR="00314AF2" w:rsidRPr="00BD58C0">
        <w:rPr>
          <w:rStyle w:val="Hyperlink"/>
          <w:rFonts w:ascii="Times New Roman" w:hAnsi="Times New Roman" w:cs="Times New Roman"/>
          <w:color w:val="auto"/>
          <w:sz w:val="24"/>
          <w:szCs w:val="24"/>
          <w:u w:val="none"/>
        </w:rPr>
        <w:t xml:space="preserve"> [accessed 5 December 2020]</w:t>
      </w:r>
      <w:r w:rsidRPr="00BD58C0">
        <w:rPr>
          <w:rFonts w:ascii="Times New Roman" w:hAnsi="Times New Roman" w:cs="Times New Roman"/>
          <w:sz w:val="24"/>
          <w:szCs w:val="24"/>
        </w:rPr>
        <w:t>.</w:t>
      </w:r>
    </w:p>
    <w:p w14:paraId="175356D0" w14:textId="126EF674" w:rsidR="00481CF7" w:rsidRPr="00BD58C0" w:rsidRDefault="00481CF7" w:rsidP="00F857E3">
      <w:pPr>
        <w:pStyle w:val="EndNoteBibliography"/>
        <w:spacing w:after="0" w:line="360" w:lineRule="auto"/>
        <w:ind w:left="720" w:hanging="720"/>
        <w:jc w:val="both"/>
        <w:rPr>
          <w:rFonts w:ascii="Times New Roman" w:hAnsi="Times New Roman" w:cs="Times New Roman"/>
          <w:sz w:val="24"/>
          <w:szCs w:val="24"/>
        </w:rPr>
      </w:pPr>
    </w:p>
    <w:sectPr w:rsidR="00481CF7" w:rsidRPr="00BD58C0" w:rsidSect="00E21032">
      <w:footerReference w:type="default" r:id="rId25"/>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D7D" w14:textId="77777777" w:rsidR="003B3AAB" w:rsidRDefault="003B3AAB">
      <w:pPr>
        <w:spacing w:after="0" w:line="240" w:lineRule="auto"/>
      </w:pPr>
      <w:r>
        <w:separator/>
      </w:r>
    </w:p>
  </w:endnote>
  <w:endnote w:type="continuationSeparator" w:id="0">
    <w:p w14:paraId="09DBDA1F" w14:textId="77777777" w:rsidR="003B3AAB" w:rsidRDefault="003B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85268"/>
      <w:docPartObj>
        <w:docPartGallery w:val="Page Numbers (Bottom of Page)"/>
        <w:docPartUnique/>
      </w:docPartObj>
    </w:sdtPr>
    <w:sdtEndPr>
      <w:rPr>
        <w:rFonts w:ascii="Times New Roman" w:hAnsi="Times New Roman" w:cs="Times New Roman"/>
        <w:noProof/>
        <w:sz w:val="24"/>
        <w:szCs w:val="24"/>
      </w:rPr>
    </w:sdtEndPr>
    <w:sdtContent>
      <w:p w14:paraId="6346B2A7" w14:textId="0E55721E" w:rsidR="00FB5B17" w:rsidRPr="00BE3807" w:rsidRDefault="00FB5B17">
        <w:pPr>
          <w:pStyle w:val="Footer"/>
          <w:jc w:val="center"/>
          <w:rPr>
            <w:rFonts w:ascii="Times New Roman" w:hAnsi="Times New Roman" w:cs="Times New Roman"/>
            <w:sz w:val="24"/>
            <w:szCs w:val="24"/>
          </w:rPr>
        </w:pPr>
        <w:r w:rsidRPr="00BE3807">
          <w:rPr>
            <w:rFonts w:ascii="Times New Roman" w:hAnsi="Times New Roman" w:cs="Times New Roman"/>
            <w:sz w:val="24"/>
            <w:szCs w:val="24"/>
          </w:rPr>
          <w:fldChar w:fldCharType="begin"/>
        </w:r>
        <w:r w:rsidRPr="00BE3807">
          <w:rPr>
            <w:rFonts w:ascii="Times New Roman" w:hAnsi="Times New Roman" w:cs="Times New Roman"/>
            <w:sz w:val="24"/>
            <w:szCs w:val="24"/>
          </w:rPr>
          <w:instrText xml:space="preserve"> PAGE   \* MERGEFORMAT </w:instrText>
        </w:r>
        <w:r w:rsidRPr="00BE3807">
          <w:rPr>
            <w:rFonts w:ascii="Times New Roman" w:hAnsi="Times New Roman" w:cs="Times New Roman"/>
            <w:sz w:val="24"/>
            <w:szCs w:val="24"/>
          </w:rPr>
          <w:fldChar w:fldCharType="separate"/>
        </w:r>
        <w:r>
          <w:rPr>
            <w:rFonts w:ascii="Times New Roman" w:hAnsi="Times New Roman" w:cs="Times New Roman"/>
            <w:noProof/>
            <w:sz w:val="24"/>
            <w:szCs w:val="24"/>
          </w:rPr>
          <w:t>18</w:t>
        </w:r>
        <w:r w:rsidRPr="00BE3807">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839521"/>
      <w:docPartObj>
        <w:docPartGallery w:val="Page Numbers (Bottom of Page)"/>
        <w:docPartUnique/>
      </w:docPartObj>
    </w:sdtPr>
    <w:sdtEndPr>
      <w:rPr>
        <w:rFonts w:ascii="Times New Roman" w:hAnsi="Times New Roman" w:cs="Times New Roman"/>
        <w:noProof/>
        <w:sz w:val="24"/>
        <w:szCs w:val="24"/>
      </w:rPr>
    </w:sdtEndPr>
    <w:sdtContent>
      <w:p w14:paraId="3A6F9FA7" w14:textId="02CD5C88" w:rsidR="00FB5B17" w:rsidRPr="00F47E9D" w:rsidRDefault="00FB5B17">
        <w:pPr>
          <w:pStyle w:val="Footer"/>
          <w:jc w:val="center"/>
          <w:rPr>
            <w:rFonts w:ascii="Times New Roman" w:hAnsi="Times New Roman" w:cs="Times New Roman"/>
            <w:sz w:val="24"/>
            <w:szCs w:val="24"/>
          </w:rPr>
        </w:pPr>
        <w:r w:rsidRPr="00F47E9D">
          <w:rPr>
            <w:rFonts w:ascii="Times New Roman" w:hAnsi="Times New Roman" w:cs="Times New Roman"/>
            <w:sz w:val="24"/>
            <w:szCs w:val="24"/>
          </w:rPr>
          <w:fldChar w:fldCharType="begin"/>
        </w:r>
        <w:r w:rsidRPr="00F47E9D">
          <w:rPr>
            <w:rFonts w:ascii="Times New Roman" w:hAnsi="Times New Roman" w:cs="Times New Roman"/>
            <w:sz w:val="24"/>
            <w:szCs w:val="24"/>
          </w:rPr>
          <w:instrText xml:space="preserve"> PAGE   \* MERGEFORMAT </w:instrText>
        </w:r>
        <w:r w:rsidRPr="00F47E9D">
          <w:rPr>
            <w:rFonts w:ascii="Times New Roman" w:hAnsi="Times New Roman" w:cs="Times New Roman"/>
            <w:sz w:val="24"/>
            <w:szCs w:val="24"/>
          </w:rPr>
          <w:fldChar w:fldCharType="separate"/>
        </w:r>
        <w:r>
          <w:rPr>
            <w:rFonts w:ascii="Times New Roman" w:hAnsi="Times New Roman" w:cs="Times New Roman"/>
            <w:noProof/>
            <w:sz w:val="24"/>
            <w:szCs w:val="24"/>
          </w:rPr>
          <w:t>33</w:t>
        </w:r>
        <w:r w:rsidRPr="00F47E9D">
          <w:rPr>
            <w:rFonts w:ascii="Times New Roman" w:hAnsi="Times New Roman" w:cs="Times New Roman"/>
            <w:noProof/>
            <w:sz w:val="24"/>
            <w:szCs w:val="24"/>
          </w:rPr>
          <w:fldChar w:fldCharType="end"/>
        </w:r>
      </w:p>
    </w:sdtContent>
  </w:sdt>
  <w:p w14:paraId="3F59F477" w14:textId="77777777" w:rsidR="00FB5B17" w:rsidRPr="00F47E9D" w:rsidRDefault="00FB5B17">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3834" w14:textId="77777777" w:rsidR="003B3AAB" w:rsidRDefault="003B3AAB">
      <w:pPr>
        <w:spacing w:after="0" w:line="240" w:lineRule="auto"/>
      </w:pPr>
      <w:r>
        <w:separator/>
      </w:r>
    </w:p>
  </w:footnote>
  <w:footnote w:type="continuationSeparator" w:id="0">
    <w:p w14:paraId="3A0ACC89" w14:textId="77777777" w:rsidR="003B3AAB" w:rsidRDefault="003B3AAB">
      <w:pPr>
        <w:spacing w:after="0" w:line="240" w:lineRule="auto"/>
      </w:pPr>
      <w:r>
        <w:continuationSeparator/>
      </w:r>
    </w:p>
  </w:footnote>
  <w:footnote w:id="1">
    <w:p w14:paraId="4C2FA88B" w14:textId="5B28A206" w:rsidR="00A47ADA" w:rsidRPr="00F615DD" w:rsidRDefault="00A47ADA">
      <w:pPr>
        <w:pStyle w:val="FootnoteText"/>
        <w:rPr>
          <w:rFonts w:ascii="Times New Roman" w:hAnsi="Times New Roman" w:cs="Times New Roman"/>
          <w:sz w:val="24"/>
          <w:szCs w:val="24"/>
          <w:lang w:val="en-US"/>
        </w:rPr>
      </w:pPr>
      <w:r w:rsidRPr="00F615DD">
        <w:rPr>
          <w:rStyle w:val="FootnoteReference"/>
          <w:rFonts w:ascii="Times New Roman" w:hAnsi="Times New Roman" w:cs="Times New Roman"/>
          <w:sz w:val="24"/>
          <w:szCs w:val="24"/>
        </w:rPr>
        <w:footnoteRef/>
      </w:r>
      <w:r w:rsidRPr="00F615DD">
        <w:rPr>
          <w:rFonts w:ascii="Times New Roman" w:hAnsi="Times New Roman" w:cs="Times New Roman"/>
          <w:sz w:val="24"/>
          <w:szCs w:val="24"/>
        </w:rPr>
        <w:t xml:space="preserve"> There is no plug flow along with CSTR system in this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B94"/>
    <w:multiLevelType w:val="hybridMultilevel"/>
    <w:tmpl w:val="DB10AB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B962430"/>
    <w:multiLevelType w:val="hybridMultilevel"/>
    <w:tmpl w:val="BF5A94F4"/>
    <w:lvl w:ilvl="0" w:tplc="347844E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477ABC"/>
    <w:multiLevelType w:val="hybridMultilevel"/>
    <w:tmpl w:val="59E40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44E7E"/>
    <w:multiLevelType w:val="hybridMultilevel"/>
    <w:tmpl w:val="B540FEC4"/>
    <w:lvl w:ilvl="0" w:tplc="9378FC8E">
      <w:start w:val="1"/>
      <w:numFmt w:val="decimal"/>
      <w:lvlText w:val="%1."/>
      <w:lvlJc w:val="left"/>
      <w:pPr>
        <w:ind w:left="720" w:hanging="360"/>
      </w:pPr>
      <w:rPr>
        <w:rFonts w:hint="default"/>
      </w:rPr>
    </w:lvl>
    <w:lvl w:ilvl="1" w:tplc="80E8B498" w:tentative="1">
      <w:start w:val="1"/>
      <w:numFmt w:val="lowerLetter"/>
      <w:lvlText w:val="%2."/>
      <w:lvlJc w:val="left"/>
      <w:pPr>
        <w:ind w:left="1440" w:hanging="360"/>
      </w:pPr>
    </w:lvl>
    <w:lvl w:ilvl="2" w:tplc="9A1EEF6A" w:tentative="1">
      <w:start w:val="1"/>
      <w:numFmt w:val="lowerRoman"/>
      <w:lvlText w:val="%3."/>
      <w:lvlJc w:val="right"/>
      <w:pPr>
        <w:ind w:left="2160" w:hanging="180"/>
      </w:pPr>
    </w:lvl>
    <w:lvl w:ilvl="3" w:tplc="681A482C" w:tentative="1">
      <w:start w:val="1"/>
      <w:numFmt w:val="decimal"/>
      <w:lvlText w:val="%4."/>
      <w:lvlJc w:val="left"/>
      <w:pPr>
        <w:ind w:left="2880" w:hanging="360"/>
      </w:pPr>
    </w:lvl>
    <w:lvl w:ilvl="4" w:tplc="41F24406" w:tentative="1">
      <w:start w:val="1"/>
      <w:numFmt w:val="lowerLetter"/>
      <w:lvlText w:val="%5."/>
      <w:lvlJc w:val="left"/>
      <w:pPr>
        <w:ind w:left="3600" w:hanging="360"/>
      </w:pPr>
    </w:lvl>
    <w:lvl w:ilvl="5" w:tplc="E81E8C44" w:tentative="1">
      <w:start w:val="1"/>
      <w:numFmt w:val="lowerRoman"/>
      <w:lvlText w:val="%6."/>
      <w:lvlJc w:val="right"/>
      <w:pPr>
        <w:ind w:left="4320" w:hanging="180"/>
      </w:pPr>
    </w:lvl>
    <w:lvl w:ilvl="6" w:tplc="A2F2AC1A" w:tentative="1">
      <w:start w:val="1"/>
      <w:numFmt w:val="decimal"/>
      <w:lvlText w:val="%7."/>
      <w:lvlJc w:val="left"/>
      <w:pPr>
        <w:ind w:left="5040" w:hanging="360"/>
      </w:pPr>
    </w:lvl>
    <w:lvl w:ilvl="7" w:tplc="E6C824F4" w:tentative="1">
      <w:start w:val="1"/>
      <w:numFmt w:val="lowerLetter"/>
      <w:lvlText w:val="%8."/>
      <w:lvlJc w:val="left"/>
      <w:pPr>
        <w:ind w:left="5760" w:hanging="360"/>
      </w:pPr>
    </w:lvl>
    <w:lvl w:ilvl="8" w:tplc="FF224382" w:tentative="1">
      <w:start w:val="1"/>
      <w:numFmt w:val="lowerRoman"/>
      <w:lvlText w:val="%9."/>
      <w:lvlJc w:val="right"/>
      <w:pPr>
        <w:ind w:left="6480" w:hanging="180"/>
      </w:pPr>
    </w:lvl>
  </w:abstractNum>
  <w:abstractNum w:abstractNumId="4" w15:restartNumberingAfterBreak="0">
    <w:nsid w:val="20686630"/>
    <w:multiLevelType w:val="hybridMultilevel"/>
    <w:tmpl w:val="E19254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FBC0ECB"/>
    <w:multiLevelType w:val="hybridMultilevel"/>
    <w:tmpl w:val="B1F82A02"/>
    <w:lvl w:ilvl="0" w:tplc="566620C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07D782C"/>
    <w:multiLevelType w:val="hybridMultilevel"/>
    <w:tmpl w:val="76669BF4"/>
    <w:lvl w:ilvl="0" w:tplc="A8E27362">
      <w:start w:val="1"/>
      <w:numFmt w:val="lowerRoman"/>
      <w:lvlText w:val="%1)"/>
      <w:lvlJc w:val="left"/>
      <w:pPr>
        <w:ind w:left="1080" w:hanging="720"/>
      </w:pPr>
      <w:rPr>
        <w:rFonts w:hint="default"/>
        <w:b w:val="0"/>
        <w:i w:val="0"/>
      </w:rPr>
    </w:lvl>
    <w:lvl w:ilvl="1" w:tplc="D5AA6BBC" w:tentative="1">
      <w:start w:val="1"/>
      <w:numFmt w:val="lowerLetter"/>
      <w:lvlText w:val="%2."/>
      <w:lvlJc w:val="left"/>
      <w:pPr>
        <w:ind w:left="1440" w:hanging="360"/>
      </w:pPr>
    </w:lvl>
    <w:lvl w:ilvl="2" w:tplc="9B8AA12C" w:tentative="1">
      <w:start w:val="1"/>
      <w:numFmt w:val="lowerRoman"/>
      <w:lvlText w:val="%3."/>
      <w:lvlJc w:val="right"/>
      <w:pPr>
        <w:ind w:left="2160" w:hanging="180"/>
      </w:pPr>
    </w:lvl>
    <w:lvl w:ilvl="3" w:tplc="9FE839F0" w:tentative="1">
      <w:start w:val="1"/>
      <w:numFmt w:val="decimal"/>
      <w:lvlText w:val="%4."/>
      <w:lvlJc w:val="left"/>
      <w:pPr>
        <w:ind w:left="2880" w:hanging="360"/>
      </w:pPr>
    </w:lvl>
    <w:lvl w:ilvl="4" w:tplc="299EE292" w:tentative="1">
      <w:start w:val="1"/>
      <w:numFmt w:val="lowerLetter"/>
      <w:lvlText w:val="%5."/>
      <w:lvlJc w:val="left"/>
      <w:pPr>
        <w:ind w:left="3600" w:hanging="360"/>
      </w:pPr>
    </w:lvl>
    <w:lvl w:ilvl="5" w:tplc="B2B6A6D8" w:tentative="1">
      <w:start w:val="1"/>
      <w:numFmt w:val="lowerRoman"/>
      <w:lvlText w:val="%6."/>
      <w:lvlJc w:val="right"/>
      <w:pPr>
        <w:ind w:left="4320" w:hanging="180"/>
      </w:pPr>
    </w:lvl>
    <w:lvl w:ilvl="6" w:tplc="22CE9F56" w:tentative="1">
      <w:start w:val="1"/>
      <w:numFmt w:val="decimal"/>
      <w:lvlText w:val="%7."/>
      <w:lvlJc w:val="left"/>
      <w:pPr>
        <w:ind w:left="5040" w:hanging="360"/>
      </w:pPr>
    </w:lvl>
    <w:lvl w:ilvl="7" w:tplc="3D6E1F2C" w:tentative="1">
      <w:start w:val="1"/>
      <w:numFmt w:val="lowerLetter"/>
      <w:lvlText w:val="%8."/>
      <w:lvlJc w:val="left"/>
      <w:pPr>
        <w:ind w:left="5760" w:hanging="360"/>
      </w:pPr>
    </w:lvl>
    <w:lvl w:ilvl="8" w:tplc="4B88157C" w:tentative="1">
      <w:start w:val="1"/>
      <w:numFmt w:val="lowerRoman"/>
      <w:lvlText w:val="%9."/>
      <w:lvlJc w:val="right"/>
      <w:pPr>
        <w:ind w:left="6480" w:hanging="180"/>
      </w:pPr>
    </w:lvl>
  </w:abstractNum>
  <w:abstractNum w:abstractNumId="7" w15:restartNumberingAfterBreak="0">
    <w:nsid w:val="358863A6"/>
    <w:multiLevelType w:val="hybridMultilevel"/>
    <w:tmpl w:val="5E3812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DD26FD9"/>
    <w:multiLevelType w:val="hybridMultilevel"/>
    <w:tmpl w:val="21343B84"/>
    <w:lvl w:ilvl="0" w:tplc="AEDA81AA">
      <w:start w:val="1"/>
      <w:numFmt w:val="lowerRoman"/>
      <w:lvlText w:val="%1)"/>
      <w:lvlJc w:val="left"/>
      <w:pPr>
        <w:ind w:left="1080" w:hanging="720"/>
      </w:pPr>
      <w:rPr>
        <w:rFonts w:hint="default"/>
      </w:rPr>
    </w:lvl>
    <w:lvl w:ilvl="1" w:tplc="BE8C88F4">
      <w:start w:val="1"/>
      <w:numFmt w:val="lowerLetter"/>
      <w:lvlText w:val="%2."/>
      <w:lvlJc w:val="left"/>
      <w:pPr>
        <w:ind w:left="1440" w:hanging="360"/>
      </w:pPr>
    </w:lvl>
    <w:lvl w:ilvl="2" w:tplc="804C7654" w:tentative="1">
      <w:start w:val="1"/>
      <w:numFmt w:val="lowerRoman"/>
      <w:lvlText w:val="%3."/>
      <w:lvlJc w:val="right"/>
      <w:pPr>
        <w:ind w:left="2160" w:hanging="180"/>
      </w:pPr>
    </w:lvl>
    <w:lvl w:ilvl="3" w:tplc="09B0F206" w:tentative="1">
      <w:start w:val="1"/>
      <w:numFmt w:val="decimal"/>
      <w:lvlText w:val="%4."/>
      <w:lvlJc w:val="left"/>
      <w:pPr>
        <w:ind w:left="2880" w:hanging="360"/>
      </w:pPr>
    </w:lvl>
    <w:lvl w:ilvl="4" w:tplc="7FC6650A" w:tentative="1">
      <w:start w:val="1"/>
      <w:numFmt w:val="lowerLetter"/>
      <w:lvlText w:val="%5."/>
      <w:lvlJc w:val="left"/>
      <w:pPr>
        <w:ind w:left="3600" w:hanging="360"/>
      </w:pPr>
    </w:lvl>
    <w:lvl w:ilvl="5" w:tplc="D03402D2" w:tentative="1">
      <w:start w:val="1"/>
      <w:numFmt w:val="lowerRoman"/>
      <w:lvlText w:val="%6."/>
      <w:lvlJc w:val="right"/>
      <w:pPr>
        <w:ind w:left="4320" w:hanging="180"/>
      </w:pPr>
    </w:lvl>
    <w:lvl w:ilvl="6" w:tplc="A1304AD4" w:tentative="1">
      <w:start w:val="1"/>
      <w:numFmt w:val="decimal"/>
      <w:lvlText w:val="%7."/>
      <w:lvlJc w:val="left"/>
      <w:pPr>
        <w:ind w:left="5040" w:hanging="360"/>
      </w:pPr>
    </w:lvl>
    <w:lvl w:ilvl="7" w:tplc="12E2C3E6" w:tentative="1">
      <w:start w:val="1"/>
      <w:numFmt w:val="lowerLetter"/>
      <w:lvlText w:val="%8."/>
      <w:lvlJc w:val="left"/>
      <w:pPr>
        <w:ind w:left="5760" w:hanging="360"/>
      </w:pPr>
    </w:lvl>
    <w:lvl w:ilvl="8" w:tplc="F50A3F76" w:tentative="1">
      <w:start w:val="1"/>
      <w:numFmt w:val="lowerRoman"/>
      <w:lvlText w:val="%9."/>
      <w:lvlJc w:val="right"/>
      <w:pPr>
        <w:ind w:left="6480" w:hanging="180"/>
      </w:pPr>
    </w:lvl>
  </w:abstractNum>
  <w:abstractNum w:abstractNumId="9" w15:restartNumberingAfterBreak="0">
    <w:nsid w:val="407E651D"/>
    <w:multiLevelType w:val="hybridMultilevel"/>
    <w:tmpl w:val="0D56DADC"/>
    <w:lvl w:ilvl="0" w:tplc="FB08EC04">
      <w:start w:val="1"/>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4397C1E"/>
    <w:multiLevelType w:val="hybridMultilevel"/>
    <w:tmpl w:val="D99247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74C7763"/>
    <w:multiLevelType w:val="hybridMultilevel"/>
    <w:tmpl w:val="E31EA7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49440853"/>
    <w:multiLevelType w:val="hybridMultilevel"/>
    <w:tmpl w:val="2FE6DC68"/>
    <w:lvl w:ilvl="0" w:tplc="89562074">
      <w:start w:val="1"/>
      <w:numFmt w:val="decimal"/>
      <w:lvlText w:val="%1."/>
      <w:lvlJc w:val="left"/>
      <w:pPr>
        <w:ind w:left="720" w:hanging="360"/>
      </w:pPr>
      <w:rPr>
        <w:rFonts w:hint="default"/>
      </w:rPr>
    </w:lvl>
    <w:lvl w:ilvl="1" w:tplc="773224EA" w:tentative="1">
      <w:start w:val="1"/>
      <w:numFmt w:val="lowerLetter"/>
      <w:lvlText w:val="%2."/>
      <w:lvlJc w:val="left"/>
      <w:pPr>
        <w:ind w:left="1440" w:hanging="360"/>
      </w:pPr>
    </w:lvl>
    <w:lvl w:ilvl="2" w:tplc="74DCB1D0" w:tentative="1">
      <w:start w:val="1"/>
      <w:numFmt w:val="lowerRoman"/>
      <w:lvlText w:val="%3."/>
      <w:lvlJc w:val="right"/>
      <w:pPr>
        <w:ind w:left="2160" w:hanging="180"/>
      </w:pPr>
    </w:lvl>
    <w:lvl w:ilvl="3" w:tplc="1480BD30" w:tentative="1">
      <w:start w:val="1"/>
      <w:numFmt w:val="decimal"/>
      <w:lvlText w:val="%4."/>
      <w:lvlJc w:val="left"/>
      <w:pPr>
        <w:ind w:left="2880" w:hanging="360"/>
      </w:pPr>
    </w:lvl>
    <w:lvl w:ilvl="4" w:tplc="7454169E" w:tentative="1">
      <w:start w:val="1"/>
      <w:numFmt w:val="lowerLetter"/>
      <w:lvlText w:val="%5."/>
      <w:lvlJc w:val="left"/>
      <w:pPr>
        <w:ind w:left="3600" w:hanging="360"/>
      </w:pPr>
    </w:lvl>
    <w:lvl w:ilvl="5" w:tplc="243A345E" w:tentative="1">
      <w:start w:val="1"/>
      <w:numFmt w:val="lowerRoman"/>
      <w:lvlText w:val="%6."/>
      <w:lvlJc w:val="right"/>
      <w:pPr>
        <w:ind w:left="4320" w:hanging="180"/>
      </w:pPr>
    </w:lvl>
    <w:lvl w:ilvl="6" w:tplc="5E4ACE4E" w:tentative="1">
      <w:start w:val="1"/>
      <w:numFmt w:val="decimal"/>
      <w:lvlText w:val="%7."/>
      <w:lvlJc w:val="left"/>
      <w:pPr>
        <w:ind w:left="5040" w:hanging="360"/>
      </w:pPr>
    </w:lvl>
    <w:lvl w:ilvl="7" w:tplc="0A8CD870" w:tentative="1">
      <w:start w:val="1"/>
      <w:numFmt w:val="lowerLetter"/>
      <w:lvlText w:val="%8."/>
      <w:lvlJc w:val="left"/>
      <w:pPr>
        <w:ind w:left="5760" w:hanging="360"/>
      </w:pPr>
    </w:lvl>
    <w:lvl w:ilvl="8" w:tplc="E8F807D4" w:tentative="1">
      <w:start w:val="1"/>
      <w:numFmt w:val="lowerRoman"/>
      <w:lvlText w:val="%9."/>
      <w:lvlJc w:val="right"/>
      <w:pPr>
        <w:ind w:left="6480" w:hanging="180"/>
      </w:pPr>
    </w:lvl>
  </w:abstractNum>
  <w:abstractNum w:abstractNumId="13" w15:restartNumberingAfterBreak="0">
    <w:nsid w:val="50ED4835"/>
    <w:multiLevelType w:val="hybridMultilevel"/>
    <w:tmpl w:val="7260468A"/>
    <w:lvl w:ilvl="0" w:tplc="E2300A88">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5270536"/>
    <w:multiLevelType w:val="hybridMultilevel"/>
    <w:tmpl w:val="12B29B74"/>
    <w:lvl w:ilvl="0" w:tplc="AEF6B7AE">
      <w:start w:val="4"/>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BDE6B54"/>
    <w:multiLevelType w:val="hybridMultilevel"/>
    <w:tmpl w:val="38BE55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6C3C78B8"/>
    <w:multiLevelType w:val="hybridMultilevel"/>
    <w:tmpl w:val="B380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F31D86"/>
    <w:multiLevelType w:val="hybridMultilevel"/>
    <w:tmpl w:val="A1FCE2B2"/>
    <w:lvl w:ilvl="0" w:tplc="84F426D4">
      <w:numFmt w:val="bullet"/>
      <w:lvlText w:val=""/>
      <w:lvlJc w:val="left"/>
      <w:pPr>
        <w:ind w:left="820" w:hanging="360"/>
      </w:pPr>
      <w:rPr>
        <w:rFonts w:ascii="Symbol" w:eastAsia="Symbol" w:hAnsi="Symbol" w:cs="Symbol" w:hint="default"/>
        <w:w w:val="100"/>
        <w:sz w:val="22"/>
        <w:szCs w:val="22"/>
        <w:lang w:val="en-US" w:eastAsia="en-US" w:bidi="en-US"/>
      </w:rPr>
    </w:lvl>
    <w:lvl w:ilvl="1" w:tplc="1FE864E8">
      <w:numFmt w:val="bullet"/>
      <w:lvlText w:val="•"/>
      <w:lvlJc w:val="left"/>
      <w:pPr>
        <w:ind w:left="1660" w:hanging="360"/>
      </w:pPr>
      <w:rPr>
        <w:rFonts w:hint="default"/>
        <w:lang w:val="en-US" w:eastAsia="en-US" w:bidi="en-US"/>
      </w:rPr>
    </w:lvl>
    <w:lvl w:ilvl="2" w:tplc="AF8E7986">
      <w:numFmt w:val="bullet"/>
      <w:lvlText w:val="•"/>
      <w:lvlJc w:val="left"/>
      <w:pPr>
        <w:ind w:left="2501" w:hanging="360"/>
      </w:pPr>
      <w:rPr>
        <w:rFonts w:hint="default"/>
        <w:lang w:val="en-US" w:eastAsia="en-US" w:bidi="en-US"/>
      </w:rPr>
    </w:lvl>
    <w:lvl w:ilvl="3" w:tplc="7576A15A">
      <w:numFmt w:val="bullet"/>
      <w:lvlText w:val="•"/>
      <w:lvlJc w:val="left"/>
      <w:pPr>
        <w:ind w:left="3341" w:hanging="360"/>
      </w:pPr>
      <w:rPr>
        <w:rFonts w:hint="default"/>
        <w:lang w:val="en-US" w:eastAsia="en-US" w:bidi="en-US"/>
      </w:rPr>
    </w:lvl>
    <w:lvl w:ilvl="4" w:tplc="83467FD0">
      <w:numFmt w:val="bullet"/>
      <w:lvlText w:val="•"/>
      <w:lvlJc w:val="left"/>
      <w:pPr>
        <w:ind w:left="4182" w:hanging="360"/>
      </w:pPr>
      <w:rPr>
        <w:rFonts w:hint="default"/>
        <w:lang w:val="en-US" w:eastAsia="en-US" w:bidi="en-US"/>
      </w:rPr>
    </w:lvl>
    <w:lvl w:ilvl="5" w:tplc="D39E014E">
      <w:numFmt w:val="bullet"/>
      <w:lvlText w:val="•"/>
      <w:lvlJc w:val="left"/>
      <w:pPr>
        <w:ind w:left="5023" w:hanging="360"/>
      </w:pPr>
      <w:rPr>
        <w:rFonts w:hint="default"/>
        <w:lang w:val="en-US" w:eastAsia="en-US" w:bidi="en-US"/>
      </w:rPr>
    </w:lvl>
    <w:lvl w:ilvl="6" w:tplc="75CEE41A">
      <w:numFmt w:val="bullet"/>
      <w:lvlText w:val="•"/>
      <w:lvlJc w:val="left"/>
      <w:pPr>
        <w:ind w:left="5863" w:hanging="360"/>
      </w:pPr>
      <w:rPr>
        <w:rFonts w:hint="default"/>
        <w:lang w:val="en-US" w:eastAsia="en-US" w:bidi="en-US"/>
      </w:rPr>
    </w:lvl>
    <w:lvl w:ilvl="7" w:tplc="74DA3176">
      <w:numFmt w:val="bullet"/>
      <w:lvlText w:val="•"/>
      <w:lvlJc w:val="left"/>
      <w:pPr>
        <w:ind w:left="6704" w:hanging="360"/>
      </w:pPr>
      <w:rPr>
        <w:rFonts w:hint="default"/>
        <w:lang w:val="en-US" w:eastAsia="en-US" w:bidi="en-US"/>
      </w:rPr>
    </w:lvl>
    <w:lvl w:ilvl="8" w:tplc="FBBAB03A">
      <w:numFmt w:val="bullet"/>
      <w:lvlText w:val="•"/>
      <w:lvlJc w:val="left"/>
      <w:pPr>
        <w:ind w:left="7545" w:hanging="360"/>
      </w:pPr>
      <w:rPr>
        <w:rFonts w:hint="default"/>
        <w:lang w:val="en-US" w:eastAsia="en-US" w:bidi="en-US"/>
      </w:rPr>
    </w:lvl>
  </w:abstractNum>
  <w:abstractNum w:abstractNumId="18" w15:restartNumberingAfterBreak="0">
    <w:nsid w:val="6F4A3D87"/>
    <w:multiLevelType w:val="hybridMultilevel"/>
    <w:tmpl w:val="23804B40"/>
    <w:lvl w:ilvl="0" w:tplc="529EE22E">
      <w:start w:val="1"/>
      <w:numFmt w:val="decimal"/>
      <w:pStyle w:val="reference"/>
      <w:lvlText w:val="%1."/>
      <w:lvlJc w:val="left"/>
      <w:pPr>
        <w:tabs>
          <w:tab w:val="num" w:pos="1920"/>
        </w:tabs>
        <w:ind w:left="1920" w:hanging="360"/>
      </w:pPr>
      <w:rPr>
        <w:color w:val="auto"/>
        <w:sz w:val="24"/>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4984382"/>
    <w:multiLevelType w:val="hybridMultilevel"/>
    <w:tmpl w:val="9C9223FA"/>
    <w:lvl w:ilvl="0" w:tplc="6A083AFC">
      <w:start w:val="1"/>
      <w:numFmt w:val="decimal"/>
      <w:lvlText w:val="%1."/>
      <w:lvlJc w:val="left"/>
      <w:pPr>
        <w:ind w:left="720" w:hanging="360"/>
      </w:pPr>
      <w:rPr>
        <w:rFonts w:hint="default"/>
      </w:rPr>
    </w:lvl>
    <w:lvl w:ilvl="1" w:tplc="4A18E60E" w:tentative="1">
      <w:start w:val="1"/>
      <w:numFmt w:val="lowerLetter"/>
      <w:lvlText w:val="%2."/>
      <w:lvlJc w:val="left"/>
      <w:pPr>
        <w:ind w:left="1440" w:hanging="360"/>
      </w:pPr>
    </w:lvl>
    <w:lvl w:ilvl="2" w:tplc="5C826F26" w:tentative="1">
      <w:start w:val="1"/>
      <w:numFmt w:val="lowerRoman"/>
      <w:lvlText w:val="%3."/>
      <w:lvlJc w:val="right"/>
      <w:pPr>
        <w:ind w:left="2160" w:hanging="180"/>
      </w:pPr>
    </w:lvl>
    <w:lvl w:ilvl="3" w:tplc="8F682772" w:tentative="1">
      <w:start w:val="1"/>
      <w:numFmt w:val="decimal"/>
      <w:lvlText w:val="%4."/>
      <w:lvlJc w:val="left"/>
      <w:pPr>
        <w:ind w:left="2880" w:hanging="360"/>
      </w:pPr>
    </w:lvl>
    <w:lvl w:ilvl="4" w:tplc="9E6E511C" w:tentative="1">
      <w:start w:val="1"/>
      <w:numFmt w:val="lowerLetter"/>
      <w:lvlText w:val="%5."/>
      <w:lvlJc w:val="left"/>
      <w:pPr>
        <w:ind w:left="3600" w:hanging="360"/>
      </w:pPr>
    </w:lvl>
    <w:lvl w:ilvl="5" w:tplc="02E0C426" w:tentative="1">
      <w:start w:val="1"/>
      <w:numFmt w:val="lowerRoman"/>
      <w:lvlText w:val="%6."/>
      <w:lvlJc w:val="right"/>
      <w:pPr>
        <w:ind w:left="4320" w:hanging="180"/>
      </w:pPr>
    </w:lvl>
    <w:lvl w:ilvl="6" w:tplc="96E69B0C" w:tentative="1">
      <w:start w:val="1"/>
      <w:numFmt w:val="decimal"/>
      <w:lvlText w:val="%7."/>
      <w:lvlJc w:val="left"/>
      <w:pPr>
        <w:ind w:left="5040" w:hanging="360"/>
      </w:pPr>
    </w:lvl>
    <w:lvl w:ilvl="7" w:tplc="85D25160" w:tentative="1">
      <w:start w:val="1"/>
      <w:numFmt w:val="lowerLetter"/>
      <w:lvlText w:val="%8."/>
      <w:lvlJc w:val="left"/>
      <w:pPr>
        <w:ind w:left="5760" w:hanging="360"/>
      </w:pPr>
    </w:lvl>
    <w:lvl w:ilvl="8" w:tplc="5E0A0E84"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8"/>
  </w:num>
  <w:num w:numId="5">
    <w:abstractNumId w:val="6"/>
  </w:num>
  <w:num w:numId="6">
    <w:abstractNumId w:val="4"/>
  </w:num>
  <w:num w:numId="7">
    <w:abstractNumId w:val="13"/>
  </w:num>
  <w:num w:numId="8">
    <w:abstractNumId w:val="1"/>
  </w:num>
  <w:num w:numId="9">
    <w:abstractNumId w:val="5"/>
  </w:num>
  <w:num w:numId="10">
    <w:abstractNumId w:val="0"/>
  </w:num>
  <w:num w:numId="11">
    <w:abstractNumId w:val="18"/>
  </w:num>
  <w:num w:numId="12">
    <w:abstractNumId w:val="14"/>
  </w:num>
  <w:num w:numId="13">
    <w:abstractNumId w:val="10"/>
  </w:num>
  <w:num w:numId="14">
    <w:abstractNumId w:val="15"/>
  </w:num>
  <w:num w:numId="15">
    <w:abstractNumId w:val="11"/>
  </w:num>
  <w:num w:numId="16">
    <w:abstractNumId w:val="7"/>
  </w:num>
  <w:num w:numId="17">
    <w:abstractNumId w:val="16"/>
  </w:num>
  <w:num w:numId="18">
    <w:abstractNumId w:val="2"/>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834"/>
    <w:rsid w:val="00000F24"/>
    <w:rsid w:val="00001C8D"/>
    <w:rsid w:val="0000232C"/>
    <w:rsid w:val="000037F3"/>
    <w:rsid w:val="00003F42"/>
    <w:rsid w:val="000040E6"/>
    <w:rsid w:val="0000413E"/>
    <w:rsid w:val="0000624D"/>
    <w:rsid w:val="00006696"/>
    <w:rsid w:val="00007629"/>
    <w:rsid w:val="00007A75"/>
    <w:rsid w:val="00007F5D"/>
    <w:rsid w:val="00010EEB"/>
    <w:rsid w:val="00011C51"/>
    <w:rsid w:val="0001292E"/>
    <w:rsid w:val="0001383E"/>
    <w:rsid w:val="00014C8F"/>
    <w:rsid w:val="0001524B"/>
    <w:rsid w:val="00015CDC"/>
    <w:rsid w:val="000172BD"/>
    <w:rsid w:val="00017EE3"/>
    <w:rsid w:val="00020757"/>
    <w:rsid w:val="00020931"/>
    <w:rsid w:val="000215AD"/>
    <w:rsid w:val="00022393"/>
    <w:rsid w:val="00023B36"/>
    <w:rsid w:val="00024069"/>
    <w:rsid w:val="0002411B"/>
    <w:rsid w:val="00024A94"/>
    <w:rsid w:val="00027EE9"/>
    <w:rsid w:val="00030666"/>
    <w:rsid w:val="00030C4A"/>
    <w:rsid w:val="00030C8A"/>
    <w:rsid w:val="0003175A"/>
    <w:rsid w:val="00031B16"/>
    <w:rsid w:val="000321B1"/>
    <w:rsid w:val="0003231C"/>
    <w:rsid w:val="000324E1"/>
    <w:rsid w:val="00032DFD"/>
    <w:rsid w:val="00033127"/>
    <w:rsid w:val="0003317E"/>
    <w:rsid w:val="00033614"/>
    <w:rsid w:val="000338D9"/>
    <w:rsid w:val="00033C9B"/>
    <w:rsid w:val="00033D0A"/>
    <w:rsid w:val="00035964"/>
    <w:rsid w:val="00036D49"/>
    <w:rsid w:val="000402C3"/>
    <w:rsid w:val="0004067F"/>
    <w:rsid w:val="0004195F"/>
    <w:rsid w:val="00041C87"/>
    <w:rsid w:val="00043A91"/>
    <w:rsid w:val="00044818"/>
    <w:rsid w:val="00045837"/>
    <w:rsid w:val="00045AEB"/>
    <w:rsid w:val="00045E15"/>
    <w:rsid w:val="000465CC"/>
    <w:rsid w:val="0004660D"/>
    <w:rsid w:val="00046775"/>
    <w:rsid w:val="000477BD"/>
    <w:rsid w:val="00050AEA"/>
    <w:rsid w:val="000529A2"/>
    <w:rsid w:val="00052A46"/>
    <w:rsid w:val="000532AE"/>
    <w:rsid w:val="000533AA"/>
    <w:rsid w:val="00054B05"/>
    <w:rsid w:val="00055138"/>
    <w:rsid w:val="0005565F"/>
    <w:rsid w:val="0005620C"/>
    <w:rsid w:val="0005625B"/>
    <w:rsid w:val="00056463"/>
    <w:rsid w:val="00057925"/>
    <w:rsid w:val="000608B8"/>
    <w:rsid w:val="0006121E"/>
    <w:rsid w:val="0006155B"/>
    <w:rsid w:val="00062B83"/>
    <w:rsid w:val="000635D8"/>
    <w:rsid w:val="000636D5"/>
    <w:rsid w:val="00063D07"/>
    <w:rsid w:val="00063FF0"/>
    <w:rsid w:val="000647A7"/>
    <w:rsid w:val="00065839"/>
    <w:rsid w:val="0006590C"/>
    <w:rsid w:val="00065E15"/>
    <w:rsid w:val="00065ED6"/>
    <w:rsid w:val="00066D1D"/>
    <w:rsid w:val="0006730D"/>
    <w:rsid w:val="000673E4"/>
    <w:rsid w:val="000715BF"/>
    <w:rsid w:val="00072626"/>
    <w:rsid w:val="00072849"/>
    <w:rsid w:val="00072960"/>
    <w:rsid w:val="00072CF0"/>
    <w:rsid w:val="0007392C"/>
    <w:rsid w:val="00073938"/>
    <w:rsid w:val="00074565"/>
    <w:rsid w:val="00074DAB"/>
    <w:rsid w:val="000752BE"/>
    <w:rsid w:val="000761AF"/>
    <w:rsid w:val="00077545"/>
    <w:rsid w:val="000777EF"/>
    <w:rsid w:val="0007789F"/>
    <w:rsid w:val="00077BF9"/>
    <w:rsid w:val="00080012"/>
    <w:rsid w:val="0008079B"/>
    <w:rsid w:val="0008119B"/>
    <w:rsid w:val="000840CB"/>
    <w:rsid w:val="00084316"/>
    <w:rsid w:val="00084C61"/>
    <w:rsid w:val="00085AE3"/>
    <w:rsid w:val="00086683"/>
    <w:rsid w:val="00086C6E"/>
    <w:rsid w:val="00087989"/>
    <w:rsid w:val="00090013"/>
    <w:rsid w:val="00090352"/>
    <w:rsid w:val="00091E65"/>
    <w:rsid w:val="0009248E"/>
    <w:rsid w:val="0009264D"/>
    <w:rsid w:val="00092DA7"/>
    <w:rsid w:val="00093676"/>
    <w:rsid w:val="00093C4D"/>
    <w:rsid w:val="000947E1"/>
    <w:rsid w:val="00094B5B"/>
    <w:rsid w:val="00095542"/>
    <w:rsid w:val="00095DDB"/>
    <w:rsid w:val="00096A62"/>
    <w:rsid w:val="000970F6"/>
    <w:rsid w:val="00097A0E"/>
    <w:rsid w:val="00097F29"/>
    <w:rsid w:val="000A19A1"/>
    <w:rsid w:val="000A19A5"/>
    <w:rsid w:val="000A23BE"/>
    <w:rsid w:val="000A2809"/>
    <w:rsid w:val="000A3952"/>
    <w:rsid w:val="000A4449"/>
    <w:rsid w:val="000A467B"/>
    <w:rsid w:val="000A476B"/>
    <w:rsid w:val="000A48B0"/>
    <w:rsid w:val="000A56B5"/>
    <w:rsid w:val="000A56BB"/>
    <w:rsid w:val="000A58C8"/>
    <w:rsid w:val="000A6891"/>
    <w:rsid w:val="000A6D7E"/>
    <w:rsid w:val="000A6E8F"/>
    <w:rsid w:val="000A7C25"/>
    <w:rsid w:val="000B0764"/>
    <w:rsid w:val="000B0D55"/>
    <w:rsid w:val="000B2073"/>
    <w:rsid w:val="000B2233"/>
    <w:rsid w:val="000B22A0"/>
    <w:rsid w:val="000B2641"/>
    <w:rsid w:val="000B278E"/>
    <w:rsid w:val="000B2F2D"/>
    <w:rsid w:val="000B50E7"/>
    <w:rsid w:val="000B5453"/>
    <w:rsid w:val="000B59DB"/>
    <w:rsid w:val="000B601F"/>
    <w:rsid w:val="000B60BC"/>
    <w:rsid w:val="000B628D"/>
    <w:rsid w:val="000B6DC8"/>
    <w:rsid w:val="000B6EF6"/>
    <w:rsid w:val="000B75AD"/>
    <w:rsid w:val="000C00E9"/>
    <w:rsid w:val="000C057D"/>
    <w:rsid w:val="000C07E4"/>
    <w:rsid w:val="000C0EF4"/>
    <w:rsid w:val="000C134A"/>
    <w:rsid w:val="000C25D9"/>
    <w:rsid w:val="000C2872"/>
    <w:rsid w:val="000C3E36"/>
    <w:rsid w:val="000C3F8D"/>
    <w:rsid w:val="000C462C"/>
    <w:rsid w:val="000C46CE"/>
    <w:rsid w:val="000C4931"/>
    <w:rsid w:val="000C4C92"/>
    <w:rsid w:val="000C4EEA"/>
    <w:rsid w:val="000C631C"/>
    <w:rsid w:val="000C6579"/>
    <w:rsid w:val="000C6AB2"/>
    <w:rsid w:val="000C704D"/>
    <w:rsid w:val="000C7177"/>
    <w:rsid w:val="000C738C"/>
    <w:rsid w:val="000D04F0"/>
    <w:rsid w:val="000D0AA5"/>
    <w:rsid w:val="000D135D"/>
    <w:rsid w:val="000D1E2F"/>
    <w:rsid w:val="000D2184"/>
    <w:rsid w:val="000D24BC"/>
    <w:rsid w:val="000D2A16"/>
    <w:rsid w:val="000D2F41"/>
    <w:rsid w:val="000D317A"/>
    <w:rsid w:val="000D3381"/>
    <w:rsid w:val="000D4173"/>
    <w:rsid w:val="000D585A"/>
    <w:rsid w:val="000D5915"/>
    <w:rsid w:val="000D63A4"/>
    <w:rsid w:val="000D66B7"/>
    <w:rsid w:val="000D6F52"/>
    <w:rsid w:val="000E08D8"/>
    <w:rsid w:val="000E0A6A"/>
    <w:rsid w:val="000E0AF5"/>
    <w:rsid w:val="000E2535"/>
    <w:rsid w:val="000E2782"/>
    <w:rsid w:val="000E2B25"/>
    <w:rsid w:val="000E2BEF"/>
    <w:rsid w:val="000E37A5"/>
    <w:rsid w:val="000E38C7"/>
    <w:rsid w:val="000E3AB7"/>
    <w:rsid w:val="000E47DE"/>
    <w:rsid w:val="000E4EC4"/>
    <w:rsid w:val="000E63A4"/>
    <w:rsid w:val="000E7370"/>
    <w:rsid w:val="000E7ACD"/>
    <w:rsid w:val="000E7ED8"/>
    <w:rsid w:val="000F0A1C"/>
    <w:rsid w:val="000F13A3"/>
    <w:rsid w:val="000F25B3"/>
    <w:rsid w:val="000F2A60"/>
    <w:rsid w:val="000F3645"/>
    <w:rsid w:val="000F3C0D"/>
    <w:rsid w:val="000F4E2E"/>
    <w:rsid w:val="000F5524"/>
    <w:rsid w:val="000F5AD8"/>
    <w:rsid w:val="000F6A90"/>
    <w:rsid w:val="000F7DAB"/>
    <w:rsid w:val="001005B6"/>
    <w:rsid w:val="001012CF"/>
    <w:rsid w:val="00101922"/>
    <w:rsid w:val="001022A0"/>
    <w:rsid w:val="00102C40"/>
    <w:rsid w:val="00103E52"/>
    <w:rsid w:val="00104552"/>
    <w:rsid w:val="00104581"/>
    <w:rsid w:val="001046FA"/>
    <w:rsid w:val="00104BB4"/>
    <w:rsid w:val="00104C38"/>
    <w:rsid w:val="0010562B"/>
    <w:rsid w:val="00105728"/>
    <w:rsid w:val="00105A60"/>
    <w:rsid w:val="001060E6"/>
    <w:rsid w:val="0010675C"/>
    <w:rsid w:val="001069E3"/>
    <w:rsid w:val="00106A0F"/>
    <w:rsid w:val="00107454"/>
    <w:rsid w:val="00112527"/>
    <w:rsid w:val="0011302A"/>
    <w:rsid w:val="00113324"/>
    <w:rsid w:val="001138D5"/>
    <w:rsid w:val="00114571"/>
    <w:rsid w:val="0011464F"/>
    <w:rsid w:val="00114D42"/>
    <w:rsid w:val="00115E16"/>
    <w:rsid w:val="00116679"/>
    <w:rsid w:val="00116F76"/>
    <w:rsid w:val="001171AE"/>
    <w:rsid w:val="00117721"/>
    <w:rsid w:val="00120901"/>
    <w:rsid w:val="00120E86"/>
    <w:rsid w:val="001212D8"/>
    <w:rsid w:val="00121364"/>
    <w:rsid w:val="00122375"/>
    <w:rsid w:val="0012307E"/>
    <w:rsid w:val="00123327"/>
    <w:rsid w:val="00123768"/>
    <w:rsid w:val="001244CD"/>
    <w:rsid w:val="001246BF"/>
    <w:rsid w:val="001249A4"/>
    <w:rsid w:val="001255EA"/>
    <w:rsid w:val="001266F4"/>
    <w:rsid w:val="0012682A"/>
    <w:rsid w:val="00127688"/>
    <w:rsid w:val="001279B6"/>
    <w:rsid w:val="00127E3F"/>
    <w:rsid w:val="00131390"/>
    <w:rsid w:val="00131A4A"/>
    <w:rsid w:val="00131B4E"/>
    <w:rsid w:val="00131ECA"/>
    <w:rsid w:val="001327ED"/>
    <w:rsid w:val="00132A7C"/>
    <w:rsid w:val="00132D64"/>
    <w:rsid w:val="00134018"/>
    <w:rsid w:val="00134560"/>
    <w:rsid w:val="00134ECA"/>
    <w:rsid w:val="0013682F"/>
    <w:rsid w:val="00136DF1"/>
    <w:rsid w:val="001371D7"/>
    <w:rsid w:val="00137968"/>
    <w:rsid w:val="00137DBE"/>
    <w:rsid w:val="00140D76"/>
    <w:rsid w:val="001412F0"/>
    <w:rsid w:val="0014136B"/>
    <w:rsid w:val="00141684"/>
    <w:rsid w:val="001419BD"/>
    <w:rsid w:val="00141B59"/>
    <w:rsid w:val="00141B95"/>
    <w:rsid w:val="001425F9"/>
    <w:rsid w:val="001426A3"/>
    <w:rsid w:val="001433A8"/>
    <w:rsid w:val="00143AD0"/>
    <w:rsid w:val="00143AEA"/>
    <w:rsid w:val="00144B33"/>
    <w:rsid w:val="00145D7D"/>
    <w:rsid w:val="00146886"/>
    <w:rsid w:val="001469BF"/>
    <w:rsid w:val="00146B6C"/>
    <w:rsid w:val="001471C9"/>
    <w:rsid w:val="0015007F"/>
    <w:rsid w:val="001502C2"/>
    <w:rsid w:val="00150AEB"/>
    <w:rsid w:val="0015104E"/>
    <w:rsid w:val="00151AA0"/>
    <w:rsid w:val="001526C3"/>
    <w:rsid w:val="00153844"/>
    <w:rsid w:val="001549BE"/>
    <w:rsid w:val="001558EE"/>
    <w:rsid w:val="001562CD"/>
    <w:rsid w:val="0015633C"/>
    <w:rsid w:val="00156532"/>
    <w:rsid w:val="00156FD8"/>
    <w:rsid w:val="00157552"/>
    <w:rsid w:val="00157A58"/>
    <w:rsid w:val="00157BA8"/>
    <w:rsid w:val="00157DD8"/>
    <w:rsid w:val="001600E6"/>
    <w:rsid w:val="0016048D"/>
    <w:rsid w:val="001606A5"/>
    <w:rsid w:val="00161232"/>
    <w:rsid w:val="00162011"/>
    <w:rsid w:val="0016326D"/>
    <w:rsid w:val="00163FB5"/>
    <w:rsid w:val="00165158"/>
    <w:rsid w:val="00165D56"/>
    <w:rsid w:val="0016782E"/>
    <w:rsid w:val="00167F1D"/>
    <w:rsid w:val="001710B4"/>
    <w:rsid w:val="001717F2"/>
    <w:rsid w:val="001733F9"/>
    <w:rsid w:val="001734C4"/>
    <w:rsid w:val="0017518C"/>
    <w:rsid w:val="0017697D"/>
    <w:rsid w:val="0017717D"/>
    <w:rsid w:val="00177DA5"/>
    <w:rsid w:val="0018061E"/>
    <w:rsid w:val="00181C7A"/>
    <w:rsid w:val="00182AEB"/>
    <w:rsid w:val="001837C6"/>
    <w:rsid w:val="00184128"/>
    <w:rsid w:val="001847AA"/>
    <w:rsid w:val="001870A1"/>
    <w:rsid w:val="00187448"/>
    <w:rsid w:val="00187A31"/>
    <w:rsid w:val="00187DEE"/>
    <w:rsid w:val="00190B97"/>
    <w:rsid w:val="00190C31"/>
    <w:rsid w:val="001914B2"/>
    <w:rsid w:val="00192997"/>
    <w:rsid w:val="00193974"/>
    <w:rsid w:val="00194239"/>
    <w:rsid w:val="00194324"/>
    <w:rsid w:val="001944B8"/>
    <w:rsid w:val="00196A2A"/>
    <w:rsid w:val="00197E3A"/>
    <w:rsid w:val="001A0098"/>
    <w:rsid w:val="001A04A7"/>
    <w:rsid w:val="001A186C"/>
    <w:rsid w:val="001A1D74"/>
    <w:rsid w:val="001A3C57"/>
    <w:rsid w:val="001A3D08"/>
    <w:rsid w:val="001A490A"/>
    <w:rsid w:val="001A493F"/>
    <w:rsid w:val="001A4A3A"/>
    <w:rsid w:val="001A5556"/>
    <w:rsid w:val="001A5656"/>
    <w:rsid w:val="001A5757"/>
    <w:rsid w:val="001A5D60"/>
    <w:rsid w:val="001A7226"/>
    <w:rsid w:val="001A7476"/>
    <w:rsid w:val="001A7695"/>
    <w:rsid w:val="001A7B73"/>
    <w:rsid w:val="001B10FA"/>
    <w:rsid w:val="001B3A3E"/>
    <w:rsid w:val="001B3B08"/>
    <w:rsid w:val="001B3F98"/>
    <w:rsid w:val="001B4203"/>
    <w:rsid w:val="001B6266"/>
    <w:rsid w:val="001B6694"/>
    <w:rsid w:val="001C13B3"/>
    <w:rsid w:val="001C14E0"/>
    <w:rsid w:val="001C21A6"/>
    <w:rsid w:val="001C27B6"/>
    <w:rsid w:val="001C3585"/>
    <w:rsid w:val="001C5413"/>
    <w:rsid w:val="001C6054"/>
    <w:rsid w:val="001C7FC7"/>
    <w:rsid w:val="001D049A"/>
    <w:rsid w:val="001D04DE"/>
    <w:rsid w:val="001D35F8"/>
    <w:rsid w:val="001D36D2"/>
    <w:rsid w:val="001D3758"/>
    <w:rsid w:val="001D4212"/>
    <w:rsid w:val="001D4760"/>
    <w:rsid w:val="001D500A"/>
    <w:rsid w:val="001D56E2"/>
    <w:rsid w:val="001D5729"/>
    <w:rsid w:val="001D6482"/>
    <w:rsid w:val="001D6CA1"/>
    <w:rsid w:val="001E04F4"/>
    <w:rsid w:val="001E1414"/>
    <w:rsid w:val="001E141D"/>
    <w:rsid w:val="001E1E42"/>
    <w:rsid w:val="001E3D75"/>
    <w:rsid w:val="001E41E3"/>
    <w:rsid w:val="001E4233"/>
    <w:rsid w:val="001E50AB"/>
    <w:rsid w:val="001E5920"/>
    <w:rsid w:val="001E5FD0"/>
    <w:rsid w:val="001E6151"/>
    <w:rsid w:val="001E79C3"/>
    <w:rsid w:val="001F1EC9"/>
    <w:rsid w:val="001F25BD"/>
    <w:rsid w:val="001F2A56"/>
    <w:rsid w:val="001F3B90"/>
    <w:rsid w:val="001F43A6"/>
    <w:rsid w:val="001F517A"/>
    <w:rsid w:val="001F590F"/>
    <w:rsid w:val="001F63BC"/>
    <w:rsid w:val="001F661A"/>
    <w:rsid w:val="001F6728"/>
    <w:rsid w:val="001F67BB"/>
    <w:rsid w:val="001F7592"/>
    <w:rsid w:val="001F7B64"/>
    <w:rsid w:val="00200694"/>
    <w:rsid w:val="002019BE"/>
    <w:rsid w:val="00201EBE"/>
    <w:rsid w:val="00201FB6"/>
    <w:rsid w:val="002038D9"/>
    <w:rsid w:val="00203DA3"/>
    <w:rsid w:val="00204903"/>
    <w:rsid w:val="00204C7A"/>
    <w:rsid w:val="00204E7C"/>
    <w:rsid w:val="00205F55"/>
    <w:rsid w:val="002078F0"/>
    <w:rsid w:val="00210089"/>
    <w:rsid w:val="002100B6"/>
    <w:rsid w:val="00210E8A"/>
    <w:rsid w:val="0021170B"/>
    <w:rsid w:val="00211A49"/>
    <w:rsid w:val="00211CD6"/>
    <w:rsid w:val="002120D8"/>
    <w:rsid w:val="002130CE"/>
    <w:rsid w:val="002133D4"/>
    <w:rsid w:val="002139B9"/>
    <w:rsid w:val="00213B49"/>
    <w:rsid w:val="00214A7A"/>
    <w:rsid w:val="00214B62"/>
    <w:rsid w:val="00215F0F"/>
    <w:rsid w:val="00216A27"/>
    <w:rsid w:val="002172BE"/>
    <w:rsid w:val="00217467"/>
    <w:rsid w:val="00217823"/>
    <w:rsid w:val="00217D9F"/>
    <w:rsid w:val="0022184D"/>
    <w:rsid w:val="00221983"/>
    <w:rsid w:val="0022295A"/>
    <w:rsid w:val="002231B9"/>
    <w:rsid w:val="00223C54"/>
    <w:rsid w:val="00224BF2"/>
    <w:rsid w:val="00224BF9"/>
    <w:rsid w:val="0022641A"/>
    <w:rsid w:val="002269F9"/>
    <w:rsid w:val="002272E1"/>
    <w:rsid w:val="0022760C"/>
    <w:rsid w:val="0023045C"/>
    <w:rsid w:val="0023073C"/>
    <w:rsid w:val="00230A63"/>
    <w:rsid w:val="00231053"/>
    <w:rsid w:val="0023202E"/>
    <w:rsid w:val="00232F4D"/>
    <w:rsid w:val="002331AF"/>
    <w:rsid w:val="00234893"/>
    <w:rsid w:val="00234E54"/>
    <w:rsid w:val="00234E96"/>
    <w:rsid w:val="0023561B"/>
    <w:rsid w:val="002374AF"/>
    <w:rsid w:val="00237B09"/>
    <w:rsid w:val="00240610"/>
    <w:rsid w:val="0024072E"/>
    <w:rsid w:val="00240E9E"/>
    <w:rsid w:val="00241C4B"/>
    <w:rsid w:val="002421DE"/>
    <w:rsid w:val="0024249C"/>
    <w:rsid w:val="00242DD5"/>
    <w:rsid w:val="002438F1"/>
    <w:rsid w:val="002439AC"/>
    <w:rsid w:val="00243A2C"/>
    <w:rsid w:val="00244AEA"/>
    <w:rsid w:val="00246699"/>
    <w:rsid w:val="00246978"/>
    <w:rsid w:val="00246F90"/>
    <w:rsid w:val="00247742"/>
    <w:rsid w:val="002477DA"/>
    <w:rsid w:val="00247FE8"/>
    <w:rsid w:val="00250620"/>
    <w:rsid w:val="002519EB"/>
    <w:rsid w:val="00253EF2"/>
    <w:rsid w:val="002540C8"/>
    <w:rsid w:val="00254589"/>
    <w:rsid w:val="0025577E"/>
    <w:rsid w:val="0025596A"/>
    <w:rsid w:val="0025634B"/>
    <w:rsid w:val="00256E11"/>
    <w:rsid w:val="00257587"/>
    <w:rsid w:val="002602B6"/>
    <w:rsid w:val="00260716"/>
    <w:rsid w:val="00260C70"/>
    <w:rsid w:val="00261FBE"/>
    <w:rsid w:val="00262546"/>
    <w:rsid w:val="002638AB"/>
    <w:rsid w:val="00263C33"/>
    <w:rsid w:val="002642BE"/>
    <w:rsid w:val="00264CB8"/>
    <w:rsid w:val="00264D53"/>
    <w:rsid w:val="002659C1"/>
    <w:rsid w:val="00267F78"/>
    <w:rsid w:val="002701C0"/>
    <w:rsid w:val="00270A6A"/>
    <w:rsid w:val="00271081"/>
    <w:rsid w:val="0027148D"/>
    <w:rsid w:val="00271784"/>
    <w:rsid w:val="00271ABB"/>
    <w:rsid w:val="00271CCA"/>
    <w:rsid w:val="002725F6"/>
    <w:rsid w:val="00272D15"/>
    <w:rsid w:val="00274D1B"/>
    <w:rsid w:val="00275375"/>
    <w:rsid w:val="00275625"/>
    <w:rsid w:val="00275738"/>
    <w:rsid w:val="002764AD"/>
    <w:rsid w:val="00276548"/>
    <w:rsid w:val="00277EB4"/>
    <w:rsid w:val="00277F2C"/>
    <w:rsid w:val="00280A68"/>
    <w:rsid w:val="002816D3"/>
    <w:rsid w:val="002828AF"/>
    <w:rsid w:val="0028372D"/>
    <w:rsid w:val="00284735"/>
    <w:rsid w:val="00284D64"/>
    <w:rsid w:val="0028603A"/>
    <w:rsid w:val="00286448"/>
    <w:rsid w:val="0028775B"/>
    <w:rsid w:val="0029019F"/>
    <w:rsid w:val="00290C00"/>
    <w:rsid w:val="00290EF3"/>
    <w:rsid w:val="002910F3"/>
    <w:rsid w:val="002911C7"/>
    <w:rsid w:val="00291324"/>
    <w:rsid w:val="00291D4B"/>
    <w:rsid w:val="002921CE"/>
    <w:rsid w:val="00292C26"/>
    <w:rsid w:val="002934DA"/>
    <w:rsid w:val="002936C9"/>
    <w:rsid w:val="00295A7F"/>
    <w:rsid w:val="0029634C"/>
    <w:rsid w:val="00297A18"/>
    <w:rsid w:val="002A12BA"/>
    <w:rsid w:val="002A146B"/>
    <w:rsid w:val="002A1D39"/>
    <w:rsid w:val="002A2DFA"/>
    <w:rsid w:val="002A343E"/>
    <w:rsid w:val="002A3748"/>
    <w:rsid w:val="002A414D"/>
    <w:rsid w:val="002A5C51"/>
    <w:rsid w:val="002A7041"/>
    <w:rsid w:val="002A716E"/>
    <w:rsid w:val="002A748F"/>
    <w:rsid w:val="002A76ED"/>
    <w:rsid w:val="002B0020"/>
    <w:rsid w:val="002B07E2"/>
    <w:rsid w:val="002B0B1B"/>
    <w:rsid w:val="002B0B74"/>
    <w:rsid w:val="002B199F"/>
    <w:rsid w:val="002B1A13"/>
    <w:rsid w:val="002B2119"/>
    <w:rsid w:val="002B2767"/>
    <w:rsid w:val="002B2A96"/>
    <w:rsid w:val="002B2C96"/>
    <w:rsid w:val="002B2F39"/>
    <w:rsid w:val="002B42A4"/>
    <w:rsid w:val="002B4388"/>
    <w:rsid w:val="002B5475"/>
    <w:rsid w:val="002B6166"/>
    <w:rsid w:val="002B62AB"/>
    <w:rsid w:val="002B6386"/>
    <w:rsid w:val="002B675E"/>
    <w:rsid w:val="002B7C9D"/>
    <w:rsid w:val="002C0832"/>
    <w:rsid w:val="002C1396"/>
    <w:rsid w:val="002C1491"/>
    <w:rsid w:val="002C1E3B"/>
    <w:rsid w:val="002C3A23"/>
    <w:rsid w:val="002C3DD3"/>
    <w:rsid w:val="002C4436"/>
    <w:rsid w:val="002C45B9"/>
    <w:rsid w:val="002C48BA"/>
    <w:rsid w:val="002C51C4"/>
    <w:rsid w:val="002C683C"/>
    <w:rsid w:val="002C6E3C"/>
    <w:rsid w:val="002C75BC"/>
    <w:rsid w:val="002D0495"/>
    <w:rsid w:val="002D0A36"/>
    <w:rsid w:val="002D1070"/>
    <w:rsid w:val="002D1396"/>
    <w:rsid w:val="002D15A8"/>
    <w:rsid w:val="002D1CCB"/>
    <w:rsid w:val="002D2892"/>
    <w:rsid w:val="002D29CD"/>
    <w:rsid w:val="002D2EB4"/>
    <w:rsid w:val="002D45D6"/>
    <w:rsid w:val="002D6A06"/>
    <w:rsid w:val="002E00CF"/>
    <w:rsid w:val="002E04CD"/>
    <w:rsid w:val="002E0942"/>
    <w:rsid w:val="002E2BC5"/>
    <w:rsid w:val="002E3691"/>
    <w:rsid w:val="002E3E14"/>
    <w:rsid w:val="002E461B"/>
    <w:rsid w:val="002E4F72"/>
    <w:rsid w:val="002E5295"/>
    <w:rsid w:val="002E5B24"/>
    <w:rsid w:val="002E6129"/>
    <w:rsid w:val="002E61CA"/>
    <w:rsid w:val="002E6562"/>
    <w:rsid w:val="002E6C6E"/>
    <w:rsid w:val="002E7C90"/>
    <w:rsid w:val="002F0172"/>
    <w:rsid w:val="002F0217"/>
    <w:rsid w:val="002F1494"/>
    <w:rsid w:val="002F183E"/>
    <w:rsid w:val="002F2232"/>
    <w:rsid w:val="002F2851"/>
    <w:rsid w:val="002F329F"/>
    <w:rsid w:val="002F3468"/>
    <w:rsid w:val="002F3E33"/>
    <w:rsid w:val="002F4724"/>
    <w:rsid w:val="002F4CCF"/>
    <w:rsid w:val="002F5284"/>
    <w:rsid w:val="002F52BE"/>
    <w:rsid w:val="002F765E"/>
    <w:rsid w:val="00300FE1"/>
    <w:rsid w:val="00301338"/>
    <w:rsid w:val="0030146B"/>
    <w:rsid w:val="003034F2"/>
    <w:rsid w:val="0030380F"/>
    <w:rsid w:val="003057A2"/>
    <w:rsid w:val="00305F86"/>
    <w:rsid w:val="00306587"/>
    <w:rsid w:val="00307208"/>
    <w:rsid w:val="003079A3"/>
    <w:rsid w:val="0031008D"/>
    <w:rsid w:val="003118AF"/>
    <w:rsid w:val="0031289B"/>
    <w:rsid w:val="00312AD1"/>
    <w:rsid w:val="00312E74"/>
    <w:rsid w:val="003137DE"/>
    <w:rsid w:val="0031487A"/>
    <w:rsid w:val="00314AF2"/>
    <w:rsid w:val="00316334"/>
    <w:rsid w:val="00316D9F"/>
    <w:rsid w:val="0031710A"/>
    <w:rsid w:val="00317771"/>
    <w:rsid w:val="00320752"/>
    <w:rsid w:val="00320A24"/>
    <w:rsid w:val="00321905"/>
    <w:rsid w:val="00321B39"/>
    <w:rsid w:val="00322E9B"/>
    <w:rsid w:val="00322F01"/>
    <w:rsid w:val="00323494"/>
    <w:rsid w:val="003236B4"/>
    <w:rsid w:val="00323C63"/>
    <w:rsid w:val="00324852"/>
    <w:rsid w:val="00324E16"/>
    <w:rsid w:val="003250AA"/>
    <w:rsid w:val="003259BD"/>
    <w:rsid w:val="00325E89"/>
    <w:rsid w:val="0032634B"/>
    <w:rsid w:val="003268F0"/>
    <w:rsid w:val="00327218"/>
    <w:rsid w:val="00327358"/>
    <w:rsid w:val="003279D9"/>
    <w:rsid w:val="00330C6F"/>
    <w:rsid w:val="00331F67"/>
    <w:rsid w:val="00332F21"/>
    <w:rsid w:val="003345AD"/>
    <w:rsid w:val="00334A38"/>
    <w:rsid w:val="00335248"/>
    <w:rsid w:val="0033550F"/>
    <w:rsid w:val="00335C00"/>
    <w:rsid w:val="0033630A"/>
    <w:rsid w:val="00336802"/>
    <w:rsid w:val="00336979"/>
    <w:rsid w:val="00336A3D"/>
    <w:rsid w:val="00337059"/>
    <w:rsid w:val="00337EFA"/>
    <w:rsid w:val="00340A66"/>
    <w:rsid w:val="00340F05"/>
    <w:rsid w:val="00341268"/>
    <w:rsid w:val="0034327A"/>
    <w:rsid w:val="00343EFA"/>
    <w:rsid w:val="00344296"/>
    <w:rsid w:val="003448A6"/>
    <w:rsid w:val="00344F1C"/>
    <w:rsid w:val="00344F8B"/>
    <w:rsid w:val="00345B46"/>
    <w:rsid w:val="00345E97"/>
    <w:rsid w:val="00351A50"/>
    <w:rsid w:val="0035263F"/>
    <w:rsid w:val="0035322B"/>
    <w:rsid w:val="003532F5"/>
    <w:rsid w:val="003538D7"/>
    <w:rsid w:val="00355039"/>
    <w:rsid w:val="0035504F"/>
    <w:rsid w:val="00355841"/>
    <w:rsid w:val="00355AFF"/>
    <w:rsid w:val="0035636F"/>
    <w:rsid w:val="00356B7F"/>
    <w:rsid w:val="00357134"/>
    <w:rsid w:val="0035719A"/>
    <w:rsid w:val="00357525"/>
    <w:rsid w:val="00357584"/>
    <w:rsid w:val="00360429"/>
    <w:rsid w:val="003605DE"/>
    <w:rsid w:val="00360D6E"/>
    <w:rsid w:val="003611E3"/>
    <w:rsid w:val="00362285"/>
    <w:rsid w:val="00362309"/>
    <w:rsid w:val="00362C6E"/>
    <w:rsid w:val="003636F0"/>
    <w:rsid w:val="00364764"/>
    <w:rsid w:val="00364B1F"/>
    <w:rsid w:val="00364F8C"/>
    <w:rsid w:val="00365C69"/>
    <w:rsid w:val="0036758E"/>
    <w:rsid w:val="00367B4C"/>
    <w:rsid w:val="00367B53"/>
    <w:rsid w:val="00370617"/>
    <w:rsid w:val="00370D57"/>
    <w:rsid w:val="00370FF5"/>
    <w:rsid w:val="00371913"/>
    <w:rsid w:val="00373C3B"/>
    <w:rsid w:val="003741C1"/>
    <w:rsid w:val="0037471D"/>
    <w:rsid w:val="00374B66"/>
    <w:rsid w:val="00375578"/>
    <w:rsid w:val="00375703"/>
    <w:rsid w:val="00375708"/>
    <w:rsid w:val="00375DB5"/>
    <w:rsid w:val="00376CF2"/>
    <w:rsid w:val="003771E0"/>
    <w:rsid w:val="003774E4"/>
    <w:rsid w:val="00377633"/>
    <w:rsid w:val="00377A96"/>
    <w:rsid w:val="00380427"/>
    <w:rsid w:val="00380E48"/>
    <w:rsid w:val="003823F4"/>
    <w:rsid w:val="003826E4"/>
    <w:rsid w:val="0038284C"/>
    <w:rsid w:val="003834BC"/>
    <w:rsid w:val="003835D4"/>
    <w:rsid w:val="00383D43"/>
    <w:rsid w:val="0038469A"/>
    <w:rsid w:val="00385544"/>
    <w:rsid w:val="00386560"/>
    <w:rsid w:val="00386675"/>
    <w:rsid w:val="00386834"/>
    <w:rsid w:val="00387220"/>
    <w:rsid w:val="00387327"/>
    <w:rsid w:val="00387693"/>
    <w:rsid w:val="0039014A"/>
    <w:rsid w:val="0039023A"/>
    <w:rsid w:val="003904DE"/>
    <w:rsid w:val="003924F3"/>
    <w:rsid w:val="0039255C"/>
    <w:rsid w:val="00392BB7"/>
    <w:rsid w:val="00392CE2"/>
    <w:rsid w:val="00393011"/>
    <w:rsid w:val="00393B57"/>
    <w:rsid w:val="00393C84"/>
    <w:rsid w:val="00393D79"/>
    <w:rsid w:val="00394D23"/>
    <w:rsid w:val="00395C1E"/>
    <w:rsid w:val="00395FCD"/>
    <w:rsid w:val="00396049"/>
    <w:rsid w:val="00396527"/>
    <w:rsid w:val="00396F3E"/>
    <w:rsid w:val="00397CF1"/>
    <w:rsid w:val="003A27E2"/>
    <w:rsid w:val="003A2B1D"/>
    <w:rsid w:val="003A32F7"/>
    <w:rsid w:val="003A42CC"/>
    <w:rsid w:val="003A547D"/>
    <w:rsid w:val="003A75A3"/>
    <w:rsid w:val="003A7673"/>
    <w:rsid w:val="003B01E5"/>
    <w:rsid w:val="003B06DC"/>
    <w:rsid w:val="003B0812"/>
    <w:rsid w:val="003B0CB0"/>
    <w:rsid w:val="003B0D07"/>
    <w:rsid w:val="003B0E6B"/>
    <w:rsid w:val="003B14A3"/>
    <w:rsid w:val="003B14DC"/>
    <w:rsid w:val="003B202A"/>
    <w:rsid w:val="003B24C9"/>
    <w:rsid w:val="003B31E7"/>
    <w:rsid w:val="003B32CF"/>
    <w:rsid w:val="003B3AAB"/>
    <w:rsid w:val="003B3BDF"/>
    <w:rsid w:val="003B5265"/>
    <w:rsid w:val="003B573F"/>
    <w:rsid w:val="003B5BCF"/>
    <w:rsid w:val="003B656F"/>
    <w:rsid w:val="003B7B1E"/>
    <w:rsid w:val="003C04C9"/>
    <w:rsid w:val="003C0B3B"/>
    <w:rsid w:val="003C0C77"/>
    <w:rsid w:val="003C0E8F"/>
    <w:rsid w:val="003C16EC"/>
    <w:rsid w:val="003C21D4"/>
    <w:rsid w:val="003C2544"/>
    <w:rsid w:val="003C2F2D"/>
    <w:rsid w:val="003C39B7"/>
    <w:rsid w:val="003C3D1F"/>
    <w:rsid w:val="003C6038"/>
    <w:rsid w:val="003C607E"/>
    <w:rsid w:val="003C6DA9"/>
    <w:rsid w:val="003C7037"/>
    <w:rsid w:val="003D0133"/>
    <w:rsid w:val="003D0EBE"/>
    <w:rsid w:val="003D2E5D"/>
    <w:rsid w:val="003D4560"/>
    <w:rsid w:val="003D59E8"/>
    <w:rsid w:val="003D5EF7"/>
    <w:rsid w:val="003D5F9A"/>
    <w:rsid w:val="003D65D0"/>
    <w:rsid w:val="003D6738"/>
    <w:rsid w:val="003D6BA2"/>
    <w:rsid w:val="003D6F39"/>
    <w:rsid w:val="003E011E"/>
    <w:rsid w:val="003E0A8C"/>
    <w:rsid w:val="003E1052"/>
    <w:rsid w:val="003E10CE"/>
    <w:rsid w:val="003E13D5"/>
    <w:rsid w:val="003E1E84"/>
    <w:rsid w:val="003E2AB4"/>
    <w:rsid w:val="003E362E"/>
    <w:rsid w:val="003E37A9"/>
    <w:rsid w:val="003E3D5B"/>
    <w:rsid w:val="003E409E"/>
    <w:rsid w:val="003E49E9"/>
    <w:rsid w:val="003E4A40"/>
    <w:rsid w:val="003E514E"/>
    <w:rsid w:val="003E579D"/>
    <w:rsid w:val="003E5B38"/>
    <w:rsid w:val="003E5F2B"/>
    <w:rsid w:val="003E6443"/>
    <w:rsid w:val="003E66FB"/>
    <w:rsid w:val="003E6892"/>
    <w:rsid w:val="003E6FE7"/>
    <w:rsid w:val="003E7735"/>
    <w:rsid w:val="003F0B57"/>
    <w:rsid w:val="003F0E22"/>
    <w:rsid w:val="003F12BC"/>
    <w:rsid w:val="003F175A"/>
    <w:rsid w:val="003F23C1"/>
    <w:rsid w:val="003F327F"/>
    <w:rsid w:val="003F387D"/>
    <w:rsid w:val="003F4B97"/>
    <w:rsid w:val="003F5F1D"/>
    <w:rsid w:val="003F7C4F"/>
    <w:rsid w:val="00400474"/>
    <w:rsid w:val="00400B03"/>
    <w:rsid w:val="00400B80"/>
    <w:rsid w:val="004010A4"/>
    <w:rsid w:val="004018A6"/>
    <w:rsid w:val="00401E3B"/>
    <w:rsid w:val="00402DDE"/>
    <w:rsid w:val="00403480"/>
    <w:rsid w:val="00404DA6"/>
    <w:rsid w:val="0040746D"/>
    <w:rsid w:val="00410A4E"/>
    <w:rsid w:val="00410F96"/>
    <w:rsid w:val="004110D0"/>
    <w:rsid w:val="004117F3"/>
    <w:rsid w:val="00411A19"/>
    <w:rsid w:val="00411B55"/>
    <w:rsid w:val="00411BC5"/>
    <w:rsid w:val="00413141"/>
    <w:rsid w:val="0041384B"/>
    <w:rsid w:val="0041391E"/>
    <w:rsid w:val="00414977"/>
    <w:rsid w:val="0041517F"/>
    <w:rsid w:val="00415275"/>
    <w:rsid w:val="00415321"/>
    <w:rsid w:val="00415742"/>
    <w:rsid w:val="004159E4"/>
    <w:rsid w:val="00417495"/>
    <w:rsid w:val="004176AF"/>
    <w:rsid w:val="004176FE"/>
    <w:rsid w:val="00417F3F"/>
    <w:rsid w:val="004225FC"/>
    <w:rsid w:val="004226FA"/>
    <w:rsid w:val="00423EC2"/>
    <w:rsid w:val="004261DE"/>
    <w:rsid w:val="004265A5"/>
    <w:rsid w:val="0042669F"/>
    <w:rsid w:val="00426935"/>
    <w:rsid w:val="00427145"/>
    <w:rsid w:val="00427401"/>
    <w:rsid w:val="0042777D"/>
    <w:rsid w:val="004300B4"/>
    <w:rsid w:val="00430671"/>
    <w:rsid w:val="00430943"/>
    <w:rsid w:val="00431108"/>
    <w:rsid w:val="00431401"/>
    <w:rsid w:val="00432273"/>
    <w:rsid w:val="00432AB4"/>
    <w:rsid w:val="00432C7F"/>
    <w:rsid w:val="0043350C"/>
    <w:rsid w:val="004343CB"/>
    <w:rsid w:val="004343E3"/>
    <w:rsid w:val="00434461"/>
    <w:rsid w:val="00434661"/>
    <w:rsid w:val="00434DD9"/>
    <w:rsid w:val="0043599A"/>
    <w:rsid w:val="00435C48"/>
    <w:rsid w:val="00436E5E"/>
    <w:rsid w:val="004370A6"/>
    <w:rsid w:val="004376D6"/>
    <w:rsid w:val="00437DA8"/>
    <w:rsid w:val="00437DCE"/>
    <w:rsid w:val="00437E4C"/>
    <w:rsid w:val="00440035"/>
    <w:rsid w:val="0044016B"/>
    <w:rsid w:val="004404F7"/>
    <w:rsid w:val="004407A4"/>
    <w:rsid w:val="00440A77"/>
    <w:rsid w:val="00443650"/>
    <w:rsid w:val="00443959"/>
    <w:rsid w:val="00443A96"/>
    <w:rsid w:val="004443A3"/>
    <w:rsid w:val="004446C4"/>
    <w:rsid w:val="00444941"/>
    <w:rsid w:val="00444AF4"/>
    <w:rsid w:val="00445ABE"/>
    <w:rsid w:val="00445ADF"/>
    <w:rsid w:val="004464DE"/>
    <w:rsid w:val="004472FE"/>
    <w:rsid w:val="0044756A"/>
    <w:rsid w:val="0044785E"/>
    <w:rsid w:val="004478E2"/>
    <w:rsid w:val="00447C3E"/>
    <w:rsid w:val="0045012C"/>
    <w:rsid w:val="0045021F"/>
    <w:rsid w:val="00450414"/>
    <w:rsid w:val="00450934"/>
    <w:rsid w:val="00451B68"/>
    <w:rsid w:val="00451CE5"/>
    <w:rsid w:val="0045205E"/>
    <w:rsid w:val="0045322F"/>
    <w:rsid w:val="0045330A"/>
    <w:rsid w:val="00453B16"/>
    <w:rsid w:val="004545C9"/>
    <w:rsid w:val="0045552F"/>
    <w:rsid w:val="00455B50"/>
    <w:rsid w:val="00456017"/>
    <w:rsid w:val="0045623B"/>
    <w:rsid w:val="004568F2"/>
    <w:rsid w:val="00460407"/>
    <w:rsid w:val="0046123A"/>
    <w:rsid w:val="0046342C"/>
    <w:rsid w:val="00463515"/>
    <w:rsid w:val="00463870"/>
    <w:rsid w:val="004639D1"/>
    <w:rsid w:val="00465427"/>
    <w:rsid w:val="00465812"/>
    <w:rsid w:val="0046650B"/>
    <w:rsid w:val="00466C99"/>
    <w:rsid w:val="0046717D"/>
    <w:rsid w:val="00470966"/>
    <w:rsid w:val="00470982"/>
    <w:rsid w:val="00470CF4"/>
    <w:rsid w:val="004713CF"/>
    <w:rsid w:val="004738D9"/>
    <w:rsid w:val="0047456B"/>
    <w:rsid w:val="00475800"/>
    <w:rsid w:val="00475DFB"/>
    <w:rsid w:val="00476408"/>
    <w:rsid w:val="0047649E"/>
    <w:rsid w:val="00476A93"/>
    <w:rsid w:val="004772ED"/>
    <w:rsid w:val="00477AE8"/>
    <w:rsid w:val="0048028C"/>
    <w:rsid w:val="00481006"/>
    <w:rsid w:val="004810A3"/>
    <w:rsid w:val="00481CF7"/>
    <w:rsid w:val="00482218"/>
    <w:rsid w:val="004829DD"/>
    <w:rsid w:val="00482B9D"/>
    <w:rsid w:val="0048310B"/>
    <w:rsid w:val="00483BD7"/>
    <w:rsid w:val="0048450A"/>
    <w:rsid w:val="004851D3"/>
    <w:rsid w:val="004866BE"/>
    <w:rsid w:val="00486FF5"/>
    <w:rsid w:val="00490987"/>
    <w:rsid w:val="00490A13"/>
    <w:rsid w:val="0049168C"/>
    <w:rsid w:val="00491920"/>
    <w:rsid w:val="00491A68"/>
    <w:rsid w:val="00491CE4"/>
    <w:rsid w:val="00492203"/>
    <w:rsid w:val="004925A2"/>
    <w:rsid w:val="004930A8"/>
    <w:rsid w:val="00494467"/>
    <w:rsid w:val="004946A1"/>
    <w:rsid w:val="004948A8"/>
    <w:rsid w:val="00494D83"/>
    <w:rsid w:val="004957B6"/>
    <w:rsid w:val="00496416"/>
    <w:rsid w:val="004965EE"/>
    <w:rsid w:val="0049793D"/>
    <w:rsid w:val="00497CC4"/>
    <w:rsid w:val="004A20D5"/>
    <w:rsid w:val="004A263D"/>
    <w:rsid w:val="004A2F45"/>
    <w:rsid w:val="004A39E0"/>
    <w:rsid w:val="004A3B62"/>
    <w:rsid w:val="004A4D6A"/>
    <w:rsid w:val="004A4F44"/>
    <w:rsid w:val="004A7907"/>
    <w:rsid w:val="004A7A80"/>
    <w:rsid w:val="004B0351"/>
    <w:rsid w:val="004B047B"/>
    <w:rsid w:val="004B083A"/>
    <w:rsid w:val="004B28AC"/>
    <w:rsid w:val="004B3814"/>
    <w:rsid w:val="004B3F11"/>
    <w:rsid w:val="004B4007"/>
    <w:rsid w:val="004B463E"/>
    <w:rsid w:val="004B6219"/>
    <w:rsid w:val="004B6E6A"/>
    <w:rsid w:val="004B7111"/>
    <w:rsid w:val="004B73FC"/>
    <w:rsid w:val="004B743C"/>
    <w:rsid w:val="004B75A4"/>
    <w:rsid w:val="004B7A60"/>
    <w:rsid w:val="004C0014"/>
    <w:rsid w:val="004C0ECC"/>
    <w:rsid w:val="004C3D0E"/>
    <w:rsid w:val="004C463B"/>
    <w:rsid w:val="004C5D38"/>
    <w:rsid w:val="004C660F"/>
    <w:rsid w:val="004C666E"/>
    <w:rsid w:val="004C6AB0"/>
    <w:rsid w:val="004D0F07"/>
    <w:rsid w:val="004D1B13"/>
    <w:rsid w:val="004D28FD"/>
    <w:rsid w:val="004D5931"/>
    <w:rsid w:val="004D5A48"/>
    <w:rsid w:val="004D5B1F"/>
    <w:rsid w:val="004D6CD3"/>
    <w:rsid w:val="004D6D62"/>
    <w:rsid w:val="004D6DBE"/>
    <w:rsid w:val="004D75B9"/>
    <w:rsid w:val="004D7D26"/>
    <w:rsid w:val="004E02EF"/>
    <w:rsid w:val="004E109D"/>
    <w:rsid w:val="004E1334"/>
    <w:rsid w:val="004E180F"/>
    <w:rsid w:val="004E1F83"/>
    <w:rsid w:val="004E2266"/>
    <w:rsid w:val="004E22BF"/>
    <w:rsid w:val="004E4FB9"/>
    <w:rsid w:val="004E5E15"/>
    <w:rsid w:val="004E6194"/>
    <w:rsid w:val="004E6FD3"/>
    <w:rsid w:val="004E77BE"/>
    <w:rsid w:val="004F07FF"/>
    <w:rsid w:val="004F0972"/>
    <w:rsid w:val="004F1DA6"/>
    <w:rsid w:val="004F274D"/>
    <w:rsid w:val="004F3916"/>
    <w:rsid w:val="004F4536"/>
    <w:rsid w:val="004F4C1E"/>
    <w:rsid w:val="004F50EF"/>
    <w:rsid w:val="004F61DD"/>
    <w:rsid w:val="004F68EC"/>
    <w:rsid w:val="004F6B09"/>
    <w:rsid w:val="004F7159"/>
    <w:rsid w:val="004F7B26"/>
    <w:rsid w:val="004F7C56"/>
    <w:rsid w:val="004F7F91"/>
    <w:rsid w:val="00500129"/>
    <w:rsid w:val="005001CF"/>
    <w:rsid w:val="005017B6"/>
    <w:rsid w:val="00501B7D"/>
    <w:rsid w:val="005040DC"/>
    <w:rsid w:val="0050446F"/>
    <w:rsid w:val="00504DDB"/>
    <w:rsid w:val="0050526F"/>
    <w:rsid w:val="00505B1B"/>
    <w:rsid w:val="00506261"/>
    <w:rsid w:val="005064BD"/>
    <w:rsid w:val="00506EC7"/>
    <w:rsid w:val="00507266"/>
    <w:rsid w:val="00507384"/>
    <w:rsid w:val="00507C6B"/>
    <w:rsid w:val="00510FAE"/>
    <w:rsid w:val="00512445"/>
    <w:rsid w:val="00512506"/>
    <w:rsid w:val="00512B53"/>
    <w:rsid w:val="00512D7F"/>
    <w:rsid w:val="0051322A"/>
    <w:rsid w:val="0051503B"/>
    <w:rsid w:val="00515B6A"/>
    <w:rsid w:val="00515C99"/>
    <w:rsid w:val="00515F63"/>
    <w:rsid w:val="0051723E"/>
    <w:rsid w:val="005177D7"/>
    <w:rsid w:val="00517A92"/>
    <w:rsid w:val="0052119F"/>
    <w:rsid w:val="005229A1"/>
    <w:rsid w:val="00522A55"/>
    <w:rsid w:val="005238F2"/>
    <w:rsid w:val="00523B59"/>
    <w:rsid w:val="00524162"/>
    <w:rsid w:val="0052444B"/>
    <w:rsid w:val="00524543"/>
    <w:rsid w:val="00525D5C"/>
    <w:rsid w:val="005261DB"/>
    <w:rsid w:val="00526B16"/>
    <w:rsid w:val="00526FDD"/>
    <w:rsid w:val="00530196"/>
    <w:rsid w:val="005329B7"/>
    <w:rsid w:val="00532EAB"/>
    <w:rsid w:val="00534D82"/>
    <w:rsid w:val="00534FB0"/>
    <w:rsid w:val="005351F5"/>
    <w:rsid w:val="0053568F"/>
    <w:rsid w:val="00535981"/>
    <w:rsid w:val="00535B6B"/>
    <w:rsid w:val="00536474"/>
    <w:rsid w:val="00537EDE"/>
    <w:rsid w:val="005401AD"/>
    <w:rsid w:val="005411DE"/>
    <w:rsid w:val="00541CC4"/>
    <w:rsid w:val="00544E46"/>
    <w:rsid w:val="00545A26"/>
    <w:rsid w:val="00545F5A"/>
    <w:rsid w:val="0054603C"/>
    <w:rsid w:val="005466FD"/>
    <w:rsid w:val="00546DB5"/>
    <w:rsid w:val="00547AB8"/>
    <w:rsid w:val="0055167A"/>
    <w:rsid w:val="0055209E"/>
    <w:rsid w:val="0055396C"/>
    <w:rsid w:val="00553C31"/>
    <w:rsid w:val="00554D3F"/>
    <w:rsid w:val="0055530A"/>
    <w:rsid w:val="005570AC"/>
    <w:rsid w:val="0055798B"/>
    <w:rsid w:val="00560E48"/>
    <w:rsid w:val="005621F3"/>
    <w:rsid w:val="00562D1D"/>
    <w:rsid w:val="00563DF0"/>
    <w:rsid w:val="00563EB3"/>
    <w:rsid w:val="00564159"/>
    <w:rsid w:val="005644AD"/>
    <w:rsid w:val="005646A8"/>
    <w:rsid w:val="00564A90"/>
    <w:rsid w:val="00564B6F"/>
    <w:rsid w:val="005654E4"/>
    <w:rsid w:val="005663B5"/>
    <w:rsid w:val="005677E5"/>
    <w:rsid w:val="005678A5"/>
    <w:rsid w:val="0057064B"/>
    <w:rsid w:val="005717E6"/>
    <w:rsid w:val="005721B4"/>
    <w:rsid w:val="00572ABD"/>
    <w:rsid w:val="0057400E"/>
    <w:rsid w:val="00574452"/>
    <w:rsid w:val="0057578C"/>
    <w:rsid w:val="00576D93"/>
    <w:rsid w:val="0057775E"/>
    <w:rsid w:val="005778CE"/>
    <w:rsid w:val="00580262"/>
    <w:rsid w:val="00580442"/>
    <w:rsid w:val="00580FCC"/>
    <w:rsid w:val="0058118E"/>
    <w:rsid w:val="005811D6"/>
    <w:rsid w:val="005812FB"/>
    <w:rsid w:val="00581329"/>
    <w:rsid w:val="00581B19"/>
    <w:rsid w:val="00581C79"/>
    <w:rsid w:val="005820F3"/>
    <w:rsid w:val="00583150"/>
    <w:rsid w:val="005833B4"/>
    <w:rsid w:val="005848B9"/>
    <w:rsid w:val="00585247"/>
    <w:rsid w:val="00585EE0"/>
    <w:rsid w:val="005870BF"/>
    <w:rsid w:val="005901E8"/>
    <w:rsid w:val="005906B4"/>
    <w:rsid w:val="005906DC"/>
    <w:rsid w:val="00590D82"/>
    <w:rsid w:val="00590DCF"/>
    <w:rsid w:val="00590E1C"/>
    <w:rsid w:val="00590FBC"/>
    <w:rsid w:val="00592261"/>
    <w:rsid w:val="005937C7"/>
    <w:rsid w:val="00594962"/>
    <w:rsid w:val="00594F57"/>
    <w:rsid w:val="00595661"/>
    <w:rsid w:val="00597197"/>
    <w:rsid w:val="00597F1E"/>
    <w:rsid w:val="005A00E7"/>
    <w:rsid w:val="005A02B5"/>
    <w:rsid w:val="005A0753"/>
    <w:rsid w:val="005A1D04"/>
    <w:rsid w:val="005A1F34"/>
    <w:rsid w:val="005A2A42"/>
    <w:rsid w:val="005A2BEE"/>
    <w:rsid w:val="005A2FD7"/>
    <w:rsid w:val="005A31FA"/>
    <w:rsid w:val="005A54F7"/>
    <w:rsid w:val="005A5E60"/>
    <w:rsid w:val="005A6050"/>
    <w:rsid w:val="005B0743"/>
    <w:rsid w:val="005B0A4B"/>
    <w:rsid w:val="005B0E5C"/>
    <w:rsid w:val="005B1BAF"/>
    <w:rsid w:val="005B269B"/>
    <w:rsid w:val="005B28D2"/>
    <w:rsid w:val="005B32DF"/>
    <w:rsid w:val="005B345F"/>
    <w:rsid w:val="005B38CC"/>
    <w:rsid w:val="005B41CB"/>
    <w:rsid w:val="005B4F54"/>
    <w:rsid w:val="005B5687"/>
    <w:rsid w:val="005B6555"/>
    <w:rsid w:val="005B7FCD"/>
    <w:rsid w:val="005B7FE6"/>
    <w:rsid w:val="005C0237"/>
    <w:rsid w:val="005C0DFF"/>
    <w:rsid w:val="005C0FA6"/>
    <w:rsid w:val="005C1D01"/>
    <w:rsid w:val="005C1E7B"/>
    <w:rsid w:val="005C1E9B"/>
    <w:rsid w:val="005C30D0"/>
    <w:rsid w:val="005C3583"/>
    <w:rsid w:val="005C48BA"/>
    <w:rsid w:val="005C4A9E"/>
    <w:rsid w:val="005C4DEA"/>
    <w:rsid w:val="005C52B2"/>
    <w:rsid w:val="005C53FD"/>
    <w:rsid w:val="005C56FA"/>
    <w:rsid w:val="005C7E6C"/>
    <w:rsid w:val="005D0612"/>
    <w:rsid w:val="005D0711"/>
    <w:rsid w:val="005D1463"/>
    <w:rsid w:val="005D2A69"/>
    <w:rsid w:val="005D2F67"/>
    <w:rsid w:val="005D3428"/>
    <w:rsid w:val="005D5230"/>
    <w:rsid w:val="005D6C3C"/>
    <w:rsid w:val="005D75DA"/>
    <w:rsid w:val="005D7F4A"/>
    <w:rsid w:val="005E06D7"/>
    <w:rsid w:val="005E092C"/>
    <w:rsid w:val="005E12B2"/>
    <w:rsid w:val="005E1AD6"/>
    <w:rsid w:val="005E24D4"/>
    <w:rsid w:val="005E2BB4"/>
    <w:rsid w:val="005E374D"/>
    <w:rsid w:val="005E4BBE"/>
    <w:rsid w:val="005E55D4"/>
    <w:rsid w:val="005E62B0"/>
    <w:rsid w:val="005E6771"/>
    <w:rsid w:val="005E6E6C"/>
    <w:rsid w:val="005E7E4C"/>
    <w:rsid w:val="005F162B"/>
    <w:rsid w:val="005F3256"/>
    <w:rsid w:val="005F3A2E"/>
    <w:rsid w:val="005F3B6B"/>
    <w:rsid w:val="005F3E55"/>
    <w:rsid w:val="005F3EB1"/>
    <w:rsid w:val="005F4162"/>
    <w:rsid w:val="005F4222"/>
    <w:rsid w:val="005F5251"/>
    <w:rsid w:val="005F5ED9"/>
    <w:rsid w:val="005F6040"/>
    <w:rsid w:val="005F65EC"/>
    <w:rsid w:val="005F6876"/>
    <w:rsid w:val="005F69C9"/>
    <w:rsid w:val="005F701C"/>
    <w:rsid w:val="005F7EE8"/>
    <w:rsid w:val="006016E8"/>
    <w:rsid w:val="00603127"/>
    <w:rsid w:val="00603830"/>
    <w:rsid w:val="00603909"/>
    <w:rsid w:val="00603981"/>
    <w:rsid w:val="006044C2"/>
    <w:rsid w:val="0060460A"/>
    <w:rsid w:val="00605364"/>
    <w:rsid w:val="00606A21"/>
    <w:rsid w:val="00606BD1"/>
    <w:rsid w:val="00607359"/>
    <w:rsid w:val="00607E2E"/>
    <w:rsid w:val="00610770"/>
    <w:rsid w:val="00610B0D"/>
    <w:rsid w:val="00610F5F"/>
    <w:rsid w:val="006111A0"/>
    <w:rsid w:val="00612939"/>
    <w:rsid w:val="00612CAD"/>
    <w:rsid w:val="006132CE"/>
    <w:rsid w:val="00613507"/>
    <w:rsid w:val="00613E34"/>
    <w:rsid w:val="00614C3D"/>
    <w:rsid w:val="00615E28"/>
    <w:rsid w:val="00616F5A"/>
    <w:rsid w:val="006201A9"/>
    <w:rsid w:val="006204D6"/>
    <w:rsid w:val="006206AF"/>
    <w:rsid w:val="0062090E"/>
    <w:rsid w:val="006209E1"/>
    <w:rsid w:val="00620F32"/>
    <w:rsid w:val="006217BA"/>
    <w:rsid w:val="00621D40"/>
    <w:rsid w:val="006245D2"/>
    <w:rsid w:val="00625454"/>
    <w:rsid w:val="00625BB3"/>
    <w:rsid w:val="00625CCF"/>
    <w:rsid w:val="0062623B"/>
    <w:rsid w:val="0062684D"/>
    <w:rsid w:val="00627E02"/>
    <w:rsid w:val="00630479"/>
    <w:rsid w:val="00632CF4"/>
    <w:rsid w:val="0063346A"/>
    <w:rsid w:val="00633878"/>
    <w:rsid w:val="00633988"/>
    <w:rsid w:val="00634F1B"/>
    <w:rsid w:val="006350DB"/>
    <w:rsid w:val="00635CF9"/>
    <w:rsid w:val="00635E16"/>
    <w:rsid w:val="006374EA"/>
    <w:rsid w:val="00637E40"/>
    <w:rsid w:val="0064053D"/>
    <w:rsid w:val="006413A8"/>
    <w:rsid w:val="006413E4"/>
    <w:rsid w:val="00641486"/>
    <w:rsid w:val="00641AFD"/>
    <w:rsid w:val="0064205C"/>
    <w:rsid w:val="006420C5"/>
    <w:rsid w:val="006427EE"/>
    <w:rsid w:val="00643009"/>
    <w:rsid w:val="0064344F"/>
    <w:rsid w:val="00643C00"/>
    <w:rsid w:val="006448B0"/>
    <w:rsid w:val="006456A1"/>
    <w:rsid w:val="00645CF3"/>
    <w:rsid w:val="006500AF"/>
    <w:rsid w:val="006503A1"/>
    <w:rsid w:val="006504C2"/>
    <w:rsid w:val="00650E68"/>
    <w:rsid w:val="006541F0"/>
    <w:rsid w:val="006543A2"/>
    <w:rsid w:val="00655711"/>
    <w:rsid w:val="00655889"/>
    <w:rsid w:val="006562DB"/>
    <w:rsid w:val="006563C2"/>
    <w:rsid w:val="006565B7"/>
    <w:rsid w:val="00656850"/>
    <w:rsid w:val="00656904"/>
    <w:rsid w:val="00656B64"/>
    <w:rsid w:val="00656C11"/>
    <w:rsid w:val="00657225"/>
    <w:rsid w:val="0065762D"/>
    <w:rsid w:val="006578C1"/>
    <w:rsid w:val="00657CE5"/>
    <w:rsid w:val="00660C17"/>
    <w:rsid w:val="006610A5"/>
    <w:rsid w:val="006615BA"/>
    <w:rsid w:val="006619B9"/>
    <w:rsid w:val="006635B4"/>
    <w:rsid w:val="00663AB1"/>
    <w:rsid w:val="0066554B"/>
    <w:rsid w:val="00665D73"/>
    <w:rsid w:val="00665E59"/>
    <w:rsid w:val="00666010"/>
    <w:rsid w:val="006672DC"/>
    <w:rsid w:val="006676C0"/>
    <w:rsid w:val="0066799C"/>
    <w:rsid w:val="00667DF3"/>
    <w:rsid w:val="00670227"/>
    <w:rsid w:val="006727A5"/>
    <w:rsid w:val="00673841"/>
    <w:rsid w:val="006757C1"/>
    <w:rsid w:val="006759BE"/>
    <w:rsid w:val="00675AD3"/>
    <w:rsid w:val="006764D5"/>
    <w:rsid w:val="00676E12"/>
    <w:rsid w:val="006777F8"/>
    <w:rsid w:val="00677CF8"/>
    <w:rsid w:val="0068055D"/>
    <w:rsid w:val="00680FEF"/>
    <w:rsid w:val="006811CA"/>
    <w:rsid w:val="00681741"/>
    <w:rsid w:val="00681D7F"/>
    <w:rsid w:val="0068215A"/>
    <w:rsid w:val="006828C2"/>
    <w:rsid w:val="0068365A"/>
    <w:rsid w:val="00683954"/>
    <w:rsid w:val="00684371"/>
    <w:rsid w:val="0068480C"/>
    <w:rsid w:val="00684994"/>
    <w:rsid w:val="00685FA9"/>
    <w:rsid w:val="006862BC"/>
    <w:rsid w:val="006907C5"/>
    <w:rsid w:val="00690C9B"/>
    <w:rsid w:val="0069138A"/>
    <w:rsid w:val="006913E9"/>
    <w:rsid w:val="006915D7"/>
    <w:rsid w:val="00692866"/>
    <w:rsid w:val="00692FD1"/>
    <w:rsid w:val="0069351D"/>
    <w:rsid w:val="006939F3"/>
    <w:rsid w:val="00693ECC"/>
    <w:rsid w:val="00695308"/>
    <w:rsid w:val="00695352"/>
    <w:rsid w:val="006956EF"/>
    <w:rsid w:val="00696800"/>
    <w:rsid w:val="00697DF2"/>
    <w:rsid w:val="006A0397"/>
    <w:rsid w:val="006A04A5"/>
    <w:rsid w:val="006A1987"/>
    <w:rsid w:val="006A1F38"/>
    <w:rsid w:val="006A3274"/>
    <w:rsid w:val="006A492A"/>
    <w:rsid w:val="006A5C98"/>
    <w:rsid w:val="006A6C8B"/>
    <w:rsid w:val="006A6F8A"/>
    <w:rsid w:val="006A70EB"/>
    <w:rsid w:val="006A7564"/>
    <w:rsid w:val="006B01F3"/>
    <w:rsid w:val="006B1335"/>
    <w:rsid w:val="006B1A18"/>
    <w:rsid w:val="006B1B7B"/>
    <w:rsid w:val="006B1BA2"/>
    <w:rsid w:val="006B1C06"/>
    <w:rsid w:val="006B2051"/>
    <w:rsid w:val="006B2F0D"/>
    <w:rsid w:val="006B325A"/>
    <w:rsid w:val="006B5714"/>
    <w:rsid w:val="006B593A"/>
    <w:rsid w:val="006B59AA"/>
    <w:rsid w:val="006B6446"/>
    <w:rsid w:val="006B6BC2"/>
    <w:rsid w:val="006B7712"/>
    <w:rsid w:val="006C0797"/>
    <w:rsid w:val="006C1534"/>
    <w:rsid w:val="006C1D0A"/>
    <w:rsid w:val="006C2BDC"/>
    <w:rsid w:val="006C301A"/>
    <w:rsid w:val="006C3970"/>
    <w:rsid w:val="006C3D71"/>
    <w:rsid w:val="006C473F"/>
    <w:rsid w:val="006C4B61"/>
    <w:rsid w:val="006C60FF"/>
    <w:rsid w:val="006D07DA"/>
    <w:rsid w:val="006D0C4D"/>
    <w:rsid w:val="006D11A2"/>
    <w:rsid w:val="006D12A0"/>
    <w:rsid w:val="006D1440"/>
    <w:rsid w:val="006D154A"/>
    <w:rsid w:val="006D2281"/>
    <w:rsid w:val="006D2502"/>
    <w:rsid w:val="006D25B7"/>
    <w:rsid w:val="006D35C2"/>
    <w:rsid w:val="006D40D0"/>
    <w:rsid w:val="006D5145"/>
    <w:rsid w:val="006D5765"/>
    <w:rsid w:val="006D5F4B"/>
    <w:rsid w:val="006D5F91"/>
    <w:rsid w:val="006D6155"/>
    <w:rsid w:val="006D6281"/>
    <w:rsid w:val="006D6CE1"/>
    <w:rsid w:val="006D7C43"/>
    <w:rsid w:val="006E00C7"/>
    <w:rsid w:val="006E30EB"/>
    <w:rsid w:val="006E3747"/>
    <w:rsid w:val="006E3CE1"/>
    <w:rsid w:val="006E4195"/>
    <w:rsid w:val="006E66A7"/>
    <w:rsid w:val="006E6792"/>
    <w:rsid w:val="006E68C0"/>
    <w:rsid w:val="006E6FDE"/>
    <w:rsid w:val="006E71CD"/>
    <w:rsid w:val="006E7CE9"/>
    <w:rsid w:val="006F00BB"/>
    <w:rsid w:val="006F12A1"/>
    <w:rsid w:val="006F16AC"/>
    <w:rsid w:val="006F1ED4"/>
    <w:rsid w:val="006F2156"/>
    <w:rsid w:val="006F216A"/>
    <w:rsid w:val="006F22A8"/>
    <w:rsid w:val="006F3520"/>
    <w:rsid w:val="006F36E9"/>
    <w:rsid w:val="006F5D99"/>
    <w:rsid w:val="006F61A1"/>
    <w:rsid w:val="006F63BD"/>
    <w:rsid w:val="006F781D"/>
    <w:rsid w:val="006F78DA"/>
    <w:rsid w:val="006F7A77"/>
    <w:rsid w:val="006F7D47"/>
    <w:rsid w:val="007010B7"/>
    <w:rsid w:val="00701B20"/>
    <w:rsid w:val="007029C7"/>
    <w:rsid w:val="00702B2C"/>
    <w:rsid w:val="00702B64"/>
    <w:rsid w:val="00702E13"/>
    <w:rsid w:val="0070306C"/>
    <w:rsid w:val="007038E4"/>
    <w:rsid w:val="00704092"/>
    <w:rsid w:val="00704588"/>
    <w:rsid w:val="007049A5"/>
    <w:rsid w:val="00704A1A"/>
    <w:rsid w:val="00704FF7"/>
    <w:rsid w:val="00705068"/>
    <w:rsid w:val="007055F6"/>
    <w:rsid w:val="007056D5"/>
    <w:rsid w:val="00707933"/>
    <w:rsid w:val="00710F60"/>
    <w:rsid w:val="0071135C"/>
    <w:rsid w:val="00711488"/>
    <w:rsid w:val="007115C1"/>
    <w:rsid w:val="00711631"/>
    <w:rsid w:val="00711CB2"/>
    <w:rsid w:val="00711D87"/>
    <w:rsid w:val="007121A3"/>
    <w:rsid w:val="00712409"/>
    <w:rsid w:val="00712B86"/>
    <w:rsid w:val="00713799"/>
    <w:rsid w:val="00713D27"/>
    <w:rsid w:val="0071478A"/>
    <w:rsid w:val="00717A69"/>
    <w:rsid w:val="00720623"/>
    <w:rsid w:val="00720BD6"/>
    <w:rsid w:val="00721994"/>
    <w:rsid w:val="00721A1C"/>
    <w:rsid w:val="00721EE6"/>
    <w:rsid w:val="00722569"/>
    <w:rsid w:val="00722C03"/>
    <w:rsid w:val="00722CAC"/>
    <w:rsid w:val="00723614"/>
    <w:rsid w:val="007236AD"/>
    <w:rsid w:val="00723ED0"/>
    <w:rsid w:val="00724C1C"/>
    <w:rsid w:val="007251B0"/>
    <w:rsid w:val="00725272"/>
    <w:rsid w:val="007252C0"/>
    <w:rsid w:val="0072542A"/>
    <w:rsid w:val="0072688E"/>
    <w:rsid w:val="00726CCA"/>
    <w:rsid w:val="00726F03"/>
    <w:rsid w:val="00727601"/>
    <w:rsid w:val="00727729"/>
    <w:rsid w:val="007310DC"/>
    <w:rsid w:val="00731DC0"/>
    <w:rsid w:val="0073254D"/>
    <w:rsid w:val="00732864"/>
    <w:rsid w:val="007334F5"/>
    <w:rsid w:val="00733C40"/>
    <w:rsid w:val="00733CBB"/>
    <w:rsid w:val="00735B91"/>
    <w:rsid w:val="00735F1D"/>
    <w:rsid w:val="00737C57"/>
    <w:rsid w:val="00740C14"/>
    <w:rsid w:val="00743BF5"/>
    <w:rsid w:val="00744FE6"/>
    <w:rsid w:val="00745216"/>
    <w:rsid w:val="007454C3"/>
    <w:rsid w:val="007459DA"/>
    <w:rsid w:val="00745DE5"/>
    <w:rsid w:val="00747846"/>
    <w:rsid w:val="007500A6"/>
    <w:rsid w:val="00751AE7"/>
    <w:rsid w:val="00751BB2"/>
    <w:rsid w:val="00751C6D"/>
    <w:rsid w:val="0075226C"/>
    <w:rsid w:val="00752C44"/>
    <w:rsid w:val="007531EF"/>
    <w:rsid w:val="0075345D"/>
    <w:rsid w:val="0075496A"/>
    <w:rsid w:val="0075708F"/>
    <w:rsid w:val="00760636"/>
    <w:rsid w:val="007607B1"/>
    <w:rsid w:val="00760954"/>
    <w:rsid w:val="00760DF1"/>
    <w:rsid w:val="007614F2"/>
    <w:rsid w:val="00762184"/>
    <w:rsid w:val="00762323"/>
    <w:rsid w:val="007627FC"/>
    <w:rsid w:val="00762BF2"/>
    <w:rsid w:val="00763949"/>
    <w:rsid w:val="007640C8"/>
    <w:rsid w:val="007643F0"/>
    <w:rsid w:val="007651AB"/>
    <w:rsid w:val="00765497"/>
    <w:rsid w:val="00765B9A"/>
    <w:rsid w:val="00765F27"/>
    <w:rsid w:val="00766604"/>
    <w:rsid w:val="00767638"/>
    <w:rsid w:val="00767C1E"/>
    <w:rsid w:val="00770893"/>
    <w:rsid w:val="00770BFA"/>
    <w:rsid w:val="00771BEF"/>
    <w:rsid w:val="0077352E"/>
    <w:rsid w:val="007737A8"/>
    <w:rsid w:val="007741C7"/>
    <w:rsid w:val="00774C60"/>
    <w:rsid w:val="00777697"/>
    <w:rsid w:val="0077776C"/>
    <w:rsid w:val="007802B0"/>
    <w:rsid w:val="00780699"/>
    <w:rsid w:val="00780A95"/>
    <w:rsid w:val="00780B50"/>
    <w:rsid w:val="007814B8"/>
    <w:rsid w:val="007815AD"/>
    <w:rsid w:val="00781B12"/>
    <w:rsid w:val="007822F1"/>
    <w:rsid w:val="00782B73"/>
    <w:rsid w:val="00782DD2"/>
    <w:rsid w:val="0078370D"/>
    <w:rsid w:val="007841EF"/>
    <w:rsid w:val="007845D6"/>
    <w:rsid w:val="007846DD"/>
    <w:rsid w:val="00784C17"/>
    <w:rsid w:val="00785124"/>
    <w:rsid w:val="00786306"/>
    <w:rsid w:val="0078684E"/>
    <w:rsid w:val="007878A1"/>
    <w:rsid w:val="00790A13"/>
    <w:rsid w:val="00790B1A"/>
    <w:rsid w:val="00791A21"/>
    <w:rsid w:val="007932D3"/>
    <w:rsid w:val="00793952"/>
    <w:rsid w:val="0079462F"/>
    <w:rsid w:val="007947E3"/>
    <w:rsid w:val="0079535F"/>
    <w:rsid w:val="00796898"/>
    <w:rsid w:val="00796FE4"/>
    <w:rsid w:val="00797522"/>
    <w:rsid w:val="00797849"/>
    <w:rsid w:val="00797F3B"/>
    <w:rsid w:val="007A00C9"/>
    <w:rsid w:val="007A0161"/>
    <w:rsid w:val="007A30F9"/>
    <w:rsid w:val="007A3232"/>
    <w:rsid w:val="007A33A3"/>
    <w:rsid w:val="007A430C"/>
    <w:rsid w:val="007A44A6"/>
    <w:rsid w:val="007A5325"/>
    <w:rsid w:val="007A5506"/>
    <w:rsid w:val="007A5A94"/>
    <w:rsid w:val="007A7C81"/>
    <w:rsid w:val="007B111C"/>
    <w:rsid w:val="007B3491"/>
    <w:rsid w:val="007B4803"/>
    <w:rsid w:val="007B56EE"/>
    <w:rsid w:val="007B5BC6"/>
    <w:rsid w:val="007B6778"/>
    <w:rsid w:val="007B6CDA"/>
    <w:rsid w:val="007B799C"/>
    <w:rsid w:val="007C0330"/>
    <w:rsid w:val="007C082B"/>
    <w:rsid w:val="007C0E18"/>
    <w:rsid w:val="007C1380"/>
    <w:rsid w:val="007C165E"/>
    <w:rsid w:val="007C1E2B"/>
    <w:rsid w:val="007C21DA"/>
    <w:rsid w:val="007C2C35"/>
    <w:rsid w:val="007C31D7"/>
    <w:rsid w:val="007C3501"/>
    <w:rsid w:val="007C368C"/>
    <w:rsid w:val="007C48B3"/>
    <w:rsid w:val="007C526E"/>
    <w:rsid w:val="007C589A"/>
    <w:rsid w:val="007C6254"/>
    <w:rsid w:val="007C6400"/>
    <w:rsid w:val="007C686A"/>
    <w:rsid w:val="007C7099"/>
    <w:rsid w:val="007C7870"/>
    <w:rsid w:val="007C794C"/>
    <w:rsid w:val="007D0619"/>
    <w:rsid w:val="007D19AF"/>
    <w:rsid w:val="007D2097"/>
    <w:rsid w:val="007D263D"/>
    <w:rsid w:val="007D3A86"/>
    <w:rsid w:val="007D3EDC"/>
    <w:rsid w:val="007D4F93"/>
    <w:rsid w:val="007D66D4"/>
    <w:rsid w:val="007E17A8"/>
    <w:rsid w:val="007E187A"/>
    <w:rsid w:val="007E1CFD"/>
    <w:rsid w:val="007E2461"/>
    <w:rsid w:val="007E34E9"/>
    <w:rsid w:val="007E3830"/>
    <w:rsid w:val="007E3FB8"/>
    <w:rsid w:val="007E5252"/>
    <w:rsid w:val="007F0119"/>
    <w:rsid w:val="007F1058"/>
    <w:rsid w:val="007F1523"/>
    <w:rsid w:val="007F161F"/>
    <w:rsid w:val="007F1C38"/>
    <w:rsid w:val="007F26F1"/>
    <w:rsid w:val="007F2C61"/>
    <w:rsid w:val="007F3E93"/>
    <w:rsid w:val="007F42D0"/>
    <w:rsid w:val="007F4871"/>
    <w:rsid w:val="007F589F"/>
    <w:rsid w:val="007F6099"/>
    <w:rsid w:val="007F74B7"/>
    <w:rsid w:val="007F7739"/>
    <w:rsid w:val="008003BC"/>
    <w:rsid w:val="00800E81"/>
    <w:rsid w:val="0080121C"/>
    <w:rsid w:val="008016D0"/>
    <w:rsid w:val="00801AAE"/>
    <w:rsid w:val="008022A7"/>
    <w:rsid w:val="0080288C"/>
    <w:rsid w:val="0080313F"/>
    <w:rsid w:val="00804360"/>
    <w:rsid w:val="008044B9"/>
    <w:rsid w:val="00804EB5"/>
    <w:rsid w:val="00805EFB"/>
    <w:rsid w:val="008062B7"/>
    <w:rsid w:val="0080660C"/>
    <w:rsid w:val="00806BB5"/>
    <w:rsid w:val="00806C60"/>
    <w:rsid w:val="008070C5"/>
    <w:rsid w:val="0080768C"/>
    <w:rsid w:val="00807D6E"/>
    <w:rsid w:val="008101CD"/>
    <w:rsid w:val="00810592"/>
    <w:rsid w:val="008108BC"/>
    <w:rsid w:val="008108C6"/>
    <w:rsid w:val="00810D4E"/>
    <w:rsid w:val="00811753"/>
    <w:rsid w:val="00812361"/>
    <w:rsid w:val="008123A6"/>
    <w:rsid w:val="00814042"/>
    <w:rsid w:val="00814546"/>
    <w:rsid w:val="00815A8A"/>
    <w:rsid w:val="00815BC6"/>
    <w:rsid w:val="008170E8"/>
    <w:rsid w:val="008170F9"/>
    <w:rsid w:val="0081759D"/>
    <w:rsid w:val="0082197F"/>
    <w:rsid w:val="00822850"/>
    <w:rsid w:val="008234CA"/>
    <w:rsid w:val="00823A0D"/>
    <w:rsid w:val="008241A5"/>
    <w:rsid w:val="008242F2"/>
    <w:rsid w:val="00824F6F"/>
    <w:rsid w:val="008254B6"/>
    <w:rsid w:val="00826E3E"/>
    <w:rsid w:val="00826F85"/>
    <w:rsid w:val="00827B9B"/>
    <w:rsid w:val="00827ED2"/>
    <w:rsid w:val="0083375B"/>
    <w:rsid w:val="00834250"/>
    <w:rsid w:val="00834CAD"/>
    <w:rsid w:val="008369E5"/>
    <w:rsid w:val="00836A37"/>
    <w:rsid w:val="0083727D"/>
    <w:rsid w:val="0083733D"/>
    <w:rsid w:val="0083787F"/>
    <w:rsid w:val="00842F42"/>
    <w:rsid w:val="00843756"/>
    <w:rsid w:val="00843EE3"/>
    <w:rsid w:val="008445F9"/>
    <w:rsid w:val="00844D2A"/>
    <w:rsid w:val="00845650"/>
    <w:rsid w:val="00845ABE"/>
    <w:rsid w:val="00845FC8"/>
    <w:rsid w:val="00846070"/>
    <w:rsid w:val="008462E9"/>
    <w:rsid w:val="008471B2"/>
    <w:rsid w:val="00847AAC"/>
    <w:rsid w:val="0085096A"/>
    <w:rsid w:val="008515D4"/>
    <w:rsid w:val="008519A7"/>
    <w:rsid w:val="00851B23"/>
    <w:rsid w:val="00851FE4"/>
    <w:rsid w:val="00856AD7"/>
    <w:rsid w:val="00856DB8"/>
    <w:rsid w:val="0086005C"/>
    <w:rsid w:val="0086014A"/>
    <w:rsid w:val="0086122B"/>
    <w:rsid w:val="00861770"/>
    <w:rsid w:val="00861B3B"/>
    <w:rsid w:val="00862434"/>
    <w:rsid w:val="008625FB"/>
    <w:rsid w:val="0086284F"/>
    <w:rsid w:val="00862B60"/>
    <w:rsid w:val="00863467"/>
    <w:rsid w:val="0086380A"/>
    <w:rsid w:val="0086410E"/>
    <w:rsid w:val="00864474"/>
    <w:rsid w:val="00864CC9"/>
    <w:rsid w:val="00864F9F"/>
    <w:rsid w:val="00865F3A"/>
    <w:rsid w:val="008676EC"/>
    <w:rsid w:val="008711C6"/>
    <w:rsid w:val="0087142D"/>
    <w:rsid w:val="00872166"/>
    <w:rsid w:val="00872169"/>
    <w:rsid w:val="008739E5"/>
    <w:rsid w:val="00874353"/>
    <w:rsid w:val="00874A79"/>
    <w:rsid w:val="008763DD"/>
    <w:rsid w:val="00876979"/>
    <w:rsid w:val="008770CF"/>
    <w:rsid w:val="008777E6"/>
    <w:rsid w:val="00877D19"/>
    <w:rsid w:val="00881EDD"/>
    <w:rsid w:val="00882260"/>
    <w:rsid w:val="008840D3"/>
    <w:rsid w:val="00885E3A"/>
    <w:rsid w:val="00890111"/>
    <w:rsid w:val="00890342"/>
    <w:rsid w:val="00890555"/>
    <w:rsid w:val="00891090"/>
    <w:rsid w:val="00891213"/>
    <w:rsid w:val="008918FD"/>
    <w:rsid w:val="0089255C"/>
    <w:rsid w:val="008938BA"/>
    <w:rsid w:val="00893C9D"/>
    <w:rsid w:val="00893CBA"/>
    <w:rsid w:val="008940E5"/>
    <w:rsid w:val="008944C3"/>
    <w:rsid w:val="008949A9"/>
    <w:rsid w:val="00895490"/>
    <w:rsid w:val="008954C8"/>
    <w:rsid w:val="00895604"/>
    <w:rsid w:val="00895855"/>
    <w:rsid w:val="008959C7"/>
    <w:rsid w:val="00895B95"/>
    <w:rsid w:val="00895FD0"/>
    <w:rsid w:val="00896394"/>
    <w:rsid w:val="008971CD"/>
    <w:rsid w:val="008A0158"/>
    <w:rsid w:val="008A017A"/>
    <w:rsid w:val="008A0F34"/>
    <w:rsid w:val="008A182E"/>
    <w:rsid w:val="008A18CA"/>
    <w:rsid w:val="008A24AD"/>
    <w:rsid w:val="008A26C7"/>
    <w:rsid w:val="008A3167"/>
    <w:rsid w:val="008A344E"/>
    <w:rsid w:val="008A35E6"/>
    <w:rsid w:val="008A3EC6"/>
    <w:rsid w:val="008A4AE8"/>
    <w:rsid w:val="008A4F0C"/>
    <w:rsid w:val="008A60A0"/>
    <w:rsid w:val="008A6FCF"/>
    <w:rsid w:val="008A717B"/>
    <w:rsid w:val="008B132C"/>
    <w:rsid w:val="008B1786"/>
    <w:rsid w:val="008B2E02"/>
    <w:rsid w:val="008B3C9A"/>
    <w:rsid w:val="008B406D"/>
    <w:rsid w:val="008B5295"/>
    <w:rsid w:val="008B5F3C"/>
    <w:rsid w:val="008B62A3"/>
    <w:rsid w:val="008B7B8D"/>
    <w:rsid w:val="008C09F0"/>
    <w:rsid w:val="008C20BF"/>
    <w:rsid w:val="008C2336"/>
    <w:rsid w:val="008C2AA8"/>
    <w:rsid w:val="008C3891"/>
    <w:rsid w:val="008C50DF"/>
    <w:rsid w:val="008C5CF7"/>
    <w:rsid w:val="008C5FD6"/>
    <w:rsid w:val="008C65FE"/>
    <w:rsid w:val="008C6731"/>
    <w:rsid w:val="008C7BDA"/>
    <w:rsid w:val="008D02BF"/>
    <w:rsid w:val="008D0477"/>
    <w:rsid w:val="008D0CA2"/>
    <w:rsid w:val="008D0FE8"/>
    <w:rsid w:val="008D31D7"/>
    <w:rsid w:val="008D4446"/>
    <w:rsid w:val="008D4505"/>
    <w:rsid w:val="008D4629"/>
    <w:rsid w:val="008D4B09"/>
    <w:rsid w:val="008D4FFC"/>
    <w:rsid w:val="008D7304"/>
    <w:rsid w:val="008D7A4A"/>
    <w:rsid w:val="008E02DC"/>
    <w:rsid w:val="008E04C2"/>
    <w:rsid w:val="008E178B"/>
    <w:rsid w:val="008E1CBF"/>
    <w:rsid w:val="008E2B4A"/>
    <w:rsid w:val="008E3186"/>
    <w:rsid w:val="008E4C3A"/>
    <w:rsid w:val="008E5812"/>
    <w:rsid w:val="008E5F68"/>
    <w:rsid w:val="008F0293"/>
    <w:rsid w:val="008F0579"/>
    <w:rsid w:val="008F0599"/>
    <w:rsid w:val="008F0604"/>
    <w:rsid w:val="008F0DAE"/>
    <w:rsid w:val="008F0DE5"/>
    <w:rsid w:val="008F1001"/>
    <w:rsid w:val="008F129B"/>
    <w:rsid w:val="008F1308"/>
    <w:rsid w:val="008F1336"/>
    <w:rsid w:val="008F13D1"/>
    <w:rsid w:val="008F1826"/>
    <w:rsid w:val="008F1828"/>
    <w:rsid w:val="008F18A3"/>
    <w:rsid w:val="008F26EA"/>
    <w:rsid w:val="008F3049"/>
    <w:rsid w:val="008F30DD"/>
    <w:rsid w:val="008F3548"/>
    <w:rsid w:val="008F3712"/>
    <w:rsid w:val="008F3873"/>
    <w:rsid w:val="008F4081"/>
    <w:rsid w:val="008F5386"/>
    <w:rsid w:val="008F5CA5"/>
    <w:rsid w:val="008F70C4"/>
    <w:rsid w:val="008F7995"/>
    <w:rsid w:val="008F79BE"/>
    <w:rsid w:val="008F7FA0"/>
    <w:rsid w:val="00900171"/>
    <w:rsid w:val="009004E7"/>
    <w:rsid w:val="009015F8"/>
    <w:rsid w:val="0090171E"/>
    <w:rsid w:val="00901B42"/>
    <w:rsid w:val="00901F35"/>
    <w:rsid w:val="0090235B"/>
    <w:rsid w:val="00902D60"/>
    <w:rsid w:val="009045A9"/>
    <w:rsid w:val="00904E49"/>
    <w:rsid w:val="00905A09"/>
    <w:rsid w:val="00906486"/>
    <w:rsid w:val="00906BD4"/>
    <w:rsid w:val="009076A1"/>
    <w:rsid w:val="00910018"/>
    <w:rsid w:val="00910D8F"/>
    <w:rsid w:val="0091112E"/>
    <w:rsid w:val="00911F6F"/>
    <w:rsid w:val="00912C60"/>
    <w:rsid w:val="00913D4F"/>
    <w:rsid w:val="009140A8"/>
    <w:rsid w:val="00914EF0"/>
    <w:rsid w:val="009150EC"/>
    <w:rsid w:val="00915359"/>
    <w:rsid w:val="0091596B"/>
    <w:rsid w:val="00916382"/>
    <w:rsid w:val="009166C7"/>
    <w:rsid w:val="00916B4E"/>
    <w:rsid w:val="009200B1"/>
    <w:rsid w:val="009205C4"/>
    <w:rsid w:val="009207A7"/>
    <w:rsid w:val="00921CC0"/>
    <w:rsid w:val="00921F96"/>
    <w:rsid w:val="00921FEF"/>
    <w:rsid w:val="0092227B"/>
    <w:rsid w:val="00924514"/>
    <w:rsid w:val="00924A62"/>
    <w:rsid w:val="00925645"/>
    <w:rsid w:val="00925F73"/>
    <w:rsid w:val="00926D2A"/>
    <w:rsid w:val="009270B8"/>
    <w:rsid w:val="00927638"/>
    <w:rsid w:val="009278BA"/>
    <w:rsid w:val="0092794B"/>
    <w:rsid w:val="00927EAB"/>
    <w:rsid w:val="0093069C"/>
    <w:rsid w:val="0093087A"/>
    <w:rsid w:val="00930DE2"/>
    <w:rsid w:val="00932F70"/>
    <w:rsid w:val="009345C9"/>
    <w:rsid w:val="009350AB"/>
    <w:rsid w:val="009353C3"/>
    <w:rsid w:val="00935846"/>
    <w:rsid w:val="00935CAC"/>
    <w:rsid w:val="00936139"/>
    <w:rsid w:val="00936433"/>
    <w:rsid w:val="00936F84"/>
    <w:rsid w:val="009404E9"/>
    <w:rsid w:val="00940DCB"/>
    <w:rsid w:val="00941473"/>
    <w:rsid w:val="00943120"/>
    <w:rsid w:val="00943409"/>
    <w:rsid w:val="0094350E"/>
    <w:rsid w:val="00943BBF"/>
    <w:rsid w:val="00944210"/>
    <w:rsid w:val="00944386"/>
    <w:rsid w:val="009449BB"/>
    <w:rsid w:val="00944A25"/>
    <w:rsid w:val="00945C06"/>
    <w:rsid w:val="00946C69"/>
    <w:rsid w:val="00946D8C"/>
    <w:rsid w:val="00947A15"/>
    <w:rsid w:val="00947D88"/>
    <w:rsid w:val="00950428"/>
    <w:rsid w:val="0095096D"/>
    <w:rsid w:val="00952236"/>
    <w:rsid w:val="00952923"/>
    <w:rsid w:val="009529FA"/>
    <w:rsid w:val="00954804"/>
    <w:rsid w:val="00957726"/>
    <w:rsid w:val="0096062B"/>
    <w:rsid w:val="009609AB"/>
    <w:rsid w:val="009616EA"/>
    <w:rsid w:val="00961F33"/>
    <w:rsid w:val="009620E9"/>
    <w:rsid w:val="00962BD6"/>
    <w:rsid w:val="00963DEE"/>
    <w:rsid w:val="00964906"/>
    <w:rsid w:val="00964AA7"/>
    <w:rsid w:val="0096510B"/>
    <w:rsid w:val="0096528B"/>
    <w:rsid w:val="00965FB4"/>
    <w:rsid w:val="009661DD"/>
    <w:rsid w:val="009663D2"/>
    <w:rsid w:val="009665A2"/>
    <w:rsid w:val="0096670D"/>
    <w:rsid w:val="00972699"/>
    <w:rsid w:val="009727E3"/>
    <w:rsid w:val="00972DCE"/>
    <w:rsid w:val="009734DC"/>
    <w:rsid w:val="00974880"/>
    <w:rsid w:val="00974B12"/>
    <w:rsid w:val="009758AC"/>
    <w:rsid w:val="009804C1"/>
    <w:rsid w:val="00980C98"/>
    <w:rsid w:val="00982274"/>
    <w:rsid w:val="00983160"/>
    <w:rsid w:val="009833ED"/>
    <w:rsid w:val="009843D3"/>
    <w:rsid w:val="00984BCC"/>
    <w:rsid w:val="00984C2C"/>
    <w:rsid w:val="00986D26"/>
    <w:rsid w:val="009877A4"/>
    <w:rsid w:val="009901A5"/>
    <w:rsid w:val="0099025B"/>
    <w:rsid w:val="00990E1F"/>
    <w:rsid w:val="00991440"/>
    <w:rsid w:val="009917CB"/>
    <w:rsid w:val="0099194C"/>
    <w:rsid w:val="009925CF"/>
    <w:rsid w:val="00992F6A"/>
    <w:rsid w:val="00993CB0"/>
    <w:rsid w:val="00994B7B"/>
    <w:rsid w:val="00994EE1"/>
    <w:rsid w:val="009957B4"/>
    <w:rsid w:val="00995932"/>
    <w:rsid w:val="00995B33"/>
    <w:rsid w:val="00996418"/>
    <w:rsid w:val="0099780C"/>
    <w:rsid w:val="00997F95"/>
    <w:rsid w:val="009A1274"/>
    <w:rsid w:val="009A1401"/>
    <w:rsid w:val="009A203D"/>
    <w:rsid w:val="009A29B5"/>
    <w:rsid w:val="009A379D"/>
    <w:rsid w:val="009A3C7B"/>
    <w:rsid w:val="009A4505"/>
    <w:rsid w:val="009A58AF"/>
    <w:rsid w:val="009A5B22"/>
    <w:rsid w:val="009A5BB9"/>
    <w:rsid w:val="009A5E1B"/>
    <w:rsid w:val="009A6C58"/>
    <w:rsid w:val="009A6E9C"/>
    <w:rsid w:val="009A7F22"/>
    <w:rsid w:val="009B0B87"/>
    <w:rsid w:val="009B0FB8"/>
    <w:rsid w:val="009B13F5"/>
    <w:rsid w:val="009B17DF"/>
    <w:rsid w:val="009B1E04"/>
    <w:rsid w:val="009B1FC6"/>
    <w:rsid w:val="009B276E"/>
    <w:rsid w:val="009B34B0"/>
    <w:rsid w:val="009B498C"/>
    <w:rsid w:val="009B4DC3"/>
    <w:rsid w:val="009B5D1D"/>
    <w:rsid w:val="009B65B6"/>
    <w:rsid w:val="009B7143"/>
    <w:rsid w:val="009B74EE"/>
    <w:rsid w:val="009B7515"/>
    <w:rsid w:val="009B792C"/>
    <w:rsid w:val="009B7CF3"/>
    <w:rsid w:val="009C0393"/>
    <w:rsid w:val="009C1430"/>
    <w:rsid w:val="009C20E8"/>
    <w:rsid w:val="009C2879"/>
    <w:rsid w:val="009C3B90"/>
    <w:rsid w:val="009C3C3B"/>
    <w:rsid w:val="009C72F0"/>
    <w:rsid w:val="009C7AB9"/>
    <w:rsid w:val="009D0C1A"/>
    <w:rsid w:val="009D0DE8"/>
    <w:rsid w:val="009D1635"/>
    <w:rsid w:val="009D16D1"/>
    <w:rsid w:val="009D2D64"/>
    <w:rsid w:val="009D2E73"/>
    <w:rsid w:val="009D3001"/>
    <w:rsid w:val="009D3906"/>
    <w:rsid w:val="009D4220"/>
    <w:rsid w:val="009D4321"/>
    <w:rsid w:val="009D6124"/>
    <w:rsid w:val="009E02F0"/>
    <w:rsid w:val="009E068B"/>
    <w:rsid w:val="009E0AFE"/>
    <w:rsid w:val="009E1161"/>
    <w:rsid w:val="009E1295"/>
    <w:rsid w:val="009E1A46"/>
    <w:rsid w:val="009E3D19"/>
    <w:rsid w:val="009E53D4"/>
    <w:rsid w:val="009E5E17"/>
    <w:rsid w:val="009E6251"/>
    <w:rsid w:val="009F06B6"/>
    <w:rsid w:val="009F13A5"/>
    <w:rsid w:val="009F16BE"/>
    <w:rsid w:val="009F1AA4"/>
    <w:rsid w:val="009F1B00"/>
    <w:rsid w:val="009F274A"/>
    <w:rsid w:val="009F2935"/>
    <w:rsid w:val="009F2C6B"/>
    <w:rsid w:val="009F32FD"/>
    <w:rsid w:val="009F39C2"/>
    <w:rsid w:val="009F3A42"/>
    <w:rsid w:val="009F3FC2"/>
    <w:rsid w:val="009F483D"/>
    <w:rsid w:val="009F4FD0"/>
    <w:rsid w:val="009F62D7"/>
    <w:rsid w:val="00A005B6"/>
    <w:rsid w:val="00A021B0"/>
    <w:rsid w:val="00A024D7"/>
    <w:rsid w:val="00A0275A"/>
    <w:rsid w:val="00A03070"/>
    <w:rsid w:val="00A032AA"/>
    <w:rsid w:val="00A0378A"/>
    <w:rsid w:val="00A047D9"/>
    <w:rsid w:val="00A04AC5"/>
    <w:rsid w:val="00A05ACE"/>
    <w:rsid w:val="00A05FA6"/>
    <w:rsid w:val="00A064F7"/>
    <w:rsid w:val="00A0690A"/>
    <w:rsid w:val="00A072EF"/>
    <w:rsid w:val="00A078AC"/>
    <w:rsid w:val="00A07B28"/>
    <w:rsid w:val="00A1012F"/>
    <w:rsid w:val="00A1117B"/>
    <w:rsid w:val="00A1140B"/>
    <w:rsid w:val="00A133CA"/>
    <w:rsid w:val="00A139D8"/>
    <w:rsid w:val="00A14324"/>
    <w:rsid w:val="00A157CF"/>
    <w:rsid w:val="00A16434"/>
    <w:rsid w:val="00A167F6"/>
    <w:rsid w:val="00A17A5D"/>
    <w:rsid w:val="00A17C41"/>
    <w:rsid w:val="00A21257"/>
    <w:rsid w:val="00A213EB"/>
    <w:rsid w:val="00A2191E"/>
    <w:rsid w:val="00A21DD7"/>
    <w:rsid w:val="00A229A9"/>
    <w:rsid w:val="00A23FAD"/>
    <w:rsid w:val="00A24F72"/>
    <w:rsid w:val="00A25175"/>
    <w:rsid w:val="00A259FB"/>
    <w:rsid w:val="00A264BE"/>
    <w:rsid w:val="00A26D4C"/>
    <w:rsid w:val="00A26D9E"/>
    <w:rsid w:val="00A26DA4"/>
    <w:rsid w:val="00A31370"/>
    <w:rsid w:val="00A31616"/>
    <w:rsid w:val="00A318A3"/>
    <w:rsid w:val="00A31A8B"/>
    <w:rsid w:val="00A3329D"/>
    <w:rsid w:val="00A33319"/>
    <w:rsid w:val="00A33AA6"/>
    <w:rsid w:val="00A3477F"/>
    <w:rsid w:val="00A34A3C"/>
    <w:rsid w:val="00A36EB6"/>
    <w:rsid w:val="00A377D0"/>
    <w:rsid w:val="00A409C8"/>
    <w:rsid w:val="00A40D58"/>
    <w:rsid w:val="00A40FD3"/>
    <w:rsid w:val="00A41F95"/>
    <w:rsid w:val="00A4282F"/>
    <w:rsid w:val="00A42C57"/>
    <w:rsid w:val="00A42E95"/>
    <w:rsid w:val="00A43259"/>
    <w:rsid w:val="00A456BD"/>
    <w:rsid w:val="00A459AF"/>
    <w:rsid w:val="00A46017"/>
    <w:rsid w:val="00A4656C"/>
    <w:rsid w:val="00A4659F"/>
    <w:rsid w:val="00A46717"/>
    <w:rsid w:val="00A470C1"/>
    <w:rsid w:val="00A47ADA"/>
    <w:rsid w:val="00A510C8"/>
    <w:rsid w:val="00A51603"/>
    <w:rsid w:val="00A54D74"/>
    <w:rsid w:val="00A55487"/>
    <w:rsid w:val="00A556E3"/>
    <w:rsid w:val="00A55735"/>
    <w:rsid w:val="00A56D33"/>
    <w:rsid w:val="00A570B1"/>
    <w:rsid w:val="00A57BE2"/>
    <w:rsid w:val="00A57CB7"/>
    <w:rsid w:val="00A610F9"/>
    <w:rsid w:val="00A61974"/>
    <w:rsid w:val="00A61BB9"/>
    <w:rsid w:val="00A61E83"/>
    <w:rsid w:val="00A61EF0"/>
    <w:rsid w:val="00A62021"/>
    <w:rsid w:val="00A63CE9"/>
    <w:rsid w:val="00A63D9E"/>
    <w:rsid w:val="00A63F71"/>
    <w:rsid w:val="00A65421"/>
    <w:rsid w:val="00A6550C"/>
    <w:rsid w:val="00A665F6"/>
    <w:rsid w:val="00A667BC"/>
    <w:rsid w:val="00A707A1"/>
    <w:rsid w:val="00A7080E"/>
    <w:rsid w:val="00A70DFE"/>
    <w:rsid w:val="00A7211B"/>
    <w:rsid w:val="00A7230E"/>
    <w:rsid w:val="00A727D7"/>
    <w:rsid w:val="00A730A1"/>
    <w:rsid w:val="00A74FF1"/>
    <w:rsid w:val="00A7512B"/>
    <w:rsid w:val="00A75512"/>
    <w:rsid w:val="00A769BA"/>
    <w:rsid w:val="00A7776B"/>
    <w:rsid w:val="00A77D47"/>
    <w:rsid w:val="00A804D8"/>
    <w:rsid w:val="00A8082E"/>
    <w:rsid w:val="00A80DE8"/>
    <w:rsid w:val="00A81650"/>
    <w:rsid w:val="00A81C9A"/>
    <w:rsid w:val="00A8214F"/>
    <w:rsid w:val="00A8368C"/>
    <w:rsid w:val="00A836B2"/>
    <w:rsid w:val="00A83CC6"/>
    <w:rsid w:val="00A854C3"/>
    <w:rsid w:val="00A85595"/>
    <w:rsid w:val="00A855B1"/>
    <w:rsid w:val="00A86805"/>
    <w:rsid w:val="00A86E60"/>
    <w:rsid w:val="00A90761"/>
    <w:rsid w:val="00A90A04"/>
    <w:rsid w:val="00A91A54"/>
    <w:rsid w:val="00A9205C"/>
    <w:rsid w:val="00A92D37"/>
    <w:rsid w:val="00A93803"/>
    <w:rsid w:val="00A93B41"/>
    <w:rsid w:val="00A93F5A"/>
    <w:rsid w:val="00A940E4"/>
    <w:rsid w:val="00A973D1"/>
    <w:rsid w:val="00A97D75"/>
    <w:rsid w:val="00A97EC2"/>
    <w:rsid w:val="00AA0234"/>
    <w:rsid w:val="00AA0306"/>
    <w:rsid w:val="00AA2995"/>
    <w:rsid w:val="00AA2B6B"/>
    <w:rsid w:val="00AA2E0D"/>
    <w:rsid w:val="00AA3370"/>
    <w:rsid w:val="00AA46BF"/>
    <w:rsid w:val="00AA57FD"/>
    <w:rsid w:val="00AA777E"/>
    <w:rsid w:val="00AB0A9F"/>
    <w:rsid w:val="00AB0FFC"/>
    <w:rsid w:val="00AB1628"/>
    <w:rsid w:val="00AB50B5"/>
    <w:rsid w:val="00AB5617"/>
    <w:rsid w:val="00AB6F3E"/>
    <w:rsid w:val="00AB75E5"/>
    <w:rsid w:val="00AB794B"/>
    <w:rsid w:val="00AC06BE"/>
    <w:rsid w:val="00AC0717"/>
    <w:rsid w:val="00AC08AD"/>
    <w:rsid w:val="00AC0A50"/>
    <w:rsid w:val="00AC1A62"/>
    <w:rsid w:val="00AC255E"/>
    <w:rsid w:val="00AC264B"/>
    <w:rsid w:val="00AC2905"/>
    <w:rsid w:val="00AC2B35"/>
    <w:rsid w:val="00AC2F0B"/>
    <w:rsid w:val="00AC412F"/>
    <w:rsid w:val="00AC4D08"/>
    <w:rsid w:val="00AC4D8C"/>
    <w:rsid w:val="00AC4F1E"/>
    <w:rsid w:val="00AC549D"/>
    <w:rsid w:val="00AC5E8D"/>
    <w:rsid w:val="00AC60B9"/>
    <w:rsid w:val="00AC6A88"/>
    <w:rsid w:val="00AD1EBF"/>
    <w:rsid w:val="00AD2194"/>
    <w:rsid w:val="00AD3019"/>
    <w:rsid w:val="00AD3345"/>
    <w:rsid w:val="00AD3ABD"/>
    <w:rsid w:val="00AD3D4B"/>
    <w:rsid w:val="00AD4CA3"/>
    <w:rsid w:val="00AD53FE"/>
    <w:rsid w:val="00AD62D8"/>
    <w:rsid w:val="00AD6B49"/>
    <w:rsid w:val="00AE220E"/>
    <w:rsid w:val="00AE27A0"/>
    <w:rsid w:val="00AE2DE6"/>
    <w:rsid w:val="00AE38B8"/>
    <w:rsid w:val="00AE3935"/>
    <w:rsid w:val="00AE49E6"/>
    <w:rsid w:val="00AE4FBD"/>
    <w:rsid w:val="00AE5362"/>
    <w:rsid w:val="00AE60B7"/>
    <w:rsid w:val="00AE6A14"/>
    <w:rsid w:val="00AE752D"/>
    <w:rsid w:val="00AE7B50"/>
    <w:rsid w:val="00AF0F22"/>
    <w:rsid w:val="00AF1761"/>
    <w:rsid w:val="00AF1D67"/>
    <w:rsid w:val="00AF1F5E"/>
    <w:rsid w:val="00AF23A7"/>
    <w:rsid w:val="00AF2425"/>
    <w:rsid w:val="00AF29D6"/>
    <w:rsid w:val="00AF3516"/>
    <w:rsid w:val="00AF38A9"/>
    <w:rsid w:val="00AF612C"/>
    <w:rsid w:val="00AF6B9A"/>
    <w:rsid w:val="00AF7215"/>
    <w:rsid w:val="00AF73C7"/>
    <w:rsid w:val="00B00FB1"/>
    <w:rsid w:val="00B01212"/>
    <w:rsid w:val="00B01FFD"/>
    <w:rsid w:val="00B03AB9"/>
    <w:rsid w:val="00B045F3"/>
    <w:rsid w:val="00B0479C"/>
    <w:rsid w:val="00B04961"/>
    <w:rsid w:val="00B04E4B"/>
    <w:rsid w:val="00B05AB9"/>
    <w:rsid w:val="00B05FAC"/>
    <w:rsid w:val="00B06248"/>
    <w:rsid w:val="00B067DD"/>
    <w:rsid w:val="00B068CB"/>
    <w:rsid w:val="00B10596"/>
    <w:rsid w:val="00B11B22"/>
    <w:rsid w:val="00B12523"/>
    <w:rsid w:val="00B12891"/>
    <w:rsid w:val="00B12BFD"/>
    <w:rsid w:val="00B14880"/>
    <w:rsid w:val="00B14AF5"/>
    <w:rsid w:val="00B15A0F"/>
    <w:rsid w:val="00B20074"/>
    <w:rsid w:val="00B21804"/>
    <w:rsid w:val="00B21938"/>
    <w:rsid w:val="00B21A69"/>
    <w:rsid w:val="00B221B5"/>
    <w:rsid w:val="00B22499"/>
    <w:rsid w:val="00B22979"/>
    <w:rsid w:val="00B24C11"/>
    <w:rsid w:val="00B2568F"/>
    <w:rsid w:val="00B2589A"/>
    <w:rsid w:val="00B259C4"/>
    <w:rsid w:val="00B259FD"/>
    <w:rsid w:val="00B26848"/>
    <w:rsid w:val="00B268CA"/>
    <w:rsid w:val="00B275BC"/>
    <w:rsid w:val="00B27D9C"/>
    <w:rsid w:val="00B27E0C"/>
    <w:rsid w:val="00B30090"/>
    <w:rsid w:val="00B31E79"/>
    <w:rsid w:val="00B32A31"/>
    <w:rsid w:val="00B33412"/>
    <w:rsid w:val="00B3357B"/>
    <w:rsid w:val="00B335E3"/>
    <w:rsid w:val="00B336F6"/>
    <w:rsid w:val="00B33BCA"/>
    <w:rsid w:val="00B33CAA"/>
    <w:rsid w:val="00B3445B"/>
    <w:rsid w:val="00B34730"/>
    <w:rsid w:val="00B34F98"/>
    <w:rsid w:val="00B354E8"/>
    <w:rsid w:val="00B359E2"/>
    <w:rsid w:val="00B36508"/>
    <w:rsid w:val="00B36678"/>
    <w:rsid w:val="00B36847"/>
    <w:rsid w:val="00B36981"/>
    <w:rsid w:val="00B36D5C"/>
    <w:rsid w:val="00B37B6F"/>
    <w:rsid w:val="00B40711"/>
    <w:rsid w:val="00B40B6E"/>
    <w:rsid w:val="00B41D3C"/>
    <w:rsid w:val="00B4258D"/>
    <w:rsid w:val="00B43449"/>
    <w:rsid w:val="00B43738"/>
    <w:rsid w:val="00B443C5"/>
    <w:rsid w:val="00B44A9A"/>
    <w:rsid w:val="00B44D5B"/>
    <w:rsid w:val="00B45D57"/>
    <w:rsid w:val="00B46D13"/>
    <w:rsid w:val="00B50707"/>
    <w:rsid w:val="00B50CF2"/>
    <w:rsid w:val="00B51722"/>
    <w:rsid w:val="00B52714"/>
    <w:rsid w:val="00B52EEB"/>
    <w:rsid w:val="00B532C6"/>
    <w:rsid w:val="00B5416B"/>
    <w:rsid w:val="00B55B86"/>
    <w:rsid w:val="00B56B6B"/>
    <w:rsid w:val="00B56C60"/>
    <w:rsid w:val="00B57041"/>
    <w:rsid w:val="00B60FEB"/>
    <w:rsid w:val="00B61C9E"/>
    <w:rsid w:val="00B62181"/>
    <w:rsid w:val="00B62309"/>
    <w:rsid w:val="00B628BD"/>
    <w:rsid w:val="00B638A9"/>
    <w:rsid w:val="00B64029"/>
    <w:rsid w:val="00B65024"/>
    <w:rsid w:val="00B65388"/>
    <w:rsid w:val="00B6599B"/>
    <w:rsid w:val="00B678FF"/>
    <w:rsid w:val="00B67BBF"/>
    <w:rsid w:val="00B67F31"/>
    <w:rsid w:val="00B7051E"/>
    <w:rsid w:val="00B70DEF"/>
    <w:rsid w:val="00B738EF"/>
    <w:rsid w:val="00B743A3"/>
    <w:rsid w:val="00B74DE8"/>
    <w:rsid w:val="00B75845"/>
    <w:rsid w:val="00B766B5"/>
    <w:rsid w:val="00B77657"/>
    <w:rsid w:val="00B77DCB"/>
    <w:rsid w:val="00B804A8"/>
    <w:rsid w:val="00B81C00"/>
    <w:rsid w:val="00B81F72"/>
    <w:rsid w:val="00B821E0"/>
    <w:rsid w:val="00B83934"/>
    <w:rsid w:val="00B84723"/>
    <w:rsid w:val="00B86126"/>
    <w:rsid w:val="00B86524"/>
    <w:rsid w:val="00B86786"/>
    <w:rsid w:val="00B8688E"/>
    <w:rsid w:val="00B86A31"/>
    <w:rsid w:val="00B86CA6"/>
    <w:rsid w:val="00B86D96"/>
    <w:rsid w:val="00B8792C"/>
    <w:rsid w:val="00B87B06"/>
    <w:rsid w:val="00B93829"/>
    <w:rsid w:val="00B93B48"/>
    <w:rsid w:val="00B9580E"/>
    <w:rsid w:val="00B95B76"/>
    <w:rsid w:val="00B95DF8"/>
    <w:rsid w:val="00B96B75"/>
    <w:rsid w:val="00B96FC8"/>
    <w:rsid w:val="00B97899"/>
    <w:rsid w:val="00BA0097"/>
    <w:rsid w:val="00BA0178"/>
    <w:rsid w:val="00BA03B6"/>
    <w:rsid w:val="00BA08B4"/>
    <w:rsid w:val="00BA126C"/>
    <w:rsid w:val="00BA1B88"/>
    <w:rsid w:val="00BA2C04"/>
    <w:rsid w:val="00BA46C9"/>
    <w:rsid w:val="00BA4ABF"/>
    <w:rsid w:val="00BA6308"/>
    <w:rsid w:val="00BA6599"/>
    <w:rsid w:val="00BA6FFC"/>
    <w:rsid w:val="00BA70AD"/>
    <w:rsid w:val="00BA7382"/>
    <w:rsid w:val="00BA7878"/>
    <w:rsid w:val="00BB01D7"/>
    <w:rsid w:val="00BB103F"/>
    <w:rsid w:val="00BB165C"/>
    <w:rsid w:val="00BB1CE3"/>
    <w:rsid w:val="00BB20B4"/>
    <w:rsid w:val="00BB29F5"/>
    <w:rsid w:val="00BB344F"/>
    <w:rsid w:val="00BB44EB"/>
    <w:rsid w:val="00BB452C"/>
    <w:rsid w:val="00BB4EF3"/>
    <w:rsid w:val="00BB51FA"/>
    <w:rsid w:val="00BB520B"/>
    <w:rsid w:val="00BB52EC"/>
    <w:rsid w:val="00BB55F0"/>
    <w:rsid w:val="00BB6586"/>
    <w:rsid w:val="00BB6688"/>
    <w:rsid w:val="00BB67B1"/>
    <w:rsid w:val="00BB7486"/>
    <w:rsid w:val="00BC0226"/>
    <w:rsid w:val="00BC037E"/>
    <w:rsid w:val="00BC0A80"/>
    <w:rsid w:val="00BC1619"/>
    <w:rsid w:val="00BC22CF"/>
    <w:rsid w:val="00BC3819"/>
    <w:rsid w:val="00BC3EAD"/>
    <w:rsid w:val="00BC4145"/>
    <w:rsid w:val="00BC4362"/>
    <w:rsid w:val="00BC4B75"/>
    <w:rsid w:val="00BC50F6"/>
    <w:rsid w:val="00BC5D81"/>
    <w:rsid w:val="00BC6CB0"/>
    <w:rsid w:val="00BC6FA0"/>
    <w:rsid w:val="00BD0001"/>
    <w:rsid w:val="00BD0C33"/>
    <w:rsid w:val="00BD11D0"/>
    <w:rsid w:val="00BD1C16"/>
    <w:rsid w:val="00BD22AE"/>
    <w:rsid w:val="00BD2439"/>
    <w:rsid w:val="00BD2B1A"/>
    <w:rsid w:val="00BD2E96"/>
    <w:rsid w:val="00BD3E3F"/>
    <w:rsid w:val="00BD58C0"/>
    <w:rsid w:val="00BD5DBE"/>
    <w:rsid w:val="00BD616E"/>
    <w:rsid w:val="00BD74E6"/>
    <w:rsid w:val="00BD7A6D"/>
    <w:rsid w:val="00BE00A3"/>
    <w:rsid w:val="00BE0A3F"/>
    <w:rsid w:val="00BE1D60"/>
    <w:rsid w:val="00BE21AA"/>
    <w:rsid w:val="00BE3724"/>
    <w:rsid w:val="00BE3807"/>
    <w:rsid w:val="00BE39A7"/>
    <w:rsid w:val="00BE3CD9"/>
    <w:rsid w:val="00BE4128"/>
    <w:rsid w:val="00BE5B58"/>
    <w:rsid w:val="00BE5C7E"/>
    <w:rsid w:val="00BE66EA"/>
    <w:rsid w:val="00BF00D6"/>
    <w:rsid w:val="00BF0126"/>
    <w:rsid w:val="00BF05D8"/>
    <w:rsid w:val="00BF0A57"/>
    <w:rsid w:val="00BF26EE"/>
    <w:rsid w:val="00BF2896"/>
    <w:rsid w:val="00BF30BF"/>
    <w:rsid w:val="00BF4B80"/>
    <w:rsid w:val="00BF4D1D"/>
    <w:rsid w:val="00BF5AB0"/>
    <w:rsid w:val="00BF7AA2"/>
    <w:rsid w:val="00C00D94"/>
    <w:rsid w:val="00C01161"/>
    <w:rsid w:val="00C013C0"/>
    <w:rsid w:val="00C0268F"/>
    <w:rsid w:val="00C0287E"/>
    <w:rsid w:val="00C038F8"/>
    <w:rsid w:val="00C03C03"/>
    <w:rsid w:val="00C03C2A"/>
    <w:rsid w:val="00C04917"/>
    <w:rsid w:val="00C050EA"/>
    <w:rsid w:val="00C053BF"/>
    <w:rsid w:val="00C0567C"/>
    <w:rsid w:val="00C06073"/>
    <w:rsid w:val="00C061CF"/>
    <w:rsid w:val="00C0641F"/>
    <w:rsid w:val="00C069E2"/>
    <w:rsid w:val="00C0790E"/>
    <w:rsid w:val="00C07C7C"/>
    <w:rsid w:val="00C10137"/>
    <w:rsid w:val="00C108EA"/>
    <w:rsid w:val="00C1144D"/>
    <w:rsid w:val="00C11A4B"/>
    <w:rsid w:val="00C1254C"/>
    <w:rsid w:val="00C1364D"/>
    <w:rsid w:val="00C13EFB"/>
    <w:rsid w:val="00C1416B"/>
    <w:rsid w:val="00C14A7A"/>
    <w:rsid w:val="00C14B1B"/>
    <w:rsid w:val="00C14FD4"/>
    <w:rsid w:val="00C15E34"/>
    <w:rsid w:val="00C1624E"/>
    <w:rsid w:val="00C169EF"/>
    <w:rsid w:val="00C17458"/>
    <w:rsid w:val="00C174E9"/>
    <w:rsid w:val="00C177AE"/>
    <w:rsid w:val="00C20CBC"/>
    <w:rsid w:val="00C20D6B"/>
    <w:rsid w:val="00C23186"/>
    <w:rsid w:val="00C2367F"/>
    <w:rsid w:val="00C24CAC"/>
    <w:rsid w:val="00C250CE"/>
    <w:rsid w:val="00C253F7"/>
    <w:rsid w:val="00C25AA3"/>
    <w:rsid w:val="00C268F0"/>
    <w:rsid w:val="00C27A13"/>
    <w:rsid w:val="00C27F8B"/>
    <w:rsid w:val="00C30B89"/>
    <w:rsid w:val="00C30CC6"/>
    <w:rsid w:val="00C31AA6"/>
    <w:rsid w:val="00C31EB1"/>
    <w:rsid w:val="00C32834"/>
    <w:rsid w:val="00C32B81"/>
    <w:rsid w:val="00C32DC4"/>
    <w:rsid w:val="00C34DF8"/>
    <w:rsid w:val="00C3649A"/>
    <w:rsid w:val="00C37766"/>
    <w:rsid w:val="00C37980"/>
    <w:rsid w:val="00C41753"/>
    <w:rsid w:val="00C4319B"/>
    <w:rsid w:val="00C44C6D"/>
    <w:rsid w:val="00C44DE0"/>
    <w:rsid w:val="00C45AAF"/>
    <w:rsid w:val="00C45F1C"/>
    <w:rsid w:val="00C46AEC"/>
    <w:rsid w:val="00C474BE"/>
    <w:rsid w:val="00C50AE9"/>
    <w:rsid w:val="00C52C6A"/>
    <w:rsid w:val="00C53642"/>
    <w:rsid w:val="00C53C76"/>
    <w:rsid w:val="00C53E93"/>
    <w:rsid w:val="00C54605"/>
    <w:rsid w:val="00C547AC"/>
    <w:rsid w:val="00C549C5"/>
    <w:rsid w:val="00C54ECC"/>
    <w:rsid w:val="00C54FAB"/>
    <w:rsid w:val="00C56255"/>
    <w:rsid w:val="00C568BE"/>
    <w:rsid w:val="00C56905"/>
    <w:rsid w:val="00C56985"/>
    <w:rsid w:val="00C56CA6"/>
    <w:rsid w:val="00C5773D"/>
    <w:rsid w:val="00C61456"/>
    <w:rsid w:val="00C624C0"/>
    <w:rsid w:val="00C62E0A"/>
    <w:rsid w:val="00C635E6"/>
    <w:rsid w:val="00C6365D"/>
    <w:rsid w:val="00C63A0A"/>
    <w:rsid w:val="00C63FB5"/>
    <w:rsid w:val="00C64818"/>
    <w:rsid w:val="00C65340"/>
    <w:rsid w:val="00C66370"/>
    <w:rsid w:val="00C67CCB"/>
    <w:rsid w:val="00C7163C"/>
    <w:rsid w:val="00C71C5D"/>
    <w:rsid w:val="00C71FB5"/>
    <w:rsid w:val="00C7203E"/>
    <w:rsid w:val="00C72B61"/>
    <w:rsid w:val="00C72D3A"/>
    <w:rsid w:val="00C735DA"/>
    <w:rsid w:val="00C75082"/>
    <w:rsid w:val="00C75CAE"/>
    <w:rsid w:val="00C75F06"/>
    <w:rsid w:val="00C76444"/>
    <w:rsid w:val="00C767A4"/>
    <w:rsid w:val="00C76A65"/>
    <w:rsid w:val="00C77201"/>
    <w:rsid w:val="00C77C54"/>
    <w:rsid w:val="00C77DC3"/>
    <w:rsid w:val="00C803B6"/>
    <w:rsid w:val="00C808E9"/>
    <w:rsid w:val="00C81F7B"/>
    <w:rsid w:val="00C82BB8"/>
    <w:rsid w:val="00C834D6"/>
    <w:rsid w:val="00C8357C"/>
    <w:rsid w:val="00C83D5B"/>
    <w:rsid w:val="00C83D6A"/>
    <w:rsid w:val="00C8459A"/>
    <w:rsid w:val="00C8563B"/>
    <w:rsid w:val="00C86057"/>
    <w:rsid w:val="00C861CE"/>
    <w:rsid w:val="00C91067"/>
    <w:rsid w:val="00C918BB"/>
    <w:rsid w:val="00C91B6D"/>
    <w:rsid w:val="00C9203C"/>
    <w:rsid w:val="00C923F2"/>
    <w:rsid w:val="00C92643"/>
    <w:rsid w:val="00C92956"/>
    <w:rsid w:val="00C94DC5"/>
    <w:rsid w:val="00C9509D"/>
    <w:rsid w:val="00C9533F"/>
    <w:rsid w:val="00C953D5"/>
    <w:rsid w:val="00C96133"/>
    <w:rsid w:val="00C967F6"/>
    <w:rsid w:val="00C96925"/>
    <w:rsid w:val="00C975AE"/>
    <w:rsid w:val="00CA116D"/>
    <w:rsid w:val="00CA40FD"/>
    <w:rsid w:val="00CA42A5"/>
    <w:rsid w:val="00CA468E"/>
    <w:rsid w:val="00CA4697"/>
    <w:rsid w:val="00CA4946"/>
    <w:rsid w:val="00CA4C99"/>
    <w:rsid w:val="00CA51D6"/>
    <w:rsid w:val="00CA6C2B"/>
    <w:rsid w:val="00CA701A"/>
    <w:rsid w:val="00CA75A9"/>
    <w:rsid w:val="00CA7F9F"/>
    <w:rsid w:val="00CB00EA"/>
    <w:rsid w:val="00CB171C"/>
    <w:rsid w:val="00CB1A52"/>
    <w:rsid w:val="00CB25A1"/>
    <w:rsid w:val="00CB402B"/>
    <w:rsid w:val="00CB6012"/>
    <w:rsid w:val="00CB6499"/>
    <w:rsid w:val="00CB651B"/>
    <w:rsid w:val="00CB66EC"/>
    <w:rsid w:val="00CB6C1F"/>
    <w:rsid w:val="00CB7883"/>
    <w:rsid w:val="00CB7A3A"/>
    <w:rsid w:val="00CB7ACD"/>
    <w:rsid w:val="00CC0E49"/>
    <w:rsid w:val="00CC11FD"/>
    <w:rsid w:val="00CC17ED"/>
    <w:rsid w:val="00CC302E"/>
    <w:rsid w:val="00CC30AA"/>
    <w:rsid w:val="00CC33FC"/>
    <w:rsid w:val="00CC354E"/>
    <w:rsid w:val="00CC373E"/>
    <w:rsid w:val="00CC3CC9"/>
    <w:rsid w:val="00CC400B"/>
    <w:rsid w:val="00CC47F6"/>
    <w:rsid w:val="00CC486F"/>
    <w:rsid w:val="00CC4B4D"/>
    <w:rsid w:val="00CC4CF3"/>
    <w:rsid w:val="00CC54A4"/>
    <w:rsid w:val="00CC7BDE"/>
    <w:rsid w:val="00CD18B1"/>
    <w:rsid w:val="00CD1D7B"/>
    <w:rsid w:val="00CD23BF"/>
    <w:rsid w:val="00CD3E80"/>
    <w:rsid w:val="00CD46C9"/>
    <w:rsid w:val="00CD4D26"/>
    <w:rsid w:val="00CD4F83"/>
    <w:rsid w:val="00CD5AB4"/>
    <w:rsid w:val="00CD69F7"/>
    <w:rsid w:val="00CD6C1C"/>
    <w:rsid w:val="00CD6F31"/>
    <w:rsid w:val="00CD7B6F"/>
    <w:rsid w:val="00CD7C16"/>
    <w:rsid w:val="00CE09EB"/>
    <w:rsid w:val="00CE0B77"/>
    <w:rsid w:val="00CE0E6D"/>
    <w:rsid w:val="00CE1029"/>
    <w:rsid w:val="00CE1B76"/>
    <w:rsid w:val="00CE1E1C"/>
    <w:rsid w:val="00CE2DEE"/>
    <w:rsid w:val="00CE58A1"/>
    <w:rsid w:val="00CE6D64"/>
    <w:rsid w:val="00CE7692"/>
    <w:rsid w:val="00CF093A"/>
    <w:rsid w:val="00CF0B15"/>
    <w:rsid w:val="00CF14BB"/>
    <w:rsid w:val="00CF1F16"/>
    <w:rsid w:val="00CF2C25"/>
    <w:rsid w:val="00CF44FF"/>
    <w:rsid w:val="00CF55D1"/>
    <w:rsid w:val="00CF5613"/>
    <w:rsid w:val="00CF653A"/>
    <w:rsid w:val="00CF6CC3"/>
    <w:rsid w:val="00CF70CC"/>
    <w:rsid w:val="00D00302"/>
    <w:rsid w:val="00D0146F"/>
    <w:rsid w:val="00D01630"/>
    <w:rsid w:val="00D016FB"/>
    <w:rsid w:val="00D01CA8"/>
    <w:rsid w:val="00D025D3"/>
    <w:rsid w:val="00D02653"/>
    <w:rsid w:val="00D02739"/>
    <w:rsid w:val="00D02900"/>
    <w:rsid w:val="00D03E88"/>
    <w:rsid w:val="00D04FBA"/>
    <w:rsid w:val="00D05C6F"/>
    <w:rsid w:val="00D063B4"/>
    <w:rsid w:val="00D06628"/>
    <w:rsid w:val="00D07249"/>
    <w:rsid w:val="00D07798"/>
    <w:rsid w:val="00D07F48"/>
    <w:rsid w:val="00D11C51"/>
    <w:rsid w:val="00D11E24"/>
    <w:rsid w:val="00D12C03"/>
    <w:rsid w:val="00D12F31"/>
    <w:rsid w:val="00D14525"/>
    <w:rsid w:val="00D1478B"/>
    <w:rsid w:val="00D149DE"/>
    <w:rsid w:val="00D14EE0"/>
    <w:rsid w:val="00D1531B"/>
    <w:rsid w:val="00D158A4"/>
    <w:rsid w:val="00D15C50"/>
    <w:rsid w:val="00D15D82"/>
    <w:rsid w:val="00D163DF"/>
    <w:rsid w:val="00D16697"/>
    <w:rsid w:val="00D16FBA"/>
    <w:rsid w:val="00D17249"/>
    <w:rsid w:val="00D175EB"/>
    <w:rsid w:val="00D2000B"/>
    <w:rsid w:val="00D20085"/>
    <w:rsid w:val="00D201AC"/>
    <w:rsid w:val="00D218B3"/>
    <w:rsid w:val="00D22503"/>
    <w:rsid w:val="00D2379D"/>
    <w:rsid w:val="00D239BD"/>
    <w:rsid w:val="00D25BF8"/>
    <w:rsid w:val="00D2736C"/>
    <w:rsid w:val="00D27441"/>
    <w:rsid w:val="00D2762C"/>
    <w:rsid w:val="00D276A3"/>
    <w:rsid w:val="00D3040E"/>
    <w:rsid w:val="00D30BFF"/>
    <w:rsid w:val="00D31269"/>
    <w:rsid w:val="00D318EC"/>
    <w:rsid w:val="00D31D29"/>
    <w:rsid w:val="00D331DC"/>
    <w:rsid w:val="00D345A6"/>
    <w:rsid w:val="00D34C86"/>
    <w:rsid w:val="00D34E3E"/>
    <w:rsid w:val="00D34F17"/>
    <w:rsid w:val="00D355D9"/>
    <w:rsid w:val="00D3577B"/>
    <w:rsid w:val="00D36109"/>
    <w:rsid w:val="00D36B19"/>
    <w:rsid w:val="00D36ED9"/>
    <w:rsid w:val="00D4044F"/>
    <w:rsid w:val="00D40ABB"/>
    <w:rsid w:val="00D41734"/>
    <w:rsid w:val="00D4264D"/>
    <w:rsid w:val="00D42696"/>
    <w:rsid w:val="00D43A2E"/>
    <w:rsid w:val="00D44C4A"/>
    <w:rsid w:val="00D450BF"/>
    <w:rsid w:val="00D456D7"/>
    <w:rsid w:val="00D45C01"/>
    <w:rsid w:val="00D46BD9"/>
    <w:rsid w:val="00D47FB3"/>
    <w:rsid w:val="00D50A90"/>
    <w:rsid w:val="00D519B9"/>
    <w:rsid w:val="00D528E8"/>
    <w:rsid w:val="00D52B69"/>
    <w:rsid w:val="00D5396F"/>
    <w:rsid w:val="00D53E0F"/>
    <w:rsid w:val="00D53F55"/>
    <w:rsid w:val="00D541EE"/>
    <w:rsid w:val="00D54AE6"/>
    <w:rsid w:val="00D5568A"/>
    <w:rsid w:val="00D564F4"/>
    <w:rsid w:val="00D56C5B"/>
    <w:rsid w:val="00D603BD"/>
    <w:rsid w:val="00D60C72"/>
    <w:rsid w:val="00D60D29"/>
    <w:rsid w:val="00D61BD1"/>
    <w:rsid w:val="00D625CE"/>
    <w:rsid w:val="00D62A3C"/>
    <w:rsid w:val="00D62D1E"/>
    <w:rsid w:val="00D64E10"/>
    <w:rsid w:val="00D65984"/>
    <w:rsid w:val="00D7003D"/>
    <w:rsid w:val="00D70B32"/>
    <w:rsid w:val="00D71509"/>
    <w:rsid w:val="00D7163B"/>
    <w:rsid w:val="00D71EE8"/>
    <w:rsid w:val="00D7285D"/>
    <w:rsid w:val="00D72C4E"/>
    <w:rsid w:val="00D7361A"/>
    <w:rsid w:val="00D738BF"/>
    <w:rsid w:val="00D74907"/>
    <w:rsid w:val="00D75075"/>
    <w:rsid w:val="00D75A01"/>
    <w:rsid w:val="00D769FF"/>
    <w:rsid w:val="00D77103"/>
    <w:rsid w:val="00D77CB1"/>
    <w:rsid w:val="00D81C49"/>
    <w:rsid w:val="00D81D0D"/>
    <w:rsid w:val="00D81F43"/>
    <w:rsid w:val="00D82220"/>
    <w:rsid w:val="00D82A30"/>
    <w:rsid w:val="00D83E1F"/>
    <w:rsid w:val="00D84F04"/>
    <w:rsid w:val="00D85509"/>
    <w:rsid w:val="00D85ED4"/>
    <w:rsid w:val="00D861A3"/>
    <w:rsid w:val="00D86631"/>
    <w:rsid w:val="00D87E80"/>
    <w:rsid w:val="00D91177"/>
    <w:rsid w:val="00D91351"/>
    <w:rsid w:val="00D91847"/>
    <w:rsid w:val="00D919D8"/>
    <w:rsid w:val="00D91AE8"/>
    <w:rsid w:val="00D927DD"/>
    <w:rsid w:val="00D92FBF"/>
    <w:rsid w:val="00D930D3"/>
    <w:rsid w:val="00D9384E"/>
    <w:rsid w:val="00D959D0"/>
    <w:rsid w:val="00D96ADB"/>
    <w:rsid w:val="00D96CAA"/>
    <w:rsid w:val="00D9705E"/>
    <w:rsid w:val="00DA1E09"/>
    <w:rsid w:val="00DA30DC"/>
    <w:rsid w:val="00DA3C59"/>
    <w:rsid w:val="00DA41DF"/>
    <w:rsid w:val="00DA450E"/>
    <w:rsid w:val="00DA4DB6"/>
    <w:rsid w:val="00DA5EC4"/>
    <w:rsid w:val="00DA6728"/>
    <w:rsid w:val="00DA6A2F"/>
    <w:rsid w:val="00DA7352"/>
    <w:rsid w:val="00DA760E"/>
    <w:rsid w:val="00DB0127"/>
    <w:rsid w:val="00DB028F"/>
    <w:rsid w:val="00DB1182"/>
    <w:rsid w:val="00DB122F"/>
    <w:rsid w:val="00DB288C"/>
    <w:rsid w:val="00DB2D41"/>
    <w:rsid w:val="00DB2DC5"/>
    <w:rsid w:val="00DB32DD"/>
    <w:rsid w:val="00DB41D9"/>
    <w:rsid w:val="00DB42D3"/>
    <w:rsid w:val="00DB4F6E"/>
    <w:rsid w:val="00DB5155"/>
    <w:rsid w:val="00DB56A4"/>
    <w:rsid w:val="00DB5CB2"/>
    <w:rsid w:val="00DB673E"/>
    <w:rsid w:val="00DB6FB2"/>
    <w:rsid w:val="00DC03DB"/>
    <w:rsid w:val="00DC06A1"/>
    <w:rsid w:val="00DC0B7C"/>
    <w:rsid w:val="00DC1740"/>
    <w:rsid w:val="00DC1A19"/>
    <w:rsid w:val="00DC2030"/>
    <w:rsid w:val="00DC2595"/>
    <w:rsid w:val="00DC2A8D"/>
    <w:rsid w:val="00DC2EAA"/>
    <w:rsid w:val="00DC457B"/>
    <w:rsid w:val="00DC4B15"/>
    <w:rsid w:val="00DC4C69"/>
    <w:rsid w:val="00DC4C95"/>
    <w:rsid w:val="00DC795E"/>
    <w:rsid w:val="00DD06F7"/>
    <w:rsid w:val="00DD0794"/>
    <w:rsid w:val="00DD0CA0"/>
    <w:rsid w:val="00DD0DAD"/>
    <w:rsid w:val="00DD109D"/>
    <w:rsid w:val="00DD191D"/>
    <w:rsid w:val="00DD1C81"/>
    <w:rsid w:val="00DD246E"/>
    <w:rsid w:val="00DD2CB2"/>
    <w:rsid w:val="00DD6640"/>
    <w:rsid w:val="00DD6B55"/>
    <w:rsid w:val="00DD6F44"/>
    <w:rsid w:val="00DD70C8"/>
    <w:rsid w:val="00DD74A5"/>
    <w:rsid w:val="00DE110C"/>
    <w:rsid w:val="00DE15A7"/>
    <w:rsid w:val="00DE2C05"/>
    <w:rsid w:val="00DE2D58"/>
    <w:rsid w:val="00DE3382"/>
    <w:rsid w:val="00DE3788"/>
    <w:rsid w:val="00DE37C7"/>
    <w:rsid w:val="00DE6228"/>
    <w:rsid w:val="00DE6B29"/>
    <w:rsid w:val="00DE6BEC"/>
    <w:rsid w:val="00DE7254"/>
    <w:rsid w:val="00DE7B34"/>
    <w:rsid w:val="00DF0161"/>
    <w:rsid w:val="00DF1697"/>
    <w:rsid w:val="00DF3E21"/>
    <w:rsid w:val="00DF4CCC"/>
    <w:rsid w:val="00DF52AB"/>
    <w:rsid w:val="00DF5634"/>
    <w:rsid w:val="00DF5E0E"/>
    <w:rsid w:val="00DF669D"/>
    <w:rsid w:val="00DF6A47"/>
    <w:rsid w:val="00E025E5"/>
    <w:rsid w:val="00E0288F"/>
    <w:rsid w:val="00E02E5D"/>
    <w:rsid w:val="00E02F80"/>
    <w:rsid w:val="00E036A0"/>
    <w:rsid w:val="00E03D15"/>
    <w:rsid w:val="00E0492D"/>
    <w:rsid w:val="00E04E41"/>
    <w:rsid w:val="00E05E32"/>
    <w:rsid w:val="00E064B8"/>
    <w:rsid w:val="00E067A3"/>
    <w:rsid w:val="00E06CF2"/>
    <w:rsid w:val="00E0747F"/>
    <w:rsid w:val="00E07BDC"/>
    <w:rsid w:val="00E10040"/>
    <w:rsid w:val="00E10786"/>
    <w:rsid w:val="00E114CD"/>
    <w:rsid w:val="00E11FE4"/>
    <w:rsid w:val="00E128E0"/>
    <w:rsid w:val="00E14FD5"/>
    <w:rsid w:val="00E15DC8"/>
    <w:rsid w:val="00E162CB"/>
    <w:rsid w:val="00E16A4A"/>
    <w:rsid w:val="00E17891"/>
    <w:rsid w:val="00E17CAC"/>
    <w:rsid w:val="00E207B6"/>
    <w:rsid w:val="00E21032"/>
    <w:rsid w:val="00E210D4"/>
    <w:rsid w:val="00E21F48"/>
    <w:rsid w:val="00E22F1C"/>
    <w:rsid w:val="00E27FE2"/>
    <w:rsid w:val="00E30ACC"/>
    <w:rsid w:val="00E30FC2"/>
    <w:rsid w:val="00E32308"/>
    <w:rsid w:val="00E32718"/>
    <w:rsid w:val="00E32D76"/>
    <w:rsid w:val="00E342E7"/>
    <w:rsid w:val="00E3442B"/>
    <w:rsid w:val="00E345DF"/>
    <w:rsid w:val="00E34E1E"/>
    <w:rsid w:val="00E37473"/>
    <w:rsid w:val="00E37544"/>
    <w:rsid w:val="00E37C69"/>
    <w:rsid w:val="00E406B1"/>
    <w:rsid w:val="00E40764"/>
    <w:rsid w:val="00E42A96"/>
    <w:rsid w:val="00E42C97"/>
    <w:rsid w:val="00E4371F"/>
    <w:rsid w:val="00E43ED3"/>
    <w:rsid w:val="00E44273"/>
    <w:rsid w:val="00E451E1"/>
    <w:rsid w:val="00E471C2"/>
    <w:rsid w:val="00E518C2"/>
    <w:rsid w:val="00E5197B"/>
    <w:rsid w:val="00E51FD5"/>
    <w:rsid w:val="00E5279F"/>
    <w:rsid w:val="00E527DB"/>
    <w:rsid w:val="00E53EE9"/>
    <w:rsid w:val="00E54686"/>
    <w:rsid w:val="00E54767"/>
    <w:rsid w:val="00E548BE"/>
    <w:rsid w:val="00E54CAF"/>
    <w:rsid w:val="00E54E1E"/>
    <w:rsid w:val="00E55746"/>
    <w:rsid w:val="00E55FBD"/>
    <w:rsid w:val="00E567AA"/>
    <w:rsid w:val="00E575D9"/>
    <w:rsid w:val="00E61989"/>
    <w:rsid w:val="00E61B50"/>
    <w:rsid w:val="00E621E6"/>
    <w:rsid w:val="00E62440"/>
    <w:rsid w:val="00E624E9"/>
    <w:rsid w:val="00E62A3D"/>
    <w:rsid w:val="00E6310C"/>
    <w:rsid w:val="00E63D3F"/>
    <w:rsid w:val="00E6420C"/>
    <w:rsid w:val="00E64579"/>
    <w:rsid w:val="00E656AA"/>
    <w:rsid w:val="00E65AB7"/>
    <w:rsid w:val="00E66955"/>
    <w:rsid w:val="00E66AB4"/>
    <w:rsid w:val="00E677EB"/>
    <w:rsid w:val="00E70296"/>
    <w:rsid w:val="00E705EE"/>
    <w:rsid w:val="00E70DA4"/>
    <w:rsid w:val="00E72355"/>
    <w:rsid w:val="00E72638"/>
    <w:rsid w:val="00E72BC7"/>
    <w:rsid w:val="00E736B4"/>
    <w:rsid w:val="00E748DB"/>
    <w:rsid w:val="00E74A58"/>
    <w:rsid w:val="00E75393"/>
    <w:rsid w:val="00E758CC"/>
    <w:rsid w:val="00E75AB4"/>
    <w:rsid w:val="00E7739F"/>
    <w:rsid w:val="00E80D02"/>
    <w:rsid w:val="00E810F5"/>
    <w:rsid w:val="00E8117F"/>
    <w:rsid w:val="00E8192B"/>
    <w:rsid w:val="00E8284C"/>
    <w:rsid w:val="00E82DAA"/>
    <w:rsid w:val="00E82E7C"/>
    <w:rsid w:val="00E831A8"/>
    <w:rsid w:val="00E85DAA"/>
    <w:rsid w:val="00E85E5C"/>
    <w:rsid w:val="00E86EB7"/>
    <w:rsid w:val="00E86F7A"/>
    <w:rsid w:val="00E874B7"/>
    <w:rsid w:val="00E8764E"/>
    <w:rsid w:val="00E877B3"/>
    <w:rsid w:val="00E87DD3"/>
    <w:rsid w:val="00E9082B"/>
    <w:rsid w:val="00E90F8C"/>
    <w:rsid w:val="00E9187E"/>
    <w:rsid w:val="00E91F4E"/>
    <w:rsid w:val="00E91FFF"/>
    <w:rsid w:val="00E92E5E"/>
    <w:rsid w:val="00E95160"/>
    <w:rsid w:val="00E952B9"/>
    <w:rsid w:val="00E95F79"/>
    <w:rsid w:val="00E962F0"/>
    <w:rsid w:val="00E96819"/>
    <w:rsid w:val="00E97A11"/>
    <w:rsid w:val="00E97DFA"/>
    <w:rsid w:val="00EA043F"/>
    <w:rsid w:val="00EA0A86"/>
    <w:rsid w:val="00EA0F5E"/>
    <w:rsid w:val="00EA1484"/>
    <w:rsid w:val="00EA2E5F"/>
    <w:rsid w:val="00EA311E"/>
    <w:rsid w:val="00EA5CB7"/>
    <w:rsid w:val="00EA5F17"/>
    <w:rsid w:val="00EA64DB"/>
    <w:rsid w:val="00EA65B1"/>
    <w:rsid w:val="00EA704F"/>
    <w:rsid w:val="00EA78F6"/>
    <w:rsid w:val="00EA7A7F"/>
    <w:rsid w:val="00EB19B7"/>
    <w:rsid w:val="00EB1C57"/>
    <w:rsid w:val="00EB2472"/>
    <w:rsid w:val="00EB47C4"/>
    <w:rsid w:val="00EB524E"/>
    <w:rsid w:val="00EB5540"/>
    <w:rsid w:val="00EB5B9D"/>
    <w:rsid w:val="00EB5D8C"/>
    <w:rsid w:val="00EB60CF"/>
    <w:rsid w:val="00EB63BF"/>
    <w:rsid w:val="00EB7489"/>
    <w:rsid w:val="00EB7AAE"/>
    <w:rsid w:val="00EC17B2"/>
    <w:rsid w:val="00EC1F21"/>
    <w:rsid w:val="00EC2538"/>
    <w:rsid w:val="00EC38BD"/>
    <w:rsid w:val="00EC3FBC"/>
    <w:rsid w:val="00EC4C61"/>
    <w:rsid w:val="00EC4D16"/>
    <w:rsid w:val="00EC506D"/>
    <w:rsid w:val="00EC56BE"/>
    <w:rsid w:val="00EC57A4"/>
    <w:rsid w:val="00EC5A91"/>
    <w:rsid w:val="00EC6BFB"/>
    <w:rsid w:val="00ED09C7"/>
    <w:rsid w:val="00ED14C0"/>
    <w:rsid w:val="00ED1DD1"/>
    <w:rsid w:val="00ED1E0E"/>
    <w:rsid w:val="00ED1F81"/>
    <w:rsid w:val="00ED21C9"/>
    <w:rsid w:val="00ED21EF"/>
    <w:rsid w:val="00ED24AB"/>
    <w:rsid w:val="00ED36F5"/>
    <w:rsid w:val="00ED4E75"/>
    <w:rsid w:val="00ED5635"/>
    <w:rsid w:val="00ED7552"/>
    <w:rsid w:val="00ED7EF5"/>
    <w:rsid w:val="00EE0479"/>
    <w:rsid w:val="00EE078F"/>
    <w:rsid w:val="00EE1B1C"/>
    <w:rsid w:val="00EE2A42"/>
    <w:rsid w:val="00EE3E65"/>
    <w:rsid w:val="00EE516D"/>
    <w:rsid w:val="00EE644D"/>
    <w:rsid w:val="00EE7B28"/>
    <w:rsid w:val="00EF0B68"/>
    <w:rsid w:val="00EF2914"/>
    <w:rsid w:val="00EF3B7B"/>
    <w:rsid w:val="00EF3C34"/>
    <w:rsid w:val="00EF479C"/>
    <w:rsid w:val="00EF4892"/>
    <w:rsid w:val="00EF4B48"/>
    <w:rsid w:val="00EF5888"/>
    <w:rsid w:val="00EF749D"/>
    <w:rsid w:val="00EF7779"/>
    <w:rsid w:val="00F004C1"/>
    <w:rsid w:val="00F0163D"/>
    <w:rsid w:val="00F0191C"/>
    <w:rsid w:val="00F01FB9"/>
    <w:rsid w:val="00F03511"/>
    <w:rsid w:val="00F04832"/>
    <w:rsid w:val="00F04F13"/>
    <w:rsid w:val="00F055DF"/>
    <w:rsid w:val="00F060DF"/>
    <w:rsid w:val="00F06F08"/>
    <w:rsid w:val="00F0756D"/>
    <w:rsid w:val="00F075E8"/>
    <w:rsid w:val="00F07730"/>
    <w:rsid w:val="00F07D84"/>
    <w:rsid w:val="00F07E16"/>
    <w:rsid w:val="00F10052"/>
    <w:rsid w:val="00F1015F"/>
    <w:rsid w:val="00F11300"/>
    <w:rsid w:val="00F115E2"/>
    <w:rsid w:val="00F13824"/>
    <w:rsid w:val="00F15375"/>
    <w:rsid w:val="00F158F3"/>
    <w:rsid w:val="00F15E4B"/>
    <w:rsid w:val="00F160F4"/>
    <w:rsid w:val="00F1637B"/>
    <w:rsid w:val="00F167A3"/>
    <w:rsid w:val="00F16FC4"/>
    <w:rsid w:val="00F17129"/>
    <w:rsid w:val="00F178A3"/>
    <w:rsid w:val="00F17B50"/>
    <w:rsid w:val="00F20971"/>
    <w:rsid w:val="00F20C65"/>
    <w:rsid w:val="00F22AB2"/>
    <w:rsid w:val="00F22C94"/>
    <w:rsid w:val="00F24DB7"/>
    <w:rsid w:val="00F25367"/>
    <w:rsid w:val="00F262D4"/>
    <w:rsid w:val="00F2633E"/>
    <w:rsid w:val="00F27295"/>
    <w:rsid w:val="00F27920"/>
    <w:rsid w:val="00F3045A"/>
    <w:rsid w:val="00F3147B"/>
    <w:rsid w:val="00F326CB"/>
    <w:rsid w:val="00F32D12"/>
    <w:rsid w:val="00F335E8"/>
    <w:rsid w:val="00F33602"/>
    <w:rsid w:val="00F337DC"/>
    <w:rsid w:val="00F33F5F"/>
    <w:rsid w:val="00F349A1"/>
    <w:rsid w:val="00F34F95"/>
    <w:rsid w:val="00F35A4A"/>
    <w:rsid w:val="00F37D50"/>
    <w:rsid w:val="00F37E88"/>
    <w:rsid w:val="00F40038"/>
    <w:rsid w:val="00F40148"/>
    <w:rsid w:val="00F40BB9"/>
    <w:rsid w:val="00F4127F"/>
    <w:rsid w:val="00F42630"/>
    <w:rsid w:val="00F4274B"/>
    <w:rsid w:val="00F434FB"/>
    <w:rsid w:val="00F44D08"/>
    <w:rsid w:val="00F44DBD"/>
    <w:rsid w:val="00F45EA9"/>
    <w:rsid w:val="00F45EBA"/>
    <w:rsid w:val="00F462C3"/>
    <w:rsid w:val="00F464DE"/>
    <w:rsid w:val="00F46E1B"/>
    <w:rsid w:val="00F47834"/>
    <w:rsid w:val="00F47DA6"/>
    <w:rsid w:val="00F47DC7"/>
    <w:rsid w:val="00F47E9D"/>
    <w:rsid w:val="00F5028F"/>
    <w:rsid w:val="00F50D70"/>
    <w:rsid w:val="00F50E77"/>
    <w:rsid w:val="00F52047"/>
    <w:rsid w:val="00F52F9C"/>
    <w:rsid w:val="00F5304C"/>
    <w:rsid w:val="00F540E1"/>
    <w:rsid w:val="00F554FB"/>
    <w:rsid w:val="00F56031"/>
    <w:rsid w:val="00F57CB2"/>
    <w:rsid w:val="00F60571"/>
    <w:rsid w:val="00F60A62"/>
    <w:rsid w:val="00F615DD"/>
    <w:rsid w:val="00F62A5F"/>
    <w:rsid w:val="00F62D75"/>
    <w:rsid w:val="00F644BD"/>
    <w:rsid w:val="00F650DC"/>
    <w:rsid w:val="00F66557"/>
    <w:rsid w:val="00F66617"/>
    <w:rsid w:val="00F66784"/>
    <w:rsid w:val="00F6705A"/>
    <w:rsid w:val="00F67962"/>
    <w:rsid w:val="00F7097B"/>
    <w:rsid w:val="00F70AB0"/>
    <w:rsid w:val="00F736B0"/>
    <w:rsid w:val="00F74A6D"/>
    <w:rsid w:val="00F759E5"/>
    <w:rsid w:val="00F762A7"/>
    <w:rsid w:val="00F76362"/>
    <w:rsid w:val="00F76757"/>
    <w:rsid w:val="00F778BA"/>
    <w:rsid w:val="00F77EDC"/>
    <w:rsid w:val="00F80D00"/>
    <w:rsid w:val="00F81DD3"/>
    <w:rsid w:val="00F84D20"/>
    <w:rsid w:val="00F856C8"/>
    <w:rsid w:val="00F857E3"/>
    <w:rsid w:val="00F86ACE"/>
    <w:rsid w:val="00F86B9B"/>
    <w:rsid w:val="00F87A26"/>
    <w:rsid w:val="00F9057A"/>
    <w:rsid w:val="00F91927"/>
    <w:rsid w:val="00F91EE5"/>
    <w:rsid w:val="00F923EC"/>
    <w:rsid w:val="00F92578"/>
    <w:rsid w:val="00F92FDC"/>
    <w:rsid w:val="00F93D46"/>
    <w:rsid w:val="00F93E25"/>
    <w:rsid w:val="00F94594"/>
    <w:rsid w:val="00F94935"/>
    <w:rsid w:val="00F955F8"/>
    <w:rsid w:val="00F9686F"/>
    <w:rsid w:val="00F96C76"/>
    <w:rsid w:val="00F96D27"/>
    <w:rsid w:val="00F96EEA"/>
    <w:rsid w:val="00F979F9"/>
    <w:rsid w:val="00F97FC7"/>
    <w:rsid w:val="00F97FD4"/>
    <w:rsid w:val="00FA0495"/>
    <w:rsid w:val="00FA0828"/>
    <w:rsid w:val="00FA1299"/>
    <w:rsid w:val="00FA1F7A"/>
    <w:rsid w:val="00FA21F6"/>
    <w:rsid w:val="00FA2EAB"/>
    <w:rsid w:val="00FA34E4"/>
    <w:rsid w:val="00FA4617"/>
    <w:rsid w:val="00FA47BB"/>
    <w:rsid w:val="00FA4F28"/>
    <w:rsid w:val="00FA52AE"/>
    <w:rsid w:val="00FA5BB1"/>
    <w:rsid w:val="00FA665B"/>
    <w:rsid w:val="00FA75BE"/>
    <w:rsid w:val="00FA7665"/>
    <w:rsid w:val="00FA78C5"/>
    <w:rsid w:val="00FA7DB1"/>
    <w:rsid w:val="00FB0F16"/>
    <w:rsid w:val="00FB1555"/>
    <w:rsid w:val="00FB1C38"/>
    <w:rsid w:val="00FB2209"/>
    <w:rsid w:val="00FB2FEA"/>
    <w:rsid w:val="00FB3450"/>
    <w:rsid w:val="00FB3895"/>
    <w:rsid w:val="00FB3CC4"/>
    <w:rsid w:val="00FB3E3A"/>
    <w:rsid w:val="00FB4569"/>
    <w:rsid w:val="00FB49F5"/>
    <w:rsid w:val="00FB4D02"/>
    <w:rsid w:val="00FB552B"/>
    <w:rsid w:val="00FB5B17"/>
    <w:rsid w:val="00FC0FEF"/>
    <w:rsid w:val="00FC22F7"/>
    <w:rsid w:val="00FC26AB"/>
    <w:rsid w:val="00FC34D6"/>
    <w:rsid w:val="00FC47AA"/>
    <w:rsid w:val="00FC5B17"/>
    <w:rsid w:val="00FC6593"/>
    <w:rsid w:val="00FC780F"/>
    <w:rsid w:val="00FC795E"/>
    <w:rsid w:val="00FC7974"/>
    <w:rsid w:val="00FC7C8F"/>
    <w:rsid w:val="00FD1369"/>
    <w:rsid w:val="00FD1A86"/>
    <w:rsid w:val="00FD287D"/>
    <w:rsid w:val="00FD4028"/>
    <w:rsid w:val="00FD61CD"/>
    <w:rsid w:val="00FD729B"/>
    <w:rsid w:val="00FD78FB"/>
    <w:rsid w:val="00FE0AAA"/>
    <w:rsid w:val="00FE0EED"/>
    <w:rsid w:val="00FE13F0"/>
    <w:rsid w:val="00FE1AD5"/>
    <w:rsid w:val="00FE240A"/>
    <w:rsid w:val="00FE3D79"/>
    <w:rsid w:val="00FE44E3"/>
    <w:rsid w:val="00FE5DD8"/>
    <w:rsid w:val="00FE668B"/>
    <w:rsid w:val="00FF0187"/>
    <w:rsid w:val="00FF03B6"/>
    <w:rsid w:val="00FF09DA"/>
    <w:rsid w:val="00FF2E70"/>
    <w:rsid w:val="00FF449C"/>
    <w:rsid w:val="00FF56A0"/>
    <w:rsid w:val="00FF5794"/>
    <w:rsid w:val="00FF5EC6"/>
    <w:rsid w:val="00FF5ECA"/>
    <w:rsid w:val="00FF67F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F105"/>
  <w15:chartTrackingRefBased/>
  <w15:docId w15:val="{C67A62CB-60AC-413F-A88F-E4133A48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70B8"/>
    <w:pPr>
      <w:ind w:left="720"/>
      <w:contextualSpacing/>
    </w:pPr>
  </w:style>
  <w:style w:type="character" w:styleId="Hyperlink">
    <w:name w:val="Hyperlink"/>
    <w:basedOn w:val="DefaultParagraphFont"/>
    <w:uiPriority w:val="99"/>
    <w:unhideWhenUsed/>
    <w:rsid w:val="000647A7"/>
    <w:rPr>
      <w:color w:val="0000FF"/>
      <w:u w:val="single"/>
    </w:rPr>
  </w:style>
  <w:style w:type="paragraph" w:styleId="Header">
    <w:name w:val="header"/>
    <w:basedOn w:val="Normal"/>
    <w:link w:val="HeaderChar"/>
    <w:uiPriority w:val="99"/>
    <w:unhideWhenUsed/>
    <w:rsid w:val="00F47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E9D"/>
  </w:style>
  <w:style w:type="paragraph" w:styleId="Footer">
    <w:name w:val="footer"/>
    <w:basedOn w:val="Normal"/>
    <w:link w:val="FooterChar"/>
    <w:uiPriority w:val="99"/>
    <w:unhideWhenUsed/>
    <w:rsid w:val="00F47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E9D"/>
  </w:style>
  <w:style w:type="paragraph" w:customStyle="1" w:styleId="Para2lines">
    <w:name w:val="Para 2 lines"/>
    <w:basedOn w:val="Normal"/>
    <w:link w:val="Para2linesChar"/>
    <w:uiPriority w:val="10"/>
    <w:qFormat/>
    <w:rsid w:val="005351F5"/>
    <w:pPr>
      <w:spacing w:afterLines="200" w:after="200" w:line="360" w:lineRule="auto"/>
      <w:ind w:firstLine="720"/>
      <w:jc w:val="both"/>
    </w:pPr>
    <w:rPr>
      <w:rFonts w:ascii="Times New Roman" w:hAnsi="Times New Roman"/>
      <w:sz w:val="24"/>
    </w:rPr>
  </w:style>
  <w:style w:type="character" w:customStyle="1" w:styleId="Para2linesChar">
    <w:name w:val="Para 2 lines Char"/>
    <w:basedOn w:val="DefaultParagraphFont"/>
    <w:link w:val="Para2lines"/>
    <w:uiPriority w:val="10"/>
    <w:rsid w:val="005351F5"/>
    <w:rPr>
      <w:rFonts w:ascii="Times New Roman" w:hAnsi="Times New Roman"/>
      <w:sz w:val="24"/>
    </w:rPr>
  </w:style>
  <w:style w:type="paragraph" w:customStyle="1" w:styleId="EndNoteBibliography">
    <w:name w:val="EndNote Bibliography"/>
    <w:basedOn w:val="Normal"/>
    <w:link w:val="EndNoteBibliographyChar"/>
    <w:rsid w:val="00B87B0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87B06"/>
    <w:rPr>
      <w:rFonts w:ascii="Calibri" w:hAnsi="Calibri" w:cs="Calibri"/>
      <w:noProof/>
      <w:lang w:val="en-US"/>
    </w:rPr>
  </w:style>
  <w:style w:type="paragraph" w:customStyle="1" w:styleId="Para4lines">
    <w:name w:val="Para 4 lines"/>
    <w:basedOn w:val="Normal"/>
    <w:link w:val="Para4linesChar"/>
    <w:uiPriority w:val="10"/>
    <w:qFormat/>
    <w:rsid w:val="00194239"/>
    <w:pPr>
      <w:spacing w:afterLines="400" w:after="400" w:line="360" w:lineRule="auto"/>
      <w:ind w:firstLine="720"/>
      <w:jc w:val="both"/>
    </w:pPr>
    <w:rPr>
      <w:rFonts w:ascii="Times New Roman" w:hAnsi="Times New Roman"/>
      <w:sz w:val="24"/>
    </w:rPr>
  </w:style>
  <w:style w:type="character" w:customStyle="1" w:styleId="Para4linesChar">
    <w:name w:val="Para 4 lines Char"/>
    <w:basedOn w:val="DefaultParagraphFont"/>
    <w:link w:val="Para4lines"/>
    <w:uiPriority w:val="10"/>
    <w:rsid w:val="00194239"/>
    <w:rPr>
      <w:rFonts w:ascii="Times New Roman" w:hAnsi="Times New Roman"/>
      <w:sz w:val="24"/>
    </w:rPr>
  </w:style>
  <w:style w:type="character" w:styleId="PlaceholderText">
    <w:name w:val="Placeholder Text"/>
    <w:basedOn w:val="DefaultParagraphFont"/>
    <w:uiPriority w:val="99"/>
    <w:semiHidden/>
    <w:rsid w:val="00260716"/>
    <w:rPr>
      <w:color w:val="808080"/>
    </w:rPr>
  </w:style>
  <w:style w:type="table" w:styleId="TableGrid">
    <w:name w:val="Table Grid"/>
    <w:basedOn w:val="TableNormal"/>
    <w:uiPriority w:val="39"/>
    <w:rsid w:val="0087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74A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74A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rsid w:val="001F1EC9"/>
    <w:rPr>
      <w:color w:val="605E5C"/>
      <w:shd w:val="clear" w:color="auto" w:fill="E1DFDD"/>
    </w:rPr>
  </w:style>
  <w:style w:type="character" w:styleId="CommentReference">
    <w:name w:val="annotation reference"/>
    <w:basedOn w:val="DefaultParagraphFont"/>
    <w:uiPriority w:val="99"/>
    <w:semiHidden/>
    <w:unhideWhenUsed/>
    <w:rsid w:val="0057400E"/>
    <w:rPr>
      <w:sz w:val="16"/>
      <w:szCs w:val="16"/>
    </w:rPr>
  </w:style>
  <w:style w:type="paragraph" w:styleId="CommentText">
    <w:name w:val="annotation text"/>
    <w:basedOn w:val="Normal"/>
    <w:link w:val="CommentTextChar"/>
    <w:uiPriority w:val="99"/>
    <w:unhideWhenUsed/>
    <w:rsid w:val="0057400E"/>
    <w:pPr>
      <w:spacing w:line="240" w:lineRule="auto"/>
    </w:pPr>
    <w:rPr>
      <w:sz w:val="20"/>
      <w:szCs w:val="20"/>
    </w:rPr>
  </w:style>
  <w:style w:type="character" w:customStyle="1" w:styleId="CommentTextChar">
    <w:name w:val="Comment Text Char"/>
    <w:basedOn w:val="DefaultParagraphFont"/>
    <w:link w:val="CommentText"/>
    <w:uiPriority w:val="99"/>
    <w:rsid w:val="0057400E"/>
    <w:rPr>
      <w:sz w:val="20"/>
      <w:szCs w:val="20"/>
    </w:rPr>
  </w:style>
  <w:style w:type="paragraph" w:styleId="CommentSubject">
    <w:name w:val="annotation subject"/>
    <w:basedOn w:val="CommentText"/>
    <w:next w:val="CommentText"/>
    <w:link w:val="CommentSubjectChar"/>
    <w:uiPriority w:val="99"/>
    <w:semiHidden/>
    <w:unhideWhenUsed/>
    <w:rsid w:val="0057400E"/>
    <w:rPr>
      <w:b/>
      <w:bCs/>
    </w:rPr>
  </w:style>
  <w:style w:type="character" w:customStyle="1" w:styleId="CommentSubjectChar">
    <w:name w:val="Comment Subject Char"/>
    <w:basedOn w:val="CommentTextChar"/>
    <w:link w:val="CommentSubject"/>
    <w:uiPriority w:val="99"/>
    <w:semiHidden/>
    <w:rsid w:val="0057400E"/>
    <w:rPr>
      <w:b/>
      <w:bCs/>
      <w:sz w:val="20"/>
      <w:szCs w:val="20"/>
    </w:rPr>
  </w:style>
  <w:style w:type="paragraph" w:styleId="BalloonText">
    <w:name w:val="Balloon Text"/>
    <w:basedOn w:val="Normal"/>
    <w:link w:val="BalloonTextChar"/>
    <w:uiPriority w:val="99"/>
    <w:semiHidden/>
    <w:unhideWhenUsed/>
    <w:rsid w:val="00574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0E"/>
    <w:rPr>
      <w:rFonts w:ascii="Segoe UI" w:hAnsi="Segoe UI" w:cs="Segoe UI"/>
      <w:sz w:val="18"/>
      <w:szCs w:val="18"/>
    </w:rPr>
  </w:style>
  <w:style w:type="character" w:styleId="LineNumber">
    <w:name w:val="line number"/>
    <w:basedOn w:val="DefaultParagraphFont"/>
    <w:uiPriority w:val="99"/>
    <w:semiHidden/>
    <w:unhideWhenUsed/>
    <w:rsid w:val="00974880"/>
  </w:style>
  <w:style w:type="table" w:customStyle="1" w:styleId="PlainTable21">
    <w:name w:val="Plain Table 21"/>
    <w:basedOn w:val="TableNormal"/>
    <w:next w:val="PlainTable2"/>
    <w:uiPriority w:val="42"/>
    <w:rsid w:val="007B56E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next w:val="PlainTable2"/>
    <w:uiPriority w:val="42"/>
    <w:rsid w:val="007B56EE"/>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2">
    <w:name w:val="Unresolved Mention2"/>
    <w:basedOn w:val="DefaultParagraphFont"/>
    <w:uiPriority w:val="99"/>
    <w:semiHidden/>
    <w:unhideWhenUsed/>
    <w:rsid w:val="00B01FFD"/>
    <w:rPr>
      <w:color w:val="605E5C"/>
      <w:shd w:val="clear" w:color="auto" w:fill="E1DFDD"/>
    </w:rPr>
  </w:style>
  <w:style w:type="paragraph" w:customStyle="1" w:styleId="reference">
    <w:name w:val="reference"/>
    <w:basedOn w:val="Normal"/>
    <w:rsid w:val="00936F84"/>
    <w:pPr>
      <w:numPr>
        <w:numId w:val="11"/>
      </w:numPr>
      <w:tabs>
        <w:tab w:val="left" w:pos="-437"/>
        <w:tab w:val="num" w:pos="284"/>
      </w:tabs>
      <w:suppressAutoHyphens/>
      <w:autoSpaceDE w:val="0"/>
      <w:autoSpaceDN w:val="0"/>
      <w:spacing w:after="0" w:line="240" w:lineRule="auto"/>
      <w:ind w:left="284" w:hanging="295"/>
      <w:jc w:val="both"/>
    </w:pPr>
    <w:rPr>
      <w:rFonts w:ascii="Times New Roman" w:eastAsia="Times New Roman" w:hAnsi="Times New Roman" w:cs="Times New Roman"/>
      <w:spacing w:val="-3"/>
      <w:sz w:val="24"/>
      <w:szCs w:val="24"/>
      <w:lang w:val="en-GB"/>
    </w:rPr>
  </w:style>
  <w:style w:type="character" w:styleId="UnresolvedMention">
    <w:name w:val="Unresolved Mention"/>
    <w:basedOn w:val="DefaultParagraphFont"/>
    <w:uiPriority w:val="99"/>
    <w:semiHidden/>
    <w:unhideWhenUsed/>
    <w:rsid w:val="00F055DF"/>
    <w:rPr>
      <w:color w:val="605E5C"/>
      <w:shd w:val="clear" w:color="auto" w:fill="E1DFDD"/>
    </w:rPr>
  </w:style>
  <w:style w:type="character" w:styleId="FollowedHyperlink">
    <w:name w:val="FollowedHyperlink"/>
    <w:basedOn w:val="DefaultParagraphFont"/>
    <w:uiPriority w:val="99"/>
    <w:semiHidden/>
    <w:unhideWhenUsed/>
    <w:rsid w:val="00355AFF"/>
    <w:rPr>
      <w:color w:val="954F72" w:themeColor="followedHyperlink"/>
      <w:u w:val="single"/>
    </w:rPr>
  </w:style>
  <w:style w:type="paragraph" w:styleId="Revision">
    <w:name w:val="Revision"/>
    <w:hidden/>
    <w:uiPriority w:val="99"/>
    <w:semiHidden/>
    <w:rsid w:val="00797849"/>
    <w:pPr>
      <w:spacing w:after="0" w:line="240" w:lineRule="auto"/>
    </w:pPr>
  </w:style>
  <w:style w:type="paragraph" w:customStyle="1" w:styleId="Default">
    <w:name w:val="Default"/>
    <w:rsid w:val="00FB1C3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37C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C57"/>
    <w:rPr>
      <w:sz w:val="20"/>
      <w:szCs w:val="20"/>
    </w:rPr>
  </w:style>
  <w:style w:type="character" w:styleId="FootnoteReference">
    <w:name w:val="footnote reference"/>
    <w:basedOn w:val="DefaultParagraphFont"/>
    <w:uiPriority w:val="99"/>
    <w:semiHidden/>
    <w:unhideWhenUsed/>
    <w:rsid w:val="00737C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5480">
      <w:bodyDiv w:val="1"/>
      <w:marLeft w:val="0"/>
      <w:marRight w:val="0"/>
      <w:marTop w:val="0"/>
      <w:marBottom w:val="0"/>
      <w:divBdr>
        <w:top w:val="none" w:sz="0" w:space="0" w:color="auto"/>
        <w:left w:val="none" w:sz="0" w:space="0" w:color="auto"/>
        <w:bottom w:val="none" w:sz="0" w:space="0" w:color="auto"/>
        <w:right w:val="none" w:sz="0" w:space="0" w:color="auto"/>
      </w:divBdr>
    </w:div>
    <w:div w:id="736053516">
      <w:bodyDiv w:val="1"/>
      <w:marLeft w:val="0"/>
      <w:marRight w:val="0"/>
      <w:marTop w:val="0"/>
      <w:marBottom w:val="0"/>
      <w:divBdr>
        <w:top w:val="none" w:sz="0" w:space="0" w:color="auto"/>
        <w:left w:val="none" w:sz="0" w:space="0" w:color="auto"/>
        <w:bottom w:val="none" w:sz="0" w:space="0" w:color="auto"/>
        <w:right w:val="none" w:sz="0" w:space="0" w:color="auto"/>
      </w:divBdr>
    </w:div>
    <w:div w:id="17825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gov.my/en/contents/files/download/111/National_Energy_Balance_2018.pdf" TargetMode="External"/><Relationship Id="rId18" Type="http://schemas.openxmlformats.org/officeDocument/2006/relationships/hyperlink" Target="https://www.doe.gov.my/portalv1/wpcontent/uploads/2015/01/Environmental_Quality_Prescribed_Premises_Crude_Palm_Oil_Regulations_1977_-_P.U.A_342-77.pdf;19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nb.com.my/assets/files/Tariff_Rate_Final_01.Jan.2014.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palmoilworld.org/PDFs/NKEA-EPP5-Biogas.pdf;201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orldbiogasassociation.org/wp-content/uploads/2019/03/WBA-malaysia-4ppa4_v1.pdf" TargetMode="External"/><Relationship Id="rId20" Type="http://schemas.openxmlformats.org/officeDocument/2006/relationships/hyperlink" Target="https://www.myhijau.my/wp-content/uploads/2019/05/Guidelines-for-Green-Technology-Tax-Incentive-Rev.1-March-2019.pdf;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www.adb.org/sites/default/files/publication/469821/korea-emissions-trading-scheme.pdf;2018" TargetMode="External"/><Relationship Id="rId5" Type="http://schemas.openxmlformats.org/officeDocument/2006/relationships/webSettings" Target="webSettings.xml"/><Relationship Id="rId15" Type="http://schemas.openxmlformats.org/officeDocument/2006/relationships/hyperlink" Target="https://meih.st.gov.my/documents/10620/5bb0f85c-fc99-4743-a8a9-8ee0d65f1299;2014" TargetMode="External"/><Relationship Id="rId23" Type="http://schemas.openxmlformats.org/officeDocument/2006/relationships/hyperlink" Target="https://energypedia.info/wiki/Financing_%26_Public_Support_of_Biogas_Plants;2020" TargetMode="External"/><Relationship Id="rId10" Type="http://schemas.openxmlformats.org/officeDocument/2006/relationships/chart" Target="charts/chart1.xml"/><Relationship Id="rId19" Type="http://schemas.openxmlformats.org/officeDocument/2006/relationships/hyperlink" Target="https://e-lesen.mpob.gov.my/document/CRITERIA%20AND%20GUIDELINES%20ON%20MPOB%20LICENSE%20APPLICATION%20cetakan%202018%20ENGLISH.pdf;201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da.gov.my/policies/national-renewable-energy-policy-and-action-plan-2009/" TargetMode="External"/><Relationship Id="rId22" Type="http://schemas.openxmlformats.org/officeDocument/2006/relationships/hyperlink" Target="https://www4.unfccc.int/sites/submissions/INDC/Published%20Documents/Malaysia/1/INDC%20Malaysia%20Final%2027%20November%202015%20Revised%20Final%20UNFCCC.pdf"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vy\Desktop\PhD\Hard%20bound\Viva\Economic\CBA\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nvy\Desktop\PhD\Hard%20bound\Viva\Economic\CBA\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vy\Desktop\PhD\Hard%20bound\Viva\Evidence%20based%20policy\AHP\AHP%20(New).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60687355753919E-2"/>
          <c:y val="5.5555555555555552E-2"/>
          <c:w val="0.87394078757049976"/>
          <c:h val="0.73389253426654999"/>
        </c:manualLayout>
      </c:layout>
      <c:barChart>
        <c:barDir val="col"/>
        <c:grouping val="clustered"/>
        <c:varyColors val="0"/>
        <c:ser>
          <c:idx val="0"/>
          <c:order val="0"/>
          <c:tx>
            <c:strRef>
              <c:f>Sheet1!$A$18</c:f>
              <c:strCache>
                <c:ptCount val="1"/>
                <c:pt idx="0">
                  <c:v>CLB</c:v>
                </c:pt>
              </c:strCache>
            </c:strRef>
          </c:tx>
          <c:spPr>
            <a:pattFill prst="wdDnDiag">
              <a:fgClr>
                <a:srgbClr val="00B0F0"/>
              </a:fgClr>
              <a:bgClr>
                <a:schemeClr val="bg1"/>
              </a:bgClr>
            </a:pattFill>
            <a:ln>
              <a:noFill/>
            </a:ln>
            <a:effectLst/>
          </c:spPr>
          <c:invertIfNegative val="0"/>
          <c:cat>
            <c:strRef>
              <c:f>Sheet1!$B$17:$D$17</c:f>
              <c:strCache>
                <c:ptCount val="3"/>
                <c:pt idx="0">
                  <c:v>NPV (Million USD/year)</c:v>
                </c:pt>
                <c:pt idx="1">
                  <c:v>ROI (%)</c:v>
                </c:pt>
                <c:pt idx="2">
                  <c:v>PP (year)</c:v>
                </c:pt>
              </c:strCache>
            </c:strRef>
          </c:cat>
          <c:val>
            <c:numRef>
              <c:f>Sheet1!$B$18:$D$18</c:f>
              <c:numCache>
                <c:formatCode>0.000</c:formatCode>
                <c:ptCount val="3"/>
                <c:pt idx="0" formatCode="General">
                  <c:v>0.22</c:v>
                </c:pt>
                <c:pt idx="1">
                  <c:v>7.79</c:v>
                </c:pt>
                <c:pt idx="2" formatCode="0.00">
                  <c:v>12.63</c:v>
                </c:pt>
              </c:numCache>
            </c:numRef>
          </c:val>
          <c:extLst>
            <c:ext xmlns:c16="http://schemas.microsoft.com/office/drawing/2014/chart" uri="{C3380CC4-5D6E-409C-BE32-E72D297353CC}">
              <c16:uniqueId val="{00000000-49F2-4A6B-9911-B7F978C519C1}"/>
            </c:ext>
          </c:extLst>
        </c:ser>
        <c:ser>
          <c:idx val="1"/>
          <c:order val="1"/>
          <c:tx>
            <c:strRef>
              <c:f>Sheet1!$A$19</c:f>
              <c:strCache>
                <c:ptCount val="1"/>
                <c:pt idx="0">
                  <c:v>CSTR</c:v>
                </c:pt>
              </c:strCache>
            </c:strRef>
          </c:tx>
          <c:spPr>
            <a:pattFill prst="openDmnd">
              <a:fgClr>
                <a:srgbClr val="FF0000"/>
              </a:fgClr>
              <a:bgClr>
                <a:schemeClr val="bg1"/>
              </a:bgClr>
            </a:pattFill>
            <a:ln>
              <a:noFill/>
            </a:ln>
            <a:effectLst/>
          </c:spPr>
          <c:invertIfNegative val="0"/>
          <c:cat>
            <c:strRef>
              <c:f>Sheet1!$B$17:$D$17</c:f>
              <c:strCache>
                <c:ptCount val="3"/>
                <c:pt idx="0">
                  <c:v>NPV (Million USD/year)</c:v>
                </c:pt>
                <c:pt idx="1">
                  <c:v>ROI (%)</c:v>
                </c:pt>
                <c:pt idx="2">
                  <c:v>PP (year)</c:v>
                </c:pt>
              </c:strCache>
            </c:strRef>
          </c:cat>
          <c:val>
            <c:numRef>
              <c:f>Sheet1!$B$19:$D$19</c:f>
              <c:numCache>
                <c:formatCode>0.00</c:formatCode>
                <c:ptCount val="3"/>
                <c:pt idx="0" formatCode="General">
                  <c:v>0.54</c:v>
                </c:pt>
                <c:pt idx="1">
                  <c:v>11.728395061728396</c:v>
                </c:pt>
                <c:pt idx="2">
                  <c:v>8.5263157894736832</c:v>
                </c:pt>
              </c:numCache>
            </c:numRef>
          </c:val>
          <c:extLst>
            <c:ext xmlns:c16="http://schemas.microsoft.com/office/drawing/2014/chart" uri="{C3380CC4-5D6E-409C-BE32-E72D297353CC}">
              <c16:uniqueId val="{00000001-49F2-4A6B-9911-B7F978C519C1}"/>
            </c:ext>
          </c:extLst>
        </c:ser>
        <c:dLbls>
          <c:showLegendKey val="0"/>
          <c:showVal val="0"/>
          <c:showCatName val="0"/>
          <c:showSerName val="0"/>
          <c:showPercent val="0"/>
          <c:showBubbleSize val="0"/>
        </c:dLbls>
        <c:gapWidth val="219"/>
        <c:overlap val="-27"/>
        <c:axId val="-281181168"/>
        <c:axId val="-281186608"/>
      </c:barChart>
      <c:catAx>
        <c:axId val="-2811811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1186608"/>
        <c:crosses val="autoZero"/>
        <c:auto val="1"/>
        <c:lblAlgn val="ctr"/>
        <c:lblOffset val="100"/>
        <c:noMultiLvlLbl val="0"/>
      </c:catAx>
      <c:valAx>
        <c:axId val="-281186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000">
                    <a:solidFill>
                      <a:sysClr val="windowText" lastClr="000000"/>
                    </a:solidFill>
                    <a:latin typeface="Times New Roman" panose="02020603050405020304" pitchFamily="18" charset="0"/>
                    <a:cs typeface="Times New Roman" panose="02020603050405020304" pitchFamily="18" charset="0"/>
                  </a:rPr>
                  <a:t>Value</a:t>
                </a:r>
              </a:p>
            </c:rich>
          </c:tx>
          <c:layout>
            <c:manualLayout>
              <c:xMode val="edge"/>
              <c:yMode val="edge"/>
              <c:x val="4.0225261464199519E-3"/>
              <c:y val="0.371853674540682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118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Sheet1!$B$77</c:f>
              <c:strCache>
                <c:ptCount val="1"/>
                <c:pt idx="0">
                  <c:v>NPV (Million USD/year)</c:v>
                </c:pt>
              </c:strCache>
            </c:strRef>
          </c:tx>
          <c:spPr>
            <a:pattFill prst="horzBrick">
              <a:fgClr>
                <a:schemeClr val="accent2">
                  <a:lumMod val="50000"/>
                </a:schemeClr>
              </a:fgClr>
              <a:bgClr>
                <a:schemeClr val="bg1"/>
              </a:bgClr>
            </a:pattFill>
            <a:ln>
              <a:noFill/>
            </a:ln>
            <a:effectLst/>
          </c:spPr>
          <c:invertIfNegative val="0"/>
          <c:cat>
            <c:numRef>
              <c:f>Sheet1!$A$75:$F$75</c:f>
              <c:numCache>
                <c:formatCode>0%</c:formatCode>
                <c:ptCount val="6"/>
                <c:pt idx="0">
                  <c:v>0.05</c:v>
                </c:pt>
                <c:pt idx="1">
                  <c:v>0.1</c:v>
                </c:pt>
                <c:pt idx="2">
                  <c:v>0.15</c:v>
                </c:pt>
                <c:pt idx="3">
                  <c:v>0.2</c:v>
                </c:pt>
                <c:pt idx="4">
                  <c:v>0.25</c:v>
                </c:pt>
                <c:pt idx="5">
                  <c:v>0.3</c:v>
                </c:pt>
              </c:numCache>
            </c:numRef>
          </c:cat>
          <c:val>
            <c:numRef>
              <c:f>Sheet1!$B$78:$B$83</c:f>
              <c:numCache>
                <c:formatCode>General</c:formatCode>
                <c:ptCount val="6"/>
                <c:pt idx="0">
                  <c:v>0.24</c:v>
                </c:pt>
                <c:pt idx="1">
                  <c:v>0.26</c:v>
                </c:pt>
                <c:pt idx="2">
                  <c:v>0.28000000000000003</c:v>
                </c:pt>
                <c:pt idx="3">
                  <c:v>0.3</c:v>
                </c:pt>
                <c:pt idx="4">
                  <c:v>0.32</c:v>
                </c:pt>
                <c:pt idx="5">
                  <c:v>0.34</c:v>
                </c:pt>
              </c:numCache>
            </c:numRef>
          </c:val>
          <c:extLst>
            <c:ext xmlns:c16="http://schemas.microsoft.com/office/drawing/2014/chart" uri="{C3380CC4-5D6E-409C-BE32-E72D297353CC}">
              <c16:uniqueId val="{00000000-B122-420B-9ECC-41E43024B2DA}"/>
            </c:ext>
          </c:extLst>
        </c:ser>
        <c:ser>
          <c:idx val="2"/>
          <c:order val="2"/>
          <c:tx>
            <c:strRef>
              <c:f>Sheet1!$C$77</c:f>
              <c:strCache>
                <c:ptCount val="1"/>
                <c:pt idx="0">
                  <c:v>ROI (%)</c:v>
                </c:pt>
              </c:strCache>
            </c:strRef>
          </c:tx>
          <c:spPr>
            <a:pattFill prst="ltVert">
              <a:fgClr>
                <a:schemeClr val="accent1">
                  <a:lumMod val="75000"/>
                </a:schemeClr>
              </a:fgClr>
              <a:bgClr>
                <a:schemeClr val="bg1"/>
              </a:bgClr>
            </a:pattFill>
            <a:ln>
              <a:noFill/>
            </a:ln>
            <a:effectLst/>
          </c:spPr>
          <c:invertIfNegative val="0"/>
          <c:cat>
            <c:numRef>
              <c:f>Sheet1!$A$75:$F$75</c:f>
              <c:numCache>
                <c:formatCode>0%</c:formatCode>
                <c:ptCount val="6"/>
                <c:pt idx="0">
                  <c:v>0.05</c:v>
                </c:pt>
                <c:pt idx="1">
                  <c:v>0.1</c:v>
                </c:pt>
                <c:pt idx="2">
                  <c:v>0.15</c:v>
                </c:pt>
                <c:pt idx="3">
                  <c:v>0.2</c:v>
                </c:pt>
                <c:pt idx="4">
                  <c:v>0.25</c:v>
                </c:pt>
                <c:pt idx="5">
                  <c:v>0.3</c:v>
                </c:pt>
              </c:numCache>
            </c:numRef>
          </c:cat>
          <c:val>
            <c:numRef>
              <c:f>Sheet1!$C$78:$C$83</c:f>
              <c:numCache>
                <c:formatCode>General</c:formatCode>
                <c:ptCount val="6"/>
                <c:pt idx="0">
                  <c:v>8.48</c:v>
                </c:pt>
                <c:pt idx="1">
                  <c:v>9.24</c:v>
                </c:pt>
                <c:pt idx="2">
                  <c:v>9.9</c:v>
                </c:pt>
                <c:pt idx="3">
                  <c:v>10.56</c:v>
                </c:pt>
                <c:pt idx="4">
                  <c:v>11.22</c:v>
                </c:pt>
                <c:pt idx="5">
                  <c:v>12.21</c:v>
                </c:pt>
              </c:numCache>
            </c:numRef>
          </c:val>
          <c:extLst>
            <c:ext xmlns:c16="http://schemas.microsoft.com/office/drawing/2014/chart" uri="{C3380CC4-5D6E-409C-BE32-E72D297353CC}">
              <c16:uniqueId val="{00000001-B122-420B-9ECC-41E43024B2DA}"/>
            </c:ext>
          </c:extLst>
        </c:ser>
        <c:ser>
          <c:idx val="3"/>
          <c:order val="3"/>
          <c:tx>
            <c:strRef>
              <c:f>Sheet1!$D$77</c:f>
              <c:strCache>
                <c:ptCount val="1"/>
                <c:pt idx="0">
                  <c:v>PP (year)</c:v>
                </c:pt>
              </c:strCache>
            </c:strRef>
          </c:tx>
          <c:spPr>
            <a:pattFill prst="wdDnDiag">
              <a:fgClr>
                <a:schemeClr val="accent6">
                  <a:lumMod val="75000"/>
                </a:schemeClr>
              </a:fgClr>
              <a:bgClr>
                <a:schemeClr val="bg1"/>
              </a:bgClr>
            </a:pattFill>
            <a:ln>
              <a:noFill/>
            </a:ln>
            <a:effectLst/>
          </c:spPr>
          <c:invertIfNegative val="0"/>
          <c:cat>
            <c:numRef>
              <c:f>Sheet1!$A$75:$F$75</c:f>
              <c:numCache>
                <c:formatCode>0%</c:formatCode>
                <c:ptCount val="6"/>
                <c:pt idx="0">
                  <c:v>0.05</c:v>
                </c:pt>
                <c:pt idx="1">
                  <c:v>0.1</c:v>
                </c:pt>
                <c:pt idx="2">
                  <c:v>0.15</c:v>
                </c:pt>
                <c:pt idx="3">
                  <c:v>0.2</c:v>
                </c:pt>
                <c:pt idx="4">
                  <c:v>0.25</c:v>
                </c:pt>
                <c:pt idx="5">
                  <c:v>0.3</c:v>
                </c:pt>
              </c:numCache>
            </c:numRef>
          </c:cat>
          <c:val>
            <c:numRef>
              <c:f>Sheet1!$D$78:$D$83</c:f>
              <c:numCache>
                <c:formatCode>General</c:formatCode>
                <c:ptCount val="6"/>
                <c:pt idx="0">
                  <c:v>12.63</c:v>
                </c:pt>
                <c:pt idx="1">
                  <c:v>10.82</c:v>
                </c:pt>
                <c:pt idx="2">
                  <c:v>10.1</c:v>
                </c:pt>
                <c:pt idx="3">
                  <c:v>9.4700000000000006</c:v>
                </c:pt>
                <c:pt idx="4">
                  <c:v>8.91</c:v>
                </c:pt>
                <c:pt idx="5">
                  <c:v>8.19</c:v>
                </c:pt>
              </c:numCache>
            </c:numRef>
          </c:val>
          <c:extLst>
            <c:ext xmlns:c16="http://schemas.microsoft.com/office/drawing/2014/chart" uri="{C3380CC4-5D6E-409C-BE32-E72D297353CC}">
              <c16:uniqueId val="{00000002-B122-420B-9ECC-41E43024B2DA}"/>
            </c:ext>
          </c:extLst>
        </c:ser>
        <c:dLbls>
          <c:showLegendKey val="0"/>
          <c:showVal val="0"/>
          <c:showCatName val="0"/>
          <c:showSerName val="0"/>
          <c:showPercent val="0"/>
          <c:showBubbleSize val="0"/>
        </c:dLbls>
        <c:gapWidth val="219"/>
        <c:overlap val="-27"/>
        <c:axId val="-281183344"/>
        <c:axId val="-281182800"/>
        <c:extLst>
          <c:ext xmlns:c15="http://schemas.microsoft.com/office/drawing/2012/chart" uri="{02D57815-91ED-43cb-92C2-25804820EDAC}">
            <c15:filteredBarSeries>
              <c15:ser>
                <c:idx val="0"/>
                <c:order val="0"/>
                <c:tx>
                  <c:strRef>
                    <c:extLst>
                      <c:ext uri="{02D57815-91ED-43cb-92C2-25804820EDAC}">
                        <c15:formulaRef>
                          <c15:sqref>Sheet1!$A$77</c15:sqref>
                        </c15:formulaRef>
                      </c:ext>
                    </c:extLst>
                    <c:strCache>
                      <c:ptCount val="1"/>
                      <c:pt idx="0">
                        <c:v>Annual income</c:v>
                      </c:pt>
                    </c:strCache>
                  </c:strRef>
                </c:tx>
                <c:spPr>
                  <a:solidFill>
                    <a:schemeClr val="accent1"/>
                  </a:solidFill>
                  <a:ln>
                    <a:noFill/>
                  </a:ln>
                  <a:effectLst/>
                </c:spPr>
                <c:invertIfNegative val="0"/>
                <c:cat>
                  <c:numRef>
                    <c:extLst>
                      <c:ext uri="{02D57815-91ED-43cb-92C2-25804820EDAC}">
                        <c15:formulaRef>
                          <c15:sqref>Sheet1!$A$75:$F$75</c15:sqref>
                        </c15:formulaRef>
                      </c:ext>
                    </c:extLst>
                    <c:numCache>
                      <c:formatCode>0%</c:formatCode>
                      <c:ptCount val="6"/>
                      <c:pt idx="0">
                        <c:v>0.05</c:v>
                      </c:pt>
                      <c:pt idx="1">
                        <c:v>0.1</c:v>
                      </c:pt>
                      <c:pt idx="2">
                        <c:v>0.15</c:v>
                      </c:pt>
                      <c:pt idx="3">
                        <c:v>0.2</c:v>
                      </c:pt>
                      <c:pt idx="4">
                        <c:v>0.25</c:v>
                      </c:pt>
                      <c:pt idx="5">
                        <c:v>0.3</c:v>
                      </c:pt>
                    </c:numCache>
                  </c:numRef>
                </c:cat>
                <c:val>
                  <c:numRef>
                    <c:extLst>
                      <c:ext uri="{02D57815-91ED-43cb-92C2-25804820EDAC}">
                        <c15:formulaRef>
                          <c15:sqref>Sheet1!$A$78:$A$83</c15:sqref>
                        </c15:formulaRef>
                      </c:ext>
                    </c:extLst>
                    <c:numCache>
                      <c:formatCode>0.00</c:formatCode>
                      <c:ptCount val="6"/>
                      <c:pt idx="0" formatCode="General">
                        <c:v>0.33</c:v>
                      </c:pt>
                      <c:pt idx="1">
                        <c:v>0.35020000000000001</c:v>
                      </c:pt>
                      <c:pt idx="2">
                        <c:v>0.37</c:v>
                      </c:pt>
                      <c:pt idx="3">
                        <c:v>0.3821</c:v>
                      </c:pt>
                      <c:pt idx="4">
                        <c:v>0.4</c:v>
                      </c:pt>
                      <c:pt idx="5">
                        <c:v>0.41389999999999999</c:v>
                      </c:pt>
                    </c:numCache>
                  </c:numRef>
                </c:val>
                <c:extLst>
                  <c:ext xmlns:c16="http://schemas.microsoft.com/office/drawing/2014/chart" uri="{C3380CC4-5D6E-409C-BE32-E72D297353CC}">
                    <c16:uniqueId val="{00000003-B122-420B-9ECC-41E43024B2DA}"/>
                  </c:ext>
                </c:extLst>
              </c15:ser>
            </c15:filteredBarSeries>
          </c:ext>
        </c:extLst>
      </c:barChart>
      <c:catAx>
        <c:axId val="-281183344"/>
        <c:scaling>
          <c:orientation val="minMax"/>
        </c:scaling>
        <c:delete val="0"/>
        <c:axPos val="b"/>
        <c:numFmt formatCode="0%"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1182800"/>
        <c:crosses val="autoZero"/>
        <c:auto val="1"/>
        <c:lblAlgn val="ctr"/>
        <c:lblOffset val="100"/>
        <c:noMultiLvlLbl val="0"/>
      </c:catAx>
      <c:valAx>
        <c:axId val="-281182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solidFill>
                      <a:sysClr val="windowText" lastClr="000000"/>
                    </a:solidFill>
                    <a:latin typeface="Times New Roman" panose="02020603050405020304" pitchFamily="18" charset="0"/>
                    <a:cs typeface="Times New Roman" panose="02020603050405020304" pitchFamily="18" charset="0"/>
                  </a:rPr>
                  <a:t>Value</a:t>
                </a:r>
              </a:p>
            </c:rich>
          </c:tx>
          <c:layout>
            <c:manualLayout>
              <c:xMode val="edge"/>
              <c:yMode val="edge"/>
              <c:x val="1.8888888888888889E-2"/>
              <c:y val="0.373732283464566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118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t>Overall Weighting (in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61913770778652666"/>
          <c:y val="0.15304505320353182"/>
          <c:w val="0.35035328083989503"/>
          <c:h val="0.79714738510301109"/>
        </c:manualLayout>
      </c:layout>
      <c:barChart>
        <c:barDir val="bar"/>
        <c:grouping val="clustered"/>
        <c:varyColors val="0"/>
        <c:ser>
          <c:idx val="0"/>
          <c:order val="0"/>
          <c:tx>
            <c:strRef>
              <c:f>'Overall ranking'!$B$17</c:f>
              <c:strCache>
                <c:ptCount val="1"/>
                <c:pt idx="0">
                  <c:v>Overall Weighting (in %)</c:v>
                </c:pt>
              </c:strCache>
            </c:strRef>
          </c:tx>
          <c:spPr>
            <a:solidFill>
              <a:schemeClr val="tx1"/>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D895-49F5-AA56-6070ED7014C4}"/>
              </c:ext>
            </c:extLst>
          </c:dPt>
          <c:dPt>
            <c:idx val="1"/>
            <c:invertIfNegative val="0"/>
            <c:bubble3D val="0"/>
            <c:spPr>
              <a:solidFill>
                <a:schemeClr val="tx1"/>
              </a:solidFill>
              <a:ln>
                <a:noFill/>
              </a:ln>
              <a:effectLst/>
            </c:spPr>
            <c:extLst>
              <c:ext xmlns:c16="http://schemas.microsoft.com/office/drawing/2014/chart" uri="{C3380CC4-5D6E-409C-BE32-E72D297353CC}">
                <c16:uniqueId val="{00000003-D895-49F5-AA56-6070ED7014C4}"/>
              </c:ext>
            </c:extLst>
          </c:dPt>
          <c:dPt>
            <c:idx val="2"/>
            <c:invertIfNegative val="0"/>
            <c:bubble3D val="0"/>
            <c:spPr>
              <a:solidFill>
                <a:schemeClr val="tx1"/>
              </a:solidFill>
              <a:ln>
                <a:noFill/>
              </a:ln>
              <a:effectLst/>
            </c:spPr>
            <c:extLst>
              <c:ext xmlns:c16="http://schemas.microsoft.com/office/drawing/2014/chart" uri="{C3380CC4-5D6E-409C-BE32-E72D297353CC}">
                <c16:uniqueId val="{00000005-D895-49F5-AA56-6070ED7014C4}"/>
              </c:ext>
            </c:extLst>
          </c:dPt>
          <c:dPt>
            <c:idx val="3"/>
            <c:invertIfNegative val="0"/>
            <c:bubble3D val="0"/>
            <c:spPr>
              <a:solidFill>
                <a:schemeClr val="tx1"/>
              </a:solidFill>
              <a:ln>
                <a:noFill/>
              </a:ln>
              <a:effectLst/>
            </c:spPr>
            <c:extLst>
              <c:ext xmlns:c16="http://schemas.microsoft.com/office/drawing/2014/chart" uri="{C3380CC4-5D6E-409C-BE32-E72D297353CC}">
                <c16:uniqueId val="{00000007-D895-49F5-AA56-6070ED7014C4}"/>
              </c:ext>
            </c:extLst>
          </c:dPt>
          <c:dPt>
            <c:idx val="4"/>
            <c:invertIfNegative val="0"/>
            <c:bubble3D val="0"/>
            <c:spPr>
              <a:solidFill>
                <a:schemeClr val="tx1"/>
              </a:solidFill>
              <a:ln>
                <a:noFill/>
              </a:ln>
              <a:effectLst/>
            </c:spPr>
            <c:extLst>
              <c:ext xmlns:c16="http://schemas.microsoft.com/office/drawing/2014/chart" uri="{C3380CC4-5D6E-409C-BE32-E72D297353CC}">
                <c16:uniqueId val="{00000009-D895-49F5-AA56-6070ED7014C4}"/>
              </c:ext>
            </c:extLst>
          </c:dPt>
          <c:dPt>
            <c:idx val="5"/>
            <c:invertIfNegative val="0"/>
            <c:bubble3D val="0"/>
            <c:spPr>
              <a:solidFill>
                <a:schemeClr val="tx1"/>
              </a:solidFill>
              <a:ln>
                <a:noFill/>
              </a:ln>
              <a:effectLst/>
            </c:spPr>
            <c:extLst>
              <c:ext xmlns:c16="http://schemas.microsoft.com/office/drawing/2014/chart" uri="{C3380CC4-5D6E-409C-BE32-E72D297353CC}">
                <c16:uniqueId val="{0000000B-D895-49F5-AA56-6070ED7014C4}"/>
              </c:ext>
            </c:extLst>
          </c:dPt>
          <c:dPt>
            <c:idx val="6"/>
            <c:invertIfNegative val="0"/>
            <c:bubble3D val="0"/>
            <c:spPr>
              <a:solidFill>
                <a:schemeClr val="tx1"/>
              </a:solidFill>
              <a:ln>
                <a:noFill/>
              </a:ln>
              <a:effectLst/>
            </c:spPr>
            <c:extLst>
              <c:ext xmlns:c16="http://schemas.microsoft.com/office/drawing/2014/chart" uri="{C3380CC4-5D6E-409C-BE32-E72D297353CC}">
                <c16:uniqueId val="{0000000D-D895-49F5-AA56-6070ED7014C4}"/>
              </c:ext>
            </c:extLst>
          </c:dPt>
          <c:dPt>
            <c:idx val="7"/>
            <c:invertIfNegative val="0"/>
            <c:bubble3D val="0"/>
            <c:spPr>
              <a:solidFill>
                <a:schemeClr val="tx1"/>
              </a:solidFill>
              <a:ln>
                <a:noFill/>
              </a:ln>
              <a:effectLst/>
            </c:spPr>
            <c:extLst>
              <c:ext xmlns:c16="http://schemas.microsoft.com/office/drawing/2014/chart" uri="{C3380CC4-5D6E-409C-BE32-E72D297353CC}">
                <c16:uniqueId val="{0000000F-D895-49F5-AA56-6070ED7014C4}"/>
              </c:ext>
            </c:extLst>
          </c:dPt>
          <c:dPt>
            <c:idx val="8"/>
            <c:invertIfNegative val="0"/>
            <c:bubble3D val="0"/>
            <c:spPr>
              <a:solidFill>
                <a:schemeClr val="tx1"/>
              </a:solidFill>
              <a:ln>
                <a:noFill/>
              </a:ln>
              <a:effectLst/>
            </c:spPr>
            <c:extLst>
              <c:ext xmlns:c16="http://schemas.microsoft.com/office/drawing/2014/chart" uri="{C3380CC4-5D6E-409C-BE32-E72D297353CC}">
                <c16:uniqueId val="{00000011-D895-49F5-AA56-6070ED7014C4}"/>
              </c:ext>
            </c:extLst>
          </c:dPt>
          <c:dPt>
            <c:idx val="9"/>
            <c:invertIfNegative val="0"/>
            <c:bubble3D val="0"/>
            <c:spPr>
              <a:solidFill>
                <a:schemeClr val="tx1"/>
              </a:solidFill>
              <a:ln>
                <a:noFill/>
              </a:ln>
              <a:effectLst/>
            </c:spPr>
            <c:extLst>
              <c:ext xmlns:c16="http://schemas.microsoft.com/office/drawing/2014/chart" uri="{C3380CC4-5D6E-409C-BE32-E72D297353CC}">
                <c16:uniqueId val="{00000013-D895-49F5-AA56-6070ED7014C4}"/>
              </c:ext>
            </c:extLst>
          </c:dPt>
          <c:dPt>
            <c:idx val="10"/>
            <c:invertIfNegative val="0"/>
            <c:bubble3D val="0"/>
            <c:spPr>
              <a:solidFill>
                <a:schemeClr val="tx1"/>
              </a:solidFill>
              <a:ln>
                <a:noFill/>
              </a:ln>
              <a:effectLst/>
            </c:spPr>
            <c:extLst>
              <c:ext xmlns:c16="http://schemas.microsoft.com/office/drawing/2014/chart" uri="{C3380CC4-5D6E-409C-BE32-E72D297353CC}">
                <c16:uniqueId val="{00000015-D895-49F5-AA56-6070ED7014C4}"/>
              </c:ext>
            </c:extLst>
          </c:dPt>
          <c:dPt>
            <c:idx val="11"/>
            <c:invertIfNegative val="0"/>
            <c:bubble3D val="0"/>
            <c:spPr>
              <a:solidFill>
                <a:schemeClr val="tx1"/>
              </a:solidFill>
              <a:ln>
                <a:noFill/>
              </a:ln>
              <a:effectLst/>
            </c:spPr>
            <c:extLst>
              <c:ext xmlns:c16="http://schemas.microsoft.com/office/drawing/2014/chart" uri="{C3380CC4-5D6E-409C-BE32-E72D297353CC}">
                <c16:uniqueId val="{00000017-D895-49F5-AA56-6070ED7014C4}"/>
              </c:ext>
            </c:extLst>
          </c:dPt>
          <c:dPt>
            <c:idx val="12"/>
            <c:invertIfNegative val="0"/>
            <c:bubble3D val="0"/>
            <c:spPr>
              <a:solidFill>
                <a:schemeClr val="tx1"/>
              </a:solidFill>
              <a:ln>
                <a:noFill/>
              </a:ln>
              <a:effectLst/>
            </c:spPr>
            <c:extLst>
              <c:ext xmlns:c16="http://schemas.microsoft.com/office/drawing/2014/chart" uri="{C3380CC4-5D6E-409C-BE32-E72D297353CC}">
                <c16:uniqueId val="{00000019-D895-49F5-AA56-6070ED7014C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'Overall ranking'!$A$18:$A$30</c:f>
              <c:strCache>
                <c:ptCount val="13"/>
                <c:pt idx="0">
                  <c:v>Set high, fixed FiT rate</c:v>
                </c:pt>
                <c:pt idx="1">
                  <c:v>Provide subsidy to set up biogas facilities</c:v>
                </c:pt>
                <c:pt idx="2">
                  <c:v>Set FiT rate according to electricity transmission distance to grid </c:v>
                </c:pt>
                <c:pt idx="3">
                  <c:v>Provide subsidy for transmission of electricity to grid</c:v>
                </c:pt>
                <c:pt idx="4">
                  <c:v>Do not cover open pond wall</c:v>
                </c:pt>
                <c:pt idx="5">
                  <c:v>Introduce new legislation on carbon trading</c:v>
                </c:pt>
                <c:pt idx="6">
                  <c:v>Allow variations in FiT rate</c:v>
                </c:pt>
                <c:pt idx="7">
                  <c:v>Give investors freedom to purchase either locally or imported manufactured technology</c:v>
                </c:pt>
                <c:pt idx="8">
                  <c:v>Implement easy application procedure for ITA</c:v>
                </c:pt>
                <c:pt idx="9">
                  <c:v>Enable private millers to supply waste to centralised POME waste treatment facility</c:v>
                </c:pt>
                <c:pt idx="10">
                  <c:v>Cover open pond wall using lining</c:v>
                </c:pt>
                <c:pt idx="11">
                  <c:v>Standardise technical guidelines for biogas installation</c:v>
                </c:pt>
                <c:pt idx="12">
                  <c:v>Provide detailed environmental guidelines </c:v>
                </c:pt>
              </c:strCache>
            </c:strRef>
          </c:cat>
          <c:val>
            <c:numRef>
              <c:f>'Overall ranking'!$B$18:$B$30</c:f>
              <c:numCache>
                <c:formatCode>0.0</c:formatCode>
                <c:ptCount val="13"/>
                <c:pt idx="0">
                  <c:v>1.6</c:v>
                </c:pt>
                <c:pt idx="1">
                  <c:v>2.13</c:v>
                </c:pt>
                <c:pt idx="2">
                  <c:v>3.4</c:v>
                </c:pt>
                <c:pt idx="3">
                  <c:v>3.5</c:v>
                </c:pt>
                <c:pt idx="4">
                  <c:v>3.8</c:v>
                </c:pt>
                <c:pt idx="5">
                  <c:v>4.0999999999999996</c:v>
                </c:pt>
                <c:pt idx="6">
                  <c:v>4.8</c:v>
                </c:pt>
                <c:pt idx="7">
                  <c:v>5.5</c:v>
                </c:pt>
                <c:pt idx="8">
                  <c:v>6.53</c:v>
                </c:pt>
                <c:pt idx="9">
                  <c:v>8.5399999999999991</c:v>
                </c:pt>
                <c:pt idx="10">
                  <c:v>12.1</c:v>
                </c:pt>
                <c:pt idx="11">
                  <c:v>14</c:v>
                </c:pt>
                <c:pt idx="12">
                  <c:v>30.1</c:v>
                </c:pt>
              </c:numCache>
            </c:numRef>
          </c:val>
          <c:extLst>
            <c:ext xmlns:c16="http://schemas.microsoft.com/office/drawing/2014/chart" uri="{C3380CC4-5D6E-409C-BE32-E72D297353CC}">
              <c16:uniqueId val="{0000001A-D895-49F5-AA56-6070ED7014C4}"/>
            </c:ext>
          </c:extLst>
        </c:ser>
        <c:dLbls>
          <c:dLblPos val="outEnd"/>
          <c:showLegendKey val="0"/>
          <c:showVal val="1"/>
          <c:showCatName val="0"/>
          <c:showSerName val="0"/>
          <c:showPercent val="0"/>
          <c:showBubbleSize val="0"/>
        </c:dLbls>
        <c:gapWidth val="182"/>
        <c:axId val="312852752"/>
        <c:axId val="312850456"/>
      </c:barChart>
      <c:catAx>
        <c:axId val="31285275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2850456"/>
        <c:crosses val="autoZero"/>
        <c:auto val="1"/>
        <c:lblAlgn val="ctr"/>
        <c:lblOffset val="100"/>
        <c:noMultiLvlLbl val="0"/>
      </c:catAx>
      <c:valAx>
        <c:axId val="312850456"/>
        <c:scaling>
          <c:orientation val="minMax"/>
        </c:scaling>
        <c:delete val="1"/>
        <c:axPos val="b"/>
        <c:numFmt formatCode="0.0" sourceLinked="1"/>
        <c:majorTickMark val="none"/>
        <c:minorTickMark val="none"/>
        <c:tickLblPos val="nextTo"/>
        <c:crossAx val="312852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EEDA-4B19-4AF9-AF0B-1960F4E0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43</Pages>
  <Words>10590</Words>
  <Characters>60364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Sharvini Siva Raman</dc:creator>
  <cp:lastModifiedBy>Sharvini Siva Raman</cp:lastModifiedBy>
  <cp:revision>775</cp:revision>
  <cp:lastPrinted>2019-07-20T13:41:00Z</cp:lastPrinted>
  <dcterms:created xsi:type="dcterms:W3CDTF">2021-10-26T03:37:00Z</dcterms:created>
  <dcterms:modified xsi:type="dcterms:W3CDTF">2021-11-07T08:51:00Z</dcterms:modified>
</cp:coreProperties>
</file>