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7611A" w14:textId="26968976" w:rsidR="00424851" w:rsidRPr="008B2B45" w:rsidRDefault="0046485A" w:rsidP="006A0FB9">
      <w:pPr>
        <w:shd w:val="clear" w:color="auto" w:fill="FFFFFF"/>
        <w:spacing w:after="210" w:line="240" w:lineRule="auto"/>
        <w:rPr>
          <w:rFonts w:asciiTheme="majorHAnsi" w:eastAsia="Times New Roman" w:hAnsiTheme="majorHAnsi" w:cstheme="majorHAnsi"/>
          <w:b/>
          <w:bCs/>
          <w:sz w:val="36"/>
          <w:szCs w:val="36"/>
          <w:lang w:eastAsia="en-GB"/>
        </w:rPr>
      </w:pPr>
      <w:r w:rsidRPr="008B2B45">
        <w:rPr>
          <w:rFonts w:asciiTheme="majorHAnsi" w:eastAsia="Times New Roman" w:hAnsiTheme="majorHAnsi" w:cstheme="majorHAnsi"/>
          <w:b/>
          <w:bCs/>
          <w:sz w:val="36"/>
          <w:szCs w:val="36"/>
          <w:lang w:eastAsia="en-GB"/>
        </w:rPr>
        <w:t>Soaring fuel poverty</w:t>
      </w:r>
    </w:p>
    <w:p w14:paraId="78244C5B" w14:textId="1D66B4AD" w:rsidR="000C4F08" w:rsidRPr="008B2B45" w:rsidRDefault="000C4F08" w:rsidP="006A0FB9">
      <w:pPr>
        <w:shd w:val="clear" w:color="auto" w:fill="FFFFFF"/>
        <w:spacing w:after="210" w:line="240" w:lineRule="auto"/>
        <w:rPr>
          <w:rFonts w:asciiTheme="majorHAnsi" w:eastAsia="Times New Roman" w:hAnsiTheme="majorHAnsi" w:cstheme="majorHAnsi"/>
          <w:lang w:eastAsia="en-GB"/>
        </w:rPr>
      </w:pPr>
      <w:r w:rsidRPr="008B2B45">
        <w:rPr>
          <w:rFonts w:asciiTheme="majorHAnsi" w:eastAsia="Times New Roman" w:hAnsiTheme="majorHAnsi" w:cstheme="majorHAnsi"/>
          <w:lang w:eastAsia="en-GB"/>
        </w:rPr>
        <w:t>Jonathan Bradshaw and Antonia Keung</w:t>
      </w:r>
    </w:p>
    <w:p w14:paraId="3A9D6DBE" w14:textId="082118DF" w:rsidR="00000FB4" w:rsidRPr="008B2B45" w:rsidRDefault="004B7666" w:rsidP="006A0FB9">
      <w:pPr>
        <w:shd w:val="clear" w:color="auto" w:fill="FFFFFF"/>
        <w:spacing w:after="210" w:line="240" w:lineRule="auto"/>
        <w:rPr>
          <w:rFonts w:asciiTheme="majorHAnsi" w:eastAsia="Times New Roman" w:hAnsiTheme="majorHAnsi" w:cstheme="majorHAnsi"/>
          <w:b/>
          <w:bCs/>
          <w:lang w:eastAsia="en-GB"/>
        </w:rPr>
      </w:pPr>
      <w:r w:rsidRPr="008B2B45">
        <w:rPr>
          <w:rFonts w:asciiTheme="majorHAnsi" w:eastAsia="Times New Roman" w:hAnsiTheme="majorHAnsi" w:cstheme="majorHAnsi"/>
          <w:noProof/>
          <w:lang w:eastAsia="en-GB"/>
        </w:rPr>
        <mc:AlternateContent>
          <mc:Choice Requires="wps">
            <w:drawing>
              <wp:anchor distT="45720" distB="45720" distL="114300" distR="114300" simplePos="0" relativeHeight="251659264" behindDoc="0" locked="0" layoutInCell="1" allowOverlap="1" wp14:anchorId="1AF82646" wp14:editId="5693B428">
                <wp:simplePos x="0" y="0"/>
                <wp:positionH relativeFrom="column">
                  <wp:posOffset>3596640</wp:posOffset>
                </wp:positionH>
                <wp:positionV relativeFrom="paragraph">
                  <wp:posOffset>91440</wp:posOffset>
                </wp:positionV>
                <wp:extent cx="2360930" cy="7901940"/>
                <wp:effectExtent l="0" t="0" r="1270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901940"/>
                        </a:xfrm>
                        <a:prstGeom prst="rect">
                          <a:avLst/>
                        </a:prstGeom>
                        <a:solidFill>
                          <a:srgbClr val="FFFFFF"/>
                        </a:solidFill>
                        <a:ln w="9525">
                          <a:solidFill>
                            <a:srgbClr val="000000"/>
                          </a:solidFill>
                          <a:miter lim="800000"/>
                          <a:headEnd/>
                          <a:tailEnd/>
                        </a:ln>
                      </wps:spPr>
                      <wps:txbx>
                        <w:txbxContent>
                          <w:p w14:paraId="235D45D5" w14:textId="7CA2FDAA" w:rsidR="002521E0" w:rsidRDefault="002521E0" w:rsidP="004B7666">
                            <w:pPr>
                              <w:spacing w:before="100" w:beforeAutospacing="1" w:after="100" w:afterAutospacing="1"/>
                              <w:rPr>
                                <w:rFonts w:asciiTheme="majorHAnsi" w:eastAsia="Times New Roman" w:hAnsiTheme="majorHAnsi" w:cstheme="majorHAnsi"/>
                                <w:color w:val="201C3E"/>
                                <w:lang w:eastAsia="en-GB"/>
                              </w:rPr>
                            </w:pPr>
                            <w:r w:rsidRPr="004B7666">
                              <w:rPr>
                                <w:rFonts w:asciiTheme="majorHAnsi" w:eastAsia="Times New Roman" w:hAnsiTheme="majorHAnsi" w:cstheme="majorHAnsi"/>
                                <w:b/>
                                <w:bCs/>
                                <w:color w:val="201C3E"/>
                                <w:lang w:eastAsia="en-GB"/>
                              </w:rPr>
                              <w:t>Notes on these figures</w:t>
                            </w:r>
                          </w:p>
                          <w:p w14:paraId="4C4CC85B" w14:textId="1ECFB138" w:rsidR="002521E0" w:rsidRDefault="002521E0" w:rsidP="004B7666">
                            <w:pPr>
                              <w:spacing w:before="100" w:beforeAutospacing="1" w:after="100" w:afterAutospacing="1"/>
                              <w:rPr>
                                <w:rFonts w:asciiTheme="majorHAnsi" w:eastAsia="Times New Roman" w:hAnsiTheme="majorHAnsi" w:cstheme="majorHAnsi"/>
                                <w:color w:val="201C3E"/>
                                <w:lang w:eastAsia="en-GB"/>
                              </w:rPr>
                            </w:pPr>
                            <w:r w:rsidRPr="00C43C09">
                              <w:rPr>
                                <w:rFonts w:asciiTheme="majorHAnsi" w:eastAsia="Times New Roman" w:hAnsiTheme="majorHAnsi" w:cstheme="majorHAnsi"/>
                                <w:color w:val="201C3E"/>
                                <w:lang w:eastAsia="en-GB"/>
                              </w:rPr>
                              <w:t>These estimates take account of the £400 reduction that is being paid to all electricity customers between October</w:t>
                            </w:r>
                            <w:r>
                              <w:rPr>
                                <w:rFonts w:asciiTheme="majorHAnsi" w:eastAsia="Times New Roman" w:hAnsiTheme="majorHAnsi" w:cstheme="majorHAnsi"/>
                                <w:color w:val="201C3E"/>
                                <w:lang w:eastAsia="en-GB"/>
                              </w:rPr>
                              <w:t xml:space="preserve"> 2022</w:t>
                            </w:r>
                            <w:r w:rsidRPr="00C43C09">
                              <w:rPr>
                                <w:rFonts w:asciiTheme="majorHAnsi" w:eastAsia="Times New Roman" w:hAnsiTheme="majorHAnsi" w:cstheme="majorHAnsi"/>
                                <w:color w:val="201C3E"/>
                                <w:lang w:eastAsia="en-GB"/>
                              </w:rPr>
                              <w:t xml:space="preserve"> and April</w:t>
                            </w:r>
                            <w:r>
                              <w:rPr>
                                <w:rFonts w:asciiTheme="majorHAnsi" w:eastAsia="Times New Roman" w:hAnsiTheme="majorHAnsi" w:cstheme="majorHAnsi"/>
                                <w:color w:val="201C3E"/>
                                <w:lang w:eastAsia="en-GB"/>
                              </w:rPr>
                              <w:t xml:space="preserve"> 2023</w:t>
                            </w:r>
                            <w:r w:rsidRPr="00C43C09">
                              <w:rPr>
                                <w:rFonts w:asciiTheme="majorHAnsi" w:eastAsia="Times New Roman" w:hAnsiTheme="majorHAnsi" w:cstheme="majorHAnsi"/>
                                <w:color w:val="201C3E"/>
                                <w:lang w:eastAsia="en-GB"/>
                              </w:rPr>
                              <w:t xml:space="preserve"> </w:t>
                            </w:r>
                            <w:r>
                              <w:rPr>
                                <w:rFonts w:asciiTheme="majorHAnsi" w:eastAsia="Times New Roman" w:hAnsiTheme="majorHAnsi" w:cstheme="majorHAnsi"/>
                                <w:color w:val="201C3E"/>
                                <w:lang w:eastAsia="en-GB"/>
                              </w:rPr>
                              <w:t xml:space="preserve">(equivalent to </w:t>
                            </w:r>
                            <w:r w:rsidRPr="004B7666">
                              <w:rPr>
                                <w:rFonts w:asciiTheme="majorHAnsi" w:eastAsia="Times New Roman" w:hAnsiTheme="majorHAnsi" w:cstheme="majorHAnsi"/>
                                <w:color w:val="201C3E"/>
                                <w:lang w:eastAsia="en-GB"/>
                              </w:rPr>
                              <w:t>£15.38 a week)</w:t>
                            </w:r>
                            <w:r>
                              <w:rPr>
                                <w:rFonts w:asciiTheme="majorHAnsi" w:eastAsia="Times New Roman" w:hAnsiTheme="majorHAnsi" w:cstheme="majorHAnsi"/>
                                <w:color w:val="201C3E"/>
                                <w:lang w:eastAsia="en-GB"/>
                              </w:rPr>
                              <w:t xml:space="preserve">, </w:t>
                            </w:r>
                            <w:r w:rsidRPr="006A0FB9">
                              <w:rPr>
                                <w:rFonts w:asciiTheme="majorHAnsi" w:eastAsia="Times New Roman" w:hAnsiTheme="majorHAnsi" w:cstheme="majorHAnsi"/>
                                <w:color w:val="201C3E"/>
                                <w:lang w:eastAsia="en-GB"/>
                              </w:rPr>
                              <w:t xml:space="preserve">but not the other mitigations for means-tested benefit recipients, pensioners and </w:t>
                            </w:r>
                            <w:r>
                              <w:rPr>
                                <w:rFonts w:asciiTheme="majorHAnsi" w:eastAsia="Times New Roman" w:hAnsiTheme="majorHAnsi" w:cstheme="majorHAnsi"/>
                                <w:color w:val="201C3E"/>
                                <w:lang w:eastAsia="en-GB"/>
                              </w:rPr>
                              <w:t xml:space="preserve">disabled </w:t>
                            </w:r>
                            <w:r w:rsidRPr="006A0FB9">
                              <w:rPr>
                                <w:rFonts w:asciiTheme="majorHAnsi" w:eastAsia="Times New Roman" w:hAnsiTheme="majorHAnsi" w:cstheme="majorHAnsi"/>
                                <w:color w:val="201C3E"/>
                                <w:lang w:eastAsia="en-GB"/>
                              </w:rPr>
                              <w:t>people which are being paid this year.</w:t>
                            </w:r>
                          </w:p>
                          <w:p w14:paraId="51FB8524" w14:textId="0E48C596" w:rsidR="002521E0" w:rsidRDefault="002521E0" w:rsidP="004B7666">
                            <w:pPr>
                              <w:spacing w:before="100" w:beforeAutospacing="1" w:after="100" w:afterAutospacing="1"/>
                              <w:rPr>
                                <w:rFonts w:asciiTheme="majorHAnsi" w:eastAsia="Times New Roman" w:hAnsiTheme="majorHAnsi" w:cstheme="majorHAnsi"/>
                                <w:color w:val="201C3E"/>
                                <w:lang w:eastAsia="en-GB"/>
                              </w:rPr>
                            </w:pPr>
                            <w:r>
                              <w:rPr>
                                <w:rFonts w:asciiTheme="majorHAnsi" w:eastAsia="Times New Roman" w:hAnsiTheme="majorHAnsi" w:cstheme="majorHAnsi"/>
                                <w:color w:val="201C3E"/>
                                <w:lang w:eastAsia="en-GB"/>
                              </w:rPr>
                              <w:t>T</w:t>
                            </w:r>
                            <w:r w:rsidRPr="0033214A">
                              <w:rPr>
                                <w:rFonts w:asciiTheme="majorHAnsi" w:eastAsia="Times New Roman" w:hAnsiTheme="majorHAnsi" w:cstheme="majorHAnsi"/>
                                <w:color w:val="201C3E"/>
                                <w:lang w:eastAsia="en-GB"/>
                              </w:rPr>
                              <w:t xml:space="preserve">he estimates are </w:t>
                            </w:r>
                            <w:r w:rsidRPr="000441ED">
                              <w:rPr>
                                <w:rFonts w:asciiTheme="majorHAnsi" w:eastAsia="Times New Roman" w:hAnsiTheme="majorHAnsi" w:cstheme="majorHAnsi"/>
                                <w:b/>
                                <w:bCs/>
                                <w:color w:val="201C3E"/>
                                <w:lang w:eastAsia="en-GB"/>
                              </w:rPr>
                              <w:t>based on equivalised household net income after housing costs</w:t>
                            </w:r>
                            <w:r>
                              <w:rPr>
                                <w:rFonts w:asciiTheme="majorHAnsi" w:eastAsia="Times New Roman" w:hAnsiTheme="majorHAnsi" w:cstheme="majorHAnsi"/>
                                <w:color w:val="201C3E"/>
                                <w:lang w:eastAsia="en-GB"/>
                              </w:rPr>
                              <w:t xml:space="preserve"> (</w:t>
                            </w:r>
                            <w:proofErr w:type="spellStart"/>
                            <w:r>
                              <w:rPr>
                                <w:rFonts w:asciiTheme="majorHAnsi" w:eastAsia="Times New Roman" w:hAnsiTheme="majorHAnsi" w:cstheme="majorHAnsi"/>
                                <w:color w:val="201C3E"/>
                                <w:lang w:eastAsia="en-GB"/>
                              </w:rPr>
                              <w:t>ie</w:t>
                            </w:r>
                            <w:proofErr w:type="spellEnd"/>
                            <w:r>
                              <w:rPr>
                                <w:rFonts w:asciiTheme="majorHAnsi" w:eastAsia="Times New Roman" w:hAnsiTheme="majorHAnsi" w:cstheme="majorHAnsi"/>
                                <w:color w:val="201C3E"/>
                                <w:lang w:eastAsia="en-GB"/>
                              </w:rPr>
                              <w:t>, n</w:t>
                            </w:r>
                            <w:r w:rsidRPr="00D42EA5">
                              <w:rPr>
                                <w:rFonts w:asciiTheme="majorHAnsi" w:eastAsia="Times New Roman" w:hAnsiTheme="majorHAnsi" w:cstheme="majorHAnsi"/>
                                <w:color w:val="201C3E"/>
                                <w:lang w:eastAsia="en-GB"/>
                              </w:rPr>
                              <w:t>et</w:t>
                            </w:r>
                            <w:r w:rsidRPr="00750135">
                              <w:rPr>
                                <w:rFonts w:asciiTheme="majorHAnsi" w:eastAsia="Times New Roman" w:hAnsiTheme="majorHAnsi" w:cstheme="majorHAnsi"/>
                                <w:color w:val="201C3E"/>
                                <w:lang w:eastAsia="en-GB"/>
                              </w:rPr>
                              <w:t xml:space="preserve"> of</w:t>
                            </w:r>
                            <w:r w:rsidRPr="00D42EA5">
                              <w:rPr>
                                <w:rFonts w:asciiTheme="majorHAnsi" w:eastAsia="Times New Roman" w:hAnsiTheme="majorHAnsi" w:cstheme="majorHAnsi"/>
                                <w:color w:val="201C3E"/>
                                <w:lang w:eastAsia="en-GB"/>
                              </w:rPr>
                              <w:t xml:space="preserve"> rent, rates, council tax, water, mortgage interest and other housing regular payment</w:t>
                            </w:r>
                            <w:r>
                              <w:rPr>
                                <w:rFonts w:asciiTheme="majorHAnsi" w:eastAsia="Times New Roman" w:hAnsiTheme="majorHAnsi" w:cstheme="majorHAnsi"/>
                                <w:color w:val="201C3E"/>
                                <w:lang w:eastAsia="en-GB"/>
                              </w:rPr>
                              <w:t>s</w:t>
                            </w:r>
                            <w:r w:rsidRPr="00D42EA5">
                              <w:rPr>
                                <w:rFonts w:asciiTheme="majorHAnsi" w:eastAsia="Times New Roman" w:hAnsiTheme="majorHAnsi" w:cstheme="majorHAnsi"/>
                                <w:color w:val="201C3E"/>
                                <w:lang w:eastAsia="en-GB"/>
                              </w:rPr>
                              <w:t>).</w:t>
                            </w:r>
                          </w:p>
                          <w:p w14:paraId="33359112" w14:textId="77777777" w:rsidR="002521E0" w:rsidRPr="006A0FB9" w:rsidRDefault="002521E0" w:rsidP="004B7666">
                            <w:pPr>
                              <w:shd w:val="clear" w:color="auto" w:fill="FFFFFF"/>
                              <w:spacing w:before="100" w:beforeAutospacing="1" w:after="100" w:afterAutospacing="1" w:line="240" w:lineRule="auto"/>
                              <w:rPr>
                                <w:rFonts w:asciiTheme="majorHAnsi" w:eastAsia="Times New Roman" w:hAnsiTheme="majorHAnsi" w:cstheme="majorHAnsi"/>
                                <w:color w:val="201C3E"/>
                                <w:lang w:eastAsia="en-GB"/>
                              </w:rPr>
                            </w:pPr>
                            <w:r>
                              <w:rPr>
                                <w:rFonts w:asciiTheme="majorHAnsi" w:eastAsia="Times New Roman" w:hAnsiTheme="majorHAnsi" w:cstheme="majorHAnsi"/>
                                <w:color w:val="201C3E"/>
                                <w:lang w:eastAsia="en-GB"/>
                              </w:rPr>
                              <w:t>The</w:t>
                            </w:r>
                            <w:r w:rsidRPr="006A0FB9">
                              <w:rPr>
                                <w:rFonts w:asciiTheme="majorHAnsi" w:eastAsia="Times New Roman" w:hAnsiTheme="majorHAnsi" w:cstheme="majorHAnsi"/>
                                <w:color w:val="201C3E"/>
                                <w:lang w:eastAsia="en-GB"/>
                              </w:rPr>
                              <w:t xml:space="preserve"> analysis takes no account of any behavioural response to fuel price increases.</w:t>
                            </w:r>
                          </w:p>
                          <w:p w14:paraId="290B352F" w14:textId="77777777" w:rsidR="002521E0" w:rsidRPr="006A0FB9" w:rsidRDefault="002521E0" w:rsidP="004B7666">
                            <w:pPr>
                              <w:shd w:val="clear" w:color="auto" w:fill="FFFFFF"/>
                              <w:spacing w:before="100" w:beforeAutospacing="1" w:after="100" w:afterAutospacing="1" w:line="240" w:lineRule="auto"/>
                              <w:rPr>
                                <w:rFonts w:asciiTheme="majorHAnsi" w:eastAsia="Times New Roman" w:hAnsiTheme="majorHAnsi" w:cstheme="majorHAnsi"/>
                                <w:color w:val="201C3E"/>
                                <w:lang w:eastAsia="en-GB"/>
                              </w:rPr>
                            </w:pPr>
                            <w:r w:rsidRPr="006A0FB9">
                              <w:rPr>
                                <w:rFonts w:asciiTheme="majorHAnsi" w:eastAsia="Times New Roman" w:hAnsiTheme="majorHAnsi" w:cstheme="majorHAnsi"/>
                                <w:color w:val="201C3E"/>
                                <w:lang w:eastAsia="en-GB"/>
                              </w:rPr>
                              <w:t>It applies estimated gas and electricity price increases to all domestic fuel consumption including oil and solid fuels.</w:t>
                            </w:r>
                          </w:p>
                          <w:p w14:paraId="2E041727" w14:textId="16C50948" w:rsidR="002521E0" w:rsidRPr="006A0FB9" w:rsidRDefault="002521E0" w:rsidP="004B7666">
                            <w:pPr>
                              <w:shd w:val="clear" w:color="auto" w:fill="FFFFFF"/>
                              <w:spacing w:before="100" w:beforeAutospacing="1" w:after="100" w:afterAutospacing="1" w:line="240" w:lineRule="auto"/>
                              <w:rPr>
                                <w:rFonts w:asciiTheme="majorHAnsi" w:eastAsia="Times New Roman" w:hAnsiTheme="majorHAnsi" w:cstheme="majorHAnsi"/>
                                <w:color w:val="201C3E"/>
                                <w:lang w:eastAsia="en-GB"/>
                              </w:rPr>
                            </w:pPr>
                            <w:r>
                              <w:rPr>
                                <w:rFonts w:asciiTheme="majorHAnsi" w:eastAsia="Times New Roman" w:hAnsiTheme="majorHAnsi" w:cstheme="majorHAnsi"/>
                                <w:color w:val="201C3E"/>
                                <w:lang w:eastAsia="en-GB"/>
                              </w:rPr>
                              <w:t>The L</w:t>
                            </w:r>
                            <w:r w:rsidRPr="006A0FB9">
                              <w:rPr>
                                <w:rFonts w:asciiTheme="majorHAnsi" w:eastAsia="Times New Roman" w:hAnsiTheme="majorHAnsi" w:cstheme="majorHAnsi"/>
                                <w:color w:val="201C3E"/>
                                <w:lang w:eastAsia="en-GB"/>
                              </w:rPr>
                              <w:t>iving Costs and Food Survey</w:t>
                            </w:r>
                            <w:r>
                              <w:rPr>
                                <w:rFonts w:asciiTheme="majorHAnsi" w:eastAsia="Times New Roman" w:hAnsiTheme="majorHAnsi" w:cstheme="majorHAnsi"/>
                                <w:color w:val="201C3E"/>
                                <w:lang w:eastAsia="en-GB"/>
                              </w:rPr>
                              <w:t xml:space="preserve"> </w:t>
                            </w:r>
                            <w:r w:rsidRPr="004B7666">
                              <w:rPr>
                                <w:rFonts w:asciiTheme="majorHAnsi" w:eastAsia="Times New Roman" w:hAnsiTheme="majorHAnsi" w:cstheme="majorHAnsi"/>
                                <w:color w:val="201C3E"/>
                                <w:lang w:eastAsia="en-GB"/>
                              </w:rPr>
                              <w:t>is based on a national sample of 5,438 households in the UK</w:t>
                            </w:r>
                            <w:r w:rsidRPr="006A0FB9">
                              <w:rPr>
                                <w:rFonts w:asciiTheme="majorHAnsi" w:eastAsia="Times New Roman" w:hAnsiTheme="majorHAnsi" w:cstheme="majorHAnsi"/>
                                <w:color w:val="201C3E"/>
                                <w:lang w:eastAsia="en-GB"/>
                              </w:rPr>
                              <w:t>, but the breakdowns by region and household type are based on a much smaller number and although the survey is weighted to represent the population</w:t>
                            </w:r>
                            <w:r>
                              <w:rPr>
                                <w:rFonts w:asciiTheme="majorHAnsi" w:eastAsia="Times New Roman" w:hAnsiTheme="majorHAnsi" w:cstheme="majorHAnsi"/>
                                <w:color w:val="201C3E"/>
                                <w:lang w:eastAsia="en-GB"/>
                              </w:rPr>
                              <w:t>,</w:t>
                            </w:r>
                            <w:r w:rsidRPr="006A0FB9">
                              <w:rPr>
                                <w:rFonts w:asciiTheme="majorHAnsi" w:eastAsia="Times New Roman" w:hAnsiTheme="majorHAnsi" w:cstheme="majorHAnsi"/>
                                <w:color w:val="201C3E"/>
                                <w:lang w:eastAsia="en-GB"/>
                              </w:rPr>
                              <w:t xml:space="preserve"> there will be quite large sampling errors.</w:t>
                            </w:r>
                          </w:p>
                          <w:p w14:paraId="2381367E" w14:textId="580588DF" w:rsidR="002521E0" w:rsidRPr="004B7666" w:rsidRDefault="002521E0" w:rsidP="004B7666">
                            <w:pPr>
                              <w:shd w:val="clear" w:color="auto" w:fill="FFFFFF"/>
                              <w:spacing w:before="100" w:beforeAutospacing="1" w:after="100" w:afterAutospacing="1" w:line="240" w:lineRule="auto"/>
                              <w:rPr>
                                <w:rFonts w:asciiTheme="majorHAnsi" w:eastAsia="Times New Roman" w:hAnsiTheme="majorHAnsi" w:cstheme="majorHAnsi"/>
                                <w:color w:val="201C3E"/>
                                <w:lang w:eastAsia="en-GB"/>
                              </w:rPr>
                            </w:pPr>
                            <w:r w:rsidRPr="006A0FB9">
                              <w:rPr>
                                <w:rFonts w:asciiTheme="majorHAnsi" w:eastAsia="Times New Roman" w:hAnsiTheme="majorHAnsi" w:cstheme="majorHAnsi"/>
                                <w:color w:val="201C3E"/>
                                <w:lang w:eastAsia="en-GB"/>
                              </w:rPr>
                              <w:t>Northern Ireland consumers are not covered by the price cap and are more reliant on oil central heating</w:t>
                            </w:r>
                            <w:r>
                              <w:rPr>
                                <w:rFonts w:asciiTheme="majorHAnsi" w:eastAsia="Times New Roman" w:hAnsiTheme="majorHAnsi" w:cstheme="majorHAnsi"/>
                                <w:color w:val="201C3E"/>
                                <w:lang w:eastAsia="en-GB"/>
                              </w:rPr>
                              <w:t>,</w:t>
                            </w:r>
                            <w:r w:rsidRPr="006A0FB9">
                              <w:rPr>
                                <w:rFonts w:asciiTheme="majorHAnsi" w:eastAsia="Times New Roman" w:hAnsiTheme="majorHAnsi" w:cstheme="majorHAnsi"/>
                                <w:color w:val="201C3E"/>
                                <w:lang w:eastAsia="en-GB"/>
                              </w:rPr>
                              <w:t xml:space="preserve"> which started rising in price earlier than the gas and electricity price cap.</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AF82646" id="_x0000_t202" coordsize="21600,21600" o:spt="202" path="m,l,21600r21600,l21600,xe">
                <v:stroke joinstyle="miter"/>
                <v:path gradientshapeok="t" o:connecttype="rect"/>
              </v:shapetype>
              <v:shape id="Text Box 2" o:spid="_x0000_s1026" type="#_x0000_t202" style="position:absolute;margin-left:283.2pt;margin-top:7.2pt;width:185.9pt;height:622.2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dDqJQIAAEc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">
                <v:textbox>
                  <w:txbxContent>
                    <w:p w14:paraId="235D45D5" w14:textId="7CA2FDAA" w:rsidR="002521E0" w:rsidRDefault="002521E0" w:rsidP="004B7666">
                      <w:pPr>
                        <w:spacing w:before="100" w:beforeAutospacing="1" w:after="100" w:afterAutospacing="1"/>
                        <w:rPr>
                          <w:rFonts w:asciiTheme="majorHAnsi" w:eastAsia="Times New Roman" w:hAnsiTheme="majorHAnsi" w:cstheme="majorHAnsi"/>
                          <w:color w:val="201C3E"/>
                          <w:lang w:eastAsia="en-GB"/>
                        </w:rPr>
                      </w:pPr>
                      <w:r w:rsidRPr="004B7666">
                        <w:rPr>
                          <w:rFonts w:asciiTheme="majorHAnsi" w:eastAsia="Times New Roman" w:hAnsiTheme="majorHAnsi" w:cstheme="majorHAnsi"/>
                          <w:b/>
                          <w:bCs/>
                          <w:color w:val="201C3E"/>
                          <w:lang w:eastAsia="en-GB"/>
                        </w:rPr>
                        <w:t>Notes on these figures</w:t>
                      </w:r>
                    </w:p>
                    <w:p w14:paraId="4C4CC85B" w14:textId="1ECFB138" w:rsidR="002521E0" w:rsidRDefault="002521E0" w:rsidP="004B7666">
                      <w:pPr>
                        <w:spacing w:before="100" w:beforeAutospacing="1" w:after="100" w:afterAutospacing="1"/>
                        <w:rPr>
                          <w:rFonts w:asciiTheme="majorHAnsi" w:eastAsia="Times New Roman" w:hAnsiTheme="majorHAnsi" w:cstheme="majorHAnsi"/>
                          <w:color w:val="201C3E"/>
                          <w:lang w:eastAsia="en-GB"/>
                        </w:rPr>
                      </w:pPr>
                      <w:r w:rsidRPr="00C43C09">
                        <w:rPr>
                          <w:rFonts w:asciiTheme="majorHAnsi" w:eastAsia="Times New Roman" w:hAnsiTheme="majorHAnsi" w:cstheme="majorHAnsi"/>
                          <w:color w:val="201C3E"/>
                          <w:lang w:eastAsia="en-GB"/>
                        </w:rPr>
                        <w:t>These estimates take account of the £400 reduction that is being paid to all electricity customers between October</w:t>
                      </w:r>
                      <w:r>
                        <w:rPr>
                          <w:rFonts w:asciiTheme="majorHAnsi" w:eastAsia="Times New Roman" w:hAnsiTheme="majorHAnsi" w:cstheme="majorHAnsi"/>
                          <w:color w:val="201C3E"/>
                          <w:lang w:eastAsia="en-GB"/>
                        </w:rPr>
                        <w:t xml:space="preserve"> 2022</w:t>
                      </w:r>
                      <w:r w:rsidRPr="00C43C09">
                        <w:rPr>
                          <w:rFonts w:asciiTheme="majorHAnsi" w:eastAsia="Times New Roman" w:hAnsiTheme="majorHAnsi" w:cstheme="majorHAnsi"/>
                          <w:color w:val="201C3E"/>
                          <w:lang w:eastAsia="en-GB"/>
                        </w:rPr>
                        <w:t xml:space="preserve"> and April</w:t>
                      </w:r>
                      <w:r>
                        <w:rPr>
                          <w:rFonts w:asciiTheme="majorHAnsi" w:eastAsia="Times New Roman" w:hAnsiTheme="majorHAnsi" w:cstheme="majorHAnsi"/>
                          <w:color w:val="201C3E"/>
                          <w:lang w:eastAsia="en-GB"/>
                        </w:rPr>
                        <w:t xml:space="preserve"> 2023</w:t>
                      </w:r>
                      <w:r w:rsidRPr="00C43C09">
                        <w:rPr>
                          <w:rFonts w:asciiTheme="majorHAnsi" w:eastAsia="Times New Roman" w:hAnsiTheme="majorHAnsi" w:cstheme="majorHAnsi"/>
                          <w:color w:val="201C3E"/>
                          <w:lang w:eastAsia="en-GB"/>
                        </w:rPr>
                        <w:t xml:space="preserve"> </w:t>
                      </w:r>
                      <w:r>
                        <w:rPr>
                          <w:rFonts w:asciiTheme="majorHAnsi" w:eastAsia="Times New Roman" w:hAnsiTheme="majorHAnsi" w:cstheme="majorHAnsi"/>
                          <w:color w:val="201C3E"/>
                          <w:lang w:eastAsia="en-GB"/>
                        </w:rPr>
                        <w:t xml:space="preserve">(equivalent to </w:t>
                      </w:r>
                      <w:r w:rsidRPr="004B7666">
                        <w:rPr>
                          <w:rFonts w:asciiTheme="majorHAnsi" w:eastAsia="Times New Roman" w:hAnsiTheme="majorHAnsi" w:cstheme="majorHAnsi"/>
                          <w:color w:val="201C3E"/>
                          <w:lang w:eastAsia="en-GB"/>
                        </w:rPr>
                        <w:t>£15.38 a week)</w:t>
                      </w:r>
                      <w:r>
                        <w:rPr>
                          <w:rFonts w:asciiTheme="majorHAnsi" w:eastAsia="Times New Roman" w:hAnsiTheme="majorHAnsi" w:cstheme="majorHAnsi"/>
                          <w:color w:val="201C3E"/>
                          <w:lang w:eastAsia="en-GB"/>
                        </w:rPr>
                        <w:t xml:space="preserve">, </w:t>
                      </w:r>
                      <w:r w:rsidRPr="006A0FB9">
                        <w:rPr>
                          <w:rFonts w:asciiTheme="majorHAnsi" w:eastAsia="Times New Roman" w:hAnsiTheme="majorHAnsi" w:cstheme="majorHAnsi"/>
                          <w:color w:val="201C3E"/>
                          <w:lang w:eastAsia="en-GB"/>
                        </w:rPr>
                        <w:t xml:space="preserve">but not the other mitigations for means-tested benefit recipients, pensioners and </w:t>
                      </w:r>
                      <w:r>
                        <w:rPr>
                          <w:rFonts w:asciiTheme="majorHAnsi" w:eastAsia="Times New Roman" w:hAnsiTheme="majorHAnsi" w:cstheme="majorHAnsi"/>
                          <w:color w:val="201C3E"/>
                          <w:lang w:eastAsia="en-GB"/>
                        </w:rPr>
                        <w:t xml:space="preserve">disabled </w:t>
                      </w:r>
                      <w:r w:rsidRPr="006A0FB9">
                        <w:rPr>
                          <w:rFonts w:asciiTheme="majorHAnsi" w:eastAsia="Times New Roman" w:hAnsiTheme="majorHAnsi" w:cstheme="majorHAnsi"/>
                          <w:color w:val="201C3E"/>
                          <w:lang w:eastAsia="en-GB"/>
                        </w:rPr>
                        <w:t>people which are being paid this year.</w:t>
                      </w:r>
                    </w:p>
                    <w:p w14:paraId="51FB8524" w14:textId="0E48C596" w:rsidR="002521E0" w:rsidRDefault="002521E0" w:rsidP="004B7666">
                      <w:pPr>
                        <w:spacing w:before="100" w:beforeAutospacing="1" w:after="100" w:afterAutospacing="1"/>
                        <w:rPr>
                          <w:rFonts w:asciiTheme="majorHAnsi" w:eastAsia="Times New Roman" w:hAnsiTheme="majorHAnsi" w:cstheme="majorHAnsi"/>
                          <w:color w:val="201C3E"/>
                          <w:lang w:eastAsia="en-GB"/>
                        </w:rPr>
                      </w:pPr>
                      <w:r>
                        <w:rPr>
                          <w:rFonts w:asciiTheme="majorHAnsi" w:eastAsia="Times New Roman" w:hAnsiTheme="majorHAnsi" w:cstheme="majorHAnsi"/>
                          <w:color w:val="201C3E"/>
                          <w:lang w:eastAsia="en-GB"/>
                        </w:rPr>
                        <w:t>T</w:t>
                      </w:r>
                      <w:r w:rsidRPr="0033214A">
                        <w:rPr>
                          <w:rFonts w:asciiTheme="majorHAnsi" w:eastAsia="Times New Roman" w:hAnsiTheme="majorHAnsi" w:cstheme="majorHAnsi"/>
                          <w:color w:val="201C3E"/>
                          <w:lang w:eastAsia="en-GB"/>
                        </w:rPr>
                        <w:t xml:space="preserve">he estimates are </w:t>
                      </w:r>
                      <w:r w:rsidRPr="000441ED">
                        <w:rPr>
                          <w:rFonts w:asciiTheme="majorHAnsi" w:eastAsia="Times New Roman" w:hAnsiTheme="majorHAnsi" w:cstheme="majorHAnsi"/>
                          <w:b/>
                          <w:bCs/>
                          <w:color w:val="201C3E"/>
                          <w:lang w:eastAsia="en-GB"/>
                        </w:rPr>
                        <w:t>based on equivalised household net income after housing costs</w:t>
                      </w:r>
                      <w:r>
                        <w:rPr>
                          <w:rFonts w:asciiTheme="majorHAnsi" w:eastAsia="Times New Roman" w:hAnsiTheme="majorHAnsi" w:cstheme="majorHAnsi"/>
                          <w:color w:val="201C3E"/>
                          <w:lang w:eastAsia="en-GB"/>
                        </w:rPr>
                        <w:t xml:space="preserve"> (</w:t>
                      </w:r>
                      <w:proofErr w:type="spellStart"/>
                      <w:r>
                        <w:rPr>
                          <w:rFonts w:asciiTheme="majorHAnsi" w:eastAsia="Times New Roman" w:hAnsiTheme="majorHAnsi" w:cstheme="majorHAnsi"/>
                          <w:color w:val="201C3E"/>
                          <w:lang w:eastAsia="en-GB"/>
                        </w:rPr>
                        <w:t>ie</w:t>
                      </w:r>
                      <w:proofErr w:type="spellEnd"/>
                      <w:r>
                        <w:rPr>
                          <w:rFonts w:asciiTheme="majorHAnsi" w:eastAsia="Times New Roman" w:hAnsiTheme="majorHAnsi" w:cstheme="majorHAnsi"/>
                          <w:color w:val="201C3E"/>
                          <w:lang w:eastAsia="en-GB"/>
                        </w:rPr>
                        <w:t>, n</w:t>
                      </w:r>
                      <w:r w:rsidRPr="00D42EA5">
                        <w:rPr>
                          <w:rFonts w:asciiTheme="majorHAnsi" w:eastAsia="Times New Roman" w:hAnsiTheme="majorHAnsi" w:cstheme="majorHAnsi"/>
                          <w:color w:val="201C3E"/>
                          <w:lang w:eastAsia="en-GB"/>
                        </w:rPr>
                        <w:t>et</w:t>
                      </w:r>
                      <w:r w:rsidRPr="00750135">
                        <w:rPr>
                          <w:rFonts w:asciiTheme="majorHAnsi" w:eastAsia="Times New Roman" w:hAnsiTheme="majorHAnsi" w:cstheme="majorHAnsi"/>
                          <w:color w:val="201C3E"/>
                          <w:lang w:eastAsia="en-GB"/>
                        </w:rPr>
                        <w:t xml:space="preserve"> of</w:t>
                      </w:r>
                      <w:r w:rsidRPr="00D42EA5">
                        <w:rPr>
                          <w:rFonts w:asciiTheme="majorHAnsi" w:eastAsia="Times New Roman" w:hAnsiTheme="majorHAnsi" w:cstheme="majorHAnsi"/>
                          <w:color w:val="201C3E"/>
                          <w:lang w:eastAsia="en-GB"/>
                        </w:rPr>
                        <w:t xml:space="preserve"> rent, rates, council tax, water, mortgage interest and other housing regular payment</w:t>
                      </w:r>
                      <w:r>
                        <w:rPr>
                          <w:rFonts w:asciiTheme="majorHAnsi" w:eastAsia="Times New Roman" w:hAnsiTheme="majorHAnsi" w:cstheme="majorHAnsi"/>
                          <w:color w:val="201C3E"/>
                          <w:lang w:eastAsia="en-GB"/>
                        </w:rPr>
                        <w:t>s</w:t>
                      </w:r>
                      <w:r w:rsidRPr="00D42EA5">
                        <w:rPr>
                          <w:rFonts w:asciiTheme="majorHAnsi" w:eastAsia="Times New Roman" w:hAnsiTheme="majorHAnsi" w:cstheme="majorHAnsi"/>
                          <w:color w:val="201C3E"/>
                          <w:lang w:eastAsia="en-GB"/>
                        </w:rPr>
                        <w:t>).</w:t>
                      </w:r>
                    </w:p>
                    <w:p w14:paraId="33359112" w14:textId="77777777" w:rsidR="002521E0" w:rsidRPr="006A0FB9" w:rsidRDefault="002521E0" w:rsidP="004B7666">
                      <w:pPr>
                        <w:shd w:val="clear" w:color="auto" w:fill="FFFFFF"/>
                        <w:spacing w:before="100" w:beforeAutospacing="1" w:after="100" w:afterAutospacing="1" w:line="240" w:lineRule="auto"/>
                        <w:rPr>
                          <w:rFonts w:asciiTheme="majorHAnsi" w:eastAsia="Times New Roman" w:hAnsiTheme="majorHAnsi" w:cstheme="majorHAnsi"/>
                          <w:color w:val="201C3E"/>
                          <w:lang w:eastAsia="en-GB"/>
                        </w:rPr>
                      </w:pPr>
                      <w:r>
                        <w:rPr>
                          <w:rFonts w:asciiTheme="majorHAnsi" w:eastAsia="Times New Roman" w:hAnsiTheme="majorHAnsi" w:cstheme="majorHAnsi"/>
                          <w:color w:val="201C3E"/>
                          <w:lang w:eastAsia="en-GB"/>
                        </w:rPr>
                        <w:t>The</w:t>
                      </w:r>
                      <w:r w:rsidRPr="006A0FB9">
                        <w:rPr>
                          <w:rFonts w:asciiTheme="majorHAnsi" w:eastAsia="Times New Roman" w:hAnsiTheme="majorHAnsi" w:cstheme="majorHAnsi"/>
                          <w:color w:val="201C3E"/>
                          <w:lang w:eastAsia="en-GB"/>
                        </w:rPr>
                        <w:t xml:space="preserve"> analysis takes no account of any behavioural response to fuel price increases.</w:t>
                      </w:r>
                    </w:p>
                    <w:p w14:paraId="290B352F" w14:textId="77777777" w:rsidR="002521E0" w:rsidRPr="006A0FB9" w:rsidRDefault="002521E0" w:rsidP="004B7666">
                      <w:pPr>
                        <w:shd w:val="clear" w:color="auto" w:fill="FFFFFF"/>
                        <w:spacing w:before="100" w:beforeAutospacing="1" w:after="100" w:afterAutospacing="1" w:line="240" w:lineRule="auto"/>
                        <w:rPr>
                          <w:rFonts w:asciiTheme="majorHAnsi" w:eastAsia="Times New Roman" w:hAnsiTheme="majorHAnsi" w:cstheme="majorHAnsi"/>
                          <w:color w:val="201C3E"/>
                          <w:lang w:eastAsia="en-GB"/>
                        </w:rPr>
                      </w:pPr>
                      <w:r w:rsidRPr="006A0FB9">
                        <w:rPr>
                          <w:rFonts w:asciiTheme="majorHAnsi" w:eastAsia="Times New Roman" w:hAnsiTheme="majorHAnsi" w:cstheme="majorHAnsi"/>
                          <w:color w:val="201C3E"/>
                          <w:lang w:eastAsia="en-GB"/>
                        </w:rPr>
                        <w:t>It applies estimated gas and electricity price increases to all domestic fuel consumption including oil and solid fuels.</w:t>
                      </w:r>
                    </w:p>
                    <w:p w14:paraId="2E041727" w14:textId="16C50948" w:rsidR="002521E0" w:rsidRPr="006A0FB9" w:rsidRDefault="002521E0" w:rsidP="004B7666">
                      <w:pPr>
                        <w:shd w:val="clear" w:color="auto" w:fill="FFFFFF"/>
                        <w:spacing w:before="100" w:beforeAutospacing="1" w:after="100" w:afterAutospacing="1" w:line="240" w:lineRule="auto"/>
                        <w:rPr>
                          <w:rFonts w:asciiTheme="majorHAnsi" w:eastAsia="Times New Roman" w:hAnsiTheme="majorHAnsi" w:cstheme="majorHAnsi"/>
                          <w:color w:val="201C3E"/>
                          <w:lang w:eastAsia="en-GB"/>
                        </w:rPr>
                      </w:pPr>
                      <w:r>
                        <w:rPr>
                          <w:rFonts w:asciiTheme="majorHAnsi" w:eastAsia="Times New Roman" w:hAnsiTheme="majorHAnsi" w:cstheme="majorHAnsi"/>
                          <w:color w:val="201C3E"/>
                          <w:lang w:eastAsia="en-GB"/>
                        </w:rPr>
                        <w:t>The L</w:t>
                      </w:r>
                      <w:r w:rsidRPr="006A0FB9">
                        <w:rPr>
                          <w:rFonts w:asciiTheme="majorHAnsi" w:eastAsia="Times New Roman" w:hAnsiTheme="majorHAnsi" w:cstheme="majorHAnsi"/>
                          <w:color w:val="201C3E"/>
                          <w:lang w:eastAsia="en-GB"/>
                        </w:rPr>
                        <w:t>iving Costs and Food Survey</w:t>
                      </w:r>
                      <w:r>
                        <w:rPr>
                          <w:rFonts w:asciiTheme="majorHAnsi" w:eastAsia="Times New Roman" w:hAnsiTheme="majorHAnsi" w:cstheme="majorHAnsi"/>
                          <w:color w:val="201C3E"/>
                          <w:lang w:eastAsia="en-GB"/>
                        </w:rPr>
                        <w:t xml:space="preserve"> </w:t>
                      </w:r>
                      <w:r w:rsidRPr="004B7666">
                        <w:rPr>
                          <w:rFonts w:asciiTheme="majorHAnsi" w:eastAsia="Times New Roman" w:hAnsiTheme="majorHAnsi" w:cstheme="majorHAnsi"/>
                          <w:color w:val="201C3E"/>
                          <w:lang w:eastAsia="en-GB"/>
                        </w:rPr>
                        <w:t>is based on a national sample of 5,438 households in the UK</w:t>
                      </w:r>
                      <w:r w:rsidRPr="006A0FB9">
                        <w:rPr>
                          <w:rFonts w:asciiTheme="majorHAnsi" w:eastAsia="Times New Roman" w:hAnsiTheme="majorHAnsi" w:cstheme="majorHAnsi"/>
                          <w:color w:val="201C3E"/>
                          <w:lang w:eastAsia="en-GB"/>
                        </w:rPr>
                        <w:t>, but the breakdowns by region and household type are based on a much smaller number and although the survey is weighted to represent the population</w:t>
                      </w:r>
                      <w:r>
                        <w:rPr>
                          <w:rFonts w:asciiTheme="majorHAnsi" w:eastAsia="Times New Roman" w:hAnsiTheme="majorHAnsi" w:cstheme="majorHAnsi"/>
                          <w:color w:val="201C3E"/>
                          <w:lang w:eastAsia="en-GB"/>
                        </w:rPr>
                        <w:t>,</w:t>
                      </w:r>
                      <w:r w:rsidRPr="006A0FB9">
                        <w:rPr>
                          <w:rFonts w:asciiTheme="majorHAnsi" w:eastAsia="Times New Roman" w:hAnsiTheme="majorHAnsi" w:cstheme="majorHAnsi"/>
                          <w:color w:val="201C3E"/>
                          <w:lang w:eastAsia="en-GB"/>
                        </w:rPr>
                        <w:t xml:space="preserve"> there will be quite large sampling errors.</w:t>
                      </w:r>
                    </w:p>
                    <w:p w14:paraId="2381367E" w14:textId="580588DF" w:rsidR="002521E0" w:rsidRPr="004B7666" w:rsidRDefault="002521E0" w:rsidP="004B7666">
                      <w:pPr>
                        <w:shd w:val="clear" w:color="auto" w:fill="FFFFFF"/>
                        <w:spacing w:before="100" w:beforeAutospacing="1" w:after="100" w:afterAutospacing="1" w:line="240" w:lineRule="auto"/>
                        <w:rPr>
                          <w:rFonts w:asciiTheme="majorHAnsi" w:eastAsia="Times New Roman" w:hAnsiTheme="majorHAnsi" w:cstheme="majorHAnsi"/>
                          <w:color w:val="201C3E"/>
                          <w:lang w:eastAsia="en-GB"/>
                        </w:rPr>
                      </w:pPr>
                      <w:r w:rsidRPr="006A0FB9">
                        <w:rPr>
                          <w:rFonts w:asciiTheme="majorHAnsi" w:eastAsia="Times New Roman" w:hAnsiTheme="majorHAnsi" w:cstheme="majorHAnsi"/>
                          <w:color w:val="201C3E"/>
                          <w:lang w:eastAsia="en-GB"/>
                        </w:rPr>
                        <w:t>Northern Ireland consumers are not covered by the price cap and are more reliant on oil central heating</w:t>
                      </w:r>
                      <w:r>
                        <w:rPr>
                          <w:rFonts w:asciiTheme="majorHAnsi" w:eastAsia="Times New Roman" w:hAnsiTheme="majorHAnsi" w:cstheme="majorHAnsi"/>
                          <w:color w:val="201C3E"/>
                          <w:lang w:eastAsia="en-GB"/>
                        </w:rPr>
                        <w:t>,</w:t>
                      </w:r>
                      <w:r w:rsidRPr="006A0FB9">
                        <w:rPr>
                          <w:rFonts w:asciiTheme="majorHAnsi" w:eastAsia="Times New Roman" w:hAnsiTheme="majorHAnsi" w:cstheme="majorHAnsi"/>
                          <w:color w:val="201C3E"/>
                          <w:lang w:eastAsia="en-GB"/>
                        </w:rPr>
                        <w:t xml:space="preserve"> which started rising in price earlier than the gas and electricity price cap.</w:t>
                      </w:r>
                    </w:p>
                  </w:txbxContent>
                </v:textbox>
                <w10:wrap type="square"/>
              </v:shape>
            </w:pict>
          </mc:Fallback>
        </mc:AlternateContent>
      </w:r>
      <w:r w:rsidR="00424851" w:rsidRPr="008B2B45">
        <w:rPr>
          <w:rFonts w:asciiTheme="majorHAnsi" w:eastAsia="Times New Roman" w:hAnsiTheme="majorHAnsi" w:cstheme="majorHAnsi"/>
          <w:lang w:eastAsia="en-GB"/>
        </w:rPr>
        <w:t>[</w:t>
      </w:r>
      <w:r w:rsidR="00424851" w:rsidRPr="008B2B45">
        <w:rPr>
          <w:rFonts w:asciiTheme="majorHAnsi" w:eastAsia="Times New Roman" w:hAnsiTheme="majorHAnsi" w:cstheme="majorHAnsi"/>
          <w:lang w:eastAsia="en-GB"/>
        </w:rPr>
        <w:t xml:space="preserve">Standfirst] </w:t>
      </w:r>
      <w:r w:rsidR="00424851" w:rsidRPr="008B2B45">
        <w:rPr>
          <w:rFonts w:asciiTheme="majorHAnsi" w:eastAsia="Times New Roman" w:hAnsiTheme="majorHAnsi" w:cstheme="majorHAnsi"/>
          <w:b/>
          <w:bCs/>
          <w:lang w:eastAsia="en-GB"/>
        </w:rPr>
        <w:t xml:space="preserve">On 1 October, energy bills for a typical household </w:t>
      </w:r>
      <w:r w:rsidR="0078107C">
        <w:rPr>
          <w:rFonts w:asciiTheme="majorHAnsi" w:eastAsia="Times New Roman" w:hAnsiTheme="majorHAnsi" w:cstheme="majorHAnsi"/>
          <w:b/>
          <w:bCs/>
          <w:lang w:eastAsia="en-GB"/>
        </w:rPr>
        <w:t>are set to rise</w:t>
      </w:r>
      <w:r w:rsidR="00380EF9">
        <w:rPr>
          <w:rFonts w:asciiTheme="majorHAnsi" w:eastAsia="Times New Roman" w:hAnsiTheme="majorHAnsi" w:cstheme="majorHAnsi"/>
          <w:b/>
          <w:bCs/>
          <w:lang w:eastAsia="en-GB"/>
        </w:rPr>
        <w:t xml:space="preserve"> </w:t>
      </w:r>
      <w:r w:rsidR="00424851" w:rsidRPr="008B2B45">
        <w:rPr>
          <w:rFonts w:asciiTheme="majorHAnsi" w:eastAsia="Times New Roman" w:hAnsiTheme="majorHAnsi" w:cstheme="majorHAnsi"/>
          <w:b/>
          <w:bCs/>
          <w:lang w:eastAsia="en-GB"/>
        </w:rPr>
        <w:t>to £3,549 a year</w:t>
      </w:r>
      <w:r w:rsidR="00000FB4" w:rsidRPr="008B2B45">
        <w:rPr>
          <w:rFonts w:asciiTheme="majorHAnsi" w:eastAsia="Times New Roman" w:hAnsiTheme="majorHAnsi" w:cstheme="majorHAnsi"/>
          <w:b/>
          <w:bCs/>
          <w:lang w:eastAsia="en-GB"/>
        </w:rPr>
        <w:t xml:space="preserve">. This is </w:t>
      </w:r>
      <w:r w:rsidR="00A50EE8" w:rsidRPr="008B2B45">
        <w:rPr>
          <w:rFonts w:asciiTheme="majorHAnsi" w:eastAsia="Times New Roman" w:hAnsiTheme="majorHAnsi" w:cstheme="majorHAnsi"/>
          <w:b/>
          <w:bCs/>
          <w:lang w:eastAsia="en-GB"/>
        </w:rPr>
        <w:t xml:space="preserve">nearly treble </w:t>
      </w:r>
      <w:r w:rsidR="00000FB4" w:rsidRPr="008B2B45">
        <w:rPr>
          <w:rFonts w:asciiTheme="majorHAnsi" w:eastAsia="Times New Roman" w:hAnsiTheme="majorHAnsi" w:cstheme="majorHAnsi"/>
          <w:b/>
          <w:bCs/>
          <w:lang w:eastAsia="en-GB"/>
        </w:rPr>
        <w:t>the</w:t>
      </w:r>
      <w:r w:rsidR="001F1043" w:rsidRPr="008B2B45">
        <w:rPr>
          <w:rFonts w:asciiTheme="majorHAnsi" w:eastAsia="Times New Roman" w:hAnsiTheme="majorHAnsi" w:cstheme="majorHAnsi"/>
          <w:b/>
          <w:bCs/>
          <w:lang w:eastAsia="en-GB"/>
        </w:rPr>
        <w:t xml:space="preserve"> </w:t>
      </w:r>
      <w:r w:rsidR="00D55FA5" w:rsidRPr="008B2B45">
        <w:rPr>
          <w:rFonts w:asciiTheme="majorHAnsi" w:eastAsia="Times New Roman" w:hAnsiTheme="majorHAnsi" w:cstheme="majorHAnsi"/>
          <w:b/>
          <w:bCs/>
          <w:lang w:eastAsia="en-GB"/>
        </w:rPr>
        <w:t>cost</w:t>
      </w:r>
      <w:r w:rsidR="007368F4" w:rsidRPr="008B2B45">
        <w:rPr>
          <w:rFonts w:asciiTheme="majorHAnsi" w:eastAsia="Times New Roman" w:hAnsiTheme="majorHAnsi" w:cstheme="majorHAnsi"/>
          <w:b/>
          <w:bCs/>
          <w:lang w:eastAsia="en-GB"/>
        </w:rPr>
        <w:t xml:space="preserve"> a year before</w:t>
      </w:r>
      <w:r w:rsidR="00000FB4" w:rsidRPr="008B2B45">
        <w:rPr>
          <w:rFonts w:asciiTheme="majorHAnsi" w:eastAsia="Times New Roman" w:hAnsiTheme="majorHAnsi" w:cstheme="majorHAnsi"/>
          <w:b/>
          <w:bCs/>
          <w:lang w:eastAsia="en-GB"/>
        </w:rPr>
        <w:t xml:space="preserve">. </w:t>
      </w:r>
      <w:r w:rsidR="001F1043" w:rsidRPr="008B2B45">
        <w:rPr>
          <w:rFonts w:asciiTheme="majorHAnsi" w:eastAsia="Times New Roman" w:hAnsiTheme="majorHAnsi" w:cstheme="majorHAnsi"/>
          <w:b/>
          <w:bCs/>
          <w:lang w:eastAsia="en-GB"/>
        </w:rPr>
        <w:t>In January</w:t>
      </w:r>
      <w:r w:rsidR="007368F4" w:rsidRPr="008B2B45">
        <w:rPr>
          <w:rFonts w:asciiTheme="majorHAnsi" w:eastAsia="Times New Roman" w:hAnsiTheme="majorHAnsi" w:cstheme="majorHAnsi"/>
          <w:b/>
          <w:bCs/>
          <w:lang w:eastAsia="en-GB"/>
        </w:rPr>
        <w:t xml:space="preserve"> 2023</w:t>
      </w:r>
      <w:r w:rsidR="001F1043" w:rsidRPr="008B2B45">
        <w:rPr>
          <w:rFonts w:asciiTheme="majorHAnsi" w:eastAsia="Times New Roman" w:hAnsiTheme="majorHAnsi" w:cstheme="majorHAnsi"/>
          <w:b/>
          <w:bCs/>
          <w:lang w:eastAsia="en-GB"/>
        </w:rPr>
        <w:t>, the price will jump again. What impac</w:t>
      </w:r>
      <w:r w:rsidR="004520F9" w:rsidRPr="008B2B45">
        <w:rPr>
          <w:rFonts w:asciiTheme="majorHAnsi" w:eastAsia="Times New Roman" w:hAnsiTheme="majorHAnsi" w:cstheme="majorHAnsi"/>
          <w:b/>
          <w:bCs/>
          <w:lang w:eastAsia="en-GB"/>
        </w:rPr>
        <w:t>t will this have</w:t>
      </w:r>
      <w:r w:rsidR="001F1043" w:rsidRPr="008B2B45">
        <w:rPr>
          <w:rFonts w:asciiTheme="majorHAnsi" w:eastAsia="Times New Roman" w:hAnsiTheme="majorHAnsi" w:cstheme="majorHAnsi"/>
          <w:b/>
          <w:bCs/>
          <w:lang w:eastAsia="en-GB"/>
        </w:rPr>
        <w:t xml:space="preserve"> on fuel poverty, defined as</w:t>
      </w:r>
      <w:r w:rsidR="00892D4A" w:rsidRPr="008B2B45">
        <w:rPr>
          <w:rFonts w:asciiTheme="majorHAnsi" w:eastAsia="Times New Roman" w:hAnsiTheme="majorHAnsi" w:cstheme="majorHAnsi"/>
          <w:b/>
          <w:bCs/>
          <w:lang w:eastAsia="en-GB"/>
        </w:rPr>
        <w:t xml:space="preserve"> spending more than</w:t>
      </w:r>
      <w:r w:rsidR="001F1043" w:rsidRPr="008B2B45">
        <w:rPr>
          <w:rFonts w:asciiTheme="majorHAnsi" w:eastAsia="Times New Roman" w:hAnsiTheme="majorHAnsi" w:cstheme="majorHAnsi"/>
          <w:b/>
          <w:bCs/>
          <w:lang w:eastAsia="en-GB"/>
        </w:rPr>
        <w:t xml:space="preserve"> 10 per cent of net income on fuel?</w:t>
      </w:r>
      <w:r w:rsidR="00442DBF" w:rsidRPr="008B2B45">
        <w:rPr>
          <w:rFonts w:asciiTheme="majorHAnsi" w:eastAsia="Times New Roman" w:hAnsiTheme="majorHAnsi" w:cstheme="majorHAnsi"/>
          <w:b/>
          <w:bCs/>
          <w:lang w:eastAsia="en-GB"/>
        </w:rPr>
        <w:t xml:space="preserve"> How many households will end up spending even </w:t>
      </w:r>
      <w:r w:rsidR="00C43C09" w:rsidRPr="008B2B45">
        <w:rPr>
          <w:rFonts w:asciiTheme="majorHAnsi" w:eastAsia="Times New Roman" w:hAnsiTheme="majorHAnsi" w:cstheme="majorHAnsi"/>
          <w:b/>
          <w:bCs/>
          <w:lang w:eastAsia="en-GB"/>
        </w:rPr>
        <w:t>greater proportions</w:t>
      </w:r>
      <w:r w:rsidR="00442DBF" w:rsidRPr="008B2B45">
        <w:rPr>
          <w:rFonts w:asciiTheme="majorHAnsi" w:eastAsia="Times New Roman" w:hAnsiTheme="majorHAnsi" w:cstheme="majorHAnsi"/>
          <w:b/>
          <w:bCs/>
          <w:lang w:eastAsia="en-GB"/>
        </w:rPr>
        <w:t xml:space="preserve"> of their income on fuel? And</w:t>
      </w:r>
      <w:r w:rsidR="001F1043" w:rsidRPr="008B2B45">
        <w:rPr>
          <w:rFonts w:asciiTheme="majorHAnsi" w:eastAsia="Times New Roman" w:hAnsiTheme="majorHAnsi" w:cstheme="majorHAnsi"/>
          <w:b/>
          <w:bCs/>
          <w:lang w:eastAsia="en-GB"/>
        </w:rPr>
        <w:t xml:space="preserve"> </w:t>
      </w:r>
      <w:r w:rsidR="00442DBF" w:rsidRPr="008B2B45">
        <w:rPr>
          <w:rFonts w:asciiTheme="majorHAnsi" w:eastAsia="Times New Roman" w:hAnsiTheme="majorHAnsi" w:cstheme="majorHAnsi"/>
          <w:b/>
          <w:bCs/>
          <w:lang w:eastAsia="en-GB"/>
        </w:rPr>
        <w:t>w</w:t>
      </w:r>
      <w:r w:rsidR="00D55FA5" w:rsidRPr="008B2B45">
        <w:rPr>
          <w:rFonts w:asciiTheme="majorHAnsi" w:eastAsia="Times New Roman" w:hAnsiTheme="majorHAnsi" w:cstheme="majorHAnsi"/>
          <w:b/>
          <w:bCs/>
          <w:lang w:eastAsia="en-GB"/>
        </w:rPr>
        <w:t xml:space="preserve">ho will be worst affected? </w:t>
      </w:r>
    </w:p>
    <w:p w14:paraId="76ECAEE3" w14:textId="4C61160A" w:rsidR="00527A0A" w:rsidRPr="008B2B45" w:rsidRDefault="00442DBF" w:rsidP="00527A0A">
      <w:pPr>
        <w:shd w:val="clear" w:color="auto" w:fill="FFFFFF"/>
        <w:spacing w:before="100" w:beforeAutospacing="1" w:after="100" w:afterAutospacing="1" w:line="240" w:lineRule="auto"/>
        <w:rPr>
          <w:rFonts w:asciiTheme="majorHAnsi" w:eastAsia="Times New Roman" w:hAnsiTheme="majorHAnsi" w:cstheme="majorHAnsi"/>
          <w:lang w:eastAsia="en-GB"/>
        </w:rPr>
      </w:pPr>
      <w:r w:rsidRPr="008B2B45">
        <w:rPr>
          <w:rFonts w:asciiTheme="majorHAnsi" w:eastAsia="Times New Roman" w:hAnsiTheme="majorHAnsi" w:cstheme="majorHAnsi"/>
          <w:lang w:eastAsia="en-GB"/>
        </w:rPr>
        <w:t xml:space="preserve">By </w:t>
      </w:r>
      <w:r w:rsidR="006A0FB9" w:rsidRPr="008B2B45">
        <w:rPr>
          <w:rFonts w:asciiTheme="majorHAnsi" w:eastAsia="Times New Roman" w:hAnsiTheme="majorHAnsi" w:cstheme="majorHAnsi"/>
          <w:lang w:eastAsia="en-GB"/>
        </w:rPr>
        <w:t xml:space="preserve">January 2023, </w:t>
      </w:r>
      <w:r w:rsidR="00703FA6" w:rsidRPr="008B2B45">
        <w:rPr>
          <w:rFonts w:asciiTheme="majorHAnsi" w:eastAsia="Times New Roman" w:hAnsiTheme="majorHAnsi" w:cstheme="majorHAnsi"/>
          <w:lang w:eastAsia="en-GB"/>
        </w:rPr>
        <w:t xml:space="preserve">if the energy price cap is </w:t>
      </w:r>
      <w:r w:rsidR="00027C61" w:rsidRPr="008B2B45">
        <w:rPr>
          <w:rFonts w:asciiTheme="majorHAnsi" w:eastAsia="Times New Roman" w:hAnsiTheme="majorHAnsi" w:cstheme="majorHAnsi"/>
          <w:lang w:eastAsia="en-GB"/>
        </w:rPr>
        <w:t>increased to £5,387,</w:t>
      </w:r>
      <w:r w:rsidR="00703FA6" w:rsidRPr="008B2B45">
        <w:rPr>
          <w:rFonts w:asciiTheme="majorHAnsi" w:eastAsia="Times New Roman" w:hAnsiTheme="majorHAnsi" w:cstheme="majorHAnsi"/>
          <w:lang w:eastAsia="en-GB"/>
        </w:rPr>
        <w:t xml:space="preserve"> which is the estimate from Cornwall Insight at time of writing, </w:t>
      </w:r>
      <w:r w:rsidR="00027C61" w:rsidRPr="002D56AA">
        <w:rPr>
          <w:rFonts w:asciiTheme="majorHAnsi" w:eastAsia="Times New Roman" w:hAnsiTheme="majorHAnsi" w:cstheme="majorHAnsi"/>
          <w:lang w:eastAsia="en-GB"/>
        </w:rPr>
        <w:t>more than</w:t>
      </w:r>
      <w:r w:rsidR="00721101" w:rsidRPr="002D56AA">
        <w:rPr>
          <w:rFonts w:asciiTheme="majorHAnsi" w:eastAsia="Times New Roman" w:hAnsiTheme="majorHAnsi" w:cstheme="majorHAnsi"/>
          <w:lang w:eastAsia="en-GB"/>
        </w:rPr>
        <w:t xml:space="preserve"> 8</w:t>
      </w:r>
      <w:r w:rsidR="00A314D3" w:rsidRPr="002D56AA">
        <w:rPr>
          <w:rFonts w:asciiTheme="majorHAnsi" w:eastAsia="Times New Roman" w:hAnsiTheme="majorHAnsi" w:cstheme="majorHAnsi"/>
          <w:lang w:eastAsia="en-GB"/>
        </w:rPr>
        <w:t>3</w:t>
      </w:r>
      <w:r w:rsidR="00721101" w:rsidRPr="002D56AA">
        <w:rPr>
          <w:rFonts w:asciiTheme="majorHAnsi" w:eastAsia="Times New Roman" w:hAnsiTheme="majorHAnsi" w:cstheme="majorHAnsi"/>
          <w:lang w:eastAsia="en-GB"/>
        </w:rPr>
        <w:t xml:space="preserve"> per cent</w:t>
      </w:r>
      <w:r w:rsidR="00027C61" w:rsidRPr="002D56AA">
        <w:rPr>
          <w:rFonts w:asciiTheme="majorHAnsi" w:eastAsia="Times New Roman" w:hAnsiTheme="majorHAnsi" w:cstheme="majorHAnsi"/>
          <w:lang w:eastAsia="en-GB"/>
        </w:rPr>
        <w:t xml:space="preserve"> </w:t>
      </w:r>
      <w:r w:rsidR="006A0FB9" w:rsidRPr="008B2B45">
        <w:rPr>
          <w:rFonts w:asciiTheme="majorHAnsi" w:eastAsia="Times New Roman" w:hAnsiTheme="majorHAnsi" w:cstheme="majorHAnsi"/>
          <w:b/>
          <w:bCs/>
          <w:lang w:eastAsia="en-GB"/>
        </w:rPr>
        <w:t xml:space="preserve"> </w:t>
      </w:r>
      <w:r w:rsidR="006A0FB9" w:rsidRPr="008B2B45">
        <w:rPr>
          <w:rFonts w:asciiTheme="majorHAnsi" w:eastAsia="Times New Roman" w:hAnsiTheme="majorHAnsi" w:cstheme="majorHAnsi"/>
          <w:lang w:eastAsia="en-GB"/>
        </w:rPr>
        <w:t>of households in the UK (</w:t>
      </w:r>
      <w:r w:rsidR="00027C61" w:rsidRPr="00FF4CEB">
        <w:rPr>
          <w:rFonts w:asciiTheme="majorHAnsi" w:eastAsia="Times New Roman" w:hAnsiTheme="majorHAnsi" w:cstheme="majorHAnsi"/>
          <w:lang w:eastAsia="en-GB"/>
        </w:rPr>
        <w:t>2</w:t>
      </w:r>
      <w:r w:rsidR="00721101" w:rsidRPr="00FF4CEB">
        <w:rPr>
          <w:rFonts w:asciiTheme="majorHAnsi" w:eastAsia="Times New Roman" w:hAnsiTheme="majorHAnsi" w:cstheme="majorHAnsi"/>
          <w:lang w:eastAsia="en-GB"/>
        </w:rPr>
        <w:t>2</w:t>
      </w:r>
      <w:r w:rsidR="00A314D3" w:rsidRPr="00FF4CEB">
        <w:rPr>
          <w:rFonts w:asciiTheme="majorHAnsi" w:eastAsia="Times New Roman" w:hAnsiTheme="majorHAnsi" w:cstheme="majorHAnsi"/>
          <w:lang w:eastAsia="en-GB"/>
        </w:rPr>
        <w:t>.8</w:t>
      </w:r>
      <w:r w:rsidR="006A0FB9" w:rsidRPr="00FF4CEB">
        <w:rPr>
          <w:rFonts w:asciiTheme="majorHAnsi" w:eastAsia="Times New Roman" w:hAnsiTheme="majorHAnsi" w:cstheme="majorHAnsi"/>
          <w:lang w:eastAsia="en-GB"/>
        </w:rPr>
        <w:t xml:space="preserve"> million</w:t>
      </w:r>
      <w:r w:rsidR="006A0FB9" w:rsidRPr="008B2B45">
        <w:rPr>
          <w:rFonts w:asciiTheme="majorHAnsi" w:eastAsia="Times New Roman" w:hAnsiTheme="majorHAnsi" w:cstheme="majorHAnsi"/>
          <w:lang w:eastAsia="en-GB"/>
        </w:rPr>
        <w:t xml:space="preserve">) will be spending </w:t>
      </w:r>
      <w:r w:rsidR="00C43C09" w:rsidRPr="008B2B45">
        <w:rPr>
          <w:rFonts w:asciiTheme="majorHAnsi" w:eastAsia="Times New Roman" w:hAnsiTheme="majorHAnsi" w:cstheme="majorHAnsi"/>
          <w:lang w:eastAsia="en-GB"/>
        </w:rPr>
        <w:t>more than</w:t>
      </w:r>
      <w:r w:rsidR="006A0FB9" w:rsidRPr="008B2B45">
        <w:rPr>
          <w:rFonts w:asciiTheme="majorHAnsi" w:eastAsia="Times New Roman" w:hAnsiTheme="majorHAnsi" w:cstheme="majorHAnsi"/>
          <w:lang w:eastAsia="en-GB"/>
        </w:rPr>
        <w:t xml:space="preserve"> 10 per cent of</w:t>
      </w:r>
      <w:r w:rsidR="00C43C09" w:rsidRPr="008B2B45">
        <w:rPr>
          <w:rFonts w:asciiTheme="majorHAnsi" w:eastAsia="Times New Roman" w:hAnsiTheme="majorHAnsi" w:cstheme="majorHAnsi"/>
          <w:lang w:eastAsia="en-GB"/>
        </w:rPr>
        <w:t xml:space="preserve"> their</w:t>
      </w:r>
      <w:r w:rsidR="006A0FB9" w:rsidRPr="008B2B45">
        <w:rPr>
          <w:rFonts w:asciiTheme="majorHAnsi" w:eastAsia="Times New Roman" w:hAnsiTheme="majorHAnsi" w:cstheme="majorHAnsi"/>
          <w:lang w:eastAsia="en-GB"/>
        </w:rPr>
        <w:t xml:space="preserve"> net income on fuel</w:t>
      </w:r>
      <w:r w:rsidR="006B6F31" w:rsidRPr="008B2B45">
        <w:rPr>
          <w:rFonts w:asciiTheme="majorHAnsi" w:eastAsia="Times New Roman" w:hAnsiTheme="majorHAnsi" w:cstheme="majorHAnsi"/>
          <w:lang w:eastAsia="en-GB"/>
        </w:rPr>
        <w:t xml:space="preserve"> (the conventional fuel poverty threshold</w:t>
      </w:r>
      <w:r w:rsidR="006B6F31" w:rsidRPr="00380EF9">
        <w:rPr>
          <w:rFonts w:asciiTheme="majorHAnsi" w:eastAsia="Times New Roman" w:hAnsiTheme="majorHAnsi" w:cstheme="majorHAnsi"/>
          <w:lang w:eastAsia="en-GB"/>
        </w:rPr>
        <w:t>)</w:t>
      </w:r>
      <w:r w:rsidR="006512E8" w:rsidRPr="00380EF9">
        <w:rPr>
          <w:rFonts w:asciiTheme="majorHAnsi" w:eastAsia="Times New Roman" w:hAnsiTheme="majorHAnsi" w:cstheme="majorHAnsi"/>
          <w:lang w:eastAsia="en-GB"/>
        </w:rPr>
        <w:t xml:space="preserve"> after housing costs.</w:t>
      </w:r>
      <w:r w:rsidR="00826B9C" w:rsidRPr="00380EF9">
        <w:rPr>
          <w:rStyle w:val="EndnoteReference"/>
          <w:rFonts w:asciiTheme="majorHAnsi" w:eastAsia="Times New Roman" w:hAnsiTheme="majorHAnsi" w:cstheme="majorHAnsi"/>
          <w:lang w:eastAsia="en-GB"/>
        </w:rPr>
        <w:endnoteReference w:id="1"/>
      </w:r>
      <w:r w:rsidR="00C43C09" w:rsidRPr="00380EF9">
        <w:rPr>
          <w:rFonts w:asciiTheme="majorHAnsi" w:eastAsia="Times New Roman" w:hAnsiTheme="majorHAnsi" w:cstheme="majorHAnsi"/>
          <w:lang w:eastAsia="en-GB"/>
        </w:rPr>
        <w:t xml:space="preserve"> W</w:t>
      </w:r>
      <w:r w:rsidR="00C43C09" w:rsidRPr="008B2B45">
        <w:rPr>
          <w:rFonts w:asciiTheme="majorHAnsi" w:eastAsia="Times New Roman" w:hAnsiTheme="majorHAnsi" w:cstheme="majorHAnsi"/>
          <w:lang w:eastAsia="en-GB"/>
        </w:rPr>
        <w:t xml:space="preserve">e estimate that </w:t>
      </w:r>
      <w:r w:rsidR="00C43C09" w:rsidRPr="001A3431">
        <w:rPr>
          <w:rFonts w:asciiTheme="majorHAnsi" w:eastAsia="Times New Roman" w:hAnsiTheme="majorHAnsi" w:cstheme="majorHAnsi"/>
          <w:lang w:eastAsia="en-GB"/>
        </w:rPr>
        <w:t>9</w:t>
      </w:r>
      <w:r w:rsidR="00721101" w:rsidRPr="001A3431">
        <w:rPr>
          <w:rFonts w:asciiTheme="majorHAnsi" w:eastAsia="Times New Roman" w:hAnsiTheme="majorHAnsi" w:cstheme="majorHAnsi"/>
          <w:lang w:eastAsia="en-GB"/>
        </w:rPr>
        <w:t>3.4</w:t>
      </w:r>
      <w:r w:rsidR="00527A0A" w:rsidRPr="001A3431">
        <w:rPr>
          <w:rFonts w:asciiTheme="majorHAnsi" w:eastAsia="Times New Roman" w:hAnsiTheme="majorHAnsi" w:cstheme="majorHAnsi"/>
          <w:lang w:eastAsia="en-GB"/>
        </w:rPr>
        <w:t xml:space="preserve"> per cent</w:t>
      </w:r>
      <w:r w:rsidR="00C43C09" w:rsidRPr="001A3431">
        <w:rPr>
          <w:rFonts w:asciiTheme="majorHAnsi" w:eastAsia="Times New Roman" w:hAnsiTheme="majorHAnsi" w:cstheme="majorHAnsi"/>
          <w:lang w:eastAsia="en-GB"/>
        </w:rPr>
        <w:t xml:space="preserve"> of pensioner couples and </w:t>
      </w:r>
      <w:r w:rsidR="00721101" w:rsidRPr="001A3431">
        <w:rPr>
          <w:rFonts w:asciiTheme="majorHAnsi" w:eastAsia="Times New Roman" w:hAnsiTheme="majorHAnsi" w:cstheme="majorHAnsi"/>
          <w:lang w:eastAsia="en-GB"/>
        </w:rPr>
        <w:t>94.8</w:t>
      </w:r>
      <w:r w:rsidR="00527A0A" w:rsidRPr="001A3431">
        <w:rPr>
          <w:rFonts w:asciiTheme="majorHAnsi" w:eastAsia="Times New Roman" w:hAnsiTheme="majorHAnsi" w:cstheme="majorHAnsi"/>
          <w:lang w:eastAsia="en-GB"/>
        </w:rPr>
        <w:t xml:space="preserve"> per cent</w:t>
      </w:r>
      <w:r w:rsidR="00C43C09" w:rsidRPr="001A3431">
        <w:rPr>
          <w:rFonts w:asciiTheme="majorHAnsi" w:eastAsia="Times New Roman" w:hAnsiTheme="majorHAnsi" w:cstheme="majorHAnsi"/>
          <w:lang w:eastAsia="en-GB"/>
        </w:rPr>
        <w:t xml:space="preserve"> of couples with </w:t>
      </w:r>
      <w:r w:rsidR="00527A0A" w:rsidRPr="001A3431">
        <w:rPr>
          <w:rFonts w:asciiTheme="majorHAnsi" w:eastAsia="Times New Roman" w:hAnsiTheme="majorHAnsi" w:cstheme="majorHAnsi"/>
          <w:lang w:eastAsia="en-GB"/>
        </w:rPr>
        <w:t>three</w:t>
      </w:r>
      <w:r w:rsidR="00C43C09" w:rsidRPr="001A3431">
        <w:rPr>
          <w:rFonts w:asciiTheme="majorHAnsi" w:eastAsia="Times New Roman" w:hAnsiTheme="majorHAnsi" w:cstheme="majorHAnsi"/>
          <w:lang w:eastAsia="en-GB"/>
        </w:rPr>
        <w:t xml:space="preserve"> children</w:t>
      </w:r>
      <w:r w:rsidR="00C43C09" w:rsidRPr="008B2B45">
        <w:rPr>
          <w:rFonts w:asciiTheme="majorHAnsi" w:eastAsia="Times New Roman" w:hAnsiTheme="majorHAnsi" w:cstheme="majorHAnsi"/>
          <w:lang w:eastAsia="en-GB"/>
        </w:rPr>
        <w:t xml:space="preserve"> will be spending more tha</w:t>
      </w:r>
      <w:r w:rsidR="00636C60" w:rsidRPr="008B2B45">
        <w:rPr>
          <w:rFonts w:asciiTheme="majorHAnsi" w:eastAsia="Times New Roman" w:hAnsiTheme="majorHAnsi" w:cstheme="majorHAnsi"/>
          <w:lang w:eastAsia="en-GB"/>
        </w:rPr>
        <w:t>n</w:t>
      </w:r>
      <w:r w:rsidR="00C43C09" w:rsidRPr="008B2B45">
        <w:rPr>
          <w:rFonts w:asciiTheme="majorHAnsi" w:eastAsia="Times New Roman" w:hAnsiTheme="majorHAnsi" w:cstheme="majorHAnsi"/>
          <w:lang w:eastAsia="en-GB"/>
        </w:rPr>
        <w:t xml:space="preserve"> 10</w:t>
      </w:r>
      <w:r w:rsidR="00527A0A" w:rsidRPr="008B2B45">
        <w:rPr>
          <w:rFonts w:asciiTheme="majorHAnsi" w:eastAsia="Times New Roman" w:hAnsiTheme="majorHAnsi" w:cstheme="majorHAnsi"/>
          <w:lang w:eastAsia="en-GB"/>
        </w:rPr>
        <w:t xml:space="preserve"> per cent</w:t>
      </w:r>
      <w:r w:rsidR="00C43C09" w:rsidRPr="008B2B45">
        <w:rPr>
          <w:rFonts w:asciiTheme="majorHAnsi" w:eastAsia="Times New Roman" w:hAnsiTheme="majorHAnsi" w:cstheme="majorHAnsi"/>
          <w:lang w:eastAsia="en-GB"/>
        </w:rPr>
        <w:t xml:space="preserve"> of their net income on fuel.</w:t>
      </w:r>
      <w:r w:rsidR="00527A0A" w:rsidRPr="008B2B45">
        <w:rPr>
          <w:rFonts w:asciiTheme="majorHAnsi" w:eastAsia="Times New Roman" w:hAnsiTheme="majorHAnsi" w:cstheme="majorHAnsi"/>
          <w:lang w:eastAsia="en-GB"/>
        </w:rPr>
        <w:t xml:space="preserve"> On average, households will be </w:t>
      </w:r>
      <w:r w:rsidR="00527A0A" w:rsidRPr="00380EF9">
        <w:rPr>
          <w:rFonts w:asciiTheme="majorHAnsi" w:eastAsia="Times New Roman" w:hAnsiTheme="majorHAnsi" w:cstheme="majorHAnsi"/>
          <w:lang w:eastAsia="en-GB"/>
        </w:rPr>
        <w:t>spending £</w:t>
      </w:r>
      <w:r w:rsidR="007C3B4F" w:rsidRPr="00380EF9">
        <w:rPr>
          <w:rFonts w:asciiTheme="majorHAnsi" w:eastAsia="Times New Roman" w:hAnsiTheme="majorHAnsi" w:cstheme="majorHAnsi"/>
          <w:lang w:eastAsia="en-GB"/>
        </w:rPr>
        <w:t>6</w:t>
      </w:r>
      <w:r w:rsidR="00721101" w:rsidRPr="00380EF9">
        <w:rPr>
          <w:rFonts w:asciiTheme="majorHAnsi" w:eastAsia="Times New Roman" w:hAnsiTheme="majorHAnsi" w:cstheme="majorHAnsi"/>
          <w:lang w:eastAsia="en-GB"/>
        </w:rPr>
        <w:t>4</w:t>
      </w:r>
      <w:r w:rsidR="007C3B4F" w:rsidRPr="00380EF9">
        <w:rPr>
          <w:rFonts w:asciiTheme="majorHAnsi" w:eastAsia="Times New Roman" w:hAnsiTheme="majorHAnsi" w:cstheme="majorHAnsi"/>
          <w:lang w:eastAsia="en-GB"/>
        </w:rPr>
        <w:t>.</w:t>
      </w:r>
      <w:r w:rsidR="00721101" w:rsidRPr="00380EF9">
        <w:rPr>
          <w:rFonts w:asciiTheme="majorHAnsi" w:eastAsia="Times New Roman" w:hAnsiTheme="majorHAnsi" w:cstheme="majorHAnsi"/>
          <w:lang w:eastAsia="en-GB"/>
        </w:rPr>
        <w:t>23</w:t>
      </w:r>
      <w:r w:rsidR="007C3B4F" w:rsidRPr="00380EF9">
        <w:rPr>
          <w:rFonts w:asciiTheme="majorHAnsi" w:eastAsia="Times New Roman" w:hAnsiTheme="majorHAnsi" w:cstheme="majorHAnsi"/>
          <w:lang w:eastAsia="en-GB"/>
        </w:rPr>
        <w:t xml:space="preserve"> </w:t>
      </w:r>
      <w:r w:rsidR="00527A0A" w:rsidRPr="00380EF9">
        <w:rPr>
          <w:rFonts w:asciiTheme="majorHAnsi" w:eastAsia="Times New Roman" w:hAnsiTheme="majorHAnsi" w:cstheme="majorHAnsi"/>
          <w:lang w:eastAsia="en-GB"/>
        </w:rPr>
        <w:t>above</w:t>
      </w:r>
      <w:r w:rsidR="00527A0A" w:rsidRPr="008B2B45">
        <w:rPr>
          <w:rFonts w:asciiTheme="majorHAnsi" w:eastAsia="Times New Roman" w:hAnsiTheme="majorHAnsi" w:cstheme="majorHAnsi"/>
          <w:lang w:eastAsia="en-GB"/>
        </w:rPr>
        <w:t xml:space="preserve"> the 10 per cent threshold. There are big regional variations in fuel poverty ranging from </w:t>
      </w:r>
      <w:r w:rsidR="000441ED" w:rsidRPr="004F5428">
        <w:rPr>
          <w:rFonts w:asciiTheme="majorHAnsi" w:eastAsia="Times New Roman" w:hAnsiTheme="majorHAnsi" w:cstheme="majorHAnsi"/>
          <w:lang w:eastAsia="en-GB"/>
        </w:rPr>
        <w:t>7</w:t>
      </w:r>
      <w:r w:rsidR="007C3B4F" w:rsidRPr="004F5428">
        <w:rPr>
          <w:rFonts w:asciiTheme="majorHAnsi" w:eastAsia="Times New Roman" w:hAnsiTheme="majorHAnsi" w:cstheme="majorHAnsi"/>
          <w:lang w:eastAsia="en-GB"/>
        </w:rPr>
        <w:t xml:space="preserve">9 </w:t>
      </w:r>
      <w:r w:rsidR="00527A0A" w:rsidRPr="004F5428">
        <w:rPr>
          <w:rFonts w:asciiTheme="majorHAnsi" w:eastAsia="Times New Roman" w:hAnsiTheme="majorHAnsi" w:cstheme="majorHAnsi"/>
          <w:lang w:eastAsia="en-GB"/>
        </w:rPr>
        <w:t xml:space="preserve">per cent in London to </w:t>
      </w:r>
      <w:r w:rsidR="000441ED" w:rsidRPr="004F5428">
        <w:rPr>
          <w:rFonts w:asciiTheme="majorHAnsi" w:eastAsia="Times New Roman" w:hAnsiTheme="majorHAnsi" w:cstheme="majorHAnsi"/>
          <w:lang w:eastAsia="en-GB"/>
        </w:rPr>
        <w:t>87.1</w:t>
      </w:r>
      <w:r w:rsidR="0078107C">
        <w:rPr>
          <w:rFonts w:asciiTheme="majorHAnsi" w:eastAsia="Times New Roman" w:hAnsiTheme="majorHAnsi" w:cstheme="majorHAnsi"/>
          <w:lang w:eastAsia="en-GB"/>
        </w:rPr>
        <w:t xml:space="preserve"> </w:t>
      </w:r>
      <w:r w:rsidR="00527A0A" w:rsidRPr="004F5428">
        <w:rPr>
          <w:rFonts w:asciiTheme="majorHAnsi" w:eastAsia="Times New Roman" w:hAnsiTheme="majorHAnsi" w:cstheme="majorHAnsi"/>
          <w:lang w:eastAsia="en-GB"/>
        </w:rPr>
        <w:t xml:space="preserve">per cent in </w:t>
      </w:r>
      <w:r w:rsidR="000441ED" w:rsidRPr="004F5428">
        <w:rPr>
          <w:rFonts w:asciiTheme="majorHAnsi" w:eastAsia="Times New Roman" w:hAnsiTheme="majorHAnsi" w:cstheme="majorHAnsi"/>
          <w:lang w:eastAsia="en-GB"/>
        </w:rPr>
        <w:t>the Eastern region of England</w:t>
      </w:r>
      <w:r w:rsidR="00527A0A" w:rsidRPr="008B2B45">
        <w:rPr>
          <w:rFonts w:asciiTheme="majorHAnsi" w:eastAsia="Times New Roman" w:hAnsiTheme="majorHAnsi" w:cstheme="majorHAnsi"/>
          <w:lang w:eastAsia="en-GB"/>
        </w:rPr>
        <w:t>.</w:t>
      </w:r>
    </w:p>
    <w:p w14:paraId="6C06BDE1" w14:textId="10EF220F" w:rsidR="006A0FB9" w:rsidRPr="008B2B45" w:rsidRDefault="006A0FB9" w:rsidP="006A0FB9">
      <w:pPr>
        <w:shd w:val="clear" w:color="auto" w:fill="FFFFFF"/>
        <w:spacing w:after="210" w:line="240" w:lineRule="auto"/>
        <w:rPr>
          <w:rFonts w:asciiTheme="majorHAnsi" w:eastAsia="Times New Roman" w:hAnsiTheme="majorHAnsi" w:cstheme="majorHAnsi"/>
          <w:lang w:eastAsia="en-GB"/>
        </w:rPr>
      </w:pPr>
      <w:r w:rsidRPr="008B2B45">
        <w:rPr>
          <w:rFonts w:asciiTheme="majorHAnsi" w:eastAsia="Times New Roman" w:hAnsiTheme="majorHAnsi" w:cstheme="majorHAnsi"/>
          <w:lang w:eastAsia="en-GB"/>
        </w:rPr>
        <w:t>In 2019/20, according to the Living Costs and Food Survey (LCFS), the mean weekly household domestic energy expenditure was £24.75 (£1,287 per year) or</w:t>
      </w:r>
      <w:r w:rsidR="003D52BB" w:rsidRPr="008B2B45">
        <w:rPr>
          <w:rFonts w:asciiTheme="majorHAnsi" w:eastAsia="Times New Roman" w:hAnsiTheme="majorHAnsi" w:cstheme="majorHAnsi"/>
          <w:lang w:eastAsia="en-GB"/>
        </w:rPr>
        <w:t>,</w:t>
      </w:r>
      <w:r w:rsidRPr="008B2B45">
        <w:rPr>
          <w:rFonts w:asciiTheme="majorHAnsi" w:eastAsia="Times New Roman" w:hAnsiTheme="majorHAnsi" w:cstheme="majorHAnsi"/>
          <w:lang w:eastAsia="en-GB"/>
        </w:rPr>
        <w:t xml:space="preserve"> if based on the median</w:t>
      </w:r>
      <w:r w:rsidR="003D52BB" w:rsidRPr="008B2B45">
        <w:rPr>
          <w:rFonts w:asciiTheme="majorHAnsi" w:eastAsia="Times New Roman" w:hAnsiTheme="majorHAnsi" w:cstheme="majorHAnsi"/>
          <w:lang w:eastAsia="en-GB"/>
        </w:rPr>
        <w:t>,</w:t>
      </w:r>
      <w:r w:rsidRPr="008B2B45">
        <w:rPr>
          <w:rFonts w:asciiTheme="majorHAnsi" w:eastAsia="Times New Roman" w:hAnsiTheme="majorHAnsi" w:cstheme="majorHAnsi"/>
          <w:lang w:eastAsia="en-GB"/>
        </w:rPr>
        <w:t xml:space="preserve"> £21.39 (£1,112 per year). Then</w:t>
      </w:r>
      <w:r w:rsidR="004A26CB" w:rsidRPr="008B2B45">
        <w:rPr>
          <w:rFonts w:asciiTheme="majorHAnsi" w:eastAsia="Times New Roman" w:hAnsiTheme="majorHAnsi" w:cstheme="majorHAnsi"/>
          <w:lang w:eastAsia="en-GB"/>
        </w:rPr>
        <w:t>,</w:t>
      </w:r>
      <w:r w:rsidRPr="008B2B45">
        <w:rPr>
          <w:rFonts w:asciiTheme="majorHAnsi" w:eastAsia="Times New Roman" w:hAnsiTheme="majorHAnsi" w:cstheme="majorHAnsi"/>
          <w:lang w:eastAsia="en-GB"/>
        </w:rPr>
        <w:t xml:space="preserve"> </w:t>
      </w:r>
      <w:r w:rsidR="008073D7" w:rsidRPr="004F5428">
        <w:rPr>
          <w:rFonts w:asciiTheme="majorHAnsi" w:eastAsia="Times New Roman" w:hAnsiTheme="majorHAnsi" w:cstheme="majorHAnsi"/>
          <w:lang w:eastAsia="en-GB"/>
        </w:rPr>
        <w:t>27.9</w:t>
      </w:r>
      <w:r w:rsidR="008073D7">
        <w:rPr>
          <w:rFonts w:asciiTheme="majorHAnsi" w:eastAsia="Times New Roman" w:hAnsiTheme="majorHAnsi" w:cstheme="majorHAnsi"/>
          <w:lang w:eastAsia="en-GB"/>
        </w:rPr>
        <w:t xml:space="preserve"> </w:t>
      </w:r>
      <w:r w:rsidRPr="008B2B45">
        <w:rPr>
          <w:rFonts w:asciiTheme="majorHAnsi" w:eastAsia="Times New Roman" w:hAnsiTheme="majorHAnsi" w:cstheme="majorHAnsi"/>
          <w:lang w:eastAsia="en-GB"/>
        </w:rPr>
        <w:t>per cent of households were spending more than 10 per cent of their net income on fuel</w:t>
      </w:r>
      <w:r w:rsidR="004A26CB" w:rsidRPr="008B2B45">
        <w:rPr>
          <w:rFonts w:asciiTheme="majorHAnsi" w:eastAsia="Times New Roman" w:hAnsiTheme="majorHAnsi" w:cstheme="majorHAnsi"/>
          <w:lang w:eastAsia="en-GB"/>
        </w:rPr>
        <w:t xml:space="preserve">. </w:t>
      </w:r>
      <w:r w:rsidRPr="008B2B45">
        <w:rPr>
          <w:rFonts w:asciiTheme="majorHAnsi" w:eastAsia="Times New Roman" w:hAnsiTheme="majorHAnsi" w:cstheme="majorHAnsi"/>
          <w:lang w:eastAsia="en-GB"/>
        </w:rPr>
        <w:t>This is the latest survey-based estimate that we have, but in 2020 and 2021 there was very little change in the domestic fuel element of the Consumer Price Index.</w:t>
      </w:r>
    </w:p>
    <w:p w14:paraId="59AF6476" w14:textId="12E2839B" w:rsidR="006A0FB9" w:rsidRPr="008B2B45" w:rsidRDefault="006A0FB9" w:rsidP="006A0FB9">
      <w:pPr>
        <w:shd w:val="clear" w:color="auto" w:fill="FFFFFF"/>
        <w:spacing w:after="210" w:line="240" w:lineRule="auto"/>
        <w:rPr>
          <w:rFonts w:asciiTheme="majorHAnsi" w:eastAsia="Times New Roman" w:hAnsiTheme="majorHAnsi" w:cstheme="majorHAnsi"/>
          <w:lang w:eastAsia="en-GB"/>
        </w:rPr>
      </w:pPr>
      <w:r w:rsidRPr="008B2B45">
        <w:rPr>
          <w:rFonts w:asciiTheme="majorHAnsi" w:eastAsia="Times New Roman" w:hAnsiTheme="majorHAnsi" w:cstheme="majorHAnsi"/>
          <w:lang w:eastAsia="en-GB"/>
        </w:rPr>
        <w:t xml:space="preserve">In April 2022, the electricity and gas price cap set by Ofgem was increased by 54 per cent, which was expected to increase </w:t>
      </w:r>
      <w:r w:rsidR="00EA6CA0" w:rsidRPr="008B2B45">
        <w:rPr>
          <w:rFonts w:asciiTheme="majorHAnsi" w:eastAsia="Times New Roman" w:hAnsiTheme="majorHAnsi" w:cstheme="majorHAnsi"/>
          <w:lang w:eastAsia="en-GB"/>
        </w:rPr>
        <w:t xml:space="preserve">mean </w:t>
      </w:r>
      <w:r w:rsidRPr="008B2B45">
        <w:rPr>
          <w:rFonts w:asciiTheme="majorHAnsi" w:eastAsia="Times New Roman" w:hAnsiTheme="majorHAnsi" w:cstheme="majorHAnsi"/>
          <w:lang w:eastAsia="en-GB"/>
        </w:rPr>
        <w:t>weekly household energy bills to £38.12 (£1,982 per year) or median £32.94 (£1,713 per year). All other things being equal</w:t>
      </w:r>
      <w:r w:rsidR="00B4277A" w:rsidRPr="008B2B45">
        <w:rPr>
          <w:rFonts w:asciiTheme="majorHAnsi" w:eastAsia="Times New Roman" w:hAnsiTheme="majorHAnsi" w:cstheme="majorHAnsi"/>
          <w:lang w:eastAsia="en-GB"/>
        </w:rPr>
        <w:t>,</w:t>
      </w:r>
      <w:r w:rsidRPr="008B2B45">
        <w:rPr>
          <w:rFonts w:asciiTheme="majorHAnsi" w:eastAsia="Times New Roman" w:hAnsiTheme="majorHAnsi" w:cstheme="majorHAnsi"/>
          <w:lang w:eastAsia="en-GB"/>
        </w:rPr>
        <w:t xml:space="preserve"> this would have increased fuel poverty rates to </w:t>
      </w:r>
      <w:r w:rsidR="00E939F8" w:rsidRPr="004F5428">
        <w:rPr>
          <w:rFonts w:asciiTheme="majorHAnsi" w:eastAsia="Times New Roman" w:hAnsiTheme="majorHAnsi" w:cstheme="majorHAnsi"/>
          <w:lang w:eastAsia="en-GB"/>
        </w:rPr>
        <w:t>48.9</w:t>
      </w:r>
      <w:r w:rsidRPr="008B2B45">
        <w:rPr>
          <w:rFonts w:asciiTheme="majorHAnsi" w:eastAsia="Times New Roman" w:hAnsiTheme="majorHAnsi" w:cstheme="majorHAnsi"/>
          <w:lang w:eastAsia="en-GB"/>
        </w:rPr>
        <w:t xml:space="preserve"> per cent.</w:t>
      </w:r>
    </w:p>
    <w:p w14:paraId="02DBC7B4" w14:textId="5744F854" w:rsidR="006A0FB9" w:rsidRPr="008B2B45" w:rsidRDefault="006A0FB9" w:rsidP="006A0FB9">
      <w:pPr>
        <w:shd w:val="clear" w:color="auto" w:fill="FFFFFF"/>
        <w:spacing w:after="210" w:line="240" w:lineRule="auto"/>
        <w:rPr>
          <w:rFonts w:asciiTheme="majorHAnsi" w:eastAsia="Times New Roman" w:hAnsiTheme="majorHAnsi" w:cstheme="majorHAnsi"/>
          <w:lang w:eastAsia="en-GB"/>
        </w:rPr>
      </w:pPr>
      <w:r w:rsidRPr="008B2B45">
        <w:rPr>
          <w:rFonts w:asciiTheme="majorHAnsi" w:eastAsia="Times New Roman" w:hAnsiTheme="majorHAnsi" w:cstheme="majorHAnsi"/>
          <w:lang w:eastAsia="en-GB"/>
        </w:rPr>
        <w:t>Of course</w:t>
      </w:r>
      <w:r w:rsidR="00B4277A" w:rsidRPr="008B2B45">
        <w:rPr>
          <w:rFonts w:asciiTheme="majorHAnsi" w:eastAsia="Times New Roman" w:hAnsiTheme="majorHAnsi" w:cstheme="majorHAnsi"/>
          <w:lang w:eastAsia="en-GB"/>
        </w:rPr>
        <w:t>,</w:t>
      </w:r>
      <w:r w:rsidRPr="008B2B45">
        <w:rPr>
          <w:rFonts w:asciiTheme="majorHAnsi" w:eastAsia="Times New Roman" w:hAnsiTheme="majorHAnsi" w:cstheme="majorHAnsi"/>
          <w:lang w:eastAsia="en-GB"/>
        </w:rPr>
        <w:t xml:space="preserve"> all other things have not been equal. In April 2022 benefits and pensions were increased by only 3.1 per cent, much less than the then rate of inflation. Income tax and national insurance contributions were increased at the same time as real earnings were falling. In his April budget the then chancellor announced a £150 rebate for households in council tax bands A-D.</w:t>
      </w:r>
      <w:r w:rsidR="00B4277A" w:rsidRPr="008B2B45">
        <w:rPr>
          <w:rFonts w:asciiTheme="majorHAnsi" w:eastAsia="Times New Roman" w:hAnsiTheme="majorHAnsi" w:cstheme="majorHAnsi"/>
          <w:lang w:eastAsia="en-GB"/>
        </w:rPr>
        <w:t xml:space="preserve"> </w:t>
      </w:r>
      <w:r w:rsidRPr="008B2B45">
        <w:rPr>
          <w:rFonts w:asciiTheme="majorHAnsi" w:eastAsia="Times New Roman" w:hAnsiTheme="majorHAnsi" w:cstheme="majorHAnsi"/>
          <w:lang w:eastAsia="en-GB"/>
        </w:rPr>
        <w:t xml:space="preserve">Then in May 2022, he announced a further set of mitigations including a £400 rebate for all households from the autumn, and extra help for people receiving means-tested benefits, pensioners and people receiving </w:t>
      </w:r>
      <w:r w:rsidR="004A26CB" w:rsidRPr="008B2B45">
        <w:rPr>
          <w:rFonts w:asciiTheme="majorHAnsi" w:eastAsia="Times New Roman" w:hAnsiTheme="majorHAnsi" w:cstheme="majorHAnsi"/>
          <w:lang w:eastAsia="en-GB"/>
        </w:rPr>
        <w:t xml:space="preserve">certain </w:t>
      </w:r>
      <w:r w:rsidRPr="008B2B45">
        <w:rPr>
          <w:rFonts w:asciiTheme="majorHAnsi" w:eastAsia="Times New Roman" w:hAnsiTheme="majorHAnsi" w:cstheme="majorHAnsi"/>
          <w:lang w:eastAsia="en-GB"/>
        </w:rPr>
        <w:t xml:space="preserve">disability </w:t>
      </w:r>
      <w:r w:rsidR="004A26CB" w:rsidRPr="008B2B45">
        <w:rPr>
          <w:rFonts w:asciiTheme="majorHAnsi" w:eastAsia="Times New Roman" w:hAnsiTheme="majorHAnsi" w:cstheme="majorHAnsi"/>
          <w:lang w:eastAsia="en-GB"/>
        </w:rPr>
        <w:t>benefits</w:t>
      </w:r>
      <w:r w:rsidRPr="008B2B45">
        <w:rPr>
          <w:rFonts w:asciiTheme="majorHAnsi" w:eastAsia="Times New Roman" w:hAnsiTheme="majorHAnsi" w:cstheme="majorHAnsi"/>
          <w:lang w:eastAsia="en-GB"/>
        </w:rPr>
        <w:t>. </w:t>
      </w:r>
      <w:r w:rsidR="0062493A" w:rsidRPr="008B2B45">
        <w:rPr>
          <w:rFonts w:asciiTheme="majorHAnsi" w:eastAsia="Times New Roman" w:hAnsiTheme="majorHAnsi" w:cstheme="majorHAnsi"/>
          <w:lang w:eastAsia="en-GB"/>
        </w:rPr>
        <w:t xml:space="preserve"> </w:t>
      </w:r>
    </w:p>
    <w:p w14:paraId="65A81032" w14:textId="687DC636" w:rsidR="00E908E7" w:rsidRPr="008B2B45" w:rsidRDefault="006A0FB9" w:rsidP="006A0FB9">
      <w:pPr>
        <w:shd w:val="clear" w:color="auto" w:fill="FFFFFF"/>
        <w:spacing w:after="210" w:line="240" w:lineRule="auto"/>
        <w:rPr>
          <w:rFonts w:ascii="Segoe UI" w:hAnsi="Segoe UI" w:cs="Segoe UI"/>
          <w:sz w:val="18"/>
          <w:szCs w:val="18"/>
        </w:rPr>
      </w:pPr>
      <w:r w:rsidRPr="008B2B45">
        <w:rPr>
          <w:rFonts w:asciiTheme="majorHAnsi" w:eastAsia="Times New Roman" w:hAnsiTheme="majorHAnsi" w:cstheme="majorHAnsi"/>
          <w:lang w:eastAsia="en-GB"/>
        </w:rPr>
        <w:lastRenderedPageBreak/>
        <w:t xml:space="preserve">Our best estimate is that, without further measures, fuel poverty rates will reach </w:t>
      </w:r>
      <w:r w:rsidR="006512E8" w:rsidRPr="004F5428">
        <w:rPr>
          <w:rFonts w:asciiTheme="majorHAnsi" w:eastAsia="Times New Roman" w:hAnsiTheme="majorHAnsi" w:cstheme="majorHAnsi"/>
          <w:lang w:eastAsia="en-GB"/>
        </w:rPr>
        <w:t>61.8</w:t>
      </w:r>
      <w:r w:rsidRPr="004F5428">
        <w:rPr>
          <w:rFonts w:asciiTheme="majorHAnsi" w:eastAsia="Times New Roman" w:hAnsiTheme="majorHAnsi" w:cstheme="majorHAnsi"/>
          <w:lang w:eastAsia="en-GB"/>
        </w:rPr>
        <w:t xml:space="preserve"> per cent </w:t>
      </w:r>
      <w:r w:rsidR="00E908E7" w:rsidRPr="004F5428">
        <w:rPr>
          <w:rFonts w:asciiTheme="majorHAnsi" w:eastAsia="Times New Roman" w:hAnsiTheme="majorHAnsi" w:cstheme="majorHAnsi"/>
          <w:lang w:eastAsia="en-GB"/>
        </w:rPr>
        <w:t>this</w:t>
      </w:r>
      <w:r w:rsidRPr="004F5428">
        <w:rPr>
          <w:rFonts w:asciiTheme="majorHAnsi" w:eastAsia="Times New Roman" w:hAnsiTheme="majorHAnsi" w:cstheme="majorHAnsi"/>
          <w:lang w:eastAsia="en-GB"/>
        </w:rPr>
        <w:t xml:space="preserve"> October and </w:t>
      </w:r>
      <w:r w:rsidR="00EA6CA0" w:rsidRPr="004F5428">
        <w:rPr>
          <w:rFonts w:asciiTheme="majorHAnsi" w:eastAsia="Times New Roman" w:hAnsiTheme="majorHAnsi" w:cstheme="majorHAnsi"/>
          <w:lang w:eastAsia="en-GB"/>
        </w:rPr>
        <w:t>8</w:t>
      </w:r>
      <w:r w:rsidR="00CE351F" w:rsidRPr="004F5428">
        <w:rPr>
          <w:rFonts w:asciiTheme="majorHAnsi" w:eastAsia="Times New Roman" w:hAnsiTheme="majorHAnsi" w:cstheme="majorHAnsi"/>
          <w:lang w:eastAsia="en-GB"/>
        </w:rPr>
        <w:t>3.8</w:t>
      </w:r>
      <w:r w:rsidR="00EA6CA0" w:rsidRPr="004F5428">
        <w:rPr>
          <w:rFonts w:asciiTheme="majorHAnsi" w:eastAsia="Times New Roman" w:hAnsiTheme="majorHAnsi" w:cstheme="majorHAnsi"/>
          <w:lang w:eastAsia="en-GB"/>
        </w:rPr>
        <w:t xml:space="preserve"> </w:t>
      </w:r>
      <w:r w:rsidRPr="004F5428">
        <w:rPr>
          <w:rFonts w:asciiTheme="majorHAnsi" w:eastAsia="Times New Roman" w:hAnsiTheme="majorHAnsi" w:cstheme="majorHAnsi"/>
          <w:lang w:eastAsia="en-GB"/>
        </w:rPr>
        <w:t>pe</w:t>
      </w:r>
      <w:r w:rsidRPr="008B2B45">
        <w:rPr>
          <w:rFonts w:asciiTheme="majorHAnsi" w:eastAsia="Times New Roman" w:hAnsiTheme="majorHAnsi" w:cstheme="majorHAnsi"/>
          <w:lang w:eastAsia="en-GB"/>
        </w:rPr>
        <w:t>r cent from January. As well as the rate of fuel poverty rising, the depth (the gap between the amount of net income spent on fuel and the 10 per cent threshold) will also increase. These results are summarised in Table 1.</w:t>
      </w:r>
      <w:r w:rsidR="00E908E7" w:rsidRPr="008B2B45">
        <w:rPr>
          <w:rFonts w:asciiTheme="majorHAnsi" w:eastAsia="Times New Roman" w:hAnsiTheme="majorHAnsi" w:cstheme="majorHAnsi"/>
          <w:lang w:eastAsia="en-GB"/>
        </w:rPr>
        <w:t xml:space="preserve"> </w:t>
      </w:r>
      <w:r w:rsidR="0053652B" w:rsidRPr="008B2B45">
        <w:rPr>
          <w:rFonts w:asciiTheme="majorHAnsi" w:eastAsia="Times New Roman" w:hAnsiTheme="majorHAnsi" w:cstheme="majorHAnsi"/>
          <w:lang w:eastAsia="en-GB"/>
        </w:rPr>
        <w:t>Some commentators have suggested, given the huge price increases, we should also use other thresholds of spending, so Table 1 has estimates for 20 per cent, 25 per cent and 30 per cent as well.</w:t>
      </w:r>
    </w:p>
    <w:p w14:paraId="1CBFBE77" w14:textId="6F69BC66" w:rsidR="006A0FB9" w:rsidRPr="008B2B45" w:rsidRDefault="006A0FB9" w:rsidP="006A0FB9">
      <w:pPr>
        <w:shd w:val="clear" w:color="auto" w:fill="FFFFFF"/>
        <w:spacing w:after="210" w:line="240" w:lineRule="auto"/>
        <w:rPr>
          <w:rFonts w:asciiTheme="majorHAnsi" w:eastAsia="Times New Roman" w:hAnsiTheme="majorHAnsi" w:cstheme="majorHAnsi"/>
          <w:b/>
          <w:bCs/>
          <w:lang w:eastAsia="en-GB"/>
        </w:rPr>
      </w:pPr>
      <w:r w:rsidRPr="008B2B45">
        <w:rPr>
          <w:rFonts w:asciiTheme="majorHAnsi" w:eastAsia="Times New Roman" w:hAnsiTheme="majorHAnsi" w:cstheme="majorHAnsi"/>
          <w:b/>
          <w:bCs/>
          <w:lang w:eastAsia="en-GB"/>
        </w:rPr>
        <w:t>Table 1: Percentages and numbers of households in the UK living in fuel poverty</w:t>
      </w:r>
    </w:p>
    <w:tbl>
      <w:tblPr>
        <w:tblW w:w="8943" w:type="dxa"/>
        <w:tblInd w:w="5" w:type="dxa"/>
        <w:tblLook w:val="04A0" w:firstRow="1" w:lastRow="0" w:firstColumn="1" w:lastColumn="0" w:noHBand="0" w:noVBand="1"/>
      </w:tblPr>
      <w:tblGrid>
        <w:gridCol w:w="3534"/>
        <w:gridCol w:w="1701"/>
        <w:gridCol w:w="1216"/>
        <w:gridCol w:w="1276"/>
        <w:gridCol w:w="1216"/>
      </w:tblGrid>
      <w:tr w:rsidR="008B2B45" w:rsidRPr="008B2B45" w14:paraId="6850D365" w14:textId="77777777" w:rsidTr="008B5F80">
        <w:trPr>
          <w:trHeight w:val="288"/>
        </w:trPr>
        <w:tc>
          <w:tcPr>
            <w:tcW w:w="3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A9D18" w14:textId="77777777" w:rsidR="008B5F80" w:rsidRPr="008B5F80" w:rsidRDefault="008B5F80" w:rsidP="008B5F80">
            <w:pPr>
              <w:spacing w:after="0" w:line="240" w:lineRule="auto"/>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BA96AED" w14:textId="77777777" w:rsidR="008B5F80" w:rsidRPr="008B5F80" w:rsidRDefault="008B5F80" w:rsidP="008B5F80">
            <w:pPr>
              <w:spacing w:after="0" w:line="240" w:lineRule="auto"/>
              <w:rPr>
                <w:rFonts w:asciiTheme="majorHAnsi" w:eastAsia="Times New Roman" w:hAnsiTheme="majorHAnsi" w:cstheme="majorHAnsi"/>
                <w:b/>
                <w:bCs/>
                <w:lang w:eastAsia="en-GB"/>
              </w:rPr>
            </w:pPr>
            <w:r w:rsidRPr="008B5F80">
              <w:rPr>
                <w:rFonts w:asciiTheme="majorHAnsi" w:eastAsia="Times New Roman" w:hAnsiTheme="majorHAnsi" w:cstheme="majorHAnsi"/>
                <w:b/>
                <w:bCs/>
                <w:lang w:eastAsia="en-GB"/>
              </w:rPr>
              <w:t>Actual 2019/20</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14:paraId="6D77CB54" w14:textId="77777777" w:rsidR="008B5F80" w:rsidRPr="008B5F80" w:rsidRDefault="008B5F80" w:rsidP="008B5F80">
            <w:pPr>
              <w:spacing w:after="0" w:line="240" w:lineRule="auto"/>
              <w:rPr>
                <w:rFonts w:asciiTheme="majorHAnsi" w:eastAsia="Times New Roman" w:hAnsiTheme="majorHAnsi" w:cstheme="majorHAnsi"/>
                <w:b/>
                <w:bCs/>
                <w:lang w:eastAsia="en-GB"/>
              </w:rPr>
            </w:pPr>
            <w:r w:rsidRPr="008B5F80">
              <w:rPr>
                <w:rFonts w:asciiTheme="majorHAnsi" w:eastAsia="Times New Roman" w:hAnsiTheme="majorHAnsi" w:cstheme="majorHAnsi"/>
                <w:b/>
                <w:bCs/>
                <w:lang w:eastAsia="en-GB"/>
              </w:rPr>
              <w:t>May 2022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7C04F6D" w14:textId="77777777" w:rsidR="008B5F80" w:rsidRPr="008B5F80" w:rsidRDefault="008B5F80" w:rsidP="008B5F80">
            <w:pPr>
              <w:spacing w:after="0" w:line="240" w:lineRule="auto"/>
              <w:rPr>
                <w:rFonts w:asciiTheme="majorHAnsi" w:eastAsia="Times New Roman" w:hAnsiTheme="majorHAnsi" w:cstheme="majorHAnsi"/>
                <w:b/>
                <w:bCs/>
                <w:lang w:eastAsia="en-GB"/>
              </w:rPr>
            </w:pPr>
            <w:r w:rsidRPr="008B5F80">
              <w:rPr>
                <w:rFonts w:asciiTheme="majorHAnsi" w:eastAsia="Times New Roman" w:hAnsiTheme="majorHAnsi" w:cstheme="majorHAnsi"/>
                <w:b/>
                <w:bCs/>
                <w:lang w:eastAsia="en-GB"/>
              </w:rPr>
              <w:t>Oct 2022</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14:paraId="17B3D075" w14:textId="77777777" w:rsidR="008B5F80" w:rsidRPr="008B5F80" w:rsidRDefault="008B5F80" w:rsidP="008B5F80">
            <w:pPr>
              <w:spacing w:after="0" w:line="240" w:lineRule="auto"/>
              <w:rPr>
                <w:rFonts w:asciiTheme="majorHAnsi" w:eastAsia="Times New Roman" w:hAnsiTheme="majorHAnsi" w:cstheme="majorHAnsi"/>
                <w:b/>
                <w:bCs/>
                <w:lang w:eastAsia="en-GB"/>
              </w:rPr>
            </w:pPr>
            <w:r w:rsidRPr="008B5F80">
              <w:rPr>
                <w:rFonts w:asciiTheme="majorHAnsi" w:eastAsia="Times New Roman" w:hAnsiTheme="majorHAnsi" w:cstheme="majorHAnsi"/>
                <w:b/>
                <w:bCs/>
                <w:lang w:eastAsia="en-GB"/>
              </w:rPr>
              <w:t>Jan 2023</w:t>
            </w:r>
          </w:p>
        </w:tc>
      </w:tr>
      <w:tr w:rsidR="008B2B45" w:rsidRPr="008B2B45" w14:paraId="0F133D63" w14:textId="77777777" w:rsidTr="008B5F80">
        <w:trPr>
          <w:trHeight w:val="288"/>
        </w:trPr>
        <w:tc>
          <w:tcPr>
            <w:tcW w:w="8943" w:type="dxa"/>
            <w:gridSpan w:val="5"/>
            <w:tcBorders>
              <w:top w:val="nil"/>
              <w:left w:val="single" w:sz="4" w:space="0" w:color="auto"/>
              <w:bottom w:val="single" w:sz="4" w:space="0" w:color="auto"/>
              <w:right w:val="single" w:sz="4" w:space="0" w:color="auto"/>
            </w:tcBorders>
            <w:shd w:val="clear" w:color="auto" w:fill="auto"/>
            <w:noWrap/>
            <w:vAlign w:val="bottom"/>
            <w:hideMark/>
          </w:tcPr>
          <w:p w14:paraId="17E0330D" w14:textId="58A83382" w:rsidR="008B5F80" w:rsidRPr="008B5F80" w:rsidRDefault="008B5F80" w:rsidP="008B5F80">
            <w:pPr>
              <w:spacing w:after="0" w:line="240" w:lineRule="auto"/>
              <w:rPr>
                <w:rFonts w:asciiTheme="majorHAnsi" w:eastAsia="Times New Roman" w:hAnsiTheme="majorHAnsi" w:cstheme="majorHAnsi"/>
                <w:lang w:eastAsia="en-GB"/>
              </w:rPr>
            </w:pPr>
            <w:r w:rsidRPr="008B5F80">
              <w:rPr>
                <w:rFonts w:asciiTheme="majorHAnsi" w:eastAsia="Times New Roman" w:hAnsiTheme="majorHAnsi" w:cstheme="majorHAnsi"/>
                <w:b/>
                <w:bCs/>
                <w:lang w:eastAsia="en-GB"/>
              </w:rPr>
              <w:t>Average weekly fuel expenditure</w:t>
            </w:r>
          </w:p>
        </w:tc>
      </w:tr>
      <w:tr w:rsidR="008B2B45" w:rsidRPr="008B2B45" w14:paraId="21D05E5A" w14:textId="77777777" w:rsidTr="008B5F80">
        <w:trPr>
          <w:trHeight w:val="312"/>
        </w:trPr>
        <w:tc>
          <w:tcPr>
            <w:tcW w:w="3534" w:type="dxa"/>
            <w:tcBorders>
              <w:top w:val="nil"/>
              <w:left w:val="single" w:sz="4" w:space="0" w:color="auto"/>
              <w:bottom w:val="single" w:sz="4" w:space="0" w:color="auto"/>
              <w:right w:val="single" w:sz="4" w:space="0" w:color="auto"/>
            </w:tcBorders>
            <w:shd w:val="clear" w:color="auto" w:fill="auto"/>
            <w:noWrap/>
            <w:vAlign w:val="bottom"/>
            <w:hideMark/>
          </w:tcPr>
          <w:p w14:paraId="17B8094E"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Mean £</w:t>
            </w:r>
          </w:p>
        </w:tc>
        <w:tc>
          <w:tcPr>
            <w:tcW w:w="1701" w:type="dxa"/>
            <w:tcBorders>
              <w:top w:val="nil"/>
              <w:left w:val="nil"/>
              <w:bottom w:val="single" w:sz="4" w:space="0" w:color="auto"/>
              <w:right w:val="single" w:sz="4" w:space="0" w:color="auto"/>
            </w:tcBorders>
            <w:shd w:val="clear" w:color="auto" w:fill="auto"/>
            <w:noWrap/>
            <w:vAlign w:val="bottom"/>
            <w:hideMark/>
          </w:tcPr>
          <w:p w14:paraId="0A49A179"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24.75</w:t>
            </w:r>
          </w:p>
        </w:tc>
        <w:tc>
          <w:tcPr>
            <w:tcW w:w="1216" w:type="dxa"/>
            <w:tcBorders>
              <w:top w:val="nil"/>
              <w:left w:val="nil"/>
              <w:bottom w:val="single" w:sz="4" w:space="0" w:color="auto"/>
              <w:right w:val="single" w:sz="4" w:space="0" w:color="auto"/>
            </w:tcBorders>
            <w:shd w:val="clear" w:color="auto" w:fill="auto"/>
            <w:noWrap/>
            <w:vAlign w:val="bottom"/>
            <w:hideMark/>
          </w:tcPr>
          <w:p w14:paraId="45C451E9"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38.12</w:t>
            </w:r>
          </w:p>
        </w:tc>
        <w:tc>
          <w:tcPr>
            <w:tcW w:w="1276" w:type="dxa"/>
            <w:tcBorders>
              <w:top w:val="nil"/>
              <w:left w:val="nil"/>
              <w:bottom w:val="single" w:sz="4" w:space="0" w:color="auto"/>
              <w:right w:val="single" w:sz="4" w:space="0" w:color="auto"/>
            </w:tcBorders>
            <w:shd w:val="clear" w:color="auto" w:fill="auto"/>
            <w:noWrap/>
            <w:vAlign w:val="bottom"/>
            <w:hideMark/>
          </w:tcPr>
          <w:p w14:paraId="17871EE7"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53.23</w:t>
            </w:r>
          </w:p>
        </w:tc>
        <w:tc>
          <w:tcPr>
            <w:tcW w:w="1216" w:type="dxa"/>
            <w:tcBorders>
              <w:top w:val="nil"/>
              <w:left w:val="nil"/>
              <w:bottom w:val="single" w:sz="4" w:space="0" w:color="auto"/>
              <w:right w:val="single" w:sz="4" w:space="0" w:color="auto"/>
            </w:tcBorders>
            <w:shd w:val="clear" w:color="auto" w:fill="auto"/>
            <w:noWrap/>
            <w:vAlign w:val="bottom"/>
            <w:hideMark/>
          </w:tcPr>
          <w:p w14:paraId="35B953CB"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88.91</w:t>
            </w:r>
          </w:p>
        </w:tc>
      </w:tr>
      <w:tr w:rsidR="008B2B45" w:rsidRPr="008B2B45" w14:paraId="0CE90853" w14:textId="77777777" w:rsidTr="008B5F80">
        <w:trPr>
          <w:trHeight w:val="312"/>
        </w:trPr>
        <w:tc>
          <w:tcPr>
            <w:tcW w:w="3534" w:type="dxa"/>
            <w:tcBorders>
              <w:top w:val="nil"/>
              <w:left w:val="single" w:sz="4" w:space="0" w:color="auto"/>
              <w:bottom w:val="single" w:sz="4" w:space="0" w:color="auto"/>
              <w:right w:val="single" w:sz="4" w:space="0" w:color="auto"/>
            </w:tcBorders>
            <w:shd w:val="clear" w:color="auto" w:fill="auto"/>
            <w:noWrap/>
            <w:vAlign w:val="bottom"/>
            <w:hideMark/>
          </w:tcPr>
          <w:p w14:paraId="5C4BF56B"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Median £</w:t>
            </w:r>
          </w:p>
        </w:tc>
        <w:tc>
          <w:tcPr>
            <w:tcW w:w="1701" w:type="dxa"/>
            <w:tcBorders>
              <w:top w:val="nil"/>
              <w:left w:val="nil"/>
              <w:bottom w:val="single" w:sz="4" w:space="0" w:color="auto"/>
              <w:right w:val="single" w:sz="4" w:space="0" w:color="auto"/>
            </w:tcBorders>
            <w:shd w:val="clear" w:color="auto" w:fill="auto"/>
            <w:noWrap/>
            <w:vAlign w:val="bottom"/>
            <w:hideMark/>
          </w:tcPr>
          <w:p w14:paraId="69130401"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21.39</w:t>
            </w:r>
          </w:p>
        </w:tc>
        <w:tc>
          <w:tcPr>
            <w:tcW w:w="1216" w:type="dxa"/>
            <w:tcBorders>
              <w:top w:val="nil"/>
              <w:left w:val="nil"/>
              <w:bottom w:val="single" w:sz="4" w:space="0" w:color="auto"/>
              <w:right w:val="single" w:sz="4" w:space="0" w:color="auto"/>
            </w:tcBorders>
            <w:shd w:val="clear" w:color="auto" w:fill="auto"/>
            <w:noWrap/>
            <w:vAlign w:val="bottom"/>
            <w:hideMark/>
          </w:tcPr>
          <w:p w14:paraId="198D770D"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32.94</w:t>
            </w:r>
          </w:p>
        </w:tc>
        <w:tc>
          <w:tcPr>
            <w:tcW w:w="1276" w:type="dxa"/>
            <w:tcBorders>
              <w:top w:val="nil"/>
              <w:left w:val="nil"/>
              <w:bottom w:val="single" w:sz="4" w:space="0" w:color="auto"/>
              <w:right w:val="single" w:sz="4" w:space="0" w:color="auto"/>
            </w:tcBorders>
            <w:shd w:val="clear" w:color="auto" w:fill="auto"/>
            <w:noWrap/>
            <w:vAlign w:val="bottom"/>
            <w:hideMark/>
          </w:tcPr>
          <w:p w14:paraId="631CFBA5"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43.91</w:t>
            </w:r>
          </w:p>
        </w:tc>
        <w:tc>
          <w:tcPr>
            <w:tcW w:w="1216" w:type="dxa"/>
            <w:tcBorders>
              <w:top w:val="nil"/>
              <w:left w:val="nil"/>
              <w:bottom w:val="single" w:sz="4" w:space="0" w:color="auto"/>
              <w:right w:val="single" w:sz="4" w:space="0" w:color="auto"/>
            </w:tcBorders>
            <w:shd w:val="clear" w:color="auto" w:fill="auto"/>
            <w:noWrap/>
            <w:vAlign w:val="bottom"/>
            <w:hideMark/>
          </w:tcPr>
          <w:p w14:paraId="69EEE58B"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74.75</w:t>
            </w:r>
          </w:p>
        </w:tc>
      </w:tr>
      <w:tr w:rsidR="008B2B45" w:rsidRPr="008B2B45" w14:paraId="19748667" w14:textId="77777777" w:rsidTr="008B5F80">
        <w:trPr>
          <w:trHeight w:val="288"/>
        </w:trPr>
        <w:tc>
          <w:tcPr>
            <w:tcW w:w="8943" w:type="dxa"/>
            <w:gridSpan w:val="5"/>
            <w:tcBorders>
              <w:top w:val="nil"/>
              <w:left w:val="single" w:sz="4" w:space="0" w:color="auto"/>
              <w:bottom w:val="single" w:sz="4" w:space="0" w:color="auto"/>
              <w:right w:val="single" w:sz="4" w:space="0" w:color="auto"/>
            </w:tcBorders>
            <w:shd w:val="clear" w:color="auto" w:fill="auto"/>
            <w:noWrap/>
            <w:vAlign w:val="bottom"/>
            <w:hideMark/>
          </w:tcPr>
          <w:p w14:paraId="310B4C22" w14:textId="696B919F" w:rsidR="008B5F80" w:rsidRPr="008B5F80" w:rsidRDefault="008B5F80" w:rsidP="008B5F80">
            <w:pPr>
              <w:spacing w:after="0" w:line="240" w:lineRule="auto"/>
              <w:rPr>
                <w:rFonts w:asciiTheme="majorHAnsi" w:eastAsia="Times New Roman" w:hAnsiTheme="majorHAnsi" w:cstheme="majorHAnsi"/>
                <w:lang w:eastAsia="en-GB"/>
              </w:rPr>
            </w:pPr>
            <w:r w:rsidRPr="008B5F80">
              <w:rPr>
                <w:rFonts w:asciiTheme="majorHAnsi" w:eastAsia="Times New Roman" w:hAnsiTheme="majorHAnsi" w:cstheme="majorHAnsi"/>
                <w:b/>
                <w:bCs/>
                <w:lang w:eastAsia="en-GB"/>
              </w:rPr>
              <w:t xml:space="preserve">% </w:t>
            </w:r>
            <w:r w:rsidRPr="008B2B45">
              <w:rPr>
                <w:rFonts w:asciiTheme="majorHAnsi" w:eastAsia="Times New Roman" w:hAnsiTheme="majorHAnsi" w:cstheme="majorHAnsi"/>
                <w:b/>
                <w:bCs/>
                <w:lang w:eastAsia="en-GB"/>
              </w:rPr>
              <w:t xml:space="preserve">of </w:t>
            </w:r>
            <w:r w:rsidRPr="008B5F80">
              <w:rPr>
                <w:rFonts w:asciiTheme="majorHAnsi" w:eastAsia="Times New Roman" w:hAnsiTheme="majorHAnsi" w:cstheme="majorHAnsi"/>
                <w:b/>
                <w:bCs/>
                <w:lang w:eastAsia="en-GB"/>
              </w:rPr>
              <w:t>UK household</w:t>
            </w:r>
            <w:r w:rsidRPr="008B2B45">
              <w:rPr>
                <w:rFonts w:asciiTheme="majorHAnsi" w:eastAsia="Times New Roman" w:hAnsiTheme="majorHAnsi" w:cstheme="majorHAnsi"/>
                <w:b/>
                <w:bCs/>
                <w:lang w:eastAsia="en-GB"/>
              </w:rPr>
              <w:t>s</w:t>
            </w:r>
            <w:r w:rsidRPr="008B5F80">
              <w:rPr>
                <w:rFonts w:asciiTheme="majorHAnsi" w:eastAsia="Times New Roman" w:hAnsiTheme="majorHAnsi" w:cstheme="majorHAnsi"/>
                <w:b/>
                <w:bCs/>
                <w:lang w:eastAsia="en-GB"/>
              </w:rPr>
              <w:t xml:space="preserve"> in fuel poverty on different measures</w:t>
            </w:r>
            <w:r w:rsidRPr="008B5F80">
              <w:rPr>
                <w:rFonts w:asciiTheme="majorHAnsi" w:eastAsia="Times New Roman" w:hAnsiTheme="majorHAnsi" w:cstheme="majorHAnsi"/>
                <w:lang w:eastAsia="en-GB"/>
              </w:rPr>
              <w:t> </w:t>
            </w:r>
          </w:p>
        </w:tc>
      </w:tr>
      <w:tr w:rsidR="008B2B45" w:rsidRPr="008B2B45" w14:paraId="5B82B66C" w14:textId="77777777" w:rsidTr="008B5F80">
        <w:trPr>
          <w:trHeight w:val="288"/>
        </w:trPr>
        <w:tc>
          <w:tcPr>
            <w:tcW w:w="3534" w:type="dxa"/>
            <w:tcBorders>
              <w:top w:val="nil"/>
              <w:left w:val="single" w:sz="4" w:space="0" w:color="auto"/>
              <w:bottom w:val="single" w:sz="4" w:space="0" w:color="auto"/>
              <w:right w:val="single" w:sz="4" w:space="0" w:color="auto"/>
            </w:tcBorders>
            <w:shd w:val="clear" w:color="auto" w:fill="auto"/>
            <w:noWrap/>
            <w:vAlign w:val="bottom"/>
            <w:hideMark/>
          </w:tcPr>
          <w:p w14:paraId="1E4659B8" w14:textId="2C4C5279"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 xml:space="preserve">&gt; 10% net income </w:t>
            </w:r>
            <w:r w:rsidRPr="008B2B45">
              <w:rPr>
                <w:rFonts w:asciiTheme="majorHAnsi" w:eastAsia="Times New Roman" w:hAnsiTheme="majorHAnsi" w:cstheme="majorHAnsi"/>
                <w:lang w:eastAsia="en-GB"/>
              </w:rPr>
              <w:t>after housing costs</w:t>
            </w:r>
          </w:p>
        </w:tc>
        <w:tc>
          <w:tcPr>
            <w:tcW w:w="1701" w:type="dxa"/>
            <w:tcBorders>
              <w:top w:val="nil"/>
              <w:left w:val="nil"/>
              <w:bottom w:val="single" w:sz="4" w:space="0" w:color="auto"/>
              <w:right w:val="single" w:sz="4" w:space="0" w:color="auto"/>
            </w:tcBorders>
            <w:shd w:val="clear" w:color="auto" w:fill="auto"/>
            <w:noWrap/>
            <w:vAlign w:val="bottom"/>
            <w:hideMark/>
          </w:tcPr>
          <w:p w14:paraId="0BECB579"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27.9%</w:t>
            </w:r>
          </w:p>
        </w:tc>
        <w:tc>
          <w:tcPr>
            <w:tcW w:w="1216" w:type="dxa"/>
            <w:tcBorders>
              <w:top w:val="nil"/>
              <w:left w:val="nil"/>
              <w:bottom w:val="single" w:sz="4" w:space="0" w:color="auto"/>
              <w:right w:val="single" w:sz="4" w:space="0" w:color="auto"/>
            </w:tcBorders>
            <w:shd w:val="clear" w:color="auto" w:fill="auto"/>
            <w:noWrap/>
            <w:vAlign w:val="bottom"/>
            <w:hideMark/>
          </w:tcPr>
          <w:p w14:paraId="12FA9D54"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48.9%</w:t>
            </w:r>
          </w:p>
        </w:tc>
        <w:tc>
          <w:tcPr>
            <w:tcW w:w="1276" w:type="dxa"/>
            <w:tcBorders>
              <w:top w:val="nil"/>
              <w:left w:val="nil"/>
              <w:bottom w:val="single" w:sz="4" w:space="0" w:color="auto"/>
              <w:right w:val="single" w:sz="4" w:space="0" w:color="auto"/>
            </w:tcBorders>
            <w:shd w:val="clear" w:color="auto" w:fill="auto"/>
            <w:noWrap/>
            <w:vAlign w:val="bottom"/>
            <w:hideMark/>
          </w:tcPr>
          <w:p w14:paraId="33726619"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61.8%</w:t>
            </w:r>
          </w:p>
        </w:tc>
        <w:tc>
          <w:tcPr>
            <w:tcW w:w="1216" w:type="dxa"/>
            <w:tcBorders>
              <w:top w:val="nil"/>
              <w:left w:val="nil"/>
              <w:bottom w:val="single" w:sz="4" w:space="0" w:color="auto"/>
              <w:right w:val="single" w:sz="4" w:space="0" w:color="auto"/>
            </w:tcBorders>
            <w:shd w:val="clear" w:color="auto" w:fill="auto"/>
            <w:noWrap/>
            <w:vAlign w:val="bottom"/>
            <w:hideMark/>
          </w:tcPr>
          <w:p w14:paraId="46C3AAF8"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83.8%</w:t>
            </w:r>
          </w:p>
        </w:tc>
      </w:tr>
      <w:tr w:rsidR="008B2B45" w:rsidRPr="008B2B45" w14:paraId="439257EE" w14:textId="77777777" w:rsidTr="008B5F80">
        <w:trPr>
          <w:trHeight w:val="288"/>
        </w:trPr>
        <w:tc>
          <w:tcPr>
            <w:tcW w:w="3534" w:type="dxa"/>
            <w:tcBorders>
              <w:top w:val="nil"/>
              <w:left w:val="single" w:sz="4" w:space="0" w:color="auto"/>
              <w:bottom w:val="single" w:sz="4" w:space="0" w:color="auto"/>
              <w:right w:val="single" w:sz="4" w:space="0" w:color="auto"/>
            </w:tcBorders>
            <w:shd w:val="clear" w:color="auto" w:fill="auto"/>
            <w:noWrap/>
            <w:vAlign w:val="bottom"/>
            <w:hideMark/>
          </w:tcPr>
          <w:p w14:paraId="6904C928" w14:textId="3D4A4798"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 xml:space="preserve">&gt; 20% net income </w:t>
            </w:r>
            <w:r w:rsidRPr="008B2B45">
              <w:rPr>
                <w:rFonts w:asciiTheme="majorHAnsi" w:eastAsia="Times New Roman" w:hAnsiTheme="majorHAnsi" w:cstheme="majorHAnsi"/>
                <w:lang w:eastAsia="en-GB"/>
              </w:rPr>
              <w:t>after housing costs</w:t>
            </w:r>
          </w:p>
        </w:tc>
        <w:tc>
          <w:tcPr>
            <w:tcW w:w="1701" w:type="dxa"/>
            <w:tcBorders>
              <w:top w:val="nil"/>
              <w:left w:val="nil"/>
              <w:bottom w:val="single" w:sz="4" w:space="0" w:color="auto"/>
              <w:right w:val="single" w:sz="4" w:space="0" w:color="auto"/>
            </w:tcBorders>
            <w:shd w:val="clear" w:color="auto" w:fill="auto"/>
            <w:noWrap/>
            <w:vAlign w:val="bottom"/>
            <w:hideMark/>
          </w:tcPr>
          <w:p w14:paraId="77A5F74B"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9.20%</w:t>
            </w:r>
          </w:p>
        </w:tc>
        <w:tc>
          <w:tcPr>
            <w:tcW w:w="1216" w:type="dxa"/>
            <w:tcBorders>
              <w:top w:val="nil"/>
              <w:left w:val="nil"/>
              <w:bottom w:val="single" w:sz="4" w:space="0" w:color="auto"/>
              <w:right w:val="single" w:sz="4" w:space="0" w:color="auto"/>
            </w:tcBorders>
            <w:shd w:val="clear" w:color="auto" w:fill="auto"/>
            <w:noWrap/>
            <w:vAlign w:val="bottom"/>
            <w:hideMark/>
          </w:tcPr>
          <w:p w14:paraId="350CEA70"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18.0%</w:t>
            </w:r>
          </w:p>
        </w:tc>
        <w:tc>
          <w:tcPr>
            <w:tcW w:w="1276" w:type="dxa"/>
            <w:tcBorders>
              <w:top w:val="nil"/>
              <w:left w:val="nil"/>
              <w:bottom w:val="single" w:sz="4" w:space="0" w:color="auto"/>
              <w:right w:val="single" w:sz="4" w:space="0" w:color="auto"/>
            </w:tcBorders>
            <w:shd w:val="clear" w:color="auto" w:fill="auto"/>
            <w:noWrap/>
            <w:vAlign w:val="bottom"/>
            <w:hideMark/>
          </w:tcPr>
          <w:p w14:paraId="4B8A9DA2"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30.0%</w:t>
            </w:r>
          </w:p>
        </w:tc>
        <w:tc>
          <w:tcPr>
            <w:tcW w:w="1216" w:type="dxa"/>
            <w:tcBorders>
              <w:top w:val="nil"/>
              <w:left w:val="nil"/>
              <w:bottom w:val="single" w:sz="4" w:space="0" w:color="auto"/>
              <w:right w:val="single" w:sz="4" w:space="0" w:color="auto"/>
            </w:tcBorders>
            <w:shd w:val="clear" w:color="auto" w:fill="auto"/>
            <w:noWrap/>
            <w:vAlign w:val="bottom"/>
            <w:hideMark/>
          </w:tcPr>
          <w:p w14:paraId="1FCE2C9D"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54.8%</w:t>
            </w:r>
          </w:p>
        </w:tc>
      </w:tr>
      <w:tr w:rsidR="008B2B45" w:rsidRPr="008B2B45" w14:paraId="059056DC" w14:textId="77777777" w:rsidTr="008B5F80">
        <w:trPr>
          <w:trHeight w:val="288"/>
        </w:trPr>
        <w:tc>
          <w:tcPr>
            <w:tcW w:w="3534" w:type="dxa"/>
            <w:tcBorders>
              <w:top w:val="nil"/>
              <w:left w:val="single" w:sz="4" w:space="0" w:color="auto"/>
              <w:bottom w:val="single" w:sz="4" w:space="0" w:color="auto"/>
              <w:right w:val="single" w:sz="4" w:space="0" w:color="auto"/>
            </w:tcBorders>
            <w:shd w:val="clear" w:color="auto" w:fill="auto"/>
            <w:noWrap/>
            <w:vAlign w:val="bottom"/>
            <w:hideMark/>
          </w:tcPr>
          <w:p w14:paraId="2F498BF7" w14:textId="2F8F2E0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 xml:space="preserve">&gt; 25% net income </w:t>
            </w:r>
            <w:r w:rsidRPr="008B2B45">
              <w:rPr>
                <w:rFonts w:asciiTheme="majorHAnsi" w:eastAsia="Times New Roman" w:hAnsiTheme="majorHAnsi" w:cstheme="majorHAnsi"/>
                <w:lang w:eastAsia="en-GB"/>
              </w:rPr>
              <w:t>after housing costs</w:t>
            </w:r>
          </w:p>
        </w:tc>
        <w:tc>
          <w:tcPr>
            <w:tcW w:w="1701" w:type="dxa"/>
            <w:tcBorders>
              <w:top w:val="nil"/>
              <w:left w:val="nil"/>
              <w:bottom w:val="single" w:sz="4" w:space="0" w:color="auto"/>
              <w:right w:val="single" w:sz="4" w:space="0" w:color="auto"/>
            </w:tcBorders>
            <w:shd w:val="clear" w:color="auto" w:fill="auto"/>
            <w:noWrap/>
            <w:vAlign w:val="bottom"/>
            <w:hideMark/>
          </w:tcPr>
          <w:p w14:paraId="338B5E98"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6.6%</w:t>
            </w:r>
          </w:p>
        </w:tc>
        <w:tc>
          <w:tcPr>
            <w:tcW w:w="1216" w:type="dxa"/>
            <w:tcBorders>
              <w:top w:val="nil"/>
              <w:left w:val="nil"/>
              <w:bottom w:val="single" w:sz="4" w:space="0" w:color="auto"/>
              <w:right w:val="single" w:sz="4" w:space="0" w:color="auto"/>
            </w:tcBorders>
            <w:shd w:val="clear" w:color="auto" w:fill="auto"/>
            <w:noWrap/>
            <w:vAlign w:val="bottom"/>
            <w:hideMark/>
          </w:tcPr>
          <w:p w14:paraId="04B8BB39"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12.6%</w:t>
            </w:r>
          </w:p>
        </w:tc>
        <w:tc>
          <w:tcPr>
            <w:tcW w:w="1276" w:type="dxa"/>
            <w:tcBorders>
              <w:top w:val="nil"/>
              <w:left w:val="nil"/>
              <w:bottom w:val="single" w:sz="4" w:space="0" w:color="auto"/>
              <w:right w:val="single" w:sz="4" w:space="0" w:color="auto"/>
            </w:tcBorders>
            <w:shd w:val="clear" w:color="auto" w:fill="auto"/>
            <w:noWrap/>
            <w:vAlign w:val="bottom"/>
            <w:hideMark/>
          </w:tcPr>
          <w:p w14:paraId="3DF3308E"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21.6%</w:t>
            </w:r>
          </w:p>
        </w:tc>
        <w:tc>
          <w:tcPr>
            <w:tcW w:w="1216" w:type="dxa"/>
            <w:tcBorders>
              <w:top w:val="nil"/>
              <w:left w:val="nil"/>
              <w:bottom w:val="single" w:sz="4" w:space="0" w:color="auto"/>
              <w:right w:val="single" w:sz="4" w:space="0" w:color="auto"/>
            </w:tcBorders>
            <w:shd w:val="clear" w:color="auto" w:fill="auto"/>
            <w:noWrap/>
            <w:vAlign w:val="bottom"/>
            <w:hideMark/>
          </w:tcPr>
          <w:p w14:paraId="359A8FED"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43.2%</w:t>
            </w:r>
          </w:p>
        </w:tc>
      </w:tr>
      <w:tr w:rsidR="008B2B45" w:rsidRPr="008B2B45" w14:paraId="69973E04" w14:textId="77777777" w:rsidTr="008B5F80">
        <w:trPr>
          <w:trHeight w:val="288"/>
        </w:trPr>
        <w:tc>
          <w:tcPr>
            <w:tcW w:w="3534" w:type="dxa"/>
            <w:tcBorders>
              <w:top w:val="nil"/>
              <w:left w:val="single" w:sz="4" w:space="0" w:color="auto"/>
              <w:bottom w:val="single" w:sz="4" w:space="0" w:color="auto"/>
              <w:right w:val="single" w:sz="4" w:space="0" w:color="auto"/>
            </w:tcBorders>
            <w:shd w:val="clear" w:color="auto" w:fill="auto"/>
            <w:noWrap/>
            <w:vAlign w:val="bottom"/>
            <w:hideMark/>
          </w:tcPr>
          <w:p w14:paraId="5AAFF6AC" w14:textId="5C2EDE79"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 xml:space="preserve">&gt; 30% net income </w:t>
            </w:r>
            <w:r w:rsidRPr="008B2B45">
              <w:rPr>
                <w:rFonts w:asciiTheme="majorHAnsi" w:eastAsia="Times New Roman" w:hAnsiTheme="majorHAnsi" w:cstheme="majorHAnsi"/>
                <w:lang w:eastAsia="en-GB"/>
              </w:rPr>
              <w:t>after housing costs</w:t>
            </w:r>
          </w:p>
        </w:tc>
        <w:tc>
          <w:tcPr>
            <w:tcW w:w="1701" w:type="dxa"/>
            <w:tcBorders>
              <w:top w:val="nil"/>
              <w:left w:val="nil"/>
              <w:bottom w:val="single" w:sz="4" w:space="0" w:color="auto"/>
              <w:right w:val="single" w:sz="4" w:space="0" w:color="auto"/>
            </w:tcBorders>
            <w:shd w:val="clear" w:color="auto" w:fill="auto"/>
            <w:noWrap/>
            <w:vAlign w:val="bottom"/>
            <w:hideMark/>
          </w:tcPr>
          <w:p w14:paraId="2B97104F"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5.1%</w:t>
            </w:r>
          </w:p>
        </w:tc>
        <w:tc>
          <w:tcPr>
            <w:tcW w:w="1216" w:type="dxa"/>
            <w:tcBorders>
              <w:top w:val="nil"/>
              <w:left w:val="nil"/>
              <w:bottom w:val="single" w:sz="4" w:space="0" w:color="auto"/>
              <w:right w:val="single" w:sz="4" w:space="0" w:color="auto"/>
            </w:tcBorders>
            <w:shd w:val="clear" w:color="auto" w:fill="auto"/>
            <w:noWrap/>
            <w:vAlign w:val="bottom"/>
            <w:hideMark/>
          </w:tcPr>
          <w:p w14:paraId="5D5968C9"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9.5%</w:t>
            </w:r>
          </w:p>
        </w:tc>
        <w:tc>
          <w:tcPr>
            <w:tcW w:w="1276" w:type="dxa"/>
            <w:tcBorders>
              <w:top w:val="nil"/>
              <w:left w:val="nil"/>
              <w:bottom w:val="single" w:sz="4" w:space="0" w:color="auto"/>
              <w:right w:val="single" w:sz="4" w:space="0" w:color="auto"/>
            </w:tcBorders>
            <w:shd w:val="clear" w:color="auto" w:fill="auto"/>
            <w:noWrap/>
            <w:vAlign w:val="bottom"/>
            <w:hideMark/>
          </w:tcPr>
          <w:p w14:paraId="4A15C8CD"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16.5%</w:t>
            </w:r>
          </w:p>
        </w:tc>
        <w:tc>
          <w:tcPr>
            <w:tcW w:w="1216" w:type="dxa"/>
            <w:tcBorders>
              <w:top w:val="nil"/>
              <w:left w:val="nil"/>
              <w:bottom w:val="single" w:sz="4" w:space="0" w:color="auto"/>
              <w:right w:val="single" w:sz="4" w:space="0" w:color="auto"/>
            </w:tcBorders>
            <w:shd w:val="clear" w:color="auto" w:fill="auto"/>
            <w:noWrap/>
            <w:vAlign w:val="bottom"/>
            <w:hideMark/>
          </w:tcPr>
          <w:p w14:paraId="40C53BE3"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34.7%</w:t>
            </w:r>
          </w:p>
        </w:tc>
      </w:tr>
      <w:tr w:rsidR="008B2B45" w:rsidRPr="008B2B45" w14:paraId="08B6CA7F" w14:textId="77777777" w:rsidTr="008B5F80">
        <w:trPr>
          <w:trHeight w:val="288"/>
        </w:trPr>
        <w:tc>
          <w:tcPr>
            <w:tcW w:w="8943" w:type="dxa"/>
            <w:gridSpan w:val="5"/>
            <w:tcBorders>
              <w:top w:val="nil"/>
              <w:left w:val="single" w:sz="4" w:space="0" w:color="auto"/>
              <w:bottom w:val="single" w:sz="4" w:space="0" w:color="auto"/>
              <w:right w:val="single" w:sz="4" w:space="0" w:color="auto"/>
            </w:tcBorders>
            <w:shd w:val="clear" w:color="auto" w:fill="auto"/>
            <w:noWrap/>
            <w:vAlign w:val="bottom"/>
            <w:hideMark/>
          </w:tcPr>
          <w:p w14:paraId="2765D55B" w14:textId="33454246" w:rsidR="008B5F80" w:rsidRPr="008B5F80" w:rsidRDefault="008B5F80" w:rsidP="008B5F80">
            <w:pPr>
              <w:spacing w:after="0" w:line="240" w:lineRule="auto"/>
              <w:rPr>
                <w:rFonts w:asciiTheme="majorHAnsi" w:eastAsia="Times New Roman" w:hAnsiTheme="majorHAnsi" w:cstheme="majorHAnsi"/>
                <w:b/>
                <w:bCs/>
                <w:lang w:eastAsia="en-GB"/>
              </w:rPr>
            </w:pPr>
            <w:r w:rsidRPr="008B5F80">
              <w:rPr>
                <w:rFonts w:asciiTheme="majorHAnsi" w:eastAsia="Times New Roman" w:hAnsiTheme="majorHAnsi" w:cstheme="majorHAnsi"/>
                <w:b/>
                <w:bCs/>
                <w:lang w:eastAsia="en-GB"/>
              </w:rPr>
              <w:t>Average weekly fuel poverty gap on different measures</w:t>
            </w:r>
            <w:r w:rsidRPr="008B5F80">
              <w:rPr>
                <w:rFonts w:asciiTheme="majorHAnsi" w:eastAsia="Times New Roman" w:hAnsiTheme="majorHAnsi" w:cstheme="majorHAnsi"/>
                <w:lang w:eastAsia="en-GB"/>
              </w:rPr>
              <w:t> </w:t>
            </w:r>
          </w:p>
        </w:tc>
      </w:tr>
      <w:tr w:rsidR="008B2B45" w:rsidRPr="008B2B45" w14:paraId="578E6830" w14:textId="77777777" w:rsidTr="008B5F80">
        <w:trPr>
          <w:trHeight w:val="288"/>
        </w:trPr>
        <w:tc>
          <w:tcPr>
            <w:tcW w:w="3534" w:type="dxa"/>
            <w:tcBorders>
              <w:top w:val="nil"/>
              <w:left w:val="single" w:sz="4" w:space="0" w:color="auto"/>
              <w:bottom w:val="single" w:sz="4" w:space="0" w:color="auto"/>
              <w:right w:val="single" w:sz="4" w:space="0" w:color="auto"/>
            </w:tcBorders>
            <w:shd w:val="clear" w:color="000000" w:fill="D9D9D9"/>
            <w:noWrap/>
            <w:vAlign w:val="bottom"/>
            <w:hideMark/>
          </w:tcPr>
          <w:p w14:paraId="2A9872C8" w14:textId="2CF62E8C"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 xml:space="preserve">&gt; 10% net income </w:t>
            </w:r>
            <w:r w:rsidRPr="008B2B45">
              <w:rPr>
                <w:rFonts w:asciiTheme="majorHAnsi" w:eastAsia="Times New Roman" w:hAnsiTheme="majorHAnsi" w:cstheme="majorHAnsi"/>
                <w:lang w:eastAsia="en-GB"/>
              </w:rPr>
              <w:t>after housing costs</w:t>
            </w:r>
          </w:p>
        </w:tc>
        <w:tc>
          <w:tcPr>
            <w:tcW w:w="1701" w:type="dxa"/>
            <w:tcBorders>
              <w:top w:val="nil"/>
              <w:left w:val="nil"/>
              <w:bottom w:val="single" w:sz="4" w:space="0" w:color="auto"/>
              <w:right w:val="single" w:sz="4" w:space="0" w:color="auto"/>
            </w:tcBorders>
            <w:shd w:val="clear" w:color="000000" w:fill="D9D9D9"/>
            <w:noWrap/>
            <w:vAlign w:val="bottom"/>
            <w:hideMark/>
          </w:tcPr>
          <w:p w14:paraId="35781C94" w14:textId="77777777" w:rsidR="008B5F80" w:rsidRPr="008B5F80" w:rsidRDefault="008B5F80" w:rsidP="008B5F80">
            <w:pPr>
              <w:spacing w:after="0" w:line="240" w:lineRule="auto"/>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 </w:t>
            </w:r>
          </w:p>
        </w:tc>
        <w:tc>
          <w:tcPr>
            <w:tcW w:w="1216" w:type="dxa"/>
            <w:tcBorders>
              <w:top w:val="nil"/>
              <w:left w:val="nil"/>
              <w:bottom w:val="single" w:sz="4" w:space="0" w:color="auto"/>
              <w:right w:val="single" w:sz="4" w:space="0" w:color="auto"/>
            </w:tcBorders>
            <w:shd w:val="clear" w:color="000000" w:fill="D9D9D9"/>
            <w:noWrap/>
            <w:vAlign w:val="bottom"/>
            <w:hideMark/>
          </w:tcPr>
          <w:p w14:paraId="5BED1CE6" w14:textId="77777777" w:rsidR="008B5F80" w:rsidRPr="008B5F80" w:rsidRDefault="008B5F80" w:rsidP="008B5F80">
            <w:pPr>
              <w:spacing w:after="0" w:line="240" w:lineRule="auto"/>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 </w:t>
            </w:r>
          </w:p>
        </w:tc>
        <w:tc>
          <w:tcPr>
            <w:tcW w:w="1276" w:type="dxa"/>
            <w:tcBorders>
              <w:top w:val="nil"/>
              <w:left w:val="nil"/>
              <w:bottom w:val="single" w:sz="4" w:space="0" w:color="auto"/>
              <w:right w:val="single" w:sz="4" w:space="0" w:color="auto"/>
            </w:tcBorders>
            <w:shd w:val="clear" w:color="000000" w:fill="D9D9D9"/>
            <w:noWrap/>
            <w:vAlign w:val="bottom"/>
            <w:hideMark/>
          </w:tcPr>
          <w:p w14:paraId="327A9A2B" w14:textId="77777777" w:rsidR="008B5F80" w:rsidRPr="008B5F80" w:rsidRDefault="008B5F80" w:rsidP="008B5F80">
            <w:pPr>
              <w:spacing w:after="0" w:line="240" w:lineRule="auto"/>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 </w:t>
            </w:r>
          </w:p>
        </w:tc>
        <w:tc>
          <w:tcPr>
            <w:tcW w:w="1216" w:type="dxa"/>
            <w:tcBorders>
              <w:top w:val="nil"/>
              <w:left w:val="nil"/>
              <w:bottom w:val="single" w:sz="4" w:space="0" w:color="auto"/>
              <w:right w:val="single" w:sz="4" w:space="0" w:color="auto"/>
            </w:tcBorders>
            <w:shd w:val="clear" w:color="000000" w:fill="D9D9D9"/>
            <w:noWrap/>
            <w:vAlign w:val="bottom"/>
            <w:hideMark/>
          </w:tcPr>
          <w:p w14:paraId="24792BB4" w14:textId="77777777" w:rsidR="008B5F80" w:rsidRPr="008B5F80" w:rsidRDefault="008B5F80" w:rsidP="008B5F80">
            <w:pPr>
              <w:spacing w:after="0" w:line="240" w:lineRule="auto"/>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 </w:t>
            </w:r>
          </w:p>
        </w:tc>
      </w:tr>
      <w:tr w:rsidR="008B2B45" w:rsidRPr="008B2B45" w14:paraId="442B3D8D" w14:textId="77777777" w:rsidTr="008B5F80">
        <w:trPr>
          <w:trHeight w:val="288"/>
        </w:trPr>
        <w:tc>
          <w:tcPr>
            <w:tcW w:w="3534" w:type="dxa"/>
            <w:tcBorders>
              <w:top w:val="nil"/>
              <w:left w:val="single" w:sz="4" w:space="0" w:color="auto"/>
              <w:bottom w:val="single" w:sz="4" w:space="0" w:color="auto"/>
              <w:right w:val="single" w:sz="4" w:space="0" w:color="auto"/>
            </w:tcBorders>
            <w:shd w:val="clear" w:color="auto" w:fill="auto"/>
            <w:noWrap/>
            <w:vAlign w:val="bottom"/>
            <w:hideMark/>
          </w:tcPr>
          <w:p w14:paraId="672B5ED9"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Mean £</w:t>
            </w:r>
          </w:p>
        </w:tc>
        <w:tc>
          <w:tcPr>
            <w:tcW w:w="1701" w:type="dxa"/>
            <w:tcBorders>
              <w:top w:val="nil"/>
              <w:left w:val="nil"/>
              <w:bottom w:val="single" w:sz="4" w:space="0" w:color="auto"/>
              <w:right w:val="single" w:sz="4" w:space="0" w:color="auto"/>
            </w:tcBorders>
            <w:shd w:val="clear" w:color="auto" w:fill="auto"/>
            <w:noWrap/>
            <w:vAlign w:val="bottom"/>
            <w:hideMark/>
          </w:tcPr>
          <w:p w14:paraId="05E29396"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14.88</w:t>
            </w:r>
          </w:p>
        </w:tc>
        <w:tc>
          <w:tcPr>
            <w:tcW w:w="1216" w:type="dxa"/>
            <w:tcBorders>
              <w:top w:val="nil"/>
              <w:left w:val="nil"/>
              <w:bottom w:val="single" w:sz="4" w:space="0" w:color="auto"/>
              <w:right w:val="single" w:sz="4" w:space="0" w:color="auto"/>
            </w:tcBorders>
            <w:shd w:val="clear" w:color="auto" w:fill="auto"/>
            <w:noWrap/>
            <w:vAlign w:val="bottom"/>
            <w:hideMark/>
          </w:tcPr>
          <w:p w14:paraId="6044926B"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22.27</w:t>
            </w:r>
          </w:p>
        </w:tc>
        <w:tc>
          <w:tcPr>
            <w:tcW w:w="1276" w:type="dxa"/>
            <w:tcBorders>
              <w:top w:val="nil"/>
              <w:left w:val="nil"/>
              <w:bottom w:val="single" w:sz="4" w:space="0" w:color="auto"/>
              <w:right w:val="single" w:sz="4" w:space="0" w:color="auto"/>
            </w:tcBorders>
            <w:shd w:val="clear" w:color="auto" w:fill="auto"/>
            <w:noWrap/>
            <w:vAlign w:val="bottom"/>
            <w:hideMark/>
          </w:tcPr>
          <w:p w14:paraId="41B2042A"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37.90</w:t>
            </w:r>
          </w:p>
        </w:tc>
        <w:tc>
          <w:tcPr>
            <w:tcW w:w="1216" w:type="dxa"/>
            <w:tcBorders>
              <w:top w:val="nil"/>
              <w:left w:val="nil"/>
              <w:bottom w:val="single" w:sz="4" w:space="0" w:color="auto"/>
              <w:right w:val="single" w:sz="4" w:space="0" w:color="auto"/>
            </w:tcBorders>
            <w:shd w:val="clear" w:color="auto" w:fill="auto"/>
            <w:noWrap/>
            <w:vAlign w:val="bottom"/>
            <w:hideMark/>
          </w:tcPr>
          <w:p w14:paraId="65568B4F"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64.23</w:t>
            </w:r>
          </w:p>
        </w:tc>
      </w:tr>
      <w:tr w:rsidR="008B2B45" w:rsidRPr="008B2B45" w14:paraId="6A2CB496" w14:textId="77777777" w:rsidTr="008B5F80">
        <w:trPr>
          <w:trHeight w:val="288"/>
        </w:trPr>
        <w:tc>
          <w:tcPr>
            <w:tcW w:w="3534" w:type="dxa"/>
            <w:tcBorders>
              <w:top w:val="nil"/>
              <w:left w:val="single" w:sz="4" w:space="0" w:color="auto"/>
              <w:bottom w:val="single" w:sz="4" w:space="0" w:color="auto"/>
              <w:right w:val="single" w:sz="4" w:space="0" w:color="auto"/>
            </w:tcBorders>
            <w:shd w:val="clear" w:color="auto" w:fill="auto"/>
            <w:noWrap/>
            <w:vAlign w:val="bottom"/>
            <w:hideMark/>
          </w:tcPr>
          <w:p w14:paraId="753B1BC7"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Median £</w:t>
            </w:r>
          </w:p>
        </w:tc>
        <w:tc>
          <w:tcPr>
            <w:tcW w:w="1701" w:type="dxa"/>
            <w:tcBorders>
              <w:top w:val="nil"/>
              <w:left w:val="nil"/>
              <w:bottom w:val="single" w:sz="4" w:space="0" w:color="auto"/>
              <w:right w:val="single" w:sz="4" w:space="0" w:color="auto"/>
            </w:tcBorders>
            <w:shd w:val="clear" w:color="auto" w:fill="auto"/>
            <w:noWrap/>
            <w:vAlign w:val="bottom"/>
            <w:hideMark/>
          </w:tcPr>
          <w:p w14:paraId="77A58F36"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9.57</w:t>
            </w:r>
          </w:p>
        </w:tc>
        <w:tc>
          <w:tcPr>
            <w:tcW w:w="1216" w:type="dxa"/>
            <w:tcBorders>
              <w:top w:val="nil"/>
              <w:left w:val="nil"/>
              <w:bottom w:val="single" w:sz="4" w:space="0" w:color="auto"/>
              <w:right w:val="single" w:sz="4" w:space="0" w:color="auto"/>
            </w:tcBorders>
            <w:shd w:val="clear" w:color="auto" w:fill="auto"/>
            <w:noWrap/>
            <w:vAlign w:val="bottom"/>
            <w:hideMark/>
          </w:tcPr>
          <w:p w14:paraId="2573F671"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15.55</w:t>
            </w:r>
          </w:p>
        </w:tc>
        <w:tc>
          <w:tcPr>
            <w:tcW w:w="1276" w:type="dxa"/>
            <w:tcBorders>
              <w:top w:val="nil"/>
              <w:left w:val="nil"/>
              <w:bottom w:val="single" w:sz="4" w:space="0" w:color="auto"/>
              <w:right w:val="single" w:sz="4" w:space="0" w:color="auto"/>
            </w:tcBorders>
            <w:shd w:val="clear" w:color="auto" w:fill="auto"/>
            <w:noWrap/>
            <w:vAlign w:val="bottom"/>
            <w:hideMark/>
          </w:tcPr>
          <w:p w14:paraId="6CC20F36"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26.22</w:t>
            </w:r>
          </w:p>
        </w:tc>
        <w:tc>
          <w:tcPr>
            <w:tcW w:w="1216" w:type="dxa"/>
            <w:tcBorders>
              <w:top w:val="nil"/>
              <w:left w:val="nil"/>
              <w:bottom w:val="single" w:sz="4" w:space="0" w:color="auto"/>
              <w:right w:val="single" w:sz="4" w:space="0" w:color="auto"/>
            </w:tcBorders>
            <w:shd w:val="clear" w:color="auto" w:fill="auto"/>
            <w:noWrap/>
            <w:vAlign w:val="bottom"/>
            <w:hideMark/>
          </w:tcPr>
          <w:p w14:paraId="6BCE735D"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48.48</w:t>
            </w:r>
          </w:p>
        </w:tc>
      </w:tr>
      <w:tr w:rsidR="008B2B45" w:rsidRPr="008B2B45" w14:paraId="78B265C6" w14:textId="77777777" w:rsidTr="008B5F80">
        <w:trPr>
          <w:trHeight w:val="288"/>
        </w:trPr>
        <w:tc>
          <w:tcPr>
            <w:tcW w:w="3534" w:type="dxa"/>
            <w:tcBorders>
              <w:top w:val="nil"/>
              <w:left w:val="single" w:sz="4" w:space="0" w:color="auto"/>
              <w:bottom w:val="single" w:sz="4" w:space="0" w:color="auto"/>
              <w:right w:val="single" w:sz="4" w:space="0" w:color="auto"/>
            </w:tcBorders>
            <w:shd w:val="clear" w:color="000000" w:fill="D9D9D9"/>
            <w:noWrap/>
            <w:vAlign w:val="bottom"/>
            <w:hideMark/>
          </w:tcPr>
          <w:p w14:paraId="6501A5E3" w14:textId="5A40F12C"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 xml:space="preserve">&gt; 20% net income </w:t>
            </w:r>
            <w:r w:rsidRPr="008B2B45">
              <w:rPr>
                <w:rFonts w:asciiTheme="majorHAnsi" w:eastAsia="Times New Roman" w:hAnsiTheme="majorHAnsi" w:cstheme="majorHAnsi"/>
                <w:lang w:eastAsia="en-GB"/>
              </w:rPr>
              <w:t>after housing costs</w:t>
            </w:r>
          </w:p>
        </w:tc>
        <w:tc>
          <w:tcPr>
            <w:tcW w:w="1701" w:type="dxa"/>
            <w:tcBorders>
              <w:top w:val="nil"/>
              <w:left w:val="nil"/>
              <w:bottom w:val="single" w:sz="4" w:space="0" w:color="auto"/>
              <w:right w:val="single" w:sz="4" w:space="0" w:color="auto"/>
            </w:tcBorders>
            <w:shd w:val="clear" w:color="000000" w:fill="D9D9D9"/>
            <w:noWrap/>
            <w:vAlign w:val="bottom"/>
            <w:hideMark/>
          </w:tcPr>
          <w:p w14:paraId="0B45D9F2" w14:textId="77777777" w:rsidR="008B5F80" w:rsidRPr="008B5F80" w:rsidRDefault="008B5F80" w:rsidP="008B5F80">
            <w:pPr>
              <w:spacing w:after="0" w:line="240" w:lineRule="auto"/>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 </w:t>
            </w:r>
          </w:p>
        </w:tc>
        <w:tc>
          <w:tcPr>
            <w:tcW w:w="1216" w:type="dxa"/>
            <w:tcBorders>
              <w:top w:val="nil"/>
              <w:left w:val="nil"/>
              <w:bottom w:val="single" w:sz="4" w:space="0" w:color="auto"/>
              <w:right w:val="single" w:sz="4" w:space="0" w:color="auto"/>
            </w:tcBorders>
            <w:shd w:val="clear" w:color="000000" w:fill="D9D9D9"/>
            <w:noWrap/>
            <w:vAlign w:val="bottom"/>
            <w:hideMark/>
          </w:tcPr>
          <w:p w14:paraId="11C6E2A6" w14:textId="77777777" w:rsidR="008B5F80" w:rsidRPr="008B5F80" w:rsidRDefault="008B5F80" w:rsidP="008B5F80">
            <w:pPr>
              <w:spacing w:after="0" w:line="240" w:lineRule="auto"/>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 </w:t>
            </w:r>
          </w:p>
        </w:tc>
        <w:tc>
          <w:tcPr>
            <w:tcW w:w="1276" w:type="dxa"/>
            <w:tcBorders>
              <w:top w:val="nil"/>
              <w:left w:val="nil"/>
              <w:bottom w:val="single" w:sz="4" w:space="0" w:color="auto"/>
              <w:right w:val="single" w:sz="4" w:space="0" w:color="auto"/>
            </w:tcBorders>
            <w:shd w:val="clear" w:color="000000" w:fill="D9D9D9"/>
            <w:noWrap/>
            <w:vAlign w:val="bottom"/>
            <w:hideMark/>
          </w:tcPr>
          <w:p w14:paraId="15F1A398" w14:textId="77777777" w:rsidR="008B5F80" w:rsidRPr="008B5F80" w:rsidRDefault="008B5F80" w:rsidP="008B5F80">
            <w:pPr>
              <w:spacing w:after="0" w:line="240" w:lineRule="auto"/>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 </w:t>
            </w:r>
          </w:p>
        </w:tc>
        <w:tc>
          <w:tcPr>
            <w:tcW w:w="1216" w:type="dxa"/>
            <w:tcBorders>
              <w:top w:val="nil"/>
              <w:left w:val="nil"/>
              <w:bottom w:val="single" w:sz="4" w:space="0" w:color="auto"/>
              <w:right w:val="single" w:sz="4" w:space="0" w:color="auto"/>
            </w:tcBorders>
            <w:shd w:val="clear" w:color="000000" w:fill="D9D9D9"/>
            <w:noWrap/>
            <w:vAlign w:val="bottom"/>
            <w:hideMark/>
          </w:tcPr>
          <w:p w14:paraId="721DB4EA" w14:textId="77777777" w:rsidR="008B5F80" w:rsidRPr="008B5F80" w:rsidRDefault="008B5F80" w:rsidP="008B5F80">
            <w:pPr>
              <w:spacing w:after="0" w:line="240" w:lineRule="auto"/>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 </w:t>
            </w:r>
          </w:p>
        </w:tc>
      </w:tr>
      <w:tr w:rsidR="008B2B45" w:rsidRPr="008B2B45" w14:paraId="773E291A" w14:textId="77777777" w:rsidTr="008B5F80">
        <w:trPr>
          <w:trHeight w:val="288"/>
        </w:trPr>
        <w:tc>
          <w:tcPr>
            <w:tcW w:w="3534" w:type="dxa"/>
            <w:tcBorders>
              <w:top w:val="nil"/>
              <w:left w:val="single" w:sz="4" w:space="0" w:color="auto"/>
              <w:bottom w:val="single" w:sz="4" w:space="0" w:color="auto"/>
              <w:right w:val="single" w:sz="4" w:space="0" w:color="auto"/>
            </w:tcBorders>
            <w:shd w:val="clear" w:color="auto" w:fill="auto"/>
            <w:noWrap/>
            <w:vAlign w:val="bottom"/>
            <w:hideMark/>
          </w:tcPr>
          <w:p w14:paraId="1F1F1CBE"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Mean £</w:t>
            </w:r>
          </w:p>
        </w:tc>
        <w:tc>
          <w:tcPr>
            <w:tcW w:w="1701" w:type="dxa"/>
            <w:tcBorders>
              <w:top w:val="nil"/>
              <w:left w:val="nil"/>
              <w:bottom w:val="single" w:sz="4" w:space="0" w:color="auto"/>
              <w:right w:val="single" w:sz="4" w:space="0" w:color="auto"/>
            </w:tcBorders>
            <w:shd w:val="clear" w:color="auto" w:fill="auto"/>
            <w:noWrap/>
            <w:vAlign w:val="bottom"/>
            <w:hideMark/>
          </w:tcPr>
          <w:p w14:paraId="079E75BA"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18.93</w:t>
            </w:r>
          </w:p>
        </w:tc>
        <w:tc>
          <w:tcPr>
            <w:tcW w:w="1216" w:type="dxa"/>
            <w:tcBorders>
              <w:top w:val="nil"/>
              <w:left w:val="nil"/>
              <w:bottom w:val="single" w:sz="4" w:space="0" w:color="auto"/>
              <w:right w:val="single" w:sz="4" w:space="0" w:color="auto"/>
            </w:tcBorders>
            <w:shd w:val="clear" w:color="auto" w:fill="auto"/>
            <w:noWrap/>
            <w:vAlign w:val="bottom"/>
            <w:hideMark/>
          </w:tcPr>
          <w:p w14:paraId="651705BC"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25.18</w:t>
            </w:r>
          </w:p>
        </w:tc>
        <w:tc>
          <w:tcPr>
            <w:tcW w:w="1276" w:type="dxa"/>
            <w:tcBorders>
              <w:top w:val="nil"/>
              <w:left w:val="nil"/>
              <w:bottom w:val="single" w:sz="4" w:space="0" w:color="auto"/>
              <w:right w:val="single" w:sz="4" w:space="0" w:color="auto"/>
            </w:tcBorders>
            <w:shd w:val="clear" w:color="auto" w:fill="auto"/>
            <w:noWrap/>
            <w:vAlign w:val="bottom"/>
            <w:hideMark/>
          </w:tcPr>
          <w:p w14:paraId="3F43DABC"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39.31</w:t>
            </w:r>
          </w:p>
        </w:tc>
        <w:tc>
          <w:tcPr>
            <w:tcW w:w="1216" w:type="dxa"/>
            <w:tcBorders>
              <w:top w:val="nil"/>
              <w:left w:val="nil"/>
              <w:bottom w:val="single" w:sz="4" w:space="0" w:color="auto"/>
              <w:right w:val="single" w:sz="4" w:space="0" w:color="auto"/>
            </w:tcBorders>
            <w:shd w:val="clear" w:color="auto" w:fill="auto"/>
            <w:noWrap/>
            <w:vAlign w:val="bottom"/>
            <w:hideMark/>
          </w:tcPr>
          <w:p w14:paraId="292B252E"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58.42</w:t>
            </w:r>
          </w:p>
        </w:tc>
      </w:tr>
      <w:tr w:rsidR="008B2B45" w:rsidRPr="008B2B45" w14:paraId="6538E979" w14:textId="77777777" w:rsidTr="008B5F80">
        <w:trPr>
          <w:trHeight w:val="288"/>
        </w:trPr>
        <w:tc>
          <w:tcPr>
            <w:tcW w:w="3534" w:type="dxa"/>
            <w:tcBorders>
              <w:top w:val="nil"/>
              <w:left w:val="single" w:sz="4" w:space="0" w:color="auto"/>
              <w:bottom w:val="single" w:sz="4" w:space="0" w:color="auto"/>
              <w:right w:val="single" w:sz="4" w:space="0" w:color="auto"/>
            </w:tcBorders>
            <w:shd w:val="clear" w:color="auto" w:fill="auto"/>
            <w:noWrap/>
            <w:vAlign w:val="bottom"/>
            <w:hideMark/>
          </w:tcPr>
          <w:p w14:paraId="0E4E68FD"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Median £</w:t>
            </w:r>
          </w:p>
        </w:tc>
        <w:tc>
          <w:tcPr>
            <w:tcW w:w="1701" w:type="dxa"/>
            <w:tcBorders>
              <w:top w:val="nil"/>
              <w:left w:val="nil"/>
              <w:bottom w:val="single" w:sz="4" w:space="0" w:color="auto"/>
              <w:right w:val="single" w:sz="4" w:space="0" w:color="auto"/>
            </w:tcBorders>
            <w:shd w:val="clear" w:color="auto" w:fill="auto"/>
            <w:noWrap/>
            <w:vAlign w:val="bottom"/>
            <w:hideMark/>
          </w:tcPr>
          <w:p w14:paraId="711E5FEA"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11.70</w:t>
            </w:r>
          </w:p>
        </w:tc>
        <w:tc>
          <w:tcPr>
            <w:tcW w:w="1216" w:type="dxa"/>
            <w:tcBorders>
              <w:top w:val="nil"/>
              <w:left w:val="nil"/>
              <w:bottom w:val="single" w:sz="4" w:space="0" w:color="auto"/>
              <w:right w:val="single" w:sz="4" w:space="0" w:color="auto"/>
            </w:tcBorders>
            <w:shd w:val="clear" w:color="auto" w:fill="auto"/>
            <w:noWrap/>
            <w:vAlign w:val="bottom"/>
            <w:hideMark/>
          </w:tcPr>
          <w:p w14:paraId="35528214"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16.43</w:t>
            </w:r>
          </w:p>
        </w:tc>
        <w:tc>
          <w:tcPr>
            <w:tcW w:w="1276" w:type="dxa"/>
            <w:tcBorders>
              <w:top w:val="nil"/>
              <w:left w:val="nil"/>
              <w:bottom w:val="single" w:sz="4" w:space="0" w:color="auto"/>
              <w:right w:val="single" w:sz="4" w:space="0" w:color="auto"/>
            </w:tcBorders>
            <w:shd w:val="clear" w:color="auto" w:fill="auto"/>
            <w:noWrap/>
            <w:vAlign w:val="bottom"/>
            <w:hideMark/>
          </w:tcPr>
          <w:p w14:paraId="39550CA9"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23.68</w:t>
            </w:r>
          </w:p>
        </w:tc>
        <w:tc>
          <w:tcPr>
            <w:tcW w:w="1216" w:type="dxa"/>
            <w:tcBorders>
              <w:top w:val="nil"/>
              <w:left w:val="nil"/>
              <w:bottom w:val="single" w:sz="4" w:space="0" w:color="auto"/>
              <w:right w:val="single" w:sz="4" w:space="0" w:color="auto"/>
            </w:tcBorders>
            <w:shd w:val="clear" w:color="auto" w:fill="auto"/>
            <w:noWrap/>
            <w:vAlign w:val="bottom"/>
            <w:hideMark/>
          </w:tcPr>
          <w:p w14:paraId="0ED38F9B"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40.22</w:t>
            </w:r>
          </w:p>
        </w:tc>
      </w:tr>
      <w:tr w:rsidR="008B2B45" w:rsidRPr="008B2B45" w14:paraId="3BDC49D0" w14:textId="77777777" w:rsidTr="008B5F80">
        <w:trPr>
          <w:trHeight w:val="288"/>
        </w:trPr>
        <w:tc>
          <w:tcPr>
            <w:tcW w:w="3534" w:type="dxa"/>
            <w:tcBorders>
              <w:top w:val="nil"/>
              <w:left w:val="single" w:sz="4" w:space="0" w:color="auto"/>
              <w:bottom w:val="single" w:sz="4" w:space="0" w:color="auto"/>
              <w:right w:val="single" w:sz="4" w:space="0" w:color="auto"/>
            </w:tcBorders>
            <w:shd w:val="clear" w:color="000000" w:fill="D9D9D9"/>
            <w:noWrap/>
            <w:vAlign w:val="bottom"/>
            <w:hideMark/>
          </w:tcPr>
          <w:p w14:paraId="68506B01" w14:textId="75E6488A"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 xml:space="preserve">&gt; 25% net income </w:t>
            </w:r>
            <w:r w:rsidRPr="008B2B45">
              <w:rPr>
                <w:rFonts w:asciiTheme="majorHAnsi" w:eastAsia="Times New Roman" w:hAnsiTheme="majorHAnsi" w:cstheme="majorHAnsi"/>
                <w:lang w:eastAsia="en-GB"/>
              </w:rPr>
              <w:t>after housing costs</w:t>
            </w:r>
          </w:p>
        </w:tc>
        <w:tc>
          <w:tcPr>
            <w:tcW w:w="1701" w:type="dxa"/>
            <w:tcBorders>
              <w:top w:val="nil"/>
              <w:left w:val="nil"/>
              <w:bottom w:val="single" w:sz="4" w:space="0" w:color="auto"/>
              <w:right w:val="single" w:sz="4" w:space="0" w:color="auto"/>
            </w:tcBorders>
            <w:shd w:val="clear" w:color="000000" w:fill="D9D9D9"/>
            <w:noWrap/>
            <w:vAlign w:val="bottom"/>
            <w:hideMark/>
          </w:tcPr>
          <w:p w14:paraId="7025FF0B" w14:textId="77777777" w:rsidR="008B5F80" w:rsidRPr="008B5F80" w:rsidRDefault="008B5F80" w:rsidP="008B5F80">
            <w:pPr>
              <w:spacing w:after="0" w:line="240" w:lineRule="auto"/>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 </w:t>
            </w:r>
          </w:p>
        </w:tc>
        <w:tc>
          <w:tcPr>
            <w:tcW w:w="1216" w:type="dxa"/>
            <w:tcBorders>
              <w:top w:val="nil"/>
              <w:left w:val="nil"/>
              <w:bottom w:val="single" w:sz="4" w:space="0" w:color="auto"/>
              <w:right w:val="single" w:sz="4" w:space="0" w:color="auto"/>
            </w:tcBorders>
            <w:shd w:val="clear" w:color="000000" w:fill="D9D9D9"/>
            <w:noWrap/>
            <w:vAlign w:val="bottom"/>
            <w:hideMark/>
          </w:tcPr>
          <w:p w14:paraId="7CB64898" w14:textId="77777777" w:rsidR="008B5F80" w:rsidRPr="008B5F80" w:rsidRDefault="008B5F80" w:rsidP="008B5F80">
            <w:pPr>
              <w:spacing w:after="0" w:line="240" w:lineRule="auto"/>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 </w:t>
            </w:r>
          </w:p>
        </w:tc>
        <w:tc>
          <w:tcPr>
            <w:tcW w:w="1276" w:type="dxa"/>
            <w:tcBorders>
              <w:top w:val="nil"/>
              <w:left w:val="nil"/>
              <w:bottom w:val="single" w:sz="4" w:space="0" w:color="auto"/>
              <w:right w:val="single" w:sz="4" w:space="0" w:color="auto"/>
            </w:tcBorders>
            <w:shd w:val="clear" w:color="000000" w:fill="D9D9D9"/>
            <w:noWrap/>
            <w:vAlign w:val="bottom"/>
            <w:hideMark/>
          </w:tcPr>
          <w:p w14:paraId="780BFC4E" w14:textId="77777777" w:rsidR="008B5F80" w:rsidRPr="008B5F80" w:rsidRDefault="008B5F80" w:rsidP="008B5F80">
            <w:pPr>
              <w:spacing w:after="0" w:line="240" w:lineRule="auto"/>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 </w:t>
            </w:r>
          </w:p>
        </w:tc>
        <w:tc>
          <w:tcPr>
            <w:tcW w:w="1216" w:type="dxa"/>
            <w:tcBorders>
              <w:top w:val="nil"/>
              <w:left w:val="nil"/>
              <w:bottom w:val="single" w:sz="4" w:space="0" w:color="auto"/>
              <w:right w:val="single" w:sz="4" w:space="0" w:color="auto"/>
            </w:tcBorders>
            <w:shd w:val="clear" w:color="000000" w:fill="D9D9D9"/>
            <w:noWrap/>
            <w:vAlign w:val="bottom"/>
            <w:hideMark/>
          </w:tcPr>
          <w:p w14:paraId="7EDB3DBC" w14:textId="77777777" w:rsidR="008B5F80" w:rsidRPr="008B5F80" w:rsidRDefault="008B5F80" w:rsidP="008B5F80">
            <w:pPr>
              <w:spacing w:after="0" w:line="240" w:lineRule="auto"/>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 </w:t>
            </w:r>
          </w:p>
        </w:tc>
      </w:tr>
      <w:tr w:rsidR="008B2B45" w:rsidRPr="008B2B45" w14:paraId="3EED110E" w14:textId="77777777" w:rsidTr="008B5F80">
        <w:trPr>
          <w:trHeight w:val="288"/>
        </w:trPr>
        <w:tc>
          <w:tcPr>
            <w:tcW w:w="3534" w:type="dxa"/>
            <w:tcBorders>
              <w:top w:val="nil"/>
              <w:left w:val="single" w:sz="4" w:space="0" w:color="auto"/>
              <w:bottom w:val="single" w:sz="4" w:space="0" w:color="auto"/>
              <w:right w:val="single" w:sz="4" w:space="0" w:color="auto"/>
            </w:tcBorders>
            <w:shd w:val="clear" w:color="auto" w:fill="auto"/>
            <w:noWrap/>
            <w:vAlign w:val="bottom"/>
            <w:hideMark/>
          </w:tcPr>
          <w:p w14:paraId="188D874E"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Mean £</w:t>
            </w:r>
          </w:p>
        </w:tc>
        <w:tc>
          <w:tcPr>
            <w:tcW w:w="1701" w:type="dxa"/>
            <w:tcBorders>
              <w:top w:val="nil"/>
              <w:left w:val="nil"/>
              <w:bottom w:val="single" w:sz="4" w:space="0" w:color="auto"/>
              <w:right w:val="single" w:sz="4" w:space="0" w:color="auto"/>
            </w:tcBorders>
            <w:shd w:val="clear" w:color="auto" w:fill="auto"/>
            <w:noWrap/>
            <w:vAlign w:val="bottom"/>
            <w:hideMark/>
          </w:tcPr>
          <w:p w14:paraId="088C715D"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20.99</w:t>
            </w:r>
          </w:p>
        </w:tc>
        <w:tc>
          <w:tcPr>
            <w:tcW w:w="1216" w:type="dxa"/>
            <w:tcBorders>
              <w:top w:val="nil"/>
              <w:left w:val="nil"/>
              <w:bottom w:val="single" w:sz="4" w:space="0" w:color="auto"/>
              <w:right w:val="single" w:sz="4" w:space="0" w:color="auto"/>
            </w:tcBorders>
            <w:shd w:val="clear" w:color="auto" w:fill="auto"/>
            <w:noWrap/>
            <w:vAlign w:val="bottom"/>
            <w:hideMark/>
          </w:tcPr>
          <w:p w14:paraId="0EE5AED7"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27.16</w:t>
            </w:r>
          </w:p>
        </w:tc>
        <w:tc>
          <w:tcPr>
            <w:tcW w:w="1276" w:type="dxa"/>
            <w:tcBorders>
              <w:top w:val="nil"/>
              <w:left w:val="nil"/>
              <w:bottom w:val="single" w:sz="4" w:space="0" w:color="auto"/>
              <w:right w:val="single" w:sz="4" w:space="0" w:color="auto"/>
            </w:tcBorders>
            <w:shd w:val="clear" w:color="auto" w:fill="auto"/>
            <w:noWrap/>
            <w:vAlign w:val="bottom"/>
            <w:hideMark/>
          </w:tcPr>
          <w:p w14:paraId="1C712E79"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41.81</w:t>
            </w:r>
          </w:p>
        </w:tc>
        <w:tc>
          <w:tcPr>
            <w:tcW w:w="1216" w:type="dxa"/>
            <w:tcBorders>
              <w:top w:val="nil"/>
              <w:left w:val="nil"/>
              <w:bottom w:val="single" w:sz="4" w:space="0" w:color="auto"/>
              <w:right w:val="single" w:sz="4" w:space="0" w:color="auto"/>
            </w:tcBorders>
            <w:shd w:val="clear" w:color="auto" w:fill="auto"/>
            <w:noWrap/>
            <w:vAlign w:val="bottom"/>
            <w:hideMark/>
          </w:tcPr>
          <w:p w14:paraId="3D108C8F"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58.99</w:t>
            </w:r>
          </w:p>
        </w:tc>
      </w:tr>
      <w:tr w:rsidR="008B2B45" w:rsidRPr="008B2B45" w14:paraId="23209434" w14:textId="77777777" w:rsidTr="008B5F80">
        <w:trPr>
          <w:trHeight w:val="288"/>
        </w:trPr>
        <w:tc>
          <w:tcPr>
            <w:tcW w:w="3534" w:type="dxa"/>
            <w:tcBorders>
              <w:top w:val="nil"/>
              <w:left w:val="single" w:sz="4" w:space="0" w:color="auto"/>
              <w:bottom w:val="single" w:sz="4" w:space="0" w:color="auto"/>
              <w:right w:val="single" w:sz="4" w:space="0" w:color="auto"/>
            </w:tcBorders>
            <w:shd w:val="clear" w:color="auto" w:fill="auto"/>
            <w:noWrap/>
            <w:vAlign w:val="bottom"/>
            <w:hideMark/>
          </w:tcPr>
          <w:p w14:paraId="46645FCF"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Median £</w:t>
            </w:r>
          </w:p>
        </w:tc>
        <w:tc>
          <w:tcPr>
            <w:tcW w:w="1701" w:type="dxa"/>
            <w:tcBorders>
              <w:top w:val="nil"/>
              <w:left w:val="nil"/>
              <w:bottom w:val="single" w:sz="4" w:space="0" w:color="auto"/>
              <w:right w:val="single" w:sz="4" w:space="0" w:color="auto"/>
            </w:tcBorders>
            <w:shd w:val="clear" w:color="auto" w:fill="auto"/>
            <w:noWrap/>
            <w:vAlign w:val="bottom"/>
            <w:hideMark/>
          </w:tcPr>
          <w:p w14:paraId="13BC6BDB"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12.59</w:t>
            </w:r>
          </w:p>
        </w:tc>
        <w:tc>
          <w:tcPr>
            <w:tcW w:w="1216" w:type="dxa"/>
            <w:tcBorders>
              <w:top w:val="nil"/>
              <w:left w:val="nil"/>
              <w:bottom w:val="single" w:sz="4" w:space="0" w:color="auto"/>
              <w:right w:val="single" w:sz="4" w:space="0" w:color="auto"/>
            </w:tcBorders>
            <w:shd w:val="clear" w:color="auto" w:fill="auto"/>
            <w:noWrap/>
            <w:vAlign w:val="bottom"/>
            <w:hideMark/>
          </w:tcPr>
          <w:p w14:paraId="3E827A5D"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18.38</w:t>
            </w:r>
          </w:p>
        </w:tc>
        <w:tc>
          <w:tcPr>
            <w:tcW w:w="1276" w:type="dxa"/>
            <w:tcBorders>
              <w:top w:val="nil"/>
              <w:left w:val="nil"/>
              <w:bottom w:val="single" w:sz="4" w:space="0" w:color="auto"/>
              <w:right w:val="single" w:sz="4" w:space="0" w:color="auto"/>
            </w:tcBorders>
            <w:shd w:val="clear" w:color="auto" w:fill="auto"/>
            <w:noWrap/>
            <w:vAlign w:val="bottom"/>
            <w:hideMark/>
          </w:tcPr>
          <w:p w14:paraId="2E9D1867"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24.93</w:t>
            </w:r>
          </w:p>
        </w:tc>
        <w:tc>
          <w:tcPr>
            <w:tcW w:w="1216" w:type="dxa"/>
            <w:tcBorders>
              <w:top w:val="nil"/>
              <w:left w:val="nil"/>
              <w:bottom w:val="single" w:sz="4" w:space="0" w:color="auto"/>
              <w:right w:val="single" w:sz="4" w:space="0" w:color="auto"/>
            </w:tcBorders>
            <w:shd w:val="clear" w:color="auto" w:fill="auto"/>
            <w:noWrap/>
            <w:vAlign w:val="bottom"/>
            <w:hideMark/>
          </w:tcPr>
          <w:p w14:paraId="5BBE005B"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38.64</w:t>
            </w:r>
          </w:p>
        </w:tc>
      </w:tr>
      <w:tr w:rsidR="008B2B45" w:rsidRPr="008B2B45" w14:paraId="3B30795C" w14:textId="77777777" w:rsidTr="008B5F80">
        <w:trPr>
          <w:trHeight w:val="288"/>
        </w:trPr>
        <w:tc>
          <w:tcPr>
            <w:tcW w:w="3534" w:type="dxa"/>
            <w:tcBorders>
              <w:top w:val="nil"/>
              <w:left w:val="single" w:sz="4" w:space="0" w:color="auto"/>
              <w:bottom w:val="single" w:sz="4" w:space="0" w:color="auto"/>
              <w:right w:val="single" w:sz="4" w:space="0" w:color="auto"/>
            </w:tcBorders>
            <w:shd w:val="clear" w:color="000000" w:fill="D9D9D9"/>
            <w:noWrap/>
            <w:vAlign w:val="bottom"/>
            <w:hideMark/>
          </w:tcPr>
          <w:p w14:paraId="0BB10F76" w14:textId="42E6F593"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 xml:space="preserve">&gt; 30% net income </w:t>
            </w:r>
            <w:r w:rsidRPr="008B2B45">
              <w:rPr>
                <w:rFonts w:asciiTheme="majorHAnsi" w:eastAsia="Times New Roman" w:hAnsiTheme="majorHAnsi" w:cstheme="majorHAnsi"/>
                <w:lang w:eastAsia="en-GB"/>
              </w:rPr>
              <w:t>after housing costs</w:t>
            </w:r>
          </w:p>
        </w:tc>
        <w:tc>
          <w:tcPr>
            <w:tcW w:w="1701" w:type="dxa"/>
            <w:tcBorders>
              <w:top w:val="nil"/>
              <w:left w:val="nil"/>
              <w:bottom w:val="single" w:sz="4" w:space="0" w:color="auto"/>
              <w:right w:val="single" w:sz="4" w:space="0" w:color="auto"/>
            </w:tcBorders>
            <w:shd w:val="clear" w:color="000000" w:fill="D9D9D9"/>
            <w:noWrap/>
            <w:vAlign w:val="bottom"/>
            <w:hideMark/>
          </w:tcPr>
          <w:p w14:paraId="22AACB28" w14:textId="77777777" w:rsidR="008B5F80" w:rsidRPr="008B5F80" w:rsidRDefault="008B5F80" w:rsidP="008B5F80">
            <w:pPr>
              <w:spacing w:after="0" w:line="240" w:lineRule="auto"/>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 </w:t>
            </w:r>
          </w:p>
        </w:tc>
        <w:tc>
          <w:tcPr>
            <w:tcW w:w="1216" w:type="dxa"/>
            <w:tcBorders>
              <w:top w:val="nil"/>
              <w:left w:val="nil"/>
              <w:bottom w:val="single" w:sz="4" w:space="0" w:color="auto"/>
              <w:right w:val="single" w:sz="4" w:space="0" w:color="auto"/>
            </w:tcBorders>
            <w:shd w:val="clear" w:color="000000" w:fill="D9D9D9"/>
            <w:noWrap/>
            <w:vAlign w:val="bottom"/>
            <w:hideMark/>
          </w:tcPr>
          <w:p w14:paraId="0D40743B" w14:textId="77777777" w:rsidR="008B5F80" w:rsidRPr="008B5F80" w:rsidRDefault="008B5F80" w:rsidP="008B5F80">
            <w:pPr>
              <w:spacing w:after="0" w:line="240" w:lineRule="auto"/>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 </w:t>
            </w:r>
          </w:p>
        </w:tc>
        <w:tc>
          <w:tcPr>
            <w:tcW w:w="1276" w:type="dxa"/>
            <w:tcBorders>
              <w:top w:val="nil"/>
              <w:left w:val="nil"/>
              <w:bottom w:val="single" w:sz="4" w:space="0" w:color="auto"/>
              <w:right w:val="single" w:sz="4" w:space="0" w:color="auto"/>
            </w:tcBorders>
            <w:shd w:val="clear" w:color="000000" w:fill="D9D9D9"/>
            <w:noWrap/>
            <w:vAlign w:val="bottom"/>
            <w:hideMark/>
          </w:tcPr>
          <w:p w14:paraId="7CB7C5D6" w14:textId="77777777" w:rsidR="008B5F80" w:rsidRPr="008B5F80" w:rsidRDefault="008B5F80" w:rsidP="008B5F80">
            <w:pPr>
              <w:spacing w:after="0" w:line="240" w:lineRule="auto"/>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 </w:t>
            </w:r>
          </w:p>
        </w:tc>
        <w:tc>
          <w:tcPr>
            <w:tcW w:w="1216" w:type="dxa"/>
            <w:tcBorders>
              <w:top w:val="nil"/>
              <w:left w:val="nil"/>
              <w:bottom w:val="single" w:sz="4" w:space="0" w:color="auto"/>
              <w:right w:val="single" w:sz="4" w:space="0" w:color="auto"/>
            </w:tcBorders>
            <w:shd w:val="clear" w:color="000000" w:fill="D9D9D9"/>
            <w:noWrap/>
            <w:vAlign w:val="bottom"/>
            <w:hideMark/>
          </w:tcPr>
          <w:p w14:paraId="312D8ABE" w14:textId="77777777" w:rsidR="008B5F80" w:rsidRPr="008B5F80" w:rsidRDefault="008B5F80" w:rsidP="008B5F80">
            <w:pPr>
              <w:spacing w:after="0" w:line="240" w:lineRule="auto"/>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 </w:t>
            </w:r>
          </w:p>
        </w:tc>
      </w:tr>
      <w:tr w:rsidR="008B2B45" w:rsidRPr="008B2B45" w14:paraId="14267DED" w14:textId="77777777" w:rsidTr="008B5F80">
        <w:trPr>
          <w:trHeight w:val="288"/>
        </w:trPr>
        <w:tc>
          <w:tcPr>
            <w:tcW w:w="3534" w:type="dxa"/>
            <w:tcBorders>
              <w:top w:val="nil"/>
              <w:left w:val="single" w:sz="4" w:space="0" w:color="auto"/>
              <w:bottom w:val="single" w:sz="4" w:space="0" w:color="auto"/>
              <w:right w:val="single" w:sz="4" w:space="0" w:color="auto"/>
            </w:tcBorders>
            <w:shd w:val="clear" w:color="auto" w:fill="auto"/>
            <w:noWrap/>
            <w:vAlign w:val="bottom"/>
            <w:hideMark/>
          </w:tcPr>
          <w:p w14:paraId="6F8B48D5"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Mean £</w:t>
            </w:r>
          </w:p>
        </w:tc>
        <w:tc>
          <w:tcPr>
            <w:tcW w:w="1701" w:type="dxa"/>
            <w:tcBorders>
              <w:top w:val="nil"/>
              <w:left w:val="nil"/>
              <w:bottom w:val="single" w:sz="4" w:space="0" w:color="auto"/>
              <w:right w:val="single" w:sz="4" w:space="0" w:color="auto"/>
            </w:tcBorders>
            <w:shd w:val="clear" w:color="auto" w:fill="auto"/>
            <w:noWrap/>
            <w:vAlign w:val="bottom"/>
            <w:hideMark/>
          </w:tcPr>
          <w:p w14:paraId="4D75F815"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23.23</w:t>
            </w:r>
          </w:p>
        </w:tc>
        <w:tc>
          <w:tcPr>
            <w:tcW w:w="1216" w:type="dxa"/>
            <w:tcBorders>
              <w:top w:val="nil"/>
              <w:left w:val="nil"/>
              <w:bottom w:val="single" w:sz="4" w:space="0" w:color="auto"/>
              <w:right w:val="single" w:sz="4" w:space="0" w:color="auto"/>
            </w:tcBorders>
            <w:shd w:val="clear" w:color="auto" w:fill="auto"/>
            <w:noWrap/>
            <w:vAlign w:val="bottom"/>
            <w:hideMark/>
          </w:tcPr>
          <w:p w14:paraId="41BB1C43"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29.13</w:t>
            </w:r>
          </w:p>
        </w:tc>
        <w:tc>
          <w:tcPr>
            <w:tcW w:w="1276" w:type="dxa"/>
            <w:tcBorders>
              <w:top w:val="nil"/>
              <w:left w:val="nil"/>
              <w:bottom w:val="single" w:sz="4" w:space="0" w:color="auto"/>
              <w:right w:val="single" w:sz="4" w:space="0" w:color="auto"/>
            </w:tcBorders>
            <w:shd w:val="clear" w:color="auto" w:fill="auto"/>
            <w:noWrap/>
            <w:vAlign w:val="bottom"/>
            <w:hideMark/>
          </w:tcPr>
          <w:p w14:paraId="42381FFD"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44.13</w:t>
            </w:r>
          </w:p>
        </w:tc>
        <w:tc>
          <w:tcPr>
            <w:tcW w:w="1216" w:type="dxa"/>
            <w:tcBorders>
              <w:top w:val="nil"/>
              <w:left w:val="nil"/>
              <w:bottom w:val="single" w:sz="4" w:space="0" w:color="auto"/>
              <w:right w:val="single" w:sz="4" w:space="0" w:color="auto"/>
            </w:tcBorders>
            <w:shd w:val="clear" w:color="auto" w:fill="auto"/>
            <w:noWrap/>
            <w:vAlign w:val="bottom"/>
            <w:hideMark/>
          </w:tcPr>
          <w:p w14:paraId="7E300B17"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59.87</w:t>
            </w:r>
          </w:p>
        </w:tc>
      </w:tr>
      <w:tr w:rsidR="008B2B45" w:rsidRPr="008B2B45" w14:paraId="6DBD1372" w14:textId="77777777" w:rsidTr="008B5F80">
        <w:trPr>
          <w:trHeight w:val="288"/>
        </w:trPr>
        <w:tc>
          <w:tcPr>
            <w:tcW w:w="3534" w:type="dxa"/>
            <w:tcBorders>
              <w:top w:val="nil"/>
              <w:left w:val="single" w:sz="4" w:space="0" w:color="auto"/>
              <w:bottom w:val="single" w:sz="4" w:space="0" w:color="auto"/>
              <w:right w:val="single" w:sz="4" w:space="0" w:color="auto"/>
            </w:tcBorders>
            <w:shd w:val="clear" w:color="auto" w:fill="auto"/>
            <w:noWrap/>
            <w:vAlign w:val="bottom"/>
            <w:hideMark/>
          </w:tcPr>
          <w:p w14:paraId="21ED891D"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Median £</w:t>
            </w:r>
          </w:p>
        </w:tc>
        <w:tc>
          <w:tcPr>
            <w:tcW w:w="1701" w:type="dxa"/>
            <w:tcBorders>
              <w:top w:val="nil"/>
              <w:left w:val="nil"/>
              <w:bottom w:val="single" w:sz="4" w:space="0" w:color="auto"/>
              <w:right w:val="single" w:sz="4" w:space="0" w:color="auto"/>
            </w:tcBorders>
            <w:shd w:val="clear" w:color="auto" w:fill="auto"/>
            <w:noWrap/>
            <w:vAlign w:val="bottom"/>
            <w:hideMark/>
          </w:tcPr>
          <w:p w14:paraId="30B1DCDA"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14.34</w:t>
            </w:r>
          </w:p>
        </w:tc>
        <w:tc>
          <w:tcPr>
            <w:tcW w:w="1216" w:type="dxa"/>
            <w:tcBorders>
              <w:top w:val="nil"/>
              <w:left w:val="nil"/>
              <w:bottom w:val="single" w:sz="4" w:space="0" w:color="auto"/>
              <w:right w:val="single" w:sz="4" w:space="0" w:color="auto"/>
            </w:tcBorders>
            <w:shd w:val="clear" w:color="auto" w:fill="auto"/>
            <w:noWrap/>
            <w:vAlign w:val="bottom"/>
            <w:hideMark/>
          </w:tcPr>
          <w:p w14:paraId="32725D54"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18.46</w:t>
            </w:r>
          </w:p>
        </w:tc>
        <w:tc>
          <w:tcPr>
            <w:tcW w:w="1276" w:type="dxa"/>
            <w:tcBorders>
              <w:top w:val="nil"/>
              <w:left w:val="nil"/>
              <w:bottom w:val="single" w:sz="4" w:space="0" w:color="auto"/>
              <w:right w:val="single" w:sz="4" w:space="0" w:color="auto"/>
            </w:tcBorders>
            <w:shd w:val="clear" w:color="auto" w:fill="auto"/>
            <w:noWrap/>
            <w:vAlign w:val="bottom"/>
            <w:hideMark/>
          </w:tcPr>
          <w:p w14:paraId="687339F4"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27.51</w:t>
            </w:r>
          </w:p>
        </w:tc>
        <w:tc>
          <w:tcPr>
            <w:tcW w:w="1216" w:type="dxa"/>
            <w:tcBorders>
              <w:top w:val="nil"/>
              <w:left w:val="nil"/>
              <w:bottom w:val="single" w:sz="4" w:space="0" w:color="auto"/>
              <w:right w:val="single" w:sz="4" w:space="0" w:color="auto"/>
            </w:tcBorders>
            <w:shd w:val="clear" w:color="auto" w:fill="auto"/>
            <w:noWrap/>
            <w:vAlign w:val="bottom"/>
            <w:hideMark/>
          </w:tcPr>
          <w:p w14:paraId="278328B3"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37.45</w:t>
            </w:r>
          </w:p>
        </w:tc>
      </w:tr>
      <w:tr w:rsidR="008B2B45" w:rsidRPr="008B2B45" w14:paraId="7576C1E9" w14:textId="77777777" w:rsidTr="008B5F80">
        <w:trPr>
          <w:trHeight w:val="288"/>
        </w:trPr>
        <w:tc>
          <w:tcPr>
            <w:tcW w:w="8943" w:type="dxa"/>
            <w:gridSpan w:val="5"/>
            <w:tcBorders>
              <w:top w:val="nil"/>
              <w:left w:val="single" w:sz="4" w:space="0" w:color="auto"/>
              <w:bottom w:val="single" w:sz="4" w:space="0" w:color="auto"/>
              <w:right w:val="single" w:sz="4" w:space="0" w:color="auto"/>
            </w:tcBorders>
            <w:shd w:val="clear" w:color="auto" w:fill="auto"/>
            <w:noWrap/>
            <w:vAlign w:val="bottom"/>
            <w:hideMark/>
          </w:tcPr>
          <w:p w14:paraId="0F70CD0A" w14:textId="1B344A3D" w:rsidR="008B5F80" w:rsidRPr="008B5F80" w:rsidRDefault="008B5F80" w:rsidP="008B5F80">
            <w:pPr>
              <w:spacing w:after="0" w:line="240" w:lineRule="auto"/>
              <w:rPr>
                <w:rFonts w:asciiTheme="majorHAnsi" w:eastAsia="Times New Roman" w:hAnsiTheme="majorHAnsi" w:cstheme="majorHAnsi"/>
                <w:b/>
                <w:bCs/>
                <w:lang w:eastAsia="en-GB"/>
              </w:rPr>
            </w:pPr>
            <w:r w:rsidRPr="008B5F80">
              <w:rPr>
                <w:rFonts w:asciiTheme="majorHAnsi" w:eastAsia="Times New Roman" w:hAnsiTheme="majorHAnsi" w:cstheme="majorHAnsi"/>
                <w:b/>
                <w:bCs/>
                <w:lang w:eastAsia="en-GB"/>
              </w:rPr>
              <w:t>Number of households living in fuel poverty on different measures </w:t>
            </w:r>
          </w:p>
        </w:tc>
      </w:tr>
      <w:tr w:rsidR="008B2B45" w:rsidRPr="008B2B45" w14:paraId="410682F9" w14:textId="77777777" w:rsidTr="008B5F80">
        <w:trPr>
          <w:trHeight w:val="288"/>
        </w:trPr>
        <w:tc>
          <w:tcPr>
            <w:tcW w:w="3534" w:type="dxa"/>
            <w:tcBorders>
              <w:top w:val="nil"/>
              <w:left w:val="single" w:sz="4" w:space="0" w:color="auto"/>
              <w:bottom w:val="single" w:sz="4" w:space="0" w:color="auto"/>
              <w:right w:val="single" w:sz="4" w:space="0" w:color="auto"/>
            </w:tcBorders>
            <w:shd w:val="clear" w:color="auto" w:fill="auto"/>
            <w:noWrap/>
            <w:vAlign w:val="bottom"/>
            <w:hideMark/>
          </w:tcPr>
          <w:p w14:paraId="7C00B91D" w14:textId="7B33C11D"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 xml:space="preserve">&gt; 10% net income </w:t>
            </w:r>
            <w:r w:rsidRPr="008B2B45">
              <w:rPr>
                <w:rFonts w:asciiTheme="majorHAnsi" w:eastAsia="Times New Roman" w:hAnsiTheme="majorHAnsi" w:cstheme="majorHAnsi"/>
                <w:lang w:eastAsia="en-GB"/>
              </w:rPr>
              <w:t>after housing costs</w:t>
            </w:r>
          </w:p>
        </w:tc>
        <w:tc>
          <w:tcPr>
            <w:tcW w:w="1701" w:type="dxa"/>
            <w:tcBorders>
              <w:top w:val="nil"/>
              <w:left w:val="nil"/>
              <w:bottom w:val="single" w:sz="4" w:space="0" w:color="auto"/>
              <w:right w:val="single" w:sz="4" w:space="0" w:color="auto"/>
            </w:tcBorders>
            <w:shd w:val="clear" w:color="auto" w:fill="auto"/>
            <w:noWrap/>
            <w:vAlign w:val="bottom"/>
            <w:hideMark/>
          </w:tcPr>
          <w:p w14:paraId="42CA8306"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7,595,000</w:t>
            </w:r>
          </w:p>
        </w:tc>
        <w:tc>
          <w:tcPr>
            <w:tcW w:w="1216" w:type="dxa"/>
            <w:tcBorders>
              <w:top w:val="nil"/>
              <w:left w:val="nil"/>
              <w:bottom w:val="single" w:sz="4" w:space="0" w:color="auto"/>
              <w:right w:val="single" w:sz="4" w:space="0" w:color="auto"/>
            </w:tcBorders>
            <w:shd w:val="clear" w:color="auto" w:fill="auto"/>
            <w:noWrap/>
            <w:vAlign w:val="bottom"/>
            <w:hideMark/>
          </w:tcPr>
          <w:p w14:paraId="6E114FD3"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13,310,000</w:t>
            </w:r>
          </w:p>
        </w:tc>
        <w:tc>
          <w:tcPr>
            <w:tcW w:w="1276" w:type="dxa"/>
            <w:tcBorders>
              <w:top w:val="nil"/>
              <w:left w:val="nil"/>
              <w:bottom w:val="single" w:sz="4" w:space="0" w:color="auto"/>
              <w:right w:val="single" w:sz="4" w:space="0" w:color="auto"/>
            </w:tcBorders>
            <w:shd w:val="clear" w:color="auto" w:fill="auto"/>
            <w:noWrap/>
            <w:vAlign w:val="bottom"/>
            <w:hideMark/>
          </w:tcPr>
          <w:p w14:paraId="293038E8"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16,816,000</w:t>
            </w:r>
          </w:p>
        </w:tc>
        <w:tc>
          <w:tcPr>
            <w:tcW w:w="1216" w:type="dxa"/>
            <w:tcBorders>
              <w:top w:val="nil"/>
              <w:left w:val="nil"/>
              <w:bottom w:val="single" w:sz="4" w:space="0" w:color="auto"/>
              <w:right w:val="single" w:sz="4" w:space="0" w:color="auto"/>
            </w:tcBorders>
            <w:shd w:val="clear" w:color="auto" w:fill="auto"/>
            <w:noWrap/>
            <w:vAlign w:val="bottom"/>
            <w:hideMark/>
          </w:tcPr>
          <w:p w14:paraId="3A03DB72"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22,805,000</w:t>
            </w:r>
          </w:p>
        </w:tc>
      </w:tr>
      <w:tr w:rsidR="008B2B45" w:rsidRPr="008B2B45" w14:paraId="32CD05D7" w14:textId="77777777" w:rsidTr="008B5F80">
        <w:trPr>
          <w:trHeight w:val="288"/>
        </w:trPr>
        <w:tc>
          <w:tcPr>
            <w:tcW w:w="3534" w:type="dxa"/>
            <w:tcBorders>
              <w:top w:val="nil"/>
              <w:left w:val="single" w:sz="4" w:space="0" w:color="auto"/>
              <w:bottom w:val="single" w:sz="4" w:space="0" w:color="auto"/>
              <w:right w:val="single" w:sz="4" w:space="0" w:color="auto"/>
            </w:tcBorders>
            <w:shd w:val="clear" w:color="auto" w:fill="auto"/>
            <w:noWrap/>
            <w:vAlign w:val="bottom"/>
            <w:hideMark/>
          </w:tcPr>
          <w:p w14:paraId="49F6BA05" w14:textId="70A627DC"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 xml:space="preserve">&gt; 20% net income </w:t>
            </w:r>
            <w:r w:rsidRPr="008B2B45">
              <w:rPr>
                <w:rFonts w:asciiTheme="majorHAnsi" w:eastAsia="Times New Roman" w:hAnsiTheme="majorHAnsi" w:cstheme="majorHAnsi"/>
                <w:lang w:eastAsia="en-GB"/>
              </w:rPr>
              <w:t>after housing costs</w:t>
            </w:r>
          </w:p>
        </w:tc>
        <w:tc>
          <w:tcPr>
            <w:tcW w:w="1701" w:type="dxa"/>
            <w:tcBorders>
              <w:top w:val="nil"/>
              <w:left w:val="nil"/>
              <w:bottom w:val="single" w:sz="4" w:space="0" w:color="auto"/>
              <w:right w:val="single" w:sz="4" w:space="0" w:color="auto"/>
            </w:tcBorders>
            <w:shd w:val="clear" w:color="auto" w:fill="auto"/>
            <w:noWrap/>
            <w:vAlign w:val="bottom"/>
            <w:hideMark/>
          </w:tcPr>
          <w:p w14:paraId="194B37A6"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2,492,000</w:t>
            </w:r>
          </w:p>
        </w:tc>
        <w:tc>
          <w:tcPr>
            <w:tcW w:w="1216" w:type="dxa"/>
            <w:tcBorders>
              <w:top w:val="nil"/>
              <w:left w:val="nil"/>
              <w:bottom w:val="single" w:sz="4" w:space="0" w:color="auto"/>
              <w:right w:val="single" w:sz="4" w:space="0" w:color="auto"/>
            </w:tcBorders>
            <w:shd w:val="clear" w:color="auto" w:fill="auto"/>
            <w:noWrap/>
            <w:vAlign w:val="bottom"/>
            <w:hideMark/>
          </w:tcPr>
          <w:p w14:paraId="75A28902"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4,900,000</w:t>
            </w:r>
          </w:p>
        </w:tc>
        <w:tc>
          <w:tcPr>
            <w:tcW w:w="1276" w:type="dxa"/>
            <w:tcBorders>
              <w:top w:val="nil"/>
              <w:left w:val="nil"/>
              <w:bottom w:val="single" w:sz="4" w:space="0" w:color="auto"/>
              <w:right w:val="single" w:sz="4" w:space="0" w:color="auto"/>
            </w:tcBorders>
            <w:shd w:val="clear" w:color="auto" w:fill="auto"/>
            <w:noWrap/>
            <w:vAlign w:val="bottom"/>
            <w:hideMark/>
          </w:tcPr>
          <w:p w14:paraId="776F0A48"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8,149,000</w:t>
            </w:r>
          </w:p>
        </w:tc>
        <w:tc>
          <w:tcPr>
            <w:tcW w:w="1216" w:type="dxa"/>
            <w:tcBorders>
              <w:top w:val="nil"/>
              <w:left w:val="nil"/>
              <w:bottom w:val="single" w:sz="4" w:space="0" w:color="auto"/>
              <w:right w:val="single" w:sz="4" w:space="0" w:color="auto"/>
            </w:tcBorders>
            <w:shd w:val="clear" w:color="auto" w:fill="auto"/>
            <w:noWrap/>
            <w:vAlign w:val="bottom"/>
            <w:hideMark/>
          </w:tcPr>
          <w:p w14:paraId="79EA7665"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14,918,000</w:t>
            </w:r>
          </w:p>
        </w:tc>
      </w:tr>
      <w:tr w:rsidR="008B2B45" w:rsidRPr="008B2B45" w14:paraId="3CA74045" w14:textId="77777777" w:rsidTr="008B5F80">
        <w:trPr>
          <w:trHeight w:val="288"/>
        </w:trPr>
        <w:tc>
          <w:tcPr>
            <w:tcW w:w="3534" w:type="dxa"/>
            <w:tcBorders>
              <w:top w:val="nil"/>
              <w:left w:val="single" w:sz="4" w:space="0" w:color="auto"/>
              <w:bottom w:val="single" w:sz="4" w:space="0" w:color="auto"/>
              <w:right w:val="single" w:sz="4" w:space="0" w:color="auto"/>
            </w:tcBorders>
            <w:shd w:val="clear" w:color="auto" w:fill="auto"/>
            <w:noWrap/>
            <w:vAlign w:val="bottom"/>
            <w:hideMark/>
          </w:tcPr>
          <w:p w14:paraId="24787E55" w14:textId="01EE8A4F"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 xml:space="preserve">&gt; 25% net income </w:t>
            </w:r>
            <w:r w:rsidRPr="008B2B45">
              <w:rPr>
                <w:rFonts w:asciiTheme="majorHAnsi" w:eastAsia="Times New Roman" w:hAnsiTheme="majorHAnsi" w:cstheme="majorHAnsi"/>
                <w:lang w:eastAsia="en-GB"/>
              </w:rPr>
              <w:t>after housing costs</w:t>
            </w:r>
          </w:p>
        </w:tc>
        <w:tc>
          <w:tcPr>
            <w:tcW w:w="1701" w:type="dxa"/>
            <w:tcBorders>
              <w:top w:val="nil"/>
              <w:left w:val="nil"/>
              <w:bottom w:val="single" w:sz="4" w:space="0" w:color="auto"/>
              <w:right w:val="single" w:sz="4" w:space="0" w:color="auto"/>
            </w:tcBorders>
            <w:shd w:val="clear" w:color="auto" w:fill="auto"/>
            <w:noWrap/>
            <w:vAlign w:val="bottom"/>
            <w:hideMark/>
          </w:tcPr>
          <w:p w14:paraId="3D933F59"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1,782,000</w:t>
            </w:r>
          </w:p>
        </w:tc>
        <w:tc>
          <w:tcPr>
            <w:tcW w:w="1216" w:type="dxa"/>
            <w:tcBorders>
              <w:top w:val="nil"/>
              <w:left w:val="nil"/>
              <w:bottom w:val="single" w:sz="4" w:space="0" w:color="auto"/>
              <w:right w:val="single" w:sz="4" w:space="0" w:color="auto"/>
            </w:tcBorders>
            <w:shd w:val="clear" w:color="auto" w:fill="auto"/>
            <w:noWrap/>
            <w:vAlign w:val="bottom"/>
            <w:hideMark/>
          </w:tcPr>
          <w:p w14:paraId="54F20336"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3,427,000</w:t>
            </w:r>
          </w:p>
        </w:tc>
        <w:tc>
          <w:tcPr>
            <w:tcW w:w="1276" w:type="dxa"/>
            <w:tcBorders>
              <w:top w:val="nil"/>
              <w:left w:val="nil"/>
              <w:bottom w:val="single" w:sz="4" w:space="0" w:color="auto"/>
              <w:right w:val="single" w:sz="4" w:space="0" w:color="auto"/>
            </w:tcBorders>
            <w:shd w:val="clear" w:color="auto" w:fill="auto"/>
            <w:noWrap/>
            <w:vAlign w:val="bottom"/>
            <w:hideMark/>
          </w:tcPr>
          <w:p w14:paraId="63720C33"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5,885,000</w:t>
            </w:r>
          </w:p>
        </w:tc>
        <w:tc>
          <w:tcPr>
            <w:tcW w:w="1216" w:type="dxa"/>
            <w:tcBorders>
              <w:top w:val="nil"/>
              <w:left w:val="nil"/>
              <w:bottom w:val="single" w:sz="4" w:space="0" w:color="auto"/>
              <w:right w:val="single" w:sz="4" w:space="0" w:color="auto"/>
            </w:tcBorders>
            <w:shd w:val="clear" w:color="auto" w:fill="auto"/>
            <w:noWrap/>
            <w:vAlign w:val="bottom"/>
            <w:hideMark/>
          </w:tcPr>
          <w:p w14:paraId="294AFBB6"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11,746,000</w:t>
            </w:r>
          </w:p>
        </w:tc>
      </w:tr>
      <w:tr w:rsidR="008B2B45" w:rsidRPr="008B2B45" w14:paraId="3B27B4F2" w14:textId="77777777" w:rsidTr="008B5F80">
        <w:trPr>
          <w:trHeight w:val="288"/>
        </w:trPr>
        <w:tc>
          <w:tcPr>
            <w:tcW w:w="3534" w:type="dxa"/>
            <w:tcBorders>
              <w:top w:val="nil"/>
              <w:left w:val="single" w:sz="4" w:space="0" w:color="auto"/>
              <w:bottom w:val="single" w:sz="4" w:space="0" w:color="auto"/>
              <w:right w:val="single" w:sz="4" w:space="0" w:color="auto"/>
            </w:tcBorders>
            <w:shd w:val="clear" w:color="auto" w:fill="auto"/>
            <w:noWrap/>
            <w:vAlign w:val="bottom"/>
            <w:hideMark/>
          </w:tcPr>
          <w:p w14:paraId="3E5E59AB" w14:textId="2ACECCBE"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 xml:space="preserve">&gt; 30% net income </w:t>
            </w:r>
            <w:r w:rsidRPr="008B2B45">
              <w:rPr>
                <w:rFonts w:asciiTheme="majorHAnsi" w:eastAsia="Times New Roman" w:hAnsiTheme="majorHAnsi" w:cstheme="majorHAnsi"/>
                <w:lang w:eastAsia="en-GB"/>
              </w:rPr>
              <w:t>after housing costs</w:t>
            </w:r>
          </w:p>
        </w:tc>
        <w:tc>
          <w:tcPr>
            <w:tcW w:w="1701" w:type="dxa"/>
            <w:tcBorders>
              <w:top w:val="nil"/>
              <w:left w:val="nil"/>
              <w:bottom w:val="single" w:sz="4" w:space="0" w:color="auto"/>
              <w:right w:val="single" w:sz="4" w:space="0" w:color="auto"/>
            </w:tcBorders>
            <w:shd w:val="clear" w:color="auto" w:fill="auto"/>
            <w:noWrap/>
            <w:vAlign w:val="bottom"/>
            <w:hideMark/>
          </w:tcPr>
          <w:p w14:paraId="44A2C6B8"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1,374,000</w:t>
            </w:r>
          </w:p>
        </w:tc>
        <w:tc>
          <w:tcPr>
            <w:tcW w:w="1216" w:type="dxa"/>
            <w:tcBorders>
              <w:top w:val="nil"/>
              <w:left w:val="nil"/>
              <w:bottom w:val="single" w:sz="4" w:space="0" w:color="auto"/>
              <w:right w:val="single" w:sz="4" w:space="0" w:color="auto"/>
            </w:tcBorders>
            <w:shd w:val="clear" w:color="auto" w:fill="auto"/>
            <w:noWrap/>
            <w:vAlign w:val="bottom"/>
            <w:hideMark/>
          </w:tcPr>
          <w:p w14:paraId="33AE5344"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2,572,000</w:t>
            </w:r>
          </w:p>
        </w:tc>
        <w:tc>
          <w:tcPr>
            <w:tcW w:w="1276" w:type="dxa"/>
            <w:tcBorders>
              <w:top w:val="nil"/>
              <w:left w:val="nil"/>
              <w:bottom w:val="single" w:sz="4" w:space="0" w:color="auto"/>
              <w:right w:val="single" w:sz="4" w:space="0" w:color="auto"/>
            </w:tcBorders>
            <w:shd w:val="clear" w:color="auto" w:fill="auto"/>
            <w:noWrap/>
            <w:vAlign w:val="bottom"/>
            <w:hideMark/>
          </w:tcPr>
          <w:p w14:paraId="41BD2A0D"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4,482,000</w:t>
            </w:r>
          </w:p>
        </w:tc>
        <w:tc>
          <w:tcPr>
            <w:tcW w:w="1216" w:type="dxa"/>
            <w:tcBorders>
              <w:top w:val="nil"/>
              <w:left w:val="nil"/>
              <w:bottom w:val="single" w:sz="4" w:space="0" w:color="auto"/>
              <w:right w:val="single" w:sz="4" w:space="0" w:color="auto"/>
            </w:tcBorders>
            <w:shd w:val="clear" w:color="auto" w:fill="auto"/>
            <w:noWrap/>
            <w:vAlign w:val="bottom"/>
            <w:hideMark/>
          </w:tcPr>
          <w:p w14:paraId="1103001B"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9,443,000</w:t>
            </w:r>
          </w:p>
        </w:tc>
      </w:tr>
      <w:tr w:rsidR="008B2B45" w:rsidRPr="008B2B45" w14:paraId="5DE80560" w14:textId="77777777" w:rsidTr="008B5F80">
        <w:trPr>
          <w:trHeight w:val="288"/>
        </w:trPr>
        <w:tc>
          <w:tcPr>
            <w:tcW w:w="8943" w:type="dxa"/>
            <w:gridSpan w:val="5"/>
            <w:tcBorders>
              <w:top w:val="nil"/>
              <w:left w:val="single" w:sz="4" w:space="0" w:color="auto"/>
              <w:bottom w:val="single" w:sz="4" w:space="0" w:color="auto"/>
              <w:right w:val="single" w:sz="4" w:space="0" w:color="auto"/>
            </w:tcBorders>
            <w:shd w:val="clear" w:color="auto" w:fill="auto"/>
            <w:noWrap/>
            <w:vAlign w:val="bottom"/>
            <w:hideMark/>
          </w:tcPr>
          <w:p w14:paraId="7529C142" w14:textId="62A1A62D" w:rsidR="008B5F80" w:rsidRPr="008B5F80" w:rsidRDefault="008B5F80" w:rsidP="008B5F80">
            <w:pPr>
              <w:spacing w:after="0" w:line="240" w:lineRule="auto"/>
              <w:rPr>
                <w:rFonts w:asciiTheme="majorHAnsi" w:eastAsia="Times New Roman" w:hAnsiTheme="majorHAnsi" w:cstheme="majorHAnsi"/>
                <w:b/>
                <w:bCs/>
                <w:lang w:eastAsia="en-GB"/>
              </w:rPr>
            </w:pPr>
            <w:r w:rsidRPr="008B5F80">
              <w:rPr>
                <w:rFonts w:asciiTheme="majorHAnsi" w:eastAsia="Times New Roman" w:hAnsiTheme="majorHAnsi" w:cstheme="majorHAnsi"/>
                <w:b/>
                <w:bCs/>
                <w:lang w:eastAsia="en-GB"/>
              </w:rPr>
              <w:t xml:space="preserve">Number of people in fuel poverty on different measures </w:t>
            </w:r>
          </w:p>
        </w:tc>
      </w:tr>
      <w:tr w:rsidR="008B2B45" w:rsidRPr="008B2B45" w14:paraId="01D80C08" w14:textId="77777777" w:rsidTr="008B5F80">
        <w:trPr>
          <w:trHeight w:val="288"/>
        </w:trPr>
        <w:tc>
          <w:tcPr>
            <w:tcW w:w="3534" w:type="dxa"/>
            <w:tcBorders>
              <w:top w:val="nil"/>
              <w:left w:val="single" w:sz="4" w:space="0" w:color="auto"/>
              <w:bottom w:val="single" w:sz="4" w:space="0" w:color="auto"/>
              <w:right w:val="single" w:sz="4" w:space="0" w:color="auto"/>
            </w:tcBorders>
            <w:shd w:val="clear" w:color="auto" w:fill="auto"/>
            <w:noWrap/>
            <w:vAlign w:val="bottom"/>
            <w:hideMark/>
          </w:tcPr>
          <w:p w14:paraId="409879BD" w14:textId="16FDF57B"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 xml:space="preserve">&gt; 10% net income </w:t>
            </w:r>
            <w:r w:rsidRPr="008B2B45">
              <w:rPr>
                <w:rFonts w:asciiTheme="majorHAnsi" w:eastAsia="Times New Roman" w:hAnsiTheme="majorHAnsi" w:cstheme="majorHAnsi"/>
                <w:lang w:eastAsia="en-GB"/>
              </w:rPr>
              <w:t>after housing costs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48326BF"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19,626,000</w:t>
            </w:r>
          </w:p>
        </w:tc>
        <w:tc>
          <w:tcPr>
            <w:tcW w:w="1216" w:type="dxa"/>
            <w:tcBorders>
              <w:top w:val="nil"/>
              <w:left w:val="nil"/>
              <w:bottom w:val="nil"/>
              <w:right w:val="nil"/>
            </w:tcBorders>
            <w:shd w:val="clear" w:color="auto" w:fill="auto"/>
            <w:noWrap/>
            <w:vAlign w:val="bottom"/>
            <w:hideMark/>
          </w:tcPr>
          <w:p w14:paraId="2672341F"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33,797,000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6464EB9"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43,181,000</w:t>
            </w:r>
          </w:p>
        </w:tc>
        <w:tc>
          <w:tcPr>
            <w:tcW w:w="1216" w:type="dxa"/>
            <w:tcBorders>
              <w:top w:val="nil"/>
              <w:left w:val="nil"/>
              <w:bottom w:val="single" w:sz="4" w:space="0" w:color="auto"/>
              <w:right w:val="single" w:sz="4" w:space="0" w:color="auto"/>
            </w:tcBorders>
            <w:shd w:val="clear" w:color="auto" w:fill="auto"/>
            <w:noWrap/>
            <w:vAlign w:val="bottom"/>
            <w:hideMark/>
          </w:tcPr>
          <w:p w14:paraId="5246D14B"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56,436,000</w:t>
            </w:r>
          </w:p>
        </w:tc>
      </w:tr>
      <w:tr w:rsidR="008B2B45" w:rsidRPr="008B2B45" w14:paraId="424E0D36" w14:textId="77777777" w:rsidTr="008B5F80">
        <w:trPr>
          <w:trHeight w:val="288"/>
        </w:trPr>
        <w:tc>
          <w:tcPr>
            <w:tcW w:w="3534" w:type="dxa"/>
            <w:tcBorders>
              <w:top w:val="nil"/>
              <w:left w:val="single" w:sz="4" w:space="0" w:color="auto"/>
              <w:bottom w:val="single" w:sz="4" w:space="0" w:color="auto"/>
              <w:right w:val="single" w:sz="4" w:space="0" w:color="auto"/>
            </w:tcBorders>
            <w:shd w:val="clear" w:color="auto" w:fill="auto"/>
            <w:noWrap/>
            <w:vAlign w:val="bottom"/>
            <w:hideMark/>
          </w:tcPr>
          <w:p w14:paraId="6705D88F" w14:textId="6A027595"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 xml:space="preserve">&gt; 20% net income </w:t>
            </w:r>
            <w:r w:rsidRPr="008B2B45">
              <w:rPr>
                <w:rFonts w:asciiTheme="majorHAnsi" w:eastAsia="Times New Roman" w:hAnsiTheme="majorHAnsi" w:cstheme="majorHAnsi"/>
                <w:lang w:eastAsia="en-GB"/>
              </w:rPr>
              <w:t>after housing costs</w:t>
            </w:r>
          </w:p>
        </w:tc>
        <w:tc>
          <w:tcPr>
            <w:tcW w:w="1701" w:type="dxa"/>
            <w:tcBorders>
              <w:top w:val="nil"/>
              <w:left w:val="nil"/>
              <w:bottom w:val="single" w:sz="4" w:space="0" w:color="auto"/>
              <w:right w:val="single" w:sz="4" w:space="0" w:color="auto"/>
            </w:tcBorders>
            <w:shd w:val="clear" w:color="auto" w:fill="auto"/>
            <w:vAlign w:val="center"/>
            <w:hideMark/>
          </w:tcPr>
          <w:p w14:paraId="6651CC86"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6,181,000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14:paraId="6B202411"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12,581,000</w:t>
            </w:r>
          </w:p>
        </w:tc>
        <w:tc>
          <w:tcPr>
            <w:tcW w:w="1276" w:type="dxa"/>
            <w:tcBorders>
              <w:top w:val="nil"/>
              <w:left w:val="nil"/>
              <w:bottom w:val="single" w:sz="4" w:space="0" w:color="auto"/>
              <w:right w:val="single" w:sz="4" w:space="0" w:color="auto"/>
            </w:tcBorders>
            <w:shd w:val="clear" w:color="auto" w:fill="auto"/>
            <w:noWrap/>
            <w:vAlign w:val="bottom"/>
            <w:hideMark/>
          </w:tcPr>
          <w:p w14:paraId="4B1495E3"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21,572,000</w:t>
            </w:r>
          </w:p>
        </w:tc>
        <w:tc>
          <w:tcPr>
            <w:tcW w:w="1216" w:type="dxa"/>
            <w:tcBorders>
              <w:top w:val="nil"/>
              <w:left w:val="nil"/>
              <w:bottom w:val="single" w:sz="4" w:space="0" w:color="auto"/>
              <w:right w:val="single" w:sz="4" w:space="0" w:color="auto"/>
            </w:tcBorders>
            <w:shd w:val="clear" w:color="auto" w:fill="auto"/>
            <w:noWrap/>
            <w:vAlign w:val="bottom"/>
            <w:hideMark/>
          </w:tcPr>
          <w:p w14:paraId="6FC70D17"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38,290,000</w:t>
            </w:r>
          </w:p>
        </w:tc>
      </w:tr>
      <w:tr w:rsidR="008B2B45" w:rsidRPr="008B2B45" w14:paraId="403A89AF" w14:textId="77777777" w:rsidTr="008B5F80">
        <w:trPr>
          <w:trHeight w:val="288"/>
        </w:trPr>
        <w:tc>
          <w:tcPr>
            <w:tcW w:w="3534" w:type="dxa"/>
            <w:tcBorders>
              <w:top w:val="nil"/>
              <w:left w:val="single" w:sz="4" w:space="0" w:color="auto"/>
              <w:bottom w:val="single" w:sz="4" w:space="0" w:color="auto"/>
              <w:right w:val="single" w:sz="4" w:space="0" w:color="auto"/>
            </w:tcBorders>
            <w:shd w:val="clear" w:color="auto" w:fill="auto"/>
            <w:noWrap/>
            <w:vAlign w:val="bottom"/>
            <w:hideMark/>
          </w:tcPr>
          <w:p w14:paraId="70AE8D2C" w14:textId="0AB086D5"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 xml:space="preserve">&gt; 25% net income </w:t>
            </w:r>
            <w:r w:rsidRPr="008B2B45">
              <w:rPr>
                <w:rFonts w:asciiTheme="majorHAnsi" w:eastAsia="Times New Roman" w:hAnsiTheme="majorHAnsi" w:cstheme="majorHAnsi"/>
                <w:lang w:eastAsia="en-GB"/>
              </w:rPr>
              <w:t>after housing costs</w:t>
            </w:r>
          </w:p>
        </w:tc>
        <w:tc>
          <w:tcPr>
            <w:tcW w:w="1701" w:type="dxa"/>
            <w:tcBorders>
              <w:top w:val="nil"/>
              <w:left w:val="nil"/>
              <w:bottom w:val="single" w:sz="4" w:space="0" w:color="auto"/>
              <w:right w:val="single" w:sz="4" w:space="0" w:color="auto"/>
            </w:tcBorders>
            <w:shd w:val="clear" w:color="auto" w:fill="auto"/>
            <w:noWrap/>
            <w:vAlign w:val="bottom"/>
            <w:hideMark/>
          </w:tcPr>
          <w:p w14:paraId="736ABF0D"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4,100,000</w:t>
            </w:r>
          </w:p>
        </w:tc>
        <w:tc>
          <w:tcPr>
            <w:tcW w:w="1216" w:type="dxa"/>
            <w:tcBorders>
              <w:top w:val="nil"/>
              <w:left w:val="nil"/>
              <w:bottom w:val="single" w:sz="4" w:space="0" w:color="auto"/>
              <w:right w:val="single" w:sz="4" w:space="0" w:color="auto"/>
            </w:tcBorders>
            <w:shd w:val="clear" w:color="auto" w:fill="auto"/>
            <w:noWrap/>
            <w:vAlign w:val="bottom"/>
            <w:hideMark/>
          </w:tcPr>
          <w:p w14:paraId="61304F7B"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8,657,000</w:t>
            </w:r>
          </w:p>
        </w:tc>
        <w:tc>
          <w:tcPr>
            <w:tcW w:w="1276" w:type="dxa"/>
            <w:tcBorders>
              <w:top w:val="nil"/>
              <w:left w:val="nil"/>
              <w:bottom w:val="single" w:sz="4" w:space="0" w:color="auto"/>
              <w:right w:val="single" w:sz="4" w:space="0" w:color="auto"/>
            </w:tcBorders>
            <w:shd w:val="clear" w:color="auto" w:fill="auto"/>
            <w:noWrap/>
            <w:vAlign w:val="bottom"/>
            <w:hideMark/>
          </w:tcPr>
          <w:p w14:paraId="156601F8"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15,473,000</w:t>
            </w:r>
          </w:p>
        </w:tc>
        <w:tc>
          <w:tcPr>
            <w:tcW w:w="1216" w:type="dxa"/>
            <w:tcBorders>
              <w:top w:val="nil"/>
              <w:left w:val="nil"/>
              <w:bottom w:val="single" w:sz="4" w:space="0" w:color="auto"/>
              <w:right w:val="single" w:sz="4" w:space="0" w:color="auto"/>
            </w:tcBorders>
            <w:shd w:val="clear" w:color="auto" w:fill="auto"/>
            <w:noWrap/>
            <w:vAlign w:val="bottom"/>
            <w:hideMark/>
          </w:tcPr>
          <w:p w14:paraId="05664A3C"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30,579,000</w:t>
            </w:r>
          </w:p>
        </w:tc>
      </w:tr>
      <w:tr w:rsidR="008B2B45" w:rsidRPr="008B2B45" w14:paraId="036025BC" w14:textId="77777777" w:rsidTr="008B5F80">
        <w:trPr>
          <w:trHeight w:val="288"/>
        </w:trPr>
        <w:tc>
          <w:tcPr>
            <w:tcW w:w="3534" w:type="dxa"/>
            <w:tcBorders>
              <w:top w:val="nil"/>
              <w:left w:val="single" w:sz="4" w:space="0" w:color="auto"/>
              <w:bottom w:val="single" w:sz="4" w:space="0" w:color="auto"/>
              <w:right w:val="single" w:sz="4" w:space="0" w:color="auto"/>
            </w:tcBorders>
            <w:shd w:val="clear" w:color="auto" w:fill="auto"/>
            <w:noWrap/>
            <w:vAlign w:val="bottom"/>
            <w:hideMark/>
          </w:tcPr>
          <w:p w14:paraId="1E91EAD5" w14:textId="4D412981"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 xml:space="preserve">&gt; 30% net income </w:t>
            </w:r>
            <w:r w:rsidRPr="008B2B45">
              <w:rPr>
                <w:rFonts w:asciiTheme="majorHAnsi" w:eastAsia="Times New Roman" w:hAnsiTheme="majorHAnsi" w:cstheme="majorHAnsi"/>
                <w:lang w:eastAsia="en-GB"/>
              </w:rPr>
              <w:t>after housing costs</w:t>
            </w:r>
          </w:p>
        </w:tc>
        <w:tc>
          <w:tcPr>
            <w:tcW w:w="1701" w:type="dxa"/>
            <w:tcBorders>
              <w:top w:val="nil"/>
              <w:left w:val="nil"/>
              <w:bottom w:val="single" w:sz="4" w:space="0" w:color="auto"/>
              <w:right w:val="single" w:sz="4" w:space="0" w:color="auto"/>
            </w:tcBorders>
            <w:shd w:val="clear" w:color="auto" w:fill="auto"/>
            <w:noWrap/>
            <w:vAlign w:val="bottom"/>
            <w:hideMark/>
          </w:tcPr>
          <w:p w14:paraId="5EEAB203"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3,068,000</w:t>
            </w:r>
          </w:p>
        </w:tc>
        <w:tc>
          <w:tcPr>
            <w:tcW w:w="1216" w:type="dxa"/>
            <w:tcBorders>
              <w:top w:val="nil"/>
              <w:left w:val="nil"/>
              <w:bottom w:val="single" w:sz="4" w:space="0" w:color="auto"/>
              <w:right w:val="single" w:sz="4" w:space="0" w:color="auto"/>
            </w:tcBorders>
            <w:shd w:val="clear" w:color="auto" w:fill="auto"/>
            <w:noWrap/>
            <w:vAlign w:val="bottom"/>
            <w:hideMark/>
          </w:tcPr>
          <w:p w14:paraId="6CBC059D"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6,351,000</w:t>
            </w:r>
          </w:p>
        </w:tc>
        <w:tc>
          <w:tcPr>
            <w:tcW w:w="1276" w:type="dxa"/>
            <w:tcBorders>
              <w:top w:val="nil"/>
              <w:left w:val="nil"/>
              <w:bottom w:val="single" w:sz="4" w:space="0" w:color="auto"/>
              <w:right w:val="single" w:sz="4" w:space="0" w:color="auto"/>
            </w:tcBorders>
            <w:shd w:val="clear" w:color="auto" w:fill="auto"/>
            <w:noWrap/>
            <w:vAlign w:val="bottom"/>
            <w:hideMark/>
          </w:tcPr>
          <w:p w14:paraId="043040CA"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11,850,000</w:t>
            </w:r>
          </w:p>
        </w:tc>
        <w:tc>
          <w:tcPr>
            <w:tcW w:w="1216" w:type="dxa"/>
            <w:tcBorders>
              <w:top w:val="nil"/>
              <w:left w:val="nil"/>
              <w:bottom w:val="single" w:sz="4" w:space="0" w:color="auto"/>
              <w:right w:val="single" w:sz="4" w:space="0" w:color="auto"/>
            </w:tcBorders>
            <w:shd w:val="clear" w:color="auto" w:fill="auto"/>
            <w:noWrap/>
            <w:vAlign w:val="bottom"/>
            <w:hideMark/>
          </w:tcPr>
          <w:p w14:paraId="4A323676" w14:textId="77777777" w:rsidR="008B5F80" w:rsidRPr="008B5F80" w:rsidRDefault="008B5F80" w:rsidP="008B5F80">
            <w:pPr>
              <w:spacing w:after="0" w:line="240" w:lineRule="auto"/>
              <w:jc w:val="right"/>
              <w:rPr>
                <w:rFonts w:asciiTheme="majorHAnsi" w:eastAsia="Times New Roman" w:hAnsiTheme="majorHAnsi" w:cstheme="majorHAnsi"/>
                <w:lang w:eastAsia="en-GB"/>
              </w:rPr>
            </w:pPr>
            <w:r w:rsidRPr="008B5F80">
              <w:rPr>
                <w:rFonts w:asciiTheme="majorHAnsi" w:eastAsia="Times New Roman" w:hAnsiTheme="majorHAnsi" w:cstheme="majorHAnsi"/>
                <w:lang w:eastAsia="en-GB"/>
              </w:rPr>
              <w:t>24,753,000</w:t>
            </w:r>
          </w:p>
        </w:tc>
      </w:tr>
    </w:tbl>
    <w:p w14:paraId="6B37D91C" w14:textId="033B07A1" w:rsidR="00636C60" w:rsidRPr="008B2B45" w:rsidRDefault="0033214A" w:rsidP="006A0FB9">
      <w:pPr>
        <w:shd w:val="clear" w:color="auto" w:fill="FFFFFF"/>
        <w:spacing w:after="210" w:line="240" w:lineRule="auto"/>
        <w:rPr>
          <w:rFonts w:asciiTheme="majorHAnsi" w:eastAsia="Times New Roman" w:hAnsiTheme="majorHAnsi" w:cstheme="majorHAnsi"/>
          <w:lang w:eastAsia="en-GB"/>
        </w:rPr>
      </w:pPr>
      <w:r w:rsidRPr="008B2B45">
        <w:rPr>
          <w:rFonts w:asciiTheme="majorHAnsi" w:eastAsia="Times New Roman" w:hAnsiTheme="majorHAnsi" w:cstheme="majorHAnsi"/>
          <w:lang w:eastAsia="en-GB"/>
        </w:rPr>
        <w:t>Sources: LCFS 2019-20 weighted data. October 2022 price cap (Ofgem published 26 Aug</w:t>
      </w:r>
      <w:r w:rsidR="00B43AD3" w:rsidRPr="008B2B45">
        <w:rPr>
          <w:rFonts w:asciiTheme="majorHAnsi" w:eastAsia="Times New Roman" w:hAnsiTheme="majorHAnsi" w:cstheme="majorHAnsi"/>
          <w:lang w:eastAsia="en-GB"/>
        </w:rPr>
        <w:t>ust</w:t>
      </w:r>
      <w:r w:rsidRPr="008B2B45">
        <w:rPr>
          <w:rFonts w:asciiTheme="majorHAnsi" w:eastAsia="Times New Roman" w:hAnsiTheme="majorHAnsi" w:cstheme="majorHAnsi"/>
          <w:lang w:eastAsia="en-GB"/>
        </w:rPr>
        <w:t xml:space="preserve"> </w:t>
      </w:r>
      <w:r w:rsidR="00B43AD3" w:rsidRPr="008B2B45">
        <w:rPr>
          <w:rFonts w:asciiTheme="majorHAnsi" w:eastAsia="Times New Roman" w:hAnsiTheme="majorHAnsi" w:cstheme="majorHAnsi"/>
          <w:lang w:eastAsia="en-GB"/>
        </w:rPr>
        <w:t>20</w:t>
      </w:r>
      <w:r w:rsidRPr="008B2B45">
        <w:rPr>
          <w:rFonts w:asciiTheme="majorHAnsi" w:eastAsia="Times New Roman" w:hAnsiTheme="majorHAnsi" w:cstheme="majorHAnsi"/>
          <w:lang w:eastAsia="en-GB"/>
        </w:rPr>
        <w:t>22) and January 2023 price cap (</w:t>
      </w:r>
      <w:r w:rsidR="009339A3" w:rsidRPr="008B2B45">
        <w:rPr>
          <w:rFonts w:asciiTheme="majorHAnsi" w:eastAsia="Times New Roman" w:hAnsiTheme="majorHAnsi" w:cstheme="majorHAnsi"/>
          <w:lang w:eastAsia="en-GB"/>
        </w:rPr>
        <w:t>Cornwall</w:t>
      </w:r>
      <w:r w:rsidRPr="008B2B45">
        <w:rPr>
          <w:rFonts w:asciiTheme="majorHAnsi" w:eastAsia="Times New Roman" w:hAnsiTheme="majorHAnsi" w:cstheme="majorHAnsi"/>
          <w:lang w:eastAsia="en-GB"/>
        </w:rPr>
        <w:t xml:space="preserve"> Insight’s tariff cap forecast </w:t>
      </w:r>
      <w:r w:rsidR="00B43AD3" w:rsidRPr="008B2B45">
        <w:rPr>
          <w:rFonts w:asciiTheme="majorHAnsi" w:eastAsia="Times New Roman" w:hAnsiTheme="majorHAnsi" w:cstheme="majorHAnsi"/>
          <w:lang w:eastAsia="en-GB"/>
        </w:rPr>
        <w:t>26</w:t>
      </w:r>
      <w:r w:rsidRPr="008B2B45">
        <w:rPr>
          <w:rFonts w:asciiTheme="majorHAnsi" w:eastAsia="Times New Roman" w:hAnsiTheme="majorHAnsi" w:cstheme="majorHAnsi"/>
          <w:lang w:eastAsia="en-GB"/>
        </w:rPr>
        <w:t xml:space="preserve"> August 2022).  </w:t>
      </w:r>
    </w:p>
    <w:p w14:paraId="1512DC73" w14:textId="47D55050" w:rsidR="006A0FB9" w:rsidRDefault="00C50EFC" w:rsidP="006A0FB9">
      <w:pPr>
        <w:shd w:val="clear" w:color="auto" w:fill="FFFFFF"/>
        <w:spacing w:after="210" w:line="240" w:lineRule="auto"/>
        <w:rPr>
          <w:rFonts w:asciiTheme="majorHAnsi" w:eastAsia="Times New Roman" w:hAnsiTheme="majorHAnsi" w:cstheme="majorHAnsi"/>
          <w:lang w:eastAsia="en-GB"/>
        </w:rPr>
      </w:pPr>
      <w:r w:rsidRPr="00380EF9">
        <w:rPr>
          <w:rFonts w:asciiTheme="majorHAnsi" w:eastAsia="Times New Roman" w:hAnsiTheme="majorHAnsi" w:cstheme="majorHAnsi"/>
          <w:lang w:eastAsia="en-GB"/>
        </w:rPr>
        <w:t>With this skyrocketed energy price, we see that</w:t>
      </w:r>
      <w:r w:rsidR="001A7820" w:rsidRPr="00380EF9">
        <w:rPr>
          <w:rFonts w:asciiTheme="majorHAnsi" w:eastAsia="Times New Roman" w:hAnsiTheme="majorHAnsi" w:cstheme="majorHAnsi"/>
          <w:lang w:eastAsia="en-GB"/>
        </w:rPr>
        <w:t xml:space="preserve"> majority of the UK households will be affected</w:t>
      </w:r>
      <w:r w:rsidR="00474A9E" w:rsidRPr="00380EF9">
        <w:rPr>
          <w:rFonts w:asciiTheme="majorHAnsi" w:eastAsia="Times New Roman" w:hAnsiTheme="majorHAnsi" w:cstheme="majorHAnsi"/>
          <w:lang w:eastAsia="en-GB"/>
        </w:rPr>
        <w:t>; the fuel poverty rates are ranging from 79% in London and South</w:t>
      </w:r>
      <w:r w:rsidR="00380EF9">
        <w:rPr>
          <w:rFonts w:asciiTheme="majorHAnsi" w:eastAsia="Times New Roman" w:hAnsiTheme="majorHAnsi" w:cstheme="majorHAnsi"/>
          <w:lang w:eastAsia="en-GB"/>
        </w:rPr>
        <w:t>-</w:t>
      </w:r>
      <w:r w:rsidR="00474A9E" w:rsidRPr="00380EF9">
        <w:rPr>
          <w:rFonts w:asciiTheme="majorHAnsi" w:eastAsia="Times New Roman" w:hAnsiTheme="majorHAnsi" w:cstheme="majorHAnsi"/>
          <w:lang w:eastAsia="en-GB"/>
        </w:rPr>
        <w:t>East to as much as approximately 87% in Eastern, East Midlands and Scotland</w:t>
      </w:r>
      <w:r w:rsidR="00474A9E" w:rsidRPr="00380EF9">
        <w:rPr>
          <w:rFonts w:asciiTheme="majorHAnsi" w:eastAsia="Times New Roman" w:hAnsiTheme="majorHAnsi" w:cstheme="majorHAnsi"/>
          <w:color w:val="FF0000"/>
          <w:lang w:eastAsia="en-GB"/>
        </w:rPr>
        <w:t xml:space="preserve">. </w:t>
      </w:r>
      <w:r w:rsidR="006A0FB9" w:rsidRPr="00380EF9">
        <w:rPr>
          <w:rFonts w:asciiTheme="majorHAnsi" w:eastAsia="Times New Roman" w:hAnsiTheme="majorHAnsi" w:cstheme="majorHAnsi"/>
          <w:lang w:eastAsia="en-GB"/>
        </w:rPr>
        <w:t>See</w:t>
      </w:r>
      <w:r w:rsidR="006A0FB9" w:rsidRPr="008B2B45">
        <w:rPr>
          <w:rFonts w:asciiTheme="majorHAnsi" w:eastAsia="Times New Roman" w:hAnsiTheme="majorHAnsi" w:cstheme="majorHAnsi"/>
          <w:lang w:eastAsia="en-GB"/>
        </w:rPr>
        <w:t xml:space="preserve"> Table 2</w:t>
      </w:r>
      <w:r w:rsidR="00C65582" w:rsidRPr="008B2B45">
        <w:rPr>
          <w:rFonts w:asciiTheme="majorHAnsi" w:eastAsia="Times New Roman" w:hAnsiTheme="majorHAnsi" w:cstheme="majorHAnsi"/>
          <w:lang w:eastAsia="en-GB"/>
        </w:rPr>
        <w:t xml:space="preserve"> for </w:t>
      </w:r>
      <w:r w:rsidR="00F3054D" w:rsidRPr="008B2B45">
        <w:rPr>
          <w:rFonts w:asciiTheme="majorHAnsi" w:eastAsia="Times New Roman" w:hAnsiTheme="majorHAnsi" w:cstheme="majorHAnsi"/>
          <w:lang w:eastAsia="en-GB"/>
        </w:rPr>
        <w:t>a</w:t>
      </w:r>
      <w:r w:rsidR="00C65582" w:rsidRPr="008B2B45">
        <w:rPr>
          <w:rFonts w:asciiTheme="majorHAnsi" w:eastAsia="Times New Roman" w:hAnsiTheme="majorHAnsi" w:cstheme="majorHAnsi"/>
          <w:lang w:eastAsia="en-GB"/>
        </w:rPr>
        <w:t xml:space="preserve"> comparison of regions</w:t>
      </w:r>
      <w:r w:rsidR="00F3054D" w:rsidRPr="008B2B45">
        <w:rPr>
          <w:rFonts w:asciiTheme="majorHAnsi" w:eastAsia="Times New Roman" w:hAnsiTheme="majorHAnsi" w:cstheme="majorHAnsi"/>
          <w:lang w:eastAsia="en-GB"/>
        </w:rPr>
        <w:t xml:space="preserve"> across the UK</w:t>
      </w:r>
      <w:r w:rsidR="006A0FB9" w:rsidRPr="008B2B45">
        <w:rPr>
          <w:rFonts w:asciiTheme="majorHAnsi" w:eastAsia="Times New Roman" w:hAnsiTheme="majorHAnsi" w:cstheme="majorHAnsi"/>
          <w:lang w:eastAsia="en-GB"/>
        </w:rPr>
        <w:t>.</w:t>
      </w:r>
    </w:p>
    <w:p w14:paraId="5CD840D0" w14:textId="6F3B5595" w:rsidR="00E1594B" w:rsidRDefault="00E1594B" w:rsidP="006A0FB9">
      <w:pPr>
        <w:shd w:val="clear" w:color="auto" w:fill="FFFFFF"/>
        <w:spacing w:after="210" w:line="240" w:lineRule="auto"/>
        <w:rPr>
          <w:rFonts w:asciiTheme="majorHAnsi" w:eastAsia="Times New Roman" w:hAnsiTheme="majorHAnsi" w:cstheme="majorHAnsi"/>
          <w:lang w:eastAsia="en-GB"/>
        </w:rPr>
      </w:pPr>
    </w:p>
    <w:p w14:paraId="33245CB9" w14:textId="77777777" w:rsidR="00E1594B" w:rsidRPr="008B2B45" w:rsidRDefault="00E1594B" w:rsidP="00E1594B">
      <w:pPr>
        <w:shd w:val="clear" w:color="auto" w:fill="FFFFFF"/>
        <w:spacing w:after="210" w:line="240" w:lineRule="auto"/>
        <w:rPr>
          <w:rFonts w:asciiTheme="majorHAnsi" w:eastAsia="Times New Roman" w:hAnsiTheme="majorHAnsi" w:cstheme="majorHAnsi"/>
          <w:lang w:eastAsia="en-GB"/>
        </w:rPr>
      </w:pPr>
      <w:r w:rsidRPr="008B2B45">
        <w:rPr>
          <w:rFonts w:asciiTheme="majorHAnsi" w:eastAsia="Times New Roman" w:hAnsiTheme="majorHAnsi" w:cstheme="majorHAnsi"/>
          <w:b/>
          <w:bCs/>
          <w:lang w:eastAsia="en-GB"/>
        </w:rPr>
        <w:lastRenderedPageBreak/>
        <w:t>Table 2: Estimated percentages and numbers of households living in fuel poverty by region, January 2023</w:t>
      </w:r>
    </w:p>
    <w:tbl>
      <w:tblPr>
        <w:tblW w:w="8443" w:type="dxa"/>
        <w:tblLook w:val="04A0" w:firstRow="1" w:lastRow="0" w:firstColumn="1" w:lastColumn="0" w:noHBand="0" w:noVBand="1"/>
      </w:tblPr>
      <w:tblGrid>
        <w:gridCol w:w="1234"/>
        <w:gridCol w:w="1204"/>
        <w:gridCol w:w="875"/>
        <w:gridCol w:w="828"/>
        <w:gridCol w:w="875"/>
        <w:gridCol w:w="828"/>
        <w:gridCol w:w="875"/>
        <w:gridCol w:w="768"/>
        <w:gridCol w:w="956"/>
      </w:tblGrid>
      <w:tr w:rsidR="008B2B45" w:rsidRPr="008B2B45" w14:paraId="35A9645C" w14:textId="77777777" w:rsidTr="00E1594B">
        <w:trPr>
          <w:trHeight w:val="186"/>
        </w:trPr>
        <w:tc>
          <w:tcPr>
            <w:tcW w:w="12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9F96A7" w14:textId="77777777" w:rsidR="008C5C53" w:rsidRPr="008C5C53" w:rsidRDefault="008C5C53" w:rsidP="00E1594B">
            <w:pPr>
              <w:spacing w:after="0" w:line="240" w:lineRule="auto"/>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 </w:t>
            </w:r>
          </w:p>
        </w:tc>
        <w:tc>
          <w:tcPr>
            <w:tcW w:w="7209"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18635465" w14:textId="6BC14536" w:rsidR="008C5C53" w:rsidRPr="008C5C53" w:rsidRDefault="008C5C53" w:rsidP="00E1594B">
            <w:pPr>
              <w:spacing w:after="0" w:line="240" w:lineRule="auto"/>
              <w:jc w:val="center"/>
              <w:rPr>
                <w:rFonts w:asciiTheme="majorHAnsi" w:eastAsia="Times New Roman" w:hAnsiTheme="majorHAnsi" w:cstheme="majorHAnsi"/>
                <w:b/>
                <w:bCs/>
                <w:lang w:eastAsia="en-GB"/>
              </w:rPr>
            </w:pPr>
            <w:r w:rsidRPr="008C5C53">
              <w:rPr>
                <w:rFonts w:asciiTheme="majorHAnsi" w:eastAsia="Times New Roman" w:hAnsiTheme="majorHAnsi" w:cstheme="majorHAnsi"/>
                <w:b/>
                <w:bCs/>
                <w:lang w:eastAsia="en-GB"/>
              </w:rPr>
              <w:t>Fuel poverty thresholds</w:t>
            </w:r>
            <w:r w:rsidR="006B24CE">
              <w:rPr>
                <w:rFonts w:asciiTheme="majorHAnsi" w:eastAsia="Times New Roman" w:hAnsiTheme="majorHAnsi" w:cstheme="majorHAnsi"/>
                <w:b/>
                <w:bCs/>
                <w:lang w:eastAsia="en-GB"/>
              </w:rPr>
              <w:t xml:space="preserve">, </w:t>
            </w:r>
            <w:r w:rsidR="006B24CE" w:rsidRPr="00474A9E">
              <w:rPr>
                <w:rFonts w:asciiTheme="majorHAnsi" w:eastAsia="Times New Roman" w:hAnsiTheme="majorHAnsi" w:cstheme="majorHAnsi"/>
                <w:b/>
                <w:bCs/>
                <w:lang w:eastAsia="en-GB"/>
              </w:rPr>
              <w:t>after housing costs</w:t>
            </w:r>
          </w:p>
        </w:tc>
      </w:tr>
      <w:tr w:rsidR="008B2B45" w:rsidRPr="008B2B45" w14:paraId="01FCDB9B" w14:textId="77777777" w:rsidTr="00E1594B">
        <w:trPr>
          <w:trHeight w:val="186"/>
        </w:trPr>
        <w:tc>
          <w:tcPr>
            <w:tcW w:w="1234" w:type="dxa"/>
            <w:tcBorders>
              <w:top w:val="nil"/>
              <w:left w:val="single" w:sz="4" w:space="0" w:color="auto"/>
              <w:bottom w:val="single" w:sz="4" w:space="0" w:color="auto"/>
              <w:right w:val="single" w:sz="4" w:space="0" w:color="auto"/>
            </w:tcBorders>
            <w:shd w:val="clear" w:color="auto" w:fill="auto"/>
            <w:vAlign w:val="bottom"/>
            <w:hideMark/>
          </w:tcPr>
          <w:p w14:paraId="3E7BE3B4" w14:textId="77777777" w:rsidR="008C5C53" w:rsidRPr="008C5C53" w:rsidRDefault="008C5C53" w:rsidP="00E1594B">
            <w:pPr>
              <w:spacing w:after="0" w:line="240" w:lineRule="auto"/>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 </w:t>
            </w: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DB58C4" w14:textId="77777777" w:rsidR="008C5C53" w:rsidRPr="008C5C53" w:rsidRDefault="008C5C53" w:rsidP="00E1594B">
            <w:pPr>
              <w:spacing w:after="0" w:line="240" w:lineRule="auto"/>
              <w:jc w:val="center"/>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10%</w:t>
            </w:r>
          </w:p>
        </w:tc>
        <w:tc>
          <w:tcPr>
            <w:tcW w:w="17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E93204" w14:textId="77777777" w:rsidR="008C5C53" w:rsidRPr="008C5C53" w:rsidRDefault="008C5C53" w:rsidP="00E1594B">
            <w:pPr>
              <w:spacing w:after="0" w:line="240" w:lineRule="auto"/>
              <w:jc w:val="center"/>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20%</w:t>
            </w:r>
          </w:p>
        </w:tc>
        <w:tc>
          <w:tcPr>
            <w:tcW w:w="17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30A2FC" w14:textId="77777777" w:rsidR="008C5C53" w:rsidRPr="008C5C53" w:rsidRDefault="008C5C53" w:rsidP="00E1594B">
            <w:pPr>
              <w:spacing w:after="0" w:line="240" w:lineRule="auto"/>
              <w:jc w:val="center"/>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25%</w:t>
            </w:r>
          </w:p>
        </w:tc>
        <w:tc>
          <w:tcPr>
            <w:tcW w:w="1724"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E98E18" w14:textId="77777777" w:rsidR="008C5C53" w:rsidRPr="008C5C53" w:rsidRDefault="008C5C53" w:rsidP="00E1594B">
            <w:pPr>
              <w:spacing w:after="0" w:line="240" w:lineRule="auto"/>
              <w:jc w:val="center"/>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30%</w:t>
            </w:r>
          </w:p>
        </w:tc>
      </w:tr>
      <w:tr w:rsidR="008B2B45" w:rsidRPr="008B2B45" w14:paraId="08BF6785" w14:textId="77777777" w:rsidTr="00E1594B">
        <w:trPr>
          <w:trHeight w:val="186"/>
        </w:trPr>
        <w:tc>
          <w:tcPr>
            <w:tcW w:w="1234" w:type="dxa"/>
            <w:tcBorders>
              <w:top w:val="nil"/>
              <w:left w:val="single" w:sz="4" w:space="0" w:color="auto"/>
              <w:bottom w:val="single" w:sz="4" w:space="0" w:color="auto"/>
              <w:right w:val="single" w:sz="4" w:space="0" w:color="auto"/>
            </w:tcBorders>
            <w:shd w:val="clear" w:color="auto" w:fill="auto"/>
            <w:vAlign w:val="bottom"/>
            <w:hideMark/>
          </w:tcPr>
          <w:p w14:paraId="5C817537" w14:textId="75A69614" w:rsidR="008C5C53" w:rsidRPr="008C5C53" w:rsidRDefault="008C5C53" w:rsidP="00E1594B">
            <w:pPr>
              <w:spacing w:after="0" w:line="240" w:lineRule="auto"/>
              <w:rPr>
                <w:rFonts w:asciiTheme="majorHAnsi" w:eastAsia="Times New Roman" w:hAnsiTheme="majorHAnsi" w:cstheme="majorHAnsi"/>
                <w:lang w:eastAsia="en-GB"/>
              </w:rPr>
            </w:pPr>
            <w:r w:rsidRPr="008B2B45">
              <w:rPr>
                <w:rFonts w:asciiTheme="majorHAnsi" w:eastAsia="Times New Roman" w:hAnsiTheme="majorHAnsi" w:cstheme="majorHAnsi"/>
                <w:b/>
                <w:bCs/>
                <w:lang w:eastAsia="en-GB"/>
              </w:rPr>
              <w:t>Region</w:t>
            </w:r>
          </w:p>
        </w:tc>
        <w:tc>
          <w:tcPr>
            <w:tcW w:w="1204" w:type="dxa"/>
            <w:tcBorders>
              <w:top w:val="nil"/>
              <w:left w:val="nil"/>
              <w:bottom w:val="single" w:sz="4" w:space="0" w:color="auto"/>
              <w:right w:val="single" w:sz="4" w:space="0" w:color="auto"/>
            </w:tcBorders>
            <w:shd w:val="clear" w:color="auto" w:fill="auto"/>
            <w:noWrap/>
            <w:vAlign w:val="bottom"/>
            <w:hideMark/>
          </w:tcPr>
          <w:p w14:paraId="6D7AA9C1" w14:textId="77777777" w:rsidR="008C5C53" w:rsidRPr="008B2B45" w:rsidRDefault="008C5C53" w:rsidP="00E1594B">
            <w:pPr>
              <w:spacing w:after="0" w:line="240" w:lineRule="auto"/>
              <w:rPr>
                <w:rFonts w:asciiTheme="majorHAnsi" w:eastAsia="Times New Roman" w:hAnsiTheme="majorHAnsi" w:cstheme="majorHAnsi"/>
                <w:b/>
                <w:bCs/>
                <w:lang w:eastAsia="en-GB"/>
              </w:rPr>
            </w:pPr>
            <w:r w:rsidRPr="008C5C53">
              <w:rPr>
                <w:rFonts w:asciiTheme="majorHAnsi" w:eastAsia="Times New Roman" w:hAnsiTheme="majorHAnsi" w:cstheme="majorHAnsi"/>
                <w:b/>
                <w:bCs/>
                <w:lang w:eastAsia="en-GB"/>
              </w:rPr>
              <w:t>Count</w:t>
            </w:r>
          </w:p>
          <w:p w14:paraId="15CF3BBD" w14:textId="77777777" w:rsidR="008C5C53" w:rsidRPr="008C5C53" w:rsidRDefault="008C5C53" w:rsidP="00E1594B">
            <w:pPr>
              <w:spacing w:after="0" w:line="240" w:lineRule="auto"/>
              <w:rPr>
                <w:rFonts w:asciiTheme="majorHAnsi" w:eastAsia="Times New Roman" w:hAnsiTheme="majorHAnsi" w:cstheme="majorHAnsi"/>
                <w:b/>
                <w:bCs/>
                <w:lang w:eastAsia="en-GB"/>
              </w:rPr>
            </w:pPr>
            <w:r w:rsidRPr="008B2B45">
              <w:rPr>
                <w:rFonts w:asciiTheme="majorHAnsi" w:eastAsia="Times New Roman" w:hAnsiTheme="majorHAnsi" w:cstheme="majorHAnsi"/>
                <w:b/>
                <w:bCs/>
                <w:lang w:eastAsia="en-GB"/>
              </w:rPr>
              <w:t>(000s)</w:t>
            </w:r>
          </w:p>
        </w:tc>
        <w:tc>
          <w:tcPr>
            <w:tcW w:w="875" w:type="dxa"/>
            <w:tcBorders>
              <w:top w:val="nil"/>
              <w:left w:val="nil"/>
              <w:bottom w:val="single" w:sz="4" w:space="0" w:color="auto"/>
              <w:right w:val="single" w:sz="4" w:space="0" w:color="auto"/>
            </w:tcBorders>
            <w:shd w:val="clear" w:color="auto" w:fill="auto"/>
            <w:noWrap/>
            <w:vAlign w:val="bottom"/>
            <w:hideMark/>
          </w:tcPr>
          <w:p w14:paraId="4A33876B" w14:textId="77777777" w:rsidR="008C5C53" w:rsidRPr="008C5C53" w:rsidRDefault="008C5C53" w:rsidP="00E1594B">
            <w:pPr>
              <w:spacing w:after="0" w:line="240" w:lineRule="auto"/>
              <w:rPr>
                <w:rFonts w:asciiTheme="majorHAnsi" w:eastAsia="Times New Roman" w:hAnsiTheme="majorHAnsi" w:cstheme="majorHAnsi"/>
                <w:b/>
                <w:bCs/>
                <w:lang w:eastAsia="en-GB"/>
              </w:rPr>
            </w:pPr>
            <w:r w:rsidRPr="008C5C53">
              <w:rPr>
                <w:rFonts w:asciiTheme="majorHAnsi" w:eastAsia="Times New Roman" w:hAnsiTheme="majorHAnsi" w:cstheme="majorHAnsi"/>
                <w:b/>
                <w:bCs/>
                <w:lang w:eastAsia="en-GB"/>
              </w:rPr>
              <w:t>% within region</w:t>
            </w:r>
          </w:p>
        </w:tc>
        <w:tc>
          <w:tcPr>
            <w:tcW w:w="828" w:type="dxa"/>
            <w:tcBorders>
              <w:top w:val="nil"/>
              <w:left w:val="nil"/>
              <w:bottom w:val="single" w:sz="4" w:space="0" w:color="auto"/>
              <w:right w:val="single" w:sz="4" w:space="0" w:color="auto"/>
            </w:tcBorders>
            <w:shd w:val="clear" w:color="auto" w:fill="auto"/>
            <w:noWrap/>
            <w:vAlign w:val="bottom"/>
            <w:hideMark/>
          </w:tcPr>
          <w:p w14:paraId="5836486C" w14:textId="77777777" w:rsidR="008C5C53" w:rsidRPr="008B2B45" w:rsidRDefault="008C5C53" w:rsidP="00E1594B">
            <w:pPr>
              <w:spacing w:after="0" w:line="240" w:lineRule="auto"/>
              <w:rPr>
                <w:rFonts w:asciiTheme="majorHAnsi" w:eastAsia="Times New Roman" w:hAnsiTheme="majorHAnsi" w:cstheme="majorHAnsi"/>
                <w:b/>
                <w:bCs/>
                <w:lang w:eastAsia="en-GB"/>
              </w:rPr>
            </w:pPr>
            <w:r w:rsidRPr="008C5C53">
              <w:rPr>
                <w:rFonts w:asciiTheme="majorHAnsi" w:eastAsia="Times New Roman" w:hAnsiTheme="majorHAnsi" w:cstheme="majorHAnsi"/>
                <w:b/>
                <w:bCs/>
                <w:lang w:eastAsia="en-GB"/>
              </w:rPr>
              <w:t>Count</w:t>
            </w:r>
          </w:p>
          <w:p w14:paraId="35DEF1D5" w14:textId="35853293" w:rsidR="008C5C53" w:rsidRPr="008C5C53" w:rsidRDefault="008C5C53" w:rsidP="00E1594B">
            <w:pPr>
              <w:spacing w:after="0" w:line="240" w:lineRule="auto"/>
              <w:rPr>
                <w:rFonts w:asciiTheme="majorHAnsi" w:eastAsia="Times New Roman" w:hAnsiTheme="majorHAnsi" w:cstheme="majorHAnsi"/>
                <w:b/>
                <w:bCs/>
                <w:lang w:eastAsia="en-GB"/>
              </w:rPr>
            </w:pPr>
            <w:r w:rsidRPr="008B2B45">
              <w:rPr>
                <w:rFonts w:asciiTheme="majorHAnsi" w:eastAsia="Times New Roman" w:hAnsiTheme="majorHAnsi" w:cstheme="majorHAnsi"/>
                <w:b/>
                <w:bCs/>
                <w:lang w:eastAsia="en-GB"/>
              </w:rPr>
              <w:t>(000s)</w:t>
            </w:r>
          </w:p>
        </w:tc>
        <w:tc>
          <w:tcPr>
            <w:tcW w:w="875" w:type="dxa"/>
            <w:tcBorders>
              <w:top w:val="nil"/>
              <w:left w:val="nil"/>
              <w:bottom w:val="single" w:sz="4" w:space="0" w:color="auto"/>
              <w:right w:val="single" w:sz="4" w:space="0" w:color="auto"/>
            </w:tcBorders>
            <w:shd w:val="clear" w:color="auto" w:fill="auto"/>
            <w:noWrap/>
            <w:vAlign w:val="bottom"/>
            <w:hideMark/>
          </w:tcPr>
          <w:p w14:paraId="44F049AD" w14:textId="77777777" w:rsidR="008C5C53" w:rsidRPr="008C5C53" w:rsidRDefault="008C5C53" w:rsidP="00E1594B">
            <w:pPr>
              <w:spacing w:after="0" w:line="240" w:lineRule="auto"/>
              <w:rPr>
                <w:rFonts w:asciiTheme="majorHAnsi" w:eastAsia="Times New Roman" w:hAnsiTheme="majorHAnsi" w:cstheme="majorHAnsi"/>
                <w:b/>
                <w:bCs/>
                <w:lang w:eastAsia="en-GB"/>
              </w:rPr>
            </w:pPr>
            <w:r w:rsidRPr="008C5C53">
              <w:rPr>
                <w:rFonts w:asciiTheme="majorHAnsi" w:eastAsia="Times New Roman" w:hAnsiTheme="majorHAnsi" w:cstheme="majorHAnsi"/>
                <w:b/>
                <w:bCs/>
                <w:lang w:eastAsia="en-GB"/>
              </w:rPr>
              <w:t>% within region</w:t>
            </w:r>
          </w:p>
        </w:tc>
        <w:tc>
          <w:tcPr>
            <w:tcW w:w="828" w:type="dxa"/>
            <w:tcBorders>
              <w:top w:val="nil"/>
              <w:left w:val="nil"/>
              <w:bottom w:val="single" w:sz="4" w:space="0" w:color="auto"/>
              <w:right w:val="single" w:sz="4" w:space="0" w:color="auto"/>
            </w:tcBorders>
            <w:shd w:val="clear" w:color="auto" w:fill="auto"/>
            <w:noWrap/>
            <w:vAlign w:val="bottom"/>
            <w:hideMark/>
          </w:tcPr>
          <w:p w14:paraId="4A50619B" w14:textId="77777777" w:rsidR="008C5C53" w:rsidRPr="008B2B45" w:rsidRDefault="008C5C53" w:rsidP="00E1594B">
            <w:pPr>
              <w:spacing w:after="0" w:line="240" w:lineRule="auto"/>
              <w:rPr>
                <w:rFonts w:asciiTheme="majorHAnsi" w:eastAsia="Times New Roman" w:hAnsiTheme="majorHAnsi" w:cstheme="majorHAnsi"/>
                <w:b/>
                <w:bCs/>
                <w:lang w:eastAsia="en-GB"/>
              </w:rPr>
            </w:pPr>
            <w:r w:rsidRPr="008C5C53">
              <w:rPr>
                <w:rFonts w:asciiTheme="majorHAnsi" w:eastAsia="Times New Roman" w:hAnsiTheme="majorHAnsi" w:cstheme="majorHAnsi"/>
                <w:b/>
                <w:bCs/>
                <w:lang w:eastAsia="en-GB"/>
              </w:rPr>
              <w:t>Count</w:t>
            </w:r>
          </w:p>
          <w:p w14:paraId="51474EC2" w14:textId="08BD4D08" w:rsidR="008C5C53" w:rsidRPr="008C5C53" w:rsidRDefault="008C5C53" w:rsidP="00E1594B">
            <w:pPr>
              <w:spacing w:after="0" w:line="240" w:lineRule="auto"/>
              <w:rPr>
                <w:rFonts w:asciiTheme="majorHAnsi" w:eastAsia="Times New Roman" w:hAnsiTheme="majorHAnsi" w:cstheme="majorHAnsi"/>
                <w:b/>
                <w:bCs/>
                <w:lang w:eastAsia="en-GB"/>
              </w:rPr>
            </w:pPr>
            <w:r w:rsidRPr="008B2B45">
              <w:rPr>
                <w:rFonts w:asciiTheme="majorHAnsi" w:eastAsia="Times New Roman" w:hAnsiTheme="majorHAnsi" w:cstheme="majorHAnsi"/>
                <w:b/>
                <w:bCs/>
                <w:lang w:eastAsia="en-GB"/>
              </w:rPr>
              <w:t>(000s)</w:t>
            </w:r>
          </w:p>
        </w:tc>
        <w:tc>
          <w:tcPr>
            <w:tcW w:w="875" w:type="dxa"/>
            <w:tcBorders>
              <w:top w:val="nil"/>
              <w:left w:val="nil"/>
              <w:bottom w:val="single" w:sz="4" w:space="0" w:color="auto"/>
              <w:right w:val="single" w:sz="4" w:space="0" w:color="auto"/>
            </w:tcBorders>
            <w:shd w:val="clear" w:color="auto" w:fill="auto"/>
            <w:noWrap/>
            <w:vAlign w:val="bottom"/>
            <w:hideMark/>
          </w:tcPr>
          <w:p w14:paraId="37A54B4F" w14:textId="77777777" w:rsidR="008C5C53" w:rsidRPr="008C5C53" w:rsidRDefault="008C5C53" w:rsidP="00E1594B">
            <w:pPr>
              <w:spacing w:after="0" w:line="240" w:lineRule="auto"/>
              <w:rPr>
                <w:rFonts w:asciiTheme="majorHAnsi" w:eastAsia="Times New Roman" w:hAnsiTheme="majorHAnsi" w:cstheme="majorHAnsi"/>
                <w:b/>
                <w:bCs/>
                <w:lang w:eastAsia="en-GB"/>
              </w:rPr>
            </w:pPr>
            <w:r w:rsidRPr="008C5C53">
              <w:rPr>
                <w:rFonts w:asciiTheme="majorHAnsi" w:eastAsia="Times New Roman" w:hAnsiTheme="majorHAnsi" w:cstheme="majorHAnsi"/>
                <w:b/>
                <w:bCs/>
                <w:lang w:eastAsia="en-GB"/>
              </w:rPr>
              <w:t>% within region</w:t>
            </w:r>
          </w:p>
        </w:tc>
        <w:tc>
          <w:tcPr>
            <w:tcW w:w="768" w:type="dxa"/>
            <w:tcBorders>
              <w:top w:val="nil"/>
              <w:left w:val="nil"/>
              <w:bottom w:val="single" w:sz="4" w:space="0" w:color="auto"/>
              <w:right w:val="single" w:sz="4" w:space="0" w:color="auto"/>
            </w:tcBorders>
            <w:shd w:val="clear" w:color="auto" w:fill="auto"/>
            <w:noWrap/>
            <w:vAlign w:val="bottom"/>
            <w:hideMark/>
          </w:tcPr>
          <w:p w14:paraId="0F9B91BA" w14:textId="77777777" w:rsidR="008C5C53" w:rsidRPr="008B2B45" w:rsidRDefault="008C5C53" w:rsidP="00E1594B">
            <w:pPr>
              <w:spacing w:after="0" w:line="240" w:lineRule="auto"/>
              <w:rPr>
                <w:rFonts w:asciiTheme="majorHAnsi" w:eastAsia="Times New Roman" w:hAnsiTheme="majorHAnsi" w:cstheme="majorHAnsi"/>
                <w:b/>
                <w:bCs/>
                <w:lang w:eastAsia="en-GB"/>
              </w:rPr>
            </w:pPr>
            <w:r w:rsidRPr="008C5C53">
              <w:rPr>
                <w:rFonts w:asciiTheme="majorHAnsi" w:eastAsia="Times New Roman" w:hAnsiTheme="majorHAnsi" w:cstheme="majorHAnsi"/>
                <w:b/>
                <w:bCs/>
                <w:lang w:eastAsia="en-GB"/>
              </w:rPr>
              <w:t>Count</w:t>
            </w:r>
          </w:p>
          <w:p w14:paraId="5B46DF94" w14:textId="5E324630" w:rsidR="008C5C53" w:rsidRPr="008C5C53" w:rsidRDefault="008C5C53" w:rsidP="00E1594B">
            <w:pPr>
              <w:spacing w:after="0" w:line="240" w:lineRule="auto"/>
              <w:rPr>
                <w:rFonts w:asciiTheme="majorHAnsi" w:eastAsia="Times New Roman" w:hAnsiTheme="majorHAnsi" w:cstheme="majorHAnsi"/>
                <w:b/>
                <w:bCs/>
                <w:lang w:eastAsia="en-GB"/>
              </w:rPr>
            </w:pPr>
            <w:r w:rsidRPr="008B2B45">
              <w:rPr>
                <w:rFonts w:asciiTheme="majorHAnsi" w:eastAsia="Times New Roman" w:hAnsiTheme="majorHAnsi" w:cstheme="majorHAnsi"/>
                <w:b/>
                <w:bCs/>
                <w:lang w:eastAsia="en-GB"/>
              </w:rPr>
              <w:t>(000s)</w:t>
            </w:r>
          </w:p>
        </w:tc>
        <w:tc>
          <w:tcPr>
            <w:tcW w:w="956" w:type="dxa"/>
            <w:tcBorders>
              <w:top w:val="nil"/>
              <w:left w:val="nil"/>
              <w:bottom w:val="single" w:sz="4" w:space="0" w:color="auto"/>
              <w:right w:val="single" w:sz="4" w:space="0" w:color="auto"/>
            </w:tcBorders>
            <w:shd w:val="clear" w:color="auto" w:fill="auto"/>
            <w:noWrap/>
            <w:vAlign w:val="bottom"/>
            <w:hideMark/>
          </w:tcPr>
          <w:p w14:paraId="48FC0E5A" w14:textId="77777777" w:rsidR="008C5C53" w:rsidRPr="008C5C53" w:rsidRDefault="008C5C53" w:rsidP="00E1594B">
            <w:pPr>
              <w:spacing w:after="0" w:line="240" w:lineRule="auto"/>
              <w:rPr>
                <w:rFonts w:asciiTheme="majorHAnsi" w:eastAsia="Times New Roman" w:hAnsiTheme="majorHAnsi" w:cstheme="majorHAnsi"/>
                <w:b/>
                <w:bCs/>
                <w:lang w:eastAsia="en-GB"/>
              </w:rPr>
            </w:pPr>
            <w:r w:rsidRPr="008C5C53">
              <w:rPr>
                <w:rFonts w:asciiTheme="majorHAnsi" w:eastAsia="Times New Roman" w:hAnsiTheme="majorHAnsi" w:cstheme="majorHAnsi"/>
                <w:b/>
                <w:bCs/>
                <w:lang w:eastAsia="en-GB"/>
              </w:rPr>
              <w:t>% within region</w:t>
            </w:r>
          </w:p>
        </w:tc>
      </w:tr>
      <w:tr w:rsidR="008B2B45" w:rsidRPr="008B2B45" w14:paraId="45148E9E" w14:textId="77777777" w:rsidTr="00E1594B">
        <w:trPr>
          <w:trHeight w:val="186"/>
        </w:trPr>
        <w:tc>
          <w:tcPr>
            <w:tcW w:w="1234" w:type="dxa"/>
            <w:tcBorders>
              <w:top w:val="nil"/>
              <w:left w:val="single" w:sz="4" w:space="0" w:color="auto"/>
              <w:bottom w:val="single" w:sz="4" w:space="0" w:color="auto"/>
              <w:right w:val="single" w:sz="4" w:space="0" w:color="auto"/>
            </w:tcBorders>
            <w:shd w:val="clear" w:color="auto" w:fill="auto"/>
            <w:vAlign w:val="bottom"/>
            <w:hideMark/>
          </w:tcPr>
          <w:p w14:paraId="31F2FE1B" w14:textId="77777777" w:rsidR="008C5C53" w:rsidRPr="008C5C53" w:rsidRDefault="008C5C53" w:rsidP="00E1594B">
            <w:pPr>
              <w:spacing w:after="0" w:line="240" w:lineRule="auto"/>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North East</w:t>
            </w:r>
          </w:p>
        </w:tc>
        <w:tc>
          <w:tcPr>
            <w:tcW w:w="1204" w:type="dxa"/>
            <w:tcBorders>
              <w:top w:val="nil"/>
              <w:left w:val="nil"/>
              <w:bottom w:val="single" w:sz="4" w:space="0" w:color="auto"/>
              <w:right w:val="single" w:sz="4" w:space="0" w:color="auto"/>
            </w:tcBorders>
            <w:shd w:val="clear" w:color="auto" w:fill="auto"/>
            <w:noWrap/>
            <w:vAlign w:val="bottom"/>
            <w:hideMark/>
          </w:tcPr>
          <w:p w14:paraId="520B32C4" w14:textId="77777777"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1</w:t>
            </w:r>
            <w:r w:rsidRPr="008B2B45">
              <w:rPr>
                <w:rFonts w:asciiTheme="majorHAnsi" w:eastAsia="Times New Roman" w:hAnsiTheme="majorHAnsi" w:cstheme="majorHAnsi"/>
                <w:lang w:eastAsia="en-GB"/>
              </w:rPr>
              <w:t>,</w:t>
            </w:r>
            <w:r w:rsidRPr="008C5C53">
              <w:rPr>
                <w:rFonts w:asciiTheme="majorHAnsi" w:eastAsia="Times New Roman" w:hAnsiTheme="majorHAnsi" w:cstheme="majorHAnsi"/>
                <w:lang w:eastAsia="en-GB"/>
              </w:rPr>
              <w:t>008</w:t>
            </w:r>
          </w:p>
        </w:tc>
        <w:tc>
          <w:tcPr>
            <w:tcW w:w="875" w:type="dxa"/>
            <w:tcBorders>
              <w:top w:val="nil"/>
              <w:left w:val="nil"/>
              <w:bottom w:val="single" w:sz="4" w:space="0" w:color="auto"/>
              <w:right w:val="single" w:sz="4" w:space="0" w:color="auto"/>
            </w:tcBorders>
            <w:shd w:val="clear" w:color="auto" w:fill="auto"/>
            <w:noWrap/>
            <w:vAlign w:val="bottom"/>
            <w:hideMark/>
          </w:tcPr>
          <w:p w14:paraId="12A764B2" w14:textId="3E5CCA15"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85.4%</w:t>
            </w:r>
          </w:p>
        </w:tc>
        <w:tc>
          <w:tcPr>
            <w:tcW w:w="828" w:type="dxa"/>
            <w:tcBorders>
              <w:top w:val="nil"/>
              <w:left w:val="nil"/>
              <w:bottom w:val="single" w:sz="4" w:space="0" w:color="auto"/>
              <w:right w:val="single" w:sz="4" w:space="0" w:color="auto"/>
            </w:tcBorders>
            <w:shd w:val="clear" w:color="auto" w:fill="auto"/>
            <w:noWrap/>
            <w:vAlign w:val="bottom"/>
            <w:hideMark/>
          </w:tcPr>
          <w:p w14:paraId="3ACEABD3" w14:textId="77777777"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642</w:t>
            </w:r>
          </w:p>
        </w:tc>
        <w:tc>
          <w:tcPr>
            <w:tcW w:w="875" w:type="dxa"/>
            <w:tcBorders>
              <w:top w:val="nil"/>
              <w:left w:val="nil"/>
              <w:bottom w:val="single" w:sz="4" w:space="0" w:color="auto"/>
              <w:right w:val="single" w:sz="4" w:space="0" w:color="auto"/>
            </w:tcBorders>
            <w:shd w:val="clear" w:color="auto" w:fill="auto"/>
            <w:noWrap/>
            <w:vAlign w:val="bottom"/>
            <w:hideMark/>
          </w:tcPr>
          <w:p w14:paraId="25A2891B" w14:textId="41BC4A0C"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54.4%</w:t>
            </w:r>
          </w:p>
        </w:tc>
        <w:tc>
          <w:tcPr>
            <w:tcW w:w="828" w:type="dxa"/>
            <w:tcBorders>
              <w:top w:val="nil"/>
              <w:left w:val="nil"/>
              <w:bottom w:val="single" w:sz="4" w:space="0" w:color="auto"/>
              <w:right w:val="single" w:sz="4" w:space="0" w:color="auto"/>
            </w:tcBorders>
            <w:shd w:val="clear" w:color="auto" w:fill="auto"/>
            <w:noWrap/>
            <w:vAlign w:val="bottom"/>
            <w:hideMark/>
          </w:tcPr>
          <w:p w14:paraId="6772A746" w14:textId="77777777"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493</w:t>
            </w:r>
          </w:p>
        </w:tc>
        <w:tc>
          <w:tcPr>
            <w:tcW w:w="875" w:type="dxa"/>
            <w:tcBorders>
              <w:top w:val="nil"/>
              <w:left w:val="nil"/>
              <w:bottom w:val="single" w:sz="4" w:space="0" w:color="auto"/>
              <w:right w:val="single" w:sz="4" w:space="0" w:color="auto"/>
            </w:tcBorders>
            <w:shd w:val="clear" w:color="auto" w:fill="auto"/>
            <w:noWrap/>
            <w:vAlign w:val="bottom"/>
            <w:hideMark/>
          </w:tcPr>
          <w:p w14:paraId="348819CC" w14:textId="3AB15FFD"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41.7%</w:t>
            </w:r>
          </w:p>
        </w:tc>
        <w:tc>
          <w:tcPr>
            <w:tcW w:w="768" w:type="dxa"/>
            <w:tcBorders>
              <w:top w:val="nil"/>
              <w:left w:val="nil"/>
              <w:bottom w:val="single" w:sz="4" w:space="0" w:color="auto"/>
              <w:right w:val="single" w:sz="4" w:space="0" w:color="auto"/>
            </w:tcBorders>
            <w:shd w:val="clear" w:color="auto" w:fill="auto"/>
            <w:noWrap/>
            <w:vAlign w:val="bottom"/>
            <w:hideMark/>
          </w:tcPr>
          <w:p w14:paraId="64527A21" w14:textId="77777777"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383</w:t>
            </w:r>
          </w:p>
        </w:tc>
        <w:tc>
          <w:tcPr>
            <w:tcW w:w="956" w:type="dxa"/>
            <w:tcBorders>
              <w:top w:val="nil"/>
              <w:left w:val="nil"/>
              <w:bottom w:val="single" w:sz="4" w:space="0" w:color="auto"/>
              <w:right w:val="single" w:sz="4" w:space="0" w:color="auto"/>
            </w:tcBorders>
            <w:shd w:val="clear" w:color="auto" w:fill="auto"/>
            <w:noWrap/>
            <w:vAlign w:val="bottom"/>
            <w:hideMark/>
          </w:tcPr>
          <w:p w14:paraId="4B2427B8" w14:textId="0DBA2F33"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32.4%</w:t>
            </w:r>
          </w:p>
        </w:tc>
      </w:tr>
      <w:tr w:rsidR="008B2B45" w:rsidRPr="008B2B45" w14:paraId="708012AE" w14:textId="77777777" w:rsidTr="00E1594B">
        <w:trPr>
          <w:trHeight w:val="186"/>
        </w:trPr>
        <w:tc>
          <w:tcPr>
            <w:tcW w:w="1234" w:type="dxa"/>
            <w:tcBorders>
              <w:top w:val="nil"/>
              <w:left w:val="single" w:sz="4" w:space="0" w:color="auto"/>
              <w:bottom w:val="single" w:sz="4" w:space="0" w:color="auto"/>
              <w:right w:val="single" w:sz="4" w:space="0" w:color="auto"/>
            </w:tcBorders>
            <w:shd w:val="clear" w:color="auto" w:fill="auto"/>
            <w:vAlign w:val="bottom"/>
            <w:hideMark/>
          </w:tcPr>
          <w:p w14:paraId="40B015E5" w14:textId="77777777" w:rsidR="008C5C53" w:rsidRPr="008C5C53" w:rsidRDefault="008C5C53" w:rsidP="00E1594B">
            <w:pPr>
              <w:spacing w:after="0" w:line="240" w:lineRule="auto"/>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North West &amp; Merseyside</w:t>
            </w:r>
          </w:p>
        </w:tc>
        <w:tc>
          <w:tcPr>
            <w:tcW w:w="1204" w:type="dxa"/>
            <w:tcBorders>
              <w:top w:val="nil"/>
              <w:left w:val="nil"/>
              <w:bottom w:val="single" w:sz="4" w:space="0" w:color="auto"/>
              <w:right w:val="single" w:sz="4" w:space="0" w:color="auto"/>
            </w:tcBorders>
            <w:shd w:val="clear" w:color="auto" w:fill="auto"/>
            <w:noWrap/>
            <w:vAlign w:val="bottom"/>
            <w:hideMark/>
          </w:tcPr>
          <w:p w14:paraId="3E44CB82" w14:textId="77777777"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2</w:t>
            </w:r>
            <w:r w:rsidRPr="008B2B45">
              <w:rPr>
                <w:rFonts w:asciiTheme="majorHAnsi" w:eastAsia="Times New Roman" w:hAnsiTheme="majorHAnsi" w:cstheme="majorHAnsi"/>
                <w:lang w:eastAsia="en-GB"/>
              </w:rPr>
              <w:t>,</w:t>
            </w:r>
            <w:r w:rsidRPr="008C5C53">
              <w:rPr>
                <w:rFonts w:asciiTheme="majorHAnsi" w:eastAsia="Times New Roman" w:hAnsiTheme="majorHAnsi" w:cstheme="majorHAnsi"/>
                <w:lang w:eastAsia="en-GB"/>
              </w:rPr>
              <w:t>714</w:t>
            </w:r>
          </w:p>
        </w:tc>
        <w:tc>
          <w:tcPr>
            <w:tcW w:w="875" w:type="dxa"/>
            <w:tcBorders>
              <w:top w:val="nil"/>
              <w:left w:val="nil"/>
              <w:bottom w:val="single" w:sz="4" w:space="0" w:color="auto"/>
              <w:right w:val="single" w:sz="4" w:space="0" w:color="auto"/>
            </w:tcBorders>
            <w:shd w:val="clear" w:color="auto" w:fill="auto"/>
            <w:noWrap/>
            <w:vAlign w:val="bottom"/>
            <w:hideMark/>
          </w:tcPr>
          <w:p w14:paraId="7040017B" w14:textId="08C14D64"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85.5%</w:t>
            </w:r>
          </w:p>
        </w:tc>
        <w:tc>
          <w:tcPr>
            <w:tcW w:w="828" w:type="dxa"/>
            <w:tcBorders>
              <w:top w:val="nil"/>
              <w:left w:val="nil"/>
              <w:bottom w:val="single" w:sz="4" w:space="0" w:color="auto"/>
              <w:right w:val="single" w:sz="4" w:space="0" w:color="auto"/>
            </w:tcBorders>
            <w:shd w:val="clear" w:color="auto" w:fill="auto"/>
            <w:noWrap/>
            <w:vAlign w:val="bottom"/>
            <w:hideMark/>
          </w:tcPr>
          <w:p w14:paraId="6285C1EB" w14:textId="645448C1"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1</w:t>
            </w:r>
            <w:r w:rsidR="00423757" w:rsidRPr="008B2B45">
              <w:rPr>
                <w:rFonts w:asciiTheme="majorHAnsi" w:eastAsia="Times New Roman" w:hAnsiTheme="majorHAnsi" w:cstheme="majorHAnsi"/>
                <w:lang w:eastAsia="en-GB"/>
              </w:rPr>
              <w:t>,</w:t>
            </w:r>
            <w:r w:rsidRPr="008C5C53">
              <w:rPr>
                <w:rFonts w:asciiTheme="majorHAnsi" w:eastAsia="Times New Roman" w:hAnsiTheme="majorHAnsi" w:cstheme="majorHAnsi"/>
                <w:lang w:eastAsia="en-GB"/>
              </w:rPr>
              <w:t>827</w:t>
            </w:r>
          </w:p>
        </w:tc>
        <w:tc>
          <w:tcPr>
            <w:tcW w:w="875" w:type="dxa"/>
            <w:tcBorders>
              <w:top w:val="nil"/>
              <w:left w:val="nil"/>
              <w:bottom w:val="single" w:sz="4" w:space="0" w:color="auto"/>
              <w:right w:val="single" w:sz="4" w:space="0" w:color="auto"/>
            </w:tcBorders>
            <w:shd w:val="clear" w:color="auto" w:fill="auto"/>
            <w:noWrap/>
            <w:vAlign w:val="bottom"/>
            <w:hideMark/>
          </w:tcPr>
          <w:p w14:paraId="406D467D" w14:textId="6152A943"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57.6%</w:t>
            </w:r>
          </w:p>
        </w:tc>
        <w:tc>
          <w:tcPr>
            <w:tcW w:w="828" w:type="dxa"/>
            <w:tcBorders>
              <w:top w:val="nil"/>
              <w:left w:val="nil"/>
              <w:bottom w:val="single" w:sz="4" w:space="0" w:color="auto"/>
              <w:right w:val="single" w:sz="4" w:space="0" w:color="auto"/>
            </w:tcBorders>
            <w:shd w:val="clear" w:color="auto" w:fill="auto"/>
            <w:noWrap/>
            <w:vAlign w:val="bottom"/>
            <w:hideMark/>
          </w:tcPr>
          <w:p w14:paraId="3B35F563" w14:textId="462539EE"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1</w:t>
            </w:r>
            <w:r w:rsidR="00423757" w:rsidRPr="008B2B45">
              <w:rPr>
                <w:rFonts w:asciiTheme="majorHAnsi" w:eastAsia="Times New Roman" w:hAnsiTheme="majorHAnsi" w:cstheme="majorHAnsi"/>
                <w:lang w:eastAsia="en-GB"/>
              </w:rPr>
              <w:t>,</w:t>
            </w:r>
            <w:r w:rsidRPr="008C5C53">
              <w:rPr>
                <w:rFonts w:asciiTheme="majorHAnsi" w:eastAsia="Times New Roman" w:hAnsiTheme="majorHAnsi" w:cstheme="majorHAnsi"/>
                <w:lang w:eastAsia="en-GB"/>
              </w:rPr>
              <w:t>458</w:t>
            </w:r>
          </w:p>
        </w:tc>
        <w:tc>
          <w:tcPr>
            <w:tcW w:w="875" w:type="dxa"/>
            <w:tcBorders>
              <w:top w:val="nil"/>
              <w:left w:val="nil"/>
              <w:bottom w:val="single" w:sz="4" w:space="0" w:color="auto"/>
              <w:right w:val="single" w:sz="4" w:space="0" w:color="auto"/>
            </w:tcBorders>
            <w:shd w:val="clear" w:color="auto" w:fill="auto"/>
            <w:noWrap/>
            <w:vAlign w:val="bottom"/>
            <w:hideMark/>
          </w:tcPr>
          <w:p w14:paraId="2013B7D9" w14:textId="3B344B81"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46.0%</w:t>
            </w:r>
          </w:p>
        </w:tc>
        <w:tc>
          <w:tcPr>
            <w:tcW w:w="768" w:type="dxa"/>
            <w:tcBorders>
              <w:top w:val="nil"/>
              <w:left w:val="nil"/>
              <w:bottom w:val="single" w:sz="4" w:space="0" w:color="auto"/>
              <w:right w:val="single" w:sz="4" w:space="0" w:color="auto"/>
            </w:tcBorders>
            <w:shd w:val="clear" w:color="auto" w:fill="auto"/>
            <w:noWrap/>
            <w:vAlign w:val="bottom"/>
            <w:hideMark/>
          </w:tcPr>
          <w:p w14:paraId="2F80D45A" w14:textId="6F717FBB"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1</w:t>
            </w:r>
            <w:r w:rsidR="00423757" w:rsidRPr="008B2B45">
              <w:rPr>
                <w:rFonts w:asciiTheme="majorHAnsi" w:eastAsia="Times New Roman" w:hAnsiTheme="majorHAnsi" w:cstheme="majorHAnsi"/>
                <w:lang w:eastAsia="en-GB"/>
              </w:rPr>
              <w:t>,</w:t>
            </w:r>
            <w:r w:rsidRPr="008C5C53">
              <w:rPr>
                <w:rFonts w:asciiTheme="majorHAnsi" w:eastAsia="Times New Roman" w:hAnsiTheme="majorHAnsi" w:cstheme="majorHAnsi"/>
                <w:lang w:eastAsia="en-GB"/>
              </w:rPr>
              <w:t>147</w:t>
            </w:r>
          </w:p>
        </w:tc>
        <w:tc>
          <w:tcPr>
            <w:tcW w:w="956" w:type="dxa"/>
            <w:tcBorders>
              <w:top w:val="nil"/>
              <w:left w:val="nil"/>
              <w:bottom w:val="single" w:sz="4" w:space="0" w:color="auto"/>
              <w:right w:val="single" w:sz="4" w:space="0" w:color="auto"/>
            </w:tcBorders>
            <w:shd w:val="clear" w:color="auto" w:fill="auto"/>
            <w:noWrap/>
            <w:vAlign w:val="bottom"/>
            <w:hideMark/>
          </w:tcPr>
          <w:p w14:paraId="7C5F5656" w14:textId="3AA84462"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36.1%</w:t>
            </w:r>
          </w:p>
        </w:tc>
      </w:tr>
      <w:tr w:rsidR="008B2B45" w:rsidRPr="008B2B45" w14:paraId="01E1BD6E" w14:textId="77777777" w:rsidTr="00E1594B">
        <w:trPr>
          <w:trHeight w:val="186"/>
        </w:trPr>
        <w:tc>
          <w:tcPr>
            <w:tcW w:w="1234" w:type="dxa"/>
            <w:tcBorders>
              <w:top w:val="nil"/>
              <w:left w:val="single" w:sz="4" w:space="0" w:color="auto"/>
              <w:bottom w:val="single" w:sz="4" w:space="0" w:color="auto"/>
              <w:right w:val="single" w:sz="4" w:space="0" w:color="auto"/>
            </w:tcBorders>
            <w:shd w:val="clear" w:color="auto" w:fill="auto"/>
            <w:vAlign w:val="bottom"/>
            <w:hideMark/>
          </w:tcPr>
          <w:p w14:paraId="7C599DB6" w14:textId="77777777" w:rsidR="008C5C53" w:rsidRPr="008C5C53" w:rsidRDefault="008C5C53" w:rsidP="00E1594B">
            <w:pPr>
              <w:spacing w:after="0" w:line="240" w:lineRule="auto"/>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Yorkshire and the Humber</w:t>
            </w:r>
          </w:p>
        </w:tc>
        <w:tc>
          <w:tcPr>
            <w:tcW w:w="1204" w:type="dxa"/>
            <w:tcBorders>
              <w:top w:val="nil"/>
              <w:left w:val="nil"/>
              <w:bottom w:val="single" w:sz="4" w:space="0" w:color="auto"/>
              <w:right w:val="single" w:sz="4" w:space="0" w:color="auto"/>
            </w:tcBorders>
            <w:shd w:val="clear" w:color="auto" w:fill="auto"/>
            <w:noWrap/>
            <w:vAlign w:val="bottom"/>
            <w:hideMark/>
          </w:tcPr>
          <w:p w14:paraId="15043CBD" w14:textId="77777777"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1</w:t>
            </w:r>
            <w:r w:rsidRPr="008B2B45">
              <w:rPr>
                <w:rFonts w:asciiTheme="majorHAnsi" w:eastAsia="Times New Roman" w:hAnsiTheme="majorHAnsi" w:cstheme="majorHAnsi"/>
                <w:lang w:eastAsia="en-GB"/>
              </w:rPr>
              <w:t>,</w:t>
            </w:r>
            <w:r w:rsidRPr="008C5C53">
              <w:rPr>
                <w:rFonts w:asciiTheme="majorHAnsi" w:eastAsia="Times New Roman" w:hAnsiTheme="majorHAnsi" w:cstheme="majorHAnsi"/>
                <w:lang w:eastAsia="en-GB"/>
              </w:rPr>
              <w:t>974</w:t>
            </w:r>
          </w:p>
        </w:tc>
        <w:tc>
          <w:tcPr>
            <w:tcW w:w="875" w:type="dxa"/>
            <w:tcBorders>
              <w:top w:val="nil"/>
              <w:left w:val="nil"/>
              <w:bottom w:val="single" w:sz="4" w:space="0" w:color="auto"/>
              <w:right w:val="single" w:sz="4" w:space="0" w:color="auto"/>
            </w:tcBorders>
            <w:shd w:val="clear" w:color="auto" w:fill="auto"/>
            <w:noWrap/>
            <w:vAlign w:val="bottom"/>
            <w:hideMark/>
          </w:tcPr>
          <w:p w14:paraId="5E9AEE9B" w14:textId="7AC2ACEC"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84.3%</w:t>
            </w:r>
          </w:p>
        </w:tc>
        <w:tc>
          <w:tcPr>
            <w:tcW w:w="828" w:type="dxa"/>
            <w:tcBorders>
              <w:top w:val="nil"/>
              <w:left w:val="nil"/>
              <w:bottom w:val="single" w:sz="4" w:space="0" w:color="auto"/>
              <w:right w:val="single" w:sz="4" w:space="0" w:color="auto"/>
            </w:tcBorders>
            <w:shd w:val="clear" w:color="auto" w:fill="auto"/>
            <w:noWrap/>
            <w:vAlign w:val="bottom"/>
            <w:hideMark/>
          </w:tcPr>
          <w:p w14:paraId="78C0A93D" w14:textId="1077F633"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1</w:t>
            </w:r>
            <w:r w:rsidR="00423757" w:rsidRPr="008B2B45">
              <w:rPr>
                <w:rFonts w:asciiTheme="majorHAnsi" w:eastAsia="Times New Roman" w:hAnsiTheme="majorHAnsi" w:cstheme="majorHAnsi"/>
                <w:lang w:eastAsia="en-GB"/>
              </w:rPr>
              <w:t>,</w:t>
            </w:r>
            <w:r w:rsidRPr="008C5C53">
              <w:rPr>
                <w:rFonts w:asciiTheme="majorHAnsi" w:eastAsia="Times New Roman" w:hAnsiTheme="majorHAnsi" w:cstheme="majorHAnsi"/>
                <w:lang w:eastAsia="en-GB"/>
              </w:rPr>
              <w:t>317</w:t>
            </w:r>
          </w:p>
        </w:tc>
        <w:tc>
          <w:tcPr>
            <w:tcW w:w="875" w:type="dxa"/>
            <w:tcBorders>
              <w:top w:val="nil"/>
              <w:left w:val="nil"/>
              <w:bottom w:val="single" w:sz="4" w:space="0" w:color="auto"/>
              <w:right w:val="single" w:sz="4" w:space="0" w:color="auto"/>
            </w:tcBorders>
            <w:shd w:val="clear" w:color="auto" w:fill="auto"/>
            <w:noWrap/>
            <w:vAlign w:val="bottom"/>
            <w:hideMark/>
          </w:tcPr>
          <w:p w14:paraId="12298FCF" w14:textId="11BB810E"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56.2%</w:t>
            </w:r>
          </w:p>
        </w:tc>
        <w:tc>
          <w:tcPr>
            <w:tcW w:w="828" w:type="dxa"/>
            <w:tcBorders>
              <w:top w:val="nil"/>
              <w:left w:val="nil"/>
              <w:bottom w:val="single" w:sz="4" w:space="0" w:color="auto"/>
              <w:right w:val="single" w:sz="4" w:space="0" w:color="auto"/>
            </w:tcBorders>
            <w:shd w:val="clear" w:color="auto" w:fill="auto"/>
            <w:noWrap/>
            <w:vAlign w:val="bottom"/>
            <w:hideMark/>
          </w:tcPr>
          <w:p w14:paraId="5F7EBB69" w14:textId="77777777"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989</w:t>
            </w:r>
          </w:p>
        </w:tc>
        <w:tc>
          <w:tcPr>
            <w:tcW w:w="875" w:type="dxa"/>
            <w:tcBorders>
              <w:top w:val="nil"/>
              <w:left w:val="nil"/>
              <w:bottom w:val="single" w:sz="4" w:space="0" w:color="auto"/>
              <w:right w:val="single" w:sz="4" w:space="0" w:color="auto"/>
            </w:tcBorders>
            <w:shd w:val="clear" w:color="auto" w:fill="auto"/>
            <w:noWrap/>
            <w:vAlign w:val="bottom"/>
            <w:hideMark/>
          </w:tcPr>
          <w:p w14:paraId="1BE8825D" w14:textId="6041575F"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42.2%</w:t>
            </w:r>
          </w:p>
        </w:tc>
        <w:tc>
          <w:tcPr>
            <w:tcW w:w="768" w:type="dxa"/>
            <w:tcBorders>
              <w:top w:val="nil"/>
              <w:left w:val="nil"/>
              <w:bottom w:val="single" w:sz="4" w:space="0" w:color="auto"/>
              <w:right w:val="single" w:sz="4" w:space="0" w:color="auto"/>
            </w:tcBorders>
            <w:shd w:val="clear" w:color="auto" w:fill="auto"/>
            <w:noWrap/>
            <w:vAlign w:val="bottom"/>
            <w:hideMark/>
          </w:tcPr>
          <w:p w14:paraId="41DDEDBF" w14:textId="77777777"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754</w:t>
            </w:r>
          </w:p>
        </w:tc>
        <w:tc>
          <w:tcPr>
            <w:tcW w:w="956" w:type="dxa"/>
            <w:tcBorders>
              <w:top w:val="nil"/>
              <w:left w:val="nil"/>
              <w:bottom w:val="single" w:sz="4" w:space="0" w:color="auto"/>
              <w:right w:val="single" w:sz="4" w:space="0" w:color="auto"/>
            </w:tcBorders>
            <w:shd w:val="clear" w:color="auto" w:fill="auto"/>
            <w:noWrap/>
            <w:vAlign w:val="bottom"/>
            <w:hideMark/>
          </w:tcPr>
          <w:p w14:paraId="79F6888F" w14:textId="567AA8BD"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32.2%</w:t>
            </w:r>
          </w:p>
        </w:tc>
      </w:tr>
      <w:tr w:rsidR="008B2B45" w:rsidRPr="008B2B45" w14:paraId="12D8443C" w14:textId="77777777" w:rsidTr="00E1594B">
        <w:trPr>
          <w:trHeight w:val="186"/>
        </w:trPr>
        <w:tc>
          <w:tcPr>
            <w:tcW w:w="1234" w:type="dxa"/>
            <w:tcBorders>
              <w:top w:val="nil"/>
              <w:left w:val="single" w:sz="4" w:space="0" w:color="auto"/>
              <w:bottom w:val="single" w:sz="4" w:space="0" w:color="auto"/>
              <w:right w:val="single" w:sz="4" w:space="0" w:color="auto"/>
            </w:tcBorders>
            <w:shd w:val="clear" w:color="auto" w:fill="auto"/>
            <w:vAlign w:val="bottom"/>
            <w:hideMark/>
          </w:tcPr>
          <w:p w14:paraId="4C2CD298" w14:textId="77777777" w:rsidR="008C5C53" w:rsidRPr="008C5C53" w:rsidRDefault="008C5C53" w:rsidP="00E1594B">
            <w:pPr>
              <w:spacing w:after="0" w:line="240" w:lineRule="auto"/>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East Midlands</w:t>
            </w:r>
          </w:p>
        </w:tc>
        <w:tc>
          <w:tcPr>
            <w:tcW w:w="1204" w:type="dxa"/>
            <w:tcBorders>
              <w:top w:val="nil"/>
              <w:left w:val="nil"/>
              <w:bottom w:val="single" w:sz="4" w:space="0" w:color="auto"/>
              <w:right w:val="single" w:sz="4" w:space="0" w:color="auto"/>
            </w:tcBorders>
            <w:shd w:val="clear" w:color="auto" w:fill="auto"/>
            <w:noWrap/>
            <w:vAlign w:val="bottom"/>
            <w:hideMark/>
          </w:tcPr>
          <w:p w14:paraId="6E97DC72" w14:textId="77777777"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1</w:t>
            </w:r>
            <w:r w:rsidRPr="008B2B45">
              <w:rPr>
                <w:rFonts w:asciiTheme="majorHAnsi" w:eastAsia="Times New Roman" w:hAnsiTheme="majorHAnsi" w:cstheme="majorHAnsi"/>
                <w:lang w:eastAsia="en-GB"/>
              </w:rPr>
              <w:t>,</w:t>
            </w:r>
            <w:r w:rsidRPr="008C5C53">
              <w:rPr>
                <w:rFonts w:asciiTheme="majorHAnsi" w:eastAsia="Times New Roman" w:hAnsiTheme="majorHAnsi" w:cstheme="majorHAnsi"/>
                <w:lang w:eastAsia="en-GB"/>
              </w:rPr>
              <w:t>738</w:t>
            </w:r>
          </w:p>
        </w:tc>
        <w:tc>
          <w:tcPr>
            <w:tcW w:w="875" w:type="dxa"/>
            <w:tcBorders>
              <w:top w:val="nil"/>
              <w:left w:val="nil"/>
              <w:bottom w:val="single" w:sz="4" w:space="0" w:color="auto"/>
              <w:right w:val="single" w:sz="4" w:space="0" w:color="auto"/>
            </w:tcBorders>
            <w:shd w:val="clear" w:color="auto" w:fill="auto"/>
            <w:noWrap/>
            <w:vAlign w:val="bottom"/>
            <w:hideMark/>
          </w:tcPr>
          <w:p w14:paraId="52F10057" w14:textId="1970D166"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86.9%</w:t>
            </w:r>
          </w:p>
        </w:tc>
        <w:tc>
          <w:tcPr>
            <w:tcW w:w="828" w:type="dxa"/>
            <w:tcBorders>
              <w:top w:val="nil"/>
              <w:left w:val="nil"/>
              <w:bottom w:val="single" w:sz="4" w:space="0" w:color="auto"/>
              <w:right w:val="single" w:sz="4" w:space="0" w:color="auto"/>
            </w:tcBorders>
            <w:shd w:val="clear" w:color="auto" w:fill="auto"/>
            <w:noWrap/>
            <w:vAlign w:val="bottom"/>
            <w:hideMark/>
          </w:tcPr>
          <w:p w14:paraId="02A6FE6C" w14:textId="652CAD16"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1</w:t>
            </w:r>
            <w:r w:rsidR="00423757" w:rsidRPr="008B2B45">
              <w:rPr>
                <w:rFonts w:asciiTheme="majorHAnsi" w:eastAsia="Times New Roman" w:hAnsiTheme="majorHAnsi" w:cstheme="majorHAnsi"/>
                <w:lang w:eastAsia="en-GB"/>
              </w:rPr>
              <w:t>,</w:t>
            </w:r>
            <w:r w:rsidRPr="008C5C53">
              <w:rPr>
                <w:rFonts w:asciiTheme="majorHAnsi" w:eastAsia="Times New Roman" w:hAnsiTheme="majorHAnsi" w:cstheme="majorHAnsi"/>
                <w:lang w:eastAsia="en-GB"/>
              </w:rPr>
              <w:t>108</w:t>
            </w:r>
          </w:p>
        </w:tc>
        <w:tc>
          <w:tcPr>
            <w:tcW w:w="875" w:type="dxa"/>
            <w:tcBorders>
              <w:top w:val="nil"/>
              <w:left w:val="nil"/>
              <w:bottom w:val="single" w:sz="4" w:space="0" w:color="auto"/>
              <w:right w:val="single" w:sz="4" w:space="0" w:color="auto"/>
            </w:tcBorders>
            <w:shd w:val="clear" w:color="auto" w:fill="auto"/>
            <w:noWrap/>
            <w:vAlign w:val="bottom"/>
            <w:hideMark/>
          </w:tcPr>
          <w:p w14:paraId="5B7B2F87" w14:textId="79D594D4"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55.3%</w:t>
            </w:r>
          </w:p>
        </w:tc>
        <w:tc>
          <w:tcPr>
            <w:tcW w:w="828" w:type="dxa"/>
            <w:tcBorders>
              <w:top w:val="nil"/>
              <w:left w:val="nil"/>
              <w:bottom w:val="single" w:sz="4" w:space="0" w:color="auto"/>
              <w:right w:val="single" w:sz="4" w:space="0" w:color="auto"/>
            </w:tcBorders>
            <w:shd w:val="clear" w:color="auto" w:fill="auto"/>
            <w:noWrap/>
            <w:vAlign w:val="bottom"/>
            <w:hideMark/>
          </w:tcPr>
          <w:p w14:paraId="1FDB3406" w14:textId="77777777"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898</w:t>
            </w:r>
          </w:p>
        </w:tc>
        <w:tc>
          <w:tcPr>
            <w:tcW w:w="875" w:type="dxa"/>
            <w:tcBorders>
              <w:top w:val="nil"/>
              <w:left w:val="nil"/>
              <w:bottom w:val="single" w:sz="4" w:space="0" w:color="auto"/>
              <w:right w:val="single" w:sz="4" w:space="0" w:color="auto"/>
            </w:tcBorders>
            <w:shd w:val="clear" w:color="auto" w:fill="auto"/>
            <w:noWrap/>
            <w:vAlign w:val="bottom"/>
            <w:hideMark/>
          </w:tcPr>
          <w:p w14:paraId="37679CD4" w14:textId="45C1CA9A"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44.9%</w:t>
            </w:r>
          </w:p>
        </w:tc>
        <w:tc>
          <w:tcPr>
            <w:tcW w:w="768" w:type="dxa"/>
            <w:tcBorders>
              <w:top w:val="nil"/>
              <w:left w:val="nil"/>
              <w:bottom w:val="single" w:sz="4" w:space="0" w:color="auto"/>
              <w:right w:val="single" w:sz="4" w:space="0" w:color="auto"/>
            </w:tcBorders>
            <w:shd w:val="clear" w:color="auto" w:fill="auto"/>
            <w:noWrap/>
            <w:vAlign w:val="bottom"/>
            <w:hideMark/>
          </w:tcPr>
          <w:p w14:paraId="1CF831E8" w14:textId="77777777"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716</w:t>
            </w:r>
          </w:p>
        </w:tc>
        <w:tc>
          <w:tcPr>
            <w:tcW w:w="956" w:type="dxa"/>
            <w:tcBorders>
              <w:top w:val="nil"/>
              <w:left w:val="nil"/>
              <w:bottom w:val="single" w:sz="4" w:space="0" w:color="auto"/>
              <w:right w:val="single" w:sz="4" w:space="0" w:color="auto"/>
            </w:tcBorders>
            <w:shd w:val="clear" w:color="auto" w:fill="auto"/>
            <w:noWrap/>
            <w:vAlign w:val="bottom"/>
            <w:hideMark/>
          </w:tcPr>
          <w:p w14:paraId="789F504B" w14:textId="2D70ABC6"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35.8%</w:t>
            </w:r>
          </w:p>
        </w:tc>
      </w:tr>
      <w:tr w:rsidR="008B2B45" w:rsidRPr="008B2B45" w14:paraId="32C1DE24" w14:textId="77777777" w:rsidTr="00E1594B">
        <w:trPr>
          <w:trHeight w:val="186"/>
        </w:trPr>
        <w:tc>
          <w:tcPr>
            <w:tcW w:w="1234" w:type="dxa"/>
            <w:tcBorders>
              <w:top w:val="nil"/>
              <w:left w:val="single" w:sz="4" w:space="0" w:color="auto"/>
              <w:bottom w:val="single" w:sz="4" w:space="0" w:color="auto"/>
              <w:right w:val="single" w:sz="4" w:space="0" w:color="auto"/>
            </w:tcBorders>
            <w:shd w:val="clear" w:color="auto" w:fill="auto"/>
            <w:vAlign w:val="bottom"/>
            <w:hideMark/>
          </w:tcPr>
          <w:p w14:paraId="0DBE765C" w14:textId="77777777" w:rsidR="008C5C53" w:rsidRPr="008C5C53" w:rsidRDefault="008C5C53" w:rsidP="00E1594B">
            <w:pPr>
              <w:spacing w:after="0" w:line="240" w:lineRule="auto"/>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West Midlands</w:t>
            </w:r>
          </w:p>
        </w:tc>
        <w:tc>
          <w:tcPr>
            <w:tcW w:w="1204" w:type="dxa"/>
            <w:tcBorders>
              <w:top w:val="nil"/>
              <w:left w:val="nil"/>
              <w:bottom w:val="single" w:sz="4" w:space="0" w:color="auto"/>
              <w:right w:val="single" w:sz="4" w:space="0" w:color="auto"/>
            </w:tcBorders>
            <w:shd w:val="clear" w:color="auto" w:fill="auto"/>
            <w:noWrap/>
            <w:vAlign w:val="bottom"/>
            <w:hideMark/>
          </w:tcPr>
          <w:p w14:paraId="5ECF629D" w14:textId="77777777"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2</w:t>
            </w:r>
            <w:r w:rsidRPr="008B2B45">
              <w:rPr>
                <w:rFonts w:asciiTheme="majorHAnsi" w:eastAsia="Times New Roman" w:hAnsiTheme="majorHAnsi" w:cstheme="majorHAnsi"/>
                <w:lang w:eastAsia="en-GB"/>
              </w:rPr>
              <w:t>,</w:t>
            </w:r>
            <w:r w:rsidRPr="008C5C53">
              <w:rPr>
                <w:rFonts w:asciiTheme="majorHAnsi" w:eastAsia="Times New Roman" w:hAnsiTheme="majorHAnsi" w:cstheme="majorHAnsi"/>
                <w:lang w:eastAsia="en-GB"/>
              </w:rPr>
              <w:t>025</w:t>
            </w:r>
          </w:p>
        </w:tc>
        <w:tc>
          <w:tcPr>
            <w:tcW w:w="875" w:type="dxa"/>
            <w:tcBorders>
              <w:top w:val="nil"/>
              <w:left w:val="nil"/>
              <w:bottom w:val="single" w:sz="4" w:space="0" w:color="auto"/>
              <w:right w:val="single" w:sz="4" w:space="0" w:color="auto"/>
            </w:tcBorders>
            <w:shd w:val="clear" w:color="auto" w:fill="auto"/>
            <w:noWrap/>
            <w:vAlign w:val="bottom"/>
            <w:hideMark/>
          </w:tcPr>
          <w:p w14:paraId="55070DE8" w14:textId="181DECAE"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84.9%</w:t>
            </w:r>
          </w:p>
        </w:tc>
        <w:tc>
          <w:tcPr>
            <w:tcW w:w="828" w:type="dxa"/>
            <w:tcBorders>
              <w:top w:val="nil"/>
              <w:left w:val="nil"/>
              <w:bottom w:val="single" w:sz="4" w:space="0" w:color="auto"/>
              <w:right w:val="single" w:sz="4" w:space="0" w:color="auto"/>
            </w:tcBorders>
            <w:shd w:val="clear" w:color="auto" w:fill="auto"/>
            <w:noWrap/>
            <w:vAlign w:val="bottom"/>
            <w:hideMark/>
          </w:tcPr>
          <w:p w14:paraId="0AAD5434" w14:textId="7DF9056C"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1</w:t>
            </w:r>
            <w:r w:rsidR="00423757" w:rsidRPr="008B2B45">
              <w:rPr>
                <w:rFonts w:asciiTheme="majorHAnsi" w:eastAsia="Times New Roman" w:hAnsiTheme="majorHAnsi" w:cstheme="majorHAnsi"/>
                <w:lang w:eastAsia="en-GB"/>
              </w:rPr>
              <w:t>,</w:t>
            </w:r>
            <w:r w:rsidRPr="008C5C53">
              <w:rPr>
                <w:rFonts w:asciiTheme="majorHAnsi" w:eastAsia="Times New Roman" w:hAnsiTheme="majorHAnsi" w:cstheme="majorHAnsi"/>
                <w:lang w:eastAsia="en-GB"/>
              </w:rPr>
              <w:t>359</w:t>
            </w:r>
          </w:p>
        </w:tc>
        <w:tc>
          <w:tcPr>
            <w:tcW w:w="875" w:type="dxa"/>
            <w:tcBorders>
              <w:top w:val="nil"/>
              <w:left w:val="nil"/>
              <w:bottom w:val="single" w:sz="4" w:space="0" w:color="auto"/>
              <w:right w:val="single" w:sz="4" w:space="0" w:color="auto"/>
            </w:tcBorders>
            <w:shd w:val="clear" w:color="auto" w:fill="auto"/>
            <w:noWrap/>
            <w:vAlign w:val="bottom"/>
            <w:hideMark/>
          </w:tcPr>
          <w:p w14:paraId="3683F6FA" w14:textId="32C63B16"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57.0%</w:t>
            </w:r>
          </w:p>
        </w:tc>
        <w:tc>
          <w:tcPr>
            <w:tcW w:w="828" w:type="dxa"/>
            <w:tcBorders>
              <w:top w:val="nil"/>
              <w:left w:val="nil"/>
              <w:bottom w:val="single" w:sz="4" w:space="0" w:color="auto"/>
              <w:right w:val="single" w:sz="4" w:space="0" w:color="auto"/>
            </w:tcBorders>
            <w:shd w:val="clear" w:color="auto" w:fill="auto"/>
            <w:noWrap/>
            <w:vAlign w:val="bottom"/>
            <w:hideMark/>
          </w:tcPr>
          <w:p w14:paraId="7FA6B579" w14:textId="2B891CDE"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1</w:t>
            </w:r>
            <w:r w:rsidR="00423757" w:rsidRPr="008B2B45">
              <w:rPr>
                <w:rFonts w:asciiTheme="majorHAnsi" w:eastAsia="Times New Roman" w:hAnsiTheme="majorHAnsi" w:cstheme="majorHAnsi"/>
                <w:lang w:eastAsia="en-GB"/>
              </w:rPr>
              <w:t>,</w:t>
            </w:r>
            <w:r w:rsidRPr="008C5C53">
              <w:rPr>
                <w:rFonts w:asciiTheme="majorHAnsi" w:eastAsia="Times New Roman" w:hAnsiTheme="majorHAnsi" w:cstheme="majorHAnsi"/>
                <w:lang w:eastAsia="en-GB"/>
              </w:rPr>
              <w:t>099</w:t>
            </w:r>
          </w:p>
        </w:tc>
        <w:tc>
          <w:tcPr>
            <w:tcW w:w="875" w:type="dxa"/>
            <w:tcBorders>
              <w:top w:val="nil"/>
              <w:left w:val="nil"/>
              <w:bottom w:val="single" w:sz="4" w:space="0" w:color="auto"/>
              <w:right w:val="single" w:sz="4" w:space="0" w:color="auto"/>
            </w:tcBorders>
            <w:shd w:val="clear" w:color="auto" w:fill="auto"/>
            <w:noWrap/>
            <w:vAlign w:val="bottom"/>
            <w:hideMark/>
          </w:tcPr>
          <w:p w14:paraId="398CEF4C" w14:textId="36864FC9"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46.1%</w:t>
            </w:r>
          </w:p>
        </w:tc>
        <w:tc>
          <w:tcPr>
            <w:tcW w:w="768" w:type="dxa"/>
            <w:tcBorders>
              <w:top w:val="nil"/>
              <w:left w:val="nil"/>
              <w:bottom w:val="single" w:sz="4" w:space="0" w:color="auto"/>
              <w:right w:val="single" w:sz="4" w:space="0" w:color="auto"/>
            </w:tcBorders>
            <w:shd w:val="clear" w:color="auto" w:fill="auto"/>
            <w:noWrap/>
            <w:vAlign w:val="bottom"/>
            <w:hideMark/>
          </w:tcPr>
          <w:p w14:paraId="6EC518B0" w14:textId="77777777"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868</w:t>
            </w:r>
          </w:p>
        </w:tc>
        <w:tc>
          <w:tcPr>
            <w:tcW w:w="956" w:type="dxa"/>
            <w:tcBorders>
              <w:top w:val="nil"/>
              <w:left w:val="nil"/>
              <w:bottom w:val="single" w:sz="4" w:space="0" w:color="auto"/>
              <w:right w:val="single" w:sz="4" w:space="0" w:color="auto"/>
            </w:tcBorders>
            <w:shd w:val="clear" w:color="auto" w:fill="auto"/>
            <w:noWrap/>
            <w:vAlign w:val="bottom"/>
            <w:hideMark/>
          </w:tcPr>
          <w:p w14:paraId="1A510F3A" w14:textId="065CB3F7"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36.4%</w:t>
            </w:r>
          </w:p>
        </w:tc>
      </w:tr>
      <w:tr w:rsidR="008B2B45" w:rsidRPr="008B2B45" w14:paraId="36852FCD" w14:textId="77777777" w:rsidTr="00E1594B">
        <w:trPr>
          <w:trHeight w:val="186"/>
        </w:trPr>
        <w:tc>
          <w:tcPr>
            <w:tcW w:w="1234" w:type="dxa"/>
            <w:tcBorders>
              <w:top w:val="nil"/>
              <w:left w:val="single" w:sz="4" w:space="0" w:color="auto"/>
              <w:bottom w:val="single" w:sz="4" w:space="0" w:color="auto"/>
              <w:right w:val="single" w:sz="4" w:space="0" w:color="auto"/>
            </w:tcBorders>
            <w:shd w:val="clear" w:color="auto" w:fill="auto"/>
            <w:vAlign w:val="bottom"/>
            <w:hideMark/>
          </w:tcPr>
          <w:p w14:paraId="5273DC26" w14:textId="77777777" w:rsidR="008C5C53" w:rsidRPr="008C5C53" w:rsidRDefault="008C5C53" w:rsidP="00E1594B">
            <w:pPr>
              <w:spacing w:after="0" w:line="240" w:lineRule="auto"/>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Eastern</w:t>
            </w:r>
          </w:p>
        </w:tc>
        <w:tc>
          <w:tcPr>
            <w:tcW w:w="1204" w:type="dxa"/>
            <w:tcBorders>
              <w:top w:val="nil"/>
              <w:left w:val="nil"/>
              <w:bottom w:val="single" w:sz="4" w:space="0" w:color="auto"/>
              <w:right w:val="single" w:sz="4" w:space="0" w:color="auto"/>
            </w:tcBorders>
            <w:shd w:val="clear" w:color="auto" w:fill="auto"/>
            <w:noWrap/>
            <w:vAlign w:val="bottom"/>
            <w:hideMark/>
          </w:tcPr>
          <w:p w14:paraId="41D18C2D" w14:textId="77777777"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2</w:t>
            </w:r>
            <w:r w:rsidRPr="008B2B45">
              <w:rPr>
                <w:rFonts w:asciiTheme="majorHAnsi" w:eastAsia="Times New Roman" w:hAnsiTheme="majorHAnsi" w:cstheme="majorHAnsi"/>
                <w:lang w:eastAsia="en-GB"/>
              </w:rPr>
              <w:t>,</w:t>
            </w:r>
            <w:r w:rsidRPr="008C5C53">
              <w:rPr>
                <w:rFonts w:asciiTheme="majorHAnsi" w:eastAsia="Times New Roman" w:hAnsiTheme="majorHAnsi" w:cstheme="majorHAnsi"/>
                <w:lang w:eastAsia="en-GB"/>
              </w:rPr>
              <w:t>208</w:t>
            </w:r>
          </w:p>
        </w:tc>
        <w:tc>
          <w:tcPr>
            <w:tcW w:w="875" w:type="dxa"/>
            <w:tcBorders>
              <w:top w:val="nil"/>
              <w:left w:val="nil"/>
              <w:bottom w:val="single" w:sz="4" w:space="0" w:color="auto"/>
              <w:right w:val="single" w:sz="4" w:space="0" w:color="auto"/>
            </w:tcBorders>
            <w:shd w:val="clear" w:color="auto" w:fill="auto"/>
            <w:noWrap/>
            <w:vAlign w:val="bottom"/>
            <w:hideMark/>
          </w:tcPr>
          <w:p w14:paraId="1EFB632E" w14:textId="4F0D92A5"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87.1%</w:t>
            </w:r>
          </w:p>
        </w:tc>
        <w:tc>
          <w:tcPr>
            <w:tcW w:w="828" w:type="dxa"/>
            <w:tcBorders>
              <w:top w:val="nil"/>
              <w:left w:val="nil"/>
              <w:bottom w:val="single" w:sz="4" w:space="0" w:color="auto"/>
              <w:right w:val="single" w:sz="4" w:space="0" w:color="auto"/>
            </w:tcBorders>
            <w:shd w:val="clear" w:color="auto" w:fill="auto"/>
            <w:noWrap/>
            <w:vAlign w:val="bottom"/>
            <w:hideMark/>
          </w:tcPr>
          <w:p w14:paraId="2D18A478" w14:textId="5551F7AB"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1</w:t>
            </w:r>
            <w:r w:rsidR="00423757" w:rsidRPr="008B2B45">
              <w:rPr>
                <w:rFonts w:asciiTheme="majorHAnsi" w:eastAsia="Times New Roman" w:hAnsiTheme="majorHAnsi" w:cstheme="majorHAnsi"/>
                <w:lang w:eastAsia="en-GB"/>
              </w:rPr>
              <w:t>,</w:t>
            </w:r>
            <w:r w:rsidRPr="008C5C53">
              <w:rPr>
                <w:rFonts w:asciiTheme="majorHAnsi" w:eastAsia="Times New Roman" w:hAnsiTheme="majorHAnsi" w:cstheme="majorHAnsi"/>
                <w:lang w:eastAsia="en-GB"/>
              </w:rPr>
              <w:t>336</w:t>
            </w:r>
          </w:p>
        </w:tc>
        <w:tc>
          <w:tcPr>
            <w:tcW w:w="875" w:type="dxa"/>
            <w:tcBorders>
              <w:top w:val="nil"/>
              <w:left w:val="nil"/>
              <w:bottom w:val="single" w:sz="4" w:space="0" w:color="auto"/>
              <w:right w:val="single" w:sz="4" w:space="0" w:color="auto"/>
            </w:tcBorders>
            <w:shd w:val="clear" w:color="auto" w:fill="auto"/>
            <w:noWrap/>
            <w:vAlign w:val="bottom"/>
            <w:hideMark/>
          </w:tcPr>
          <w:p w14:paraId="256A5162" w14:textId="786E191C"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52.7%</w:t>
            </w:r>
          </w:p>
        </w:tc>
        <w:tc>
          <w:tcPr>
            <w:tcW w:w="828" w:type="dxa"/>
            <w:tcBorders>
              <w:top w:val="nil"/>
              <w:left w:val="nil"/>
              <w:bottom w:val="single" w:sz="4" w:space="0" w:color="auto"/>
              <w:right w:val="single" w:sz="4" w:space="0" w:color="auto"/>
            </w:tcBorders>
            <w:shd w:val="clear" w:color="auto" w:fill="auto"/>
            <w:noWrap/>
            <w:vAlign w:val="bottom"/>
            <w:hideMark/>
          </w:tcPr>
          <w:p w14:paraId="7AC0E282" w14:textId="5896C825"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1</w:t>
            </w:r>
            <w:r w:rsidR="00423757" w:rsidRPr="008B2B45">
              <w:rPr>
                <w:rFonts w:asciiTheme="majorHAnsi" w:eastAsia="Times New Roman" w:hAnsiTheme="majorHAnsi" w:cstheme="majorHAnsi"/>
                <w:lang w:eastAsia="en-GB"/>
              </w:rPr>
              <w:t>,</w:t>
            </w:r>
            <w:r w:rsidRPr="008C5C53">
              <w:rPr>
                <w:rFonts w:asciiTheme="majorHAnsi" w:eastAsia="Times New Roman" w:hAnsiTheme="majorHAnsi" w:cstheme="majorHAnsi"/>
                <w:lang w:eastAsia="en-GB"/>
              </w:rPr>
              <w:t>030</w:t>
            </w:r>
          </w:p>
        </w:tc>
        <w:tc>
          <w:tcPr>
            <w:tcW w:w="875" w:type="dxa"/>
            <w:tcBorders>
              <w:top w:val="nil"/>
              <w:left w:val="nil"/>
              <w:bottom w:val="single" w:sz="4" w:space="0" w:color="auto"/>
              <w:right w:val="single" w:sz="4" w:space="0" w:color="auto"/>
            </w:tcBorders>
            <w:shd w:val="clear" w:color="auto" w:fill="auto"/>
            <w:noWrap/>
            <w:vAlign w:val="bottom"/>
            <w:hideMark/>
          </w:tcPr>
          <w:p w14:paraId="54BE811F" w14:textId="59AFA3B1"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40.6%</w:t>
            </w:r>
          </w:p>
        </w:tc>
        <w:tc>
          <w:tcPr>
            <w:tcW w:w="768" w:type="dxa"/>
            <w:tcBorders>
              <w:top w:val="nil"/>
              <w:left w:val="nil"/>
              <w:bottom w:val="single" w:sz="4" w:space="0" w:color="auto"/>
              <w:right w:val="single" w:sz="4" w:space="0" w:color="auto"/>
            </w:tcBorders>
            <w:shd w:val="clear" w:color="auto" w:fill="auto"/>
            <w:noWrap/>
            <w:vAlign w:val="bottom"/>
            <w:hideMark/>
          </w:tcPr>
          <w:p w14:paraId="2B6C71AF" w14:textId="77777777"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814</w:t>
            </w:r>
          </w:p>
        </w:tc>
        <w:tc>
          <w:tcPr>
            <w:tcW w:w="956" w:type="dxa"/>
            <w:tcBorders>
              <w:top w:val="nil"/>
              <w:left w:val="nil"/>
              <w:bottom w:val="single" w:sz="4" w:space="0" w:color="auto"/>
              <w:right w:val="single" w:sz="4" w:space="0" w:color="auto"/>
            </w:tcBorders>
            <w:shd w:val="clear" w:color="auto" w:fill="auto"/>
            <w:noWrap/>
            <w:vAlign w:val="bottom"/>
            <w:hideMark/>
          </w:tcPr>
          <w:p w14:paraId="7A51FDDE" w14:textId="138592C8"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32.1%</w:t>
            </w:r>
          </w:p>
        </w:tc>
      </w:tr>
      <w:tr w:rsidR="008B2B45" w:rsidRPr="008B2B45" w14:paraId="7B1ED6C6" w14:textId="77777777" w:rsidTr="00E1594B">
        <w:trPr>
          <w:trHeight w:val="186"/>
        </w:trPr>
        <w:tc>
          <w:tcPr>
            <w:tcW w:w="1234" w:type="dxa"/>
            <w:tcBorders>
              <w:top w:val="nil"/>
              <w:left w:val="single" w:sz="4" w:space="0" w:color="auto"/>
              <w:bottom w:val="single" w:sz="4" w:space="0" w:color="auto"/>
              <w:right w:val="single" w:sz="4" w:space="0" w:color="auto"/>
            </w:tcBorders>
            <w:shd w:val="clear" w:color="auto" w:fill="auto"/>
            <w:vAlign w:val="bottom"/>
            <w:hideMark/>
          </w:tcPr>
          <w:p w14:paraId="2E879295" w14:textId="77777777" w:rsidR="008C5C53" w:rsidRPr="008C5C53" w:rsidRDefault="008C5C53" w:rsidP="00E1594B">
            <w:pPr>
              <w:spacing w:after="0" w:line="240" w:lineRule="auto"/>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London</w:t>
            </w:r>
          </w:p>
        </w:tc>
        <w:tc>
          <w:tcPr>
            <w:tcW w:w="1204" w:type="dxa"/>
            <w:tcBorders>
              <w:top w:val="nil"/>
              <w:left w:val="nil"/>
              <w:bottom w:val="single" w:sz="4" w:space="0" w:color="auto"/>
              <w:right w:val="single" w:sz="4" w:space="0" w:color="auto"/>
            </w:tcBorders>
            <w:shd w:val="clear" w:color="auto" w:fill="auto"/>
            <w:noWrap/>
            <w:vAlign w:val="bottom"/>
            <w:hideMark/>
          </w:tcPr>
          <w:p w14:paraId="220F2011" w14:textId="77777777"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2</w:t>
            </w:r>
            <w:r w:rsidRPr="008B2B45">
              <w:rPr>
                <w:rFonts w:asciiTheme="majorHAnsi" w:eastAsia="Times New Roman" w:hAnsiTheme="majorHAnsi" w:cstheme="majorHAnsi"/>
                <w:lang w:eastAsia="en-GB"/>
              </w:rPr>
              <w:t>,</w:t>
            </w:r>
            <w:r w:rsidRPr="008C5C53">
              <w:rPr>
                <w:rFonts w:asciiTheme="majorHAnsi" w:eastAsia="Times New Roman" w:hAnsiTheme="majorHAnsi" w:cstheme="majorHAnsi"/>
                <w:lang w:eastAsia="en-GB"/>
              </w:rPr>
              <w:t>507</w:t>
            </w:r>
          </w:p>
        </w:tc>
        <w:tc>
          <w:tcPr>
            <w:tcW w:w="875" w:type="dxa"/>
            <w:tcBorders>
              <w:top w:val="nil"/>
              <w:left w:val="nil"/>
              <w:bottom w:val="single" w:sz="4" w:space="0" w:color="auto"/>
              <w:right w:val="single" w:sz="4" w:space="0" w:color="auto"/>
            </w:tcBorders>
            <w:shd w:val="clear" w:color="auto" w:fill="auto"/>
            <w:noWrap/>
            <w:vAlign w:val="bottom"/>
            <w:hideMark/>
          </w:tcPr>
          <w:p w14:paraId="394E0005" w14:textId="56BFB010"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79.0%</w:t>
            </w:r>
          </w:p>
        </w:tc>
        <w:tc>
          <w:tcPr>
            <w:tcW w:w="828" w:type="dxa"/>
            <w:tcBorders>
              <w:top w:val="nil"/>
              <w:left w:val="nil"/>
              <w:bottom w:val="single" w:sz="4" w:space="0" w:color="auto"/>
              <w:right w:val="single" w:sz="4" w:space="0" w:color="auto"/>
            </w:tcBorders>
            <w:shd w:val="clear" w:color="auto" w:fill="auto"/>
            <w:noWrap/>
            <w:vAlign w:val="bottom"/>
            <w:hideMark/>
          </w:tcPr>
          <w:p w14:paraId="0063A37A" w14:textId="449749A4"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1</w:t>
            </w:r>
            <w:r w:rsidR="00423757" w:rsidRPr="008B2B45">
              <w:rPr>
                <w:rFonts w:asciiTheme="majorHAnsi" w:eastAsia="Times New Roman" w:hAnsiTheme="majorHAnsi" w:cstheme="majorHAnsi"/>
                <w:lang w:eastAsia="en-GB"/>
              </w:rPr>
              <w:t>,</w:t>
            </w:r>
            <w:r w:rsidRPr="008C5C53">
              <w:rPr>
                <w:rFonts w:asciiTheme="majorHAnsi" w:eastAsia="Times New Roman" w:hAnsiTheme="majorHAnsi" w:cstheme="majorHAnsi"/>
                <w:lang w:eastAsia="en-GB"/>
              </w:rPr>
              <w:t>606</w:t>
            </w:r>
          </w:p>
        </w:tc>
        <w:tc>
          <w:tcPr>
            <w:tcW w:w="875" w:type="dxa"/>
            <w:tcBorders>
              <w:top w:val="nil"/>
              <w:left w:val="nil"/>
              <w:bottom w:val="single" w:sz="4" w:space="0" w:color="auto"/>
              <w:right w:val="single" w:sz="4" w:space="0" w:color="auto"/>
            </w:tcBorders>
            <w:shd w:val="clear" w:color="auto" w:fill="auto"/>
            <w:noWrap/>
            <w:vAlign w:val="bottom"/>
            <w:hideMark/>
          </w:tcPr>
          <w:p w14:paraId="098322C4" w14:textId="6F0A47B7"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50.6%</w:t>
            </w:r>
          </w:p>
        </w:tc>
        <w:tc>
          <w:tcPr>
            <w:tcW w:w="828" w:type="dxa"/>
            <w:tcBorders>
              <w:top w:val="nil"/>
              <w:left w:val="nil"/>
              <w:bottom w:val="single" w:sz="4" w:space="0" w:color="auto"/>
              <w:right w:val="single" w:sz="4" w:space="0" w:color="auto"/>
            </w:tcBorders>
            <w:shd w:val="clear" w:color="auto" w:fill="auto"/>
            <w:noWrap/>
            <w:vAlign w:val="bottom"/>
            <w:hideMark/>
          </w:tcPr>
          <w:p w14:paraId="06D96976" w14:textId="78E3DCB3"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1</w:t>
            </w:r>
            <w:r w:rsidR="00423757" w:rsidRPr="008B2B45">
              <w:rPr>
                <w:rFonts w:asciiTheme="majorHAnsi" w:eastAsia="Times New Roman" w:hAnsiTheme="majorHAnsi" w:cstheme="majorHAnsi"/>
                <w:lang w:eastAsia="en-GB"/>
              </w:rPr>
              <w:t>,</w:t>
            </w:r>
            <w:r w:rsidRPr="008C5C53">
              <w:rPr>
                <w:rFonts w:asciiTheme="majorHAnsi" w:eastAsia="Times New Roman" w:hAnsiTheme="majorHAnsi" w:cstheme="majorHAnsi"/>
                <w:lang w:eastAsia="en-GB"/>
              </w:rPr>
              <w:t>290</w:t>
            </w:r>
          </w:p>
        </w:tc>
        <w:tc>
          <w:tcPr>
            <w:tcW w:w="875" w:type="dxa"/>
            <w:tcBorders>
              <w:top w:val="nil"/>
              <w:left w:val="nil"/>
              <w:bottom w:val="single" w:sz="4" w:space="0" w:color="auto"/>
              <w:right w:val="single" w:sz="4" w:space="0" w:color="auto"/>
            </w:tcBorders>
            <w:shd w:val="clear" w:color="auto" w:fill="auto"/>
            <w:noWrap/>
            <w:vAlign w:val="bottom"/>
            <w:hideMark/>
          </w:tcPr>
          <w:p w14:paraId="5DAF94D2" w14:textId="422796B1"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40.6%</w:t>
            </w:r>
          </w:p>
        </w:tc>
        <w:tc>
          <w:tcPr>
            <w:tcW w:w="768" w:type="dxa"/>
            <w:tcBorders>
              <w:top w:val="nil"/>
              <w:left w:val="nil"/>
              <w:bottom w:val="single" w:sz="4" w:space="0" w:color="auto"/>
              <w:right w:val="single" w:sz="4" w:space="0" w:color="auto"/>
            </w:tcBorders>
            <w:shd w:val="clear" w:color="auto" w:fill="auto"/>
            <w:noWrap/>
            <w:vAlign w:val="bottom"/>
            <w:hideMark/>
          </w:tcPr>
          <w:p w14:paraId="33ED1961" w14:textId="703E0CCF"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1</w:t>
            </w:r>
            <w:r w:rsidR="00423757" w:rsidRPr="008B2B45">
              <w:rPr>
                <w:rFonts w:asciiTheme="majorHAnsi" w:eastAsia="Times New Roman" w:hAnsiTheme="majorHAnsi" w:cstheme="majorHAnsi"/>
                <w:lang w:eastAsia="en-GB"/>
              </w:rPr>
              <w:t>,</w:t>
            </w:r>
            <w:r w:rsidRPr="008C5C53">
              <w:rPr>
                <w:rFonts w:asciiTheme="majorHAnsi" w:eastAsia="Times New Roman" w:hAnsiTheme="majorHAnsi" w:cstheme="majorHAnsi"/>
                <w:lang w:eastAsia="en-GB"/>
              </w:rPr>
              <w:t>058</w:t>
            </w:r>
          </w:p>
        </w:tc>
        <w:tc>
          <w:tcPr>
            <w:tcW w:w="956" w:type="dxa"/>
            <w:tcBorders>
              <w:top w:val="nil"/>
              <w:left w:val="nil"/>
              <w:bottom w:val="single" w:sz="4" w:space="0" w:color="auto"/>
              <w:right w:val="single" w:sz="4" w:space="0" w:color="auto"/>
            </w:tcBorders>
            <w:shd w:val="clear" w:color="auto" w:fill="auto"/>
            <w:noWrap/>
            <w:vAlign w:val="bottom"/>
            <w:hideMark/>
          </w:tcPr>
          <w:p w14:paraId="29F37010" w14:textId="5B3B785E"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33.3%</w:t>
            </w:r>
          </w:p>
        </w:tc>
      </w:tr>
      <w:tr w:rsidR="008B2B45" w:rsidRPr="008B2B45" w14:paraId="087FBBCD" w14:textId="77777777" w:rsidTr="00E1594B">
        <w:trPr>
          <w:trHeight w:val="186"/>
        </w:trPr>
        <w:tc>
          <w:tcPr>
            <w:tcW w:w="1234" w:type="dxa"/>
            <w:tcBorders>
              <w:top w:val="nil"/>
              <w:left w:val="single" w:sz="4" w:space="0" w:color="auto"/>
              <w:bottom w:val="single" w:sz="4" w:space="0" w:color="auto"/>
              <w:right w:val="single" w:sz="4" w:space="0" w:color="auto"/>
            </w:tcBorders>
            <w:shd w:val="clear" w:color="auto" w:fill="auto"/>
            <w:vAlign w:val="bottom"/>
            <w:hideMark/>
          </w:tcPr>
          <w:p w14:paraId="69225646" w14:textId="77777777" w:rsidR="008C5C53" w:rsidRPr="008C5C53" w:rsidRDefault="008C5C53" w:rsidP="00E1594B">
            <w:pPr>
              <w:spacing w:after="0" w:line="240" w:lineRule="auto"/>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South East</w:t>
            </w:r>
          </w:p>
        </w:tc>
        <w:tc>
          <w:tcPr>
            <w:tcW w:w="1204" w:type="dxa"/>
            <w:tcBorders>
              <w:top w:val="nil"/>
              <w:left w:val="nil"/>
              <w:bottom w:val="single" w:sz="4" w:space="0" w:color="auto"/>
              <w:right w:val="single" w:sz="4" w:space="0" w:color="auto"/>
            </w:tcBorders>
            <w:shd w:val="clear" w:color="auto" w:fill="auto"/>
            <w:noWrap/>
            <w:vAlign w:val="bottom"/>
            <w:hideMark/>
          </w:tcPr>
          <w:p w14:paraId="6554AE71" w14:textId="77777777"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2</w:t>
            </w:r>
            <w:r w:rsidRPr="008B2B45">
              <w:rPr>
                <w:rFonts w:asciiTheme="majorHAnsi" w:eastAsia="Times New Roman" w:hAnsiTheme="majorHAnsi" w:cstheme="majorHAnsi"/>
                <w:lang w:eastAsia="en-GB"/>
              </w:rPr>
              <w:t>,</w:t>
            </w:r>
            <w:r w:rsidRPr="008C5C53">
              <w:rPr>
                <w:rFonts w:asciiTheme="majorHAnsi" w:eastAsia="Times New Roman" w:hAnsiTheme="majorHAnsi" w:cstheme="majorHAnsi"/>
                <w:lang w:eastAsia="en-GB"/>
              </w:rPr>
              <w:t>875</w:t>
            </w:r>
          </w:p>
        </w:tc>
        <w:tc>
          <w:tcPr>
            <w:tcW w:w="875" w:type="dxa"/>
            <w:tcBorders>
              <w:top w:val="nil"/>
              <w:left w:val="nil"/>
              <w:bottom w:val="single" w:sz="4" w:space="0" w:color="auto"/>
              <w:right w:val="single" w:sz="4" w:space="0" w:color="auto"/>
            </w:tcBorders>
            <w:shd w:val="clear" w:color="auto" w:fill="auto"/>
            <w:noWrap/>
            <w:vAlign w:val="bottom"/>
            <w:hideMark/>
          </w:tcPr>
          <w:p w14:paraId="7CB51E48" w14:textId="12D233C7"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79.2%</w:t>
            </w:r>
          </w:p>
        </w:tc>
        <w:tc>
          <w:tcPr>
            <w:tcW w:w="828" w:type="dxa"/>
            <w:tcBorders>
              <w:top w:val="nil"/>
              <w:left w:val="nil"/>
              <w:bottom w:val="single" w:sz="4" w:space="0" w:color="auto"/>
              <w:right w:val="single" w:sz="4" w:space="0" w:color="auto"/>
            </w:tcBorders>
            <w:shd w:val="clear" w:color="auto" w:fill="auto"/>
            <w:noWrap/>
            <w:vAlign w:val="bottom"/>
            <w:hideMark/>
          </w:tcPr>
          <w:p w14:paraId="4B57AC50" w14:textId="7AF0EF58"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1</w:t>
            </w:r>
            <w:r w:rsidR="00423757" w:rsidRPr="008B2B45">
              <w:rPr>
                <w:rFonts w:asciiTheme="majorHAnsi" w:eastAsia="Times New Roman" w:hAnsiTheme="majorHAnsi" w:cstheme="majorHAnsi"/>
                <w:lang w:eastAsia="en-GB"/>
              </w:rPr>
              <w:t>,</w:t>
            </w:r>
            <w:r w:rsidRPr="008C5C53">
              <w:rPr>
                <w:rFonts w:asciiTheme="majorHAnsi" w:eastAsia="Times New Roman" w:hAnsiTheme="majorHAnsi" w:cstheme="majorHAnsi"/>
                <w:lang w:eastAsia="en-GB"/>
              </w:rPr>
              <w:t>748</w:t>
            </w:r>
          </w:p>
        </w:tc>
        <w:tc>
          <w:tcPr>
            <w:tcW w:w="875" w:type="dxa"/>
            <w:tcBorders>
              <w:top w:val="nil"/>
              <w:left w:val="nil"/>
              <w:bottom w:val="single" w:sz="4" w:space="0" w:color="auto"/>
              <w:right w:val="single" w:sz="4" w:space="0" w:color="auto"/>
            </w:tcBorders>
            <w:shd w:val="clear" w:color="auto" w:fill="auto"/>
            <w:noWrap/>
            <w:vAlign w:val="bottom"/>
            <w:hideMark/>
          </w:tcPr>
          <w:p w14:paraId="7D7A5226" w14:textId="1D29FE37"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48.1%</w:t>
            </w:r>
          </w:p>
        </w:tc>
        <w:tc>
          <w:tcPr>
            <w:tcW w:w="828" w:type="dxa"/>
            <w:tcBorders>
              <w:top w:val="nil"/>
              <w:left w:val="nil"/>
              <w:bottom w:val="single" w:sz="4" w:space="0" w:color="auto"/>
              <w:right w:val="single" w:sz="4" w:space="0" w:color="auto"/>
            </w:tcBorders>
            <w:shd w:val="clear" w:color="auto" w:fill="auto"/>
            <w:noWrap/>
            <w:vAlign w:val="bottom"/>
            <w:hideMark/>
          </w:tcPr>
          <w:p w14:paraId="58AE7AE2" w14:textId="68D61B58"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1</w:t>
            </w:r>
            <w:r w:rsidR="00423757" w:rsidRPr="008B2B45">
              <w:rPr>
                <w:rFonts w:asciiTheme="majorHAnsi" w:eastAsia="Times New Roman" w:hAnsiTheme="majorHAnsi" w:cstheme="majorHAnsi"/>
                <w:lang w:eastAsia="en-GB"/>
              </w:rPr>
              <w:t>,</w:t>
            </w:r>
            <w:r w:rsidRPr="008C5C53">
              <w:rPr>
                <w:rFonts w:asciiTheme="majorHAnsi" w:eastAsia="Times New Roman" w:hAnsiTheme="majorHAnsi" w:cstheme="majorHAnsi"/>
                <w:lang w:eastAsia="en-GB"/>
              </w:rPr>
              <w:t>338</w:t>
            </w:r>
          </w:p>
        </w:tc>
        <w:tc>
          <w:tcPr>
            <w:tcW w:w="875" w:type="dxa"/>
            <w:tcBorders>
              <w:top w:val="nil"/>
              <w:left w:val="nil"/>
              <w:bottom w:val="single" w:sz="4" w:space="0" w:color="auto"/>
              <w:right w:val="single" w:sz="4" w:space="0" w:color="auto"/>
            </w:tcBorders>
            <w:shd w:val="clear" w:color="auto" w:fill="auto"/>
            <w:noWrap/>
            <w:vAlign w:val="bottom"/>
            <w:hideMark/>
          </w:tcPr>
          <w:p w14:paraId="38AD0C57" w14:textId="03CCD288"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36.8%</w:t>
            </w:r>
          </w:p>
        </w:tc>
        <w:tc>
          <w:tcPr>
            <w:tcW w:w="768" w:type="dxa"/>
            <w:tcBorders>
              <w:top w:val="nil"/>
              <w:left w:val="nil"/>
              <w:bottom w:val="single" w:sz="4" w:space="0" w:color="auto"/>
              <w:right w:val="single" w:sz="4" w:space="0" w:color="auto"/>
            </w:tcBorders>
            <w:shd w:val="clear" w:color="auto" w:fill="auto"/>
            <w:noWrap/>
            <w:vAlign w:val="bottom"/>
            <w:hideMark/>
          </w:tcPr>
          <w:p w14:paraId="61BF3015" w14:textId="177E6659"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1</w:t>
            </w:r>
            <w:r w:rsidR="00423757" w:rsidRPr="008B2B45">
              <w:rPr>
                <w:rFonts w:asciiTheme="majorHAnsi" w:eastAsia="Times New Roman" w:hAnsiTheme="majorHAnsi" w:cstheme="majorHAnsi"/>
                <w:lang w:eastAsia="en-GB"/>
              </w:rPr>
              <w:t>,</w:t>
            </w:r>
            <w:r w:rsidRPr="008C5C53">
              <w:rPr>
                <w:rFonts w:asciiTheme="majorHAnsi" w:eastAsia="Times New Roman" w:hAnsiTheme="majorHAnsi" w:cstheme="majorHAnsi"/>
                <w:lang w:eastAsia="en-GB"/>
              </w:rPr>
              <w:t>085</w:t>
            </w:r>
          </w:p>
        </w:tc>
        <w:tc>
          <w:tcPr>
            <w:tcW w:w="956" w:type="dxa"/>
            <w:tcBorders>
              <w:top w:val="nil"/>
              <w:left w:val="nil"/>
              <w:bottom w:val="single" w:sz="4" w:space="0" w:color="auto"/>
              <w:right w:val="single" w:sz="4" w:space="0" w:color="auto"/>
            </w:tcBorders>
            <w:shd w:val="clear" w:color="auto" w:fill="auto"/>
            <w:noWrap/>
            <w:vAlign w:val="bottom"/>
            <w:hideMark/>
          </w:tcPr>
          <w:p w14:paraId="7EA48498" w14:textId="05925E62"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29.9%</w:t>
            </w:r>
          </w:p>
        </w:tc>
      </w:tr>
      <w:tr w:rsidR="008B2B45" w:rsidRPr="008B2B45" w14:paraId="580F6B2A" w14:textId="77777777" w:rsidTr="00E1594B">
        <w:trPr>
          <w:trHeight w:val="186"/>
        </w:trPr>
        <w:tc>
          <w:tcPr>
            <w:tcW w:w="1234" w:type="dxa"/>
            <w:tcBorders>
              <w:top w:val="nil"/>
              <w:left w:val="single" w:sz="4" w:space="0" w:color="auto"/>
              <w:bottom w:val="single" w:sz="4" w:space="0" w:color="auto"/>
              <w:right w:val="single" w:sz="4" w:space="0" w:color="auto"/>
            </w:tcBorders>
            <w:shd w:val="clear" w:color="auto" w:fill="auto"/>
            <w:vAlign w:val="bottom"/>
            <w:hideMark/>
          </w:tcPr>
          <w:p w14:paraId="27544F43" w14:textId="77777777" w:rsidR="008C5C53" w:rsidRPr="008C5C53" w:rsidRDefault="008C5C53" w:rsidP="00E1594B">
            <w:pPr>
              <w:spacing w:after="0" w:line="240" w:lineRule="auto"/>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South West</w:t>
            </w:r>
          </w:p>
        </w:tc>
        <w:tc>
          <w:tcPr>
            <w:tcW w:w="1204" w:type="dxa"/>
            <w:tcBorders>
              <w:top w:val="nil"/>
              <w:left w:val="nil"/>
              <w:bottom w:val="single" w:sz="4" w:space="0" w:color="auto"/>
              <w:right w:val="single" w:sz="4" w:space="0" w:color="auto"/>
            </w:tcBorders>
            <w:shd w:val="clear" w:color="auto" w:fill="auto"/>
            <w:noWrap/>
            <w:vAlign w:val="bottom"/>
            <w:hideMark/>
          </w:tcPr>
          <w:p w14:paraId="6871821F" w14:textId="77777777"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2</w:t>
            </w:r>
            <w:r w:rsidRPr="008B2B45">
              <w:rPr>
                <w:rFonts w:asciiTheme="majorHAnsi" w:eastAsia="Times New Roman" w:hAnsiTheme="majorHAnsi" w:cstheme="majorHAnsi"/>
                <w:lang w:eastAsia="en-GB"/>
              </w:rPr>
              <w:t>,</w:t>
            </w:r>
            <w:r w:rsidRPr="008C5C53">
              <w:rPr>
                <w:rFonts w:asciiTheme="majorHAnsi" w:eastAsia="Times New Roman" w:hAnsiTheme="majorHAnsi" w:cstheme="majorHAnsi"/>
                <w:lang w:eastAsia="en-GB"/>
              </w:rPr>
              <w:t>004</w:t>
            </w:r>
          </w:p>
        </w:tc>
        <w:tc>
          <w:tcPr>
            <w:tcW w:w="875" w:type="dxa"/>
            <w:tcBorders>
              <w:top w:val="nil"/>
              <w:left w:val="nil"/>
              <w:bottom w:val="single" w:sz="4" w:space="0" w:color="auto"/>
              <w:right w:val="single" w:sz="4" w:space="0" w:color="auto"/>
            </w:tcBorders>
            <w:shd w:val="clear" w:color="auto" w:fill="auto"/>
            <w:noWrap/>
            <w:vAlign w:val="bottom"/>
            <w:hideMark/>
          </w:tcPr>
          <w:p w14:paraId="6599D5B9" w14:textId="2519043B"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85.2%</w:t>
            </w:r>
          </w:p>
        </w:tc>
        <w:tc>
          <w:tcPr>
            <w:tcW w:w="828" w:type="dxa"/>
            <w:tcBorders>
              <w:top w:val="nil"/>
              <w:left w:val="nil"/>
              <w:bottom w:val="single" w:sz="4" w:space="0" w:color="auto"/>
              <w:right w:val="single" w:sz="4" w:space="0" w:color="auto"/>
            </w:tcBorders>
            <w:shd w:val="clear" w:color="auto" w:fill="auto"/>
            <w:noWrap/>
            <w:vAlign w:val="bottom"/>
            <w:hideMark/>
          </w:tcPr>
          <w:p w14:paraId="59A8FAB7" w14:textId="081AE9D9"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1</w:t>
            </w:r>
            <w:r w:rsidR="00423757" w:rsidRPr="008B2B45">
              <w:rPr>
                <w:rFonts w:asciiTheme="majorHAnsi" w:eastAsia="Times New Roman" w:hAnsiTheme="majorHAnsi" w:cstheme="majorHAnsi"/>
                <w:lang w:eastAsia="en-GB"/>
              </w:rPr>
              <w:t>,</w:t>
            </w:r>
            <w:r w:rsidRPr="008C5C53">
              <w:rPr>
                <w:rFonts w:asciiTheme="majorHAnsi" w:eastAsia="Times New Roman" w:hAnsiTheme="majorHAnsi" w:cstheme="majorHAnsi"/>
                <w:lang w:eastAsia="en-GB"/>
              </w:rPr>
              <w:t>266</w:t>
            </w:r>
          </w:p>
        </w:tc>
        <w:tc>
          <w:tcPr>
            <w:tcW w:w="875" w:type="dxa"/>
            <w:tcBorders>
              <w:top w:val="nil"/>
              <w:left w:val="nil"/>
              <w:bottom w:val="single" w:sz="4" w:space="0" w:color="auto"/>
              <w:right w:val="single" w:sz="4" w:space="0" w:color="auto"/>
            </w:tcBorders>
            <w:shd w:val="clear" w:color="auto" w:fill="auto"/>
            <w:noWrap/>
            <w:vAlign w:val="bottom"/>
            <w:hideMark/>
          </w:tcPr>
          <w:p w14:paraId="42A71685" w14:textId="3A31A23E"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53.8%</w:t>
            </w:r>
          </w:p>
        </w:tc>
        <w:tc>
          <w:tcPr>
            <w:tcW w:w="828" w:type="dxa"/>
            <w:tcBorders>
              <w:top w:val="nil"/>
              <w:left w:val="nil"/>
              <w:bottom w:val="single" w:sz="4" w:space="0" w:color="auto"/>
              <w:right w:val="single" w:sz="4" w:space="0" w:color="auto"/>
            </w:tcBorders>
            <w:shd w:val="clear" w:color="auto" w:fill="auto"/>
            <w:noWrap/>
            <w:vAlign w:val="bottom"/>
            <w:hideMark/>
          </w:tcPr>
          <w:p w14:paraId="1F17D691" w14:textId="77777777"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971</w:t>
            </w:r>
          </w:p>
        </w:tc>
        <w:tc>
          <w:tcPr>
            <w:tcW w:w="875" w:type="dxa"/>
            <w:tcBorders>
              <w:top w:val="nil"/>
              <w:left w:val="nil"/>
              <w:bottom w:val="single" w:sz="4" w:space="0" w:color="auto"/>
              <w:right w:val="single" w:sz="4" w:space="0" w:color="auto"/>
            </w:tcBorders>
            <w:shd w:val="clear" w:color="auto" w:fill="auto"/>
            <w:noWrap/>
            <w:vAlign w:val="bottom"/>
            <w:hideMark/>
          </w:tcPr>
          <w:p w14:paraId="708F41E1" w14:textId="63B550CB"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41.3%</w:t>
            </w:r>
          </w:p>
        </w:tc>
        <w:tc>
          <w:tcPr>
            <w:tcW w:w="768" w:type="dxa"/>
            <w:tcBorders>
              <w:top w:val="nil"/>
              <w:left w:val="nil"/>
              <w:bottom w:val="single" w:sz="4" w:space="0" w:color="auto"/>
              <w:right w:val="single" w:sz="4" w:space="0" w:color="auto"/>
            </w:tcBorders>
            <w:shd w:val="clear" w:color="auto" w:fill="auto"/>
            <w:noWrap/>
            <w:vAlign w:val="bottom"/>
            <w:hideMark/>
          </w:tcPr>
          <w:p w14:paraId="42DF4056" w14:textId="77777777"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789</w:t>
            </w:r>
          </w:p>
        </w:tc>
        <w:tc>
          <w:tcPr>
            <w:tcW w:w="956" w:type="dxa"/>
            <w:tcBorders>
              <w:top w:val="nil"/>
              <w:left w:val="nil"/>
              <w:bottom w:val="single" w:sz="4" w:space="0" w:color="auto"/>
              <w:right w:val="single" w:sz="4" w:space="0" w:color="auto"/>
            </w:tcBorders>
            <w:shd w:val="clear" w:color="auto" w:fill="auto"/>
            <w:noWrap/>
            <w:vAlign w:val="bottom"/>
            <w:hideMark/>
          </w:tcPr>
          <w:p w14:paraId="09B3F6CA" w14:textId="47CFAFA6"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33.5%</w:t>
            </w:r>
          </w:p>
        </w:tc>
      </w:tr>
      <w:tr w:rsidR="008B2B45" w:rsidRPr="008B2B45" w14:paraId="5F6EE770" w14:textId="77777777" w:rsidTr="00E1594B">
        <w:trPr>
          <w:trHeight w:val="186"/>
        </w:trPr>
        <w:tc>
          <w:tcPr>
            <w:tcW w:w="1234" w:type="dxa"/>
            <w:tcBorders>
              <w:top w:val="nil"/>
              <w:left w:val="single" w:sz="4" w:space="0" w:color="auto"/>
              <w:bottom w:val="single" w:sz="4" w:space="0" w:color="auto"/>
              <w:right w:val="single" w:sz="4" w:space="0" w:color="auto"/>
            </w:tcBorders>
            <w:shd w:val="clear" w:color="auto" w:fill="auto"/>
            <w:vAlign w:val="bottom"/>
            <w:hideMark/>
          </w:tcPr>
          <w:p w14:paraId="628F048B" w14:textId="77777777" w:rsidR="008C5C53" w:rsidRPr="008C5C53" w:rsidRDefault="008C5C53" w:rsidP="00E1594B">
            <w:pPr>
              <w:spacing w:after="0" w:line="240" w:lineRule="auto"/>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Wales</w:t>
            </w:r>
          </w:p>
        </w:tc>
        <w:tc>
          <w:tcPr>
            <w:tcW w:w="1204" w:type="dxa"/>
            <w:tcBorders>
              <w:top w:val="nil"/>
              <w:left w:val="nil"/>
              <w:bottom w:val="single" w:sz="4" w:space="0" w:color="auto"/>
              <w:right w:val="single" w:sz="4" w:space="0" w:color="auto"/>
            </w:tcBorders>
            <w:shd w:val="clear" w:color="auto" w:fill="auto"/>
            <w:noWrap/>
            <w:vAlign w:val="bottom"/>
            <w:hideMark/>
          </w:tcPr>
          <w:p w14:paraId="23AE43FB" w14:textId="77777777"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1</w:t>
            </w:r>
            <w:r w:rsidRPr="008B2B45">
              <w:rPr>
                <w:rFonts w:asciiTheme="majorHAnsi" w:eastAsia="Times New Roman" w:hAnsiTheme="majorHAnsi" w:cstheme="majorHAnsi"/>
                <w:lang w:eastAsia="en-GB"/>
              </w:rPr>
              <w:t>,</w:t>
            </w:r>
            <w:r w:rsidRPr="008C5C53">
              <w:rPr>
                <w:rFonts w:asciiTheme="majorHAnsi" w:eastAsia="Times New Roman" w:hAnsiTheme="majorHAnsi" w:cstheme="majorHAnsi"/>
                <w:lang w:eastAsia="en-GB"/>
              </w:rPr>
              <w:t>126</w:t>
            </w:r>
          </w:p>
        </w:tc>
        <w:tc>
          <w:tcPr>
            <w:tcW w:w="875" w:type="dxa"/>
            <w:tcBorders>
              <w:top w:val="nil"/>
              <w:left w:val="nil"/>
              <w:bottom w:val="single" w:sz="4" w:space="0" w:color="auto"/>
              <w:right w:val="single" w:sz="4" w:space="0" w:color="auto"/>
            </w:tcBorders>
            <w:shd w:val="clear" w:color="auto" w:fill="auto"/>
            <w:noWrap/>
            <w:vAlign w:val="bottom"/>
            <w:hideMark/>
          </w:tcPr>
          <w:p w14:paraId="6F72B4D8" w14:textId="4BC401FB"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82.7%</w:t>
            </w:r>
          </w:p>
        </w:tc>
        <w:tc>
          <w:tcPr>
            <w:tcW w:w="828" w:type="dxa"/>
            <w:tcBorders>
              <w:top w:val="nil"/>
              <w:left w:val="nil"/>
              <w:bottom w:val="single" w:sz="4" w:space="0" w:color="auto"/>
              <w:right w:val="single" w:sz="4" w:space="0" w:color="auto"/>
            </w:tcBorders>
            <w:shd w:val="clear" w:color="auto" w:fill="auto"/>
            <w:noWrap/>
            <w:vAlign w:val="bottom"/>
            <w:hideMark/>
          </w:tcPr>
          <w:p w14:paraId="1E90B94F" w14:textId="77777777"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786</w:t>
            </w:r>
          </w:p>
        </w:tc>
        <w:tc>
          <w:tcPr>
            <w:tcW w:w="875" w:type="dxa"/>
            <w:tcBorders>
              <w:top w:val="nil"/>
              <w:left w:val="nil"/>
              <w:bottom w:val="single" w:sz="4" w:space="0" w:color="auto"/>
              <w:right w:val="single" w:sz="4" w:space="0" w:color="auto"/>
            </w:tcBorders>
            <w:shd w:val="clear" w:color="auto" w:fill="auto"/>
            <w:noWrap/>
            <w:vAlign w:val="bottom"/>
            <w:hideMark/>
          </w:tcPr>
          <w:p w14:paraId="3121C279" w14:textId="49436976"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57.8%</w:t>
            </w:r>
          </w:p>
        </w:tc>
        <w:tc>
          <w:tcPr>
            <w:tcW w:w="828" w:type="dxa"/>
            <w:tcBorders>
              <w:top w:val="nil"/>
              <w:left w:val="nil"/>
              <w:bottom w:val="single" w:sz="4" w:space="0" w:color="auto"/>
              <w:right w:val="single" w:sz="4" w:space="0" w:color="auto"/>
            </w:tcBorders>
            <w:shd w:val="clear" w:color="auto" w:fill="auto"/>
            <w:noWrap/>
            <w:vAlign w:val="bottom"/>
            <w:hideMark/>
          </w:tcPr>
          <w:p w14:paraId="772E6D53" w14:textId="77777777"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631</w:t>
            </w:r>
          </w:p>
        </w:tc>
        <w:tc>
          <w:tcPr>
            <w:tcW w:w="875" w:type="dxa"/>
            <w:tcBorders>
              <w:top w:val="nil"/>
              <w:left w:val="nil"/>
              <w:bottom w:val="single" w:sz="4" w:space="0" w:color="auto"/>
              <w:right w:val="single" w:sz="4" w:space="0" w:color="auto"/>
            </w:tcBorders>
            <w:shd w:val="clear" w:color="auto" w:fill="auto"/>
            <w:noWrap/>
            <w:vAlign w:val="bottom"/>
            <w:hideMark/>
          </w:tcPr>
          <w:p w14:paraId="4B251365" w14:textId="3DE96E16"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46.3%</w:t>
            </w:r>
          </w:p>
        </w:tc>
        <w:tc>
          <w:tcPr>
            <w:tcW w:w="768" w:type="dxa"/>
            <w:tcBorders>
              <w:top w:val="nil"/>
              <w:left w:val="nil"/>
              <w:bottom w:val="single" w:sz="4" w:space="0" w:color="auto"/>
              <w:right w:val="single" w:sz="4" w:space="0" w:color="auto"/>
            </w:tcBorders>
            <w:shd w:val="clear" w:color="auto" w:fill="auto"/>
            <w:noWrap/>
            <w:vAlign w:val="bottom"/>
            <w:hideMark/>
          </w:tcPr>
          <w:p w14:paraId="6865E879" w14:textId="77777777"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510</w:t>
            </w:r>
          </w:p>
        </w:tc>
        <w:tc>
          <w:tcPr>
            <w:tcW w:w="956" w:type="dxa"/>
            <w:tcBorders>
              <w:top w:val="nil"/>
              <w:left w:val="nil"/>
              <w:bottom w:val="single" w:sz="4" w:space="0" w:color="auto"/>
              <w:right w:val="single" w:sz="4" w:space="0" w:color="auto"/>
            </w:tcBorders>
            <w:shd w:val="clear" w:color="auto" w:fill="auto"/>
            <w:noWrap/>
            <w:vAlign w:val="bottom"/>
            <w:hideMark/>
          </w:tcPr>
          <w:p w14:paraId="2894618B" w14:textId="21835E91"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37.4%</w:t>
            </w:r>
          </w:p>
        </w:tc>
      </w:tr>
      <w:tr w:rsidR="008B2B45" w:rsidRPr="008B2B45" w14:paraId="16680D88" w14:textId="77777777" w:rsidTr="00E1594B">
        <w:trPr>
          <w:trHeight w:val="186"/>
        </w:trPr>
        <w:tc>
          <w:tcPr>
            <w:tcW w:w="1234" w:type="dxa"/>
            <w:tcBorders>
              <w:top w:val="nil"/>
              <w:left w:val="single" w:sz="4" w:space="0" w:color="auto"/>
              <w:bottom w:val="single" w:sz="4" w:space="0" w:color="auto"/>
              <w:right w:val="single" w:sz="4" w:space="0" w:color="auto"/>
            </w:tcBorders>
            <w:shd w:val="clear" w:color="auto" w:fill="auto"/>
            <w:vAlign w:val="bottom"/>
            <w:hideMark/>
          </w:tcPr>
          <w:p w14:paraId="3CB19AA4" w14:textId="77777777" w:rsidR="008C5C53" w:rsidRPr="008C5C53" w:rsidRDefault="008C5C53" w:rsidP="00E1594B">
            <w:pPr>
              <w:spacing w:after="0" w:line="240" w:lineRule="auto"/>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Scotland</w:t>
            </w:r>
          </w:p>
        </w:tc>
        <w:tc>
          <w:tcPr>
            <w:tcW w:w="1204" w:type="dxa"/>
            <w:tcBorders>
              <w:top w:val="nil"/>
              <w:left w:val="nil"/>
              <w:bottom w:val="single" w:sz="4" w:space="0" w:color="auto"/>
              <w:right w:val="single" w:sz="4" w:space="0" w:color="auto"/>
            </w:tcBorders>
            <w:shd w:val="clear" w:color="auto" w:fill="auto"/>
            <w:noWrap/>
            <w:vAlign w:val="bottom"/>
            <w:hideMark/>
          </w:tcPr>
          <w:p w14:paraId="04864F16" w14:textId="77777777"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2</w:t>
            </w:r>
            <w:r w:rsidRPr="008B2B45">
              <w:rPr>
                <w:rFonts w:asciiTheme="majorHAnsi" w:eastAsia="Times New Roman" w:hAnsiTheme="majorHAnsi" w:cstheme="majorHAnsi"/>
                <w:lang w:eastAsia="en-GB"/>
              </w:rPr>
              <w:t>,</w:t>
            </w:r>
            <w:r w:rsidRPr="008C5C53">
              <w:rPr>
                <w:rFonts w:asciiTheme="majorHAnsi" w:eastAsia="Times New Roman" w:hAnsiTheme="majorHAnsi" w:cstheme="majorHAnsi"/>
                <w:lang w:eastAsia="en-GB"/>
              </w:rPr>
              <w:t>049</w:t>
            </w:r>
          </w:p>
        </w:tc>
        <w:tc>
          <w:tcPr>
            <w:tcW w:w="875" w:type="dxa"/>
            <w:tcBorders>
              <w:top w:val="nil"/>
              <w:left w:val="nil"/>
              <w:bottom w:val="single" w:sz="4" w:space="0" w:color="auto"/>
              <w:right w:val="single" w:sz="4" w:space="0" w:color="auto"/>
            </w:tcBorders>
            <w:shd w:val="clear" w:color="auto" w:fill="auto"/>
            <w:noWrap/>
            <w:vAlign w:val="bottom"/>
            <w:hideMark/>
          </w:tcPr>
          <w:p w14:paraId="2F94B9BD" w14:textId="398CDD04"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86.7%</w:t>
            </w:r>
          </w:p>
        </w:tc>
        <w:tc>
          <w:tcPr>
            <w:tcW w:w="828" w:type="dxa"/>
            <w:tcBorders>
              <w:top w:val="nil"/>
              <w:left w:val="nil"/>
              <w:bottom w:val="single" w:sz="4" w:space="0" w:color="auto"/>
              <w:right w:val="single" w:sz="4" w:space="0" w:color="auto"/>
            </w:tcBorders>
            <w:shd w:val="clear" w:color="auto" w:fill="auto"/>
            <w:noWrap/>
            <w:vAlign w:val="bottom"/>
            <w:hideMark/>
          </w:tcPr>
          <w:p w14:paraId="77A64AB8" w14:textId="0B89EC72"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1</w:t>
            </w:r>
            <w:r w:rsidR="00423757" w:rsidRPr="008B2B45">
              <w:rPr>
                <w:rFonts w:asciiTheme="majorHAnsi" w:eastAsia="Times New Roman" w:hAnsiTheme="majorHAnsi" w:cstheme="majorHAnsi"/>
                <w:lang w:eastAsia="en-GB"/>
              </w:rPr>
              <w:t>,</w:t>
            </w:r>
            <w:r w:rsidRPr="008C5C53">
              <w:rPr>
                <w:rFonts w:asciiTheme="majorHAnsi" w:eastAsia="Times New Roman" w:hAnsiTheme="majorHAnsi" w:cstheme="majorHAnsi"/>
                <w:lang w:eastAsia="en-GB"/>
              </w:rPr>
              <w:t>447</w:t>
            </w:r>
          </w:p>
        </w:tc>
        <w:tc>
          <w:tcPr>
            <w:tcW w:w="875" w:type="dxa"/>
            <w:tcBorders>
              <w:top w:val="nil"/>
              <w:left w:val="nil"/>
              <w:bottom w:val="single" w:sz="4" w:space="0" w:color="auto"/>
              <w:right w:val="single" w:sz="4" w:space="0" w:color="auto"/>
            </w:tcBorders>
            <w:shd w:val="clear" w:color="auto" w:fill="auto"/>
            <w:noWrap/>
            <w:vAlign w:val="bottom"/>
            <w:hideMark/>
          </w:tcPr>
          <w:p w14:paraId="418D647D" w14:textId="10BD4D19"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61.3%</w:t>
            </w:r>
          </w:p>
        </w:tc>
        <w:tc>
          <w:tcPr>
            <w:tcW w:w="828" w:type="dxa"/>
            <w:tcBorders>
              <w:top w:val="nil"/>
              <w:left w:val="nil"/>
              <w:bottom w:val="single" w:sz="4" w:space="0" w:color="auto"/>
              <w:right w:val="single" w:sz="4" w:space="0" w:color="auto"/>
            </w:tcBorders>
            <w:shd w:val="clear" w:color="auto" w:fill="auto"/>
            <w:noWrap/>
            <w:vAlign w:val="bottom"/>
            <w:hideMark/>
          </w:tcPr>
          <w:p w14:paraId="6854DBC3" w14:textId="6B95B1E2"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1</w:t>
            </w:r>
            <w:r w:rsidR="00423757" w:rsidRPr="008B2B45">
              <w:rPr>
                <w:rFonts w:asciiTheme="majorHAnsi" w:eastAsia="Times New Roman" w:hAnsiTheme="majorHAnsi" w:cstheme="majorHAnsi"/>
                <w:lang w:eastAsia="en-GB"/>
              </w:rPr>
              <w:t>,</w:t>
            </w:r>
            <w:r w:rsidRPr="008C5C53">
              <w:rPr>
                <w:rFonts w:asciiTheme="majorHAnsi" w:eastAsia="Times New Roman" w:hAnsiTheme="majorHAnsi" w:cstheme="majorHAnsi"/>
                <w:lang w:eastAsia="en-GB"/>
              </w:rPr>
              <w:t>140</w:t>
            </w:r>
          </w:p>
        </w:tc>
        <w:tc>
          <w:tcPr>
            <w:tcW w:w="875" w:type="dxa"/>
            <w:tcBorders>
              <w:top w:val="nil"/>
              <w:left w:val="nil"/>
              <w:bottom w:val="single" w:sz="4" w:space="0" w:color="auto"/>
              <w:right w:val="single" w:sz="4" w:space="0" w:color="auto"/>
            </w:tcBorders>
            <w:shd w:val="clear" w:color="auto" w:fill="auto"/>
            <w:noWrap/>
            <w:vAlign w:val="bottom"/>
            <w:hideMark/>
          </w:tcPr>
          <w:p w14:paraId="1A7FA534" w14:textId="3F3122E0"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48.3%</w:t>
            </w:r>
          </w:p>
        </w:tc>
        <w:tc>
          <w:tcPr>
            <w:tcW w:w="768" w:type="dxa"/>
            <w:tcBorders>
              <w:top w:val="nil"/>
              <w:left w:val="nil"/>
              <w:bottom w:val="single" w:sz="4" w:space="0" w:color="auto"/>
              <w:right w:val="single" w:sz="4" w:space="0" w:color="auto"/>
            </w:tcBorders>
            <w:shd w:val="clear" w:color="auto" w:fill="auto"/>
            <w:noWrap/>
            <w:vAlign w:val="bottom"/>
            <w:hideMark/>
          </w:tcPr>
          <w:p w14:paraId="2DF17BCE" w14:textId="77777777"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968</w:t>
            </w:r>
          </w:p>
        </w:tc>
        <w:tc>
          <w:tcPr>
            <w:tcW w:w="956" w:type="dxa"/>
            <w:tcBorders>
              <w:top w:val="nil"/>
              <w:left w:val="nil"/>
              <w:bottom w:val="single" w:sz="4" w:space="0" w:color="auto"/>
              <w:right w:val="single" w:sz="4" w:space="0" w:color="auto"/>
            </w:tcBorders>
            <w:shd w:val="clear" w:color="auto" w:fill="auto"/>
            <w:noWrap/>
            <w:vAlign w:val="bottom"/>
            <w:hideMark/>
          </w:tcPr>
          <w:p w14:paraId="2427655B" w14:textId="0395B668"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41.0%</w:t>
            </w:r>
          </w:p>
        </w:tc>
      </w:tr>
      <w:tr w:rsidR="008B2B45" w:rsidRPr="008B2B45" w14:paraId="74DC1D63" w14:textId="77777777" w:rsidTr="00E1594B">
        <w:trPr>
          <w:trHeight w:val="186"/>
        </w:trPr>
        <w:tc>
          <w:tcPr>
            <w:tcW w:w="1234" w:type="dxa"/>
            <w:tcBorders>
              <w:top w:val="nil"/>
              <w:left w:val="single" w:sz="4" w:space="0" w:color="auto"/>
              <w:bottom w:val="single" w:sz="4" w:space="0" w:color="auto"/>
              <w:right w:val="single" w:sz="4" w:space="0" w:color="auto"/>
            </w:tcBorders>
            <w:shd w:val="clear" w:color="auto" w:fill="auto"/>
            <w:vAlign w:val="bottom"/>
            <w:hideMark/>
          </w:tcPr>
          <w:p w14:paraId="30DBDA19" w14:textId="77777777" w:rsidR="008C5C53" w:rsidRPr="008C5C53" w:rsidRDefault="008C5C53" w:rsidP="00E1594B">
            <w:pPr>
              <w:spacing w:after="0" w:line="240" w:lineRule="auto"/>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Northern Ireland</w:t>
            </w:r>
          </w:p>
        </w:tc>
        <w:tc>
          <w:tcPr>
            <w:tcW w:w="1204" w:type="dxa"/>
            <w:tcBorders>
              <w:top w:val="nil"/>
              <w:left w:val="nil"/>
              <w:bottom w:val="single" w:sz="4" w:space="0" w:color="auto"/>
              <w:right w:val="single" w:sz="4" w:space="0" w:color="auto"/>
            </w:tcBorders>
            <w:shd w:val="clear" w:color="auto" w:fill="auto"/>
            <w:noWrap/>
            <w:vAlign w:val="bottom"/>
            <w:hideMark/>
          </w:tcPr>
          <w:p w14:paraId="7D4AB3B1" w14:textId="77777777"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577</w:t>
            </w:r>
          </w:p>
        </w:tc>
        <w:tc>
          <w:tcPr>
            <w:tcW w:w="875" w:type="dxa"/>
            <w:tcBorders>
              <w:top w:val="nil"/>
              <w:left w:val="nil"/>
              <w:bottom w:val="single" w:sz="4" w:space="0" w:color="auto"/>
              <w:right w:val="single" w:sz="4" w:space="0" w:color="auto"/>
            </w:tcBorders>
            <w:shd w:val="clear" w:color="auto" w:fill="auto"/>
            <w:noWrap/>
            <w:vAlign w:val="bottom"/>
            <w:hideMark/>
          </w:tcPr>
          <w:p w14:paraId="35DC7980" w14:textId="6C07AC54"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82.1%</w:t>
            </w:r>
          </w:p>
        </w:tc>
        <w:tc>
          <w:tcPr>
            <w:tcW w:w="828" w:type="dxa"/>
            <w:tcBorders>
              <w:top w:val="nil"/>
              <w:left w:val="nil"/>
              <w:bottom w:val="single" w:sz="4" w:space="0" w:color="auto"/>
              <w:right w:val="single" w:sz="4" w:space="0" w:color="auto"/>
            </w:tcBorders>
            <w:shd w:val="clear" w:color="auto" w:fill="auto"/>
            <w:noWrap/>
            <w:vAlign w:val="bottom"/>
            <w:hideMark/>
          </w:tcPr>
          <w:p w14:paraId="662DE210" w14:textId="77777777"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475</w:t>
            </w:r>
          </w:p>
        </w:tc>
        <w:tc>
          <w:tcPr>
            <w:tcW w:w="875" w:type="dxa"/>
            <w:tcBorders>
              <w:top w:val="nil"/>
              <w:left w:val="nil"/>
              <w:bottom w:val="single" w:sz="4" w:space="0" w:color="auto"/>
              <w:right w:val="single" w:sz="4" w:space="0" w:color="auto"/>
            </w:tcBorders>
            <w:shd w:val="clear" w:color="auto" w:fill="auto"/>
            <w:noWrap/>
            <w:vAlign w:val="bottom"/>
            <w:hideMark/>
          </w:tcPr>
          <w:p w14:paraId="0946735B" w14:textId="74C3A5D2"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67.7%</w:t>
            </w:r>
          </w:p>
        </w:tc>
        <w:tc>
          <w:tcPr>
            <w:tcW w:w="828" w:type="dxa"/>
            <w:tcBorders>
              <w:top w:val="nil"/>
              <w:left w:val="nil"/>
              <w:bottom w:val="single" w:sz="4" w:space="0" w:color="auto"/>
              <w:right w:val="single" w:sz="4" w:space="0" w:color="auto"/>
            </w:tcBorders>
            <w:shd w:val="clear" w:color="auto" w:fill="auto"/>
            <w:noWrap/>
            <w:vAlign w:val="bottom"/>
            <w:hideMark/>
          </w:tcPr>
          <w:p w14:paraId="6EC420FA" w14:textId="77777777"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410</w:t>
            </w:r>
          </w:p>
        </w:tc>
        <w:tc>
          <w:tcPr>
            <w:tcW w:w="875" w:type="dxa"/>
            <w:tcBorders>
              <w:top w:val="nil"/>
              <w:left w:val="nil"/>
              <w:bottom w:val="single" w:sz="4" w:space="0" w:color="auto"/>
              <w:right w:val="single" w:sz="4" w:space="0" w:color="auto"/>
            </w:tcBorders>
            <w:shd w:val="clear" w:color="auto" w:fill="auto"/>
            <w:noWrap/>
            <w:vAlign w:val="bottom"/>
            <w:hideMark/>
          </w:tcPr>
          <w:p w14:paraId="75321C7D" w14:textId="5B13BFE5"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58.3%</w:t>
            </w:r>
          </w:p>
        </w:tc>
        <w:tc>
          <w:tcPr>
            <w:tcW w:w="768" w:type="dxa"/>
            <w:tcBorders>
              <w:top w:val="nil"/>
              <w:left w:val="nil"/>
              <w:bottom w:val="single" w:sz="4" w:space="0" w:color="auto"/>
              <w:right w:val="single" w:sz="4" w:space="0" w:color="auto"/>
            </w:tcBorders>
            <w:shd w:val="clear" w:color="auto" w:fill="auto"/>
            <w:noWrap/>
            <w:vAlign w:val="bottom"/>
            <w:hideMark/>
          </w:tcPr>
          <w:p w14:paraId="1E7BE96A" w14:textId="77777777"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351</w:t>
            </w:r>
          </w:p>
        </w:tc>
        <w:tc>
          <w:tcPr>
            <w:tcW w:w="956" w:type="dxa"/>
            <w:tcBorders>
              <w:top w:val="nil"/>
              <w:left w:val="nil"/>
              <w:bottom w:val="single" w:sz="4" w:space="0" w:color="auto"/>
              <w:right w:val="single" w:sz="4" w:space="0" w:color="auto"/>
            </w:tcBorders>
            <w:shd w:val="clear" w:color="auto" w:fill="auto"/>
            <w:noWrap/>
            <w:vAlign w:val="bottom"/>
            <w:hideMark/>
          </w:tcPr>
          <w:p w14:paraId="12B640AE" w14:textId="45CDCF47"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50.0%</w:t>
            </w:r>
          </w:p>
        </w:tc>
      </w:tr>
      <w:tr w:rsidR="008B2B45" w:rsidRPr="008B2B45" w14:paraId="606845AC" w14:textId="77777777" w:rsidTr="00E1594B">
        <w:trPr>
          <w:trHeight w:val="186"/>
        </w:trPr>
        <w:tc>
          <w:tcPr>
            <w:tcW w:w="1234" w:type="dxa"/>
            <w:tcBorders>
              <w:top w:val="nil"/>
              <w:left w:val="single" w:sz="4" w:space="0" w:color="auto"/>
              <w:bottom w:val="single" w:sz="4" w:space="0" w:color="auto"/>
              <w:right w:val="single" w:sz="4" w:space="0" w:color="auto"/>
            </w:tcBorders>
            <w:shd w:val="clear" w:color="auto" w:fill="auto"/>
            <w:vAlign w:val="bottom"/>
            <w:hideMark/>
          </w:tcPr>
          <w:p w14:paraId="3B60586D" w14:textId="77777777" w:rsidR="008C5C53" w:rsidRPr="008C5C53" w:rsidRDefault="008C5C53" w:rsidP="00E1594B">
            <w:pPr>
              <w:spacing w:after="0" w:line="240" w:lineRule="auto"/>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Total</w:t>
            </w:r>
          </w:p>
        </w:tc>
        <w:tc>
          <w:tcPr>
            <w:tcW w:w="1204" w:type="dxa"/>
            <w:tcBorders>
              <w:top w:val="nil"/>
              <w:left w:val="nil"/>
              <w:bottom w:val="single" w:sz="4" w:space="0" w:color="auto"/>
              <w:right w:val="single" w:sz="4" w:space="0" w:color="auto"/>
            </w:tcBorders>
            <w:shd w:val="clear" w:color="auto" w:fill="auto"/>
            <w:noWrap/>
            <w:vAlign w:val="bottom"/>
            <w:hideMark/>
          </w:tcPr>
          <w:p w14:paraId="7A2D1201" w14:textId="59F730D0"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22</w:t>
            </w:r>
            <w:r w:rsidR="00423757" w:rsidRPr="008B2B45">
              <w:rPr>
                <w:rFonts w:asciiTheme="majorHAnsi" w:eastAsia="Times New Roman" w:hAnsiTheme="majorHAnsi" w:cstheme="majorHAnsi"/>
                <w:lang w:eastAsia="en-GB"/>
              </w:rPr>
              <w:t>,</w:t>
            </w:r>
            <w:r w:rsidRPr="008C5C53">
              <w:rPr>
                <w:rFonts w:asciiTheme="majorHAnsi" w:eastAsia="Times New Roman" w:hAnsiTheme="majorHAnsi" w:cstheme="majorHAnsi"/>
                <w:lang w:eastAsia="en-GB"/>
              </w:rPr>
              <w:t>805</w:t>
            </w:r>
          </w:p>
        </w:tc>
        <w:tc>
          <w:tcPr>
            <w:tcW w:w="875" w:type="dxa"/>
            <w:tcBorders>
              <w:top w:val="nil"/>
              <w:left w:val="nil"/>
              <w:bottom w:val="single" w:sz="4" w:space="0" w:color="auto"/>
              <w:right w:val="single" w:sz="4" w:space="0" w:color="auto"/>
            </w:tcBorders>
            <w:shd w:val="clear" w:color="auto" w:fill="auto"/>
            <w:noWrap/>
            <w:vAlign w:val="bottom"/>
            <w:hideMark/>
          </w:tcPr>
          <w:p w14:paraId="2E18AA59" w14:textId="7D6B1676"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83.8%</w:t>
            </w:r>
          </w:p>
        </w:tc>
        <w:tc>
          <w:tcPr>
            <w:tcW w:w="828" w:type="dxa"/>
            <w:tcBorders>
              <w:top w:val="nil"/>
              <w:left w:val="nil"/>
              <w:bottom w:val="single" w:sz="4" w:space="0" w:color="auto"/>
              <w:right w:val="single" w:sz="4" w:space="0" w:color="auto"/>
            </w:tcBorders>
            <w:shd w:val="clear" w:color="auto" w:fill="auto"/>
            <w:noWrap/>
            <w:vAlign w:val="bottom"/>
            <w:hideMark/>
          </w:tcPr>
          <w:p w14:paraId="034BE716" w14:textId="4540973F"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14</w:t>
            </w:r>
            <w:r w:rsidR="00423757" w:rsidRPr="008B2B45">
              <w:rPr>
                <w:rFonts w:asciiTheme="majorHAnsi" w:eastAsia="Times New Roman" w:hAnsiTheme="majorHAnsi" w:cstheme="majorHAnsi"/>
                <w:lang w:eastAsia="en-GB"/>
              </w:rPr>
              <w:t>,</w:t>
            </w:r>
            <w:r w:rsidRPr="008C5C53">
              <w:rPr>
                <w:rFonts w:asciiTheme="majorHAnsi" w:eastAsia="Times New Roman" w:hAnsiTheme="majorHAnsi" w:cstheme="majorHAnsi"/>
                <w:lang w:eastAsia="en-GB"/>
              </w:rPr>
              <w:t>917</w:t>
            </w:r>
          </w:p>
        </w:tc>
        <w:tc>
          <w:tcPr>
            <w:tcW w:w="875" w:type="dxa"/>
            <w:tcBorders>
              <w:top w:val="nil"/>
              <w:left w:val="nil"/>
              <w:bottom w:val="single" w:sz="4" w:space="0" w:color="auto"/>
              <w:right w:val="single" w:sz="4" w:space="0" w:color="auto"/>
            </w:tcBorders>
            <w:shd w:val="clear" w:color="auto" w:fill="auto"/>
            <w:noWrap/>
            <w:vAlign w:val="bottom"/>
            <w:hideMark/>
          </w:tcPr>
          <w:p w14:paraId="11ECE6CD" w14:textId="1049A821"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54.8%</w:t>
            </w:r>
          </w:p>
        </w:tc>
        <w:tc>
          <w:tcPr>
            <w:tcW w:w="828" w:type="dxa"/>
            <w:tcBorders>
              <w:top w:val="nil"/>
              <w:left w:val="nil"/>
              <w:bottom w:val="single" w:sz="4" w:space="0" w:color="auto"/>
              <w:right w:val="single" w:sz="4" w:space="0" w:color="auto"/>
            </w:tcBorders>
            <w:shd w:val="clear" w:color="auto" w:fill="auto"/>
            <w:noWrap/>
            <w:vAlign w:val="bottom"/>
            <w:hideMark/>
          </w:tcPr>
          <w:p w14:paraId="485EF59B" w14:textId="32FB3E67"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11</w:t>
            </w:r>
            <w:r w:rsidR="00423757" w:rsidRPr="008B2B45">
              <w:rPr>
                <w:rFonts w:asciiTheme="majorHAnsi" w:eastAsia="Times New Roman" w:hAnsiTheme="majorHAnsi" w:cstheme="majorHAnsi"/>
                <w:lang w:eastAsia="en-GB"/>
              </w:rPr>
              <w:t>,</w:t>
            </w:r>
            <w:r w:rsidRPr="008C5C53">
              <w:rPr>
                <w:rFonts w:asciiTheme="majorHAnsi" w:eastAsia="Times New Roman" w:hAnsiTheme="majorHAnsi" w:cstheme="majorHAnsi"/>
                <w:lang w:eastAsia="en-GB"/>
              </w:rPr>
              <w:t>747</w:t>
            </w:r>
          </w:p>
        </w:tc>
        <w:tc>
          <w:tcPr>
            <w:tcW w:w="875" w:type="dxa"/>
            <w:tcBorders>
              <w:top w:val="nil"/>
              <w:left w:val="nil"/>
              <w:bottom w:val="single" w:sz="4" w:space="0" w:color="auto"/>
              <w:right w:val="single" w:sz="4" w:space="0" w:color="auto"/>
            </w:tcBorders>
            <w:shd w:val="clear" w:color="auto" w:fill="auto"/>
            <w:noWrap/>
            <w:vAlign w:val="bottom"/>
            <w:hideMark/>
          </w:tcPr>
          <w:p w14:paraId="7E010F73" w14:textId="1FB589D6"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43.2%</w:t>
            </w:r>
          </w:p>
        </w:tc>
        <w:tc>
          <w:tcPr>
            <w:tcW w:w="768" w:type="dxa"/>
            <w:tcBorders>
              <w:top w:val="nil"/>
              <w:left w:val="nil"/>
              <w:bottom w:val="single" w:sz="4" w:space="0" w:color="auto"/>
              <w:right w:val="single" w:sz="4" w:space="0" w:color="auto"/>
            </w:tcBorders>
            <w:shd w:val="clear" w:color="auto" w:fill="auto"/>
            <w:noWrap/>
            <w:vAlign w:val="bottom"/>
            <w:hideMark/>
          </w:tcPr>
          <w:p w14:paraId="09BAAE4F" w14:textId="672935A1"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9</w:t>
            </w:r>
            <w:r w:rsidR="00423757" w:rsidRPr="008B2B45">
              <w:rPr>
                <w:rFonts w:asciiTheme="majorHAnsi" w:eastAsia="Times New Roman" w:hAnsiTheme="majorHAnsi" w:cstheme="majorHAnsi"/>
                <w:lang w:eastAsia="en-GB"/>
              </w:rPr>
              <w:t>,</w:t>
            </w:r>
            <w:r w:rsidRPr="008C5C53">
              <w:rPr>
                <w:rFonts w:asciiTheme="majorHAnsi" w:eastAsia="Times New Roman" w:hAnsiTheme="majorHAnsi" w:cstheme="majorHAnsi"/>
                <w:lang w:eastAsia="en-GB"/>
              </w:rPr>
              <w:t>443</w:t>
            </w:r>
          </w:p>
        </w:tc>
        <w:tc>
          <w:tcPr>
            <w:tcW w:w="956" w:type="dxa"/>
            <w:tcBorders>
              <w:top w:val="nil"/>
              <w:left w:val="nil"/>
              <w:bottom w:val="single" w:sz="4" w:space="0" w:color="auto"/>
              <w:right w:val="single" w:sz="4" w:space="0" w:color="auto"/>
            </w:tcBorders>
            <w:shd w:val="clear" w:color="auto" w:fill="auto"/>
            <w:noWrap/>
            <w:vAlign w:val="bottom"/>
            <w:hideMark/>
          </w:tcPr>
          <w:p w14:paraId="59BDC62B" w14:textId="1275A1D3" w:rsidR="008C5C53" w:rsidRPr="008C5C53" w:rsidRDefault="008C5C53" w:rsidP="00E1594B">
            <w:pPr>
              <w:spacing w:after="0" w:line="240" w:lineRule="auto"/>
              <w:jc w:val="right"/>
              <w:rPr>
                <w:rFonts w:asciiTheme="majorHAnsi" w:eastAsia="Times New Roman" w:hAnsiTheme="majorHAnsi" w:cstheme="majorHAnsi"/>
                <w:lang w:eastAsia="en-GB"/>
              </w:rPr>
            </w:pPr>
            <w:r w:rsidRPr="008C5C53">
              <w:rPr>
                <w:rFonts w:asciiTheme="majorHAnsi" w:eastAsia="Times New Roman" w:hAnsiTheme="majorHAnsi" w:cstheme="majorHAnsi"/>
                <w:lang w:eastAsia="en-GB"/>
              </w:rPr>
              <w:t>34.7%</w:t>
            </w:r>
          </w:p>
        </w:tc>
      </w:tr>
    </w:tbl>
    <w:p w14:paraId="1FB46EA8" w14:textId="015D80B1" w:rsidR="009339A3" w:rsidRPr="008B2B45" w:rsidRDefault="009339A3" w:rsidP="009339A3">
      <w:pPr>
        <w:shd w:val="clear" w:color="auto" w:fill="FFFFFF"/>
        <w:spacing w:after="210" w:line="240" w:lineRule="auto"/>
        <w:rPr>
          <w:rFonts w:asciiTheme="majorHAnsi" w:eastAsia="Times New Roman" w:hAnsiTheme="majorHAnsi" w:cstheme="majorHAnsi"/>
          <w:lang w:eastAsia="en-GB"/>
        </w:rPr>
      </w:pPr>
      <w:r w:rsidRPr="008B2B45">
        <w:rPr>
          <w:rFonts w:asciiTheme="majorHAnsi" w:eastAsia="Times New Roman" w:hAnsiTheme="majorHAnsi" w:cstheme="majorHAnsi"/>
          <w:lang w:eastAsia="en-GB"/>
        </w:rPr>
        <w:t xml:space="preserve">Sources: LCFS 2019-20 weighted data. October 2022 price cap (Ofgem published 26 August 2022) and January 2023 price cap (Cornwall Insight’s tariff cap forecast 26 August 2022).  </w:t>
      </w:r>
    </w:p>
    <w:p w14:paraId="1230226D" w14:textId="7B84AE8D" w:rsidR="006A0FB9" w:rsidRPr="008B2B45" w:rsidRDefault="00805551" w:rsidP="006A0FB9">
      <w:pPr>
        <w:shd w:val="clear" w:color="auto" w:fill="FFFFFF"/>
        <w:spacing w:after="210" w:line="240" w:lineRule="auto"/>
        <w:rPr>
          <w:rFonts w:asciiTheme="majorHAnsi" w:eastAsia="Times New Roman" w:hAnsiTheme="majorHAnsi" w:cstheme="majorHAnsi"/>
          <w:lang w:eastAsia="en-GB"/>
        </w:rPr>
      </w:pPr>
      <w:r w:rsidRPr="008B2B45">
        <w:rPr>
          <w:rFonts w:asciiTheme="majorHAnsi" w:eastAsia="Times New Roman" w:hAnsiTheme="majorHAnsi" w:cstheme="majorHAnsi"/>
          <w:lang w:eastAsia="en-GB"/>
        </w:rPr>
        <w:t>T</w:t>
      </w:r>
      <w:r w:rsidR="006A0FB9" w:rsidRPr="008B2B45">
        <w:rPr>
          <w:rFonts w:asciiTheme="majorHAnsi" w:eastAsia="Times New Roman" w:hAnsiTheme="majorHAnsi" w:cstheme="majorHAnsi"/>
          <w:lang w:eastAsia="en-GB"/>
        </w:rPr>
        <w:t>he</w:t>
      </w:r>
      <w:r w:rsidRPr="008B2B45">
        <w:rPr>
          <w:rFonts w:asciiTheme="majorHAnsi" w:eastAsia="Times New Roman" w:hAnsiTheme="majorHAnsi" w:cstheme="majorHAnsi"/>
          <w:lang w:eastAsia="en-GB"/>
        </w:rPr>
        <w:t>re is</w:t>
      </w:r>
      <w:r w:rsidR="006A0FB9" w:rsidRPr="008B2B45">
        <w:rPr>
          <w:rFonts w:asciiTheme="majorHAnsi" w:eastAsia="Times New Roman" w:hAnsiTheme="majorHAnsi" w:cstheme="majorHAnsi"/>
          <w:lang w:eastAsia="en-GB"/>
        </w:rPr>
        <w:t xml:space="preserve"> overlap between income poverty (equivalent to income less than 60 per cent of median </w:t>
      </w:r>
      <w:r w:rsidR="00380EF9">
        <w:rPr>
          <w:rFonts w:asciiTheme="majorHAnsi" w:eastAsia="Times New Roman" w:hAnsiTheme="majorHAnsi" w:cstheme="majorHAnsi"/>
          <w:lang w:eastAsia="en-GB"/>
        </w:rPr>
        <w:t>after</w:t>
      </w:r>
      <w:r w:rsidR="006A0FB9" w:rsidRPr="008B2B45">
        <w:rPr>
          <w:rFonts w:asciiTheme="majorHAnsi" w:eastAsia="Times New Roman" w:hAnsiTheme="majorHAnsi" w:cstheme="majorHAnsi"/>
          <w:lang w:eastAsia="en-GB"/>
        </w:rPr>
        <w:t xml:space="preserve"> housing costs) and fuel poverty</w:t>
      </w:r>
      <w:r w:rsidRPr="008B2B45">
        <w:rPr>
          <w:rFonts w:asciiTheme="majorHAnsi" w:eastAsia="Times New Roman" w:hAnsiTheme="majorHAnsi" w:cstheme="majorHAnsi"/>
          <w:lang w:eastAsia="en-GB"/>
        </w:rPr>
        <w:t>, as Table 3 shows</w:t>
      </w:r>
      <w:r w:rsidR="006A0FB9" w:rsidRPr="008B2B45">
        <w:rPr>
          <w:rFonts w:asciiTheme="majorHAnsi" w:eastAsia="Times New Roman" w:hAnsiTheme="majorHAnsi" w:cstheme="majorHAnsi"/>
          <w:lang w:eastAsia="en-GB"/>
        </w:rPr>
        <w:t>.</w:t>
      </w:r>
      <w:r w:rsidR="00380EF9" w:rsidRPr="00380EF9">
        <w:t xml:space="preserve"> </w:t>
      </w:r>
      <w:r w:rsidR="00380EF9">
        <w:t>In 2019-20, amongst the 27.9% of households in fuel poverty, 57.5% of them were also income poor while 42.5% were not. After the skyrocketed price hike in January it’s estimated that almost 84% of households will become fuel poor. From January as many as 74.8% no</w:t>
      </w:r>
      <w:r w:rsidR="00380EF9">
        <w:t>n-</w:t>
      </w:r>
      <w:r w:rsidR="00380EF9">
        <w:t>income poor households will be fuel poor while 25.2% of households will be in both fuel and income poor</w:t>
      </w:r>
    </w:p>
    <w:p w14:paraId="2F495122" w14:textId="6BC861D4" w:rsidR="006A0FB9" w:rsidRPr="008B2B45" w:rsidRDefault="006A0FB9" w:rsidP="006A0FB9">
      <w:pPr>
        <w:shd w:val="clear" w:color="auto" w:fill="FFFFFF"/>
        <w:spacing w:after="210" w:line="240" w:lineRule="auto"/>
        <w:rPr>
          <w:rFonts w:asciiTheme="majorHAnsi" w:eastAsia="Times New Roman" w:hAnsiTheme="majorHAnsi" w:cstheme="majorHAnsi"/>
          <w:lang w:eastAsia="en-GB"/>
        </w:rPr>
      </w:pPr>
      <w:r w:rsidRPr="008B2B45">
        <w:rPr>
          <w:rFonts w:asciiTheme="majorHAnsi" w:eastAsia="Times New Roman" w:hAnsiTheme="majorHAnsi" w:cstheme="majorHAnsi"/>
          <w:b/>
          <w:bCs/>
          <w:lang w:eastAsia="en-GB"/>
        </w:rPr>
        <w:t>Table 3: Overlaps between fuel poverty and income poverty</w:t>
      </w:r>
      <w:r w:rsidR="00E1594B">
        <w:rPr>
          <w:rFonts w:asciiTheme="majorHAnsi" w:eastAsia="Times New Roman" w:hAnsiTheme="majorHAnsi" w:cstheme="majorHAnsi"/>
          <w:b/>
          <w:bCs/>
          <w:lang w:eastAsia="en-GB"/>
        </w:rPr>
        <w:t xml:space="preserve"> in households</w:t>
      </w:r>
      <w:r w:rsidR="006B24CE">
        <w:rPr>
          <w:rFonts w:asciiTheme="majorHAnsi" w:eastAsia="Times New Roman" w:hAnsiTheme="majorHAnsi" w:cstheme="majorHAnsi"/>
          <w:b/>
          <w:bCs/>
          <w:lang w:eastAsia="en-GB"/>
        </w:rPr>
        <w:t xml:space="preserve">, </w:t>
      </w:r>
      <w:r w:rsidR="006B24CE" w:rsidRPr="00091930">
        <w:rPr>
          <w:rFonts w:asciiTheme="majorHAnsi" w:eastAsia="Times New Roman" w:hAnsiTheme="majorHAnsi" w:cstheme="majorHAnsi"/>
          <w:b/>
          <w:bCs/>
          <w:lang w:eastAsia="en-GB"/>
        </w:rPr>
        <w:t>after housing costs</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2380"/>
        <w:gridCol w:w="2480"/>
        <w:gridCol w:w="1420"/>
      </w:tblGrid>
      <w:tr w:rsidR="008B2B45" w:rsidRPr="008B2B45" w14:paraId="01EF9E6C" w14:textId="77777777" w:rsidTr="00F970DD">
        <w:trPr>
          <w:trHeight w:val="576"/>
        </w:trPr>
        <w:tc>
          <w:tcPr>
            <w:tcW w:w="3140" w:type="dxa"/>
            <w:shd w:val="clear" w:color="auto" w:fill="auto"/>
            <w:noWrap/>
            <w:vAlign w:val="bottom"/>
            <w:hideMark/>
          </w:tcPr>
          <w:p w14:paraId="60A61D0C" w14:textId="77777777" w:rsidR="00F970DD" w:rsidRPr="008B2B45" w:rsidRDefault="00F970DD" w:rsidP="00F970DD">
            <w:pPr>
              <w:spacing w:after="0" w:line="240" w:lineRule="auto"/>
              <w:rPr>
                <w:rFonts w:asciiTheme="majorHAnsi" w:eastAsia="Times New Roman" w:hAnsiTheme="majorHAnsi" w:cstheme="majorHAnsi"/>
                <w:lang w:eastAsia="en-GB"/>
              </w:rPr>
            </w:pPr>
            <w:r w:rsidRPr="008B2B45">
              <w:rPr>
                <w:rFonts w:asciiTheme="majorHAnsi" w:eastAsia="Times New Roman" w:hAnsiTheme="majorHAnsi" w:cstheme="majorHAnsi"/>
                <w:lang w:eastAsia="en-GB"/>
              </w:rPr>
              <w:t> </w:t>
            </w:r>
          </w:p>
        </w:tc>
        <w:tc>
          <w:tcPr>
            <w:tcW w:w="2380" w:type="dxa"/>
            <w:shd w:val="clear" w:color="auto" w:fill="auto"/>
            <w:vAlign w:val="bottom"/>
            <w:hideMark/>
          </w:tcPr>
          <w:p w14:paraId="5FB53A96" w14:textId="4F0DF364" w:rsidR="00F970DD" w:rsidRPr="008B2B45" w:rsidRDefault="00F970DD" w:rsidP="00F970DD">
            <w:pPr>
              <w:spacing w:after="0" w:line="240" w:lineRule="auto"/>
              <w:rPr>
                <w:rFonts w:asciiTheme="majorHAnsi" w:eastAsia="Times New Roman" w:hAnsiTheme="majorHAnsi" w:cstheme="majorHAnsi"/>
                <w:b/>
                <w:bCs/>
                <w:lang w:eastAsia="en-GB"/>
              </w:rPr>
            </w:pPr>
            <w:r w:rsidRPr="008B2B45">
              <w:rPr>
                <w:rFonts w:asciiTheme="majorHAnsi" w:eastAsia="Times New Roman" w:hAnsiTheme="majorHAnsi" w:cstheme="majorHAnsi"/>
                <w:b/>
                <w:bCs/>
                <w:lang w:eastAsia="en-GB"/>
              </w:rPr>
              <w:t xml:space="preserve">% </w:t>
            </w:r>
            <w:r w:rsidR="00802CE0" w:rsidRPr="008B2B45">
              <w:rPr>
                <w:rFonts w:asciiTheme="majorHAnsi" w:eastAsia="Times New Roman" w:hAnsiTheme="majorHAnsi" w:cstheme="majorHAnsi"/>
                <w:b/>
                <w:bCs/>
                <w:lang w:eastAsia="en-GB"/>
              </w:rPr>
              <w:t xml:space="preserve">in </w:t>
            </w:r>
            <w:r w:rsidR="00F31193" w:rsidRPr="008B2B45">
              <w:rPr>
                <w:rFonts w:asciiTheme="majorHAnsi" w:eastAsia="Times New Roman" w:hAnsiTheme="majorHAnsi" w:cstheme="majorHAnsi"/>
                <w:b/>
                <w:bCs/>
                <w:lang w:eastAsia="en-GB"/>
              </w:rPr>
              <w:t>f</w:t>
            </w:r>
            <w:r w:rsidRPr="008B2B45">
              <w:rPr>
                <w:rFonts w:asciiTheme="majorHAnsi" w:eastAsia="Times New Roman" w:hAnsiTheme="majorHAnsi" w:cstheme="majorHAnsi"/>
                <w:b/>
                <w:bCs/>
                <w:lang w:eastAsia="en-GB"/>
              </w:rPr>
              <w:t>uel po</w:t>
            </w:r>
            <w:r w:rsidR="00802CE0" w:rsidRPr="008B2B45">
              <w:rPr>
                <w:rFonts w:asciiTheme="majorHAnsi" w:eastAsia="Times New Roman" w:hAnsiTheme="majorHAnsi" w:cstheme="majorHAnsi"/>
                <w:b/>
                <w:bCs/>
                <w:lang w:eastAsia="en-GB"/>
              </w:rPr>
              <w:t>verty</w:t>
            </w:r>
            <w:r w:rsidRPr="008B2B45">
              <w:rPr>
                <w:rFonts w:asciiTheme="majorHAnsi" w:eastAsia="Times New Roman" w:hAnsiTheme="majorHAnsi" w:cstheme="majorHAnsi"/>
                <w:b/>
                <w:bCs/>
                <w:lang w:eastAsia="en-GB"/>
              </w:rPr>
              <w:t xml:space="preserve"> but not income po</w:t>
            </w:r>
            <w:r w:rsidR="00802CE0" w:rsidRPr="008B2B45">
              <w:rPr>
                <w:rFonts w:asciiTheme="majorHAnsi" w:eastAsia="Times New Roman" w:hAnsiTheme="majorHAnsi" w:cstheme="majorHAnsi"/>
                <w:b/>
                <w:bCs/>
                <w:lang w:eastAsia="en-GB"/>
              </w:rPr>
              <w:t>verty</w:t>
            </w:r>
          </w:p>
        </w:tc>
        <w:tc>
          <w:tcPr>
            <w:tcW w:w="2480" w:type="dxa"/>
            <w:shd w:val="clear" w:color="auto" w:fill="auto"/>
            <w:vAlign w:val="bottom"/>
            <w:hideMark/>
          </w:tcPr>
          <w:p w14:paraId="4695758B" w14:textId="5FDAB7FC" w:rsidR="00F970DD" w:rsidRPr="008B2B45" w:rsidRDefault="00F970DD" w:rsidP="00F970DD">
            <w:pPr>
              <w:spacing w:after="0" w:line="240" w:lineRule="auto"/>
              <w:rPr>
                <w:rFonts w:asciiTheme="majorHAnsi" w:eastAsia="Times New Roman" w:hAnsiTheme="majorHAnsi" w:cstheme="majorHAnsi"/>
                <w:b/>
                <w:bCs/>
                <w:lang w:eastAsia="en-GB"/>
              </w:rPr>
            </w:pPr>
            <w:r w:rsidRPr="008B2B45">
              <w:rPr>
                <w:rFonts w:asciiTheme="majorHAnsi" w:eastAsia="Times New Roman" w:hAnsiTheme="majorHAnsi" w:cstheme="majorHAnsi"/>
                <w:b/>
                <w:bCs/>
                <w:lang w:eastAsia="en-GB"/>
              </w:rPr>
              <w:t>%</w:t>
            </w:r>
            <w:r w:rsidR="00802CE0" w:rsidRPr="008B2B45">
              <w:rPr>
                <w:rFonts w:asciiTheme="majorHAnsi" w:eastAsia="Times New Roman" w:hAnsiTheme="majorHAnsi" w:cstheme="majorHAnsi"/>
                <w:b/>
                <w:bCs/>
                <w:lang w:eastAsia="en-GB"/>
              </w:rPr>
              <w:t xml:space="preserve"> in</w:t>
            </w:r>
            <w:r w:rsidRPr="008B2B45">
              <w:rPr>
                <w:rFonts w:asciiTheme="majorHAnsi" w:eastAsia="Times New Roman" w:hAnsiTheme="majorHAnsi" w:cstheme="majorHAnsi"/>
                <w:b/>
                <w:bCs/>
                <w:lang w:eastAsia="en-GB"/>
              </w:rPr>
              <w:t xml:space="preserve"> </w:t>
            </w:r>
            <w:r w:rsidR="00F31193" w:rsidRPr="008B2B45">
              <w:rPr>
                <w:rFonts w:asciiTheme="majorHAnsi" w:eastAsia="Times New Roman" w:hAnsiTheme="majorHAnsi" w:cstheme="majorHAnsi"/>
                <w:b/>
                <w:bCs/>
                <w:lang w:eastAsia="en-GB"/>
              </w:rPr>
              <w:t>f</w:t>
            </w:r>
            <w:r w:rsidRPr="008B2B45">
              <w:rPr>
                <w:rFonts w:asciiTheme="majorHAnsi" w:eastAsia="Times New Roman" w:hAnsiTheme="majorHAnsi" w:cstheme="majorHAnsi"/>
                <w:b/>
                <w:bCs/>
                <w:lang w:eastAsia="en-GB"/>
              </w:rPr>
              <w:t>uel po</w:t>
            </w:r>
            <w:r w:rsidR="00802CE0" w:rsidRPr="008B2B45">
              <w:rPr>
                <w:rFonts w:asciiTheme="majorHAnsi" w:eastAsia="Times New Roman" w:hAnsiTheme="majorHAnsi" w:cstheme="majorHAnsi"/>
                <w:b/>
                <w:bCs/>
                <w:lang w:eastAsia="en-GB"/>
              </w:rPr>
              <w:t>verty</w:t>
            </w:r>
            <w:r w:rsidRPr="008B2B45">
              <w:rPr>
                <w:rFonts w:asciiTheme="majorHAnsi" w:eastAsia="Times New Roman" w:hAnsiTheme="majorHAnsi" w:cstheme="majorHAnsi"/>
                <w:b/>
                <w:bCs/>
                <w:lang w:eastAsia="en-GB"/>
              </w:rPr>
              <w:t xml:space="preserve"> and income </w:t>
            </w:r>
            <w:r w:rsidR="00802CE0" w:rsidRPr="008B2B45">
              <w:rPr>
                <w:rFonts w:asciiTheme="majorHAnsi" w:eastAsia="Times New Roman" w:hAnsiTheme="majorHAnsi" w:cstheme="majorHAnsi"/>
                <w:b/>
                <w:bCs/>
                <w:lang w:eastAsia="en-GB"/>
              </w:rPr>
              <w:t xml:space="preserve">poverty </w:t>
            </w:r>
          </w:p>
        </w:tc>
        <w:tc>
          <w:tcPr>
            <w:tcW w:w="1420" w:type="dxa"/>
            <w:shd w:val="clear" w:color="auto" w:fill="auto"/>
            <w:vAlign w:val="bottom"/>
            <w:hideMark/>
          </w:tcPr>
          <w:p w14:paraId="6ECB224C" w14:textId="115E3FC0" w:rsidR="00F970DD" w:rsidRPr="008B2B45" w:rsidRDefault="00F970DD" w:rsidP="00F970DD">
            <w:pPr>
              <w:spacing w:after="0" w:line="240" w:lineRule="auto"/>
              <w:rPr>
                <w:rFonts w:asciiTheme="majorHAnsi" w:eastAsia="Times New Roman" w:hAnsiTheme="majorHAnsi" w:cstheme="majorHAnsi"/>
                <w:b/>
                <w:bCs/>
                <w:lang w:eastAsia="en-GB"/>
              </w:rPr>
            </w:pPr>
            <w:r w:rsidRPr="008B2B45">
              <w:rPr>
                <w:rFonts w:asciiTheme="majorHAnsi" w:eastAsia="Times New Roman" w:hAnsiTheme="majorHAnsi" w:cstheme="majorHAnsi"/>
                <w:b/>
                <w:bCs/>
                <w:lang w:eastAsia="en-GB"/>
              </w:rPr>
              <w:t xml:space="preserve">% </w:t>
            </w:r>
            <w:r w:rsidR="00802CE0" w:rsidRPr="008B2B45">
              <w:rPr>
                <w:rFonts w:asciiTheme="majorHAnsi" w:eastAsia="Times New Roman" w:hAnsiTheme="majorHAnsi" w:cstheme="majorHAnsi"/>
                <w:b/>
                <w:bCs/>
                <w:lang w:eastAsia="en-GB"/>
              </w:rPr>
              <w:t xml:space="preserve">in </w:t>
            </w:r>
            <w:r w:rsidR="00F31193" w:rsidRPr="008B2B45">
              <w:rPr>
                <w:rFonts w:asciiTheme="majorHAnsi" w:eastAsia="Times New Roman" w:hAnsiTheme="majorHAnsi" w:cstheme="majorHAnsi"/>
                <w:b/>
                <w:bCs/>
                <w:lang w:eastAsia="en-GB"/>
              </w:rPr>
              <w:t>f</w:t>
            </w:r>
            <w:r w:rsidRPr="008B2B45">
              <w:rPr>
                <w:rFonts w:asciiTheme="majorHAnsi" w:eastAsia="Times New Roman" w:hAnsiTheme="majorHAnsi" w:cstheme="majorHAnsi"/>
                <w:b/>
                <w:bCs/>
                <w:lang w:eastAsia="en-GB"/>
              </w:rPr>
              <w:t>uel p</w:t>
            </w:r>
            <w:r w:rsidR="00802CE0" w:rsidRPr="008B2B45">
              <w:rPr>
                <w:rFonts w:asciiTheme="majorHAnsi" w:eastAsia="Times New Roman" w:hAnsiTheme="majorHAnsi" w:cstheme="majorHAnsi"/>
                <w:b/>
                <w:bCs/>
                <w:lang w:eastAsia="en-GB"/>
              </w:rPr>
              <w:t>overty</w:t>
            </w:r>
            <w:r w:rsidRPr="008B2B45">
              <w:rPr>
                <w:rFonts w:asciiTheme="majorHAnsi" w:eastAsia="Times New Roman" w:hAnsiTheme="majorHAnsi" w:cstheme="majorHAnsi"/>
                <w:b/>
                <w:bCs/>
                <w:lang w:eastAsia="en-GB"/>
              </w:rPr>
              <w:t xml:space="preserve">  </w:t>
            </w:r>
          </w:p>
        </w:tc>
      </w:tr>
      <w:tr w:rsidR="008B2B45" w:rsidRPr="008B2B45" w14:paraId="4A24E947" w14:textId="77777777" w:rsidTr="00F970DD">
        <w:trPr>
          <w:trHeight w:val="288"/>
        </w:trPr>
        <w:tc>
          <w:tcPr>
            <w:tcW w:w="3140" w:type="dxa"/>
            <w:shd w:val="clear" w:color="auto" w:fill="auto"/>
            <w:noWrap/>
            <w:vAlign w:val="bottom"/>
            <w:hideMark/>
          </w:tcPr>
          <w:p w14:paraId="609D3C6C" w14:textId="77777777" w:rsidR="00F970DD" w:rsidRPr="008B2B45" w:rsidRDefault="00F970DD" w:rsidP="00F970DD">
            <w:pPr>
              <w:spacing w:after="0" w:line="240" w:lineRule="auto"/>
              <w:rPr>
                <w:rFonts w:asciiTheme="majorHAnsi" w:eastAsia="Times New Roman" w:hAnsiTheme="majorHAnsi" w:cstheme="majorHAnsi"/>
                <w:b/>
                <w:bCs/>
                <w:lang w:eastAsia="en-GB"/>
              </w:rPr>
            </w:pPr>
            <w:r w:rsidRPr="008B2B45">
              <w:rPr>
                <w:rFonts w:asciiTheme="majorHAnsi" w:eastAsia="Times New Roman" w:hAnsiTheme="majorHAnsi" w:cstheme="majorHAnsi"/>
                <w:b/>
                <w:bCs/>
                <w:lang w:eastAsia="en-GB"/>
              </w:rPr>
              <w:t>2019/20 (10% definition)</w:t>
            </w:r>
          </w:p>
        </w:tc>
        <w:tc>
          <w:tcPr>
            <w:tcW w:w="2380" w:type="dxa"/>
            <w:shd w:val="clear" w:color="auto" w:fill="auto"/>
            <w:noWrap/>
            <w:vAlign w:val="bottom"/>
            <w:hideMark/>
          </w:tcPr>
          <w:p w14:paraId="0B23D501" w14:textId="2522EACA" w:rsidR="00F970DD" w:rsidRPr="008B2B45" w:rsidRDefault="008B2B45" w:rsidP="00F970DD">
            <w:pPr>
              <w:spacing w:after="0" w:line="240" w:lineRule="auto"/>
              <w:jc w:val="right"/>
              <w:rPr>
                <w:rFonts w:asciiTheme="majorHAnsi" w:eastAsia="Times New Roman" w:hAnsiTheme="majorHAnsi" w:cstheme="majorHAnsi"/>
                <w:lang w:eastAsia="en-GB"/>
              </w:rPr>
            </w:pPr>
            <w:r w:rsidRPr="00F670E0">
              <w:rPr>
                <w:rFonts w:asciiTheme="majorHAnsi" w:eastAsia="Times New Roman" w:hAnsiTheme="majorHAnsi" w:cstheme="majorHAnsi"/>
                <w:lang w:eastAsia="en-GB"/>
              </w:rPr>
              <w:t>42.5</w:t>
            </w:r>
            <w:r w:rsidR="00F970DD" w:rsidRPr="008B2B45">
              <w:rPr>
                <w:rFonts w:asciiTheme="majorHAnsi" w:eastAsia="Times New Roman" w:hAnsiTheme="majorHAnsi" w:cstheme="majorHAnsi"/>
                <w:lang w:eastAsia="en-GB"/>
              </w:rPr>
              <w:t>%</w:t>
            </w:r>
          </w:p>
        </w:tc>
        <w:tc>
          <w:tcPr>
            <w:tcW w:w="2480" w:type="dxa"/>
            <w:shd w:val="clear" w:color="auto" w:fill="auto"/>
            <w:noWrap/>
            <w:vAlign w:val="bottom"/>
            <w:hideMark/>
          </w:tcPr>
          <w:p w14:paraId="78AF42B4" w14:textId="6C552A11" w:rsidR="00F970DD" w:rsidRPr="008B2B45" w:rsidRDefault="008B2B45" w:rsidP="00F970DD">
            <w:pPr>
              <w:spacing w:after="0" w:line="240" w:lineRule="auto"/>
              <w:jc w:val="right"/>
              <w:rPr>
                <w:rFonts w:asciiTheme="majorHAnsi" w:eastAsia="Times New Roman" w:hAnsiTheme="majorHAnsi" w:cstheme="majorHAnsi"/>
                <w:lang w:eastAsia="en-GB"/>
              </w:rPr>
            </w:pPr>
            <w:r w:rsidRPr="00F670E0">
              <w:rPr>
                <w:rFonts w:asciiTheme="majorHAnsi" w:eastAsia="Times New Roman" w:hAnsiTheme="majorHAnsi" w:cstheme="majorHAnsi"/>
                <w:lang w:eastAsia="en-GB"/>
              </w:rPr>
              <w:t>57.5</w:t>
            </w:r>
            <w:r w:rsidR="00F970DD" w:rsidRPr="008B2B45">
              <w:rPr>
                <w:rFonts w:asciiTheme="majorHAnsi" w:eastAsia="Times New Roman" w:hAnsiTheme="majorHAnsi" w:cstheme="majorHAnsi"/>
                <w:lang w:eastAsia="en-GB"/>
              </w:rPr>
              <w:t>%</w:t>
            </w:r>
          </w:p>
        </w:tc>
        <w:tc>
          <w:tcPr>
            <w:tcW w:w="1420" w:type="dxa"/>
            <w:shd w:val="clear" w:color="auto" w:fill="auto"/>
            <w:noWrap/>
            <w:vAlign w:val="bottom"/>
            <w:hideMark/>
          </w:tcPr>
          <w:p w14:paraId="769EEE32" w14:textId="01FCF916" w:rsidR="00F970DD" w:rsidRPr="008B2B45" w:rsidRDefault="008B2B45" w:rsidP="00F970DD">
            <w:pPr>
              <w:spacing w:after="0" w:line="240" w:lineRule="auto"/>
              <w:jc w:val="right"/>
              <w:rPr>
                <w:rFonts w:asciiTheme="majorHAnsi" w:eastAsia="Times New Roman" w:hAnsiTheme="majorHAnsi" w:cstheme="majorHAnsi"/>
                <w:lang w:eastAsia="en-GB"/>
              </w:rPr>
            </w:pPr>
            <w:r w:rsidRPr="00F670E0">
              <w:rPr>
                <w:rFonts w:asciiTheme="majorHAnsi" w:eastAsia="Times New Roman" w:hAnsiTheme="majorHAnsi" w:cstheme="majorHAnsi"/>
                <w:lang w:eastAsia="en-GB"/>
              </w:rPr>
              <w:t>27.9</w:t>
            </w:r>
            <w:r w:rsidR="00F970DD" w:rsidRPr="008B2B45">
              <w:rPr>
                <w:rFonts w:asciiTheme="majorHAnsi" w:eastAsia="Times New Roman" w:hAnsiTheme="majorHAnsi" w:cstheme="majorHAnsi"/>
                <w:lang w:eastAsia="en-GB"/>
              </w:rPr>
              <w:t>%</w:t>
            </w:r>
          </w:p>
        </w:tc>
      </w:tr>
      <w:tr w:rsidR="008B2B45" w:rsidRPr="008B2B45" w14:paraId="466D613E" w14:textId="77777777" w:rsidTr="00F970DD">
        <w:trPr>
          <w:trHeight w:val="288"/>
        </w:trPr>
        <w:tc>
          <w:tcPr>
            <w:tcW w:w="3140" w:type="dxa"/>
            <w:shd w:val="clear" w:color="auto" w:fill="auto"/>
            <w:noWrap/>
            <w:vAlign w:val="bottom"/>
            <w:hideMark/>
          </w:tcPr>
          <w:p w14:paraId="05161F0A" w14:textId="77777777" w:rsidR="00F970DD" w:rsidRPr="008B2B45" w:rsidRDefault="00F970DD" w:rsidP="00F970DD">
            <w:pPr>
              <w:spacing w:after="0" w:line="240" w:lineRule="auto"/>
              <w:rPr>
                <w:rFonts w:asciiTheme="majorHAnsi" w:eastAsia="Times New Roman" w:hAnsiTheme="majorHAnsi" w:cstheme="majorHAnsi"/>
                <w:b/>
                <w:bCs/>
                <w:lang w:eastAsia="en-GB"/>
              </w:rPr>
            </w:pPr>
            <w:r w:rsidRPr="008B2B45">
              <w:rPr>
                <w:rFonts w:asciiTheme="majorHAnsi" w:eastAsia="Times New Roman" w:hAnsiTheme="majorHAnsi" w:cstheme="majorHAnsi"/>
                <w:b/>
                <w:bCs/>
                <w:lang w:eastAsia="en-GB"/>
              </w:rPr>
              <w:t xml:space="preserve">Jan 2023 (10% definition) </w:t>
            </w:r>
          </w:p>
        </w:tc>
        <w:tc>
          <w:tcPr>
            <w:tcW w:w="2380" w:type="dxa"/>
            <w:shd w:val="clear" w:color="auto" w:fill="auto"/>
            <w:noWrap/>
            <w:vAlign w:val="bottom"/>
            <w:hideMark/>
          </w:tcPr>
          <w:p w14:paraId="3CB178BB" w14:textId="4FA958C0" w:rsidR="00F970DD" w:rsidRPr="008B2B45" w:rsidRDefault="008B2B45" w:rsidP="00F970DD">
            <w:pPr>
              <w:spacing w:after="0" w:line="240" w:lineRule="auto"/>
              <w:jc w:val="right"/>
              <w:rPr>
                <w:rFonts w:asciiTheme="majorHAnsi" w:eastAsia="Times New Roman" w:hAnsiTheme="majorHAnsi" w:cstheme="majorHAnsi"/>
                <w:lang w:eastAsia="en-GB"/>
              </w:rPr>
            </w:pPr>
            <w:r w:rsidRPr="00F670E0">
              <w:rPr>
                <w:rFonts w:asciiTheme="majorHAnsi" w:eastAsia="Times New Roman" w:hAnsiTheme="majorHAnsi" w:cstheme="majorHAnsi"/>
                <w:lang w:eastAsia="en-GB"/>
              </w:rPr>
              <w:t>74.8</w:t>
            </w:r>
            <w:r w:rsidR="00F970DD" w:rsidRPr="008B2B45">
              <w:rPr>
                <w:rFonts w:asciiTheme="majorHAnsi" w:eastAsia="Times New Roman" w:hAnsiTheme="majorHAnsi" w:cstheme="majorHAnsi"/>
                <w:lang w:eastAsia="en-GB"/>
              </w:rPr>
              <w:t>%</w:t>
            </w:r>
          </w:p>
        </w:tc>
        <w:tc>
          <w:tcPr>
            <w:tcW w:w="2480" w:type="dxa"/>
            <w:shd w:val="clear" w:color="auto" w:fill="auto"/>
            <w:noWrap/>
            <w:vAlign w:val="bottom"/>
            <w:hideMark/>
          </w:tcPr>
          <w:p w14:paraId="7F717D50" w14:textId="33D2A5AA" w:rsidR="00F970DD" w:rsidRPr="008B2B45" w:rsidRDefault="008B2B45" w:rsidP="00F970DD">
            <w:pPr>
              <w:spacing w:after="0" w:line="240" w:lineRule="auto"/>
              <w:jc w:val="right"/>
              <w:rPr>
                <w:rFonts w:asciiTheme="majorHAnsi" w:eastAsia="Times New Roman" w:hAnsiTheme="majorHAnsi" w:cstheme="majorHAnsi"/>
                <w:lang w:eastAsia="en-GB"/>
              </w:rPr>
            </w:pPr>
            <w:r w:rsidRPr="00F670E0">
              <w:rPr>
                <w:rFonts w:asciiTheme="majorHAnsi" w:eastAsia="Times New Roman" w:hAnsiTheme="majorHAnsi" w:cstheme="majorHAnsi"/>
                <w:lang w:eastAsia="en-GB"/>
              </w:rPr>
              <w:t>25.2</w:t>
            </w:r>
            <w:r w:rsidR="00F970DD" w:rsidRPr="008B2B45">
              <w:rPr>
                <w:rFonts w:asciiTheme="majorHAnsi" w:eastAsia="Times New Roman" w:hAnsiTheme="majorHAnsi" w:cstheme="majorHAnsi"/>
                <w:lang w:eastAsia="en-GB"/>
              </w:rPr>
              <w:t>%</w:t>
            </w:r>
          </w:p>
        </w:tc>
        <w:tc>
          <w:tcPr>
            <w:tcW w:w="1420" w:type="dxa"/>
            <w:shd w:val="clear" w:color="auto" w:fill="auto"/>
            <w:noWrap/>
            <w:vAlign w:val="bottom"/>
            <w:hideMark/>
          </w:tcPr>
          <w:p w14:paraId="3FE16F08" w14:textId="4CC0D9F5" w:rsidR="00F970DD" w:rsidRPr="008B2B45" w:rsidRDefault="008B2B45" w:rsidP="00F970DD">
            <w:pPr>
              <w:spacing w:after="0" w:line="240" w:lineRule="auto"/>
              <w:jc w:val="right"/>
              <w:rPr>
                <w:rFonts w:asciiTheme="majorHAnsi" w:eastAsia="Times New Roman" w:hAnsiTheme="majorHAnsi" w:cstheme="majorHAnsi"/>
                <w:lang w:eastAsia="en-GB"/>
              </w:rPr>
            </w:pPr>
            <w:r w:rsidRPr="00F670E0">
              <w:rPr>
                <w:rFonts w:asciiTheme="majorHAnsi" w:eastAsia="Times New Roman" w:hAnsiTheme="majorHAnsi" w:cstheme="majorHAnsi"/>
                <w:lang w:eastAsia="en-GB"/>
              </w:rPr>
              <w:t>83.8</w:t>
            </w:r>
            <w:r w:rsidR="00F970DD" w:rsidRPr="008B2B45">
              <w:rPr>
                <w:rFonts w:asciiTheme="majorHAnsi" w:eastAsia="Times New Roman" w:hAnsiTheme="majorHAnsi" w:cstheme="majorHAnsi"/>
                <w:lang w:eastAsia="en-GB"/>
              </w:rPr>
              <w:t>%</w:t>
            </w:r>
          </w:p>
        </w:tc>
      </w:tr>
      <w:tr w:rsidR="008B2B45" w:rsidRPr="008B2B45" w14:paraId="0C0380DA" w14:textId="77777777" w:rsidTr="00F970DD">
        <w:trPr>
          <w:trHeight w:val="288"/>
        </w:trPr>
        <w:tc>
          <w:tcPr>
            <w:tcW w:w="3140" w:type="dxa"/>
            <w:shd w:val="clear" w:color="auto" w:fill="auto"/>
            <w:noWrap/>
            <w:vAlign w:val="bottom"/>
            <w:hideMark/>
          </w:tcPr>
          <w:p w14:paraId="6D387178" w14:textId="77777777" w:rsidR="00F970DD" w:rsidRPr="008B2B45" w:rsidRDefault="00F970DD" w:rsidP="00F970DD">
            <w:pPr>
              <w:spacing w:after="0" w:line="240" w:lineRule="auto"/>
              <w:rPr>
                <w:rFonts w:asciiTheme="majorHAnsi" w:eastAsia="Times New Roman" w:hAnsiTheme="majorHAnsi" w:cstheme="majorHAnsi"/>
                <w:b/>
                <w:bCs/>
                <w:lang w:eastAsia="en-GB"/>
              </w:rPr>
            </w:pPr>
            <w:r w:rsidRPr="008B2B45">
              <w:rPr>
                <w:rFonts w:asciiTheme="majorHAnsi" w:eastAsia="Times New Roman" w:hAnsiTheme="majorHAnsi" w:cstheme="majorHAnsi"/>
                <w:b/>
                <w:bCs/>
                <w:lang w:eastAsia="en-GB"/>
              </w:rPr>
              <w:t>Jan 2023 (20% definition)</w:t>
            </w:r>
          </w:p>
        </w:tc>
        <w:tc>
          <w:tcPr>
            <w:tcW w:w="2380" w:type="dxa"/>
            <w:shd w:val="clear" w:color="auto" w:fill="auto"/>
            <w:noWrap/>
            <w:vAlign w:val="bottom"/>
            <w:hideMark/>
          </w:tcPr>
          <w:p w14:paraId="296602A7" w14:textId="527AEEA3" w:rsidR="00F970DD" w:rsidRPr="008B2B45" w:rsidRDefault="008B2B45" w:rsidP="00F970DD">
            <w:pPr>
              <w:spacing w:after="0" w:line="240" w:lineRule="auto"/>
              <w:jc w:val="right"/>
              <w:rPr>
                <w:rFonts w:asciiTheme="majorHAnsi" w:eastAsia="Times New Roman" w:hAnsiTheme="majorHAnsi" w:cstheme="majorHAnsi"/>
                <w:lang w:eastAsia="en-GB"/>
              </w:rPr>
            </w:pPr>
            <w:r w:rsidRPr="00F670E0">
              <w:rPr>
                <w:rFonts w:asciiTheme="majorHAnsi" w:eastAsia="Times New Roman" w:hAnsiTheme="majorHAnsi" w:cstheme="majorHAnsi"/>
                <w:lang w:eastAsia="en-GB"/>
              </w:rPr>
              <w:t>65.2</w:t>
            </w:r>
            <w:r w:rsidR="00F970DD" w:rsidRPr="008B2B45">
              <w:rPr>
                <w:rFonts w:asciiTheme="majorHAnsi" w:eastAsia="Times New Roman" w:hAnsiTheme="majorHAnsi" w:cstheme="majorHAnsi"/>
                <w:lang w:eastAsia="en-GB"/>
              </w:rPr>
              <w:t>%</w:t>
            </w:r>
          </w:p>
        </w:tc>
        <w:tc>
          <w:tcPr>
            <w:tcW w:w="2480" w:type="dxa"/>
            <w:shd w:val="clear" w:color="auto" w:fill="auto"/>
            <w:noWrap/>
            <w:vAlign w:val="bottom"/>
            <w:hideMark/>
          </w:tcPr>
          <w:p w14:paraId="49809676" w14:textId="63684C49" w:rsidR="00F970DD" w:rsidRPr="008B2B45" w:rsidRDefault="008B2B45" w:rsidP="00F970DD">
            <w:pPr>
              <w:spacing w:after="0" w:line="240" w:lineRule="auto"/>
              <w:jc w:val="right"/>
              <w:rPr>
                <w:rFonts w:asciiTheme="majorHAnsi" w:eastAsia="Times New Roman" w:hAnsiTheme="majorHAnsi" w:cstheme="majorHAnsi"/>
                <w:lang w:eastAsia="en-GB"/>
              </w:rPr>
            </w:pPr>
            <w:r w:rsidRPr="00F670E0">
              <w:rPr>
                <w:rFonts w:asciiTheme="majorHAnsi" w:eastAsia="Times New Roman" w:hAnsiTheme="majorHAnsi" w:cstheme="majorHAnsi"/>
                <w:lang w:eastAsia="en-GB"/>
              </w:rPr>
              <w:t>34.8</w:t>
            </w:r>
            <w:r w:rsidR="00F970DD" w:rsidRPr="008B2B45">
              <w:rPr>
                <w:rFonts w:asciiTheme="majorHAnsi" w:eastAsia="Times New Roman" w:hAnsiTheme="majorHAnsi" w:cstheme="majorHAnsi"/>
                <w:lang w:eastAsia="en-GB"/>
              </w:rPr>
              <w:t>%</w:t>
            </w:r>
          </w:p>
        </w:tc>
        <w:tc>
          <w:tcPr>
            <w:tcW w:w="1420" w:type="dxa"/>
            <w:shd w:val="clear" w:color="auto" w:fill="auto"/>
            <w:noWrap/>
            <w:vAlign w:val="bottom"/>
            <w:hideMark/>
          </w:tcPr>
          <w:p w14:paraId="651905E1" w14:textId="5A49FE12" w:rsidR="00F970DD" w:rsidRPr="008B2B45" w:rsidRDefault="008B2B45" w:rsidP="00F970DD">
            <w:pPr>
              <w:spacing w:after="0" w:line="240" w:lineRule="auto"/>
              <w:jc w:val="right"/>
              <w:rPr>
                <w:rFonts w:asciiTheme="majorHAnsi" w:eastAsia="Times New Roman" w:hAnsiTheme="majorHAnsi" w:cstheme="majorHAnsi"/>
                <w:lang w:eastAsia="en-GB"/>
              </w:rPr>
            </w:pPr>
            <w:r w:rsidRPr="00F670E0">
              <w:rPr>
                <w:rFonts w:asciiTheme="majorHAnsi" w:eastAsia="Times New Roman" w:hAnsiTheme="majorHAnsi" w:cstheme="majorHAnsi"/>
                <w:lang w:eastAsia="en-GB"/>
              </w:rPr>
              <w:t>54.8</w:t>
            </w:r>
            <w:r w:rsidR="00F970DD" w:rsidRPr="008B2B45">
              <w:rPr>
                <w:rFonts w:asciiTheme="majorHAnsi" w:eastAsia="Times New Roman" w:hAnsiTheme="majorHAnsi" w:cstheme="majorHAnsi"/>
                <w:lang w:eastAsia="en-GB"/>
              </w:rPr>
              <w:t>%</w:t>
            </w:r>
          </w:p>
        </w:tc>
      </w:tr>
      <w:tr w:rsidR="008B2B45" w:rsidRPr="008B2B45" w14:paraId="3D22E81D" w14:textId="77777777" w:rsidTr="00F970DD">
        <w:trPr>
          <w:trHeight w:val="288"/>
        </w:trPr>
        <w:tc>
          <w:tcPr>
            <w:tcW w:w="3140" w:type="dxa"/>
            <w:shd w:val="clear" w:color="auto" w:fill="auto"/>
            <w:noWrap/>
            <w:vAlign w:val="bottom"/>
            <w:hideMark/>
          </w:tcPr>
          <w:p w14:paraId="7D72E530" w14:textId="77777777" w:rsidR="00F970DD" w:rsidRPr="008B2B45" w:rsidRDefault="00F970DD" w:rsidP="00F970DD">
            <w:pPr>
              <w:spacing w:after="0" w:line="240" w:lineRule="auto"/>
              <w:rPr>
                <w:rFonts w:asciiTheme="majorHAnsi" w:eastAsia="Times New Roman" w:hAnsiTheme="majorHAnsi" w:cstheme="majorHAnsi"/>
                <w:b/>
                <w:bCs/>
                <w:lang w:eastAsia="en-GB"/>
              </w:rPr>
            </w:pPr>
            <w:r w:rsidRPr="008B2B45">
              <w:rPr>
                <w:rFonts w:asciiTheme="majorHAnsi" w:eastAsia="Times New Roman" w:hAnsiTheme="majorHAnsi" w:cstheme="majorHAnsi"/>
                <w:b/>
                <w:bCs/>
                <w:lang w:eastAsia="en-GB"/>
              </w:rPr>
              <w:t>Jan 2023 (25% definition)</w:t>
            </w:r>
          </w:p>
        </w:tc>
        <w:tc>
          <w:tcPr>
            <w:tcW w:w="2380" w:type="dxa"/>
            <w:shd w:val="clear" w:color="auto" w:fill="auto"/>
            <w:noWrap/>
            <w:vAlign w:val="bottom"/>
            <w:hideMark/>
          </w:tcPr>
          <w:p w14:paraId="3BCF52E8" w14:textId="5701BC07" w:rsidR="00F970DD" w:rsidRPr="008B2B45" w:rsidRDefault="008B2B45" w:rsidP="00F970DD">
            <w:pPr>
              <w:spacing w:after="0" w:line="240" w:lineRule="auto"/>
              <w:jc w:val="right"/>
              <w:rPr>
                <w:rFonts w:asciiTheme="majorHAnsi" w:eastAsia="Times New Roman" w:hAnsiTheme="majorHAnsi" w:cstheme="majorHAnsi"/>
                <w:lang w:eastAsia="en-GB"/>
              </w:rPr>
            </w:pPr>
            <w:r w:rsidRPr="00F670E0">
              <w:rPr>
                <w:rFonts w:asciiTheme="majorHAnsi" w:eastAsia="Times New Roman" w:hAnsiTheme="majorHAnsi" w:cstheme="majorHAnsi"/>
                <w:lang w:eastAsia="en-GB"/>
              </w:rPr>
              <w:t>59.0</w:t>
            </w:r>
            <w:r w:rsidR="00F970DD" w:rsidRPr="008B2B45">
              <w:rPr>
                <w:rFonts w:asciiTheme="majorHAnsi" w:eastAsia="Times New Roman" w:hAnsiTheme="majorHAnsi" w:cstheme="majorHAnsi"/>
                <w:lang w:eastAsia="en-GB"/>
              </w:rPr>
              <w:t>%</w:t>
            </w:r>
          </w:p>
        </w:tc>
        <w:tc>
          <w:tcPr>
            <w:tcW w:w="2480" w:type="dxa"/>
            <w:shd w:val="clear" w:color="auto" w:fill="auto"/>
            <w:noWrap/>
            <w:vAlign w:val="bottom"/>
            <w:hideMark/>
          </w:tcPr>
          <w:p w14:paraId="1BAC5A7C" w14:textId="72D709ED" w:rsidR="00F970DD" w:rsidRPr="008B2B45" w:rsidRDefault="008B2B45" w:rsidP="00F970DD">
            <w:pPr>
              <w:spacing w:after="0" w:line="240" w:lineRule="auto"/>
              <w:jc w:val="right"/>
              <w:rPr>
                <w:rFonts w:asciiTheme="majorHAnsi" w:eastAsia="Times New Roman" w:hAnsiTheme="majorHAnsi" w:cstheme="majorHAnsi"/>
                <w:lang w:eastAsia="en-GB"/>
              </w:rPr>
            </w:pPr>
            <w:r w:rsidRPr="00F670E0">
              <w:rPr>
                <w:rFonts w:asciiTheme="majorHAnsi" w:eastAsia="Times New Roman" w:hAnsiTheme="majorHAnsi" w:cstheme="majorHAnsi"/>
                <w:lang w:eastAsia="en-GB"/>
              </w:rPr>
              <w:t>41.0</w:t>
            </w:r>
            <w:r w:rsidR="00F970DD" w:rsidRPr="008B2B45">
              <w:rPr>
                <w:rFonts w:asciiTheme="majorHAnsi" w:eastAsia="Times New Roman" w:hAnsiTheme="majorHAnsi" w:cstheme="majorHAnsi"/>
                <w:lang w:eastAsia="en-GB"/>
              </w:rPr>
              <w:t>%</w:t>
            </w:r>
          </w:p>
        </w:tc>
        <w:tc>
          <w:tcPr>
            <w:tcW w:w="1420" w:type="dxa"/>
            <w:shd w:val="clear" w:color="auto" w:fill="auto"/>
            <w:noWrap/>
            <w:vAlign w:val="bottom"/>
            <w:hideMark/>
          </w:tcPr>
          <w:p w14:paraId="3E181679" w14:textId="02107958" w:rsidR="00F970DD" w:rsidRPr="008B2B45" w:rsidRDefault="008B2B45" w:rsidP="00F970DD">
            <w:pPr>
              <w:spacing w:after="0" w:line="240" w:lineRule="auto"/>
              <w:jc w:val="right"/>
              <w:rPr>
                <w:rFonts w:asciiTheme="majorHAnsi" w:eastAsia="Times New Roman" w:hAnsiTheme="majorHAnsi" w:cstheme="majorHAnsi"/>
                <w:lang w:eastAsia="en-GB"/>
              </w:rPr>
            </w:pPr>
            <w:r w:rsidRPr="00F670E0">
              <w:rPr>
                <w:rFonts w:asciiTheme="majorHAnsi" w:eastAsia="Times New Roman" w:hAnsiTheme="majorHAnsi" w:cstheme="majorHAnsi"/>
                <w:lang w:eastAsia="en-GB"/>
              </w:rPr>
              <w:t>43.2</w:t>
            </w:r>
            <w:r w:rsidR="00F970DD" w:rsidRPr="008B2B45">
              <w:rPr>
                <w:rFonts w:asciiTheme="majorHAnsi" w:eastAsia="Times New Roman" w:hAnsiTheme="majorHAnsi" w:cstheme="majorHAnsi"/>
                <w:lang w:eastAsia="en-GB"/>
              </w:rPr>
              <w:t>%</w:t>
            </w:r>
          </w:p>
        </w:tc>
      </w:tr>
      <w:tr w:rsidR="008B2B45" w:rsidRPr="008B2B45" w14:paraId="6AD7C2D5" w14:textId="77777777" w:rsidTr="00F970DD">
        <w:trPr>
          <w:trHeight w:val="288"/>
        </w:trPr>
        <w:tc>
          <w:tcPr>
            <w:tcW w:w="3140" w:type="dxa"/>
            <w:shd w:val="clear" w:color="auto" w:fill="auto"/>
            <w:noWrap/>
            <w:vAlign w:val="bottom"/>
            <w:hideMark/>
          </w:tcPr>
          <w:p w14:paraId="7F2F774C" w14:textId="77777777" w:rsidR="00F970DD" w:rsidRPr="008B2B45" w:rsidRDefault="00F970DD" w:rsidP="00F970DD">
            <w:pPr>
              <w:spacing w:after="0" w:line="240" w:lineRule="auto"/>
              <w:rPr>
                <w:rFonts w:asciiTheme="majorHAnsi" w:eastAsia="Times New Roman" w:hAnsiTheme="majorHAnsi" w:cstheme="majorHAnsi"/>
                <w:b/>
                <w:bCs/>
                <w:lang w:eastAsia="en-GB"/>
              </w:rPr>
            </w:pPr>
            <w:r w:rsidRPr="008B2B45">
              <w:rPr>
                <w:rFonts w:asciiTheme="majorHAnsi" w:eastAsia="Times New Roman" w:hAnsiTheme="majorHAnsi" w:cstheme="majorHAnsi"/>
                <w:b/>
                <w:bCs/>
                <w:lang w:eastAsia="en-GB"/>
              </w:rPr>
              <w:t>Jan 2023 (30% definition)</w:t>
            </w:r>
          </w:p>
        </w:tc>
        <w:tc>
          <w:tcPr>
            <w:tcW w:w="2380" w:type="dxa"/>
            <w:shd w:val="clear" w:color="auto" w:fill="auto"/>
            <w:noWrap/>
            <w:vAlign w:val="bottom"/>
            <w:hideMark/>
          </w:tcPr>
          <w:p w14:paraId="5B00ABD9" w14:textId="792AB378" w:rsidR="00F970DD" w:rsidRPr="008B2B45" w:rsidRDefault="008B2B45" w:rsidP="00F970DD">
            <w:pPr>
              <w:spacing w:after="0" w:line="240" w:lineRule="auto"/>
              <w:jc w:val="right"/>
              <w:rPr>
                <w:rFonts w:asciiTheme="majorHAnsi" w:eastAsia="Times New Roman" w:hAnsiTheme="majorHAnsi" w:cstheme="majorHAnsi"/>
                <w:lang w:eastAsia="en-GB"/>
              </w:rPr>
            </w:pPr>
            <w:r w:rsidRPr="00F670E0">
              <w:rPr>
                <w:rFonts w:asciiTheme="majorHAnsi" w:eastAsia="Times New Roman" w:hAnsiTheme="majorHAnsi" w:cstheme="majorHAnsi"/>
                <w:lang w:eastAsia="en-GB"/>
              </w:rPr>
              <w:t>53.1</w:t>
            </w:r>
            <w:r w:rsidR="00F970DD" w:rsidRPr="008B2B45">
              <w:rPr>
                <w:rFonts w:asciiTheme="majorHAnsi" w:eastAsia="Times New Roman" w:hAnsiTheme="majorHAnsi" w:cstheme="majorHAnsi"/>
                <w:lang w:eastAsia="en-GB"/>
              </w:rPr>
              <w:t>%</w:t>
            </w:r>
          </w:p>
        </w:tc>
        <w:tc>
          <w:tcPr>
            <w:tcW w:w="2480" w:type="dxa"/>
            <w:shd w:val="clear" w:color="auto" w:fill="auto"/>
            <w:noWrap/>
            <w:vAlign w:val="bottom"/>
            <w:hideMark/>
          </w:tcPr>
          <w:p w14:paraId="43CD8CCF" w14:textId="605ADC44" w:rsidR="00F970DD" w:rsidRPr="008B2B45" w:rsidRDefault="008B2B45" w:rsidP="00F970DD">
            <w:pPr>
              <w:spacing w:after="0" w:line="240" w:lineRule="auto"/>
              <w:jc w:val="right"/>
              <w:rPr>
                <w:rFonts w:asciiTheme="majorHAnsi" w:eastAsia="Times New Roman" w:hAnsiTheme="majorHAnsi" w:cstheme="majorHAnsi"/>
                <w:lang w:eastAsia="en-GB"/>
              </w:rPr>
            </w:pPr>
            <w:r w:rsidRPr="00F670E0">
              <w:rPr>
                <w:rFonts w:asciiTheme="majorHAnsi" w:eastAsia="Times New Roman" w:hAnsiTheme="majorHAnsi" w:cstheme="majorHAnsi"/>
                <w:lang w:eastAsia="en-GB"/>
              </w:rPr>
              <w:t>46.9</w:t>
            </w:r>
            <w:r w:rsidR="00F970DD" w:rsidRPr="008B2B45">
              <w:rPr>
                <w:rFonts w:asciiTheme="majorHAnsi" w:eastAsia="Times New Roman" w:hAnsiTheme="majorHAnsi" w:cstheme="majorHAnsi"/>
                <w:lang w:eastAsia="en-GB"/>
              </w:rPr>
              <w:t>%</w:t>
            </w:r>
          </w:p>
        </w:tc>
        <w:tc>
          <w:tcPr>
            <w:tcW w:w="1420" w:type="dxa"/>
            <w:shd w:val="clear" w:color="auto" w:fill="auto"/>
            <w:noWrap/>
            <w:vAlign w:val="bottom"/>
            <w:hideMark/>
          </w:tcPr>
          <w:p w14:paraId="3F9FA708" w14:textId="0F5AEF26" w:rsidR="00F970DD" w:rsidRPr="008B2B45" w:rsidRDefault="008B2B45" w:rsidP="00F970DD">
            <w:pPr>
              <w:spacing w:after="0" w:line="240" w:lineRule="auto"/>
              <w:jc w:val="right"/>
              <w:rPr>
                <w:rFonts w:asciiTheme="majorHAnsi" w:eastAsia="Times New Roman" w:hAnsiTheme="majorHAnsi" w:cstheme="majorHAnsi"/>
                <w:lang w:eastAsia="en-GB"/>
              </w:rPr>
            </w:pPr>
            <w:r w:rsidRPr="00F670E0">
              <w:rPr>
                <w:rFonts w:asciiTheme="majorHAnsi" w:eastAsia="Times New Roman" w:hAnsiTheme="majorHAnsi" w:cstheme="majorHAnsi"/>
                <w:lang w:eastAsia="en-GB"/>
              </w:rPr>
              <w:t>34.7</w:t>
            </w:r>
            <w:r w:rsidR="00F970DD" w:rsidRPr="008B2B45">
              <w:rPr>
                <w:rFonts w:asciiTheme="majorHAnsi" w:eastAsia="Times New Roman" w:hAnsiTheme="majorHAnsi" w:cstheme="majorHAnsi"/>
                <w:lang w:eastAsia="en-GB"/>
              </w:rPr>
              <w:t>%</w:t>
            </w:r>
          </w:p>
        </w:tc>
      </w:tr>
    </w:tbl>
    <w:p w14:paraId="66285C41" w14:textId="2EBCF314" w:rsidR="007C3FC8" w:rsidRPr="008B2B45" w:rsidRDefault="007C3FC8" w:rsidP="007C3FC8">
      <w:pPr>
        <w:shd w:val="clear" w:color="auto" w:fill="FFFFFF"/>
        <w:spacing w:after="210" w:line="240" w:lineRule="auto"/>
        <w:rPr>
          <w:rFonts w:asciiTheme="majorHAnsi" w:eastAsia="Times New Roman" w:hAnsiTheme="majorHAnsi" w:cstheme="majorHAnsi"/>
          <w:lang w:eastAsia="en-GB"/>
        </w:rPr>
      </w:pPr>
      <w:r w:rsidRPr="008B2B45">
        <w:rPr>
          <w:rFonts w:asciiTheme="majorHAnsi" w:eastAsia="Times New Roman" w:hAnsiTheme="majorHAnsi" w:cstheme="majorHAnsi"/>
          <w:lang w:eastAsia="en-GB"/>
        </w:rPr>
        <w:t xml:space="preserve">Sources: LCFS 2019-20 weighted data. October 2022 price cap (Ofgem published 26 August 2022) and January 2023 price cap (Cornwall Insight’s tariff cap forecast 26 August 2022).  </w:t>
      </w:r>
    </w:p>
    <w:p w14:paraId="3A3B5DB0" w14:textId="650D22FA" w:rsidR="00843C57" w:rsidRPr="008B2B45" w:rsidRDefault="00843C57" w:rsidP="006A0FB9">
      <w:pPr>
        <w:shd w:val="clear" w:color="auto" w:fill="FFFFFF"/>
        <w:spacing w:after="210" w:line="240" w:lineRule="auto"/>
        <w:rPr>
          <w:rFonts w:asciiTheme="majorHAnsi" w:eastAsia="Times New Roman" w:hAnsiTheme="majorHAnsi" w:cstheme="majorHAnsi"/>
          <w:lang w:eastAsia="en-GB"/>
        </w:rPr>
      </w:pPr>
      <w:r w:rsidRPr="008B2B45">
        <w:rPr>
          <w:rFonts w:asciiTheme="majorHAnsi" w:eastAsia="Times New Roman" w:hAnsiTheme="majorHAnsi" w:cstheme="majorHAnsi"/>
          <w:lang w:eastAsia="en-GB"/>
        </w:rPr>
        <w:lastRenderedPageBreak/>
        <w:t xml:space="preserve">Table 4 shows which types </w:t>
      </w:r>
      <w:r w:rsidR="00805551" w:rsidRPr="008B2B45">
        <w:rPr>
          <w:rFonts w:asciiTheme="majorHAnsi" w:eastAsia="Times New Roman" w:hAnsiTheme="majorHAnsi" w:cstheme="majorHAnsi"/>
          <w:lang w:eastAsia="en-GB"/>
        </w:rPr>
        <w:t xml:space="preserve">of households </w:t>
      </w:r>
      <w:r w:rsidRPr="008B2B45">
        <w:rPr>
          <w:rFonts w:asciiTheme="majorHAnsi" w:eastAsia="Times New Roman" w:hAnsiTheme="majorHAnsi" w:cstheme="majorHAnsi"/>
          <w:lang w:eastAsia="en-GB"/>
        </w:rPr>
        <w:t xml:space="preserve">will be more or less likely to be </w:t>
      </w:r>
      <w:r w:rsidR="00102456" w:rsidRPr="008B2B45">
        <w:rPr>
          <w:rFonts w:asciiTheme="majorHAnsi" w:eastAsia="Times New Roman" w:hAnsiTheme="majorHAnsi" w:cstheme="majorHAnsi"/>
          <w:lang w:eastAsia="en-GB"/>
        </w:rPr>
        <w:t>in f</w:t>
      </w:r>
      <w:r w:rsidRPr="008B2B45">
        <w:rPr>
          <w:rFonts w:asciiTheme="majorHAnsi" w:eastAsia="Times New Roman" w:hAnsiTheme="majorHAnsi" w:cstheme="majorHAnsi"/>
          <w:lang w:eastAsia="en-GB"/>
        </w:rPr>
        <w:t>uel po</w:t>
      </w:r>
      <w:r w:rsidR="00102456" w:rsidRPr="008B2B45">
        <w:rPr>
          <w:rFonts w:asciiTheme="majorHAnsi" w:eastAsia="Times New Roman" w:hAnsiTheme="majorHAnsi" w:cstheme="majorHAnsi"/>
          <w:lang w:eastAsia="en-GB"/>
        </w:rPr>
        <w:t xml:space="preserve">verty </w:t>
      </w:r>
      <w:r w:rsidRPr="008B2B45">
        <w:rPr>
          <w:rFonts w:asciiTheme="majorHAnsi" w:eastAsia="Times New Roman" w:hAnsiTheme="majorHAnsi" w:cstheme="majorHAnsi"/>
          <w:lang w:eastAsia="en-GB"/>
        </w:rPr>
        <w:t>in January 2023. The households most likely to be</w:t>
      </w:r>
      <w:r w:rsidR="00D03097" w:rsidRPr="008B2B45">
        <w:rPr>
          <w:rFonts w:asciiTheme="majorHAnsi" w:eastAsia="Times New Roman" w:hAnsiTheme="majorHAnsi" w:cstheme="majorHAnsi"/>
          <w:lang w:eastAsia="en-GB"/>
        </w:rPr>
        <w:t xml:space="preserve"> in</w:t>
      </w:r>
      <w:r w:rsidRPr="008B2B45">
        <w:rPr>
          <w:rFonts w:asciiTheme="majorHAnsi" w:eastAsia="Times New Roman" w:hAnsiTheme="majorHAnsi" w:cstheme="majorHAnsi"/>
          <w:lang w:eastAsia="en-GB"/>
        </w:rPr>
        <w:t xml:space="preserve"> fuel po</w:t>
      </w:r>
      <w:r w:rsidR="00D03097" w:rsidRPr="008B2B45">
        <w:rPr>
          <w:rFonts w:asciiTheme="majorHAnsi" w:eastAsia="Times New Roman" w:hAnsiTheme="majorHAnsi" w:cstheme="majorHAnsi"/>
          <w:lang w:eastAsia="en-GB"/>
        </w:rPr>
        <w:t>verty</w:t>
      </w:r>
      <w:r w:rsidRPr="008B2B45">
        <w:rPr>
          <w:rFonts w:asciiTheme="majorHAnsi" w:eastAsia="Times New Roman" w:hAnsiTheme="majorHAnsi" w:cstheme="majorHAnsi"/>
          <w:lang w:eastAsia="en-GB"/>
        </w:rPr>
        <w:t xml:space="preserve"> will be large</w:t>
      </w:r>
      <w:r w:rsidR="00D03097" w:rsidRPr="008B2B45">
        <w:rPr>
          <w:rFonts w:asciiTheme="majorHAnsi" w:eastAsia="Times New Roman" w:hAnsiTheme="majorHAnsi" w:cstheme="majorHAnsi"/>
          <w:lang w:eastAsia="en-GB"/>
        </w:rPr>
        <w:t>r</w:t>
      </w:r>
      <w:r w:rsidRPr="008B2B45">
        <w:rPr>
          <w:rFonts w:asciiTheme="majorHAnsi" w:eastAsia="Times New Roman" w:hAnsiTheme="majorHAnsi" w:cstheme="majorHAnsi"/>
          <w:lang w:eastAsia="en-GB"/>
        </w:rPr>
        <w:t xml:space="preserve"> families with children</w:t>
      </w:r>
      <w:r w:rsidR="006E5BEE">
        <w:rPr>
          <w:rFonts w:asciiTheme="majorHAnsi" w:eastAsia="Times New Roman" w:hAnsiTheme="majorHAnsi" w:cstheme="majorHAnsi"/>
          <w:lang w:eastAsia="en-GB"/>
        </w:rPr>
        <w:t xml:space="preserve"> and</w:t>
      </w:r>
      <w:r w:rsidRPr="008B2B45">
        <w:rPr>
          <w:rFonts w:asciiTheme="majorHAnsi" w:eastAsia="Times New Roman" w:hAnsiTheme="majorHAnsi" w:cstheme="majorHAnsi"/>
          <w:lang w:eastAsia="en-GB"/>
        </w:rPr>
        <w:t xml:space="preserve"> lone-parent families </w:t>
      </w:r>
      <w:r w:rsidR="00D03097" w:rsidRPr="008B2B45">
        <w:rPr>
          <w:rFonts w:asciiTheme="majorHAnsi" w:eastAsia="Times New Roman" w:hAnsiTheme="majorHAnsi" w:cstheme="majorHAnsi"/>
          <w:lang w:eastAsia="en-GB"/>
        </w:rPr>
        <w:t>with two or more children</w:t>
      </w:r>
      <w:r w:rsidRPr="008B2B45">
        <w:rPr>
          <w:rFonts w:asciiTheme="majorHAnsi" w:eastAsia="Times New Roman" w:hAnsiTheme="majorHAnsi" w:cstheme="majorHAnsi"/>
          <w:lang w:eastAsia="en-GB"/>
        </w:rPr>
        <w:t>.</w:t>
      </w:r>
    </w:p>
    <w:p w14:paraId="783FD5C7" w14:textId="45C2EE3C" w:rsidR="00C62944" w:rsidRDefault="006A0FB9" w:rsidP="006A0FB9">
      <w:pPr>
        <w:shd w:val="clear" w:color="auto" w:fill="FFFFFF"/>
        <w:spacing w:after="210" w:line="240" w:lineRule="auto"/>
        <w:rPr>
          <w:rFonts w:asciiTheme="majorHAnsi" w:eastAsia="Times New Roman" w:hAnsiTheme="majorHAnsi" w:cstheme="majorHAnsi"/>
          <w:b/>
          <w:bCs/>
          <w:lang w:eastAsia="en-GB"/>
        </w:rPr>
      </w:pPr>
      <w:r w:rsidRPr="008B2B45">
        <w:rPr>
          <w:rFonts w:asciiTheme="majorHAnsi" w:eastAsia="Times New Roman" w:hAnsiTheme="majorHAnsi" w:cstheme="majorHAnsi"/>
          <w:b/>
          <w:bCs/>
          <w:lang w:eastAsia="en-GB"/>
        </w:rPr>
        <w:t>Table 4: E</w:t>
      </w:r>
      <w:r w:rsidR="00843C57" w:rsidRPr="008B2B45">
        <w:rPr>
          <w:rFonts w:asciiTheme="majorHAnsi" w:eastAsia="Times New Roman" w:hAnsiTheme="majorHAnsi" w:cstheme="majorHAnsi"/>
          <w:b/>
          <w:bCs/>
          <w:lang w:eastAsia="en-GB"/>
        </w:rPr>
        <w:t>stimated fuel poverty rates by household type, January 2023</w:t>
      </w:r>
    </w:p>
    <w:tbl>
      <w:tblP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39"/>
        <w:gridCol w:w="953"/>
        <w:gridCol w:w="828"/>
        <w:gridCol w:w="953"/>
        <w:gridCol w:w="828"/>
        <w:gridCol w:w="953"/>
        <w:gridCol w:w="768"/>
        <w:gridCol w:w="1146"/>
      </w:tblGrid>
      <w:tr w:rsidR="007D4053" w:rsidRPr="00C62944" w14:paraId="4BF471C3" w14:textId="77777777" w:rsidTr="007D4053">
        <w:trPr>
          <w:trHeight w:val="288"/>
        </w:trPr>
        <w:tc>
          <w:tcPr>
            <w:tcW w:w="2263" w:type="dxa"/>
            <w:shd w:val="clear" w:color="auto" w:fill="auto"/>
            <w:noWrap/>
            <w:vAlign w:val="bottom"/>
            <w:hideMark/>
          </w:tcPr>
          <w:p w14:paraId="662FD4FF" w14:textId="77777777" w:rsidR="00C62944" w:rsidRPr="00C62944" w:rsidRDefault="00C62944" w:rsidP="00C62944">
            <w:pPr>
              <w:spacing w:after="0" w:line="240" w:lineRule="auto"/>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 </w:t>
            </w:r>
          </w:p>
        </w:tc>
        <w:tc>
          <w:tcPr>
            <w:tcW w:w="7268" w:type="dxa"/>
            <w:gridSpan w:val="8"/>
            <w:shd w:val="clear" w:color="auto" w:fill="auto"/>
            <w:noWrap/>
            <w:vAlign w:val="bottom"/>
            <w:hideMark/>
          </w:tcPr>
          <w:p w14:paraId="540B2E1A" w14:textId="5B0B01DF" w:rsidR="00C62944" w:rsidRPr="00C62944" w:rsidRDefault="00C62944" w:rsidP="00C62944">
            <w:pPr>
              <w:spacing w:after="0" w:line="240" w:lineRule="auto"/>
              <w:jc w:val="center"/>
              <w:rPr>
                <w:rFonts w:asciiTheme="majorHAnsi" w:eastAsia="Times New Roman" w:hAnsiTheme="majorHAnsi" w:cstheme="majorHAnsi"/>
                <w:b/>
                <w:bCs/>
                <w:color w:val="000000"/>
                <w:lang w:eastAsia="en-GB"/>
              </w:rPr>
            </w:pPr>
            <w:r w:rsidRPr="00C62944">
              <w:rPr>
                <w:rFonts w:asciiTheme="majorHAnsi" w:eastAsia="Times New Roman" w:hAnsiTheme="majorHAnsi" w:cstheme="majorHAnsi"/>
                <w:b/>
                <w:bCs/>
                <w:color w:val="000000"/>
                <w:lang w:eastAsia="en-GB"/>
              </w:rPr>
              <w:t>Fuel poverty thresholds</w:t>
            </w:r>
            <w:r w:rsidR="006B24CE">
              <w:rPr>
                <w:rFonts w:asciiTheme="majorHAnsi" w:eastAsia="Times New Roman" w:hAnsiTheme="majorHAnsi" w:cstheme="majorHAnsi"/>
                <w:b/>
                <w:bCs/>
                <w:color w:val="000000"/>
                <w:lang w:eastAsia="en-GB"/>
              </w:rPr>
              <w:t xml:space="preserve">, </w:t>
            </w:r>
            <w:r w:rsidR="006B24CE" w:rsidRPr="00C51F5E">
              <w:rPr>
                <w:rFonts w:asciiTheme="majorHAnsi" w:eastAsia="Times New Roman" w:hAnsiTheme="majorHAnsi" w:cstheme="majorHAnsi"/>
                <w:b/>
                <w:bCs/>
                <w:color w:val="000000"/>
                <w:lang w:eastAsia="en-GB"/>
              </w:rPr>
              <w:t>after housing costs</w:t>
            </w:r>
          </w:p>
        </w:tc>
      </w:tr>
      <w:tr w:rsidR="007D4053" w:rsidRPr="00C62944" w14:paraId="3EB42599" w14:textId="77777777" w:rsidTr="007D4053">
        <w:trPr>
          <w:trHeight w:val="288"/>
        </w:trPr>
        <w:tc>
          <w:tcPr>
            <w:tcW w:w="2263" w:type="dxa"/>
            <w:shd w:val="clear" w:color="auto" w:fill="auto"/>
            <w:noWrap/>
            <w:vAlign w:val="bottom"/>
            <w:hideMark/>
          </w:tcPr>
          <w:p w14:paraId="7BBD2944" w14:textId="77777777" w:rsidR="00C62944" w:rsidRPr="00C62944" w:rsidRDefault="00C62944" w:rsidP="00C62944">
            <w:pPr>
              <w:spacing w:after="0" w:line="240" w:lineRule="auto"/>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 </w:t>
            </w:r>
          </w:p>
        </w:tc>
        <w:tc>
          <w:tcPr>
            <w:tcW w:w="1792" w:type="dxa"/>
            <w:gridSpan w:val="2"/>
            <w:shd w:val="clear" w:color="auto" w:fill="auto"/>
            <w:noWrap/>
            <w:vAlign w:val="bottom"/>
            <w:hideMark/>
          </w:tcPr>
          <w:p w14:paraId="22E51755" w14:textId="77777777" w:rsidR="00C62944" w:rsidRPr="00C62944" w:rsidRDefault="00C62944" w:rsidP="00C62944">
            <w:pPr>
              <w:spacing w:after="0" w:line="240" w:lineRule="auto"/>
              <w:jc w:val="center"/>
              <w:rPr>
                <w:rFonts w:asciiTheme="majorHAnsi" w:eastAsia="Times New Roman" w:hAnsiTheme="majorHAnsi" w:cstheme="majorHAnsi"/>
                <w:b/>
                <w:bCs/>
                <w:color w:val="000000"/>
                <w:lang w:eastAsia="en-GB"/>
              </w:rPr>
            </w:pPr>
            <w:r w:rsidRPr="00C62944">
              <w:rPr>
                <w:rFonts w:asciiTheme="majorHAnsi" w:eastAsia="Times New Roman" w:hAnsiTheme="majorHAnsi" w:cstheme="majorHAnsi"/>
                <w:b/>
                <w:bCs/>
                <w:color w:val="000000"/>
                <w:lang w:eastAsia="en-GB"/>
              </w:rPr>
              <w:t>10%</w:t>
            </w:r>
          </w:p>
        </w:tc>
        <w:tc>
          <w:tcPr>
            <w:tcW w:w="1781" w:type="dxa"/>
            <w:gridSpan w:val="2"/>
            <w:shd w:val="clear" w:color="auto" w:fill="auto"/>
            <w:noWrap/>
            <w:vAlign w:val="bottom"/>
            <w:hideMark/>
          </w:tcPr>
          <w:p w14:paraId="49BCD4A5" w14:textId="77777777" w:rsidR="00C62944" w:rsidRPr="00C62944" w:rsidRDefault="00C62944" w:rsidP="00C62944">
            <w:pPr>
              <w:spacing w:after="0" w:line="240" w:lineRule="auto"/>
              <w:jc w:val="center"/>
              <w:rPr>
                <w:rFonts w:asciiTheme="majorHAnsi" w:eastAsia="Times New Roman" w:hAnsiTheme="majorHAnsi" w:cstheme="majorHAnsi"/>
                <w:b/>
                <w:bCs/>
                <w:color w:val="000000"/>
                <w:lang w:eastAsia="en-GB"/>
              </w:rPr>
            </w:pPr>
            <w:r w:rsidRPr="00C62944">
              <w:rPr>
                <w:rFonts w:asciiTheme="majorHAnsi" w:eastAsia="Times New Roman" w:hAnsiTheme="majorHAnsi" w:cstheme="majorHAnsi"/>
                <w:b/>
                <w:bCs/>
                <w:color w:val="000000"/>
                <w:lang w:eastAsia="en-GB"/>
              </w:rPr>
              <w:t>20%</w:t>
            </w:r>
          </w:p>
        </w:tc>
        <w:tc>
          <w:tcPr>
            <w:tcW w:w="1781" w:type="dxa"/>
            <w:gridSpan w:val="2"/>
            <w:shd w:val="clear" w:color="auto" w:fill="auto"/>
            <w:noWrap/>
            <w:vAlign w:val="bottom"/>
            <w:hideMark/>
          </w:tcPr>
          <w:p w14:paraId="6C36A3B1" w14:textId="77777777" w:rsidR="00C62944" w:rsidRPr="00C62944" w:rsidRDefault="00C62944" w:rsidP="00C62944">
            <w:pPr>
              <w:spacing w:after="0" w:line="240" w:lineRule="auto"/>
              <w:jc w:val="center"/>
              <w:rPr>
                <w:rFonts w:asciiTheme="majorHAnsi" w:eastAsia="Times New Roman" w:hAnsiTheme="majorHAnsi" w:cstheme="majorHAnsi"/>
                <w:b/>
                <w:bCs/>
                <w:color w:val="000000"/>
                <w:lang w:eastAsia="en-GB"/>
              </w:rPr>
            </w:pPr>
            <w:r w:rsidRPr="00C62944">
              <w:rPr>
                <w:rFonts w:asciiTheme="majorHAnsi" w:eastAsia="Times New Roman" w:hAnsiTheme="majorHAnsi" w:cstheme="majorHAnsi"/>
                <w:b/>
                <w:bCs/>
                <w:color w:val="000000"/>
                <w:lang w:eastAsia="en-GB"/>
              </w:rPr>
              <w:t>25%</w:t>
            </w:r>
          </w:p>
        </w:tc>
        <w:tc>
          <w:tcPr>
            <w:tcW w:w="1914" w:type="dxa"/>
            <w:gridSpan w:val="2"/>
            <w:shd w:val="clear" w:color="auto" w:fill="auto"/>
            <w:noWrap/>
            <w:vAlign w:val="bottom"/>
            <w:hideMark/>
          </w:tcPr>
          <w:p w14:paraId="0732B0C5" w14:textId="77777777" w:rsidR="00C62944" w:rsidRPr="00C62944" w:rsidRDefault="00C62944" w:rsidP="00C62944">
            <w:pPr>
              <w:spacing w:after="0" w:line="240" w:lineRule="auto"/>
              <w:jc w:val="center"/>
              <w:rPr>
                <w:rFonts w:asciiTheme="majorHAnsi" w:eastAsia="Times New Roman" w:hAnsiTheme="majorHAnsi" w:cstheme="majorHAnsi"/>
                <w:b/>
                <w:bCs/>
                <w:color w:val="000000"/>
                <w:lang w:eastAsia="en-GB"/>
              </w:rPr>
            </w:pPr>
            <w:r w:rsidRPr="00C62944">
              <w:rPr>
                <w:rFonts w:asciiTheme="majorHAnsi" w:eastAsia="Times New Roman" w:hAnsiTheme="majorHAnsi" w:cstheme="majorHAnsi"/>
                <w:b/>
                <w:bCs/>
                <w:color w:val="000000"/>
                <w:lang w:eastAsia="en-GB"/>
              </w:rPr>
              <w:t>30%</w:t>
            </w:r>
          </w:p>
        </w:tc>
      </w:tr>
      <w:tr w:rsidR="007D4053" w:rsidRPr="00C62944" w14:paraId="47CB9311" w14:textId="77777777" w:rsidTr="007D4053">
        <w:trPr>
          <w:trHeight w:val="864"/>
        </w:trPr>
        <w:tc>
          <w:tcPr>
            <w:tcW w:w="2263" w:type="dxa"/>
            <w:shd w:val="clear" w:color="auto" w:fill="auto"/>
            <w:noWrap/>
            <w:vAlign w:val="bottom"/>
            <w:hideMark/>
          </w:tcPr>
          <w:p w14:paraId="2013229F" w14:textId="77777777" w:rsidR="00C62944" w:rsidRPr="00C62944" w:rsidRDefault="00C62944" w:rsidP="00C62944">
            <w:pPr>
              <w:spacing w:after="0" w:line="240" w:lineRule="auto"/>
              <w:rPr>
                <w:rFonts w:asciiTheme="majorHAnsi" w:eastAsia="Times New Roman" w:hAnsiTheme="majorHAnsi" w:cstheme="majorHAnsi"/>
                <w:b/>
                <w:bCs/>
                <w:color w:val="000000"/>
                <w:lang w:eastAsia="en-GB"/>
              </w:rPr>
            </w:pPr>
            <w:r w:rsidRPr="00C62944">
              <w:rPr>
                <w:rFonts w:asciiTheme="majorHAnsi" w:eastAsia="Times New Roman" w:hAnsiTheme="majorHAnsi" w:cstheme="majorHAnsi"/>
                <w:b/>
                <w:bCs/>
                <w:color w:val="000000"/>
                <w:lang w:eastAsia="en-GB"/>
              </w:rPr>
              <w:t xml:space="preserve">Family type </w:t>
            </w:r>
          </w:p>
        </w:tc>
        <w:tc>
          <w:tcPr>
            <w:tcW w:w="839" w:type="dxa"/>
            <w:shd w:val="clear" w:color="auto" w:fill="auto"/>
            <w:noWrap/>
            <w:vAlign w:val="bottom"/>
            <w:hideMark/>
          </w:tcPr>
          <w:p w14:paraId="4EE4BF05" w14:textId="77777777" w:rsidR="00C62944" w:rsidRDefault="00C62944" w:rsidP="00C62944">
            <w:pPr>
              <w:spacing w:after="0" w:line="240" w:lineRule="auto"/>
              <w:rPr>
                <w:rFonts w:asciiTheme="majorHAnsi" w:eastAsia="Times New Roman" w:hAnsiTheme="majorHAnsi" w:cstheme="majorHAnsi"/>
                <w:b/>
                <w:bCs/>
                <w:color w:val="000000"/>
                <w:lang w:eastAsia="en-GB"/>
              </w:rPr>
            </w:pPr>
            <w:r w:rsidRPr="00C62944">
              <w:rPr>
                <w:rFonts w:asciiTheme="majorHAnsi" w:eastAsia="Times New Roman" w:hAnsiTheme="majorHAnsi" w:cstheme="majorHAnsi"/>
                <w:b/>
                <w:bCs/>
                <w:color w:val="000000"/>
                <w:lang w:eastAsia="en-GB"/>
              </w:rPr>
              <w:t>Count</w:t>
            </w:r>
          </w:p>
          <w:p w14:paraId="1923DE8B" w14:textId="3881130F" w:rsidR="007D4053" w:rsidRPr="00C62944" w:rsidRDefault="007D4053" w:rsidP="00C62944">
            <w:pPr>
              <w:spacing w:after="0" w:line="240" w:lineRule="auto"/>
              <w:rPr>
                <w:rFonts w:asciiTheme="majorHAnsi" w:eastAsia="Times New Roman" w:hAnsiTheme="majorHAnsi" w:cstheme="majorHAnsi"/>
                <w:b/>
                <w:bCs/>
                <w:color w:val="000000"/>
                <w:lang w:eastAsia="en-GB"/>
              </w:rPr>
            </w:pPr>
            <w:r w:rsidRPr="008B2B45">
              <w:rPr>
                <w:rFonts w:asciiTheme="majorHAnsi" w:eastAsia="Times New Roman" w:hAnsiTheme="majorHAnsi" w:cstheme="majorHAnsi"/>
                <w:b/>
                <w:bCs/>
                <w:lang w:eastAsia="en-GB"/>
              </w:rPr>
              <w:t>(000s)</w:t>
            </w:r>
          </w:p>
        </w:tc>
        <w:tc>
          <w:tcPr>
            <w:tcW w:w="953" w:type="dxa"/>
            <w:shd w:val="clear" w:color="auto" w:fill="auto"/>
            <w:vAlign w:val="bottom"/>
            <w:hideMark/>
          </w:tcPr>
          <w:p w14:paraId="101D377E" w14:textId="77777777" w:rsidR="00C62944" w:rsidRPr="00C62944" w:rsidRDefault="00C62944" w:rsidP="00C62944">
            <w:pPr>
              <w:spacing w:after="0" w:line="240" w:lineRule="auto"/>
              <w:rPr>
                <w:rFonts w:asciiTheme="majorHAnsi" w:eastAsia="Times New Roman" w:hAnsiTheme="majorHAnsi" w:cstheme="majorHAnsi"/>
                <w:b/>
                <w:bCs/>
                <w:color w:val="000000"/>
                <w:lang w:eastAsia="en-GB"/>
              </w:rPr>
            </w:pPr>
            <w:r w:rsidRPr="00C62944">
              <w:rPr>
                <w:rFonts w:asciiTheme="majorHAnsi" w:eastAsia="Times New Roman" w:hAnsiTheme="majorHAnsi" w:cstheme="majorHAnsi"/>
                <w:b/>
                <w:bCs/>
                <w:color w:val="000000"/>
                <w:lang w:eastAsia="en-GB"/>
              </w:rPr>
              <w:t xml:space="preserve">% within Family Type </w:t>
            </w:r>
          </w:p>
        </w:tc>
        <w:tc>
          <w:tcPr>
            <w:tcW w:w="828" w:type="dxa"/>
            <w:shd w:val="clear" w:color="auto" w:fill="auto"/>
            <w:noWrap/>
            <w:vAlign w:val="bottom"/>
            <w:hideMark/>
          </w:tcPr>
          <w:p w14:paraId="2EAF1783" w14:textId="77777777" w:rsidR="00C62944" w:rsidRDefault="00C62944" w:rsidP="00C62944">
            <w:pPr>
              <w:spacing w:after="0" w:line="240" w:lineRule="auto"/>
              <w:rPr>
                <w:rFonts w:asciiTheme="majorHAnsi" w:eastAsia="Times New Roman" w:hAnsiTheme="majorHAnsi" w:cstheme="majorHAnsi"/>
                <w:b/>
                <w:bCs/>
                <w:color w:val="000000"/>
                <w:lang w:eastAsia="en-GB"/>
              </w:rPr>
            </w:pPr>
            <w:r w:rsidRPr="00C62944">
              <w:rPr>
                <w:rFonts w:asciiTheme="majorHAnsi" w:eastAsia="Times New Roman" w:hAnsiTheme="majorHAnsi" w:cstheme="majorHAnsi"/>
                <w:b/>
                <w:bCs/>
                <w:color w:val="000000"/>
                <w:lang w:eastAsia="en-GB"/>
              </w:rPr>
              <w:t>Count</w:t>
            </w:r>
          </w:p>
          <w:p w14:paraId="4BE68AB4" w14:textId="316352D3" w:rsidR="007D4053" w:rsidRPr="00C62944" w:rsidRDefault="007D4053" w:rsidP="00C62944">
            <w:pPr>
              <w:spacing w:after="0" w:line="240" w:lineRule="auto"/>
              <w:rPr>
                <w:rFonts w:asciiTheme="majorHAnsi" w:eastAsia="Times New Roman" w:hAnsiTheme="majorHAnsi" w:cstheme="majorHAnsi"/>
                <w:b/>
                <w:bCs/>
                <w:color w:val="000000"/>
                <w:lang w:eastAsia="en-GB"/>
              </w:rPr>
            </w:pPr>
            <w:r>
              <w:rPr>
                <w:rFonts w:asciiTheme="majorHAnsi" w:eastAsia="Times New Roman" w:hAnsiTheme="majorHAnsi" w:cstheme="majorHAnsi"/>
                <w:b/>
                <w:bCs/>
                <w:color w:val="000000"/>
                <w:lang w:eastAsia="en-GB"/>
              </w:rPr>
              <w:t>(000s)</w:t>
            </w:r>
          </w:p>
        </w:tc>
        <w:tc>
          <w:tcPr>
            <w:tcW w:w="953" w:type="dxa"/>
            <w:shd w:val="clear" w:color="auto" w:fill="auto"/>
            <w:vAlign w:val="bottom"/>
            <w:hideMark/>
          </w:tcPr>
          <w:p w14:paraId="6664027D" w14:textId="77777777" w:rsidR="00C62944" w:rsidRPr="00C62944" w:rsidRDefault="00C62944" w:rsidP="00C62944">
            <w:pPr>
              <w:spacing w:after="0" w:line="240" w:lineRule="auto"/>
              <w:rPr>
                <w:rFonts w:asciiTheme="majorHAnsi" w:eastAsia="Times New Roman" w:hAnsiTheme="majorHAnsi" w:cstheme="majorHAnsi"/>
                <w:b/>
                <w:bCs/>
                <w:color w:val="000000"/>
                <w:lang w:eastAsia="en-GB"/>
              </w:rPr>
            </w:pPr>
            <w:r w:rsidRPr="00C62944">
              <w:rPr>
                <w:rFonts w:asciiTheme="majorHAnsi" w:eastAsia="Times New Roman" w:hAnsiTheme="majorHAnsi" w:cstheme="majorHAnsi"/>
                <w:b/>
                <w:bCs/>
                <w:color w:val="000000"/>
                <w:lang w:eastAsia="en-GB"/>
              </w:rPr>
              <w:t xml:space="preserve">% within Family Type </w:t>
            </w:r>
          </w:p>
        </w:tc>
        <w:tc>
          <w:tcPr>
            <w:tcW w:w="828" w:type="dxa"/>
            <w:shd w:val="clear" w:color="auto" w:fill="auto"/>
            <w:noWrap/>
            <w:vAlign w:val="bottom"/>
            <w:hideMark/>
          </w:tcPr>
          <w:p w14:paraId="07C77B46" w14:textId="77777777" w:rsidR="00C62944" w:rsidRDefault="00C62944" w:rsidP="00C62944">
            <w:pPr>
              <w:spacing w:after="0" w:line="240" w:lineRule="auto"/>
              <w:rPr>
                <w:rFonts w:asciiTheme="majorHAnsi" w:eastAsia="Times New Roman" w:hAnsiTheme="majorHAnsi" w:cstheme="majorHAnsi"/>
                <w:b/>
                <w:bCs/>
                <w:color w:val="000000"/>
                <w:lang w:eastAsia="en-GB"/>
              </w:rPr>
            </w:pPr>
            <w:r w:rsidRPr="00C62944">
              <w:rPr>
                <w:rFonts w:asciiTheme="majorHAnsi" w:eastAsia="Times New Roman" w:hAnsiTheme="majorHAnsi" w:cstheme="majorHAnsi"/>
                <w:b/>
                <w:bCs/>
                <w:color w:val="000000"/>
                <w:lang w:eastAsia="en-GB"/>
              </w:rPr>
              <w:t>Count</w:t>
            </w:r>
          </w:p>
          <w:p w14:paraId="25C07337" w14:textId="0AD0D32C" w:rsidR="007D4053" w:rsidRPr="00C62944" w:rsidRDefault="007D4053" w:rsidP="00C62944">
            <w:pPr>
              <w:spacing w:after="0" w:line="240" w:lineRule="auto"/>
              <w:rPr>
                <w:rFonts w:asciiTheme="majorHAnsi" w:eastAsia="Times New Roman" w:hAnsiTheme="majorHAnsi" w:cstheme="majorHAnsi"/>
                <w:b/>
                <w:bCs/>
                <w:color w:val="000000"/>
                <w:lang w:eastAsia="en-GB"/>
              </w:rPr>
            </w:pPr>
            <w:r>
              <w:rPr>
                <w:rFonts w:asciiTheme="majorHAnsi" w:eastAsia="Times New Roman" w:hAnsiTheme="majorHAnsi" w:cstheme="majorHAnsi"/>
                <w:b/>
                <w:bCs/>
                <w:color w:val="000000"/>
                <w:lang w:eastAsia="en-GB"/>
              </w:rPr>
              <w:t>(000s)</w:t>
            </w:r>
          </w:p>
        </w:tc>
        <w:tc>
          <w:tcPr>
            <w:tcW w:w="953" w:type="dxa"/>
            <w:shd w:val="clear" w:color="auto" w:fill="auto"/>
            <w:vAlign w:val="bottom"/>
            <w:hideMark/>
          </w:tcPr>
          <w:p w14:paraId="6310DDD8" w14:textId="77777777" w:rsidR="00C62944" w:rsidRPr="00C62944" w:rsidRDefault="00C62944" w:rsidP="00C62944">
            <w:pPr>
              <w:spacing w:after="0" w:line="240" w:lineRule="auto"/>
              <w:rPr>
                <w:rFonts w:asciiTheme="majorHAnsi" w:eastAsia="Times New Roman" w:hAnsiTheme="majorHAnsi" w:cstheme="majorHAnsi"/>
                <w:b/>
                <w:bCs/>
                <w:color w:val="000000"/>
                <w:lang w:eastAsia="en-GB"/>
              </w:rPr>
            </w:pPr>
            <w:r w:rsidRPr="00C62944">
              <w:rPr>
                <w:rFonts w:asciiTheme="majorHAnsi" w:eastAsia="Times New Roman" w:hAnsiTheme="majorHAnsi" w:cstheme="majorHAnsi"/>
                <w:b/>
                <w:bCs/>
                <w:color w:val="000000"/>
                <w:lang w:eastAsia="en-GB"/>
              </w:rPr>
              <w:t xml:space="preserve">% within Family Type </w:t>
            </w:r>
          </w:p>
        </w:tc>
        <w:tc>
          <w:tcPr>
            <w:tcW w:w="768" w:type="dxa"/>
            <w:shd w:val="clear" w:color="auto" w:fill="auto"/>
            <w:noWrap/>
            <w:vAlign w:val="bottom"/>
            <w:hideMark/>
          </w:tcPr>
          <w:p w14:paraId="6478509E" w14:textId="77777777" w:rsidR="00C62944" w:rsidRDefault="00C62944" w:rsidP="00C62944">
            <w:pPr>
              <w:spacing w:after="0" w:line="240" w:lineRule="auto"/>
              <w:rPr>
                <w:rFonts w:asciiTheme="majorHAnsi" w:eastAsia="Times New Roman" w:hAnsiTheme="majorHAnsi" w:cstheme="majorHAnsi"/>
                <w:b/>
                <w:bCs/>
                <w:color w:val="000000"/>
                <w:lang w:eastAsia="en-GB"/>
              </w:rPr>
            </w:pPr>
            <w:r w:rsidRPr="00C62944">
              <w:rPr>
                <w:rFonts w:asciiTheme="majorHAnsi" w:eastAsia="Times New Roman" w:hAnsiTheme="majorHAnsi" w:cstheme="majorHAnsi"/>
                <w:b/>
                <w:bCs/>
                <w:color w:val="000000"/>
                <w:lang w:eastAsia="en-GB"/>
              </w:rPr>
              <w:t>Count</w:t>
            </w:r>
          </w:p>
          <w:p w14:paraId="191B91A5" w14:textId="76B998A8" w:rsidR="007D4053" w:rsidRPr="00C62944" w:rsidRDefault="007D4053" w:rsidP="00C62944">
            <w:pPr>
              <w:spacing w:after="0" w:line="240" w:lineRule="auto"/>
              <w:rPr>
                <w:rFonts w:asciiTheme="majorHAnsi" w:eastAsia="Times New Roman" w:hAnsiTheme="majorHAnsi" w:cstheme="majorHAnsi"/>
                <w:b/>
                <w:bCs/>
                <w:color w:val="000000"/>
                <w:lang w:eastAsia="en-GB"/>
              </w:rPr>
            </w:pPr>
            <w:r>
              <w:rPr>
                <w:rFonts w:asciiTheme="majorHAnsi" w:eastAsia="Times New Roman" w:hAnsiTheme="majorHAnsi" w:cstheme="majorHAnsi"/>
                <w:b/>
                <w:bCs/>
                <w:color w:val="000000"/>
                <w:lang w:eastAsia="en-GB"/>
              </w:rPr>
              <w:t>(000s)</w:t>
            </w:r>
          </w:p>
        </w:tc>
        <w:tc>
          <w:tcPr>
            <w:tcW w:w="1146" w:type="dxa"/>
            <w:shd w:val="clear" w:color="auto" w:fill="auto"/>
            <w:vAlign w:val="bottom"/>
            <w:hideMark/>
          </w:tcPr>
          <w:p w14:paraId="51AF292D" w14:textId="77777777" w:rsidR="00C62944" w:rsidRPr="00C62944" w:rsidRDefault="00C62944" w:rsidP="00C62944">
            <w:pPr>
              <w:spacing w:after="0" w:line="240" w:lineRule="auto"/>
              <w:rPr>
                <w:rFonts w:asciiTheme="majorHAnsi" w:eastAsia="Times New Roman" w:hAnsiTheme="majorHAnsi" w:cstheme="majorHAnsi"/>
                <w:b/>
                <w:bCs/>
                <w:color w:val="000000"/>
                <w:lang w:eastAsia="en-GB"/>
              </w:rPr>
            </w:pPr>
            <w:r w:rsidRPr="00C62944">
              <w:rPr>
                <w:rFonts w:asciiTheme="majorHAnsi" w:eastAsia="Times New Roman" w:hAnsiTheme="majorHAnsi" w:cstheme="majorHAnsi"/>
                <w:b/>
                <w:bCs/>
                <w:color w:val="000000"/>
                <w:lang w:eastAsia="en-GB"/>
              </w:rPr>
              <w:t xml:space="preserve">% within Family Type </w:t>
            </w:r>
          </w:p>
        </w:tc>
      </w:tr>
      <w:tr w:rsidR="007D4053" w:rsidRPr="00C62944" w14:paraId="52029930" w14:textId="77777777" w:rsidTr="007D4053">
        <w:trPr>
          <w:trHeight w:val="288"/>
        </w:trPr>
        <w:tc>
          <w:tcPr>
            <w:tcW w:w="2263" w:type="dxa"/>
            <w:shd w:val="clear" w:color="auto" w:fill="auto"/>
            <w:vAlign w:val="bottom"/>
            <w:hideMark/>
          </w:tcPr>
          <w:p w14:paraId="67D5C658" w14:textId="77777777" w:rsidR="00C62944" w:rsidRPr="00C62944" w:rsidRDefault="00C62944" w:rsidP="00C62944">
            <w:pPr>
              <w:spacing w:after="0" w:line="240" w:lineRule="auto"/>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Single</w:t>
            </w:r>
          </w:p>
        </w:tc>
        <w:tc>
          <w:tcPr>
            <w:tcW w:w="839" w:type="dxa"/>
            <w:shd w:val="clear" w:color="auto" w:fill="auto"/>
            <w:noWrap/>
            <w:vAlign w:val="bottom"/>
            <w:hideMark/>
          </w:tcPr>
          <w:p w14:paraId="0F270FA3" w14:textId="77777777"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4,971</w:t>
            </w:r>
          </w:p>
        </w:tc>
        <w:tc>
          <w:tcPr>
            <w:tcW w:w="953" w:type="dxa"/>
            <w:shd w:val="clear" w:color="auto" w:fill="auto"/>
            <w:noWrap/>
            <w:vAlign w:val="bottom"/>
            <w:hideMark/>
          </w:tcPr>
          <w:p w14:paraId="688FA8BE" w14:textId="0A32B0BF"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73.5%</w:t>
            </w:r>
          </w:p>
        </w:tc>
        <w:tc>
          <w:tcPr>
            <w:tcW w:w="828" w:type="dxa"/>
            <w:shd w:val="clear" w:color="auto" w:fill="auto"/>
            <w:noWrap/>
            <w:vAlign w:val="bottom"/>
            <w:hideMark/>
          </w:tcPr>
          <w:p w14:paraId="6A497AA1" w14:textId="49226E60"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3</w:t>
            </w:r>
            <w:r w:rsidR="007D4053">
              <w:rPr>
                <w:rFonts w:asciiTheme="majorHAnsi" w:eastAsia="Times New Roman" w:hAnsiTheme="majorHAnsi" w:cstheme="majorHAnsi"/>
                <w:color w:val="000000"/>
                <w:lang w:eastAsia="en-GB"/>
              </w:rPr>
              <w:t>,</w:t>
            </w:r>
            <w:r w:rsidRPr="00C62944">
              <w:rPr>
                <w:rFonts w:asciiTheme="majorHAnsi" w:eastAsia="Times New Roman" w:hAnsiTheme="majorHAnsi" w:cstheme="majorHAnsi"/>
                <w:color w:val="000000"/>
                <w:lang w:eastAsia="en-GB"/>
              </w:rPr>
              <w:t>189</w:t>
            </w:r>
          </w:p>
        </w:tc>
        <w:tc>
          <w:tcPr>
            <w:tcW w:w="953" w:type="dxa"/>
            <w:shd w:val="clear" w:color="auto" w:fill="auto"/>
            <w:noWrap/>
            <w:vAlign w:val="bottom"/>
            <w:hideMark/>
          </w:tcPr>
          <w:p w14:paraId="1FF26B20" w14:textId="34A599B4"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47.1%</w:t>
            </w:r>
          </w:p>
        </w:tc>
        <w:tc>
          <w:tcPr>
            <w:tcW w:w="828" w:type="dxa"/>
            <w:shd w:val="clear" w:color="auto" w:fill="auto"/>
            <w:noWrap/>
            <w:vAlign w:val="bottom"/>
            <w:hideMark/>
          </w:tcPr>
          <w:p w14:paraId="32046F09" w14:textId="21B5BAEC"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2</w:t>
            </w:r>
            <w:r w:rsidR="007D4053">
              <w:rPr>
                <w:rFonts w:asciiTheme="majorHAnsi" w:eastAsia="Times New Roman" w:hAnsiTheme="majorHAnsi" w:cstheme="majorHAnsi"/>
                <w:color w:val="000000"/>
                <w:lang w:eastAsia="en-GB"/>
              </w:rPr>
              <w:t>,</w:t>
            </w:r>
            <w:r w:rsidRPr="00C62944">
              <w:rPr>
                <w:rFonts w:asciiTheme="majorHAnsi" w:eastAsia="Times New Roman" w:hAnsiTheme="majorHAnsi" w:cstheme="majorHAnsi"/>
                <w:color w:val="000000"/>
                <w:lang w:eastAsia="en-GB"/>
              </w:rPr>
              <w:t>470</w:t>
            </w:r>
          </w:p>
        </w:tc>
        <w:tc>
          <w:tcPr>
            <w:tcW w:w="953" w:type="dxa"/>
            <w:shd w:val="clear" w:color="auto" w:fill="auto"/>
            <w:noWrap/>
            <w:vAlign w:val="bottom"/>
            <w:hideMark/>
          </w:tcPr>
          <w:p w14:paraId="6F247FE3" w14:textId="5A4D7243"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36.5%</w:t>
            </w:r>
          </w:p>
        </w:tc>
        <w:tc>
          <w:tcPr>
            <w:tcW w:w="768" w:type="dxa"/>
            <w:shd w:val="clear" w:color="auto" w:fill="auto"/>
            <w:noWrap/>
            <w:vAlign w:val="bottom"/>
            <w:hideMark/>
          </w:tcPr>
          <w:p w14:paraId="664B1C93" w14:textId="09B29685"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2</w:t>
            </w:r>
            <w:r w:rsidR="007D4053">
              <w:rPr>
                <w:rFonts w:asciiTheme="majorHAnsi" w:eastAsia="Times New Roman" w:hAnsiTheme="majorHAnsi" w:cstheme="majorHAnsi"/>
                <w:color w:val="000000"/>
                <w:lang w:eastAsia="en-GB"/>
              </w:rPr>
              <w:t>,</w:t>
            </w:r>
            <w:r w:rsidRPr="00C62944">
              <w:rPr>
                <w:rFonts w:asciiTheme="majorHAnsi" w:eastAsia="Times New Roman" w:hAnsiTheme="majorHAnsi" w:cstheme="majorHAnsi"/>
                <w:color w:val="000000"/>
                <w:lang w:eastAsia="en-GB"/>
              </w:rPr>
              <w:t>019</w:t>
            </w:r>
          </w:p>
        </w:tc>
        <w:tc>
          <w:tcPr>
            <w:tcW w:w="1146" w:type="dxa"/>
            <w:shd w:val="clear" w:color="auto" w:fill="auto"/>
            <w:noWrap/>
            <w:vAlign w:val="bottom"/>
            <w:hideMark/>
          </w:tcPr>
          <w:p w14:paraId="6A943001" w14:textId="6E0403F8"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29.8%</w:t>
            </w:r>
          </w:p>
        </w:tc>
      </w:tr>
      <w:tr w:rsidR="007D4053" w:rsidRPr="00C62944" w14:paraId="5DBBDA99" w14:textId="77777777" w:rsidTr="007D4053">
        <w:trPr>
          <w:trHeight w:val="288"/>
        </w:trPr>
        <w:tc>
          <w:tcPr>
            <w:tcW w:w="2263" w:type="dxa"/>
            <w:shd w:val="clear" w:color="auto" w:fill="auto"/>
            <w:vAlign w:val="bottom"/>
            <w:hideMark/>
          </w:tcPr>
          <w:p w14:paraId="48BBA5D2" w14:textId="77777777" w:rsidR="00C62944" w:rsidRPr="00C62944" w:rsidRDefault="00C62944" w:rsidP="00C62944">
            <w:pPr>
              <w:spacing w:after="0" w:line="240" w:lineRule="auto"/>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Couple</w:t>
            </w:r>
          </w:p>
        </w:tc>
        <w:tc>
          <w:tcPr>
            <w:tcW w:w="839" w:type="dxa"/>
            <w:shd w:val="clear" w:color="auto" w:fill="auto"/>
            <w:noWrap/>
            <w:vAlign w:val="bottom"/>
            <w:hideMark/>
          </w:tcPr>
          <w:p w14:paraId="61D54BE5" w14:textId="77777777"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7,161</w:t>
            </w:r>
          </w:p>
        </w:tc>
        <w:tc>
          <w:tcPr>
            <w:tcW w:w="953" w:type="dxa"/>
            <w:shd w:val="clear" w:color="auto" w:fill="auto"/>
            <w:noWrap/>
            <w:vAlign w:val="bottom"/>
            <w:hideMark/>
          </w:tcPr>
          <w:p w14:paraId="4ECD6B87" w14:textId="55B336A6"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80.7%</w:t>
            </w:r>
          </w:p>
        </w:tc>
        <w:tc>
          <w:tcPr>
            <w:tcW w:w="828" w:type="dxa"/>
            <w:shd w:val="clear" w:color="auto" w:fill="auto"/>
            <w:noWrap/>
            <w:vAlign w:val="bottom"/>
            <w:hideMark/>
          </w:tcPr>
          <w:p w14:paraId="39A303FE" w14:textId="48F130C4"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4</w:t>
            </w:r>
            <w:r w:rsidR="007D4053">
              <w:rPr>
                <w:rFonts w:asciiTheme="majorHAnsi" w:eastAsia="Times New Roman" w:hAnsiTheme="majorHAnsi" w:cstheme="majorHAnsi"/>
                <w:color w:val="000000"/>
                <w:lang w:eastAsia="en-GB"/>
              </w:rPr>
              <w:t>,</w:t>
            </w:r>
            <w:r w:rsidRPr="00C62944">
              <w:rPr>
                <w:rFonts w:asciiTheme="majorHAnsi" w:eastAsia="Times New Roman" w:hAnsiTheme="majorHAnsi" w:cstheme="majorHAnsi"/>
                <w:color w:val="000000"/>
                <w:lang w:eastAsia="en-GB"/>
              </w:rPr>
              <w:t>013</w:t>
            </w:r>
          </w:p>
        </w:tc>
        <w:tc>
          <w:tcPr>
            <w:tcW w:w="953" w:type="dxa"/>
            <w:shd w:val="clear" w:color="auto" w:fill="auto"/>
            <w:noWrap/>
            <w:vAlign w:val="bottom"/>
            <w:hideMark/>
          </w:tcPr>
          <w:p w14:paraId="3DDCFAF8" w14:textId="500652F3"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45.2%</w:t>
            </w:r>
          </w:p>
        </w:tc>
        <w:tc>
          <w:tcPr>
            <w:tcW w:w="828" w:type="dxa"/>
            <w:shd w:val="clear" w:color="auto" w:fill="auto"/>
            <w:noWrap/>
            <w:vAlign w:val="bottom"/>
            <w:hideMark/>
          </w:tcPr>
          <w:p w14:paraId="6194D1CF" w14:textId="53D0BB69"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2</w:t>
            </w:r>
            <w:r w:rsidR="007D4053">
              <w:rPr>
                <w:rFonts w:asciiTheme="majorHAnsi" w:eastAsia="Times New Roman" w:hAnsiTheme="majorHAnsi" w:cstheme="majorHAnsi"/>
                <w:color w:val="000000"/>
                <w:lang w:eastAsia="en-GB"/>
              </w:rPr>
              <w:t>,</w:t>
            </w:r>
            <w:r w:rsidRPr="00C62944">
              <w:rPr>
                <w:rFonts w:asciiTheme="majorHAnsi" w:eastAsia="Times New Roman" w:hAnsiTheme="majorHAnsi" w:cstheme="majorHAnsi"/>
                <w:color w:val="000000"/>
                <w:lang w:eastAsia="en-GB"/>
              </w:rPr>
              <w:t>964</w:t>
            </w:r>
          </w:p>
        </w:tc>
        <w:tc>
          <w:tcPr>
            <w:tcW w:w="953" w:type="dxa"/>
            <w:shd w:val="clear" w:color="auto" w:fill="auto"/>
            <w:noWrap/>
            <w:vAlign w:val="bottom"/>
            <w:hideMark/>
          </w:tcPr>
          <w:p w14:paraId="2541EA9C" w14:textId="0D784721"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33.4%</w:t>
            </w:r>
          </w:p>
        </w:tc>
        <w:tc>
          <w:tcPr>
            <w:tcW w:w="768" w:type="dxa"/>
            <w:shd w:val="clear" w:color="auto" w:fill="auto"/>
            <w:noWrap/>
            <w:vAlign w:val="bottom"/>
            <w:hideMark/>
          </w:tcPr>
          <w:p w14:paraId="6CD2388A" w14:textId="23452AF5"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2</w:t>
            </w:r>
            <w:r w:rsidR="007D4053">
              <w:rPr>
                <w:rFonts w:asciiTheme="majorHAnsi" w:eastAsia="Times New Roman" w:hAnsiTheme="majorHAnsi" w:cstheme="majorHAnsi"/>
                <w:color w:val="000000"/>
                <w:lang w:eastAsia="en-GB"/>
              </w:rPr>
              <w:t>,</w:t>
            </w:r>
            <w:r w:rsidRPr="00C62944">
              <w:rPr>
                <w:rFonts w:asciiTheme="majorHAnsi" w:eastAsia="Times New Roman" w:hAnsiTheme="majorHAnsi" w:cstheme="majorHAnsi"/>
                <w:color w:val="000000"/>
                <w:lang w:eastAsia="en-GB"/>
              </w:rPr>
              <w:t>234</w:t>
            </w:r>
          </w:p>
        </w:tc>
        <w:tc>
          <w:tcPr>
            <w:tcW w:w="1146" w:type="dxa"/>
            <w:shd w:val="clear" w:color="auto" w:fill="auto"/>
            <w:noWrap/>
            <w:vAlign w:val="bottom"/>
            <w:hideMark/>
          </w:tcPr>
          <w:p w14:paraId="57CFE61D" w14:textId="2B1920C7"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25.2%</w:t>
            </w:r>
          </w:p>
        </w:tc>
      </w:tr>
      <w:tr w:rsidR="007D4053" w:rsidRPr="00C62944" w14:paraId="7774025C" w14:textId="77777777" w:rsidTr="007D4053">
        <w:trPr>
          <w:trHeight w:val="273"/>
        </w:trPr>
        <w:tc>
          <w:tcPr>
            <w:tcW w:w="2263" w:type="dxa"/>
            <w:shd w:val="clear" w:color="auto" w:fill="auto"/>
            <w:vAlign w:val="bottom"/>
            <w:hideMark/>
          </w:tcPr>
          <w:p w14:paraId="0ABE0749" w14:textId="77777777" w:rsidR="00C62944" w:rsidRPr="00C62944" w:rsidRDefault="00C62944" w:rsidP="00C62944">
            <w:pPr>
              <w:spacing w:after="0" w:line="240" w:lineRule="auto"/>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Couple with 1 child</w:t>
            </w:r>
          </w:p>
        </w:tc>
        <w:tc>
          <w:tcPr>
            <w:tcW w:w="839" w:type="dxa"/>
            <w:shd w:val="clear" w:color="auto" w:fill="auto"/>
            <w:noWrap/>
            <w:vAlign w:val="bottom"/>
            <w:hideMark/>
          </w:tcPr>
          <w:p w14:paraId="372A3DFB" w14:textId="77777777"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1,889</w:t>
            </w:r>
          </w:p>
        </w:tc>
        <w:tc>
          <w:tcPr>
            <w:tcW w:w="953" w:type="dxa"/>
            <w:shd w:val="clear" w:color="auto" w:fill="auto"/>
            <w:noWrap/>
            <w:vAlign w:val="bottom"/>
            <w:hideMark/>
          </w:tcPr>
          <w:p w14:paraId="6A98A471" w14:textId="57445F09"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86.5%</w:t>
            </w:r>
          </w:p>
        </w:tc>
        <w:tc>
          <w:tcPr>
            <w:tcW w:w="828" w:type="dxa"/>
            <w:shd w:val="clear" w:color="auto" w:fill="auto"/>
            <w:noWrap/>
            <w:vAlign w:val="bottom"/>
            <w:hideMark/>
          </w:tcPr>
          <w:p w14:paraId="7CE97038" w14:textId="67E8AB83"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1</w:t>
            </w:r>
            <w:r w:rsidR="007D4053">
              <w:rPr>
                <w:rFonts w:asciiTheme="majorHAnsi" w:eastAsia="Times New Roman" w:hAnsiTheme="majorHAnsi" w:cstheme="majorHAnsi"/>
                <w:color w:val="000000"/>
                <w:lang w:eastAsia="en-GB"/>
              </w:rPr>
              <w:t>,</w:t>
            </w:r>
            <w:r w:rsidRPr="00C62944">
              <w:rPr>
                <w:rFonts w:asciiTheme="majorHAnsi" w:eastAsia="Times New Roman" w:hAnsiTheme="majorHAnsi" w:cstheme="majorHAnsi"/>
                <w:color w:val="000000"/>
                <w:lang w:eastAsia="en-GB"/>
              </w:rPr>
              <w:t>206</w:t>
            </w:r>
          </w:p>
        </w:tc>
        <w:tc>
          <w:tcPr>
            <w:tcW w:w="953" w:type="dxa"/>
            <w:shd w:val="clear" w:color="auto" w:fill="auto"/>
            <w:noWrap/>
            <w:vAlign w:val="bottom"/>
            <w:hideMark/>
          </w:tcPr>
          <w:p w14:paraId="22830723" w14:textId="1DA915D6"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55.2%</w:t>
            </w:r>
          </w:p>
        </w:tc>
        <w:tc>
          <w:tcPr>
            <w:tcW w:w="828" w:type="dxa"/>
            <w:shd w:val="clear" w:color="auto" w:fill="auto"/>
            <w:noWrap/>
            <w:vAlign w:val="bottom"/>
            <w:hideMark/>
          </w:tcPr>
          <w:p w14:paraId="17B587AF" w14:textId="77777777"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915</w:t>
            </w:r>
          </w:p>
        </w:tc>
        <w:tc>
          <w:tcPr>
            <w:tcW w:w="953" w:type="dxa"/>
            <w:shd w:val="clear" w:color="auto" w:fill="auto"/>
            <w:noWrap/>
            <w:vAlign w:val="bottom"/>
            <w:hideMark/>
          </w:tcPr>
          <w:p w14:paraId="2A23005E" w14:textId="74C6E626"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41.9%</w:t>
            </w:r>
          </w:p>
        </w:tc>
        <w:tc>
          <w:tcPr>
            <w:tcW w:w="768" w:type="dxa"/>
            <w:shd w:val="clear" w:color="auto" w:fill="auto"/>
            <w:noWrap/>
            <w:vAlign w:val="bottom"/>
            <w:hideMark/>
          </w:tcPr>
          <w:p w14:paraId="1BD1EE0B" w14:textId="77777777"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736</w:t>
            </w:r>
          </w:p>
        </w:tc>
        <w:tc>
          <w:tcPr>
            <w:tcW w:w="1146" w:type="dxa"/>
            <w:shd w:val="clear" w:color="auto" w:fill="auto"/>
            <w:noWrap/>
            <w:vAlign w:val="bottom"/>
            <w:hideMark/>
          </w:tcPr>
          <w:p w14:paraId="5FA5D1F1" w14:textId="7E0B4A7B"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33.7%</w:t>
            </w:r>
          </w:p>
        </w:tc>
      </w:tr>
      <w:tr w:rsidR="007D4053" w:rsidRPr="00C62944" w14:paraId="654EA1C6" w14:textId="77777777" w:rsidTr="007D4053">
        <w:trPr>
          <w:trHeight w:val="277"/>
        </w:trPr>
        <w:tc>
          <w:tcPr>
            <w:tcW w:w="2263" w:type="dxa"/>
            <w:shd w:val="clear" w:color="auto" w:fill="auto"/>
            <w:vAlign w:val="bottom"/>
            <w:hideMark/>
          </w:tcPr>
          <w:p w14:paraId="388B6E45" w14:textId="77777777" w:rsidR="00C62944" w:rsidRPr="00C62944" w:rsidRDefault="00C62944" w:rsidP="00C62944">
            <w:pPr>
              <w:spacing w:after="0" w:line="240" w:lineRule="auto"/>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Couple with 2 children</w:t>
            </w:r>
          </w:p>
        </w:tc>
        <w:tc>
          <w:tcPr>
            <w:tcW w:w="839" w:type="dxa"/>
            <w:shd w:val="clear" w:color="auto" w:fill="auto"/>
            <w:noWrap/>
            <w:vAlign w:val="bottom"/>
            <w:hideMark/>
          </w:tcPr>
          <w:p w14:paraId="581227CE" w14:textId="77777777"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2,359</w:t>
            </w:r>
          </w:p>
        </w:tc>
        <w:tc>
          <w:tcPr>
            <w:tcW w:w="953" w:type="dxa"/>
            <w:shd w:val="clear" w:color="auto" w:fill="auto"/>
            <w:noWrap/>
            <w:vAlign w:val="bottom"/>
            <w:hideMark/>
          </w:tcPr>
          <w:p w14:paraId="4B8DE267" w14:textId="74FEC936"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93.4%</w:t>
            </w:r>
          </w:p>
        </w:tc>
        <w:tc>
          <w:tcPr>
            <w:tcW w:w="828" w:type="dxa"/>
            <w:shd w:val="clear" w:color="auto" w:fill="auto"/>
            <w:noWrap/>
            <w:vAlign w:val="bottom"/>
            <w:hideMark/>
          </w:tcPr>
          <w:p w14:paraId="1D3357B8" w14:textId="6408B866"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1</w:t>
            </w:r>
            <w:r w:rsidR="007D4053">
              <w:rPr>
                <w:rFonts w:asciiTheme="majorHAnsi" w:eastAsia="Times New Roman" w:hAnsiTheme="majorHAnsi" w:cstheme="majorHAnsi"/>
                <w:color w:val="000000"/>
                <w:lang w:eastAsia="en-GB"/>
              </w:rPr>
              <w:t>,</w:t>
            </w:r>
            <w:r w:rsidRPr="00C62944">
              <w:rPr>
                <w:rFonts w:asciiTheme="majorHAnsi" w:eastAsia="Times New Roman" w:hAnsiTheme="majorHAnsi" w:cstheme="majorHAnsi"/>
                <w:color w:val="000000"/>
                <w:lang w:eastAsia="en-GB"/>
              </w:rPr>
              <w:t>629</w:t>
            </w:r>
          </w:p>
        </w:tc>
        <w:tc>
          <w:tcPr>
            <w:tcW w:w="953" w:type="dxa"/>
            <w:shd w:val="clear" w:color="auto" w:fill="auto"/>
            <w:noWrap/>
            <w:vAlign w:val="bottom"/>
            <w:hideMark/>
          </w:tcPr>
          <w:p w14:paraId="55B90090" w14:textId="7AB7793F"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64.5%</w:t>
            </w:r>
          </w:p>
        </w:tc>
        <w:tc>
          <w:tcPr>
            <w:tcW w:w="828" w:type="dxa"/>
            <w:shd w:val="clear" w:color="auto" w:fill="auto"/>
            <w:noWrap/>
            <w:vAlign w:val="bottom"/>
            <w:hideMark/>
          </w:tcPr>
          <w:p w14:paraId="35578288" w14:textId="4F483F6B"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1</w:t>
            </w:r>
            <w:r w:rsidR="007D4053">
              <w:rPr>
                <w:rFonts w:asciiTheme="majorHAnsi" w:eastAsia="Times New Roman" w:hAnsiTheme="majorHAnsi" w:cstheme="majorHAnsi"/>
                <w:color w:val="000000"/>
                <w:lang w:eastAsia="en-GB"/>
              </w:rPr>
              <w:t>,</w:t>
            </w:r>
            <w:r w:rsidRPr="00C62944">
              <w:rPr>
                <w:rFonts w:asciiTheme="majorHAnsi" w:eastAsia="Times New Roman" w:hAnsiTheme="majorHAnsi" w:cstheme="majorHAnsi"/>
                <w:color w:val="000000"/>
                <w:lang w:eastAsia="en-GB"/>
              </w:rPr>
              <w:t>262</w:t>
            </w:r>
          </w:p>
        </w:tc>
        <w:tc>
          <w:tcPr>
            <w:tcW w:w="953" w:type="dxa"/>
            <w:shd w:val="clear" w:color="auto" w:fill="auto"/>
            <w:noWrap/>
            <w:vAlign w:val="bottom"/>
            <w:hideMark/>
          </w:tcPr>
          <w:p w14:paraId="79377CA9" w14:textId="436AD700"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49.9%</w:t>
            </w:r>
          </w:p>
        </w:tc>
        <w:tc>
          <w:tcPr>
            <w:tcW w:w="768" w:type="dxa"/>
            <w:shd w:val="clear" w:color="auto" w:fill="auto"/>
            <w:noWrap/>
            <w:vAlign w:val="bottom"/>
            <w:hideMark/>
          </w:tcPr>
          <w:p w14:paraId="60B656C1" w14:textId="77777777"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962</w:t>
            </w:r>
          </w:p>
        </w:tc>
        <w:tc>
          <w:tcPr>
            <w:tcW w:w="1146" w:type="dxa"/>
            <w:shd w:val="clear" w:color="auto" w:fill="auto"/>
            <w:noWrap/>
            <w:vAlign w:val="bottom"/>
            <w:hideMark/>
          </w:tcPr>
          <w:p w14:paraId="4E2B1197" w14:textId="123548DF"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38.1%</w:t>
            </w:r>
          </w:p>
        </w:tc>
      </w:tr>
      <w:tr w:rsidR="007D4053" w:rsidRPr="00C62944" w14:paraId="065C5029" w14:textId="77777777" w:rsidTr="007D4053">
        <w:trPr>
          <w:trHeight w:val="139"/>
        </w:trPr>
        <w:tc>
          <w:tcPr>
            <w:tcW w:w="2263" w:type="dxa"/>
            <w:shd w:val="clear" w:color="auto" w:fill="auto"/>
            <w:vAlign w:val="bottom"/>
            <w:hideMark/>
          </w:tcPr>
          <w:p w14:paraId="14A1138E" w14:textId="77777777" w:rsidR="00C62944" w:rsidRPr="00C62944" w:rsidRDefault="00C62944" w:rsidP="00C62944">
            <w:pPr>
              <w:spacing w:after="0" w:line="240" w:lineRule="auto"/>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Couple with 3 children</w:t>
            </w:r>
          </w:p>
        </w:tc>
        <w:tc>
          <w:tcPr>
            <w:tcW w:w="839" w:type="dxa"/>
            <w:shd w:val="clear" w:color="auto" w:fill="auto"/>
            <w:noWrap/>
            <w:vAlign w:val="bottom"/>
            <w:hideMark/>
          </w:tcPr>
          <w:p w14:paraId="0277F446" w14:textId="77777777"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743</w:t>
            </w:r>
          </w:p>
        </w:tc>
        <w:tc>
          <w:tcPr>
            <w:tcW w:w="953" w:type="dxa"/>
            <w:shd w:val="clear" w:color="auto" w:fill="auto"/>
            <w:noWrap/>
            <w:vAlign w:val="bottom"/>
            <w:hideMark/>
          </w:tcPr>
          <w:p w14:paraId="4EE2D20F" w14:textId="6D7A20DD"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94.8%</w:t>
            </w:r>
          </w:p>
        </w:tc>
        <w:tc>
          <w:tcPr>
            <w:tcW w:w="828" w:type="dxa"/>
            <w:shd w:val="clear" w:color="auto" w:fill="auto"/>
            <w:noWrap/>
            <w:vAlign w:val="bottom"/>
            <w:hideMark/>
          </w:tcPr>
          <w:p w14:paraId="6EA15EDE" w14:textId="77777777"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637</w:t>
            </w:r>
          </w:p>
        </w:tc>
        <w:tc>
          <w:tcPr>
            <w:tcW w:w="953" w:type="dxa"/>
            <w:shd w:val="clear" w:color="auto" w:fill="auto"/>
            <w:noWrap/>
            <w:vAlign w:val="bottom"/>
            <w:hideMark/>
          </w:tcPr>
          <w:p w14:paraId="3FC15E30" w14:textId="6BB3632A"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81.3%</w:t>
            </w:r>
          </w:p>
        </w:tc>
        <w:tc>
          <w:tcPr>
            <w:tcW w:w="828" w:type="dxa"/>
            <w:shd w:val="clear" w:color="auto" w:fill="auto"/>
            <w:noWrap/>
            <w:vAlign w:val="bottom"/>
            <w:hideMark/>
          </w:tcPr>
          <w:p w14:paraId="784734DF" w14:textId="77777777"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568</w:t>
            </w:r>
          </w:p>
        </w:tc>
        <w:tc>
          <w:tcPr>
            <w:tcW w:w="953" w:type="dxa"/>
            <w:shd w:val="clear" w:color="auto" w:fill="auto"/>
            <w:noWrap/>
            <w:vAlign w:val="bottom"/>
            <w:hideMark/>
          </w:tcPr>
          <w:p w14:paraId="5EC43C41" w14:textId="1E47CC06"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72.5%</w:t>
            </w:r>
          </w:p>
        </w:tc>
        <w:tc>
          <w:tcPr>
            <w:tcW w:w="768" w:type="dxa"/>
            <w:shd w:val="clear" w:color="auto" w:fill="auto"/>
            <w:noWrap/>
            <w:vAlign w:val="bottom"/>
            <w:hideMark/>
          </w:tcPr>
          <w:p w14:paraId="29488386" w14:textId="77777777"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492</w:t>
            </w:r>
          </w:p>
        </w:tc>
        <w:tc>
          <w:tcPr>
            <w:tcW w:w="1146" w:type="dxa"/>
            <w:shd w:val="clear" w:color="auto" w:fill="auto"/>
            <w:noWrap/>
            <w:vAlign w:val="bottom"/>
            <w:hideMark/>
          </w:tcPr>
          <w:p w14:paraId="5DEA7376" w14:textId="213953FA"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62.8%</w:t>
            </w:r>
          </w:p>
        </w:tc>
      </w:tr>
      <w:tr w:rsidR="007D4053" w:rsidRPr="00C62944" w14:paraId="39D7C0FC" w14:textId="77777777" w:rsidTr="007D4053">
        <w:trPr>
          <w:trHeight w:val="58"/>
        </w:trPr>
        <w:tc>
          <w:tcPr>
            <w:tcW w:w="2263" w:type="dxa"/>
            <w:shd w:val="clear" w:color="auto" w:fill="auto"/>
            <w:vAlign w:val="bottom"/>
            <w:hideMark/>
          </w:tcPr>
          <w:p w14:paraId="1E7BE3A7" w14:textId="77777777" w:rsidR="00C62944" w:rsidRPr="00C62944" w:rsidRDefault="00C62944" w:rsidP="00C62944">
            <w:pPr>
              <w:spacing w:after="0" w:line="240" w:lineRule="auto"/>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Couple with 4 or more children</w:t>
            </w:r>
          </w:p>
        </w:tc>
        <w:tc>
          <w:tcPr>
            <w:tcW w:w="839" w:type="dxa"/>
            <w:shd w:val="clear" w:color="auto" w:fill="auto"/>
            <w:noWrap/>
            <w:vAlign w:val="bottom"/>
            <w:hideMark/>
          </w:tcPr>
          <w:p w14:paraId="11D93E56" w14:textId="77777777"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166</w:t>
            </w:r>
          </w:p>
        </w:tc>
        <w:tc>
          <w:tcPr>
            <w:tcW w:w="953" w:type="dxa"/>
            <w:shd w:val="clear" w:color="auto" w:fill="auto"/>
            <w:noWrap/>
            <w:vAlign w:val="bottom"/>
            <w:hideMark/>
          </w:tcPr>
          <w:p w14:paraId="5639135A" w14:textId="014BAF0E"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98.8%</w:t>
            </w:r>
          </w:p>
        </w:tc>
        <w:tc>
          <w:tcPr>
            <w:tcW w:w="828" w:type="dxa"/>
            <w:shd w:val="clear" w:color="auto" w:fill="auto"/>
            <w:noWrap/>
            <w:vAlign w:val="bottom"/>
            <w:hideMark/>
          </w:tcPr>
          <w:p w14:paraId="66A840AE" w14:textId="77777777"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156</w:t>
            </w:r>
          </w:p>
        </w:tc>
        <w:tc>
          <w:tcPr>
            <w:tcW w:w="953" w:type="dxa"/>
            <w:shd w:val="clear" w:color="auto" w:fill="auto"/>
            <w:noWrap/>
            <w:vAlign w:val="bottom"/>
            <w:hideMark/>
          </w:tcPr>
          <w:p w14:paraId="5FC63D02" w14:textId="5BF03712"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92.9%</w:t>
            </w:r>
          </w:p>
        </w:tc>
        <w:tc>
          <w:tcPr>
            <w:tcW w:w="828" w:type="dxa"/>
            <w:shd w:val="clear" w:color="auto" w:fill="auto"/>
            <w:noWrap/>
            <w:vAlign w:val="bottom"/>
            <w:hideMark/>
          </w:tcPr>
          <w:p w14:paraId="531F61D9" w14:textId="77777777"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130</w:t>
            </w:r>
          </w:p>
        </w:tc>
        <w:tc>
          <w:tcPr>
            <w:tcW w:w="953" w:type="dxa"/>
            <w:shd w:val="clear" w:color="auto" w:fill="auto"/>
            <w:noWrap/>
            <w:vAlign w:val="bottom"/>
            <w:hideMark/>
          </w:tcPr>
          <w:p w14:paraId="75F99FCA" w14:textId="57ACE130"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76.9%</w:t>
            </w:r>
          </w:p>
        </w:tc>
        <w:tc>
          <w:tcPr>
            <w:tcW w:w="768" w:type="dxa"/>
            <w:shd w:val="clear" w:color="auto" w:fill="auto"/>
            <w:noWrap/>
            <w:vAlign w:val="bottom"/>
            <w:hideMark/>
          </w:tcPr>
          <w:p w14:paraId="0474000C" w14:textId="77777777"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116</w:t>
            </w:r>
          </w:p>
        </w:tc>
        <w:tc>
          <w:tcPr>
            <w:tcW w:w="1146" w:type="dxa"/>
            <w:shd w:val="clear" w:color="auto" w:fill="auto"/>
            <w:noWrap/>
            <w:vAlign w:val="bottom"/>
            <w:hideMark/>
          </w:tcPr>
          <w:p w14:paraId="713282FB" w14:textId="3D030DE4"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69.0%</w:t>
            </w:r>
          </w:p>
        </w:tc>
      </w:tr>
      <w:tr w:rsidR="007D4053" w:rsidRPr="00C62944" w14:paraId="518166C2" w14:textId="77777777" w:rsidTr="007D4053">
        <w:trPr>
          <w:trHeight w:val="576"/>
        </w:trPr>
        <w:tc>
          <w:tcPr>
            <w:tcW w:w="2263" w:type="dxa"/>
            <w:shd w:val="clear" w:color="auto" w:fill="auto"/>
            <w:vAlign w:val="bottom"/>
            <w:hideMark/>
          </w:tcPr>
          <w:p w14:paraId="2513494F" w14:textId="77777777" w:rsidR="00C62944" w:rsidRPr="00C62944" w:rsidRDefault="00C62944" w:rsidP="00C62944">
            <w:pPr>
              <w:spacing w:after="0" w:line="240" w:lineRule="auto"/>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Lone parent with 1 child</w:t>
            </w:r>
          </w:p>
        </w:tc>
        <w:tc>
          <w:tcPr>
            <w:tcW w:w="839" w:type="dxa"/>
            <w:shd w:val="clear" w:color="auto" w:fill="auto"/>
            <w:noWrap/>
            <w:vAlign w:val="bottom"/>
            <w:hideMark/>
          </w:tcPr>
          <w:p w14:paraId="6FF0134B" w14:textId="77777777"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557</w:t>
            </w:r>
          </w:p>
        </w:tc>
        <w:tc>
          <w:tcPr>
            <w:tcW w:w="953" w:type="dxa"/>
            <w:shd w:val="clear" w:color="auto" w:fill="auto"/>
            <w:noWrap/>
            <w:vAlign w:val="bottom"/>
            <w:hideMark/>
          </w:tcPr>
          <w:p w14:paraId="68211BE8" w14:textId="4F876DCC"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92.4%</w:t>
            </w:r>
          </w:p>
        </w:tc>
        <w:tc>
          <w:tcPr>
            <w:tcW w:w="828" w:type="dxa"/>
            <w:shd w:val="clear" w:color="auto" w:fill="auto"/>
            <w:noWrap/>
            <w:vAlign w:val="bottom"/>
            <w:hideMark/>
          </w:tcPr>
          <w:p w14:paraId="59387044" w14:textId="77777777"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410</w:t>
            </w:r>
          </w:p>
        </w:tc>
        <w:tc>
          <w:tcPr>
            <w:tcW w:w="953" w:type="dxa"/>
            <w:shd w:val="clear" w:color="auto" w:fill="auto"/>
            <w:noWrap/>
            <w:vAlign w:val="bottom"/>
            <w:hideMark/>
          </w:tcPr>
          <w:p w14:paraId="6537CA80" w14:textId="297D8E46"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67.9%</w:t>
            </w:r>
          </w:p>
        </w:tc>
        <w:tc>
          <w:tcPr>
            <w:tcW w:w="828" w:type="dxa"/>
            <w:shd w:val="clear" w:color="auto" w:fill="auto"/>
            <w:noWrap/>
            <w:vAlign w:val="bottom"/>
            <w:hideMark/>
          </w:tcPr>
          <w:p w14:paraId="28607CA0" w14:textId="77777777"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371</w:t>
            </w:r>
          </w:p>
        </w:tc>
        <w:tc>
          <w:tcPr>
            <w:tcW w:w="953" w:type="dxa"/>
            <w:shd w:val="clear" w:color="auto" w:fill="auto"/>
            <w:noWrap/>
            <w:vAlign w:val="bottom"/>
            <w:hideMark/>
          </w:tcPr>
          <w:p w14:paraId="1899BDB9" w14:textId="4EB382C7"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61.5%</w:t>
            </w:r>
          </w:p>
        </w:tc>
        <w:tc>
          <w:tcPr>
            <w:tcW w:w="768" w:type="dxa"/>
            <w:shd w:val="clear" w:color="auto" w:fill="auto"/>
            <w:noWrap/>
            <w:vAlign w:val="bottom"/>
            <w:hideMark/>
          </w:tcPr>
          <w:p w14:paraId="5D103381" w14:textId="77777777"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299</w:t>
            </w:r>
          </w:p>
        </w:tc>
        <w:tc>
          <w:tcPr>
            <w:tcW w:w="1146" w:type="dxa"/>
            <w:shd w:val="clear" w:color="auto" w:fill="auto"/>
            <w:noWrap/>
            <w:vAlign w:val="bottom"/>
            <w:hideMark/>
          </w:tcPr>
          <w:p w14:paraId="5194B8C6" w14:textId="133EB67F"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49.6%</w:t>
            </w:r>
          </w:p>
        </w:tc>
      </w:tr>
      <w:tr w:rsidR="007D4053" w:rsidRPr="00C62944" w14:paraId="4866C5C7" w14:textId="77777777" w:rsidTr="007D4053">
        <w:trPr>
          <w:trHeight w:val="415"/>
        </w:trPr>
        <w:tc>
          <w:tcPr>
            <w:tcW w:w="2263" w:type="dxa"/>
            <w:shd w:val="clear" w:color="auto" w:fill="auto"/>
            <w:vAlign w:val="bottom"/>
            <w:hideMark/>
          </w:tcPr>
          <w:p w14:paraId="6C5010B7" w14:textId="77777777" w:rsidR="00C62944" w:rsidRPr="00C62944" w:rsidRDefault="00C62944" w:rsidP="00C62944">
            <w:pPr>
              <w:spacing w:after="0" w:line="240" w:lineRule="auto"/>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Lone parent with 2 or more children</w:t>
            </w:r>
          </w:p>
        </w:tc>
        <w:tc>
          <w:tcPr>
            <w:tcW w:w="839" w:type="dxa"/>
            <w:shd w:val="clear" w:color="auto" w:fill="auto"/>
            <w:noWrap/>
            <w:vAlign w:val="bottom"/>
            <w:hideMark/>
          </w:tcPr>
          <w:p w14:paraId="569E406E" w14:textId="77777777"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512</w:t>
            </w:r>
          </w:p>
        </w:tc>
        <w:tc>
          <w:tcPr>
            <w:tcW w:w="953" w:type="dxa"/>
            <w:shd w:val="clear" w:color="auto" w:fill="auto"/>
            <w:noWrap/>
            <w:vAlign w:val="bottom"/>
            <w:hideMark/>
          </w:tcPr>
          <w:p w14:paraId="101A90DC" w14:textId="198C106B"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97.0%</w:t>
            </w:r>
          </w:p>
        </w:tc>
        <w:tc>
          <w:tcPr>
            <w:tcW w:w="828" w:type="dxa"/>
            <w:shd w:val="clear" w:color="auto" w:fill="auto"/>
            <w:noWrap/>
            <w:vAlign w:val="bottom"/>
            <w:hideMark/>
          </w:tcPr>
          <w:p w14:paraId="6633F3AE" w14:textId="77777777"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463</w:t>
            </w:r>
          </w:p>
        </w:tc>
        <w:tc>
          <w:tcPr>
            <w:tcW w:w="953" w:type="dxa"/>
            <w:shd w:val="clear" w:color="auto" w:fill="auto"/>
            <w:noWrap/>
            <w:vAlign w:val="bottom"/>
            <w:hideMark/>
          </w:tcPr>
          <w:p w14:paraId="7218370B" w14:textId="50C7DA03"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87.7%</w:t>
            </w:r>
          </w:p>
        </w:tc>
        <w:tc>
          <w:tcPr>
            <w:tcW w:w="828" w:type="dxa"/>
            <w:shd w:val="clear" w:color="auto" w:fill="auto"/>
            <w:noWrap/>
            <w:vAlign w:val="bottom"/>
            <w:hideMark/>
          </w:tcPr>
          <w:p w14:paraId="2604A339" w14:textId="77777777"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431</w:t>
            </w:r>
          </w:p>
        </w:tc>
        <w:tc>
          <w:tcPr>
            <w:tcW w:w="953" w:type="dxa"/>
            <w:shd w:val="clear" w:color="auto" w:fill="auto"/>
            <w:noWrap/>
            <w:vAlign w:val="bottom"/>
            <w:hideMark/>
          </w:tcPr>
          <w:p w14:paraId="1AF68FDC" w14:textId="015255D5"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81.5%</w:t>
            </w:r>
          </w:p>
        </w:tc>
        <w:tc>
          <w:tcPr>
            <w:tcW w:w="768" w:type="dxa"/>
            <w:shd w:val="clear" w:color="auto" w:fill="auto"/>
            <w:noWrap/>
            <w:vAlign w:val="bottom"/>
            <w:hideMark/>
          </w:tcPr>
          <w:p w14:paraId="7FF9AFB4" w14:textId="77777777"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403</w:t>
            </w:r>
          </w:p>
        </w:tc>
        <w:tc>
          <w:tcPr>
            <w:tcW w:w="1146" w:type="dxa"/>
            <w:shd w:val="clear" w:color="auto" w:fill="auto"/>
            <w:noWrap/>
            <w:vAlign w:val="bottom"/>
            <w:hideMark/>
          </w:tcPr>
          <w:p w14:paraId="28D682DB" w14:textId="67EBE3CD"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76.3%</w:t>
            </w:r>
          </w:p>
        </w:tc>
      </w:tr>
      <w:tr w:rsidR="007D4053" w:rsidRPr="00C62944" w14:paraId="0203C1A9" w14:textId="77777777" w:rsidTr="007D4053">
        <w:trPr>
          <w:trHeight w:val="167"/>
        </w:trPr>
        <w:tc>
          <w:tcPr>
            <w:tcW w:w="2263" w:type="dxa"/>
            <w:shd w:val="clear" w:color="auto" w:fill="auto"/>
            <w:vAlign w:val="bottom"/>
            <w:hideMark/>
          </w:tcPr>
          <w:p w14:paraId="29BE424E" w14:textId="7AAFB1AE" w:rsidR="00C62944" w:rsidRPr="00C62944" w:rsidRDefault="00C62944" w:rsidP="00C62944">
            <w:pPr>
              <w:spacing w:after="0" w:line="240" w:lineRule="auto"/>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Pensioner</w:t>
            </w:r>
            <w:r>
              <w:rPr>
                <w:rFonts w:asciiTheme="majorHAnsi" w:eastAsia="Times New Roman" w:hAnsiTheme="majorHAnsi" w:cstheme="majorHAnsi"/>
                <w:color w:val="000000"/>
                <w:lang w:eastAsia="en-GB"/>
              </w:rPr>
              <w:t>,</w:t>
            </w:r>
            <w:r w:rsidRPr="00C62944">
              <w:rPr>
                <w:rFonts w:asciiTheme="majorHAnsi" w:eastAsia="Times New Roman" w:hAnsiTheme="majorHAnsi" w:cstheme="majorHAnsi"/>
                <w:color w:val="000000"/>
                <w:lang w:eastAsia="en-GB"/>
              </w:rPr>
              <w:t xml:space="preserve"> single</w:t>
            </w:r>
          </w:p>
        </w:tc>
        <w:tc>
          <w:tcPr>
            <w:tcW w:w="839" w:type="dxa"/>
            <w:shd w:val="clear" w:color="auto" w:fill="auto"/>
            <w:noWrap/>
            <w:vAlign w:val="bottom"/>
            <w:hideMark/>
          </w:tcPr>
          <w:p w14:paraId="03026A1B" w14:textId="77777777"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706</w:t>
            </w:r>
          </w:p>
        </w:tc>
        <w:tc>
          <w:tcPr>
            <w:tcW w:w="953" w:type="dxa"/>
            <w:shd w:val="clear" w:color="auto" w:fill="auto"/>
            <w:noWrap/>
            <w:vAlign w:val="bottom"/>
            <w:hideMark/>
          </w:tcPr>
          <w:p w14:paraId="0EAD3107" w14:textId="2D5E87A1"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91.0%</w:t>
            </w:r>
          </w:p>
        </w:tc>
        <w:tc>
          <w:tcPr>
            <w:tcW w:w="828" w:type="dxa"/>
            <w:shd w:val="clear" w:color="auto" w:fill="auto"/>
            <w:noWrap/>
            <w:vAlign w:val="bottom"/>
            <w:hideMark/>
          </w:tcPr>
          <w:p w14:paraId="253E9B42" w14:textId="77777777"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562</w:t>
            </w:r>
          </w:p>
        </w:tc>
        <w:tc>
          <w:tcPr>
            <w:tcW w:w="953" w:type="dxa"/>
            <w:shd w:val="clear" w:color="auto" w:fill="auto"/>
            <w:noWrap/>
            <w:vAlign w:val="bottom"/>
            <w:hideMark/>
          </w:tcPr>
          <w:p w14:paraId="6DD708EB" w14:textId="1E0382FA"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72.4%</w:t>
            </w:r>
          </w:p>
        </w:tc>
        <w:tc>
          <w:tcPr>
            <w:tcW w:w="828" w:type="dxa"/>
            <w:shd w:val="clear" w:color="auto" w:fill="auto"/>
            <w:noWrap/>
            <w:vAlign w:val="bottom"/>
            <w:hideMark/>
          </w:tcPr>
          <w:p w14:paraId="6D7E0652" w14:textId="77777777"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485</w:t>
            </w:r>
          </w:p>
        </w:tc>
        <w:tc>
          <w:tcPr>
            <w:tcW w:w="953" w:type="dxa"/>
            <w:shd w:val="clear" w:color="auto" w:fill="auto"/>
            <w:noWrap/>
            <w:vAlign w:val="bottom"/>
            <w:hideMark/>
          </w:tcPr>
          <w:p w14:paraId="16C567CF" w14:textId="31255C4A"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62.5%</w:t>
            </w:r>
          </w:p>
        </w:tc>
        <w:tc>
          <w:tcPr>
            <w:tcW w:w="768" w:type="dxa"/>
            <w:shd w:val="clear" w:color="auto" w:fill="auto"/>
            <w:noWrap/>
            <w:vAlign w:val="bottom"/>
            <w:hideMark/>
          </w:tcPr>
          <w:p w14:paraId="2E2C38F5" w14:textId="77777777"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413</w:t>
            </w:r>
          </w:p>
        </w:tc>
        <w:tc>
          <w:tcPr>
            <w:tcW w:w="1146" w:type="dxa"/>
            <w:shd w:val="clear" w:color="auto" w:fill="auto"/>
            <w:noWrap/>
            <w:vAlign w:val="bottom"/>
            <w:hideMark/>
          </w:tcPr>
          <w:p w14:paraId="7191D0CA" w14:textId="5F8F1C1E"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53.2%</w:t>
            </w:r>
          </w:p>
        </w:tc>
      </w:tr>
      <w:tr w:rsidR="007D4053" w:rsidRPr="00C62944" w14:paraId="7E64E90E" w14:textId="77777777" w:rsidTr="007D4053">
        <w:trPr>
          <w:trHeight w:val="298"/>
        </w:trPr>
        <w:tc>
          <w:tcPr>
            <w:tcW w:w="2263" w:type="dxa"/>
            <w:shd w:val="clear" w:color="auto" w:fill="auto"/>
            <w:vAlign w:val="bottom"/>
            <w:hideMark/>
          </w:tcPr>
          <w:p w14:paraId="65290FA3" w14:textId="77777777" w:rsidR="00C62944" w:rsidRPr="00C62944" w:rsidRDefault="00C62944" w:rsidP="00C62944">
            <w:pPr>
              <w:spacing w:after="0" w:line="240" w:lineRule="auto"/>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Pensioner couple</w:t>
            </w:r>
          </w:p>
        </w:tc>
        <w:tc>
          <w:tcPr>
            <w:tcW w:w="839" w:type="dxa"/>
            <w:shd w:val="clear" w:color="auto" w:fill="auto"/>
            <w:noWrap/>
            <w:vAlign w:val="bottom"/>
            <w:hideMark/>
          </w:tcPr>
          <w:p w14:paraId="7349D69A" w14:textId="77777777"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441</w:t>
            </w:r>
          </w:p>
        </w:tc>
        <w:tc>
          <w:tcPr>
            <w:tcW w:w="953" w:type="dxa"/>
            <w:shd w:val="clear" w:color="auto" w:fill="auto"/>
            <w:noWrap/>
            <w:vAlign w:val="bottom"/>
            <w:hideMark/>
          </w:tcPr>
          <w:p w14:paraId="72BAC27C" w14:textId="7948C84A"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93.4%</w:t>
            </w:r>
          </w:p>
        </w:tc>
        <w:tc>
          <w:tcPr>
            <w:tcW w:w="828" w:type="dxa"/>
            <w:shd w:val="clear" w:color="auto" w:fill="auto"/>
            <w:noWrap/>
            <w:vAlign w:val="bottom"/>
            <w:hideMark/>
          </w:tcPr>
          <w:p w14:paraId="01C408A9" w14:textId="77777777"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386</w:t>
            </w:r>
          </w:p>
        </w:tc>
        <w:tc>
          <w:tcPr>
            <w:tcW w:w="953" w:type="dxa"/>
            <w:shd w:val="clear" w:color="auto" w:fill="auto"/>
            <w:noWrap/>
            <w:vAlign w:val="bottom"/>
            <w:hideMark/>
          </w:tcPr>
          <w:p w14:paraId="588CE760" w14:textId="07C47B27"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81.8%</w:t>
            </w:r>
          </w:p>
        </w:tc>
        <w:tc>
          <w:tcPr>
            <w:tcW w:w="828" w:type="dxa"/>
            <w:shd w:val="clear" w:color="auto" w:fill="auto"/>
            <w:noWrap/>
            <w:vAlign w:val="bottom"/>
            <w:hideMark/>
          </w:tcPr>
          <w:p w14:paraId="30953F9F" w14:textId="77777777"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331</w:t>
            </w:r>
          </w:p>
        </w:tc>
        <w:tc>
          <w:tcPr>
            <w:tcW w:w="953" w:type="dxa"/>
            <w:shd w:val="clear" w:color="auto" w:fill="auto"/>
            <w:noWrap/>
            <w:vAlign w:val="bottom"/>
            <w:hideMark/>
          </w:tcPr>
          <w:p w14:paraId="68B676E6" w14:textId="13EE1EEE"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70.1%</w:t>
            </w:r>
          </w:p>
        </w:tc>
        <w:tc>
          <w:tcPr>
            <w:tcW w:w="768" w:type="dxa"/>
            <w:shd w:val="clear" w:color="auto" w:fill="auto"/>
            <w:noWrap/>
            <w:vAlign w:val="bottom"/>
            <w:hideMark/>
          </w:tcPr>
          <w:p w14:paraId="3AFC41FA" w14:textId="77777777"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282</w:t>
            </w:r>
          </w:p>
        </w:tc>
        <w:tc>
          <w:tcPr>
            <w:tcW w:w="1146" w:type="dxa"/>
            <w:shd w:val="clear" w:color="auto" w:fill="auto"/>
            <w:noWrap/>
            <w:vAlign w:val="bottom"/>
            <w:hideMark/>
          </w:tcPr>
          <w:p w14:paraId="7A7BE74A" w14:textId="10369347"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59.7%</w:t>
            </w:r>
          </w:p>
        </w:tc>
      </w:tr>
      <w:tr w:rsidR="007D4053" w:rsidRPr="00C62944" w14:paraId="72E6B7E2" w14:textId="77777777" w:rsidTr="007D4053">
        <w:trPr>
          <w:trHeight w:val="288"/>
        </w:trPr>
        <w:tc>
          <w:tcPr>
            <w:tcW w:w="2263" w:type="dxa"/>
            <w:shd w:val="clear" w:color="auto" w:fill="auto"/>
            <w:vAlign w:val="bottom"/>
            <w:hideMark/>
          </w:tcPr>
          <w:p w14:paraId="004DC2F0" w14:textId="023EEA76" w:rsidR="00C62944" w:rsidRPr="00C62944" w:rsidRDefault="00C62944" w:rsidP="00C62944">
            <w:pPr>
              <w:spacing w:after="0" w:line="240" w:lineRule="auto"/>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Multi-unit</w:t>
            </w:r>
            <w:r w:rsidR="00990B50">
              <w:rPr>
                <w:rStyle w:val="EndnoteReference"/>
                <w:rFonts w:asciiTheme="majorHAnsi" w:eastAsia="Times New Roman" w:hAnsiTheme="majorHAnsi" w:cstheme="majorHAnsi"/>
                <w:color w:val="000000"/>
                <w:lang w:eastAsia="en-GB"/>
              </w:rPr>
              <w:endnoteReference w:id="2"/>
            </w:r>
          </w:p>
        </w:tc>
        <w:tc>
          <w:tcPr>
            <w:tcW w:w="839" w:type="dxa"/>
            <w:shd w:val="clear" w:color="auto" w:fill="auto"/>
            <w:noWrap/>
            <w:vAlign w:val="bottom"/>
            <w:hideMark/>
          </w:tcPr>
          <w:p w14:paraId="423C269D" w14:textId="77777777"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3,299</w:t>
            </w:r>
          </w:p>
        </w:tc>
        <w:tc>
          <w:tcPr>
            <w:tcW w:w="953" w:type="dxa"/>
            <w:shd w:val="clear" w:color="auto" w:fill="auto"/>
            <w:noWrap/>
            <w:vAlign w:val="bottom"/>
            <w:hideMark/>
          </w:tcPr>
          <w:p w14:paraId="18A21C12" w14:textId="7838C334"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93.7%</w:t>
            </w:r>
          </w:p>
        </w:tc>
        <w:tc>
          <w:tcPr>
            <w:tcW w:w="828" w:type="dxa"/>
            <w:shd w:val="clear" w:color="auto" w:fill="auto"/>
            <w:noWrap/>
            <w:vAlign w:val="bottom"/>
            <w:hideMark/>
          </w:tcPr>
          <w:p w14:paraId="1E1BA7E5" w14:textId="3D970BE7"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2</w:t>
            </w:r>
            <w:r w:rsidR="007D4053">
              <w:rPr>
                <w:rFonts w:asciiTheme="majorHAnsi" w:eastAsia="Times New Roman" w:hAnsiTheme="majorHAnsi" w:cstheme="majorHAnsi"/>
                <w:color w:val="000000"/>
                <w:lang w:eastAsia="en-GB"/>
              </w:rPr>
              <w:t>,</w:t>
            </w:r>
            <w:r w:rsidRPr="00C62944">
              <w:rPr>
                <w:rFonts w:asciiTheme="majorHAnsi" w:eastAsia="Times New Roman" w:hAnsiTheme="majorHAnsi" w:cstheme="majorHAnsi"/>
                <w:color w:val="000000"/>
                <w:lang w:eastAsia="en-GB"/>
              </w:rPr>
              <w:t>266</w:t>
            </w:r>
          </w:p>
        </w:tc>
        <w:tc>
          <w:tcPr>
            <w:tcW w:w="953" w:type="dxa"/>
            <w:shd w:val="clear" w:color="auto" w:fill="auto"/>
            <w:noWrap/>
            <w:vAlign w:val="bottom"/>
            <w:hideMark/>
          </w:tcPr>
          <w:p w14:paraId="2604CF5D" w14:textId="17B541D7"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64.4%</w:t>
            </w:r>
          </w:p>
        </w:tc>
        <w:tc>
          <w:tcPr>
            <w:tcW w:w="828" w:type="dxa"/>
            <w:shd w:val="clear" w:color="auto" w:fill="auto"/>
            <w:noWrap/>
            <w:vAlign w:val="bottom"/>
            <w:hideMark/>
          </w:tcPr>
          <w:p w14:paraId="2193EE17" w14:textId="66B07781"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1</w:t>
            </w:r>
            <w:r w:rsidR="007D4053">
              <w:rPr>
                <w:rFonts w:asciiTheme="majorHAnsi" w:eastAsia="Times New Roman" w:hAnsiTheme="majorHAnsi" w:cstheme="majorHAnsi"/>
                <w:color w:val="000000"/>
                <w:lang w:eastAsia="en-GB"/>
              </w:rPr>
              <w:t>,</w:t>
            </w:r>
            <w:r w:rsidRPr="00C62944">
              <w:rPr>
                <w:rFonts w:asciiTheme="majorHAnsi" w:eastAsia="Times New Roman" w:hAnsiTheme="majorHAnsi" w:cstheme="majorHAnsi"/>
                <w:color w:val="000000"/>
                <w:lang w:eastAsia="en-GB"/>
              </w:rPr>
              <w:t>819</w:t>
            </w:r>
          </w:p>
        </w:tc>
        <w:tc>
          <w:tcPr>
            <w:tcW w:w="953" w:type="dxa"/>
            <w:shd w:val="clear" w:color="auto" w:fill="auto"/>
            <w:noWrap/>
            <w:vAlign w:val="bottom"/>
            <w:hideMark/>
          </w:tcPr>
          <w:p w14:paraId="4321B0E3" w14:textId="1FAB9133"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51.7%</w:t>
            </w:r>
          </w:p>
        </w:tc>
        <w:tc>
          <w:tcPr>
            <w:tcW w:w="768" w:type="dxa"/>
            <w:shd w:val="clear" w:color="auto" w:fill="auto"/>
            <w:noWrap/>
            <w:vAlign w:val="bottom"/>
            <w:hideMark/>
          </w:tcPr>
          <w:p w14:paraId="7E8BC7B5" w14:textId="2F8DCD26"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1</w:t>
            </w:r>
            <w:r w:rsidR="007D4053">
              <w:rPr>
                <w:rFonts w:asciiTheme="majorHAnsi" w:eastAsia="Times New Roman" w:hAnsiTheme="majorHAnsi" w:cstheme="majorHAnsi"/>
                <w:color w:val="000000"/>
                <w:lang w:eastAsia="en-GB"/>
              </w:rPr>
              <w:t>,</w:t>
            </w:r>
            <w:r w:rsidRPr="00C62944">
              <w:rPr>
                <w:rFonts w:asciiTheme="majorHAnsi" w:eastAsia="Times New Roman" w:hAnsiTheme="majorHAnsi" w:cstheme="majorHAnsi"/>
                <w:color w:val="000000"/>
                <w:lang w:eastAsia="en-GB"/>
              </w:rPr>
              <w:t>486</w:t>
            </w:r>
          </w:p>
        </w:tc>
        <w:tc>
          <w:tcPr>
            <w:tcW w:w="1146" w:type="dxa"/>
            <w:shd w:val="clear" w:color="auto" w:fill="auto"/>
            <w:noWrap/>
            <w:vAlign w:val="bottom"/>
            <w:hideMark/>
          </w:tcPr>
          <w:p w14:paraId="53796363" w14:textId="18BCBF3F" w:rsidR="00C62944" w:rsidRPr="00C62944" w:rsidRDefault="00C62944" w:rsidP="00C62944">
            <w:pPr>
              <w:spacing w:after="0" w:line="240" w:lineRule="auto"/>
              <w:jc w:val="right"/>
              <w:rPr>
                <w:rFonts w:asciiTheme="majorHAnsi" w:eastAsia="Times New Roman" w:hAnsiTheme="majorHAnsi" w:cstheme="majorHAnsi"/>
                <w:color w:val="000000"/>
                <w:lang w:eastAsia="en-GB"/>
              </w:rPr>
            </w:pPr>
            <w:r w:rsidRPr="00C62944">
              <w:rPr>
                <w:rFonts w:asciiTheme="majorHAnsi" w:eastAsia="Times New Roman" w:hAnsiTheme="majorHAnsi" w:cstheme="majorHAnsi"/>
                <w:color w:val="000000"/>
                <w:lang w:eastAsia="en-GB"/>
              </w:rPr>
              <w:t>42.2%</w:t>
            </w:r>
          </w:p>
        </w:tc>
      </w:tr>
      <w:tr w:rsidR="007D4053" w:rsidRPr="00C62944" w14:paraId="54585053" w14:textId="77777777" w:rsidTr="007D4053">
        <w:trPr>
          <w:trHeight w:val="288"/>
        </w:trPr>
        <w:tc>
          <w:tcPr>
            <w:tcW w:w="2263" w:type="dxa"/>
            <w:shd w:val="clear" w:color="auto" w:fill="auto"/>
            <w:noWrap/>
            <w:vAlign w:val="bottom"/>
            <w:hideMark/>
          </w:tcPr>
          <w:p w14:paraId="18296106" w14:textId="77777777" w:rsidR="00C62944" w:rsidRPr="00C62944" w:rsidRDefault="00C62944" w:rsidP="00C62944">
            <w:pPr>
              <w:spacing w:after="0" w:line="240" w:lineRule="auto"/>
              <w:rPr>
                <w:rFonts w:asciiTheme="majorHAnsi" w:eastAsia="Times New Roman" w:hAnsiTheme="majorHAnsi" w:cstheme="majorHAnsi"/>
                <w:b/>
                <w:bCs/>
                <w:color w:val="000000"/>
                <w:lang w:eastAsia="en-GB"/>
              </w:rPr>
            </w:pPr>
            <w:r w:rsidRPr="00C62944">
              <w:rPr>
                <w:rFonts w:asciiTheme="majorHAnsi" w:eastAsia="Times New Roman" w:hAnsiTheme="majorHAnsi" w:cstheme="majorHAnsi"/>
                <w:b/>
                <w:bCs/>
                <w:color w:val="000000"/>
                <w:lang w:eastAsia="en-GB"/>
              </w:rPr>
              <w:t>Total</w:t>
            </w:r>
          </w:p>
        </w:tc>
        <w:tc>
          <w:tcPr>
            <w:tcW w:w="839" w:type="dxa"/>
            <w:shd w:val="clear" w:color="auto" w:fill="auto"/>
            <w:noWrap/>
            <w:vAlign w:val="bottom"/>
            <w:hideMark/>
          </w:tcPr>
          <w:p w14:paraId="067BE9D7" w14:textId="77777777" w:rsidR="00C62944" w:rsidRPr="00C62944" w:rsidRDefault="00C62944" w:rsidP="00C62944">
            <w:pPr>
              <w:spacing w:after="0" w:line="240" w:lineRule="auto"/>
              <w:jc w:val="right"/>
              <w:rPr>
                <w:rFonts w:asciiTheme="majorHAnsi" w:eastAsia="Times New Roman" w:hAnsiTheme="majorHAnsi" w:cstheme="majorHAnsi"/>
                <w:b/>
                <w:bCs/>
                <w:color w:val="000000"/>
                <w:lang w:eastAsia="en-GB"/>
              </w:rPr>
            </w:pPr>
            <w:r w:rsidRPr="00C62944">
              <w:rPr>
                <w:rFonts w:asciiTheme="majorHAnsi" w:eastAsia="Times New Roman" w:hAnsiTheme="majorHAnsi" w:cstheme="majorHAnsi"/>
                <w:b/>
                <w:bCs/>
                <w:color w:val="000000"/>
                <w:lang w:eastAsia="en-GB"/>
              </w:rPr>
              <w:t>22,804</w:t>
            </w:r>
          </w:p>
        </w:tc>
        <w:tc>
          <w:tcPr>
            <w:tcW w:w="953" w:type="dxa"/>
            <w:shd w:val="clear" w:color="auto" w:fill="auto"/>
            <w:noWrap/>
            <w:vAlign w:val="bottom"/>
            <w:hideMark/>
          </w:tcPr>
          <w:p w14:paraId="5AC69B98" w14:textId="64EA43AA" w:rsidR="00C62944" w:rsidRPr="00C62944" w:rsidRDefault="00C62944" w:rsidP="00C62944">
            <w:pPr>
              <w:spacing w:after="0" w:line="240" w:lineRule="auto"/>
              <w:jc w:val="right"/>
              <w:rPr>
                <w:rFonts w:asciiTheme="majorHAnsi" w:eastAsia="Times New Roman" w:hAnsiTheme="majorHAnsi" w:cstheme="majorHAnsi"/>
                <w:b/>
                <w:bCs/>
                <w:color w:val="000000"/>
                <w:lang w:eastAsia="en-GB"/>
              </w:rPr>
            </w:pPr>
            <w:r w:rsidRPr="00C62944">
              <w:rPr>
                <w:rFonts w:asciiTheme="majorHAnsi" w:eastAsia="Times New Roman" w:hAnsiTheme="majorHAnsi" w:cstheme="majorHAnsi"/>
                <w:b/>
                <w:bCs/>
                <w:color w:val="000000"/>
                <w:lang w:eastAsia="en-GB"/>
              </w:rPr>
              <w:t>83.8%</w:t>
            </w:r>
          </w:p>
        </w:tc>
        <w:tc>
          <w:tcPr>
            <w:tcW w:w="828" w:type="dxa"/>
            <w:shd w:val="clear" w:color="auto" w:fill="auto"/>
            <w:noWrap/>
            <w:vAlign w:val="bottom"/>
            <w:hideMark/>
          </w:tcPr>
          <w:p w14:paraId="104C02CB" w14:textId="718D2819" w:rsidR="00C62944" w:rsidRPr="00C62944" w:rsidRDefault="00C62944" w:rsidP="00C62944">
            <w:pPr>
              <w:spacing w:after="0" w:line="240" w:lineRule="auto"/>
              <w:jc w:val="right"/>
              <w:rPr>
                <w:rFonts w:asciiTheme="majorHAnsi" w:eastAsia="Times New Roman" w:hAnsiTheme="majorHAnsi" w:cstheme="majorHAnsi"/>
                <w:b/>
                <w:bCs/>
                <w:color w:val="000000"/>
                <w:lang w:eastAsia="en-GB"/>
              </w:rPr>
            </w:pPr>
            <w:r w:rsidRPr="00C62944">
              <w:rPr>
                <w:rFonts w:asciiTheme="majorHAnsi" w:eastAsia="Times New Roman" w:hAnsiTheme="majorHAnsi" w:cstheme="majorHAnsi"/>
                <w:b/>
                <w:bCs/>
                <w:color w:val="000000"/>
                <w:lang w:eastAsia="en-GB"/>
              </w:rPr>
              <w:t>14</w:t>
            </w:r>
            <w:r w:rsidR="007D4053">
              <w:rPr>
                <w:rFonts w:asciiTheme="majorHAnsi" w:eastAsia="Times New Roman" w:hAnsiTheme="majorHAnsi" w:cstheme="majorHAnsi"/>
                <w:b/>
                <w:bCs/>
                <w:color w:val="000000"/>
                <w:lang w:eastAsia="en-GB"/>
              </w:rPr>
              <w:t>,</w:t>
            </w:r>
            <w:r w:rsidRPr="00C62944">
              <w:rPr>
                <w:rFonts w:asciiTheme="majorHAnsi" w:eastAsia="Times New Roman" w:hAnsiTheme="majorHAnsi" w:cstheme="majorHAnsi"/>
                <w:b/>
                <w:bCs/>
                <w:color w:val="000000"/>
                <w:lang w:eastAsia="en-GB"/>
              </w:rPr>
              <w:t>917</w:t>
            </w:r>
          </w:p>
        </w:tc>
        <w:tc>
          <w:tcPr>
            <w:tcW w:w="953" w:type="dxa"/>
            <w:shd w:val="clear" w:color="auto" w:fill="auto"/>
            <w:noWrap/>
            <w:vAlign w:val="bottom"/>
            <w:hideMark/>
          </w:tcPr>
          <w:p w14:paraId="4F13E0CA" w14:textId="7C4457D3" w:rsidR="00C62944" w:rsidRPr="00C62944" w:rsidRDefault="00C62944" w:rsidP="00C62944">
            <w:pPr>
              <w:spacing w:after="0" w:line="240" w:lineRule="auto"/>
              <w:jc w:val="right"/>
              <w:rPr>
                <w:rFonts w:asciiTheme="majorHAnsi" w:eastAsia="Times New Roman" w:hAnsiTheme="majorHAnsi" w:cstheme="majorHAnsi"/>
                <w:b/>
                <w:bCs/>
                <w:color w:val="000000"/>
                <w:lang w:eastAsia="en-GB"/>
              </w:rPr>
            </w:pPr>
            <w:r w:rsidRPr="00C62944">
              <w:rPr>
                <w:rFonts w:asciiTheme="majorHAnsi" w:eastAsia="Times New Roman" w:hAnsiTheme="majorHAnsi" w:cstheme="majorHAnsi"/>
                <w:b/>
                <w:bCs/>
                <w:color w:val="000000"/>
                <w:lang w:eastAsia="en-GB"/>
              </w:rPr>
              <w:t>54.8%</w:t>
            </w:r>
          </w:p>
        </w:tc>
        <w:tc>
          <w:tcPr>
            <w:tcW w:w="828" w:type="dxa"/>
            <w:shd w:val="clear" w:color="auto" w:fill="auto"/>
            <w:noWrap/>
            <w:vAlign w:val="bottom"/>
            <w:hideMark/>
          </w:tcPr>
          <w:p w14:paraId="48A38451" w14:textId="1AE580DC" w:rsidR="00C62944" w:rsidRPr="00C62944" w:rsidRDefault="00C62944" w:rsidP="00C62944">
            <w:pPr>
              <w:spacing w:after="0" w:line="240" w:lineRule="auto"/>
              <w:jc w:val="right"/>
              <w:rPr>
                <w:rFonts w:asciiTheme="majorHAnsi" w:eastAsia="Times New Roman" w:hAnsiTheme="majorHAnsi" w:cstheme="majorHAnsi"/>
                <w:b/>
                <w:bCs/>
                <w:color w:val="000000"/>
                <w:lang w:eastAsia="en-GB"/>
              </w:rPr>
            </w:pPr>
            <w:r w:rsidRPr="00C62944">
              <w:rPr>
                <w:rFonts w:asciiTheme="majorHAnsi" w:eastAsia="Times New Roman" w:hAnsiTheme="majorHAnsi" w:cstheme="majorHAnsi"/>
                <w:b/>
                <w:bCs/>
                <w:color w:val="000000"/>
                <w:lang w:eastAsia="en-GB"/>
              </w:rPr>
              <w:t>11</w:t>
            </w:r>
            <w:r w:rsidR="007D4053">
              <w:rPr>
                <w:rFonts w:asciiTheme="majorHAnsi" w:eastAsia="Times New Roman" w:hAnsiTheme="majorHAnsi" w:cstheme="majorHAnsi"/>
                <w:b/>
                <w:bCs/>
                <w:color w:val="000000"/>
                <w:lang w:eastAsia="en-GB"/>
              </w:rPr>
              <w:t>,</w:t>
            </w:r>
            <w:r w:rsidRPr="00C62944">
              <w:rPr>
                <w:rFonts w:asciiTheme="majorHAnsi" w:eastAsia="Times New Roman" w:hAnsiTheme="majorHAnsi" w:cstheme="majorHAnsi"/>
                <w:b/>
                <w:bCs/>
                <w:color w:val="000000"/>
                <w:lang w:eastAsia="en-GB"/>
              </w:rPr>
              <w:t>746</w:t>
            </w:r>
          </w:p>
        </w:tc>
        <w:tc>
          <w:tcPr>
            <w:tcW w:w="953" w:type="dxa"/>
            <w:shd w:val="clear" w:color="auto" w:fill="auto"/>
            <w:noWrap/>
            <w:vAlign w:val="bottom"/>
            <w:hideMark/>
          </w:tcPr>
          <w:p w14:paraId="4417F696" w14:textId="0041ED97" w:rsidR="00C62944" w:rsidRPr="00C62944" w:rsidRDefault="00C62944" w:rsidP="00C62944">
            <w:pPr>
              <w:spacing w:after="0" w:line="240" w:lineRule="auto"/>
              <w:jc w:val="right"/>
              <w:rPr>
                <w:rFonts w:asciiTheme="majorHAnsi" w:eastAsia="Times New Roman" w:hAnsiTheme="majorHAnsi" w:cstheme="majorHAnsi"/>
                <w:b/>
                <w:bCs/>
                <w:color w:val="000000"/>
                <w:lang w:eastAsia="en-GB"/>
              </w:rPr>
            </w:pPr>
            <w:r w:rsidRPr="00C62944">
              <w:rPr>
                <w:rFonts w:asciiTheme="majorHAnsi" w:eastAsia="Times New Roman" w:hAnsiTheme="majorHAnsi" w:cstheme="majorHAnsi"/>
                <w:b/>
                <w:bCs/>
                <w:color w:val="000000"/>
                <w:lang w:eastAsia="en-GB"/>
              </w:rPr>
              <w:t>43.2%</w:t>
            </w:r>
          </w:p>
        </w:tc>
        <w:tc>
          <w:tcPr>
            <w:tcW w:w="768" w:type="dxa"/>
            <w:shd w:val="clear" w:color="auto" w:fill="auto"/>
            <w:noWrap/>
            <w:vAlign w:val="bottom"/>
            <w:hideMark/>
          </w:tcPr>
          <w:p w14:paraId="665BA631" w14:textId="028D42A2" w:rsidR="00C62944" w:rsidRPr="00C62944" w:rsidRDefault="00C62944" w:rsidP="00C62944">
            <w:pPr>
              <w:spacing w:after="0" w:line="240" w:lineRule="auto"/>
              <w:jc w:val="right"/>
              <w:rPr>
                <w:rFonts w:asciiTheme="majorHAnsi" w:eastAsia="Times New Roman" w:hAnsiTheme="majorHAnsi" w:cstheme="majorHAnsi"/>
                <w:b/>
                <w:bCs/>
                <w:color w:val="000000"/>
                <w:lang w:eastAsia="en-GB"/>
              </w:rPr>
            </w:pPr>
            <w:r w:rsidRPr="00C62944">
              <w:rPr>
                <w:rFonts w:asciiTheme="majorHAnsi" w:eastAsia="Times New Roman" w:hAnsiTheme="majorHAnsi" w:cstheme="majorHAnsi"/>
                <w:b/>
                <w:bCs/>
                <w:color w:val="000000"/>
                <w:lang w:eastAsia="en-GB"/>
              </w:rPr>
              <w:t>9</w:t>
            </w:r>
            <w:r w:rsidR="007D4053">
              <w:rPr>
                <w:rFonts w:asciiTheme="majorHAnsi" w:eastAsia="Times New Roman" w:hAnsiTheme="majorHAnsi" w:cstheme="majorHAnsi"/>
                <w:b/>
                <w:bCs/>
                <w:color w:val="000000"/>
                <w:lang w:eastAsia="en-GB"/>
              </w:rPr>
              <w:t>,</w:t>
            </w:r>
            <w:r w:rsidRPr="00C62944">
              <w:rPr>
                <w:rFonts w:asciiTheme="majorHAnsi" w:eastAsia="Times New Roman" w:hAnsiTheme="majorHAnsi" w:cstheme="majorHAnsi"/>
                <w:b/>
                <w:bCs/>
                <w:color w:val="000000"/>
                <w:lang w:eastAsia="en-GB"/>
              </w:rPr>
              <w:t>442</w:t>
            </w:r>
          </w:p>
        </w:tc>
        <w:tc>
          <w:tcPr>
            <w:tcW w:w="1146" w:type="dxa"/>
            <w:shd w:val="clear" w:color="auto" w:fill="auto"/>
            <w:noWrap/>
            <w:vAlign w:val="bottom"/>
            <w:hideMark/>
          </w:tcPr>
          <w:p w14:paraId="65038D80" w14:textId="1C018D0F" w:rsidR="00C62944" w:rsidRPr="00C62944" w:rsidRDefault="00C62944" w:rsidP="00C62944">
            <w:pPr>
              <w:spacing w:after="0" w:line="240" w:lineRule="auto"/>
              <w:jc w:val="right"/>
              <w:rPr>
                <w:rFonts w:asciiTheme="majorHAnsi" w:eastAsia="Times New Roman" w:hAnsiTheme="majorHAnsi" w:cstheme="majorHAnsi"/>
                <w:b/>
                <w:bCs/>
                <w:color w:val="000000"/>
                <w:lang w:eastAsia="en-GB"/>
              </w:rPr>
            </w:pPr>
            <w:r w:rsidRPr="00C62944">
              <w:rPr>
                <w:rFonts w:asciiTheme="majorHAnsi" w:eastAsia="Times New Roman" w:hAnsiTheme="majorHAnsi" w:cstheme="majorHAnsi"/>
                <w:b/>
                <w:bCs/>
                <w:color w:val="000000"/>
                <w:lang w:eastAsia="en-GB"/>
              </w:rPr>
              <w:t>34.7%</w:t>
            </w:r>
          </w:p>
        </w:tc>
      </w:tr>
    </w:tbl>
    <w:p w14:paraId="43562CA6" w14:textId="431C0ADE" w:rsidR="00874D04" w:rsidRPr="008B2B45" w:rsidRDefault="00874D04" w:rsidP="00874D04">
      <w:pPr>
        <w:shd w:val="clear" w:color="auto" w:fill="FFFFFF"/>
        <w:spacing w:after="210" w:line="240" w:lineRule="auto"/>
        <w:rPr>
          <w:rFonts w:asciiTheme="majorHAnsi" w:eastAsia="Times New Roman" w:hAnsiTheme="majorHAnsi" w:cstheme="majorHAnsi"/>
          <w:lang w:eastAsia="en-GB"/>
        </w:rPr>
      </w:pPr>
      <w:r w:rsidRPr="008B2B45">
        <w:rPr>
          <w:rFonts w:asciiTheme="majorHAnsi" w:eastAsia="Times New Roman" w:hAnsiTheme="majorHAnsi" w:cstheme="majorHAnsi"/>
          <w:lang w:eastAsia="en-GB"/>
        </w:rPr>
        <w:t xml:space="preserve">Sources: LCFS 2019-20 weighted data. October 2022 price cap (Ofgem published 26 August 2022) and January 2023 price cap (Cornwall Insight’s tariff cap forecast 26 August 2022).  </w:t>
      </w:r>
    </w:p>
    <w:p w14:paraId="2B681BDD" w14:textId="17D14EBA" w:rsidR="00C2275E" w:rsidRPr="008B2B45" w:rsidRDefault="00420DB9" w:rsidP="000C4F08">
      <w:pPr>
        <w:shd w:val="clear" w:color="auto" w:fill="FFFFFF"/>
        <w:spacing w:after="210" w:line="240" w:lineRule="auto"/>
        <w:rPr>
          <w:rFonts w:asciiTheme="majorHAnsi" w:eastAsia="Times New Roman" w:hAnsiTheme="majorHAnsi" w:cstheme="majorHAnsi"/>
          <w:lang w:eastAsia="en-GB"/>
        </w:rPr>
      </w:pPr>
      <w:r w:rsidRPr="008B2B45">
        <w:rPr>
          <w:rFonts w:asciiTheme="majorHAnsi" w:eastAsia="Times New Roman" w:hAnsiTheme="majorHAnsi" w:cstheme="majorHAnsi"/>
          <w:lang w:eastAsia="en-GB"/>
        </w:rPr>
        <w:t>T</w:t>
      </w:r>
      <w:r w:rsidR="00DC1D88" w:rsidRPr="008B2B45">
        <w:rPr>
          <w:rFonts w:asciiTheme="majorHAnsi" w:eastAsia="Times New Roman" w:hAnsiTheme="majorHAnsi" w:cstheme="majorHAnsi"/>
          <w:lang w:eastAsia="en-GB"/>
        </w:rPr>
        <w:t xml:space="preserve">his </w:t>
      </w:r>
      <w:r w:rsidR="00B11D79" w:rsidRPr="008B2B45">
        <w:rPr>
          <w:rFonts w:asciiTheme="majorHAnsi" w:eastAsia="Times New Roman" w:hAnsiTheme="majorHAnsi" w:cstheme="majorHAnsi"/>
          <w:lang w:eastAsia="en-GB"/>
        </w:rPr>
        <w:t>analysis</w:t>
      </w:r>
      <w:r w:rsidR="00DC1D88" w:rsidRPr="008B2B45">
        <w:rPr>
          <w:rFonts w:asciiTheme="majorHAnsi" w:eastAsia="Times New Roman" w:hAnsiTheme="majorHAnsi" w:cstheme="majorHAnsi"/>
          <w:lang w:eastAsia="en-GB"/>
        </w:rPr>
        <w:t xml:space="preserve"> illustrates just how significant these</w:t>
      </w:r>
      <w:r w:rsidRPr="008B2B45">
        <w:rPr>
          <w:rFonts w:asciiTheme="majorHAnsi" w:eastAsia="Times New Roman" w:hAnsiTheme="majorHAnsi" w:cstheme="majorHAnsi"/>
          <w:lang w:eastAsia="en-GB"/>
        </w:rPr>
        <w:t xml:space="preserve"> price</w:t>
      </w:r>
      <w:r w:rsidR="00DC1D88" w:rsidRPr="008B2B45">
        <w:rPr>
          <w:rFonts w:asciiTheme="majorHAnsi" w:eastAsia="Times New Roman" w:hAnsiTheme="majorHAnsi" w:cstheme="majorHAnsi"/>
          <w:lang w:eastAsia="en-GB"/>
        </w:rPr>
        <w:t xml:space="preserve"> increases are for</w:t>
      </w:r>
      <w:r w:rsidRPr="008B2B45">
        <w:rPr>
          <w:rFonts w:asciiTheme="majorHAnsi" w:eastAsia="Times New Roman" w:hAnsiTheme="majorHAnsi" w:cstheme="majorHAnsi"/>
          <w:lang w:eastAsia="en-GB"/>
        </w:rPr>
        <w:t xml:space="preserve"> households</w:t>
      </w:r>
      <w:r w:rsidR="00DC1D88" w:rsidRPr="008B2B45">
        <w:rPr>
          <w:rFonts w:asciiTheme="majorHAnsi" w:eastAsia="Times New Roman" w:hAnsiTheme="majorHAnsi" w:cstheme="majorHAnsi"/>
          <w:lang w:eastAsia="en-GB"/>
        </w:rPr>
        <w:t xml:space="preserve"> and their ability to meet their costs.</w:t>
      </w:r>
      <w:r w:rsidRPr="008B2B45">
        <w:rPr>
          <w:rFonts w:asciiTheme="majorHAnsi" w:eastAsia="Times New Roman" w:hAnsiTheme="majorHAnsi" w:cstheme="majorHAnsi"/>
          <w:lang w:eastAsia="en-GB"/>
        </w:rPr>
        <w:t xml:space="preserve"> And</w:t>
      </w:r>
      <w:r w:rsidR="003459CA" w:rsidRPr="008B2B45">
        <w:rPr>
          <w:rFonts w:asciiTheme="majorHAnsi" w:eastAsia="Times New Roman" w:hAnsiTheme="majorHAnsi" w:cstheme="majorHAnsi"/>
          <w:lang w:eastAsia="en-GB"/>
        </w:rPr>
        <w:t>,</w:t>
      </w:r>
      <w:r w:rsidRPr="008B2B45">
        <w:rPr>
          <w:rFonts w:asciiTheme="majorHAnsi" w:eastAsia="Times New Roman" w:hAnsiTheme="majorHAnsi" w:cstheme="majorHAnsi"/>
          <w:lang w:eastAsia="en-GB"/>
        </w:rPr>
        <w:t xml:space="preserve"> of course</w:t>
      </w:r>
      <w:r w:rsidR="003459CA" w:rsidRPr="008B2B45">
        <w:rPr>
          <w:rFonts w:asciiTheme="majorHAnsi" w:eastAsia="Times New Roman" w:hAnsiTheme="majorHAnsi" w:cstheme="majorHAnsi"/>
          <w:lang w:eastAsia="en-GB"/>
        </w:rPr>
        <w:t>,</w:t>
      </w:r>
      <w:r w:rsidRPr="008B2B45">
        <w:rPr>
          <w:rFonts w:asciiTheme="majorHAnsi" w:eastAsia="Times New Roman" w:hAnsiTheme="majorHAnsi" w:cstheme="majorHAnsi"/>
          <w:lang w:eastAsia="en-GB"/>
        </w:rPr>
        <w:t xml:space="preserve"> fuel is not the only cost that is soaring. </w:t>
      </w:r>
      <w:r w:rsidR="00616B50" w:rsidRPr="008B2B45">
        <w:rPr>
          <w:rFonts w:asciiTheme="majorHAnsi" w:eastAsia="Times New Roman" w:hAnsiTheme="majorHAnsi" w:cstheme="majorHAnsi"/>
          <w:lang w:eastAsia="en-GB"/>
        </w:rPr>
        <w:t xml:space="preserve">Families face a very difficult winter ahead, and the government must introduce measures that meet the scale of the challenge. </w:t>
      </w:r>
    </w:p>
    <w:p w14:paraId="491F25CF" w14:textId="09193D58" w:rsidR="00DF34BF" w:rsidRPr="008B2B45" w:rsidRDefault="000B15D8" w:rsidP="006A0FB9">
      <w:pPr>
        <w:shd w:val="clear" w:color="auto" w:fill="FFFFFF"/>
        <w:spacing w:after="210" w:line="240" w:lineRule="auto"/>
        <w:rPr>
          <w:rFonts w:asciiTheme="majorHAnsi" w:eastAsia="Times New Roman" w:hAnsiTheme="majorHAnsi" w:cstheme="majorHAnsi"/>
          <w:lang w:eastAsia="en-GB"/>
        </w:rPr>
      </w:pPr>
      <w:r w:rsidRPr="008B2B45">
        <w:rPr>
          <w:rFonts w:asciiTheme="majorHAnsi" w:eastAsia="Times New Roman" w:hAnsiTheme="majorHAnsi" w:cstheme="majorHAnsi"/>
          <w:lang w:eastAsia="en-GB"/>
        </w:rPr>
        <w:t xml:space="preserve">Prof Jonathan Bradshaw is Emeritus Professor of Social Policy at the University of York. </w:t>
      </w:r>
      <w:r w:rsidR="000C4F08" w:rsidRPr="008B2B45">
        <w:rPr>
          <w:rFonts w:asciiTheme="majorHAnsi" w:eastAsia="Times New Roman" w:hAnsiTheme="majorHAnsi" w:cstheme="majorHAnsi"/>
          <w:lang w:eastAsia="en-GB"/>
        </w:rPr>
        <w:t>Dr Antonia Keung is a Lecturer in Social Policy at the University of York</w:t>
      </w:r>
      <w:r w:rsidR="003459CA" w:rsidRPr="008B2B45">
        <w:rPr>
          <w:rFonts w:asciiTheme="majorHAnsi" w:eastAsia="Times New Roman" w:hAnsiTheme="majorHAnsi" w:cstheme="majorHAnsi"/>
          <w:lang w:eastAsia="en-GB"/>
        </w:rPr>
        <w:t>.</w:t>
      </w:r>
    </w:p>
    <w:p w14:paraId="03DDD521" w14:textId="2095FF7E" w:rsidR="002D56AA" w:rsidRPr="008B2B45" w:rsidRDefault="002D56AA" w:rsidP="00F74256">
      <w:pPr>
        <w:shd w:val="clear" w:color="auto" w:fill="FFFFFF"/>
        <w:spacing w:after="210" w:line="240" w:lineRule="auto"/>
        <w:rPr>
          <w:rFonts w:asciiTheme="majorHAnsi" w:eastAsia="Times New Roman" w:hAnsiTheme="majorHAnsi" w:cstheme="majorHAnsi"/>
          <w:lang w:eastAsia="en-GB"/>
        </w:rPr>
      </w:pPr>
    </w:p>
    <w:sectPr w:rsidR="002D56AA" w:rsidRPr="008B2B45" w:rsidSect="004A26CB">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596DD" w14:textId="77777777" w:rsidR="002A3746" w:rsidRDefault="002A3746" w:rsidP="004A26CB">
      <w:pPr>
        <w:spacing w:after="0" w:line="240" w:lineRule="auto"/>
      </w:pPr>
      <w:r>
        <w:separator/>
      </w:r>
    </w:p>
  </w:endnote>
  <w:endnote w:type="continuationSeparator" w:id="0">
    <w:p w14:paraId="6614EE5D" w14:textId="77777777" w:rsidR="002A3746" w:rsidRDefault="002A3746" w:rsidP="004A26CB">
      <w:pPr>
        <w:spacing w:after="0" w:line="240" w:lineRule="auto"/>
      </w:pPr>
      <w:r>
        <w:continuationSeparator/>
      </w:r>
    </w:p>
  </w:endnote>
  <w:endnote w:id="1">
    <w:p w14:paraId="5E3D4AEE" w14:textId="7CE4FFB7" w:rsidR="002521E0" w:rsidRDefault="002521E0" w:rsidP="00826B9C">
      <w:pPr>
        <w:pStyle w:val="EndnoteText"/>
      </w:pPr>
      <w:r>
        <w:rPr>
          <w:rStyle w:val="EndnoteReference"/>
        </w:rPr>
        <w:endnoteRef/>
      </w:r>
      <w:r>
        <w:t xml:space="preserve"> </w:t>
      </w:r>
      <w:r w:rsidRPr="00380EF9">
        <w:rPr>
          <w:rFonts w:asciiTheme="majorHAnsi" w:eastAsia="Times New Roman" w:hAnsiTheme="majorHAnsi" w:cstheme="majorHAnsi"/>
          <w:color w:val="201C3E"/>
          <w:lang w:eastAsia="en-GB"/>
        </w:rPr>
        <w:t>After housing costs is preferred as housing costs vary hugely in the UK and account for one of the largest household expenditures which is also less easy to cut down, therefore, calculating fuel poverty after housing costs deducted from net income arguably would give a more accurate picture.</w:t>
      </w:r>
      <w:r>
        <w:t xml:space="preserve"> </w:t>
      </w:r>
      <w:r w:rsidRPr="006A0FB9">
        <w:rPr>
          <w:rFonts w:asciiTheme="majorHAnsi" w:eastAsia="Times New Roman" w:hAnsiTheme="majorHAnsi" w:cstheme="majorHAnsi"/>
          <w:color w:val="201C3E"/>
          <w:lang w:eastAsia="en-GB"/>
        </w:rPr>
        <w:t>There are</w:t>
      </w:r>
      <w:r>
        <w:rPr>
          <w:rFonts w:asciiTheme="majorHAnsi" w:eastAsia="Times New Roman" w:hAnsiTheme="majorHAnsi" w:cstheme="majorHAnsi"/>
          <w:color w:val="201C3E"/>
          <w:lang w:eastAsia="en-GB"/>
        </w:rPr>
        <w:t xml:space="preserve"> also</w:t>
      </w:r>
      <w:r w:rsidRPr="006A0FB9">
        <w:rPr>
          <w:rFonts w:asciiTheme="majorHAnsi" w:eastAsia="Times New Roman" w:hAnsiTheme="majorHAnsi" w:cstheme="majorHAnsi"/>
          <w:color w:val="201C3E"/>
          <w:lang w:eastAsia="en-GB"/>
        </w:rPr>
        <w:t xml:space="preserve"> other more sophisticated measures incorporating the thermal efficiency of dwellings. But they are difficult to operationalise with existing data sources. See J Hills, </w:t>
      </w:r>
      <w:r w:rsidRPr="003C11BC">
        <w:rPr>
          <w:rFonts w:asciiTheme="majorHAnsi" w:eastAsia="Times New Roman" w:hAnsiTheme="majorHAnsi" w:cstheme="majorHAnsi"/>
          <w:i/>
          <w:iCs/>
          <w:color w:val="201C3E"/>
          <w:lang w:eastAsia="en-GB"/>
        </w:rPr>
        <w:t xml:space="preserve">Getting the measure of fuel poverty: Final Report of the Fuel </w:t>
      </w:r>
      <w:r>
        <w:rPr>
          <w:rFonts w:asciiTheme="majorHAnsi" w:eastAsia="Times New Roman" w:hAnsiTheme="majorHAnsi" w:cstheme="majorHAnsi"/>
          <w:i/>
          <w:iCs/>
          <w:color w:val="201C3E"/>
          <w:lang w:eastAsia="en-GB"/>
        </w:rPr>
        <w:t>P</w:t>
      </w:r>
      <w:r w:rsidRPr="003C11BC">
        <w:rPr>
          <w:rFonts w:asciiTheme="majorHAnsi" w:eastAsia="Times New Roman" w:hAnsiTheme="majorHAnsi" w:cstheme="majorHAnsi"/>
          <w:i/>
          <w:iCs/>
          <w:color w:val="201C3E"/>
          <w:lang w:eastAsia="en-GB"/>
        </w:rPr>
        <w:t xml:space="preserve">overty </w:t>
      </w:r>
      <w:r>
        <w:rPr>
          <w:rFonts w:asciiTheme="majorHAnsi" w:eastAsia="Times New Roman" w:hAnsiTheme="majorHAnsi" w:cstheme="majorHAnsi"/>
          <w:i/>
          <w:iCs/>
          <w:color w:val="201C3E"/>
          <w:lang w:eastAsia="en-GB"/>
        </w:rPr>
        <w:t>R</w:t>
      </w:r>
      <w:r w:rsidRPr="003C11BC">
        <w:rPr>
          <w:rFonts w:asciiTheme="majorHAnsi" w:eastAsia="Times New Roman" w:hAnsiTheme="majorHAnsi" w:cstheme="majorHAnsi"/>
          <w:i/>
          <w:iCs/>
          <w:color w:val="201C3E"/>
          <w:lang w:eastAsia="en-GB"/>
        </w:rPr>
        <w:t>eview</w:t>
      </w:r>
      <w:r w:rsidRPr="006A0FB9">
        <w:rPr>
          <w:rFonts w:asciiTheme="majorHAnsi" w:eastAsia="Times New Roman" w:hAnsiTheme="majorHAnsi" w:cstheme="majorHAnsi"/>
          <w:color w:val="201C3E"/>
          <w:lang w:eastAsia="en-GB"/>
        </w:rPr>
        <w:t>, 2012</w:t>
      </w:r>
      <w:r>
        <w:rPr>
          <w:rFonts w:asciiTheme="majorHAnsi" w:eastAsia="Times New Roman" w:hAnsiTheme="majorHAnsi" w:cstheme="majorHAnsi"/>
          <w:color w:val="201C3E"/>
          <w:lang w:eastAsia="en-GB"/>
        </w:rPr>
        <w:t>, available at</w:t>
      </w:r>
      <w:r w:rsidRPr="006A0FB9">
        <w:rPr>
          <w:rFonts w:asciiTheme="majorHAnsi" w:eastAsia="Times New Roman" w:hAnsiTheme="majorHAnsi" w:cstheme="majorHAnsi"/>
          <w:color w:val="201C3E"/>
          <w:lang w:eastAsia="en-GB"/>
        </w:rPr>
        <w:t> </w:t>
      </w:r>
      <w:hyperlink r:id="rId1" w:tgtFrame="_blank" w:history="1">
        <w:r w:rsidRPr="006A0FB9">
          <w:rPr>
            <w:rFonts w:asciiTheme="majorHAnsi" w:eastAsia="Times New Roman" w:hAnsiTheme="majorHAnsi" w:cstheme="majorHAnsi"/>
            <w:b/>
            <w:bCs/>
            <w:color w:val="00B0CA"/>
            <w:u w:val="single"/>
            <w:lang w:eastAsia="en-GB"/>
          </w:rPr>
          <w:t>http://eprints.lse.ac.uk/51237/1/__libfile_REPOSITORY_Content_CASE_CASEreports_CASEreport72.pdf</w:t>
        </w:r>
      </w:hyperlink>
      <w:r w:rsidRPr="00826B9C">
        <w:t>.</w:t>
      </w:r>
    </w:p>
    <w:p w14:paraId="066A622C" w14:textId="771EBA16" w:rsidR="002521E0" w:rsidRPr="003C11BC" w:rsidRDefault="002521E0" w:rsidP="00826B9C">
      <w:pPr>
        <w:pStyle w:val="EndnoteText"/>
        <w:rPr>
          <w:rFonts w:asciiTheme="majorHAnsi" w:hAnsiTheme="majorHAnsi" w:cstheme="majorHAnsi"/>
          <w:color w:val="201C3E"/>
        </w:rPr>
      </w:pPr>
      <w:r>
        <w:rPr>
          <w:rFonts w:asciiTheme="majorHAnsi" w:hAnsiTheme="majorHAnsi" w:cstheme="majorHAnsi"/>
        </w:rPr>
        <w:t xml:space="preserve">See also Department for Business, Energy and Industrial Strategy, </w:t>
      </w:r>
      <w:r>
        <w:rPr>
          <w:rFonts w:asciiTheme="majorHAnsi" w:hAnsiTheme="majorHAnsi" w:cstheme="majorHAnsi"/>
          <w:i/>
          <w:iCs/>
        </w:rPr>
        <w:t>Consultation on the fuel poverty strategy for England</w:t>
      </w:r>
      <w:r>
        <w:rPr>
          <w:rFonts w:asciiTheme="majorHAnsi" w:hAnsiTheme="majorHAnsi" w:cstheme="majorHAnsi"/>
        </w:rPr>
        <w:t xml:space="preserve">, 2019, available at </w:t>
      </w:r>
      <w:hyperlink r:id="rId2" w:history="1">
        <w:r w:rsidRPr="00D23E28">
          <w:rPr>
            <w:rStyle w:val="Hyperlink"/>
            <w:rFonts w:asciiTheme="majorHAnsi" w:eastAsia="Times New Roman" w:hAnsiTheme="majorHAnsi" w:cstheme="majorHAnsi"/>
            <w:b/>
            <w:bCs/>
            <w:lang w:eastAsia="en-GB"/>
          </w:rPr>
          <w:t>https://assets.publishing.service.gov.uk/government/uploads/system/uploads/attachment_data/file/819606/fuel-poverty-strategy-england-consultation.pdf</w:t>
        </w:r>
      </w:hyperlink>
      <w:r w:rsidRPr="002A7EDC">
        <w:rPr>
          <w:rFonts w:asciiTheme="majorHAnsi" w:eastAsia="Times New Roman" w:hAnsiTheme="majorHAnsi" w:cstheme="majorHAnsi"/>
          <w:lang w:eastAsia="en-GB"/>
        </w:rPr>
        <w:t>.</w:t>
      </w:r>
      <w:r w:rsidRPr="006A0FB9">
        <w:rPr>
          <w:rFonts w:asciiTheme="majorHAnsi" w:eastAsia="Times New Roman" w:hAnsiTheme="majorHAnsi" w:cstheme="majorHAnsi"/>
          <w:color w:val="201C3E"/>
          <w:lang w:eastAsia="en-GB"/>
        </w:rPr>
        <w:br/>
        <w:t>See also</w:t>
      </w:r>
      <w:r>
        <w:rPr>
          <w:rFonts w:asciiTheme="majorHAnsi" w:eastAsia="Times New Roman" w:hAnsiTheme="majorHAnsi" w:cstheme="majorHAnsi"/>
          <w:color w:val="201C3E"/>
          <w:lang w:eastAsia="en-GB"/>
        </w:rPr>
        <w:t xml:space="preserve"> Resolution Foundation,</w:t>
      </w:r>
      <w:r w:rsidRPr="003C11BC">
        <w:t xml:space="preserve"> </w:t>
      </w:r>
      <w:r w:rsidRPr="003C11BC">
        <w:rPr>
          <w:rFonts w:asciiTheme="majorHAnsi" w:eastAsia="Times New Roman" w:hAnsiTheme="majorHAnsi" w:cstheme="majorHAnsi"/>
          <w:i/>
          <w:iCs/>
          <w:color w:val="201C3E"/>
          <w:lang w:eastAsia="en-GB"/>
        </w:rPr>
        <w:t>Higher and higher</w:t>
      </w:r>
      <w:r>
        <w:rPr>
          <w:rFonts w:asciiTheme="majorHAnsi" w:eastAsia="Times New Roman" w:hAnsiTheme="majorHAnsi" w:cstheme="majorHAnsi"/>
          <w:i/>
          <w:iCs/>
          <w:color w:val="201C3E"/>
          <w:lang w:eastAsia="en-GB"/>
        </w:rPr>
        <w:t xml:space="preserve">: </w:t>
      </w:r>
      <w:r w:rsidRPr="003C11BC">
        <w:rPr>
          <w:rFonts w:asciiTheme="majorHAnsi" w:eastAsia="Times New Roman" w:hAnsiTheme="majorHAnsi" w:cstheme="majorHAnsi"/>
          <w:i/>
          <w:iCs/>
          <w:color w:val="201C3E"/>
          <w:lang w:eastAsia="en-GB"/>
        </w:rPr>
        <w:t>Averting a looming energy bill crisis</w:t>
      </w:r>
      <w:r>
        <w:rPr>
          <w:rFonts w:asciiTheme="majorHAnsi" w:eastAsia="Times New Roman" w:hAnsiTheme="majorHAnsi" w:cstheme="majorHAnsi"/>
          <w:color w:val="201C3E"/>
          <w:lang w:eastAsia="en-GB"/>
        </w:rPr>
        <w:t>¸ 2022, available at</w:t>
      </w:r>
      <w:r w:rsidRPr="006A0FB9">
        <w:rPr>
          <w:rFonts w:asciiTheme="majorHAnsi" w:eastAsia="Times New Roman" w:hAnsiTheme="majorHAnsi" w:cstheme="majorHAnsi"/>
          <w:color w:val="201C3E"/>
          <w:lang w:eastAsia="en-GB"/>
        </w:rPr>
        <w:t> </w:t>
      </w:r>
      <w:hyperlink r:id="rId3" w:tgtFrame="_blank" w:history="1">
        <w:r w:rsidRPr="006A0FB9">
          <w:rPr>
            <w:rFonts w:asciiTheme="majorHAnsi" w:eastAsia="Times New Roman" w:hAnsiTheme="majorHAnsi" w:cstheme="majorHAnsi"/>
            <w:b/>
            <w:bCs/>
            <w:color w:val="00B0CA"/>
            <w:u w:val="single"/>
            <w:lang w:eastAsia="en-GB"/>
          </w:rPr>
          <w:t>https://www.resolutionfoundation.org/publications/higher-and-higher/</w:t>
        </w:r>
      </w:hyperlink>
    </w:p>
  </w:endnote>
  <w:endnote w:id="2">
    <w:p w14:paraId="42B5658B" w14:textId="0701905B" w:rsidR="002521E0" w:rsidRDefault="002521E0">
      <w:pPr>
        <w:pStyle w:val="EndnoteText"/>
      </w:pPr>
      <w:r>
        <w:rPr>
          <w:rStyle w:val="EndnoteReference"/>
        </w:rPr>
        <w:endnoteRef/>
      </w:r>
      <w:r>
        <w:t xml:space="preserve"> </w:t>
      </w:r>
      <w:r w:rsidRPr="00990B50">
        <w:rPr>
          <w:rFonts w:ascii="Calibri Light" w:hAnsi="Calibri Light" w:cs="Calibri Light"/>
          <w:sz w:val="22"/>
          <w:szCs w:val="22"/>
        </w:rPr>
        <w:t>A household with more than one benefit unit.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272BC" w14:textId="77777777" w:rsidR="002A3746" w:rsidRDefault="002A3746" w:rsidP="004A26CB">
      <w:pPr>
        <w:spacing w:after="0" w:line="240" w:lineRule="auto"/>
      </w:pPr>
      <w:r>
        <w:separator/>
      </w:r>
    </w:p>
  </w:footnote>
  <w:footnote w:type="continuationSeparator" w:id="0">
    <w:p w14:paraId="257EDD5C" w14:textId="77777777" w:rsidR="002A3746" w:rsidRDefault="002A3746" w:rsidP="004A26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16B0F"/>
    <w:multiLevelType w:val="multilevel"/>
    <w:tmpl w:val="C4EAC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191703"/>
    <w:multiLevelType w:val="multilevel"/>
    <w:tmpl w:val="FAF2B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FB9"/>
    <w:rsid w:val="00000FB4"/>
    <w:rsid w:val="000158B8"/>
    <w:rsid w:val="000225E7"/>
    <w:rsid w:val="00027C61"/>
    <w:rsid w:val="000441ED"/>
    <w:rsid w:val="000779DB"/>
    <w:rsid w:val="00086A7B"/>
    <w:rsid w:val="00091930"/>
    <w:rsid w:val="000A0E43"/>
    <w:rsid w:val="000B15D8"/>
    <w:rsid w:val="000C4F08"/>
    <w:rsid w:val="000D0BA9"/>
    <w:rsid w:val="000E0747"/>
    <w:rsid w:val="00102456"/>
    <w:rsid w:val="00112EDA"/>
    <w:rsid w:val="00153CF5"/>
    <w:rsid w:val="001749C1"/>
    <w:rsid w:val="001A3431"/>
    <w:rsid w:val="001A7820"/>
    <w:rsid w:val="001C5965"/>
    <w:rsid w:val="001F1043"/>
    <w:rsid w:val="002042D0"/>
    <w:rsid w:val="00227574"/>
    <w:rsid w:val="00231471"/>
    <w:rsid w:val="002521E0"/>
    <w:rsid w:val="002803A8"/>
    <w:rsid w:val="00285C3A"/>
    <w:rsid w:val="002A3746"/>
    <w:rsid w:val="002D12FB"/>
    <w:rsid w:val="002D56AA"/>
    <w:rsid w:val="002D6612"/>
    <w:rsid w:val="002F4134"/>
    <w:rsid w:val="00300539"/>
    <w:rsid w:val="0033214A"/>
    <w:rsid w:val="00334AD9"/>
    <w:rsid w:val="003459CA"/>
    <w:rsid w:val="00380EF9"/>
    <w:rsid w:val="003C11BC"/>
    <w:rsid w:val="003D52BB"/>
    <w:rsid w:val="003E5E79"/>
    <w:rsid w:val="00420DB9"/>
    <w:rsid w:val="00423757"/>
    <w:rsid w:val="00424851"/>
    <w:rsid w:val="00437FE4"/>
    <w:rsid w:val="00442DBF"/>
    <w:rsid w:val="004520F9"/>
    <w:rsid w:val="0046485A"/>
    <w:rsid w:val="00474A9E"/>
    <w:rsid w:val="004A26CB"/>
    <w:rsid w:val="004B7666"/>
    <w:rsid w:val="004E4475"/>
    <w:rsid w:val="004F5428"/>
    <w:rsid w:val="00527A0A"/>
    <w:rsid w:val="00532781"/>
    <w:rsid w:val="0053652B"/>
    <w:rsid w:val="0055561E"/>
    <w:rsid w:val="00576AEE"/>
    <w:rsid w:val="005C755C"/>
    <w:rsid w:val="00616B50"/>
    <w:rsid w:val="0062493A"/>
    <w:rsid w:val="00633B38"/>
    <w:rsid w:val="00636C60"/>
    <w:rsid w:val="00643FDB"/>
    <w:rsid w:val="006512E8"/>
    <w:rsid w:val="00655382"/>
    <w:rsid w:val="00666D4C"/>
    <w:rsid w:val="006812F5"/>
    <w:rsid w:val="006A0FB9"/>
    <w:rsid w:val="006B24CE"/>
    <w:rsid w:val="006B4D2B"/>
    <w:rsid w:val="006B6F31"/>
    <w:rsid w:val="006E5BEE"/>
    <w:rsid w:val="00703FA6"/>
    <w:rsid w:val="007167BF"/>
    <w:rsid w:val="00721101"/>
    <w:rsid w:val="007368F4"/>
    <w:rsid w:val="00750135"/>
    <w:rsid w:val="0078107C"/>
    <w:rsid w:val="00793F2F"/>
    <w:rsid w:val="007A77D5"/>
    <w:rsid w:val="007C3B4F"/>
    <w:rsid w:val="007C3FC8"/>
    <w:rsid w:val="007D4053"/>
    <w:rsid w:val="007D5B29"/>
    <w:rsid w:val="00802CE0"/>
    <w:rsid w:val="00805551"/>
    <w:rsid w:val="008073D7"/>
    <w:rsid w:val="00812ACD"/>
    <w:rsid w:val="00813E91"/>
    <w:rsid w:val="00826B9C"/>
    <w:rsid w:val="00843C57"/>
    <w:rsid w:val="00846506"/>
    <w:rsid w:val="00874D04"/>
    <w:rsid w:val="00892D4A"/>
    <w:rsid w:val="008A651C"/>
    <w:rsid w:val="008B2B45"/>
    <w:rsid w:val="008B5F80"/>
    <w:rsid w:val="008B7A81"/>
    <w:rsid w:val="008C1452"/>
    <w:rsid w:val="008C5C53"/>
    <w:rsid w:val="009339A3"/>
    <w:rsid w:val="009517B9"/>
    <w:rsid w:val="00970F88"/>
    <w:rsid w:val="00990B50"/>
    <w:rsid w:val="009E5E9F"/>
    <w:rsid w:val="00A206D3"/>
    <w:rsid w:val="00A314D3"/>
    <w:rsid w:val="00A45EFE"/>
    <w:rsid w:val="00A50EE8"/>
    <w:rsid w:val="00A869A1"/>
    <w:rsid w:val="00AC4825"/>
    <w:rsid w:val="00AD3BDF"/>
    <w:rsid w:val="00B07673"/>
    <w:rsid w:val="00B11D79"/>
    <w:rsid w:val="00B140FF"/>
    <w:rsid w:val="00B22535"/>
    <w:rsid w:val="00B4277A"/>
    <w:rsid w:val="00B43AD3"/>
    <w:rsid w:val="00B67D5C"/>
    <w:rsid w:val="00B9463D"/>
    <w:rsid w:val="00BE7CF0"/>
    <w:rsid w:val="00C07D80"/>
    <w:rsid w:val="00C2275E"/>
    <w:rsid w:val="00C434CC"/>
    <w:rsid w:val="00C43C09"/>
    <w:rsid w:val="00C50EFC"/>
    <w:rsid w:val="00C51F5E"/>
    <w:rsid w:val="00C52889"/>
    <w:rsid w:val="00C62944"/>
    <w:rsid w:val="00C65582"/>
    <w:rsid w:val="00CE351F"/>
    <w:rsid w:val="00D03097"/>
    <w:rsid w:val="00D23E28"/>
    <w:rsid w:val="00D42EA5"/>
    <w:rsid w:val="00D55FA5"/>
    <w:rsid w:val="00DC1D88"/>
    <w:rsid w:val="00DF34BF"/>
    <w:rsid w:val="00E035E9"/>
    <w:rsid w:val="00E1594B"/>
    <w:rsid w:val="00E458A1"/>
    <w:rsid w:val="00E908E7"/>
    <w:rsid w:val="00E939F8"/>
    <w:rsid w:val="00E9548F"/>
    <w:rsid w:val="00EA6CA0"/>
    <w:rsid w:val="00EB5927"/>
    <w:rsid w:val="00EE2D47"/>
    <w:rsid w:val="00F2471C"/>
    <w:rsid w:val="00F3054D"/>
    <w:rsid w:val="00F31193"/>
    <w:rsid w:val="00F670E0"/>
    <w:rsid w:val="00F74256"/>
    <w:rsid w:val="00F75A2B"/>
    <w:rsid w:val="00F970DD"/>
    <w:rsid w:val="00FB62FE"/>
    <w:rsid w:val="00FC2F8F"/>
    <w:rsid w:val="00FF23E4"/>
    <w:rsid w:val="00FF4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0AC86"/>
  <w15:chartTrackingRefBased/>
  <w15:docId w15:val="{F375B0A2-C9E4-4157-A9B1-B8A1563D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49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C11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link w:val="Heading6Char"/>
    <w:uiPriority w:val="9"/>
    <w:qFormat/>
    <w:rsid w:val="006A0FB9"/>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6A0FB9"/>
    <w:rPr>
      <w:rFonts w:ascii="Times New Roman" w:eastAsia="Times New Roman" w:hAnsi="Times New Roman" w:cs="Times New Roman"/>
      <w:b/>
      <w:bCs/>
      <w:sz w:val="15"/>
      <w:szCs w:val="15"/>
      <w:lang w:eastAsia="en-GB"/>
    </w:rPr>
  </w:style>
  <w:style w:type="paragraph" w:styleId="NormalWeb">
    <w:name w:val="Normal (Web)"/>
    <w:basedOn w:val="Normal"/>
    <w:uiPriority w:val="99"/>
    <w:semiHidden/>
    <w:unhideWhenUsed/>
    <w:rsid w:val="006A0F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A0FB9"/>
    <w:rPr>
      <w:color w:val="0000FF"/>
      <w:u w:val="single"/>
    </w:rPr>
  </w:style>
  <w:style w:type="character" w:styleId="Strong">
    <w:name w:val="Strong"/>
    <w:basedOn w:val="DefaultParagraphFont"/>
    <w:uiPriority w:val="22"/>
    <w:qFormat/>
    <w:rsid w:val="006A0FB9"/>
    <w:rPr>
      <w:b/>
      <w:bCs/>
    </w:rPr>
  </w:style>
  <w:style w:type="character" w:styleId="Emphasis">
    <w:name w:val="Emphasis"/>
    <w:basedOn w:val="DefaultParagraphFont"/>
    <w:uiPriority w:val="20"/>
    <w:qFormat/>
    <w:rsid w:val="006A0FB9"/>
    <w:rPr>
      <w:i/>
      <w:iCs/>
    </w:rPr>
  </w:style>
  <w:style w:type="character" w:styleId="CommentReference">
    <w:name w:val="annotation reference"/>
    <w:basedOn w:val="DefaultParagraphFont"/>
    <w:uiPriority w:val="99"/>
    <w:semiHidden/>
    <w:unhideWhenUsed/>
    <w:rsid w:val="00E458A1"/>
    <w:rPr>
      <w:sz w:val="16"/>
      <w:szCs w:val="16"/>
    </w:rPr>
  </w:style>
  <w:style w:type="paragraph" w:styleId="CommentText">
    <w:name w:val="annotation text"/>
    <w:basedOn w:val="Normal"/>
    <w:link w:val="CommentTextChar"/>
    <w:uiPriority w:val="99"/>
    <w:unhideWhenUsed/>
    <w:rsid w:val="00E458A1"/>
    <w:pPr>
      <w:spacing w:line="240" w:lineRule="auto"/>
    </w:pPr>
    <w:rPr>
      <w:sz w:val="20"/>
      <w:szCs w:val="20"/>
    </w:rPr>
  </w:style>
  <w:style w:type="character" w:customStyle="1" w:styleId="CommentTextChar">
    <w:name w:val="Comment Text Char"/>
    <w:basedOn w:val="DefaultParagraphFont"/>
    <w:link w:val="CommentText"/>
    <w:uiPriority w:val="99"/>
    <w:rsid w:val="00E458A1"/>
    <w:rPr>
      <w:sz w:val="20"/>
      <w:szCs w:val="20"/>
    </w:rPr>
  </w:style>
  <w:style w:type="paragraph" w:styleId="CommentSubject">
    <w:name w:val="annotation subject"/>
    <w:basedOn w:val="CommentText"/>
    <w:next w:val="CommentText"/>
    <w:link w:val="CommentSubjectChar"/>
    <w:uiPriority w:val="99"/>
    <w:semiHidden/>
    <w:unhideWhenUsed/>
    <w:rsid w:val="00E458A1"/>
    <w:rPr>
      <w:b/>
      <w:bCs/>
    </w:rPr>
  </w:style>
  <w:style w:type="character" w:customStyle="1" w:styleId="CommentSubjectChar">
    <w:name w:val="Comment Subject Char"/>
    <w:basedOn w:val="CommentTextChar"/>
    <w:link w:val="CommentSubject"/>
    <w:uiPriority w:val="99"/>
    <w:semiHidden/>
    <w:rsid w:val="00E458A1"/>
    <w:rPr>
      <w:b/>
      <w:bCs/>
      <w:sz w:val="20"/>
      <w:szCs w:val="20"/>
    </w:rPr>
  </w:style>
  <w:style w:type="table" w:styleId="TableGrid">
    <w:name w:val="Table Grid"/>
    <w:basedOn w:val="TableNormal"/>
    <w:uiPriority w:val="39"/>
    <w:rsid w:val="00527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A26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26CB"/>
    <w:rPr>
      <w:sz w:val="20"/>
      <w:szCs w:val="20"/>
    </w:rPr>
  </w:style>
  <w:style w:type="character" w:styleId="EndnoteReference">
    <w:name w:val="endnote reference"/>
    <w:basedOn w:val="DefaultParagraphFont"/>
    <w:uiPriority w:val="99"/>
    <w:semiHidden/>
    <w:unhideWhenUsed/>
    <w:rsid w:val="004A26CB"/>
    <w:rPr>
      <w:vertAlign w:val="superscript"/>
    </w:rPr>
  </w:style>
  <w:style w:type="character" w:customStyle="1" w:styleId="Heading1Char">
    <w:name w:val="Heading 1 Char"/>
    <w:basedOn w:val="DefaultParagraphFont"/>
    <w:link w:val="Heading1"/>
    <w:uiPriority w:val="9"/>
    <w:rsid w:val="0062493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C11BC"/>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DF34BF"/>
    <w:pPr>
      <w:spacing w:after="0" w:line="240" w:lineRule="auto"/>
    </w:pPr>
  </w:style>
  <w:style w:type="character" w:customStyle="1" w:styleId="UnresolvedMention1">
    <w:name w:val="Unresolved Mention1"/>
    <w:basedOn w:val="DefaultParagraphFont"/>
    <w:uiPriority w:val="99"/>
    <w:semiHidden/>
    <w:unhideWhenUsed/>
    <w:rsid w:val="00D23E28"/>
    <w:rPr>
      <w:color w:val="605E5C"/>
      <w:shd w:val="clear" w:color="auto" w:fill="E1DFDD"/>
    </w:rPr>
  </w:style>
  <w:style w:type="character" w:customStyle="1" w:styleId="cf01">
    <w:name w:val="cf01"/>
    <w:basedOn w:val="DefaultParagraphFont"/>
    <w:rsid w:val="000A0E43"/>
    <w:rPr>
      <w:rFonts w:ascii="Segoe UI" w:hAnsi="Segoe UI" w:cs="Segoe UI" w:hint="default"/>
      <w:sz w:val="18"/>
      <w:szCs w:val="18"/>
    </w:rPr>
  </w:style>
  <w:style w:type="paragraph" w:styleId="BalloonText">
    <w:name w:val="Balloon Text"/>
    <w:basedOn w:val="Normal"/>
    <w:link w:val="BalloonTextChar"/>
    <w:uiPriority w:val="99"/>
    <w:semiHidden/>
    <w:unhideWhenUsed/>
    <w:rsid w:val="002D56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6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0204">
      <w:bodyDiv w:val="1"/>
      <w:marLeft w:val="0"/>
      <w:marRight w:val="0"/>
      <w:marTop w:val="0"/>
      <w:marBottom w:val="0"/>
      <w:divBdr>
        <w:top w:val="none" w:sz="0" w:space="0" w:color="auto"/>
        <w:left w:val="none" w:sz="0" w:space="0" w:color="auto"/>
        <w:bottom w:val="none" w:sz="0" w:space="0" w:color="auto"/>
        <w:right w:val="none" w:sz="0" w:space="0" w:color="auto"/>
      </w:divBdr>
    </w:div>
    <w:div w:id="125441698">
      <w:bodyDiv w:val="1"/>
      <w:marLeft w:val="0"/>
      <w:marRight w:val="0"/>
      <w:marTop w:val="0"/>
      <w:marBottom w:val="0"/>
      <w:divBdr>
        <w:top w:val="none" w:sz="0" w:space="0" w:color="auto"/>
        <w:left w:val="none" w:sz="0" w:space="0" w:color="auto"/>
        <w:bottom w:val="none" w:sz="0" w:space="0" w:color="auto"/>
        <w:right w:val="none" w:sz="0" w:space="0" w:color="auto"/>
      </w:divBdr>
    </w:div>
    <w:div w:id="259292633">
      <w:bodyDiv w:val="1"/>
      <w:marLeft w:val="0"/>
      <w:marRight w:val="0"/>
      <w:marTop w:val="0"/>
      <w:marBottom w:val="0"/>
      <w:divBdr>
        <w:top w:val="none" w:sz="0" w:space="0" w:color="auto"/>
        <w:left w:val="none" w:sz="0" w:space="0" w:color="auto"/>
        <w:bottom w:val="none" w:sz="0" w:space="0" w:color="auto"/>
        <w:right w:val="none" w:sz="0" w:space="0" w:color="auto"/>
      </w:divBdr>
    </w:div>
    <w:div w:id="267389677">
      <w:bodyDiv w:val="1"/>
      <w:marLeft w:val="0"/>
      <w:marRight w:val="0"/>
      <w:marTop w:val="0"/>
      <w:marBottom w:val="0"/>
      <w:divBdr>
        <w:top w:val="none" w:sz="0" w:space="0" w:color="auto"/>
        <w:left w:val="none" w:sz="0" w:space="0" w:color="auto"/>
        <w:bottom w:val="none" w:sz="0" w:space="0" w:color="auto"/>
        <w:right w:val="none" w:sz="0" w:space="0" w:color="auto"/>
      </w:divBdr>
    </w:div>
    <w:div w:id="356390485">
      <w:bodyDiv w:val="1"/>
      <w:marLeft w:val="0"/>
      <w:marRight w:val="0"/>
      <w:marTop w:val="0"/>
      <w:marBottom w:val="0"/>
      <w:divBdr>
        <w:top w:val="none" w:sz="0" w:space="0" w:color="auto"/>
        <w:left w:val="none" w:sz="0" w:space="0" w:color="auto"/>
        <w:bottom w:val="none" w:sz="0" w:space="0" w:color="auto"/>
        <w:right w:val="none" w:sz="0" w:space="0" w:color="auto"/>
      </w:divBdr>
    </w:div>
    <w:div w:id="421295551">
      <w:bodyDiv w:val="1"/>
      <w:marLeft w:val="0"/>
      <w:marRight w:val="0"/>
      <w:marTop w:val="0"/>
      <w:marBottom w:val="0"/>
      <w:divBdr>
        <w:top w:val="none" w:sz="0" w:space="0" w:color="auto"/>
        <w:left w:val="none" w:sz="0" w:space="0" w:color="auto"/>
        <w:bottom w:val="none" w:sz="0" w:space="0" w:color="auto"/>
        <w:right w:val="none" w:sz="0" w:space="0" w:color="auto"/>
      </w:divBdr>
    </w:div>
    <w:div w:id="422337201">
      <w:bodyDiv w:val="1"/>
      <w:marLeft w:val="0"/>
      <w:marRight w:val="0"/>
      <w:marTop w:val="0"/>
      <w:marBottom w:val="0"/>
      <w:divBdr>
        <w:top w:val="none" w:sz="0" w:space="0" w:color="auto"/>
        <w:left w:val="none" w:sz="0" w:space="0" w:color="auto"/>
        <w:bottom w:val="none" w:sz="0" w:space="0" w:color="auto"/>
        <w:right w:val="none" w:sz="0" w:space="0" w:color="auto"/>
      </w:divBdr>
    </w:div>
    <w:div w:id="432820831">
      <w:bodyDiv w:val="1"/>
      <w:marLeft w:val="0"/>
      <w:marRight w:val="0"/>
      <w:marTop w:val="0"/>
      <w:marBottom w:val="0"/>
      <w:divBdr>
        <w:top w:val="none" w:sz="0" w:space="0" w:color="auto"/>
        <w:left w:val="none" w:sz="0" w:space="0" w:color="auto"/>
        <w:bottom w:val="none" w:sz="0" w:space="0" w:color="auto"/>
        <w:right w:val="none" w:sz="0" w:space="0" w:color="auto"/>
      </w:divBdr>
    </w:div>
    <w:div w:id="489030324">
      <w:bodyDiv w:val="1"/>
      <w:marLeft w:val="0"/>
      <w:marRight w:val="0"/>
      <w:marTop w:val="0"/>
      <w:marBottom w:val="0"/>
      <w:divBdr>
        <w:top w:val="none" w:sz="0" w:space="0" w:color="auto"/>
        <w:left w:val="none" w:sz="0" w:space="0" w:color="auto"/>
        <w:bottom w:val="none" w:sz="0" w:space="0" w:color="auto"/>
        <w:right w:val="none" w:sz="0" w:space="0" w:color="auto"/>
      </w:divBdr>
      <w:divsChild>
        <w:div w:id="793402916">
          <w:marLeft w:val="0"/>
          <w:marRight w:val="0"/>
          <w:marTop w:val="0"/>
          <w:marBottom w:val="0"/>
          <w:divBdr>
            <w:top w:val="none" w:sz="0" w:space="0" w:color="auto"/>
            <w:left w:val="none" w:sz="0" w:space="0" w:color="auto"/>
            <w:bottom w:val="none" w:sz="0" w:space="0" w:color="auto"/>
            <w:right w:val="none" w:sz="0" w:space="0" w:color="auto"/>
          </w:divBdr>
        </w:div>
      </w:divsChild>
    </w:div>
    <w:div w:id="728266409">
      <w:bodyDiv w:val="1"/>
      <w:marLeft w:val="0"/>
      <w:marRight w:val="0"/>
      <w:marTop w:val="0"/>
      <w:marBottom w:val="0"/>
      <w:divBdr>
        <w:top w:val="none" w:sz="0" w:space="0" w:color="auto"/>
        <w:left w:val="none" w:sz="0" w:space="0" w:color="auto"/>
        <w:bottom w:val="none" w:sz="0" w:space="0" w:color="auto"/>
        <w:right w:val="none" w:sz="0" w:space="0" w:color="auto"/>
      </w:divBdr>
    </w:div>
    <w:div w:id="747651805">
      <w:bodyDiv w:val="1"/>
      <w:marLeft w:val="0"/>
      <w:marRight w:val="0"/>
      <w:marTop w:val="0"/>
      <w:marBottom w:val="0"/>
      <w:divBdr>
        <w:top w:val="none" w:sz="0" w:space="0" w:color="auto"/>
        <w:left w:val="none" w:sz="0" w:space="0" w:color="auto"/>
        <w:bottom w:val="none" w:sz="0" w:space="0" w:color="auto"/>
        <w:right w:val="none" w:sz="0" w:space="0" w:color="auto"/>
      </w:divBdr>
      <w:divsChild>
        <w:div w:id="1156339823">
          <w:marLeft w:val="0"/>
          <w:marRight w:val="0"/>
          <w:marTop w:val="0"/>
          <w:marBottom w:val="0"/>
          <w:divBdr>
            <w:top w:val="none" w:sz="0" w:space="0" w:color="auto"/>
            <w:left w:val="none" w:sz="0" w:space="0" w:color="auto"/>
            <w:bottom w:val="none" w:sz="0" w:space="0" w:color="auto"/>
            <w:right w:val="none" w:sz="0" w:space="0" w:color="auto"/>
          </w:divBdr>
        </w:div>
      </w:divsChild>
    </w:div>
    <w:div w:id="748230843">
      <w:bodyDiv w:val="1"/>
      <w:marLeft w:val="0"/>
      <w:marRight w:val="0"/>
      <w:marTop w:val="0"/>
      <w:marBottom w:val="0"/>
      <w:divBdr>
        <w:top w:val="none" w:sz="0" w:space="0" w:color="auto"/>
        <w:left w:val="none" w:sz="0" w:space="0" w:color="auto"/>
        <w:bottom w:val="none" w:sz="0" w:space="0" w:color="auto"/>
        <w:right w:val="none" w:sz="0" w:space="0" w:color="auto"/>
      </w:divBdr>
    </w:div>
    <w:div w:id="827865917">
      <w:bodyDiv w:val="1"/>
      <w:marLeft w:val="0"/>
      <w:marRight w:val="0"/>
      <w:marTop w:val="0"/>
      <w:marBottom w:val="0"/>
      <w:divBdr>
        <w:top w:val="none" w:sz="0" w:space="0" w:color="auto"/>
        <w:left w:val="none" w:sz="0" w:space="0" w:color="auto"/>
        <w:bottom w:val="none" w:sz="0" w:space="0" w:color="auto"/>
        <w:right w:val="none" w:sz="0" w:space="0" w:color="auto"/>
      </w:divBdr>
    </w:div>
    <w:div w:id="1207833498">
      <w:bodyDiv w:val="1"/>
      <w:marLeft w:val="0"/>
      <w:marRight w:val="0"/>
      <w:marTop w:val="0"/>
      <w:marBottom w:val="0"/>
      <w:divBdr>
        <w:top w:val="none" w:sz="0" w:space="0" w:color="auto"/>
        <w:left w:val="none" w:sz="0" w:space="0" w:color="auto"/>
        <w:bottom w:val="none" w:sz="0" w:space="0" w:color="auto"/>
        <w:right w:val="none" w:sz="0" w:space="0" w:color="auto"/>
      </w:divBdr>
    </w:div>
    <w:div w:id="1266956708">
      <w:bodyDiv w:val="1"/>
      <w:marLeft w:val="0"/>
      <w:marRight w:val="0"/>
      <w:marTop w:val="0"/>
      <w:marBottom w:val="0"/>
      <w:divBdr>
        <w:top w:val="none" w:sz="0" w:space="0" w:color="auto"/>
        <w:left w:val="none" w:sz="0" w:space="0" w:color="auto"/>
        <w:bottom w:val="none" w:sz="0" w:space="0" w:color="auto"/>
        <w:right w:val="none" w:sz="0" w:space="0" w:color="auto"/>
      </w:divBdr>
    </w:div>
    <w:div w:id="1302466020">
      <w:bodyDiv w:val="1"/>
      <w:marLeft w:val="0"/>
      <w:marRight w:val="0"/>
      <w:marTop w:val="0"/>
      <w:marBottom w:val="0"/>
      <w:divBdr>
        <w:top w:val="none" w:sz="0" w:space="0" w:color="auto"/>
        <w:left w:val="none" w:sz="0" w:space="0" w:color="auto"/>
        <w:bottom w:val="none" w:sz="0" w:space="0" w:color="auto"/>
        <w:right w:val="none" w:sz="0" w:space="0" w:color="auto"/>
      </w:divBdr>
    </w:div>
    <w:div w:id="1551459652">
      <w:bodyDiv w:val="1"/>
      <w:marLeft w:val="0"/>
      <w:marRight w:val="0"/>
      <w:marTop w:val="0"/>
      <w:marBottom w:val="0"/>
      <w:divBdr>
        <w:top w:val="none" w:sz="0" w:space="0" w:color="auto"/>
        <w:left w:val="none" w:sz="0" w:space="0" w:color="auto"/>
        <w:bottom w:val="none" w:sz="0" w:space="0" w:color="auto"/>
        <w:right w:val="none" w:sz="0" w:space="0" w:color="auto"/>
      </w:divBdr>
    </w:div>
    <w:div w:id="1570068950">
      <w:bodyDiv w:val="1"/>
      <w:marLeft w:val="0"/>
      <w:marRight w:val="0"/>
      <w:marTop w:val="0"/>
      <w:marBottom w:val="0"/>
      <w:divBdr>
        <w:top w:val="none" w:sz="0" w:space="0" w:color="auto"/>
        <w:left w:val="none" w:sz="0" w:space="0" w:color="auto"/>
        <w:bottom w:val="none" w:sz="0" w:space="0" w:color="auto"/>
        <w:right w:val="none" w:sz="0" w:space="0" w:color="auto"/>
      </w:divBdr>
    </w:div>
    <w:div w:id="1677878949">
      <w:bodyDiv w:val="1"/>
      <w:marLeft w:val="0"/>
      <w:marRight w:val="0"/>
      <w:marTop w:val="0"/>
      <w:marBottom w:val="0"/>
      <w:divBdr>
        <w:top w:val="none" w:sz="0" w:space="0" w:color="auto"/>
        <w:left w:val="none" w:sz="0" w:space="0" w:color="auto"/>
        <w:bottom w:val="none" w:sz="0" w:space="0" w:color="auto"/>
        <w:right w:val="none" w:sz="0" w:space="0" w:color="auto"/>
      </w:divBdr>
    </w:div>
    <w:div w:id="1702970823">
      <w:bodyDiv w:val="1"/>
      <w:marLeft w:val="0"/>
      <w:marRight w:val="0"/>
      <w:marTop w:val="0"/>
      <w:marBottom w:val="0"/>
      <w:divBdr>
        <w:top w:val="none" w:sz="0" w:space="0" w:color="auto"/>
        <w:left w:val="none" w:sz="0" w:space="0" w:color="auto"/>
        <w:bottom w:val="none" w:sz="0" w:space="0" w:color="auto"/>
        <w:right w:val="none" w:sz="0" w:space="0" w:color="auto"/>
      </w:divBdr>
    </w:div>
    <w:div w:id="1764719672">
      <w:bodyDiv w:val="1"/>
      <w:marLeft w:val="0"/>
      <w:marRight w:val="0"/>
      <w:marTop w:val="0"/>
      <w:marBottom w:val="0"/>
      <w:divBdr>
        <w:top w:val="none" w:sz="0" w:space="0" w:color="auto"/>
        <w:left w:val="none" w:sz="0" w:space="0" w:color="auto"/>
        <w:bottom w:val="none" w:sz="0" w:space="0" w:color="auto"/>
        <w:right w:val="none" w:sz="0" w:space="0" w:color="auto"/>
      </w:divBdr>
    </w:div>
    <w:div w:id="1769813508">
      <w:bodyDiv w:val="1"/>
      <w:marLeft w:val="0"/>
      <w:marRight w:val="0"/>
      <w:marTop w:val="0"/>
      <w:marBottom w:val="0"/>
      <w:divBdr>
        <w:top w:val="none" w:sz="0" w:space="0" w:color="auto"/>
        <w:left w:val="none" w:sz="0" w:space="0" w:color="auto"/>
        <w:bottom w:val="none" w:sz="0" w:space="0" w:color="auto"/>
        <w:right w:val="none" w:sz="0" w:space="0" w:color="auto"/>
      </w:divBdr>
    </w:div>
    <w:div w:id="1821849329">
      <w:bodyDiv w:val="1"/>
      <w:marLeft w:val="0"/>
      <w:marRight w:val="0"/>
      <w:marTop w:val="0"/>
      <w:marBottom w:val="0"/>
      <w:divBdr>
        <w:top w:val="none" w:sz="0" w:space="0" w:color="auto"/>
        <w:left w:val="none" w:sz="0" w:space="0" w:color="auto"/>
        <w:bottom w:val="none" w:sz="0" w:space="0" w:color="auto"/>
        <w:right w:val="none" w:sz="0" w:space="0" w:color="auto"/>
      </w:divBdr>
    </w:div>
    <w:div w:id="1837961531">
      <w:bodyDiv w:val="1"/>
      <w:marLeft w:val="0"/>
      <w:marRight w:val="0"/>
      <w:marTop w:val="0"/>
      <w:marBottom w:val="0"/>
      <w:divBdr>
        <w:top w:val="none" w:sz="0" w:space="0" w:color="auto"/>
        <w:left w:val="none" w:sz="0" w:space="0" w:color="auto"/>
        <w:bottom w:val="none" w:sz="0" w:space="0" w:color="auto"/>
        <w:right w:val="none" w:sz="0" w:space="0" w:color="auto"/>
      </w:divBdr>
    </w:div>
    <w:div w:id="1861119003">
      <w:bodyDiv w:val="1"/>
      <w:marLeft w:val="0"/>
      <w:marRight w:val="0"/>
      <w:marTop w:val="0"/>
      <w:marBottom w:val="0"/>
      <w:divBdr>
        <w:top w:val="none" w:sz="0" w:space="0" w:color="auto"/>
        <w:left w:val="none" w:sz="0" w:space="0" w:color="auto"/>
        <w:bottom w:val="none" w:sz="0" w:space="0" w:color="auto"/>
        <w:right w:val="none" w:sz="0" w:space="0" w:color="auto"/>
      </w:divBdr>
    </w:div>
    <w:div w:id="2044672061">
      <w:bodyDiv w:val="1"/>
      <w:marLeft w:val="0"/>
      <w:marRight w:val="0"/>
      <w:marTop w:val="0"/>
      <w:marBottom w:val="0"/>
      <w:divBdr>
        <w:top w:val="none" w:sz="0" w:space="0" w:color="auto"/>
        <w:left w:val="none" w:sz="0" w:space="0" w:color="auto"/>
        <w:bottom w:val="none" w:sz="0" w:space="0" w:color="auto"/>
        <w:right w:val="none" w:sz="0" w:space="0" w:color="auto"/>
      </w:divBdr>
    </w:div>
    <w:div w:id="209270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resolutionfoundation.org/publications/higher-and-higher/" TargetMode="External"/><Relationship Id="rId2" Type="http://schemas.openxmlformats.org/officeDocument/2006/relationships/hyperlink" Target="https://assets.publishing.service.gov.uk/government/uploads/system/uploads/attachment_data/file/819606/fuel-poverty-strategy-england-consultation.pdf" TargetMode="External"/><Relationship Id="rId1" Type="http://schemas.openxmlformats.org/officeDocument/2006/relationships/hyperlink" Target="http://eprints.lse.ac.uk/51237/1/__libfile_REPOSITORY_Content_CASE_CASEreports_CASEreport7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8AA33-9D36-4C9B-9441-9569D1FEA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Flew</dc:creator>
  <cp:keywords/>
  <dc:description/>
  <cp:lastModifiedBy>Jonathan</cp:lastModifiedBy>
  <cp:revision>2</cp:revision>
  <dcterms:created xsi:type="dcterms:W3CDTF">2022-09-05T12:56:00Z</dcterms:created>
  <dcterms:modified xsi:type="dcterms:W3CDTF">2022-09-05T12:56:00Z</dcterms:modified>
</cp:coreProperties>
</file>