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C34FD" w14:textId="591085D2" w:rsidR="5CA9E3B9" w:rsidRPr="007C73D7" w:rsidRDefault="5CA9E3B9" w:rsidP="5CA9E3B9">
      <w:pPr>
        <w:contextualSpacing/>
        <w:jc w:val="center"/>
        <w:rPr>
          <w:rFonts w:ascii="Calibri" w:hAnsi="Calibri" w:cs="Calibri"/>
          <w:b/>
          <w:bCs/>
        </w:rPr>
      </w:pPr>
      <w:r w:rsidRPr="007C73D7">
        <w:rPr>
          <w:rFonts w:ascii="Calibri" w:hAnsi="Calibri" w:cs="Calibri"/>
          <w:b/>
          <w:bCs/>
        </w:rPr>
        <w:t>Estimating the health effects of expansions in health expenditure in Indonesia: a dynamic panel data approach</w:t>
      </w:r>
    </w:p>
    <w:p w14:paraId="7877512C" w14:textId="77777777" w:rsidR="00F52913" w:rsidRPr="007C73D7" w:rsidRDefault="00F52913" w:rsidP="00FF7057">
      <w:pPr>
        <w:contextualSpacing/>
        <w:rPr>
          <w:rFonts w:ascii="Calibri" w:hAnsi="Calibri" w:cs="Calibri"/>
          <w:b/>
          <w:bCs/>
        </w:rPr>
      </w:pPr>
      <w:bookmarkStart w:id="0" w:name="_Toc524429888"/>
      <w:bookmarkStart w:id="1" w:name="_Toc524694432"/>
      <w:bookmarkStart w:id="2" w:name="_Toc524694481"/>
    </w:p>
    <w:p w14:paraId="767FC5B2" w14:textId="48CE8FD9" w:rsidR="00F52913" w:rsidRPr="007C73D7" w:rsidRDefault="7620629A" w:rsidP="00FF7057">
      <w:pPr>
        <w:spacing w:after="0"/>
        <w:contextualSpacing/>
        <w:rPr>
          <w:rFonts w:ascii="Calibri" w:hAnsi="Calibri" w:cs="Calibri"/>
          <w:vertAlign w:val="superscript"/>
        </w:rPr>
      </w:pPr>
      <w:bookmarkStart w:id="3" w:name="_Hlk87281643"/>
      <w:r w:rsidRPr="007C73D7">
        <w:rPr>
          <w:rFonts w:ascii="Calibri" w:hAnsi="Calibri" w:cs="Calibri"/>
        </w:rPr>
        <w:t>Moler-Zapata, Silvia (MSc)</w:t>
      </w:r>
      <w:r w:rsidRPr="007C73D7">
        <w:rPr>
          <w:rFonts w:ascii="Calibri" w:hAnsi="Calibri" w:cs="Calibri"/>
          <w:vertAlign w:val="superscript"/>
        </w:rPr>
        <w:t>a</w:t>
      </w:r>
      <w:r w:rsidRPr="007C73D7">
        <w:rPr>
          <w:rFonts w:ascii="Calibri" w:hAnsi="Calibri" w:cs="Calibri"/>
        </w:rPr>
        <w:t xml:space="preserve">; </w:t>
      </w:r>
      <w:proofErr w:type="spellStart"/>
      <w:r w:rsidRPr="007C73D7">
        <w:rPr>
          <w:rFonts w:ascii="Calibri" w:hAnsi="Calibri" w:cs="Calibri"/>
        </w:rPr>
        <w:t>Kreif</w:t>
      </w:r>
      <w:proofErr w:type="spellEnd"/>
      <w:r w:rsidRPr="007C73D7">
        <w:rPr>
          <w:rFonts w:ascii="Calibri" w:hAnsi="Calibri" w:cs="Calibri"/>
        </w:rPr>
        <w:t>, Noemi (PhD)</w:t>
      </w:r>
      <w:r w:rsidRPr="007C73D7">
        <w:rPr>
          <w:rFonts w:ascii="Calibri" w:hAnsi="Calibri" w:cs="Calibri"/>
          <w:vertAlign w:val="superscript"/>
        </w:rPr>
        <w:t>b</w:t>
      </w:r>
      <w:r w:rsidRPr="007C73D7">
        <w:rPr>
          <w:rFonts w:ascii="Calibri" w:hAnsi="Calibri" w:cs="Calibri"/>
        </w:rPr>
        <w:t xml:space="preserve">; </w:t>
      </w:r>
      <w:proofErr w:type="spellStart"/>
      <w:r w:rsidRPr="007C73D7">
        <w:rPr>
          <w:rFonts w:ascii="Calibri" w:hAnsi="Calibri" w:cs="Calibri"/>
        </w:rPr>
        <w:t>Ochalek</w:t>
      </w:r>
      <w:proofErr w:type="spellEnd"/>
      <w:r w:rsidRPr="007C73D7">
        <w:rPr>
          <w:rFonts w:ascii="Calibri" w:hAnsi="Calibri" w:cs="Calibri"/>
        </w:rPr>
        <w:t>, Jessica (MPH, MSc)</w:t>
      </w:r>
      <w:r w:rsidRPr="007C73D7">
        <w:rPr>
          <w:rFonts w:ascii="Calibri" w:hAnsi="Calibri" w:cs="Calibri"/>
          <w:vertAlign w:val="superscript"/>
        </w:rPr>
        <w:t>b</w:t>
      </w:r>
      <w:r w:rsidRPr="007C73D7">
        <w:rPr>
          <w:rFonts w:ascii="Calibri" w:hAnsi="Calibri" w:cs="Calibri"/>
        </w:rPr>
        <w:t xml:space="preserve">; </w:t>
      </w:r>
      <w:proofErr w:type="spellStart"/>
      <w:r w:rsidRPr="007C73D7">
        <w:rPr>
          <w:rFonts w:ascii="Calibri" w:hAnsi="Calibri" w:cs="Calibri"/>
        </w:rPr>
        <w:t>Mirelman</w:t>
      </w:r>
      <w:proofErr w:type="spellEnd"/>
      <w:r w:rsidRPr="007C73D7">
        <w:rPr>
          <w:rFonts w:ascii="Calibri" w:hAnsi="Calibri" w:cs="Calibri"/>
        </w:rPr>
        <w:t>, Andrew (PhD)</w:t>
      </w:r>
      <w:r w:rsidRPr="007C73D7">
        <w:rPr>
          <w:rFonts w:ascii="Calibri" w:hAnsi="Calibri" w:cs="Calibri"/>
          <w:vertAlign w:val="superscript"/>
        </w:rPr>
        <w:t>b</w:t>
      </w:r>
      <w:r w:rsidRPr="007C73D7">
        <w:rPr>
          <w:rFonts w:ascii="Calibri" w:hAnsi="Calibri" w:cs="Calibri"/>
        </w:rPr>
        <w:t xml:space="preserve">; </w:t>
      </w:r>
      <w:proofErr w:type="spellStart"/>
      <w:r w:rsidRPr="007C73D7">
        <w:rPr>
          <w:rFonts w:ascii="Calibri" w:hAnsi="Calibri" w:cs="Calibri"/>
        </w:rPr>
        <w:t>Nadjib</w:t>
      </w:r>
      <w:proofErr w:type="spellEnd"/>
      <w:r w:rsidRPr="007C73D7">
        <w:rPr>
          <w:rFonts w:ascii="Calibri" w:hAnsi="Calibri" w:cs="Calibri"/>
        </w:rPr>
        <w:t xml:space="preserve">, </w:t>
      </w:r>
      <w:proofErr w:type="spellStart"/>
      <w:r w:rsidRPr="007C73D7">
        <w:rPr>
          <w:rFonts w:ascii="Calibri" w:hAnsi="Calibri" w:cs="Calibri"/>
        </w:rPr>
        <w:t>Mardiati</w:t>
      </w:r>
      <w:proofErr w:type="spellEnd"/>
      <w:r w:rsidRPr="007C73D7">
        <w:rPr>
          <w:rFonts w:ascii="Calibri" w:hAnsi="Calibri" w:cs="Calibri"/>
        </w:rPr>
        <w:t xml:space="preserve"> (PhD)</w:t>
      </w:r>
      <w:r w:rsidRPr="007C73D7">
        <w:rPr>
          <w:rFonts w:ascii="Calibri" w:hAnsi="Calibri" w:cs="Calibri"/>
          <w:vertAlign w:val="superscript"/>
        </w:rPr>
        <w:t>c</w:t>
      </w:r>
      <w:r w:rsidRPr="007C73D7">
        <w:rPr>
          <w:rFonts w:ascii="Calibri" w:hAnsi="Calibri" w:cs="Calibri"/>
        </w:rPr>
        <w:t>;</w:t>
      </w:r>
      <w:r w:rsidRPr="007C73D7">
        <w:rPr>
          <w:rFonts w:ascii="Calibri" w:hAnsi="Calibri" w:cs="Calibri"/>
          <w:vertAlign w:val="superscript"/>
        </w:rPr>
        <w:t xml:space="preserve"> </w:t>
      </w:r>
      <w:proofErr w:type="spellStart"/>
      <w:r w:rsidRPr="007C73D7">
        <w:rPr>
          <w:rFonts w:ascii="Calibri" w:hAnsi="Calibri" w:cs="Calibri"/>
        </w:rPr>
        <w:t>Suhrcke</w:t>
      </w:r>
      <w:proofErr w:type="spellEnd"/>
      <w:r w:rsidRPr="007C73D7">
        <w:rPr>
          <w:rFonts w:ascii="Calibri" w:hAnsi="Calibri" w:cs="Calibri"/>
        </w:rPr>
        <w:t>, Marc (PhD)</w:t>
      </w:r>
      <w:proofErr w:type="spellStart"/>
      <w:r w:rsidRPr="007C73D7">
        <w:rPr>
          <w:rFonts w:ascii="Calibri" w:hAnsi="Calibri" w:cs="Calibri"/>
          <w:vertAlign w:val="superscript"/>
        </w:rPr>
        <w:t>b,d</w:t>
      </w:r>
      <w:proofErr w:type="spellEnd"/>
      <w:r w:rsidRPr="007C73D7">
        <w:rPr>
          <w:rFonts w:ascii="Calibri" w:hAnsi="Calibri" w:cs="Calibri"/>
        </w:rPr>
        <w:t xml:space="preserve"> </w:t>
      </w:r>
    </w:p>
    <w:p w14:paraId="1ED04330" w14:textId="77777777" w:rsidR="00F52913" w:rsidRPr="007C73D7" w:rsidRDefault="00F52913" w:rsidP="00FF7057">
      <w:pPr>
        <w:spacing w:after="0"/>
        <w:contextualSpacing/>
        <w:rPr>
          <w:rFonts w:ascii="Calibri" w:hAnsi="Calibri" w:cs="Calibri"/>
        </w:rPr>
      </w:pPr>
    </w:p>
    <w:p w14:paraId="36AE564A" w14:textId="4A7AFFC0" w:rsidR="00F52913" w:rsidRPr="007C73D7" w:rsidRDefault="00F52913" w:rsidP="00FF7057">
      <w:pPr>
        <w:spacing w:after="0"/>
        <w:contextualSpacing/>
        <w:rPr>
          <w:rFonts w:ascii="Calibri" w:hAnsi="Calibri" w:cs="Calibri"/>
        </w:rPr>
      </w:pPr>
      <w:r w:rsidRPr="007C73D7">
        <w:rPr>
          <w:rFonts w:ascii="Calibri" w:hAnsi="Calibri" w:cs="Calibri"/>
          <w:vertAlign w:val="superscript"/>
        </w:rPr>
        <w:t>a</w:t>
      </w:r>
      <w:r w:rsidRPr="007C73D7">
        <w:rPr>
          <w:rFonts w:ascii="Calibri" w:hAnsi="Calibri" w:cs="Calibri"/>
        </w:rPr>
        <w:t xml:space="preserve"> Department of Health Services Research and Policy, London School of Hygiene </w:t>
      </w:r>
      <w:r w:rsidR="00A761C6" w:rsidRPr="007C73D7">
        <w:rPr>
          <w:rFonts w:ascii="Calibri" w:hAnsi="Calibri" w:cs="Calibri"/>
        </w:rPr>
        <w:t>and</w:t>
      </w:r>
      <w:r w:rsidRPr="007C73D7">
        <w:rPr>
          <w:rFonts w:ascii="Calibri" w:hAnsi="Calibri" w:cs="Calibri"/>
        </w:rPr>
        <w:t xml:space="preserve"> Tropical Medicine, London WC1H 9SH, United Kingdom.</w:t>
      </w:r>
    </w:p>
    <w:p w14:paraId="59312428" w14:textId="77777777" w:rsidR="00F52913" w:rsidRPr="007C73D7" w:rsidRDefault="00F52913" w:rsidP="00FF7057">
      <w:pPr>
        <w:spacing w:after="0"/>
        <w:contextualSpacing/>
        <w:rPr>
          <w:rFonts w:ascii="Calibri" w:hAnsi="Calibri" w:cs="Calibri"/>
          <w:vertAlign w:val="superscript"/>
        </w:rPr>
      </w:pPr>
      <w:r w:rsidRPr="007C73D7">
        <w:rPr>
          <w:rFonts w:ascii="Calibri" w:hAnsi="Calibri" w:cs="Calibri"/>
          <w:vertAlign w:val="superscript"/>
        </w:rPr>
        <w:t xml:space="preserve">b </w:t>
      </w:r>
      <w:r w:rsidRPr="007C73D7">
        <w:rPr>
          <w:rFonts w:ascii="Calibri" w:hAnsi="Calibri" w:cs="Calibri"/>
        </w:rPr>
        <w:t>Centre for Health Economics, University of York, Heslington, York YO10 5DD, United Kingdom</w:t>
      </w:r>
      <w:r w:rsidRPr="007C73D7">
        <w:rPr>
          <w:rFonts w:ascii="Calibri" w:hAnsi="Calibri" w:cs="Calibri"/>
          <w:vertAlign w:val="superscript"/>
        </w:rPr>
        <w:t xml:space="preserve"> </w:t>
      </w:r>
    </w:p>
    <w:p w14:paraId="25601AED" w14:textId="77777777" w:rsidR="00E36141" w:rsidRPr="007C73D7" w:rsidRDefault="00F52913" w:rsidP="00E36141">
      <w:pPr>
        <w:spacing w:after="0"/>
        <w:contextualSpacing/>
        <w:rPr>
          <w:rFonts w:ascii="Calibri" w:hAnsi="Calibri" w:cs="Calibri"/>
        </w:rPr>
      </w:pPr>
      <w:r w:rsidRPr="007C73D7">
        <w:rPr>
          <w:rFonts w:ascii="Calibri" w:hAnsi="Calibri" w:cs="Calibri"/>
          <w:vertAlign w:val="superscript"/>
        </w:rPr>
        <w:t xml:space="preserve">c </w:t>
      </w:r>
      <w:r w:rsidR="00E36141" w:rsidRPr="007C73D7">
        <w:rPr>
          <w:rFonts w:ascii="Calibri" w:hAnsi="Calibri" w:cs="Calibri"/>
        </w:rPr>
        <w:t>Department of Health Policy and Administration, Faculty of Public Health, University of Indonesia</w:t>
      </w:r>
    </w:p>
    <w:p w14:paraId="692F7E8B" w14:textId="6E85FDA2" w:rsidR="00F52913" w:rsidRPr="007C73D7" w:rsidRDefault="00F52913" w:rsidP="00FF7057">
      <w:pPr>
        <w:spacing w:after="0"/>
        <w:contextualSpacing/>
        <w:rPr>
          <w:rFonts w:ascii="Calibri" w:hAnsi="Calibri" w:cs="Calibri"/>
        </w:rPr>
      </w:pPr>
      <w:r w:rsidRPr="007C73D7">
        <w:rPr>
          <w:rFonts w:ascii="Calibri" w:hAnsi="Calibri" w:cs="Calibri"/>
          <w:vertAlign w:val="superscript"/>
        </w:rPr>
        <w:t>d</w:t>
      </w:r>
      <w:r w:rsidR="00E36141" w:rsidRPr="007C73D7">
        <w:rPr>
          <w:rFonts w:ascii="Calibri" w:hAnsi="Calibri" w:cs="Calibri"/>
          <w:vertAlign w:val="superscript"/>
        </w:rPr>
        <w:t xml:space="preserve"> </w:t>
      </w:r>
      <w:r w:rsidRPr="007C73D7">
        <w:rPr>
          <w:rFonts w:ascii="Calibri" w:hAnsi="Calibri" w:cs="Calibri"/>
        </w:rPr>
        <w:t xml:space="preserve">Luxembourg Institute of Socio-economic Research, 4366 </w:t>
      </w:r>
      <w:proofErr w:type="spellStart"/>
      <w:r w:rsidRPr="007C73D7">
        <w:rPr>
          <w:rFonts w:ascii="Calibri" w:hAnsi="Calibri" w:cs="Calibri"/>
        </w:rPr>
        <w:t>Esch</w:t>
      </w:r>
      <w:proofErr w:type="spellEnd"/>
      <w:r w:rsidRPr="007C73D7">
        <w:rPr>
          <w:rFonts w:ascii="Calibri" w:hAnsi="Calibri" w:cs="Calibri"/>
        </w:rPr>
        <w:t>-sur-</w:t>
      </w:r>
      <w:proofErr w:type="spellStart"/>
      <w:r w:rsidRPr="007C73D7">
        <w:rPr>
          <w:rFonts w:ascii="Calibri" w:hAnsi="Calibri" w:cs="Calibri"/>
        </w:rPr>
        <w:t>Alzette</w:t>
      </w:r>
      <w:proofErr w:type="spellEnd"/>
      <w:r w:rsidRPr="007C73D7">
        <w:rPr>
          <w:rFonts w:ascii="Calibri" w:hAnsi="Calibri" w:cs="Calibri"/>
        </w:rPr>
        <w:t>, Luxembourg</w:t>
      </w:r>
    </w:p>
    <w:p w14:paraId="5E16809F" w14:textId="77777777" w:rsidR="00F52913" w:rsidRPr="007C73D7" w:rsidRDefault="00F52913" w:rsidP="00FF7057">
      <w:pPr>
        <w:spacing w:after="0"/>
        <w:contextualSpacing/>
        <w:rPr>
          <w:rFonts w:ascii="Calibri" w:hAnsi="Calibri" w:cs="Calibri"/>
        </w:rPr>
      </w:pPr>
    </w:p>
    <w:p w14:paraId="205143B5" w14:textId="585DD264" w:rsidR="00F52913" w:rsidRPr="007C73D7" w:rsidRDefault="00F52913" w:rsidP="00FF7057">
      <w:pPr>
        <w:spacing w:after="120"/>
        <w:contextualSpacing/>
        <w:rPr>
          <w:rFonts w:ascii="Calibri" w:hAnsi="Calibri" w:cs="Calibri"/>
        </w:rPr>
      </w:pPr>
      <w:r w:rsidRPr="007C73D7">
        <w:rPr>
          <w:rFonts w:ascii="Calibri" w:hAnsi="Calibri" w:cs="Calibri"/>
          <w:b/>
          <w:bCs/>
        </w:rPr>
        <w:t>Corresponding author:</w:t>
      </w:r>
      <w:r w:rsidRPr="007C73D7">
        <w:rPr>
          <w:rFonts w:ascii="Calibri" w:hAnsi="Calibri" w:cs="Calibri"/>
        </w:rPr>
        <w:t xml:space="preserve"> Silvia Moler-Zapata (address: Faculty of Public Health &amp; Policy, London School of Hygiene </w:t>
      </w:r>
      <w:r w:rsidR="00E36141" w:rsidRPr="007C73D7">
        <w:rPr>
          <w:rFonts w:ascii="Calibri" w:hAnsi="Calibri" w:cs="Calibri"/>
        </w:rPr>
        <w:t>and</w:t>
      </w:r>
      <w:r w:rsidRPr="007C73D7">
        <w:rPr>
          <w:rFonts w:ascii="Calibri" w:hAnsi="Calibri" w:cs="Calibri"/>
        </w:rPr>
        <w:t xml:space="preserve"> Tropical Medicine, London, United Kingdom; e-mail: </w:t>
      </w:r>
      <w:hyperlink r:id="rId11" w:history="1">
        <w:r w:rsidRPr="007C73D7">
          <w:rPr>
            <w:rStyle w:val="Hyperlink"/>
            <w:rFonts w:ascii="Calibri" w:hAnsi="Calibri" w:cs="Calibri"/>
            <w:u w:val="none"/>
          </w:rPr>
          <w:t>silvia.moler@lshtm.ac.uk</w:t>
        </w:r>
      </w:hyperlink>
      <w:r w:rsidRPr="007C73D7">
        <w:rPr>
          <w:rFonts w:ascii="Calibri" w:hAnsi="Calibri" w:cs="Calibri"/>
        </w:rPr>
        <w:t xml:space="preserve">; </w:t>
      </w:r>
      <w:proofErr w:type="spellStart"/>
      <w:r w:rsidRPr="007C73D7">
        <w:rPr>
          <w:rFonts w:ascii="Calibri" w:hAnsi="Calibri" w:cs="Calibri"/>
        </w:rPr>
        <w:t>telf</w:t>
      </w:r>
      <w:proofErr w:type="spellEnd"/>
      <w:r w:rsidRPr="007C73D7">
        <w:rPr>
          <w:rFonts w:ascii="Calibri" w:hAnsi="Calibri" w:cs="Calibri"/>
        </w:rPr>
        <w:t>.: +44 (0) 207 927 2366; ORCID number: 0000-0003-4733-5601)</w:t>
      </w:r>
    </w:p>
    <w:bookmarkEnd w:id="3"/>
    <w:p w14:paraId="689F3877" w14:textId="77777777" w:rsidR="00F52913" w:rsidRPr="007C73D7" w:rsidRDefault="00F52913" w:rsidP="00FF7057">
      <w:pPr>
        <w:spacing w:after="120"/>
        <w:contextualSpacing/>
        <w:rPr>
          <w:rFonts w:ascii="Calibri" w:hAnsi="Calibri" w:cs="Calibri"/>
        </w:rPr>
      </w:pPr>
    </w:p>
    <w:p w14:paraId="3F461289" w14:textId="5952E5F0" w:rsidR="00F52913" w:rsidRPr="007C73D7" w:rsidRDefault="00F52913" w:rsidP="00FF7057">
      <w:pPr>
        <w:spacing w:after="120"/>
        <w:contextualSpacing/>
        <w:rPr>
          <w:rFonts w:ascii="Calibri" w:hAnsi="Calibri" w:cs="Calibri"/>
          <w:b/>
          <w:bCs/>
        </w:rPr>
      </w:pPr>
      <w:r w:rsidRPr="007C73D7">
        <w:rPr>
          <w:rFonts w:ascii="Calibri" w:hAnsi="Calibri" w:cs="Calibri"/>
          <w:b/>
          <w:bCs/>
        </w:rPr>
        <w:t xml:space="preserve">Running title: </w:t>
      </w:r>
      <w:r w:rsidRPr="007C73D7">
        <w:rPr>
          <w:rFonts w:ascii="Calibri" w:hAnsi="Calibri" w:cs="Calibri"/>
          <w:bCs/>
        </w:rPr>
        <w:t xml:space="preserve">“Estimating </w:t>
      </w:r>
      <w:r w:rsidR="5D56D816" w:rsidRPr="007C73D7">
        <w:rPr>
          <w:rFonts w:ascii="Calibri" w:hAnsi="Calibri" w:cs="Calibri"/>
        </w:rPr>
        <w:t xml:space="preserve">effects of expansions in </w:t>
      </w:r>
      <w:r w:rsidRPr="007C73D7">
        <w:rPr>
          <w:rFonts w:ascii="Calibri" w:hAnsi="Calibri" w:cs="Calibri"/>
          <w:bCs/>
        </w:rPr>
        <w:t xml:space="preserve">health </w:t>
      </w:r>
      <w:r w:rsidR="5D56D816" w:rsidRPr="007C73D7">
        <w:rPr>
          <w:rFonts w:ascii="Calibri" w:hAnsi="Calibri" w:cs="Calibri"/>
        </w:rPr>
        <w:t>expenditure</w:t>
      </w:r>
      <w:r w:rsidRPr="007C73D7">
        <w:rPr>
          <w:rFonts w:ascii="Calibri" w:hAnsi="Calibri" w:cs="Calibri"/>
          <w:bCs/>
        </w:rPr>
        <w:t xml:space="preserve"> in Indonesia”</w:t>
      </w:r>
      <w:r w:rsidRPr="007C73D7">
        <w:rPr>
          <w:rFonts w:ascii="Calibri" w:hAnsi="Calibri" w:cs="Calibri"/>
          <w:b/>
          <w:bCs/>
        </w:rPr>
        <w:t xml:space="preserve"> </w:t>
      </w:r>
    </w:p>
    <w:p w14:paraId="7E41DB6C" w14:textId="77777777" w:rsidR="00F52913" w:rsidRPr="007C73D7" w:rsidRDefault="00F52913" w:rsidP="00FF7057">
      <w:pPr>
        <w:spacing w:after="120"/>
        <w:contextualSpacing/>
        <w:rPr>
          <w:rFonts w:ascii="Calibri" w:hAnsi="Calibri" w:cs="Calibri"/>
          <w:b/>
          <w:bCs/>
        </w:rPr>
      </w:pPr>
    </w:p>
    <w:p w14:paraId="0E7F0D8D" w14:textId="4360F8C8" w:rsidR="00920E7D" w:rsidRDefault="00F52913" w:rsidP="00FF7057">
      <w:pPr>
        <w:spacing w:after="120"/>
        <w:contextualSpacing/>
        <w:rPr>
          <w:rFonts w:ascii="Calibri" w:hAnsi="Calibri" w:cs="Calibri"/>
          <w:b/>
          <w:bCs/>
        </w:rPr>
      </w:pPr>
      <w:r w:rsidRPr="007C73D7">
        <w:rPr>
          <w:rFonts w:ascii="Calibri" w:hAnsi="Calibri" w:cs="Calibri"/>
          <w:b/>
          <w:bCs/>
        </w:rPr>
        <w:t>Abstract:</w:t>
      </w:r>
    </w:p>
    <w:p w14:paraId="7A34EF70" w14:textId="5692F855" w:rsidR="00920E7D" w:rsidRPr="00920E7D" w:rsidRDefault="00920E7D" w:rsidP="00FF7057">
      <w:pPr>
        <w:spacing w:after="120"/>
        <w:contextualSpacing/>
        <w:rPr>
          <w:rFonts w:ascii="Calibri" w:hAnsi="Calibri" w:cs="Calibri"/>
          <w:b/>
          <w:bCs/>
        </w:rPr>
      </w:pPr>
      <w:r>
        <w:rPr>
          <w:rFonts w:ascii="Calibri" w:hAnsi="Calibri" w:cs="Calibri"/>
          <w:b/>
          <w:bCs/>
        </w:rPr>
        <w:t>Background</w:t>
      </w:r>
    </w:p>
    <w:p w14:paraId="41BEBFD1" w14:textId="77777777" w:rsidR="00920E7D" w:rsidRDefault="327E5A6B" w:rsidP="00FF7057">
      <w:pPr>
        <w:spacing w:after="120"/>
        <w:contextualSpacing/>
        <w:rPr>
          <w:rFonts w:ascii="Calibri" w:hAnsi="Calibri" w:cs="Calibri"/>
        </w:rPr>
      </w:pPr>
      <w:r w:rsidRPr="007C73D7">
        <w:rPr>
          <w:rFonts w:ascii="Calibri" w:hAnsi="Calibri" w:cs="Calibri"/>
        </w:rPr>
        <w:t xml:space="preserve">The marginal productivity of a country’s healthcare system refers to the health gains produced per unit change in the level of spending. In budget-constrained settings, this metric </w:t>
      </w:r>
      <w:r w:rsidR="0AA5D185" w:rsidRPr="007C73D7">
        <w:rPr>
          <w:rFonts w:ascii="Calibri" w:hAnsi="Calibri" w:cs="Calibri"/>
        </w:rPr>
        <w:t>reflects</w:t>
      </w:r>
      <w:r w:rsidRPr="007C73D7">
        <w:rPr>
          <w:rFonts w:ascii="Calibri" w:hAnsi="Calibri" w:cs="Calibri"/>
        </w:rPr>
        <w:t xml:space="preserve"> the opportunity cost, in terms of health gains forgone, of committing additional or existing resources to alternative uses within the healthcare system</w:t>
      </w:r>
      <w:r w:rsidR="0AA5D185" w:rsidRPr="007C73D7">
        <w:rPr>
          <w:rFonts w:ascii="Calibri" w:hAnsi="Calibri" w:cs="Calibri"/>
        </w:rPr>
        <w:t>. It</w:t>
      </w:r>
      <w:r w:rsidRPr="007C73D7">
        <w:rPr>
          <w:rFonts w:ascii="Calibri" w:hAnsi="Calibri" w:cs="Calibri"/>
        </w:rPr>
        <w:t xml:space="preserve"> can therefore assist in evidence-based decisions on whether different interventions represent good value for money. </w:t>
      </w:r>
    </w:p>
    <w:p w14:paraId="6FEB214E" w14:textId="77777777" w:rsidR="00920E7D" w:rsidRPr="00E8434F" w:rsidRDefault="00920E7D" w:rsidP="00FF7057">
      <w:pPr>
        <w:spacing w:after="120"/>
        <w:contextualSpacing/>
        <w:rPr>
          <w:rFonts w:ascii="Calibri" w:hAnsi="Calibri" w:cs="Calibri"/>
          <w:b/>
          <w:bCs/>
        </w:rPr>
      </w:pPr>
      <w:r w:rsidRPr="00E8434F">
        <w:rPr>
          <w:rFonts w:ascii="Calibri" w:hAnsi="Calibri" w:cs="Calibri"/>
          <w:b/>
          <w:bCs/>
        </w:rPr>
        <w:t>Objective</w:t>
      </w:r>
    </w:p>
    <w:p w14:paraId="02224E30" w14:textId="77777777" w:rsidR="00920E7D" w:rsidRDefault="327E5A6B" w:rsidP="00FF7057">
      <w:pPr>
        <w:spacing w:after="120"/>
        <w:contextualSpacing/>
        <w:rPr>
          <w:rFonts w:ascii="Calibri" w:hAnsi="Calibri" w:cs="Calibri"/>
        </w:rPr>
      </w:pPr>
      <w:r w:rsidRPr="007C73D7">
        <w:rPr>
          <w:rFonts w:ascii="Calibri" w:hAnsi="Calibri" w:cs="Calibri"/>
        </w:rPr>
        <w:lastRenderedPageBreak/>
        <w:t xml:space="preserve">The aim of this paper is to estimate the marginal productivity of the Indonesian healthcare system using subnational data, and to use this to inform health opportunity </w:t>
      </w:r>
      <w:r w:rsidR="0AA5D185" w:rsidRPr="007C73D7">
        <w:rPr>
          <w:rFonts w:ascii="Calibri" w:hAnsi="Calibri" w:cs="Calibri"/>
        </w:rPr>
        <w:t>costs</w:t>
      </w:r>
      <w:r w:rsidRPr="007C73D7">
        <w:rPr>
          <w:rFonts w:ascii="Calibri" w:hAnsi="Calibri" w:cs="Calibri"/>
        </w:rPr>
        <w:t xml:space="preserve"> in the country.</w:t>
      </w:r>
    </w:p>
    <w:p w14:paraId="67163FAB" w14:textId="77777777" w:rsidR="00920E7D" w:rsidRPr="00E8434F" w:rsidRDefault="00920E7D" w:rsidP="00FF7057">
      <w:pPr>
        <w:spacing w:after="120"/>
        <w:contextualSpacing/>
        <w:rPr>
          <w:rFonts w:ascii="Calibri" w:hAnsi="Calibri" w:cs="Calibri"/>
          <w:b/>
          <w:bCs/>
        </w:rPr>
      </w:pPr>
      <w:r w:rsidRPr="00E8434F">
        <w:rPr>
          <w:rFonts w:ascii="Calibri" w:hAnsi="Calibri" w:cs="Calibri"/>
          <w:b/>
          <w:bCs/>
        </w:rPr>
        <w:t>Methods</w:t>
      </w:r>
    </w:p>
    <w:p w14:paraId="0F2FB79B" w14:textId="1BA78FD1" w:rsidR="00920E7D" w:rsidRDefault="327E5A6B" w:rsidP="00FF7057">
      <w:pPr>
        <w:spacing w:after="120"/>
        <w:contextualSpacing/>
        <w:rPr>
          <w:rFonts w:ascii="Calibri" w:hAnsi="Calibri" w:cs="Calibri"/>
        </w:rPr>
      </w:pPr>
      <w:r w:rsidRPr="007C73D7">
        <w:rPr>
          <w:rFonts w:ascii="Calibri" w:hAnsi="Calibri" w:cs="Calibri"/>
        </w:rPr>
        <w:t xml:space="preserve">We </w:t>
      </w:r>
      <w:r w:rsidR="5C11C301" w:rsidRPr="007C73D7">
        <w:rPr>
          <w:rFonts w:ascii="Calibri" w:hAnsi="Calibri" w:cs="Calibri"/>
        </w:rPr>
        <w:t>define</w:t>
      </w:r>
      <w:r w:rsidRPr="007C73D7">
        <w:rPr>
          <w:rFonts w:ascii="Calibri" w:hAnsi="Calibri" w:cs="Calibri"/>
        </w:rPr>
        <w:t xml:space="preserve"> a dynamic health production function to model the stream of effects of current and prior </w:t>
      </w:r>
      <w:r w:rsidR="00EA019C">
        <w:rPr>
          <w:rFonts w:ascii="Calibri" w:hAnsi="Calibri" w:cs="Calibri"/>
        </w:rPr>
        <w:t xml:space="preserve">public health </w:t>
      </w:r>
      <w:r w:rsidRPr="007C73D7">
        <w:rPr>
          <w:rFonts w:ascii="Calibri" w:hAnsi="Calibri" w:cs="Calibri"/>
        </w:rPr>
        <w:t xml:space="preserve">spending decisions on population </w:t>
      </w:r>
      <w:r w:rsidR="002302A9">
        <w:rPr>
          <w:rFonts w:ascii="Calibri" w:hAnsi="Calibri" w:cs="Calibri"/>
        </w:rPr>
        <w:t>under-five mortality</w:t>
      </w:r>
      <w:r w:rsidR="001F453F">
        <w:rPr>
          <w:rFonts w:ascii="Calibri" w:hAnsi="Calibri" w:cs="Calibri"/>
        </w:rPr>
        <w:t xml:space="preserve">. </w:t>
      </w:r>
      <w:r w:rsidR="00853706">
        <w:rPr>
          <w:rFonts w:ascii="Calibri" w:hAnsi="Calibri" w:cs="Calibri"/>
        </w:rPr>
        <w:t>To estimate the model, we use</w:t>
      </w:r>
      <w:r w:rsidR="004D7DB6">
        <w:rPr>
          <w:rFonts w:ascii="Calibri" w:hAnsi="Calibri" w:cs="Calibri"/>
        </w:rPr>
        <w:t xml:space="preserve"> data from the</w:t>
      </w:r>
      <w:r w:rsidR="004D7DB6" w:rsidRPr="002302A9">
        <w:rPr>
          <w:rFonts w:ascii="Calibri" w:hAnsi="Calibri" w:cs="Calibri"/>
        </w:rPr>
        <w:t xml:space="preserve"> 33 </w:t>
      </w:r>
      <w:r w:rsidR="004D7DB6">
        <w:rPr>
          <w:rFonts w:ascii="Calibri" w:hAnsi="Calibri" w:cs="Calibri"/>
        </w:rPr>
        <w:t xml:space="preserve">Indonesian </w:t>
      </w:r>
      <w:r w:rsidR="004D7DB6" w:rsidRPr="002302A9">
        <w:rPr>
          <w:rFonts w:ascii="Calibri" w:hAnsi="Calibri" w:cs="Calibri"/>
        </w:rPr>
        <w:t>provinces</w:t>
      </w:r>
      <w:r w:rsidR="004D7DB6">
        <w:rPr>
          <w:rFonts w:ascii="Calibri" w:hAnsi="Calibri" w:cs="Calibri"/>
        </w:rPr>
        <w:t xml:space="preserve"> for the 2004-2012 period. </w:t>
      </w:r>
      <w:r w:rsidR="005855BE">
        <w:rPr>
          <w:rFonts w:ascii="Calibri" w:hAnsi="Calibri" w:cs="Calibri"/>
        </w:rPr>
        <w:t>Th</w:t>
      </w:r>
      <w:r w:rsidR="00853706">
        <w:rPr>
          <w:rFonts w:ascii="Calibri" w:hAnsi="Calibri" w:cs="Calibri"/>
        </w:rPr>
        <w:t xml:space="preserve">e estimated elasticity </w:t>
      </w:r>
      <w:r w:rsidR="005855BE">
        <w:rPr>
          <w:rFonts w:ascii="Calibri" w:hAnsi="Calibri" w:cs="Calibri"/>
        </w:rPr>
        <w:t>is then translated into</w:t>
      </w:r>
      <w:r w:rsidR="005855BE" w:rsidRPr="007C73D7">
        <w:rPr>
          <w:rFonts w:ascii="Calibri" w:hAnsi="Calibri" w:cs="Calibri"/>
        </w:rPr>
        <w:t xml:space="preserve"> gains in terms of cost per DALY averted</w:t>
      </w:r>
      <w:r w:rsidR="005855BE">
        <w:rPr>
          <w:rFonts w:ascii="Calibri" w:hAnsi="Calibri" w:cs="Calibri"/>
        </w:rPr>
        <w:t xml:space="preserve">. </w:t>
      </w:r>
      <w:r w:rsidRPr="007C73D7">
        <w:rPr>
          <w:rFonts w:ascii="Calibri" w:hAnsi="Calibri" w:cs="Calibri"/>
        </w:rPr>
        <w:t xml:space="preserve">We use </w:t>
      </w:r>
      <w:r w:rsidR="000306A4" w:rsidRPr="007C73D7">
        <w:rPr>
          <w:rFonts w:ascii="Calibri" w:hAnsi="Calibri" w:cs="Calibri"/>
        </w:rPr>
        <w:t>dynamic panel data methods to address potential endogeneity issues in the model</w:t>
      </w:r>
      <w:r w:rsidR="000306A4">
        <w:rPr>
          <w:rFonts w:ascii="Calibri" w:hAnsi="Calibri" w:cs="Calibri"/>
        </w:rPr>
        <w:t xml:space="preserve">. </w:t>
      </w:r>
    </w:p>
    <w:p w14:paraId="7F2813F6" w14:textId="3E7E7B05" w:rsidR="00920E7D" w:rsidRPr="00E8434F" w:rsidRDefault="00920E7D" w:rsidP="00FF7057">
      <w:pPr>
        <w:spacing w:after="120"/>
        <w:contextualSpacing/>
        <w:rPr>
          <w:rFonts w:ascii="Calibri" w:hAnsi="Calibri" w:cs="Calibri"/>
          <w:b/>
          <w:bCs/>
        </w:rPr>
      </w:pPr>
      <w:r w:rsidRPr="00E8434F">
        <w:rPr>
          <w:rFonts w:ascii="Calibri" w:hAnsi="Calibri" w:cs="Calibri"/>
          <w:b/>
          <w:bCs/>
        </w:rPr>
        <w:t>Results</w:t>
      </w:r>
    </w:p>
    <w:p w14:paraId="2BE43B74" w14:textId="27B0F5A1" w:rsidR="00920E7D" w:rsidRDefault="327E5A6B" w:rsidP="00FF7057">
      <w:pPr>
        <w:spacing w:after="120"/>
        <w:contextualSpacing/>
        <w:rPr>
          <w:rFonts w:ascii="Calibri" w:hAnsi="Calibri" w:cs="Calibri"/>
        </w:rPr>
      </w:pPr>
      <w:r w:rsidRPr="007C73D7">
        <w:rPr>
          <w:rFonts w:ascii="Calibri" w:hAnsi="Calibri" w:cs="Calibri"/>
        </w:rPr>
        <w:t>Our base case estimates suggest that a 1% expansion in the level of health spending reduces under-five mortality by 0.38% (95% CI 0.00</w:t>
      </w:r>
      <w:r w:rsidR="1B944F0F" w:rsidRPr="007C73D7">
        <w:rPr>
          <w:rFonts w:ascii="Calibri" w:hAnsi="Calibri" w:cs="Calibri"/>
        </w:rPr>
        <w:t>-</w:t>
      </w:r>
      <w:r w:rsidRPr="007C73D7">
        <w:rPr>
          <w:rFonts w:ascii="Calibri" w:hAnsi="Calibri" w:cs="Calibri"/>
        </w:rPr>
        <w:t>0.76</w:t>
      </w:r>
      <w:r w:rsidR="1B944F0F" w:rsidRPr="007C73D7">
        <w:rPr>
          <w:rFonts w:ascii="Calibri" w:hAnsi="Calibri" w:cs="Calibri"/>
        </w:rPr>
        <w:t>)</w:t>
      </w:r>
      <w:r w:rsidR="007820F9">
        <w:rPr>
          <w:rFonts w:ascii="Calibri" w:hAnsi="Calibri" w:cs="Calibri"/>
        </w:rPr>
        <w:t xml:space="preserve">, which translate into a cost of averting one DALY </w:t>
      </w:r>
      <w:r w:rsidRPr="007C73D7">
        <w:rPr>
          <w:rFonts w:ascii="Calibri" w:hAnsi="Calibri" w:cs="Calibri"/>
        </w:rPr>
        <w:t xml:space="preserve">of </w:t>
      </w:r>
      <w:r w:rsidR="1B944F0F" w:rsidRPr="007C73D7">
        <w:rPr>
          <w:rFonts w:ascii="Calibri" w:hAnsi="Calibri" w:cs="Calibri"/>
        </w:rPr>
        <w:t>235 (2019 US$).</w:t>
      </w:r>
      <w:r w:rsidRPr="007C73D7">
        <w:rPr>
          <w:rFonts w:ascii="Calibri" w:hAnsi="Calibri" w:cs="Calibri"/>
        </w:rPr>
        <w:t xml:space="preserve"> </w:t>
      </w:r>
    </w:p>
    <w:p w14:paraId="60A0660B" w14:textId="77777777" w:rsidR="00920E7D" w:rsidRPr="00E8434F" w:rsidRDefault="00920E7D" w:rsidP="00FF7057">
      <w:pPr>
        <w:spacing w:after="120"/>
        <w:contextualSpacing/>
        <w:rPr>
          <w:rFonts w:ascii="Calibri" w:hAnsi="Calibri" w:cs="Calibri"/>
          <w:b/>
          <w:bCs/>
        </w:rPr>
      </w:pPr>
      <w:r w:rsidRPr="00E8434F">
        <w:rPr>
          <w:rFonts w:ascii="Calibri" w:hAnsi="Calibri" w:cs="Calibri"/>
          <w:b/>
          <w:bCs/>
        </w:rPr>
        <w:t>Conclusion</w:t>
      </w:r>
    </w:p>
    <w:p w14:paraId="6C835E1F" w14:textId="5656F275" w:rsidR="00F52913" w:rsidRPr="007C73D7" w:rsidRDefault="327E5A6B" w:rsidP="00FF7057">
      <w:pPr>
        <w:spacing w:after="120"/>
        <w:contextualSpacing/>
        <w:rPr>
          <w:rFonts w:ascii="Calibri" w:hAnsi="Calibri" w:cs="Calibri"/>
        </w:rPr>
      </w:pPr>
      <w:r w:rsidRPr="007C73D7">
        <w:rPr>
          <w:rFonts w:ascii="Calibri" w:hAnsi="Calibri" w:cs="Calibri"/>
        </w:rPr>
        <w:t>With Indonesia aiming for universal health coverage, our results support these efforts by highlighting the associated benefits resulting from increases in public health expenditure and have the potential to inform the decision-making process about a suitable locally-relevant cost-effectiveness threshold.</w:t>
      </w:r>
    </w:p>
    <w:p w14:paraId="06BEC998" w14:textId="77777777" w:rsidR="00F52913" w:rsidRPr="007C73D7" w:rsidRDefault="00F52913" w:rsidP="00FF7057">
      <w:pPr>
        <w:contextualSpacing/>
        <w:rPr>
          <w:rFonts w:ascii="Calibri" w:hAnsi="Calibri" w:cs="Calibri"/>
          <w:b/>
          <w:bCs/>
        </w:rPr>
      </w:pPr>
    </w:p>
    <w:p w14:paraId="60488949" w14:textId="4D47A358" w:rsidR="00F52913" w:rsidRPr="007C73D7" w:rsidRDefault="327E5A6B" w:rsidP="003023A4">
      <w:pPr>
        <w:spacing w:after="0"/>
        <w:contextualSpacing/>
        <w:rPr>
          <w:rFonts w:ascii="Calibri" w:hAnsi="Calibri" w:cs="Calibri"/>
          <w:b/>
          <w:bCs/>
        </w:rPr>
      </w:pPr>
      <w:r w:rsidRPr="007C73D7">
        <w:rPr>
          <w:rFonts w:ascii="Calibri" w:hAnsi="Calibri" w:cs="Calibri"/>
          <w:b/>
          <w:bCs/>
        </w:rPr>
        <w:t>Key points for decision makers:</w:t>
      </w:r>
    </w:p>
    <w:p w14:paraId="20E3E753" w14:textId="4ACBF3AF" w:rsidR="00F52913" w:rsidRPr="007C73D7" w:rsidRDefault="327E5A6B" w:rsidP="18112CD4">
      <w:pPr>
        <w:pStyle w:val="ListParagraph"/>
        <w:numPr>
          <w:ilvl w:val="0"/>
          <w:numId w:val="18"/>
        </w:numPr>
        <w:spacing w:after="0"/>
        <w:rPr>
          <w:rFonts w:eastAsiaTheme="minorEastAsia"/>
        </w:rPr>
      </w:pPr>
      <w:r w:rsidRPr="007C73D7">
        <w:rPr>
          <w:rFonts w:ascii="Calibri" w:hAnsi="Calibri" w:cs="Calibri"/>
        </w:rPr>
        <w:t xml:space="preserve">We </w:t>
      </w:r>
      <w:r w:rsidR="5C11C301" w:rsidRPr="007C73D7">
        <w:rPr>
          <w:rFonts w:ascii="Calibri" w:hAnsi="Calibri" w:cs="Calibri"/>
        </w:rPr>
        <w:t xml:space="preserve">report a new </w:t>
      </w:r>
      <w:r w:rsidRPr="007C73D7">
        <w:rPr>
          <w:rFonts w:ascii="Calibri" w:hAnsi="Calibri" w:cs="Calibri"/>
        </w:rPr>
        <w:t xml:space="preserve">estimate of the effect of health expenditure on </w:t>
      </w:r>
      <w:r w:rsidR="1B944F0F" w:rsidRPr="007C73D7">
        <w:rPr>
          <w:rFonts w:ascii="Calibri" w:hAnsi="Calibri" w:cs="Calibri"/>
        </w:rPr>
        <w:t xml:space="preserve">under-five mortality </w:t>
      </w:r>
      <w:r w:rsidR="00920E7D">
        <w:rPr>
          <w:rFonts w:ascii="Calibri" w:hAnsi="Calibri" w:cs="Calibri"/>
        </w:rPr>
        <w:t>i</w:t>
      </w:r>
      <w:r w:rsidR="1B944F0F" w:rsidRPr="007C73D7">
        <w:rPr>
          <w:rFonts w:ascii="Calibri" w:hAnsi="Calibri" w:cs="Calibri"/>
        </w:rPr>
        <w:t>n Indonesia, expressed as an</w:t>
      </w:r>
      <w:r w:rsidRPr="007C73D7">
        <w:rPr>
          <w:rFonts w:ascii="Calibri" w:hAnsi="Calibri" w:cs="Calibri"/>
        </w:rPr>
        <w:t xml:space="preserve"> elasticity of -0.38 (95% CI 0.00</w:t>
      </w:r>
      <w:r w:rsidR="1B944F0F" w:rsidRPr="007C73D7">
        <w:rPr>
          <w:rFonts w:ascii="Calibri" w:hAnsi="Calibri" w:cs="Calibri"/>
        </w:rPr>
        <w:t>-</w:t>
      </w:r>
      <w:r w:rsidRPr="007C73D7">
        <w:rPr>
          <w:rFonts w:ascii="Calibri" w:hAnsi="Calibri" w:cs="Calibri"/>
        </w:rPr>
        <w:t>0.76</w:t>
      </w:r>
      <w:r w:rsidR="1B944F0F" w:rsidRPr="007C73D7">
        <w:rPr>
          <w:rFonts w:ascii="Calibri" w:hAnsi="Calibri" w:cs="Calibri"/>
        </w:rPr>
        <w:t>), over 2004 to 2012.</w:t>
      </w:r>
    </w:p>
    <w:p w14:paraId="1389C436" w14:textId="74816097" w:rsidR="00F52913" w:rsidRPr="007C73D7" w:rsidRDefault="327E5A6B" w:rsidP="18112CD4">
      <w:pPr>
        <w:pStyle w:val="ListParagraph"/>
        <w:numPr>
          <w:ilvl w:val="0"/>
          <w:numId w:val="18"/>
        </w:numPr>
        <w:spacing w:after="0"/>
        <w:rPr>
          <w:rFonts w:eastAsiaTheme="minorEastAsia"/>
        </w:rPr>
      </w:pPr>
      <w:r w:rsidRPr="007C73D7">
        <w:rPr>
          <w:rFonts w:ascii="Calibri" w:hAnsi="Calibri" w:cs="Calibri"/>
        </w:rPr>
        <w:t xml:space="preserve">We then </w:t>
      </w:r>
      <w:r w:rsidR="0AA5D185" w:rsidRPr="007C73D7">
        <w:rPr>
          <w:rFonts w:ascii="Calibri" w:hAnsi="Calibri" w:cs="Calibri"/>
        </w:rPr>
        <w:t xml:space="preserve">calculate </w:t>
      </w:r>
      <w:r w:rsidR="5659FB73" w:rsidRPr="007C73D7">
        <w:rPr>
          <w:rFonts w:ascii="Calibri" w:hAnsi="Calibri" w:cs="Calibri"/>
        </w:rPr>
        <w:t xml:space="preserve">the marginal productivity of the Indonesian </w:t>
      </w:r>
      <w:r w:rsidR="0AA5D185" w:rsidRPr="007C73D7">
        <w:rPr>
          <w:rFonts w:ascii="Calibri" w:hAnsi="Calibri" w:cs="Calibri"/>
        </w:rPr>
        <w:t>healthcare system, as</w:t>
      </w:r>
      <w:r w:rsidR="1B944F0F" w:rsidRPr="007C73D7">
        <w:rPr>
          <w:rFonts w:ascii="Calibri" w:hAnsi="Calibri" w:cs="Calibri"/>
        </w:rPr>
        <w:t xml:space="preserve"> $</w:t>
      </w:r>
      <w:r w:rsidR="1B944F0F" w:rsidRPr="007C73D7">
        <w:t>23</w:t>
      </w:r>
      <w:r w:rsidR="0FDC55E1" w:rsidRPr="007C73D7">
        <w:t xml:space="preserve">5 (2019 </w:t>
      </w:r>
      <w:r w:rsidR="0FDC55E1" w:rsidRPr="007C73D7">
        <w:rPr>
          <w:rFonts w:ascii="Calibri" w:hAnsi="Calibri" w:cs="Calibri"/>
        </w:rPr>
        <w:t xml:space="preserve">$US) per DALY averted, where varying assumptions provides a range </w:t>
      </w:r>
      <w:r w:rsidR="6D9AA161" w:rsidRPr="007C73D7">
        <w:t xml:space="preserve">from </w:t>
      </w:r>
      <w:r w:rsidR="0DB2B300" w:rsidRPr="007C73D7">
        <w:t>$1</w:t>
      </w:r>
      <w:r w:rsidR="487F271A" w:rsidRPr="007C73D7">
        <w:t>2</w:t>
      </w:r>
      <w:r w:rsidR="7423B42F" w:rsidRPr="007C73D7">
        <w:t xml:space="preserve">9 </w:t>
      </w:r>
      <w:r w:rsidR="0DB2B300" w:rsidRPr="007C73D7">
        <w:t xml:space="preserve">(3% of GDP pc) to </w:t>
      </w:r>
      <w:r w:rsidR="6D9AA161" w:rsidRPr="007C73D7">
        <w:t>$1,</w:t>
      </w:r>
      <w:r w:rsidR="246028A7" w:rsidRPr="007C73D7">
        <w:t>350</w:t>
      </w:r>
      <w:r w:rsidR="6D9AA161" w:rsidRPr="007C73D7">
        <w:t xml:space="preserve"> (33% of GDP pc). </w:t>
      </w:r>
    </w:p>
    <w:p w14:paraId="344523A2" w14:textId="4900DDA9" w:rsidR="00F52913" w:rsidRPr="007C73D7" w:rsidRDefault="0FDC55E1" w:rsidP="18112CD4">
      <w:pPr>
        <w:pStyle w:val="ListParagraph"/>
        <w:numPr>
          <w:ilvl w:val="0"/>
          <w:numId w:val="18"/>
        </w:numPr>
        <w:spacing w:after="0"/>
      </w:pPr>
      <w:r w:rsidRPr="007C73D7">
        <w:t>We interpret these estimates as h</w:t>
      </w:r>
      <w:r w:rsidR="1B944F0F" w:rsidRPr="007C73D7">
        <w:rPr>
          <w:rFonts w:ascii="Calibri" w:hAnsi="Calibri" w:cs="Calibri"/>
        </w:rPr>
        <w:t>ealth opportunity costs</w:t>
      </w:r>
      <w:r w:rsidR="39BF4558" w:rsidRPr="007C73D7">
        <w:rPr>
          <w:rFonts w:ascii="Calibri" w:hAnsi="Calibri" w:cs="Calibri"/>
        </w:rPr>
        <w:t xml:space="preserve">, which can be used </w:t>
      </w:r>
      <w:r w:rsidR="6A74AAF4" w:rsidRPr="007C73D7">
        <w:t>to support local reimbursement decisions.</w:t>
      </w:r>
    </w:p>
    <w:p w14:paraId="1938E409" w14:textId="12FD44F2" w:rsidR="00F52913" w:rsidRPr="007C73D7" w:rsidRDefault="6A74AAF4" w:rsidP="18112CD4">
      <w:pPr>
        <w:pStyle w:val="ListParagraph"/>
        <w:numPr>
          <w:ilvl w:val="0"/>
          <w:numId w:val="18"/>
        </w:numPr>
        <w:spacing w:after="0"/>
      </w:pPr>
      <w:r w:rsidRPr="007C73D7">
        <w:lastRenderedPageBreak/>
        <w:t>These figures need to be re-estimated as new data becomes available, to reflect changes in the health system (e.g. changing efficiency and productivity, expanding health budgets, and changing population characteristics).</w:t>
      </w:r>
    </w:p>
    <w:p w14:paraId="12EB7066" w14:textId="77777777" w:rsidR="003023A4" w:rsidRPr="007C73D7" w:rsidRDefault="003023A4" w:rsidP="003023A4">
      <w:pPr>
        <w:pStyle w:val="ListParagraph"/>
        <w:spacing w:after="0"/>
        <w:rPr>
          <w:rFonts w:ascii="Calibri" w:hAnsi="Calibri" w:cs="Calibri"/>
        </w:rPr>
      </w:pPr>
    </w:p>
    <w:p w14:paraId="583E88D6" w14:textId="35EE2A05" w:rsidR="00F52913" w:rsidRPr="007C73D7" w:rsidRDefault="00F52913" w:rsidP="00FF7057">
      <w:pPr>
        <w:contextualSpacing/>
        <w:rPr>
          <w:rFonts w:ascii="Calibri" w:hAnsi="Calibri" w:cs="Calibri"/>
          <w:b/>
          <w:bCs/>
        </w:rPr>
      </w:pPr>
      <w:bookmarkStart w:id="4" w:name="_Hlk87285476"/>
      <w:r w:rsidRPr="007C73D7">
        <w:rPr>
          <w:rFonts w:ascii="Calibri" w:hAnsi="Calibri" w:cs="Calibri"/>
          <w:b/>
          <w:bCs/>
        </w:rPr>
        <w:t>Declarations</w:t>
      </w:r>
    </w:p>
    <w:p w14:paraId="677DBDE9" w14:textId="77777777" w:rsidR="001C1363" w:rsidRPr="007C73D7" w:rsidRDefault="001C1363" w:rsidP="001C1363">
      <w:r w:rsidRPr="007C73D7">
        <w:rPr>
          <w:b/>
          <w:bCs/>
        </w:rPr>
        <w:t xml:space="preserve">Funding: </w:t>
      </w:r>
      <w:r w:rsidRPr="007C73D7">
        <w:t>This work was supported by the Bill and Melinda Gates Foundation through the International Decision Support Initiative (</w:t>
      </w:r>
      <w:proofErr w:type="spellStart"/>
      <w:r w:rsidRPr="007C73D7">
        <w:t>iDSI</w:t>
      </w:r>
      <w:proofErr w:type="spellEnd"/>
      <w:r w:rsidRPr="007C73D7">
        <w:t>) and by the National Institute for Health Research (NIHR) [16/137/90] using UK aid from the UK Government to support global health research. The views expressed in this publication are those of the authors.</w:t>
      </w:r>
    </w:p>
    <w:p w14:paraId="3137C1A5" w14:textId="77777777" w:rsidR="001C1363" w:rsidRPr="007C73D7" w:rsidRDefault="001C1363" w:rsidP="001C1363">
      <w:r w:rsidRPr="007C73D7">
        <w:rPr>
          <w:b/>
          <w:bCs/>
        </w:rPr>
        <w:t xml:space="preserve">Conflict of interest statement: </w:t>
      </w:r>
      <w:r w:rsidRPr="007C73D7">
        <w:t>Authors declare no conflict of interest.</w:t>
      </w:r>
    </w:p>
    <w:p w14:paraId="5599A059" w14:textId="13B2D65D" w:rsidR="001C1363" w:rsidRPr="007C73D7" w:rsidRDefault="001C1363" w:rsidP="001C1363">
      <w:r w:rsidRPr="007C73D7">
        <w:rPr>
          <w:b/>
          <w:bCs/>
        </w:rPr>
        <w:t>Availability of data and material:</w:t>
      </w:r>
      <w:r w:rsidRPr="007C73D7">
        <w:t xml:space="preserve"> </w:t>
      </w:r>
      <w:r w:rsidR="00920E7D" w:rsidRPr="007C73D7">
        <w:t>All data used in this study is available in the public domain.</w:t>
      </w:r>
    </w:p>
    <w:p w14:paraId="1919C380" w14:textId="13423B09" w:rsidR="001C1363" w:rsidRPr="007C73D7" w:rsidRDefault="001C1363" w:rsidP="00413023">
      <w:pPr>
        <w:tabs>
          <w:tab w:val="left" w:pos="6720"/>
        </w:tabs>
        <w:rPr>
          <w:b/>
          <w:bCs/>
          <w:highlight w:val="yellow"/>
        </w:rPr>
      </w:pPr>
      <w:r w:rsidRPr="007C73D7">
        <w:rPr>
          <w:b/>
          <w:bCs/>
        </w:rPr>
        <w:t xml:space="preserve">Ethics approval: </w:t>
      </w:r>
      <w:r w:rsidRPr="007C73D7">
        <w:t xml:space="preserve">No ethics approval was required for this study. </w:t>
      </w:r>
    </w:p>
    <w:p w14:paraId="239B9773" w14:textId="2A6EA296" w:rsidR="00E64DC3" w:rsidRDefault="00E64DC3" w:rsidP="001C1363">
      <w:r w:rsidRPr="007C73D7">
        <w:rPr>
          <w:b/>
          <w:bCs/>
        </w:rPr>
        <w:t xml:space="preserve">Authors contributions: </w:t>
      </w:r>
      <w:r w:rsidRPr="007C73D7">
        <w:t xml:space="preserve">SMZ, NK, JO, AM and MS were involved in the design of the study. NK, AM and MS were involved in the acquisition of the funding for the study. SMZ, NK, JO and AM conducted the main analysis. NK, </w:t>
      </w:r>
      <w:r w:rsidR="00C475B6" w:rsidRPr="007C73D7">
        <w:t xml:space="preserve">MN and </w:t>
      </w:r>
      <w:r w:rsidRPr="007C73D7">
        <w:t>MS</w:t>
      </w:r>
      <w:r w:rsidRPr="007C73D7">
        <w:rPr>
          <w:b/>
          <w:bCs/>
        </w:rPr>
        <w:t xml:space="preserve"> </w:t>
      </w:r>
      <w:r w:rsidRPr="007C73D7">
        <w:t>provided senior reviews of the study. All authors were involved in the interpretation of the results</w:t>
      </w:r>
      <w:r w:rsidR="00920E7D">
        <w:t xml:space="preserve"> and writing-up of the manuscript</w:t>
      </w:r>
      <w:r w:rsidRPr="007C73D7">
        <w:t>. All authors have given their approval for the final version to be published.</w:t>
      </w:r>
    </w:p>
    <w:p w14:paraId="06C90FDF" w14:textId="77777777" w:rsidR="00920E7D" w:rsidRDefault="00920E7D" w:rsidP="00920E7D">
      <w:pPr>
        <w:rPr>
          <w:rFonts w:ascii="Calibri" w:hAnsi="Calibri" w:cs="Calibri"/>
        </w:rPr>
      </w:pPr>
      <w:r w:rsidRPr="000C6CBA">
        <w:rPr>
          <w:rFonts w:ascii="Calibri" w:hAnsi="Calibri" w:cs="Calibri"/>
          <w:b/>
          <w:bCs/>
        </w:rPr>
        <w:t>Consent to participate</w:t>
      </w:r>
      <w:r>
        <w:rPr>
          <w:rFonts w:ascii="Calibri" w:hAnsi="Calibri" w:cs="Calibri"/>
        </w:rPr>
        <w:t>: Not applicable</w:t>
      </w:r>
    </w:p>
    <w:p w14:paraId="6A728C77" w14:textId="77777777" w:rsidR="00920E7D" w:rsidRDefault="00920E7D" w:rsidP="00920E7D">
      <w:r w:rsidRPr="000C6CBA">
        <w:rPr>
          <w:b/>
          <w:bCs/>
        </w:rPr>
        <w:t>Consent for publication</w:t>
      </w:r>
      <w:r>
        <w:t>: Not applicable.</w:t>
      </w:r>
    </w:p>
    <w:p w14:paraId="7160166D" w14:textId="18E948F3" w:rsidR="00920E7D" w:rsidRPr="007C73D7" w:rsidRDefault="00920E7D" w:rsidP="00920E7D">
      <w:r w:rsidRPr="000C6CBA">
        <w:rPr>
          <w:b/>
          <w:bCs/>
        </w:rPr>
        <w:t>Code availability</w:t>
      </w:r>
      <w:r>
        <w:t>: The data cleaning</w:t>
      </w:r>
      <w:r w:rsidR="00B60C1A">
        <w:t xml:space="preserve"> process</w:t>
      </w:r>
      <w:r>
        <w:t xml:space="preserve"> </w:t>
      </w:r>
      <w:r w:rsidR="001C0D2D">
        <w:t>and</w:t>
      </w:r>
      <w:r>
        <w:t xml:space="preserve"> all descriptive and statistical analyses were conducted in STATA 17. Access to code can be provided upon request.</w:t>
      </w:r>
    </w:p>
    <w:bookmarkEnd w:id="4"/>
    <w:p w14:paraId="00B7F038" w14:textId="1AB78B46" w:rsidR="00D84AD4" w:rsidRPr="007C73D7" w:rsidRDefault="1AD82F8D" w:rsidP="18112CD4">
      <w:pPr>
        <w:contextualSpacing/>
        <w:rPr>
          <w:b/>
          <w:bCs/>
          <w:lang w:eastAsia="en-GB"/>
        </w:rPr>
      </w:pPr>
      <w:r w:rsidRPr="007C73D7">
        <w:rPr>
          <w:b/>
          <w:bCs/>
        </w:rPr>
        <w:t xml:space="preserve">Acknowledgements: </w:t>
      </w:r>
      <w:r w:rsidRPr="007C73D7">
        <w:t xml:space="preserve">We gratefully acknowledge the extremely valuable input from Budi </w:t>
      </w:r>
      <w:proofErr w:type="spellStart"/>
      <w:r w:rsidRPr="007C73D7">
        <w:t>Hidayat</w:t>
      </w:r>
      <w:proofErr w:type="spellEnd"/>
      <w:r w:rsidRPr="007C73D7">
        <w:t xml:space="preserve">, excellent research assistance by Lydia </w:t>
      </w:r>
      <w:proofErr w:type="spellStart"/>
      <w:r w:rsidRPr="007C73D7">
        <w:t>Jowitt</w:t>
      </w:r>
      <w:proofErr w:type="spellEnd"/>
      <w:r w:rsidRPr="007C73D7">
        <w:t>, as well as fruitful discussions with Karl Claxton.</w:t>
      </w:r>
      <w:r w:rsidR="00D84AD4" w:rsidRPr="18112CD4">
        <w:rPr>
          <w:b/>
          <w:bCs/>
        </w:rPr>
        <w:br w:type="page"/>
      </w:r>
      <w:r w:rsidR="2C24AC94" w:rsidRPr="007C73D7">
        <w:rPr>
          <w:b/>
          <w:bCs/>
        </w:rPr>
        <w:lastRenderedPageBreak/>
        <w:t>1. Introduction</w:t>
      </w:r>
    </w:p>
    <w:p w14:paraId="48EBAA02" w14:textId="01F0C1F5" w:rsidR="00C04CBF" w:rsidRPr="007C73D7" w:rsidRDefault="004C79DF" w:rsidP="00E02E4F">
      <w:r w:rsidRPr="007C73D7">
        <w:t>In recent years, m</w:t>
      </w:r>
      <w:r w:rsidR="00541E0C" w:rsidRPr="007C73D7">
        <w:t xml:space="preserve">any low- and middle-income countries (LMICs) have </w:t>
      </w:r>
      <w:r w:rsidRPr="007C73D7">
        <w:t>made strides towards achieving</w:t>
      </w:r>
      <w:r w:rsidR="00541E0C" w:rsidRPr="007C73D7">
        <w:t xml:space="preserve"> ‘universal health coverage’ (UHC)</w:t>
      </w:r>
      <w:r w:rsidR="00E43318" w:rsidRPr="007C73D7">
        <w:t xml:space="preserve">. According to the WHO, UHC is about ensuring that all people have access to needed health services of sufficient quality to be effective while also ensuring that the use of these services does not expose the user to financial hardship </w:t>
      </w:r>
      <w:r w:rsidRPr="007C73D7">
        <w:rPr>
          <w:rStyle w:val="FootnoteReference"/>
        </w:rPr>
        <w:fldChar w:fldCharType="begin" w:fldLock="1"/>
      </w:r>
      <w:r w:rsidRPr="007C73D7">
        <w:instrText>ADDIN CSL_CITATION {"citationItems":[{"id":"ITEM-1","itemData":{"author":[{"dropping-particle":"","family":"World Health Organization","given":"","non-dropping-particle":"","parse-names":false,"suffix":""}],"id":"ITEM-1","issued":{"date-parts":[["2010"]]},"publisher-place":"Geneva: World Health Organization","title":"The World Health Report 2010: Health Systems Financing: the Path to Universal Coverage.","type":"report"},"uris":["http://www.mendeley.com/documents/?uuid=a9db4f45-4517-45f1-887e-6ccfa97b064d"]}],"mendeley":{"formattedCitation":"[1]","plainTextFormattedCitation":"[1]","previouslyFormattedCitation":"[1]"},"properties":{"noteIndex":0},"schema":"https://github.com/citation-style-language/schema/raw/master/csl-citation.json"}</w:instrText>
      </w:r>
      <w:r w:rsidRPr="007C73D7">
        <w:rPr>
          <w:rStyle w:val="FootnoteReference"/>
        </w:rPr>
        <w:fldChar w:fldCharType="separate"/>
      </w:r>
      <w:r w:rsidR="008942DC" w:rsidRPr="007C73D7">
        <w:rPr>
          <w:noProof/>
        </w:rPr>
        <w:t>[1]</w:t>
      </w:r>
      <w:r w:rsidRPr="007C73D7">
        <w:rPr>
          <w:rStyle w:val="FootnoteReference"/>
        </w:rPr>
        <w:fldChar w:fldCharType="end"/>
      </w:r>
      <w:r w:rsidR="00E43318" w:rsidRPr="007C73D7">
        <w:t>.</w:t>
      </w:r>
      <w:r w:rsidR="00541E0C" w:rsidRPr="007C73D7">
        <w:t> </w:t>
      </w:r>
      <w:r w:rsidR="002E3BF7" w:rsidRPr="007C73D7">
        <w:t>This</w:t>
      </w:r>
      <w:r w:rsidR="00541E0C" w:rsidRPr="007C73D7">
        <w:t xml:space="preserve"> multi-dimensional</w:t>
      </w:r>
      <w:r w:rsidR="00DC127E" w:rsidRPr="007C73D7">
        <w:t xml:space="preserve"> </w:t>
      </w:r>
      <w:r w:rsidR="00541E0C" w:rsidRPr="007C73D7">
        <w:t>concept</w:t>
      </w:r>
      <w:r w:rsidR="002E3BF7" w:rsidRPr="007C73D7">
        <w:t xml:space="preserve"> </w:t>
      </w:r>
      <w:r w:rsidR="00541E0C" w:rsidRPr="007C73D7">
        <w:t>includes consideration of the extent of pooled</w:t>
      </w:r>
      <w:r w:rsidR="00F541C6" w:rsidRPr="007C73D7">
        <w:t>,</w:t>
      </w:r>
      <w:r w:rsidR="00541E0C" w:rsidRPr="007C73D7">
        <w:t xml:space="preserve"> prepaid health spending</w:t>
      </w:r>
      <w:r w:rsidR="00DC127E" w:rsidRPr="007C73D7">
        <w:t>,</w:t>
      </w:r>
      <w:r w:rsidR="00541E0C" w:rsidRPr="007C73D7">
        <w:t xml:space="preserve"> </w:t>
      </w:r>
      <w:r w:rsidR="00E43318" w:rsidRPr="007C73D7">
        <w:t>as a major policy lever for national or sub</w:t>
      </w:r>
      <w:r w:rsidR="006E1D5E" w:rsidRPr="007C73D7">
        <w:t>-</w:t>
      </w:r>
      <w:r w:rsidR="00E43318" w:rsidRPr="007C73D7">
        <w:t xml:space="preserve">national governments </w:t>
      </w:r>
      <w:r w:rsidRPr="007C73D7">
        <w:fldChar w:fldCharType="begin" w:fldLock="1"/>
      </w:r>
      <w:r w:rsidRPr="007C73D7">
        <w:instrText>ADDIN CSL_CITATION {"citationItems":[{"id":"ITEM-1","itemData":{"DOI":"10.1111/rssa.12048","ISSN":"1467985X","abstract":"Summary: Progress towards universal health coverage involves providing people with access to needed health services without entailing financial hardship and is often advocated on the grounds that it improves population health. The paper offers econometric evidence on the effects of health coverage on mortality outcomes at the national level. We use a large panel data set of countries, examined by using instrumental variable specifications that explicitly allow for potential reverse causality and unobserved country-specific characteristics. We employ various proxies for the coverage level in a health system. Our results indicate that expanded health coverage, particularly through higher levels of publicly funded health spending, results in lower child and adult mortality, with the beneficial effect on child mortality being larger in poorer countries.","author":[{"dropping-particle":"","family":"Moreno-Serra","given":"Rodrigo","non-dropping-particle":"","parse-names":false,"suffix":""},{"dropping-particle":"","family":"Smith","given":"Peter C.","non-dropping-particle":"","parse-names":false,"suffix":""}],"container-title":"Journal of the Royal Statistical Society. Series A: Statistics in Society","id":"ITEM-1","issue":"1","issued":{"date-parts":[["2015"]]},"page":"101-124","title":"Broader health coverage is good for the nation's health: Evidence from country level panel data","type":"article-journal","volume":"178"},"uris":["http://www.mendeley.com/documents/?uuid=4101c8d0-c058-43d0-9843-895d81a7c401"]}],"mendeley":{"formattedCitation":"[2]","plainTextFormattedCitation":"[2]","previouslyFormattedCitation":"[2]"},"properties":{"noteIndex":0},"schema":"https://github.com/citation-style-language/schema/raw/master/csl-citation.json"}</w:instrText>
      </w:r>
      <w:r w:rsidRPr="007C73D7">
        <w:fldChar w:fldCharType="separate"/>
      </w:r>
      <w:r w:rsidR="008942DC" w:rsidRPr="007C73D7">
        <w:rPr>
          <w:noProof/>
        </w:rPr>
        <w:t>[2]</w:t>
      </w:r>
      <w:r w:rsidRPr="007C73D7">
        <w:fldChar w:fldCharType="end"/>
      </w:r>
      <w:r w:rsidR="00ED62D1" w:rsidRPr="007C73D7">
        <w:t xml:space="preserve">. </w:t>
      </w:r>
      <w:r w:rsidR="00B95199" w:rsidRPr="007C73D7">
        <w:t>T</w:t>
      </w:r>
      <w:r w:rsidR="00541E0C" w:rsidRPr="007C73D7">
        <w:t>he level and share of government (i.e</w:t>
      </w:r>
      <w:r w:rsidR="70B130FC" w:rsidRPr="007C73D7">
        <w:t>.,</w:t>
      </w:r>
      <w:r w:rsidR="00541E0C" w:rsidRPr="007C73D7">
        <w:t xml:space="preserve"> “public”) </w:t>
      </w:r>
      <w:r w:rsidR="00EB2089" w:rsidRPr="007C73D7">
        <w:t xml:space="preserve">health </w:t>
      </w:r>
      <w:r w:rsidR="00541E0C" w:rsidRPr="007C73D7">
        <w:t>expenditure</w:t>
      </w:r>
      <w:r w:rsidR="006A1235" w:rsidRPr="007C73D7">
        <w:t>,</w:t>
      </w:r>
      <w:r w:rsidR="003752BE" w:rsidRPr="007C73D7">
        <w:t xml:space="preserve"> </w:t>
      </w:r>
      <w:r w:rsidR="00541E0C" w:rsidRPr="007C73D7">
        <w:t>are often used as measures of</w:t>
      </w:r>
      <w:r w:rsidR="003752BE" w:rsidRPr="007C73D7">
        <w:t xml:space="preserve"> </w:t>
      </w:r>
      <w:r w:rsidR="00541E0C" w:rsidRPr="007C73D7">
        <w:t>health</w:t>
      </w:r>
      <w:r w:rsidR="003752BE" w:rsidRPr="007C73D7">
        <w:t xml:space="preserve"> </w:t>
      </w:r>
      <w:r w:rsidR="00541E0C" w:rsidRPr="007C73D7">
        <w:t>system</w:t>
      </w:r>
      <w:r w:rsidR="003752BE" w:rsidRPr="007C73D7">
        <w:t xml:space="preserve"> performance</w:t>
      </w:r>
      <w:r w:rsidR="00541E0C" w:rsidRPr="007C73D7">
        <w:t xml:space="preserve"> </w:t>
      </w:r>
      <w:r w:rsidRPr="007C73D7">
        <w:rPr>
          <w:rStyle w:val="FootnoteReference"/>
          <w:color w:val="000000" w:themeColor="text1"/>
        </w:rPr>
        <w:fldChar w:fldCharType="begin" w:fldLock="1"/>
      </w:r>
      <w:r w:rsidRPr="007C73D7">
        <w:rPr>
          <w:color w:val="000000" w:themeColor="text1"/>
        </w:rPr>
        <w:instrText>ADDIN CSL_CITATION {"citationItems":[{"id":"ITEM-1","itemData":{"author":[{"dropping-particle":"","family":"World Health Organization","given":"","non-dropping-particle":"","parse-names":false,"suffix":""}],"id":"ITEM-1","issued":{"date-parts":[["2010"]]},"publisher-place":"Geneva: World Health Organization","title":"The World Health Report 2010: Health Systems Financing: the Path to Universal Coverage.","type":"report"},"uris":["http://www.mendeley.com/documents/?uuid=a9db4f45-4517-45f1-887e-6ccfa97b064d"]}],"mendeley":{"formattedCitation":"[1]","plainTextFormattedCitation":"[1]","previouslyFormattedCitation":"[1]"},"properties":{"noteIndex":0},"schema":"https://github.com/citation-style-language/schema/raw/master/csl-citation.json"}</w:instrText>
      </w:r>
      <w:r w:rsidRPr="007C73D7">
        <w:rPr>
          <w:rStyle w:val="FootnoteReference"/>
          <w:color w:val="000000" w:themeColor="text1"/>
        </w:rPr>
        <w:fldChar w:fldCharType="separate"/>
      </w:r>
      <w:r w:rsidR="008942DC" w:rsidRPr="007C73D7">
        <w:rPr>
          <w:noProof/>
          <w:color w:val="000000" w:themeColor="text1"/>
        </w:rPr>
        <w:t>[1]</w:t>
      </w:r>
      <w:r w:rsidRPr="007C73D7">
        <w:rPr>
          <w:rStyle w:val="FootnoteReference"/>
          <w:color w:val="000000" w:themeColor="text1"/>
        </w:rPr>
        <w:fldChar w:fldCharType="end"/>
      </w:r>
      <w:r w:rsidR="00193133" w:rsidRPr="007C73D7">
        <w:rPr>
          <w:color w:val="000000" w:themeColor="text1"/>
        </w:rPr>
        <w:t>, with the</w:t>
      </w:r>
      <w:r w:rsidR="00541E0C" w:rsidRPr="007C73D7">
        <w:t xml:space="preserve"> expectation that </w:t>
      </w:r>
      <w:r w:rsidR="00193133" w:rsidRPr="007C73D7">
        <w:t xml:space="preserve">a </w:t>
      </w:r>
      <w:r w:rsidR="00541E0C" w:rsidRPr="007C73D7">
        <w:t>higher level and share of government health expenditure</w:t>
      </w:r>
      <w:r w:rsidR="00E43318" w:rsidRPr="007C73D7">
        <w:t xml:space="preserve"> improves </w:t>
      </w:r>
      <w:r w:rsidR="00541E0C" w:rsidRPr="007C73D7">
        <w:t xml:space="preserve">population health outcomes. </w:t>
      </w:r>
    </w:p>
    <w:p w14:paraId="7968BFB8" w14:textId="0A9B29C9" w:rsidR="00440092" w:rsidRPr="007C73D7" w:rsidRDefault="5FDAA211" w:rsidP="00440092">
      <w:r w:rsidRPr="007C73D7">
        <w:t>M</w:t>
      </w:r>
      <w:r w:rsidR="790DF7EA" w:rsidRPr="007C73D7">
        <w:t xml:space="preserve">any studies </w:t>
      </w:r>
      <w:r w:rsidR="154F11CF" w:rsidRPr="007C73D7">
        <w:t xml:space="preserve">have sought </w:t>
      </w:r>
      <w:r w:rsidR="790DF7EA" w:rsidRPr="007C73D7">
        <w:t xml:space="preserve">to </w:t>
      </w:r>
      <w:r w:rsidRPr="007C73D7">
        <w:t xml:space="preserve">empirically </w:t>
      </w:r>
      <w:r w:rsidR="790DF7EA" w:rsidRPr="007C73D7">
        <w:t>quantify the</w:t>
      </w:r>
      <w:r w:rsidR="597C4C1F" w:rsidRPr="007C73D7">
        <w:t xml:space="preserve"> causal</w:t>
      </w:r>
      <w:r w:rsidR="790DF7EA" w:rsidRPr="007C73D7">
        <w:t xml:space="preserve"> </w:t>
      </w:r>
      <w:r w:rsidR="154F11CF" w:rsidRPr="007C73D7">
        <w:t>effect</w:t>
      </w:r>
      <w:r w:rsidR="790DF7EA" w:rsidRPr="007C73D7">
        <w:t xml:space="preserve"> </w:t>
      </w:r>
      <w:r w:rsidR="6681F43B" w:rsidRPr="007C73D7">
        <w:t xml:space="preserve">of </w:t>
      </w:r>
      <w:r w:rsidR="790DF7EA" w:rsidRPr="007C73D7">
        <w:t xml:space="preserve">public health expenditure </w:t>
      </w:r>
      <w:r w:rsidR="6681F43B" w:rsidRPr="007C73D7">
        <w:t xml:space="preserve">on </w:t>
      </w:r>
      <w:r w:rsidR="71EC6FC9" w:rsidRPr="007C73D7">
        <w:t>population health indicators</w:t>
      </w:r>
      <w:r w:rsidRPr="007C73D7">
        <w:t xml:space="preserve"> – a</w:t>
      </w:r>
      <w:r w:rsidR="3139ACD1" w:rsidRPr="007C73D7">
        <w:t xml:space="preserve"> challenging</w:t>
      </w:r>
      <w:r w:rsidRPr="007C73D7">
        <w:t xml:space="preserve"> undertaking due to at least </w:t>
      </w:r>
      <w:r w:rsidR="0C495B3A" w:rsidRPr="007C73D7">
        <w:rPr>
          <w:color w:val="000000" w:themeColor="text1"/>
        </w:rPr>
        <w:t xml:space="preserve">two methodological </w:t>
      </w:r>
      <w:r w:rsidRPr="007C73D7">
        <w:rPr>
          <w:color w:val="000000" w:themeColor="text1"/>
        </w:rPr>
        <w:t>issues</w:t>
      </w:r>
      <w:r w:rsidR="0C495B3A" w:rsidRPr="007C73D7">
        <w:t xml:space="preserve">: first, as the result of </w:t>
      </w:r>
      <w:r w:rsidR="1D28AA94" w:rsidRPr="007C73D7">
        <w:t xml:space="preserve">the correlation </w:t>
      </w:r>
      <w:r w:rsidR="6543B108" w:rsidRPr="007C73D7">
        <w:t>of</w:t>
      </w:r>
      <w:r w:rsidR="1D28AA94" w:rsidRPr="007C73D7">
        <w:t xml:space="preserve"> </w:t>
      </w:r>
      <w:r w:rsidR="0C495B3A" w:rsidRPr="007C73D7">
        <w:t xml:space="preserve">unobserved </w:t>
      </w:r>
      <w:r w:rsidR="154F11CF" w:rsidRPr="007C73D7">
        <w:t>factors (confounders)</w:t>
      </w:r>
      <w:r w:rsidR="0C495B3A" w:rsidRPr="007C73D7">
        <w:t xml:space="preserve"> </w:t>
      </w:r>
      <w:r w:rsidR="6543B108" w:rsidRPr="007C73D7">
        <w:t>with</w:t>
      </w:r>
      <w:r w:rsidR="0C495B3A" w:rsidRPr="007C73D7">
        <w:t xml:space="preserve"> </w:t>
      </w:r>
      <w:r w:rsidR="154F11CF" w:rsidRPr="007C73D7">
        <w:t>the level of</w:t>
      </w:r>
      <w:r w:rsidR="0C495B3A" w:rsidRPr="007C73D7">
        <w:t xml:space="preserve"> spending and </w:t>
      </w:r>
      <w:r w:rsidR="154F11CF" w:rsidRPr="007C73D7">
        <w:t>the outcomes of interest</w:t>
      </w:r>
      <w:r w:rsidR="0C495B3A" w:rsidRPr="007C73D7">
        <w:t xml:space="preserve">, and second, </w:t>
      </w:r>
      <w:r w:rsidR="3139ACD1" w:rsidRPr="007C73D7">
        <w:t>because</w:t>
      </w:r>
      <w:r w:rsidR="0C495B3A" w:rsidRPr="007C73D7">
        <w:t xml:space="preserve"> of reverse causation, to the extent that countries may respond to health challenges by increasing investments in health</w:t>
      </w:r>
      <w:r w:rsidR="350F3B49" w:rsidRPr="007C73D7">
        <w:t xml:space="preserve"> </w:t>
      </w:r>
      <w:r w:rsidR="006E29D4" w:rsidRPr="007C73D7">
        <w:rPr>
          <w:rStyle w:val="FootnoteReference"/>
        </w:rPr>
        <w:fldChar w:fldCharType="begin" w:fldLock="1"/>
      </w:r>
      <w:r w:rsidR="006E29D4" w:rsidRPr="007C73D7">
        <w:instrText>ADDIN CSL_CITATION {"citationItems":[{"id":"ITEM-1","itemData":{"abstract":"Abstract-An essential ingredient in the evaluation of policies concerning health services is knowledge of the impact of health services and other factors on the health of the population. One method of obtaining this information is from the regression analysis of international cross-section data on mortality rates, health service provision, income levels, consumption patterns, and other variables hypothesised to affect population health. The investigation of the determinants of population health is in many ways akin to the estimation of production functions which describe the relationship between the output of goods or services and the mix of inputs used in their production. The purpose of our paper is to use this analogy to discuss, and provide examples of, the problems which arise with the statistical investigation of mortality rates. Issues raised include simultanecus equation bias, multicollinearity, selection of explanatory variables, omitted variable bias, definition and measurement of variables, functional forms, lagged relationships and temporal stability. These problems are illustrated by replication and re-analysis, using new data, of the well known study by Cochrane, St Leger and Moore","author":[{"dropping-particle":"","family":"Gravelle","given":"H.S.E","non-dropping-particle":"","parse-names":false,"suffix":""},{"dropping-particle":"","family":"Backhouse","given":"M.E","non-dropping-particle":"","parse-names":false,"suffix":""}],"container-title":"Social Science and Medicine","id":"ITEM-1","issue":"5","issued":{"date-parts":[["1987"]]},"page":"427-441","title":"International Cross-Section Analysis of the Determination of Mortality","type":"article-journal","volume":"25"},"uris":["http://www.mendeley.com/documents/?uuid=d075365c-4d3e-465d-b2a9-f4dd97891936"]}],"mendeley":{"formattedCitation":"[3]","plainTextFormattedCitation":"[3]","previouslyFormattedCitation":"[3]"},"properties":{"noteIndex":0},"schema":"https://github.com/citation-style-language/schema/raw/master/csl-citation.json"}</w:instrText>
      </w:r>
      <w:r w:rsidR="006E29D4" w:rsidRPr="007C73D7">
        <w:rPr>
          <w:rStyle w:val="FootnoteReference"/>
        </w:rPr>
        <w:fldChar w:fldCharType="separate"/>
      </w:r>
      <w:r w:rsidR="7580207A" w:rsidRPr="007C73D7">
        <w:rPr>
          <w:noProof/>
        </w:rPr>
        <w:t>[3]</w:t>
      </w:r>
      <w:r w:rsidR="006E29D4" w:rsidRPr="007C73D7">
        <w:rPr>
          <w:rStyle w:val="FootnoteReference"/>
        </w:rPr>
        <w:fldChar w:fldCharType="end"/>
      </w:r>
      <w:r w:rsidR="0C495B3A" w:rsidRPr="007C73D7">
        <w:t>. Hence, e</w:t>
      </w:r>
      <w:r w:rsidR="7CB575C8" w:rsidRPr="007C73D7">
        <w:t xml:space="preserve">arlier studies </w:t>
      </w:r>
      <w:r w:rsidR="4A226D14" w:rsidRPr="007C73D7">
        <w:t>using</w:t>
      </w:r>
      <w:r w:rsidR="73B8FC1A" w:rsidRPr="007C73D7">
        <w:t xml:space="preserve"> country-level cross-sectional data</w:t>
      </w:r>
      <w:r w:rsidR="4A226D14" w:rsidRPr="007C73D7">
        <w:t xml:space="preserve"> </w:t>
      </w:r>
      <w:r w:rsidR="00E07A73" w:rsidRPr="007C73D7">
        <w:t xml:space="preserve">have </w:t>
      </w:r>
      <w:r w:rsidRPr="007C73D7">
        <w:t xml:space="preserve">typically </w:t>
      </w:r>
      <w:r w:rsidR="7CB575C8" w:rsidRPr="007C73D7">
        <w:t xml:space="preserve">found health expenditure to have little </w:t>
      </w:r>
      <w:r w:rsidRPr="007C73D7">
        <w:t>‘</w:t>
      </w:r>
      <w:r w:rsidR="7CB575C8" w:rsidRPr="007C73D7">
        <w:t>impact</w:t>
      </w:r>
      <w:r w:rsidRPr="007C73D7">
        <w:t>’</w:t>
      </w:r>
      <w:r w:rsidR="7CB575C8" w:rsidRPr="007C73D7">
        <w:t>, if any at all, on population health indicators</w:t>
      </w:r>
      <w:r w:rsidR="0C495B3A" w:rsidRPr="007C73D7">
        <w:t xml:space="preserve"> </w:t>
      </w:r>
      <w:r w:rsidR="006E29D4" w:rsidRPr="007C73D7">
        <w:rPr>
          <w:rStyle w:val="FootnoteReference"/>
        </w:rPr>
        <w:fldChar w:fldCharType="begin" w:fldLock="1"/>
      </w:r>
      <w:r w:rsidR="006E29D4" w:rsidRPr="007C73D7">
        <w:instrText>ADDIN CSL_CITATION {"citationItems":[{"id":"ITEM-1","itemData":{"abstract":"This study is an attempt to examine the relative importance of health care resources in predicting infant mortality within industrialized, developing, and underdeveloped countries. The analyses were based on the data of 117 countries. Findings from this study suggest that health resources as a whole do not make a significant contribution to accounting for the variance of infant mortality rates over and above the variance accounted for by socioeconomic resources only. The contribution of health resources to the health of the population as a whole is really rather small in comparison to the role of socioeconomic resources.","author":[{"dropping-particle":"","family":"Kim","given":"Kwangkee","non-dropping-particle":"","parse-names":false,"suffix":""},{"dropping-particle":"","family":"Moody","given":"Philip M","non-dropping-particle":"","parse-names":false,"suffix":""}],"container-title":"Social Science &amp;amp; Medicine","id":"ITEM-1","issue":"8","issued":{"date-parts":[["1992"]]},"page":"837-842","title":"More resources better health? A cross-national perspective","type":"article-journal","volume":"34"},"uris":["http://www.mendeley.com/documents/?uuid=3b13c8b3-bbf7-4eed-a965-072c444c226d"]},{"id":"ITEM-2","itemData":{"DOI":"10.1016/S0277-9536(99)00150-1","ISSN":"02779536","PMID":"10509822","abstract":"We use cross-national data to examine the impact of both public spending on health and non-health factors (economic, educational, cultural) in determining child (under-5) and infant mortality. There are two striking findings. First, the impact of public spending on health is quite small, with a coefficient that is typically both numerically small and statistically insignificant at conventional levels. Independent variation in public spending explains less than one-seventh of 1% of the observed differences in mortality across countries. The estimates imply that for a developing country at average income levels the actual public spending per child death averted is $50,000-100,000. This stands in marked contrast to the typical range of estimates of the cost effectiveness of medical interventions to avert the largest causes of child mortality in developing countries, which is $10-4000. We outline three possible explanations for this divergence of the actual and apparent potential of public spending. Second, whereas health spending is not a powerful determinant of mortality, 95% of cross-national variation in mortality can be explained by a country's income per capita, inequality of income distribution, extent of female education, level of ethnic fragmentation, and predominant religion.","author":[{"dropping-particle":"","family":"Filmer","given":"Deon","non-dropping-particle":"","parse-names":false,"suffix":""},{"dropping-particle":"","family":"Pritchett","given":"Lant","non-dropping-particle":"","parse-names":false,"suffix":""}],"container-title":"Social Science and Medicine","id":"ITEM-2","issue":"10","issued":{"date-parts":[["1999"]]},"page":"1309-1323","title":"The impact of public spending on health: Does money matter?","type":"article-journal","volume":"49"},"uris":["http://www.mendeley.com/documents/?uuid=67e80e74-8683-4b5c-aadb-4df325ff3f8e"]}],"mendeley":{"formattedCitation":"[4,5]","plainTextFormattedCitation":"[4,5]","previouslyFormattedCitation":"[4,5]"},"properties":{"noteIndex":0},"schema":"https://github.com/citation-style-language/schema/raw/master/csl-citation.json"}</w:instrText>
      </w:r>
      <w:r w:rsidR="006E29D4" w:rsidRPr="007C73D7">
        <w:rPr>
          <w:rStyle w:val="FootnoteReference"/>
        </w:rPr>
        <w:fldChar w:fldCharType="separate"/>
      </w:r>
      <w:r w:rsidR="7580207A" w:rsidRPr="007C73D7">
        <w:rPr>
          <w:noProof/>
        </w:rPr>
        <w:t>[4,5]</w:t>
      </w:r>
      <w:r w:rsidR="006E29D4" w:rsidRPr="007C73D7">
        <w:rPr>
          <w:rStyle w:val="FootnoteReference"/>
        </w:rPr>
        <w:fldChar w:fldCharType="end"/>
      </w:r>
      <w:r w:rsidR="73B8FC1A" w:rsidRPr="007C73D7">
        <w:t>.</w:t>
      </w:r>
      <w:r w:rsidR="2759C1F1" w:rsidRPr="007C73D7">
        <w:t xml:space="preserve"> M</w:t>
      </w:r>
      <w:r w:rsidR="790DF7EA" w:rsidRPr="007C73D7">
        <w:t>ore recent studies, while still using aggregate data, utilise instrumental variables to address</w:t>
      </w:r>
      <w:r w:rsidR="2759C1F1" w:rsidRPr="007C73D7">
        <w:t xml:space="preserve"> </w:t>
      </w:r>
      <w:r w:rsidR="790DF7EA" w:rsidRPr="007C73D7">
        <w:t xml:space="preserve">endogeneity concerns, and have often detected a positive, substantive effect </w:t>
      </w:r>
      <w:r w:rsidR="006E29D4" w:rsidRPr="007C73D7">
        <w:rPr>
          <w:rStyle w:val="FootnoteReference"/>
        </w:rPr>
        <w:fldChar w:fldCharType="begin" w:fldLock="1"/>
      </w:r>
      <w:r w:rsidR="006E29D4" w:rsidRPr="007C73D7">
        <w:instrText>ADDIN CSL_CITATION {"citationItems":[{"id":"ITEM-1","itemData":{"DOI":"10.1002/hec","abstract":"This paper provides econometric evidence linking a country’s per capita government health expenditures and per capita income to two health outcomes: under-five mortality and maternal mortality. Using instrumental variables techniques (GMM-H2SL), we estimate the elasticity of these outcomes with respect to government health expenditures and income while treating both variables as endogenous. Consequently, our elasticity estimates are larger in magnitude than those reported in literature, which may be biased up. The elasticity of under-five mortality with respect to government expenditures ranges from ?0:25 to ?0:42 with a mean value of ?0:33: For maternal mortality the elasticity ranges from ?0:42 to ?0:52 with a mean value of ?0:50: For developing countries, our results imply that while economic growth is certainly an important contributor to health outcomes, government spending on health is just as important a factor.","author":[{"dropping-particle":"","family":"Bokhari","given":"Farasat A","non-dropping-particle":"","parse-names":false,"suffix":""},{"dropping-particle":"","family":"Gai","given":"Yunwei","non-dropping-particle":"","parse-names":false,"suffix":""},{"dropping-particle":"","family":"Gottret","given":"Pablo","non-dropping-particle":"","parse-names":false,"suffix":""}],"container-title":"Health Economics","id":"ITEM-1","issued":{"date-parts":[["2007"]]},"page":"257-273","title":"Government health expenditures and health outcomes","type":"article-journal","volume":"16"},"uris":["http://www.mendeley.com/documents/?uuid=bf59fa25-f35b-483f-94c4-4e6ff6ca5406"]},{"id":"ITEM-2","itemData":{"DOI":"10.1002/jid.3326","ISSN":"10991328","abstract":"Over the past two decades, there has been unprecedented attention to the promotion of human development via government spending in the social sectors as a conditio sine qua non for economic growth and improved aggregate welfare. Yet the existing evidence on the subject remains limited and contested. This paper contributes to the literature by examining the causal effect of government spending on the social sectors (health, education and social protection) on three measures of aggregate welfare: the Human Development Index, the Inequality-adjusted Human Development Index and child mortality rates, using longitudinal data from 55 low-income and middle-income countries from 1990 to 2009. We find strong evidence to support the proposition that government social spending has played a significant role in improving aggregate welfare in the developing world. Our results are fairly robust to, inter alia, the method of estimation, the set of control variables and the use of alternative samples and instruments. © 2017 UNU-WIDER. Journal of International Development published by John Wiley &amp; Sons, Ltd.","author":[{"dropping-particle":"","family":"Haile","given":"Fiseha","non-dropping-particle":"","parse-names":false,"suffix":""},{"dropping-particle":"","family":"Niño-Zarazúa","given":"Miguel","non-dropping-particle":"","parse-names":false,"suffix":""}],"container-title":"Journal of International Development","id":"ITEM-2","issue":"3","issued":{"date-parts":[["2018"]]},"page":"367-398","title":"Does Social Spending Improve Welfare in Low-income and Middle-income Countries?","type":"article-journal","volume":"30"},"uris":["http://www.mendeley.com/documents/?uuid=29bba672-937b-42e3-90b5-956b147d0e46"]},{"id":"ITEM-3","itemData":{"DOI":"10.1111/rssa.12048","ISSN":"1467985X","abstract":"Summary: Progress towards universal health coverage involves providing people with access to needed health services without entailing financial hardship and is often advocated on the grounds that it improves population health. The paper offers econometric evidence on the effects of health coverage on mortality outcomes at the national level. We use a large panel data set of countries, examined by using instrumental variable specifications that explicitly allow for potential reverse causality and unobserved country-specific characteristics. We employ various proxies for the coverage level in a health system. Our results indicate that expanded health coverage, particularly through higher levels of publicly funded health spending, results in lower child and adult mortality, with the beneficial effect on child mortality being larger in poorer countries.","author":[{"dropping-particle":"","family":"Moreno-Serra","given":"Rodrigo","non-dropping-particle":"","parse-names":false,"suffix":""},{"dropping-particle":"","family":"Smith","given":"Peter C.","non-dropping-particle":"","parse-names":false,"suffix":""}],"container-title":"Journal of the Royal Statistical Society. Series A: Statistics in Society","id":"ITEM-3","issue":"1","issued":{"date-parts":[["2015"]]},"page":"101-124","title":"Broader health coverage is good for the nation's health: Evidence from country level panel data","type":"article-journal","volume":"178"},"uris":["http://www.mendeley.com/documents/?uuid=4101c8d0-c058-43d0-9843-895d81a7c401"]}],"mendeley":{"formattedCitation":"[2,6,7]","plainTextFormattedCitation":"[2,6,7]","previouslyFormattedCitation":"[2,6,7]"},"properties":{"noteIndex":0},"schema":"https://github.com/citation-style-language/schema/raw/master/csl-citation.json"}</w:instrText>
      </w:r>
      <w:r w:rsidR="006E29D4" w:rsidRPr="007C73D7">
        <w:rPr>
          <w:rStyle w:val="FootnoteReference"/>
        </w:rPr>
        <w:fldChar w:fldCharType="separate"/>
      </w:r>
      <w:r w:rsidR="7580207A" w:rsidRPr="007C73D7">
        <w:rPr>
          <w:noProof/>
        </w:rPr>
        <w:t>[2,6,7]</w:t>
      </w:r>
      <w:r w:rsidR="006E29D4" w:rsidRPr="007C73D7">
        <w:rPr>
          <w:rStyle w:val="FootnoteReference"/>
        </w:rPr>
        <w:fldChar w:fldCharType="end"/>
      </w:r>
      <w:r w:rsidR="790DF7EA" w:rsidRPr="007C73D7">
        <w:t>. Yet</w:t>
      </w:r>
      <w:r w:rsidR="4A226D14" w:rsidRPr="007C73D7">
        <w:t>,</w:t>
      </w:r>
      <w:r w:rsidR="790DF7EA" w:rsidRPr="007C73D7">
        <w:t xml:space="preserve"> these studies may be limited by the large heterogeneity between countries</w:t>
      </w:r>
      <w:r w:rsidR="3139ACD1" w:rsidRPr="007C73D7">
        <w:t xml:space="preserve"> that is hard to control for with country-level data alone.</w:t>
      </w:r>
      <w:r w:rsidR="183328C8" w:rsidRPr="007C73D7">
        <w:t xml:space="preserve"> </w:t>
      </w:r>
      <w:r w:rsidR="006E29D4" w:rsidRPr="007C73D7">
        <w:rPr>
          <w:rStyle w:val="FootnoteReference"/>
        </w:rPr>
        <w:fldChar w:fldCharType="begin" w:fldLock="1"/>
      </w:r>
      <w:r w:rsidR="006E29D4" w:rsidRPr="007C73D7">
        <w:instrText>ADDIN CSL_CITATION {"citationItems":[{"id":"ITEM-1","itemData":{"abstract":"Abstract-An essential ingredient in the evaluation of policies concerning health services is knowledge of the impact of health services and other factors on the health of the population. One method of obtaining this information is from the regression analysis of international cross-section data on mortality rates, health service provision, income levels, consumption patterns, and other variables hypothesised to affect population health. The investigation of the determinants of population health is in many ways akin to the estimation of production functions which describe the relationship between the output of goods or services and the mix of inputs used in their production. The purpose of our paper is to use this analogy to discuss, and provide examples of, the problems which arise with the statistical investigation of mortality rates. Issues raised include simultanecus equation bias, multicollinearity, selection of explanatory variables, omitted variable bias, definition and measurement of variables, functional forms, lagged relationships and temporal stability. These problems are illustrated by replication and re-analysis, using new data, of the well known study by Cochrane, St Leger and Moore","author":[{"dropping-particle":"","family":"Gravelle","given":"H.S.E","non-dropping-particle":"","parse-names":false,"suffix":""},{"dropping-particle":"","family":"Backhouse","given":"M.E","non-dropping-particle":"","parse-names":false,"suffix":""}],"container-title":"Social Science and Medicine","id":"ITEM-1","issue":"5","issued":{"date-parts":[["1987"]]},"page":"427-441","title":"International Cross-Section Analysis of the Determination of Mortality","type":"article-journal","volume":"25"},"uris":["http://www.mendeley.com/documents/?uuid=d075365c-4d3e-465d-b2a9-f4dd97891936"]},{"id":"ITEM-2","itemData":{"DOI":"10.1016/j.socscimed.2017.02.024","ISSN":"18735347","PMID":"28237460","abstract":"While numerous studies assess the impact of healthcare spending on health outcomes, typically reporting multiple estimates of the elasticity of health outcomes (most often measured by a mortality rate or life expectancy) with respect to healthcare spending, the extent to which study attributes influence these elasticity estimates is unclear. Accordingly, we utilize a meta-data set (consisting of 65 studies completed over the 1969–2014 period) to examine these elasticity estimates using meta-regression analysis (MRA). Correcting for a number of issues, including publication selection bias, healthcare spending is found to have the greatest impact on the mortality rate compared to life expectancy. Indeed, conditional on several features of the literature, the spending elasticity for mortality is near −0.13, whereas it is near to +0.04 for life expectancy. MRA results reveal that the spending elasticity for the mortality rate is particularly sensitive to data aggregation, the specification of the health production function, and the nature of healthcare spending. The spending elasticity for life expectancy is particularly sensitive to the age at which life expectancy is measured, as well as the decision to control for the endogeneity of spending in the health production function. With such results in hand, we have a better understanding of how modeling choices influence results reported in this literature.","author":[{"dropping-particle":"","family":"Gallet","given":"Craig A.","non-dropping-particle":"","parse-names":false,"suffix":""},{"dropping-particle":"","family":"Doucouliagos","given":"Hristos","non-dropping-particle":"","parse-names":false,"suffix":""}],"container-title":"Social Science and Medicine","id":"ITEM-2","issued":{"date-parts":[["2017"]]},"page":"9-17","title":"The impact of healthcare spending on health outcomes: A meta-regression analysis","type":"article-journal","volume":"179"},"uris":["http://www.mendeley.com/documents/?uuid=77d88851-da67-4d83-9db7-982220340896"]}],"mendeley":{"formattedCitation":"[3,8]","plainTextFormattedCitation":"[3,8]","previouslyFormattedCitation":"[3,8]"},"properties":{"noteIndex":0},"schema":"https://github.com/citation-style-language/schema/raw/master/csl-citation.json"}</w:instrText>
      </w:r>
      <w:r w:rsidR="006E29D4" w:rsidRPr="007C73D7">
        <w:rPr>
          <w:rStyle w:val="FootnoteReference"/>
        </w:rPr>
        <w:fldChar w:fldCharType="separate"/>
      </w:r>
      <w:r w:rsidR="183328C8" w:rsidRPr="007C73D7">
        <w:rPr>
          <w:noProof/>
        </w:rPr>
        <w:t>[3,8]</w:t>
      </w:r>
      <w:r w:rsidR="006E29D4" w:rsidRPr="007C73D7">
        <w:rPr>
          <w:rStyle w:val="FootnoteReference"/>
        </w:rPr>
        <w:fldChar w:fldCharType="end"/>
      </w:r>
      <w:r w:rsidR="3139ACD1" w:rsidRPr="007C73D7">
        <w:t xml:space="preserve"> </w:t>
      </w:r>
      <w:r w:rsidR="2759C1F1" w:rsidRPr="007C73D7">
        <w:t xml:space="preserve"> </w:t>
      </w:r>
      <w:r w:rsidR="3139ACD1" w:rsidRPr="007C73D7">
        <w:t xml:space="preserve">This suggests </w:t>
      </w:r>
      <w:r w:rsidR="2759C1F1" w:rsidRPr="007C73D7">
        <w:t xml:space="preserve">a need </w:t>
      </w:r>
      <w:r w:rsidR="3139ACD1" w:rsidRPr="007C73D7">
        <w:t xml:space="preserve">for </w:t>
      </w:r>
      <w:r w:rsidR="2759C1F1" w:rsidRPr="007C73D7">
        <w:t>more granular evidence</w:t>
      </w:r>
      <w:r w:rsidR="3139ACD1" w:rsidRPr="007C73D7">
        <w:t>, ideally</w:t>
      </w:r>
      <w:r w:rsidR="2759C1F1" w:rsidRPr="007C73D7">
        <w:t xml:space="preserve"> </w:t>
      </w:r>
      <w:r w:rsidR="790DF7EA" w:rsidRPr="007C73D7">
        <w:t>us</w:t>
      </w:r>
      <w:r w:rsidR="3139ACD1" w:rsidRPr="007C73D7">
        <w:t>ing</w:t>
      </w:r>
      <w:r w:rsidR="790DF7EA" w:rsidRPr="007C73D7">
        <w:t xml:space="preserve"> </w:t>
      </w:r>
      <w:r w:rsidR="6543B108" w:rsidRPr="007C73D7">
        <w:t>within-country</w:t>
      </w:r>
      <w:r w:rsidR="4A226D14" w:rsidRPr="007C73D7">
        <w:t xml:space="preserve"> (subnational)</w:t>
      </w:r>
      <w:r w:rsidR="6543B108" w:rsidRPr="007C73D7">
        <w:t xml:space="preserve"> </w:t>
      </w:r>
      <w:r w:rsidR="790DF7EA" w:rsidRPr="007C73D7">
        <w:t>data</w:t>
      </w:r>
      <w:r w:rsidR="2759C1F1" w:rsidRPr="007C73D7">
        <w:t xml:space="preserve">, </w:t>
      </w:r>
      <w:r w:rsidR="790DF7EA" w:rsidRPr="007C73D7">
        <w:t>exploit</w:t>
      </w:r>
      <w:r w:rsidR="2759C1F1" w:rsidRPr="007C73D7">
        <w:t>ing</w:t>
      </w:r>
      <w:r w:rsidR="790DF7EA" w:rsidRPr="007C73D7">
        <w:t xml:space="preserve"> geographical and temporal variation in public health expenditure due to countries’ decentralised health financing systems</w:t>
      </w:r>
      <w:r w:rsidR="49F75D5F" w:rsidRPr="007C73D7">
        <w:t xml:space="preserve"> </w:t>
      </w:r>
      <w:r w:rsidR="006E29D4" w:rsidRPr="007C73D7">
        <w:rPr>
          <w:rStyle w:val="FootnoteReference"/>
        </w:rPr>
        <w:fldChar w:fldCharType="begin" w:fldLock="1"/>
      </w:r>
      <w:r w:rsidR="006E29D4" w:rsidRPr="007C73D7">
        <w:instrText>ADDIN CSL_CITATION {"citationItems":[{"id":"ITEM-1","itemData":{"DOI":"10.1080/00220388.2016.1241384","ISSN":"17439140","abstract":"Using a panel data set of Indian states between 1983–1984 and 2011–2012, this paper studies the impact of public health expenditure on the infant mortality rate (IMR), after controlling for other relevant covariates like political competition, per capita income, female literacy, and urbanisation. We find that public expenditure on health care reduces the IMR. Our baseline specification shows that an increase in public health expenditure by 1 per cent of state-level net domestic product is associated with a reduction in the IMR by about nine infant deaths per 1000 live births. We also find that political competition, female literacy and urbanisation reduce the IMR.","author":[{"dropping-particle":"","family":"Barenberg","given":"Andrew J.","non-dropping-particle":"","parse-names":false,"suffix":""},{"dropping-particle":"","family":"Basu","given":"Deepankar","non-dropping-particle":"","parse-names":false,"suffix":""},{"dropping-particle":"","family":"Soylu","given":"Ceren","non-dropping-particle":"","parse-names":false,"suffix":""}],"container-title":"Journal of Development Studies","id":"ITEM-1","issue":"10","issued":{"date-parts":[["2017"]]},"page":"1765-1784","title":"The Effect of Public Health Expenditure on Infant Mortality: Evidence from a Panel of Indian States, 1983–1984 to 2011–2012","type":"article-journal","volume":"53"},"uris":["http://www.mendeley.com/documents/?uuid=471dd499-c26a-4c84-a6ed-5bd9cf7c3ca0"]}],"mendeley":{"formattedCitation":"[9]","plainTextFormattedCitation":"[9]","previouslyFormattedCitation":"[9]"},"properties":{"noteIndex":0},"schema":"https://github.com/citation-style-language/schema/raw/master/csl-citation.json"}</w:instrText>
      </w:r>
      <w:r w:rsidR="006E29D4" w:rsidRPr="007C73D7">
        <w:rPr>
          <w:rStyle w:val="FootnoteReference"/>
        </w:rPr>
        <w:fldChar w:fldCharType="separate"/>
      </w:r>
      <w:r w:rsidR="7580207A" w:rsidRPr="007C73D7">
        <w:rPr>
          <w:noProof/>
        </w:rPr>
        <w:t>[9]</w:t>
      </w:r>
      <w:r w:rsidR="006E29D4" w:rsidRPr="007C73D7">
        <w:rPr>
          <w:rStyle w:val="FootnoteReference"/>
        </w:rPr>
        <w:fldChar w:fldCharType="end"/>
      </w:r>
      <w:r w:rsidR="790DF7EA" w:rsidRPr="007C73D7">
        <w:t>.</w:t>
      </w:r>
      <w:r w:rsidR="6FA98B10" w:rsidRPr="007C73D7">
        <w:t xml:space="preserve"> </w:t>
      </w:r>
      <w:r w:rsidR="3139ACD1" w:rsidRPr="007C73D7">
        <w:t xml:space="preserve">The use of </w:t>
      </w:r>
      <w:r w:rsidR="225EA5D1" w:rsidRPr="007C73D7">
        <w:t xml:space="preserve">subnational data </w:t>
      </w:r>
      <w:r w:rsidR="17931CEB" w:rsidRPr="007C73D7">
        <w:t xml:space="preserve">by itself </w:t>
      </w:r>
      <w:r w:rsidR="3139ACD1" w:rsidRPr="007C73D7">
        <w:t xml:space="preserve">does of course not </w:t>
      </w:r>
      <w:r w:rsidR="17931CEB" w:rsidRPr="007C73D7">
        <w:t xml:space="preserve">solve the problem of potential </w:t>
      </w:r>
      <w:r w:rsidR="225EA5D1" w:rsidRPr="007C73D7">
        <w:t xml:space="preserve">endogeneity </w:t>
      </w:r>
      <w:r w:rsidR="17931CEB" w:rsidRPr="007C73D7">
        <w:t xml:space="preserve">in </w:t>
      </w:r>
      <w:r w:rsidR="225EA5D1" w:rsidRPr="007C73D7">
        <w:t>health spending</w:t>
      </w:r>
      <w:r w:rsidR="4BCF202B" w:rsidRPr="007C73D7">
        <w:t>. Likewise</w:t>
      </w:r>
      <w:r w:rsidR="183328C8" w:rsidRPr="007C73D7">
        <w:t>,</w:t>
      </w:r>
      <w:r w:rsidR="4BCF202B" w:rsidRPr="007C73D7">
        <w:t xml:space="preserve"> there remains the </w:t>
      </w:r>
      <w:r w:rsidR="225EA5D1" w:rsidRPr="007C73D7">
        <w:t xml:space="preserve">challenge </w:t>
      </w:r>
      <w:r w:rsidR="4BCF202B" w:rsidRPr="007C73D7">
        <w:t xml:space="preserve">to take into account the </w:t>
      </w:r>
      <w:r w:rsidR="225EA5D1" w:rsidRPr="007C73D7">
        <w:t xml:space="preserve">dynamic nature of the relationship </w:t>
      </w:r>
      <w:r w:rsidR="49A61EC3" w:rsidRPr="007C73D7">
        <w:t>among health spending and health outcomes (i.e</w:t>
      </w:r>
      <w:r w:rsidR="5199FCE5" w:rsidRPr="007C73D7">
        <w:t>.,</w:t>
      </w:r>
      <w:r w:rsidR="49A61EC3" w:rsidRPr="007C73D7">
        <w:t xml:space="preserve"> health </w:t>
      </w:r>
      <w:r w:rsidR="0E7A6BFF" w:rsidRPr="007C73D7">
        <w:t>indicators are affected not only by current but also previous spending decisions [3, 10]</w:t>
      </w:r>
      <w:r w:rsidR="49A61EC3" w:rsidRPr="007C73D7">
        <w:t xml:space="preserve">), as a misspecification of such relationship </w:t>
      </w:r>
      <w:r w:rsidR="225EA5D1" w:rsidRPr="007C73D7">
        <w:t>can result in an underestimation of the effect of health spending on health outcomes</w:t>
      </w:r>
      <w:r w:rsidR="45FF05E1" w:rsidRPr="007C73D7">
        <w:t xml:space="preserve"> </w:t>
      </w:r>
      <w:r w:rsidR="006E29D4" w:rsidRPr="007C73D7">
        <w:fldChar w:fldCharType="begin" w:fldLock="1"/>
      </w:r>
      <w:r w:rsidR="006E29D4" w:rsidRPr="007C73D7">
        <w:instrText>ADDIN CSL_CITATION {"citationItems":[{"id":"ITEM-1","itemData":{"DOI":"10.1007/s40273-021-01087-6","ISBN":"0123456789","ISSN":"11792027","PMID":"34585359","abstract":"Many health technology assessment committees have an explicit or implicit reference value (often referred to as a ‘threshold’) below which new health technologies or interventions are considered value for money. The basis for these reference values is unclear but one argument is that it should be based on the health opportunity costs of funding decisions. Empirical estimates of the marginal cost per unit of health produced by a healthcare system have been proposed to capture the health opportunity costs of new funding decisions. Based on a systematic search, we identified eight studies that have sought to estimate a reference value through empirical estimation of the marginal cost per unit of health produced by a healthcare system for England, Spain, Australia, The Netherlands, Sweden, South Africa and China. We review these eight studies to provide an overview of the key methodological approaches taken to estimate the marginal cost per unit of health produced by the healthcare system with the aim to help inform future estimates for additional countries. The lead author for each of these papers was invited to contribute to the current paper to ensure all the key methodological issues encountered were appropriately captured. These included consideration of the key variables required and their measurement, accounting for endogeneity of spending to health outcomes, the inclusion of lagged spending, discounting and future costs, the use of analytical weights, level of disease aggregation, expected duration of health gains, and modelling approaches to estimating mortality and morbidity effects of health spending. Subsequent research estimates for additional countries should (1) carefully consider the specific context and data available, (2) clearly and transparently report the assumptions made and include stakeholder perspectives on their appropriateness and acceptability, and (3) assess the sensitivity of the preferred central estimate to these assumptions.","author":[{"dropping-particle":"","family":"Edney","given":"Laura C.","non-dropping-particle":"","parse-names":false,"suffix":""},{"dropping-particle":"","family":"Lomas","given":"James","non-dropping-particle":"","parse-names":false,"suffix":""},{"dropping-particle":"","family":"Karnon","given":"Jonathan","non-dropping-particle":"","parse-names":false,"suffix":""},{"dropping-particle":"","family":"Vallejo-Torres","given":"Laura","non-dropping-particle":"","parse-names":false,"suffix":""},{"dropping-particle":"","family":"Stadhouders","given":"Niek","non-dropping-particle":"","parse-names":false,"suffix":""},{"dropping-particle":"","family":"Siverskog","given":"Jonathan","non-dropping-particle":"","parse-names":false,"suffix":""},{"dropping-particle":"","family":"Paulden","given":"Mike","non-dropping-particle":"","parse-names":false,"suffix":""},{"dropping-particle":"","family":"Edoka","given":"Ijeoma P.","non-dropping-particle":"","parse-names":false,"suffix":""},{"dropping-particle":"","family":"Ochalek","given":"Jessica","non-dropping-particle":"","parse-names":false,"suffix":""}],"container-title":"PharmacoEconomics","id":"ITEM-1","issue":"1","issued":{"date-parts":[["2022"]]},"page":"31-43","publisher":"Springer International Publishing","title":"Empirical Estimates of the Marginal Cost of Health Produced by a Healthcare System: Methodological Considerations from Country-Level Estimates","type":"article-journal","volume":"40"},"uris":["http://www.mendeley.com/documents/?uuid=d5f50760-71d0-48f0-94cc-d3f036bdaec1"]},{"id":"ITEM-2","itemData":{"DOI":"10.1002/hec","abstract":"In 2004, California became the first state to implement statewide minimum nurse-to-patient ratios in general hospitals. In spite of years of work to establish statewide staffing regulations, there is little evidence that the law was effective in attracting more nurses to the hospital workforce or improving patient outcomes. This paper examines the effects of this legislation on employment and wages of registered nurses. By using annual financial data from California hospitals, I show that nurse-to-patient ratios in medical/surgical units increased substantially following the staffing mandate. However, survey data from two nationally representative datasets indicate that the law had no effect on the aggregate number of registered nurses or the hours they worked in California hospitals, and at most a modest effect on wages. My findings suggest that offsetting changes in labor demand due to hospital closures, combined with reclassification of workers within hospitals, and mitigated the employment effects of California's staffing regulation. This paper cautions that California's experience with minimum nurse staffing legislation may not be generalizable to states considering similar policies in very different hospital markets. Copyright © 2013 John Wiley &amp; Sons, Ltd. Copyright © 2013 John Wiley &amp; Sons, Ltd.","author":[{"dropping-particle":"","family":"Bhalotra","given":"Sonia","non-dropping-particle":"","parse-names":false,"suffix":""}],"container-title":"Health Economics","id":"ITEM-2","issued":{"date-parts":[["2007"]]},"page":"911-928","title":"Spending to save? State health expenditure and infant mortality in India","type":"article-journal","volume":"16"},"uris":["http://www.mendeley.com/documents/?uuid=050ccfed-3cf7-4b7d-8c22-ed8d9c382d2a"]}],"mendeley":{"formattedCitation":"[10,11]","plainTextFormattedCitation":"[10,11]","previouslyFormattedCitation":"[10,11]"},"properties":{"noteIndex":0},"schema":"https://github.com/citation-style-language/schema/raw/master/csl-citation.json"}</w:instrText>
      </w:r>
      <w:r w:rsidR="006E29D4" w:rsidRPr="007C73D7">
        <w:fldChar w:fldCharType="separate"/>
      </w:r>
      <w:r w:rsidR="2DDA68AF" w:rsidRPr="007C73D7">
        <w:rPr>
          <w:noProof/>
        </w:rPr>
        <w:t>[10,11]</w:t>
      </w:r>
      <w:r w:rsidR="006E29D4" w:rsidRPr="007C73D7">
        <w:fldChar w:fldCharType="end"/>
      </w:r>
      <w:r w:rsidR="49A61EC3" w:rsidRPr="007C73D7">
        <w:t>.</w:t>
      </w:r>
    </w:p>
    <w:p w14:paraId="67EC108E" w14:textId="76F411C6" w:rsidR="001525D0" w:rsidRPr="007C73D7" w:rsidRDefault="0DB2B300" w:rsidP="5CA9E3B9">
      <w:pPr>
        <w:rPr>
          <w:rFonts w:ascii="Calibri" w:eastAsia="Calibri" w:hAnsi="Calibri" w:cs="Calibri"/>
          <w:color w:val="000000" w:themeColor="text1"/>
        </w:rPr>
      </w:pPr>
      <w:r w:rsidRPr="007C73D7">
        <w:rPr>
          <w:rFonts w:ascii="Calibri" w:eastAsia="Calibri" w:hAnsi="Calibri" w:cs="Calibri"/>
          <w:color w:val="000000" w:themeColor="text1"/>
        </w:rPr>
        <w:lastRenderedPageBreak/>
        <w:t>Most recently, a new body of literature has emerged that uses estimates of causal effect of health spending on health indicators to derive the marginal productivity of health spending, that is, the rate at which (marginal) increments in health spending are transformed into health gains [9–20]. Over recent years, this metric has become an object of study for health economists given its relevance to cost-effectiveness analyses in health technology assessment (HTA). HTA agencies require means to determine whether the health gains of adopting a new intervention outweigh the health opportunity costs</w:t>
      </w:r>
      <w:r w:rsidR="4452AB78" w:rsidRPr="007C73D7">
        <w:rPr>
          <w:rFonts w:ascii="Calibri" w:eastAsia="Calibri" w:hAnsi="Calibri" w:cs="Calibri"/>
          <w:color w:val="000000" w:themeColor="text1"/>
        </w:rPr>
        <w:t xml:space="preserve"> (HOCs</w:t>
      </w:r>
      <w:r w:rsidRPr="007C73D7">
        <w:rPr>
          <w:rFonts w:ascii="Calibri" w:eastAsia="Calibri" w:hAnsi="Calibri" w:cs="Calibri"/>
          <w:color w:val="000000" w:themeColor="text1"/>
        </w:rPr>
        <w:t>)</w:t>
      </w:r>
      <w:r w:rsidR="4452AB78" w:rsidRPr="007C73D7">
        <w:rPr>
          <w:rFonts w:ascii="Calibri" w:eastAsia="Calibri" w:hAnsi="Calibri" w:cs="Calibri"/>
          <w:color w:val="000000" w:themeColor="text1"/>
        </w:rPr>
        <w:t>, i.e., the health gains that could be achieved elsewhere in the system with the same level spending</w:t>
      </w:r>
      <w:r w:rsidR="659D6236" w:rsidRPr="007C73D7">
        <w:rPr>
          <w:rFonts w:ascii="Calibri" w:eastAsia="Calibri" w:hAnsi="Calibri" w:cs="Calibri"/>
          <w:color w:val="000000" w:themeColor="text1"/>
        </w:rPr>
        <w:t xml:space="preserve"> </w:t>
      </w:r>
      <w:r w:rsidR="3C1C047F" w:rsidRPr="007C73D7">
        <w:rPr>
          <w:rFonts w:ascii="Calibri" w:eastAsia="Calibri" w:hAnsi="Calibri" w:cs="Calibri"/>
          <w:color w:val="000000" w:themeColor="text1"/>
        </w:rPr>
        <w:fldChar w:fldCharType="begin" w:fldLock="1"/>
      </w:r>
      <w:r w:rsidR="3C1C047F" w:rsidRPr="007C73D7">
        <w:rPr>
          <w:rFonts w:ascii="Calibri" w:eastAsia="Calibri" w:hAnsi="Calibri" w:cs="Calibri"/>
          <w:color w:val="000000" w:themeColor="text1"/>
        </w:rPr>
        <w:instrText>ADDIN CSL_CITATION {"citationItems":[{"id":"ITEM-1","itemData":{"DOI":"10.1177/0272989X20916450","ISSN":"1552681X","PMID":"32441558","abstract":"Well-established methods of economic evaluation are used in many countries to inform decisions about the funding of new medical interventions. To guide such decisions, it is important to consider what health gains would be expected from the same level of investment elsewhere in the health care system. Recent research in the United Kingdom has evaluated the evidence available and the methods required to estimate the health effects of changes in health care expenditure within the National Health Service. Because of the absence of sufficiently broad-ranging data, assumptions were required in the previously mentioned work to estimate health effects in terms of a broader measure of health (quality-adjusted life-years), which is more relevant for policy. These assumptions constitute important sources of uncertainty. This work presents an application of the structured elicitation of the judgments of key individuals about these uncertain quantities. This article describes the design and conduct of the exercise, including the quantities elicited, the individual (rather than consensus) approach used, how uncertainty in knowledge was elicited (mode and bounds of an 80% credible interval), and methods to generate group estimates. It also reports on a successful application involving 28 clinical experts and 25 individuals with policy responsibilities. Although, as expected, most experts found replying to the questions challenging, they were able to express their beliefs quantitatively. Consistent across the uncertainties elicited, experts’ judgments suggest that the quality-adjusted life-year (QALY) impacts of changes in expenditure from earlier work using assumptions are likely to have been underestimated and the “central” estimate of health opportunity cost from that work (£12,936 per QALY) to have been overestimated.","author":[{"dropping-particle":"","family":"Soares","given":"Marta O.","non-dropping-particle":"","parse-names":false,"suffix":""},{"dropping-particle":"","family":"Sculpher","given":"Mark J.","non-dropping-particle":"","parse-names":false,"suffix":""},{"dropping-particle":"","family":"Claxton","given":"Karl","non-dropping-particle":"","parse-names":false,"suffix":""}],"container-title":"Medical Decision Making","id":"ITEM-1","issue":"4","issued":{"date-parts":[["2020"]]},"page":"448-459","title":"Health Opportunity Costs: Assessing the Implications of Uncertainty Using Elicitation Methods with Experts","type":"article-journal","volume":"40"},"uris":["http://www.mendeley.com/documents/?uuid=73a18246-a7f8-4637-b209-c71c9d46ac45"]}],"mendeley":{"formattedCitation":"[12]","plainTextFormattedCitation":"[12]","previouslyFormattedCitation":"[12]"},"properties":{"noteIndex":0},"schema":"https://github.com/citation-style-language/schema/raw/master/csl-citation.json"}</w:instrText>
      </w:r>
      <w:r w:rsidR="3C1C047F" w:rsidRPr="007C73D7">
        <w:rPr>
          <w:rFonts w:ascii="Calibri" w:eastAsia="Calibri" w:hAnsi="Calibri" w:cs="Calibri"/>
          <w:color w:val="000000" w:themeColor="text1"/>
        </w:rPr>
        <w:fldChar w:fldCharType="separate"/>
      </w:r>
      <w:r w:rsidR="2DDA68AF" w:rsidRPr="007C73D7">
        <w:rPr>
          <w:rFonts w:ascii="Calibri" w:eastAsia="Calibri" w:hAnsi="Calibri" w:cs="Calibri"/>
          <w:noProof/>
          <w:color w:val="000000" w:themeColor="text1"/>
        </w:rPr>
        <w:t>[12]</w:t>
      </w:r>
      <w:r w:rsidR="3C1C047F" w:rsidRPr="007C73D7">
        <w:rPr>
          <w:rFonts w:ascii="Calibri" w:eastAsia="Calibri" w:hAnsi="Calibri" w:cs="Calibri"/>
          <w:color w:val="000000" w:themeColor="text1"/>
        </w:rPr>
        <w:fldChar w:fldCharType="end"/>
      </w:r>
      <w:r w:rsidR="659D6236" w:rsidRPr="007C73D7">
        <w:rPr>
          <w:rFonts w:ascii="Calibri" w:eastAsia="Calibri" w:hAnsi="Calibri" w:cs="Calibri"/>
          <w:color w:val="000000" w:themeColor="text1"/>
        </w:rPr>
        <w:t xml:space="preserve">. </w:t>
      </w:r>
      <w:r w:rsidR="6215AE9D" w:rsidRPr="007C73D7">
        <w:rPr>
          <w:rFonts w:ascii="Calibri" w:eastAsia="Calibri" w:hAnsi="Calibri" w:cs="Calibri"/>
        </w:rPr>
        <w:t xml:space="preserve">In a context where decision makers seek to maximise health given a fixed budget, and </w:t>
      </w:r>
      <w:r w:rsidR="2DDA68AF" w:rsidRPr="007C73D7">
        <w:rPr>
          <w:rFonts w:ascii="Calibri" w:eastAsia="Calibri" w:hAnsi="Calibri" w:cs="Calibri"/>
        </w:rPr>
        <w:t>are</w:t>
      </w:r>
      <w:r w:rsidR="6215AE9D" w:rsidRPr="007C73D7">
        <w:rPr>
          <w:rFonts w:ascii="Calibri" w:eastAsia="Calibri" w:hAnsi="Calibri" w:cs="Calibri"/>
        </w:rPr>
        <w:t xml:space="preserve"> able to direct what is foregone</w:t>
      </w:r>
      <w:r w:rsidRPr="007C73D7">
        <w:rPr>
          <w:rFonts w:ascii="Calibri" w:eastAsia="Calibri" w:hAnsi="Calibri" w:cs="Calibri"/>
        </w:rPr>
        <w:t xml:space="preserve">, this </w:t>
      </w:r>
      <w:r w:rsidR="3141BB1C" w:rsidRPr="007C73D7">
        <w:rPr>
          <w:rFonts w:ascii="Calibri" w:eastAsia="Calibri" w:hAnsi="Calibri" w:cs="Calibri"/>
        </w:rPr>
        <w:t xml:space="preserve">HOC </w:t>
      </w:r>
      <w:r w:rsidRPr="007C73D7">
        <w:rPr>
          <w:rFonts w:ascii="Calibri" w:eastAsia="Calibri" w:hAnsi="Calibri" w:cs="Calibri"/>
        </w:rPr>
        <w:t xml:space="preserve">would be equivalent to the </w:t>
      </w:r>
      <w:r w:rsidR="5C211AF2" w:rsidRPr="007C73D7">
        <w:rPr>
          <w:rFonts w:ascii="Calibri" w:eastAsia="Calibri" w:hAnsi="Calibri" w:cs="Calibri"/>
        </w:rPr>
        <w:t>incremental cost-effectiveness ratio (</w:t>
      </w:r>
      <w:r w:rsidR="6215AE9D" w:rsidRPr="007C73D7">
        <w:rPr>
          <w:rFonts w:ascii="Calibri" w:eastAsia="Calibri" w:hAnsi="Calibri" w:cs="Calibri"/>
        </w:rPr>
        <w:t>ICER</w:t>
      </w:r>
      <w:r w:rsidR="5C211AF2" w:rsidRPr="007C73D7">
        <w:rPr>
          <w:rFonts w:ascii="Calibri" w:eastAsia="Calibri" w:hAnsi="Calibri" w:cs="Calibri"/>
        </w:rPr>
        <w:t>)</w:t>
      </w:r>
      <w:r w:rsidR="6215AE9D" w:rsidRPr="007C73D7">
        <w:rPr>
          <w:rFonts w:ascii="Calibri" w:eastAsia="Calibri" w:hAnsi="Calibri" w:cs="Calibri"/>
        </w:rPr>
        <w:t xml:space="preserve"> of the </w:t>
      </w:r>
      <w:r w:rsidRPr="007C73D7">
        <w:rPr>
          <w:rFonts w:ascii="Calibri" w:eastAsia="Calibri" w:hAnsi="Calibri" w:cs="Calibri"/>
        </w:rPr>
        <w:t xml:space="preserve">least cost-effective intervention currently funded </w:t>
      </w:r>
      <w:r w:rsidR="3C1C047F" w:rsidRPr="007C73D7">
        <w:rPr>
          <w:rFonts w:ascii="Calibri" w:eastAsia="Calibri" w:hAnsi="Calibri" w:cs="Calibri"/>
        </w:rPr>
        <w:fldChar w:fldCharType="begin" w:fldLock="1"/>
      </w:r>
      <w:r w:rsidR="3C1C047F" w:rsidRPr="007C73D7">
        <w:rPr>
          <w:rFonts w:ascii="Calibri" w:eastAsia="Calibri" w:hAnsi="Calibri" w:cs="Calibri"/>
        </w:rPr>
        <w:instrText>ADDIN CSL_CITATION {"citationItems":[{"id":"ITEM-1","itemData":{"DOI":"10.1017/S1744133116000049","ISSN":"1744134X","PMID":"26906561","abstract":"There is misunderstanding about both the meaning and the role of cost-effectiveness thresholds in policy decision making. This article dissects the main issues by use of a bookshelf metaphor. Its main conclusions are as follows: it must be possible to compare interventions in terms of their impact on a common measure of health; mere effectiveness is not a persuasive case for inclusion in public insurance plans; public health advocates need to address issues of relative effectiveness; a 'first best' benchmark or threshold ratio of health gain to expenditure identifies the least effective intervention that should be included in a public insurance plan; the reciprocal of this ratio - the 'first best' cost-effectiveness threshold - will rise or fall as the health budget rises or falls (ceteris paribus); setting thresholds too high or too low costs lives; failure to set any cost-effectiveness threshold at all also involves avertable deaths and morbidity; the threshold cannot be set independently of the health budget; the threshold can be approached from either the demand side or the supply side - the two are equivalent only in a health-maximising equilibrium; the supply-side approach generates an estimate of a 'second best' cost-effectiveness threshold that is higher than the 'first best'; the second best threshold is the one generally to be preferred in decisions about adding or subtracting interventions in an established public insurance package; multiple thresholds are implied by systems having distinct and separable health budgets; disinvestment involves eliminating effective technologies from the insured bundle; differential weighting of beneficiaries' health gains may affect the threshold; anonymity and identity are factors that may affect the interpretation of the threshold; the true opportunity cost of health care in a community, where the effectiveness of interventions is determined by their impact on health, is not to be measured in money - but in health itself.","author":[{"dropping-particle":"","family":"Culyer","given":"Anthony J.","non-dropping-particle":"","parse-names":false,"suffix":""}],"container-title":"Health Economics, Policy and Law","id":"ITEM-1","issue":"4","issued":{"date-parts":[["2016"]]},"page":"415-432","title":"Cost-effectiveness thresholds in health care: A bookshelf guide to their meaning and use","type":"article-journal","volume":"11"},"uris":["http://www.mendeley.com/documents/?uuid=0e07d043-e55e-416d-89c7-39de3e8cf012"]}],"mendeley":{"formattedCitation":"[13]","plainTextFormattedCitation":"[13]","previouslyFormattedCitation":"[13]"},"properties":{"noteIndex":0},"schema":"https://github.com/citation-style-language/schema/raw/master/csl-citation.json"}</w:instrText>
      </w:r>
      <w:r w:rsidR="3C1C047F" w:rsidRPr="007C73D7">
        <w:rPr>
          <w:rFonts w:ascii="Calibri" w:eastAsia="Calibri" w:hAnsi="Calibri" w:cs="Calibri"/>
        </w:rPr>
        <w:fldChar w:fldCharType="separate"/>
      </w:r>
      <w:r w:rsidR="2DDA68AF" w:rsidRPr="007C73D7">
        <w:rPr>
          <w:rFonts w:ascii="Calibri" w:eastAsia="Calibri" w:hAnsi="Calibri" w:cs="Calibri"/>
          <w:noProof/>
        </w:rPr>
        <w:t>[13]</w:t>
      </w:r>
      <w:r w:rsidR="3C1C047F" w:rsidRPr="007C73D7">
        <w:rPr>
          <w:rFonts w:ascii="Calibri" w:eastAsia="Calibri" w:hAnsi="Calibri" w:cs="Calibri"/>
        </w:rPr>
        <w:fldChar w:fldCharType="end"/>
      </w:r>
      <w:r w:rsidRPr="007C73D7">
        <w:rPr>
          <w:rFonts w:ascii="Calibri" w:eastAsia="Calibri" w:hAnsi="Calibri" w:cs="Calibri"/>
        </w:rPr>
        <w:t>. However, in practice</w:t>
      </w:r>
      <w:r w:rsidR="6215AE9D" w:rsidRPr="007C73D7">
        <w:rPr>
          <w:rFonts w:ascii="Calibri" w:eastAsia="Calibri" w:hAnsi="Calibri" w:cs="Calibri"/>
        </w:rPr>
        <w:t xml:space="preserve">, such information (cost and health gains of current interventions) is rarely available. Instead, estimates of the marginal productivity of the health care system can be used to inform HOCs, measuring the amount of resources (currently) required </w:t>
      </w:r>
      <w:r w:rsidR="690BFBD8" w:rsidRPr="007C73D7">
        <w:rPr>
          <w:rFonts w:ascii="Calibri" w:eastAsia="Calibri" w:hAnsi="Calibri" w:cs="Calibri"/>
          <w:lang w:val="en-US"/>
        </w:rPr>
        <w:t>to produce one additional unit of health benefit</w:t>
      </w:r>
      <w:r w:rsidR="5D926A16" w:rsidRPr="007C73D7">
        <w:rPr>
          <w:rFonts w:ascii="Calibri" w:eastAsia="Calibri" w:hAnsi="Calibri" w:cs="Calibri"/>
          <w:lang w:val="en-US"/>
        </w:rPr>
        <w:t xml:space="preserve">. </w:t>
      </w:r>
      <w:r w:rsidR="06ED5E65" w:rsidRPr="007C73D7">
        <w:rPr>
          <w:rFonts w:ascii="Calibri" w:eastAsia="Calibri" w:hAnsi="Calibri" w:cs="Calibri"/>
        </w:rPr>
        <w:t xml:space="preserve">Following the seminal work by Claxton et al., </w:t>
      </w:r>
      <w:r w:rsidR="3C1C047F" w:rsidRPr="007C73D7">
        <w:rPr>
          <w:rFonts w:ascii="Calibri" w:eastAsia="Calibri" w:hAnsi="Calibri" w:cs="Calibri"/>
        </w:rPr>
        <w:fldChar w:fldCharType="begin" w:fldLock="1"/>
      </w:r>
      <w:r w:rsidR="3C1C047F" w:rsidRPr="007C73D7">
        <w:rPr>
          <w:rFonts w:ascii="Calibri" w:eastAsia="Calibri" w:hAnsi="Calibri" w:cs="Calibri"/>
        </w:rPr>
        <w:instrText>ADDIN CSL_CITATION {"citationItems":[{"id":"ITEM-1","itemData":{"DOI":"10.3310/hta19140","ISSN":"20464924","PMID":"25692211","abstract":"Background: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 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 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 Results: The most relevant ‘central’ threshold is estimated to be £12,936 per QALY (2008 expenditure, 2008–10 mortality). Uncertainty analysis indicates that the probability that the threshold is &lt; £20,000 per QALY is 0.89 and the probability that it is &lt; £30,000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impose n…","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Assessment","id":"ITEM-1","issue":"14","issued":{"date-parts":[["2015"]]},"page":"1-503","title":"Methods for the estimation of the National Institute for Health and care excellence cost-effectiveness threshold","type":"article-journal","volume":"19"},"uris":["http://www.mendeley.com/documents/?uuid=1539faba-dc3b-4583-ab99-00a3af43dad2"]}],"mendeley":{"formattedCitation":"[14]","plainTextFormattedCitation":"[14]","previouslyFormattedCitation":"[14]"},"properties":{"noteIndex":0},"schema":"https://github.com/citation-style-language/schema/raw/master/csl-citation.json"}</w:instrText>
      </w:r>
      <w:r w:rsidR="3C1C047F" w:rsidRPr="007C73D7">
        <w:rPr>
          <w:rFonts w:ascii="Calibri" w:eastAsia="Calibri" w:hAnsi="Calibri" w:cs="Calibri"/>
        </w:rPr>
        <w:fldChar w:fldCharType="separate"/>
      </w:r>
      <w:r w:rsidR="2DDA68AF" w:rsidRPr="007C73D7">
        <w:rPr>
          <w:rFonts w:ascii="Calibri" w:eastAsia="Calibri" w:hAnsi="Calibri" w:cs="Calibri"/>
          <w:noProof/>
        </w:rPr>
        <w:t>[14]</w:t>
      </w:r>
      <w:r w:rsidR="3C1C047F" w:rsidRPr="007C73D7">
        <w:rPr>
          <w:rFonts w:ascii="Calibri" w:eastAsia="Calibri" w:hAnsi="Calibri" w:cs="Calibri"/>
        </w:rPr>
        <w:fldChar w:fldCharType="end"/>
      </w:r>
      <w:r w:rsidR="659D6236" w:rsidRPr="007C73D7">
        <w:rPr>
          <w:rFonts w:ascii="Calibri" w:eastAsia="Calibri" w:hAnsi="Calibri" w:cs="Calibri"/>
        </w:rPr>
        <w:t>,</w:t>
      </w:r>
      <w:r w:rsidR="06ED5E65" w:rsidRPr="007C73D7">
        <w:rPr>
          <w:rFonts w:ascii="Calibri" w:eastAsia="Calibri" w:hAnsi="Calibri" w:cs="Calibri"/>
        </w:rPr>
        <w:t xml:space="preserve"> several studies </w:t>
      </w:r>
      <w:r w:rsidRPr="007C73D7">
        <w:rPr>
          <w:rFonts w:ascii="Calibri" w:eastAsia="Calibri" w:hAnsi="Calibri" w:cs="Calibri"/>
          <w:color w:val="000000" w:themeColor="text1"/>
        </w:rPr>
        <w:t>(</w:t>
      </w:r>
      <w:r w:rsidR="3C1C047F" w:rsidRPr="007C73D7">
        <w:rPr>
          <w:rFonts w:ascii="Calibri" w:eastAsia="Calibri" w:hAnsi="Calibri" w:cs="Calibri"/>
          <w:color w:val="000000" w:themeColor="text1"/>
        </w:rPr>
        <w:fldChar w:fldCharType="begin" w:fldLock="1"/>
      </w:r>
      <w:r w:rsidR="3C1C047F" w:rsidRPr="007C73D7">
        <w:rPr>
          <w:rFonts w:ascii="Calibri" w:eastAsia="Calibri" w:hAnsi="Calibri" w:cs="Calibri"/>
          <w:color w:val="000000" w:themeColor="text1"/>
        </w:rPr>
        <w:instrText xml:space="preserve">ADDIN CSL_CITATION {"citationItems":[{"id":"ITEM-1","itemData":{"DOI":"10.1002/hec.3633","ISSN":"10991050","PMID":"29282798","abstract":"The cost of generating a quality-adjusted life year (QALY) within a National Health Service provides an approximation of the average opportunity cost of funding decisions. This information can be used to inform a cost-effectiveness threshold. The aim of this paper is to estimate the cost per QALY at the Spanish National Health Service. We exploit variation across 17 regional health services and the exogenous changes in expenditure that took place as a consequence of the economic crisis over 5 years of data. We conduct fixed effect models and use an instrumental variable approach to test for potential remaining endogeneity. Our results show that health expenditure has a positive and significant effect on population health, with an average spending elasticity of 0.07. This translates into a cost per QALY of between 22,000€ and 25,000€. These values are below the cost-effectiveness threshold figure of 30,000€ commonly cited in Spain.","author":[{"dropping-particle":"","family":"Vallejo-Torres","given":"Laura","non-dropping-particle":"","parse-names":false,"suffix":""},{"dropping-particle":"","family":"García-Lorenzo","given":"Borja","non-dropping-particle":"","parse-names":false,"suffix":""},{"dropping-particle":"","family":"Serrano-Aguilar","given":"Pedro","non-dropping-particle":"","parse-names":false,"suffix":""}],"container-title":"Health Economics (United Kingdom)","id":"ITEM-1","issue":"4","issued":{"date-parts":[["2018"]]},"page":"746-761","title":"Estimating a cost-effectiveness threshold for the Spanish NHS","type":"article-journal","volume":"27"},"uris":["http://www.mendeley.com/documents/?uuid=60f252e1-f05a-46c3-a3ed-74792dce8164"]},{"id":"ITEM-2","itemData":{"DOI":"10.1016/j.healthpol.2018.04.011","ISSN":"18726054","PMID":"29759682","abstract":"There is limited empirical evidence of the nature of any relationship between health spending and health outcomes in Australia. We address this by estimating the elasticity of health outcomes with respect to public healthcare spending using an instrumental variable (IV) approach to account for endogeneity of healthcare spending to health outcomes. Results suggest that, based on the conditional mean, a 1% increase in public health spending was associated with a 2.2% (p &lt; 0.05) reduction in the number of standardised Years of Life Lost (YLL). Sensitivity analyses and robustness checks supported this conclusion. Further exploration using IV quantile regression indicated that marginal returns on public health spending were significantly greater for areas with poorer health outcomes compared to areas with better health outcomes. On average, marginal increases in public health spending reduce YLL, but areas with poorer health outcomes have the greatest potential to benefit from the same marginal increase in public health spending compared to areas with better health outcomes. Understanding the relationship between health spending and outcomes and how this differs according to baseline health outcomes can help meet dual policy objectives to improve the productivity of the healthcare system and reduce inequity.","author":[{"dropping-particle":"","family":"Edney","given":"L. C.","non-dropping-particle":"","parse-names":false,"suffix":""},{"dropping-particle":"","family":"Haji Ali Afzali","given":"H.","non-dropping-particle":"","parse-names":false,"suffix":""},{"dropping-particle":"","family":"Cheng","given":"T. C.","non-dropping-particle":"","parse-names":false,"suffix":""},{"dropping-particle":"","family":"Karnon","given":"J.","non-dropping-particle":"","parse-names":false,"suffix":""}],"container-title":"Health Policy","id":"ITEM-2","issue":"8","issued":{"date-parts":[["2018"]]},"page":"892-899","publisher":"Elsevier Ireland Ltd","title":"Mortality reductions from marginal increases in public spending on health","type":"article-journal","volume":"122"},"uris":["http://www.mendeley.com/documents/?uuid=69e21cb3-37b0-4939-940a-9bd5a86672f3"]},{"id":"ITEM-3","itemData":{"DOI":"10.1002/hec.3831","ISSN":"10991050","PMID":"30273967","abstract":"Traditionally, threshold levels of cost-effectiveness have been derived from willingness-to-pay studies, indicating the consumption value of health (v-thresholds). However, it has been argued that v-thresholds need to be supplemented by so-called k-thresholds, which are based on the marginal returns to health care. The objective of this research is to estimate a k-threshold based on the marginal returns to cardiovascular disease (CVD) hospital care in the Netherlands. To estimate a k-threshold for hospital care on CVD, we proceed in two steps: First, we estimate the impact of hospital spending on mortality using a Bayesian regression modelling framework, using data on CVD mortality and CVD hospital spending by age and gender for the period 1994–2010. Second, we use life tables in combination with quality of life data to convert these estimates into a k-threshold expressed in euros per quality-adjusted life year gained. Our base case estimate resulted in an estimate of 41,000 per quality-adjusted life year gained. In our sensitivity analyses, we illustrated how the incorporation of prior evidence into the estimation pushes estimates downwards. We conclude that our base case estimate of the k-threshold may serve as a benchmark value for decision making in the Netherlands as well as for future research regarding k-thresholds.","author":[{"dropping-particle":"","family":"Baal","given":"Pieter","non-dropping-particle":"Van","parse-names":false,"suffix":""},{"dropping-particle":"","family":"Perry-Duxbury","given":"Meg","non-dropping-particle":"","parse-names":false,"suffix":""},{"dropping-particle":"","family":"Bakx","given":"Pieter","non-dropping-particle":"","parse-names":false,"suffix":""},{"dropping-particle":"","family":"Versteegh","given":"Matthijs","non-dropping-particle":"","parse-names":false,"suffix":""},{"dropping-particle":"","family":"Doorslaer","given":"Eddy","non-dropping-particle":"van","parse-names":false,"suffix":""},{"dropping-particle":"","family":"Brouwer","given":"Werner","non-dropping-particle":"","parse-names":false,"suffix":""}],"container-title":"Health Economics (United Kingdom)","id":"ITEM-3","issue":"1","issued":{"date-parts":[["2019"]]},"page":"87-100","title":"A cost-effectiveness threshold based on the marginal returns of cardiovascular hospital spending","type":"article-journal","volume":"28"},"uris":["http://www.mendeley.com/documents/?uuid=476f6aae-b3d6-4ec5-bc06-1ef4aa23bf74"]},{"id":"ITEM-4","itemData":{"DOI":"10.1093/heapol/czz152","ISSN":"14602237","PMID":"32125375","abstract":"Cost-effectiveness thresholds are important decision rules that determine whether health interventions represent good value for money. In low- and middle-income countries, the World Health Organization (WHO) one to three times per capita gross domestic product (GDP) per disability-adjusted life years (DALYs) averted has been the most widely used threshold for informing resource allocation decisions. However, in 2016, the WHO withdrew recommendations for using this threshold, creating a significant vacuum in South Africa and many countries that rely on results of cost-effectiveness analyses for making resource allocation decisions. This study estimates a cost-effectiveness threshold that reflects the health opportunity cost of health spending in South Africa using a three-step approach. First, marginal returns to health spending was estimated as health spending elasticity for crude death rates using a fixed effect estimation approach. Second, the opportunity cost of health spending was estimated as DALYs averted. Finally, a cost per DALY averted threshold was estimated as the inverse of the marginal product of health spending. We show that 1% of total health spending in 2015 (equivalent to approximately ZAR 1.54 billion/USD 120.7 million) averted 1050 deaths, 34 180 years of life lost, 5880 years lived with disability and 40 055 DALYs. The cost-effectiveness threshold was estimated at approximately ZAR 38 500 (USD 3015) per DALY averted, </w:instrText>
      </w:r>
      <w:r w:rsidR="3C1C047F" w:rsidRPr="007C73D7">
        <w:rPr>
          <w:rFonts w:ascii="Cambria Math" w:eastAsia="Calibri" w:hAnsi="Cambria Math" w:cs="Cambria Math"/>
          <w:color w:val="000000" w:themeColor="text1"/>
        </w:rPr>
        <w:instrText>∼</w:instrText>
      </w:r>
      <w:r w:rsidR="3C1C047F" w:rsidRPr="007C73D7">
        <w:rPr>
          <w:rFonts w:ascii="Calibri" w:eastAsia="Calibri" w:hAnsi="Calibri" w:cs="Calibri"/>
          <w:color w:val="000000" w:themeColor="text1"/>
        </w:rPr>
        <w:instrText>53% of South Africa's per capita GDP in 2015 (ZAR 72 700/USD 5700) and lower than the previously recommended one to three times per capita GDP. As South Africa moves towards implementing universal health coverage reforms through National Health Insurance by 2025, the adoption of a threshold that reflects health opportunity costs will be crucial for ensuring efficiency in the allocation of scarce resources. This study provides useful insight into the magnitude of the health opportunity cost of health spending in South Africa and highlights the need for further research.","author":[{"dropping-particle":"","family":"Edoka","given":"Ijeoma P.","non-dropping-particle":"","parse-names":false,"suffix":""},{"dropping-particle":"","family":"Stacey","given":"Nicholas K.","non-dropping-particle":"","parse-names":false,"suffix":""}],"container-title":"Health policy and planning","id":"ITEM-4","issue":"5","issued":{"date-parts":[["2020"]]},"page":"546-555","title":"Estimating a cost-effectiveness threshold for health care decision-making in South Africa","type":"article-journal","volume":"35"},"uris":["http://www.mendeley.com/documents/?uuid=d03e601e-8e44-4be4-a720-fc4621e831cc"]}],"mendeley":{"formattedCitation":"[15–18]","plainTextFormattedCitation":"[15–18]","previouslyFormattedCitation":"[15–18]"},"properties":{"noteIndex":0},"schema":"https://github.com/citation-style-language/schema/raw/master/csl-citation.json"}</w:instrText>
      </w:r>
      <w:r w:rsidR="3C1C047F" w:rsidRPr="007C73D7">
        <w:rPr>
          <w:rFonts w:ascii="Calibri" w:eastAsia="Calibri" w:hAnsi="Calibri" w:cs="Calibri"/>
          <w:color w:val="000000" w:themeColor="text1"/>
        </w:rPr>
        <w:fldChar w:fldCharType="separate"/>
      </w:r>
      <w:r w:rsidR="2DDA68AF" w:rsidRPr="007C73D7">
        <w:rPr>
          <w:rFonts w:ascii="Calibri" w:eastAsia="Calibri" w:hAnsi="Calibri" w:cs="Calibri"/>
          <w:noProof/>
          <w:color w:val="000000" w:themeColor="text1"/>
        </w:rPr>
        <w:t>[15–18]</w:t>
      </w:r>
      <w:r w:rsidR="3C1C047F" w:rsidRPr="007C73D7">
        <w:rPr>
          <w:rFonts w:ascii="Calibri" w:eastAsia="Calibri" w:hAnsi="Calibri" w:cs="Calibri"/>
          <w:color w:val="000000" w:themeColor="text1"/>
        </w:rPr>
        <w:fldChar w:fldCharType="end"/>
      </w:r>
      <w:r w:rsidRPr="007C73D7">
        <w:rPr>
          <w:rFonts w:ascii="Calibri" w:eastAsia="Calibri" w:hAnsi="Calibri" w:cs="Calibri"/>
          <w:color w:val="000000" w:themeColor="text1"/>
        </w:rPr>
        <w:t>, see Edney et al.</w:t>
      </w:r>
      <w:r w:rsidR="57ED03D5" w:rsidRPr="007C73D7">
        <w:rPr>
          <w:rFonts w:ascii="Calibri" w:eastAsia="Calibri" w:hAnsi="Calibri" w:cs="Calibri"/>
          <w:color w:val="000000" w:themeColor="text1"/>
        </w:rPr>
        <w:t>,</w:t>
      </w:r>
      <w:r w:rsidR="659D6236" w:rsidRPr="007C73D7">
        <w:rPr>
          <w:rFonts w:ascii="Calibri" w:eastAsia="Calibri" w:hAnsi="Calibri" w:cs="Calibri"/>
          <w:color w:val="000000" w:themeColor="text1"/>
        </w:rPr>
        <w:t xml:space="preserve"> </w:t>
      </w:r>
      <w:r w:rsidR="3C1C047F" w:rsidRPr="007C73D7">
        <w:rPr>
          <w:rFonts w:ascii="Calibri" w:eastAsia="Calibri" w:hAnsi="Calibri" w:cs="Calibri"/>
          <w:color w:val="000000" w:themeColor="text1"/>
        </w:rPr>
        <w:fldChar w:fldCharType="begin" w:fldLock="1"/>
      </w:r>
      <w:r w:rsidR="3C1C047F" w:rsidRPr="007C73D7">
        <w:rPr>
          <w:rFonts w:ascii="Calibri" w:eastAsia="Calibri" w:hAnsi="Calibri" w:cs="Calibri"/>
          <w:color w:val="000000" w:themeColor="text1"/>
        </w:rPr>
        <w:instrText>ADDIN CSL_CITATION {"citationItems":[{"id":"ITEM-1","itemData":{"DOI":"10.1007/s40273-021-01087-6","ISBN":"0123456789","ISSN":"11792027","PMID":"34585359","abstract":"Many health technology assessment committees have an explicit or implicit reference value (often referred to as a ‘threshold’) below which new health technologies or interventions are considered value for money. The basis for these reference values is unclear but one argument is that it should be based on the health opportunity costs of funding decisions. Empirical estimates of the marginal cost per unit of health produced by a healthcare system have been proposed to capture the health opportunity costs of new funding decisions. Based on a systematic search, we identified eight studies that have sought to estimate a reference value through empirical estimation of the marginal cost per unit of health produced by a healthcare system for England, Spain, Australia, The Netherlands, Sweden, South Africa and China. We review these eight studies to provide an overview of the key methodological approaches taken to estimate the marginal cost per unit of health produced by the healthcare system with the aim to help inform future estimates for additional countries. The lead author for each of these papers was invited to contribute to the current paper to ensure all the key methodological issues encountered were appropriately captured. These included consideration of the key variables required and their measurement, accounting for endogeneity of spending to health outcomes, the inclusion of lagged spending, discounting and future costs, the use of analytical weights, level of disease aggregation, expected duration of health gains, and modelling approaches to estimating mortality and morbidity effects of health spending. Subsequent research estimates for additional countries should (1) carefully consider the specific context and data available, (2) clearly and transparently report the assumptions made and include stakeholder perspectives on their appropriateness and acceptability, and (3) assess the sensitivity of the preferred central estimate to these assumptions.","author":[{"dropping-particle":"","family":"Edney","given":"Laura C.","non-dropping-particle":"","parse-names":false,"suffix":""},{"dropping-particle":"","family":"Lomas","given":"James","non-dropping-particle":"","parse-names":false,"suffix":""},{"dropping-particle":"","family":"Karnon","given":"Jonathan","non-dropping-particle":"","parse-names":false,"suffix":""},{"dropping-particle":"","family":"Vallejo-Torres","given":"Laura","non-dropping-particle":"","parse-names":false,"suffix":""},{"dropping-particle":"","family":"Stadhouders","given":"Niek","non-dropping-particle":"","parse-names":false,"suffix":""},{"dropping-particle":"","family":"Siverskog","given":"Jonathan","non-dropping-particle":"","parse-names":false,"suffix":""},{"dropping-particle":"","family":"Paulden","given":"Mike","non-dropping-particle":"","parse-names":false,"suffix":""},{"dropping-particle":"","family":"Edoka","given":"Ijeoma P.","non-dropping-particle":"","parse-names":false,"suffix":""},{"dropping-particle":"","family":"Ochalek","given":"Jessica","non-dropping-particle":"","parse-names":false,"suffix":""}],"container-title":"PharmacoEconomics","id":"ITEM-1","issue":"1","issued":{"date-parts":[["2022"]]},"page":"31-43","publisher":"Springer International Publishing","title":"Empirical Estimates of the Marginal Cost of Health Produced by a Healthcare System: Methodological Considerations from Country-Level Estimates","type":"article-journal","volume":"40"},"uris":["http://www.mendeley.com/documents/?uuid=d5f50760-71d0-48f0-94cc-d3f036bdaec1"]}],"mendeley":{"formattedCitation":"[10]","plainTextFormattedCitation":"[10]","previouslyFormattedCitation":"[10]"},"properties":{"noteIndex":0},"schema":"https://github.com/citation-style-language/schema/raw/master/csl-citation.json"}</w:instrText>
      </w:r>
      <w:r w:rsidR="3C1C047F" w:rsidRPr="007C73D7">
        <w:rPr>
          <w:rFonts w:ascii="Calibri" w:eastAsia="Calibri" w:hAnsi="Calibri" w:cs="Calibri"/>
          <w:color w:val="000000" w:themeColor="text1"/>
        </w:rPr>
        <w:fldChar w:fldCharType="separate"/>
      </w:r>
      <w:r w:rsidR="2DDA68AF" w:rsidRPr="007C73D7">
        <w:rPr>
          <w:rFonts w:ascii="Calibri" w:eastAsia="Calibri" w:hAnsi="Calibri" w:cs="Calibri"/>
          <w:noProof/>
          <w:color w:val="000000" w:themeColor="text1"/>
        </w:rPr>
        <w:t>[10]</w:t>
      </w:r>
      <w:r w:rsidR="3C1C047F" w:rsidRPr="007C73D7">
        <w:rPr>
          <w:rFonts w:ascii="Calibri" w:eastAsia="Calibri" w:hAnsi="Calibri" w:cs="Calibri"/>
          <w:color w:val="000000" w:themeColor="text1"/>
        </w:rPr>
        <w:fldChar w:fldCharType="end"/>
      </w:r>
      <w:r w:rsidR="57ED03D5" w:rsidRPr="007C73D7">
        <w:rPr>
          <w:rFonts w:ascii="Calibri" w:eastAsia="Calibri" w:hAnsi="Calibri" w:cs="Calibri"/>
          <w:color w:val="000000" w:themeColor="text1"/>
        </w:rPr>
        <w:t xml:space="preserve"> for review</w:t>
      </w:r>
      <w:r w:rsidRPr="007C73D7">
        <w:rPr>
          <w:rFonts w:ascii="Calibri" w:eastAsia="Calibri" w:hAnsi="Calibri" w:cs="Calibri"/>
          <w:color w:val="000000" w:themeColor="text1"/>
        </w:rPr>
        <w:t>)</w:t>
      </w:r>
      <w:r w:rsidR="06ED5E65" w:rsidRPr="007C73D7">
        <w:rPr>
          <w:rFonts w:ascii="Calibri" w:eastAsia="Calibri" w:hAnsi="Calibri" w:cs="Calibri"/>
        </w:rPr>
        <w:t xml:space="preserve"> have produced estimates</w:t>
      </w:r>
      <w:r w:rsidRPr="007C73D7">
        <w:rPr>
          <w:rFonts w:ascii="Calibri" w:eastAsia="Calibri" w:hAnsi="Calibri" w:cs="Calibri"/>
        </w:rPr>
        <w:t xml:space="preserve"> of </w:t>
      </w:r>
      <w:r w:rsidRPr="007C73D7">
        <w:rPr>
          <w:rFonts w:ascii="Calibri" w:eastAsia="Calibri" w:hAnsi="Calibri" w:cs="Calibri"/>
          <w:color w:val="000000" w:themeColor="text1"/>
        </w:rPr>
        <w:t>the marginal productivity of a national health system</w:t>
      </w:r>
      <w:r w:rsidR="2C81681A" w:rsidRPr="007C73D7">
        <w:rPr>
          <w:rFonts w:ascii="Calibri" w:eastAsia="Calibri" w:hAnsi="Calibri" w:cs="Calibri"/>
          <w:color w:val="000000" w:themeColor="text1"/>
        </w:rPr>
        <w:t xml:space="preserve"> </w:t>
      </w:r>
      <w:r w:rsidRPr="007C73D7">
        <w:rPr>
          <w:rFonts w:ascii="Calibri" w:eastAsia="Calibri" w:hAnsi="Calibri" w:cs="Calibri"/>
          <w:color w:val="000000" w:themeColor="text1"/>
        </w:rPr>
        <w:t xml:space="preserve">by estimating the effects of marginal expansions of health expenditure on mortality and broader </w:t>
      </w:r>
      <w:r w:rsidR="5058DB4A" w:rsidRPr="007C73D7">
        <w:rPr>
          <w:rFonts w:ascii="Calibri" w:eastAsia="Calibri" w:hAnsi="Calibri" w:cs="Calibri"/>
          <w:color w:val="000000" w:themeColor="text1"/>
        </w:rPr>
        <w:t>measures of health (e.g., disability-adjusted life-years (DALYs)</w:t>
      </w:r>
      <w:r w:rsidR="549D627D" w:rsidRPr="007C73D7">
        <w:rPr>
          <w:rFonts w:ascii="Calibri" w:eastAsia="Calibri" w:hAnsi="Calibri" w:cs="Calibri"/>
          <w:color w:val="000000" w:themeColor="text1"/>
        </w:rPr>
        <w:t>).</w:t>
      </w:r>
    </w:p>
    <w:p w14:paraId="3890955B" w14:textId="737B0A3B" w:rsidR="001525D0" w:rsidRPr="007C73D7" w:rsidRDefault="56CDE7DD" w:rsidP="5CA9E3B9">
      <w:pPr>
        <w:rPr>
          <w:rFonts w:ascii="Calibri" w:eastAsia="Calibri" w:hAnsi="Calibri" w:cs="Calibri"/>
          <w:lang w:val="en-US"/>
        </w:rPr>
      </w:pPr>
      <w:r w:rsidRPr="007C73D7">
        <w:rPr>
          <w:rFonts w:ascii="Calibri" w:eastAsia="Calibri" w:hAnsi="Calibri" w:cs="Calibri"/>
          <w:color w:val="000000" w:themeColor="text1"/>
        </w:rPr>
        <w:t>Such estimates</w:t>
      </w:r>
      <w:r w:rsidR="2C81681A" w:rsidRPr="007C73D7">
        <w:rPr>
          <w:rFonts w:ascii="Calibri" w:eastAsia="Calibri" w:hAnsi="Calibri" w:cs="Calibri"/>
          <w:color w:val="000000" w:themeColor="text1"/>
        </w:rPr>
        <w:t xml:space="preserve"> of the </w:t>
      </w:r>
      <w:r w:rsidR="6A4A8CE8" w:rsidRPr="007C73D7">
        <w:rPr>
          <w:rFonts w:ascii="Calibri" w:eastAsia="Calibri" w:hAnsi="Calibri" w:cs="Calibri"/>
          <w:color w:val="000000" w:themeColor="text1"/>
        </w:rPr>
        <w:t>marginal productivity reflect</w:t>
      </w:r>
      <w:r w:rsidR="0DB2B300" w:rsidRPr="007C73D7">
        <w:rPr>
          <w:rFonts w:ascii="Calibri" w:eastAsia="Calibri" w:hAnsi="Calibri" w:cs="Calibri"/>
        </w:rPr>
        <w:t xml:space="preserve"> what is likely to be displaced on average across the healthcare system – given all existing allocative and technical inefficiencies – following a marginal reduction of health expenditure, i.e., the HOC of such a reduction. </w:t>
      </w:r>
      <w:r w:rsidR="3E549EDF" w:rsidRPr="007C73D7">
        <w:rPr>
          <w:rFonts w:ascii="Calibri" w:eastAsia="Calibri" w:hAnsi="Calibri" w:cs="Calibri"/>
        </w:rPr>
        <w:t>Equivalently, it also captures the</w:t>
      </w:r>
      <w:r w:rsidR="0DB2B300" w:rsidRPr="007C73D7">
        <w:rPr>
          <w:rFonts w:ascii="Calibri" w:eastAsia="Calibri" w:hAnsi="Calibri" w:cs="Calibri"/>
        </w:rPr>
        <w:t xml:space="preserve"> HOC of investing in a new intervention,</w:t>
      </w:r>
      <w:r w:rsidR="3E549EDF" w:rsidRPr="007C73D7">
        <w:rPr>
          <w:rFonts w:ascii="Calibri" w:eastAsia="Calibri" w:hAnsi="Calibri" w:cs="Calibri"/>
        </w:rPr>
        <w:t xml:space="preserve"> and by </w:t>
      </w:r>
      <w:r w:rsidR="5DEC9A95" w:rsidRPr="007C73D7">
        <w:rPr>
          <w:rFonts w:ascii="Calibri" w:eastAsia="Calibri" w:hAnsi="Calibri" w:cs="Calibri"/>
        </w:rPr>
        <w:t>comparing</w:t>
      </w:r>
      <w:r w:rsidR="3E549EDF" w:rsidRPr="007C73D7">
        <w:rPr>
          <w:rFonts w:ascii="Calibri" w:eastAsia="Calibri" w:hAnsi="Calibri" w:cs="Calibri"/>
        </w:rPr>
        <w:t xml:space="preserve"> </w:t>
      </w:r>
      <w:r w:rsidR="01EA507B" w:rsidRPr="007C73D7">
        <w:rPr>
          <w:rFonts w:ascii="Calibri" w:eastAsia="Calibri" w:hAnsi="Calibri" w:cs="Calibri"/>
          <w:lang w:val="en-US"/>
        </w:rPr>
        <w:t xml:space="preserve">the health benefit </w:t>
      </w:r>
      <w:r w:rsidR="5DEC9A95" w:rsidRPr="007C73D7">
        <w:rPr>
          <w:rFonts w:ascii="Calibri" w:eastAsia="Calibri" w:hAnsi="Calibri" w:cs="Calibri"/>
          <w:lang w:val="en-US"/>
        </w:rPr>
        <w:t xml:space="preserve">of a new investment </w:t>
      </w:r>
      <w:r w:rsidR="01EA507B" w:rsidRPr="007C73D7">
        <w:rPr>
          <w:rFonts w:ascii="Calibri" w:eastAsia="Calibri" w:hAnsi="Calibri" w:cs="Calibri"/>
          <w:lang w:val="en-US"/>
        </w:rPr>
        <w:t>to the health loss of displaced investments, this estimate of HOC can be used for judging whether a proposed in</w:t>
      </w:r>
      <w:r w:rsidR="3E549EDF" w:rsidRPr="007C73D7">
        <w:rPr>
          <w:rFonts w:ascii="Calibri" w:eastAsia="Calibri" w:hAnsi="Calibri" w:cs="Calibri"/>
          <w:lang w:val="en-US"/>
        </w:rPr>
        <w:t xml:space="preserve">tervention </w:t>
      </w:r>
      <w:r w:rsidR="01EA507B" w:rsidRPr="007C73D7">
        <w:rPr>
          <w:rFonts w:ascii="Calibri" w:eastAsia="Calibri" w:hAnsi="Calibri" w:cs="Calibri"/>
          <w:lang w:val="en-US"/>
        </w:rPr>
        <w:t>is cost-effective.</w:t>
      </w:r>
    </w:p>
    <w:p w14:paraId="5300BE7E" w14:textId="041FEE39" w:rsidR="001525D0" w:rsidRPr="007C73D7" w:rsidRDefault="00A26319" w:rsidP="7469DDBB">
      <w:pPr>
        <w:rPr>
          <w:rFonts w:ascii="Calibri" w:eastAsia="Calibri" w:hAnsi="Calibri" w:cs="Calibri"/>
          <w:lang w:val="en-US"/>
        </w:rPr>
      </w:pPr>
      <w:r w:rsidRPr="007C73D7">
        <w:t>Our</w:t>
      </w:r>
      <w:r w:rsidR="004B091F" w:rsidRPr="007C73D7">
        <w:t xml:space="preserve"> study </w:t>
      </w:r>
      <w:r w:rsidR="00330EE9" w:rsidRPr="007C73D7">
        <w:t>conduct</w:t>
      </w:r>
      <w:r w:rsidRPr="007C73D7">
        <w:t>s the</w:t>
      </w:r>
      <w:r w:rsidR="004B091F" w:rsidRPr="007C73D7">
        <w:t xml:space="preserve"> first empirical assessment of the marginal productivity of health expenditure </w:t>
      </w:r>
      <w:r w:rsidR="00330EE9" w:rsidRPr="007C73D7">
        <w:t xml:space="preserve">in Indonesia </w:t>
      </w:r>
      <w:r w:rsidR="004B091F" w:rsidRPr="007C73D7">
        <w:t xml:space="preserve">using </w:t>
      </w:r>
      <w:r w:rsidR="006E1D5E" w:rsidRPr="007C73D7">
        <w:t>subnational data</w:t>
      </w:r>
      <w:r w:rsidR="004B091F" w:rsidRPr="007C73D7">
        <w:t>.</w:t>
      </w:r>
      <w:r w:rsidR="00A425FE" w:rsidRPr="007C73D7">
        <w:t xml:space="preserve"> </w:t>
      </w:r>
      <w:r w:rsidRPr="007C73D7">
        <w:t>We</w:t>
      </w:r>
      <w:r w:rsidR="00541E0C" w:rsidRPr="007C73D7">
        <w:t xml:space="preserve"> aim</w:t>
      </w:r>
      <w:r w:rsidRPr="007C73D7">
        <w:t xml:space="preserve"> </w:t>
      </w:r>
      <w:r w:rsidR="00A425FE" w:rsidRPr="007C73D7">
        <w:t xml:space="preserve">to </w:t>
      </w:r>
      <w:r w:rsidR="00541E0C" w:rsidRPr="007C73D7">
        <w:t>answe</w:t>
      </w:r>
      <w:r w:rsidR="00A425FE" w:rsidRPr="007C73D7">
        <w:t>r</w:t>
      </w:r>
      <w:r w:rsidR="00541E0C" w:rsidRPr="007C73D7">
        <w:t xml:space="preserve"> the question of whether – and if so, to what extent – expansions i</w:t>
      </w:r>
      <w:r w:rsidR="000D7D13" w:rsidRPr="007C73D7">
        <w:t>n</w:t>
      </w:r>
      <w:r w:rsidR="00541E0C" w:rsidRPr="007C73D7">
        <w:t xml:space="preserve"> public healt</w:t>
      </w:r>
      <w:r w:rsidR="004B2ADB" w:rsidRPr="007C73D7">
        <w:t>h</w:t>
      </w:r>
      <w:r w:rsidR="00541E0C" w:rsidRPr="007C73D7">
        <w:t xml:space="preserve"> spending</w:t>
      </w:r>
      <w:r w:rsidR="000D7D13" w:rsidRPr="007C73D7">
        <w:t xml:space="preserve"> during th</w:t>
      </w:r>
      <w:r w:rsidRPr="007C73D7">
        <w:t xml:space="preserve">e 2004-2012 </w:t>
      </w:r>
      <w:r w:rsidR="000D7D13" w:rsidRPr="007C73D7">
        <w:t>period</w:t>
      </w:r>
      <w:r w:rsidR="00541E0C" w:rsidRPr="007C73D7">
        <w:t xml:space="preserve"> brought about improvements in population health</w:t>
      </w:r>
      <w:r w:rsidRPr="007C73D7">
        <w:t>, measured as reduction</w:t>
      </w:r>
      <w:r w:rsidR="00886829" w:rsidRPr="007C73D7">
        <w:t>s</w:t>
      </w:r>
      <w:r w:rsidRPr="007C73D7">
        <w:t xml:space="preserve"> in the </w:t>
      </w:r>
      <w:r w:rsidR="00541E0C" w:rsidRPr="007C73D7">
        <w:t>under-five</w:t>
      </w:r>
      <w:r w:rsidR="00CC6537" w:rsidRPr="007C73D7">
        <w:t xml:space="preserve"> mortality rate</w:t>
      </w:r>
      <w:r w:rsidR="00541E0C" w:rsidRPr="007C73D7">
        <w:t xml:space="preserve"> (U5MR</w:t>
      </w:r>
      <w:r w:rsidRPr="007C73D7">
        <w:t xml:space="preserve">). Our econometric </w:t>
      </w:r>
      <w:r w:rsidRPr="007C73D7">
        <w:lastRenderedPageBreak/>
        <w:t>analysis exploits variations in</w:t>
      </w:r>
      <w:r w:rsidR="000655FF" w:rsidRPr="007C73D7">
        <w:t xml:space="preserve"> </w:t>
      </w:r>
      <w:r w:rsidR="00886829" w:rsidRPr="007C73D7">
        <w:t xml:space="preserve">the </w:t>
      </w:r>
      <w:r w:rsidR="000655FF" w:rsidRPr="007C73D7">
        <w:t>growth of</w:t>
      </w:r>
      <w:r w:rsidRPr="007C73D7">
        <w:t xml:space="preserve"> health care spending</w:t>
      </w:r>
      <w:r w:rsidR="000655FF" w:rsidRPr="007C73D7">
        <w:t xml:space="preserve"> across Indonesian provinces,</w:t>
      </w:r>
      <w:r w:rsidRPr="007C73D7">
        <w:t xml:space="preserve"> </w:t>
      </w:r>
      <w:r w:rsidR="00C21B31" w:rsidRPr="007C73D7">
        <w:t xml:space="preserve">leading up to the </w:t>
      </w:r>
      <w:r w:rsidR="00886829" w:rsidRPr="007C73D7">
        <w:t xml:space="preserve">implementation of </w:t>
      </w:r>
      <w:r w:rsidR="00C21B31" w:rsidRPr="007C73D7">
        <w:t>the</w:t>
      </w:r>
      <w:r w:rsidRPr="007C73D7">
        <w:t xml:space="preserve"> National Health Insurance</w:t>
      </w:r>
      <w:r w:rsidR="00C21B31" w:rsidRPr="007C73D7">
        <w:t xml:space="preserve"> (JKN) programme</w:t>
      </w:r>
      <w:r w:rsidR="000655FF" w:rsidRPr="007C73D7">
        <w:t>. This period saw a considerable expansion of public health spending – responding to unfavourable health indicators such as maternal and infant mortality, high levels of out-of</w:t>
      </w:r>
      <w:r w:rsidR="00B76CCA" w:rsidRPr="007C73D7">
        <w:t>-</w:t>
      </w:r>
      <w:r w:rsidR="000655FF" w:rsidRPr="007C73D7">
        <w:t xml:space="preserve">pocket spending and public spending </w:t>
      </w:r>
      <w:r w:rsidR="007A546A" w:rsidRPr="007C73D7">
        <w:t xml:space="preserve">representing a low proportion of </w:t>
      </w:r>
      <w:r w:rsidR="000655FF" w:rsidRPr="007C73D7">
        <w:t xml:space="preserve">overall health spending. However, </w:t>
      </w:r>
      <w:r w:rsidR="00C21B31" w:rsidRPr="007C73D7">
        <w:t xml:space="preserve">due to a simultaneously ongoing </w:t>
      </w:r>
      <w:r w:rsidR="000655FF" w:rsidRPr="007C73D7">
        <w:t xml:space="preserve">governance decentralisation process </w:t>
      </w:r>
      <w:r w:rsidRPr="007C73D7">
        <w:rPr>
          <w:rStyle w:val="FootnoteReference"/>
        </w:rPr>
        <w:fldChar w:fldCharType="begin" w:fldLock="1"/>
      </w:r>
      <w:r w:rsidR="00CA1237" w:rsidRPr="007C73D7">
        <w:instrText>ADDIN CSL_CITATION {"citationItems":[{"id":"ITEM-1","itemData":{"ISBN":"9789290225164","author":[{"dropping-particle":"","family":"Mahendradhata","given":"Y","non-dropping-particle":"","parse-names":false,"suffix":""},{"dropping-particle":"","family":"Trisnantoro","given":"L","non-dropping-particle":"","parse-names":false,"suffix":""},{"dropping-particle":"","family":"Listyadewi","given":"S","non-dropping-particle":"","parse-names":false,"suffix":""},{"dropping-particle":"","family":"Soewondo","given":"P","non-dropping-particle":"","parse-names":false,"suffix":""},{"dropping-particle":"","family":"Marthias","given":"T","non-dropping-particle":"","parse-names":false,"suffix":""},{"dropping-particle":"","family":"Harimurti","given":"P","non-dropping-particle":"","parse-names":false,"suffix":""},{"dropping-particle":"","family":"Prawira","given":"J","non-dropping-particle":"","parse-names":false,"suffix":""}],"id":"ITEM-1","issued":{"date-parts":[["2017"]]},"publisher":"In: Hort &amp; Patcharanarumol W (eds.) Health Systems in Transition. India: World Health Organization. 2017.","title":"The Republic of Indonesia Health System Review","type":"report"},"uris":["http://www.mendeley.com/documents/?uuid=fcedce89-a3eb-48e9-83d5-0fcb03ef5c14"]}],"mendeley":{"formattedCitation":"[19]","plainTextFormattedCitation":"[19]","previouslyFormattedCitation":"[19]"},"properties":{"noteIndex":0},"schema":"https://github.com/citation-style-language/schema/raw/master/csl-citation.json"}</w:instrText>
      </w:r>
      <w:r w:rsidRPr="007C73D7">
        <w:rPr>
          <w:rStyle w:val="FootnoteReference"/>
        </w:rPr>
        <w:fldChar w:fldCharType="separate"/>
      </w:r>
      <w:r w:rsidR="00CA1237" w:rsidRPr="007C73D7">
        <w:rPr>
          <w:noProof/>
        </w:rPr>
        <w:t>[19]</w:t>
      </w:r>
      <w:r w:rsidRPr="007C73D7">
        <w:rPr>
          <w:rStyle w:val="FootnoteReference"/>
        </w:rPr>
        <w:fldChar w:fldCharType="end"/>
      </w:r>
      <w:r w:rsidR="000655FF" w:rsidRPr="007C73D7">
        <w:t xml:space="preserve">, </w:t>
      </w:r>
      <w:r w:rsidR="00C21B31" w:rsidRPr="007C73D7">
        <w:t xml:space="preserve">there was – and still is </w:t>
      </w:r>
      <w:r w:rsidR="00B76CCA" w:rsidRPr="007C73D7">
        <w:t>–</w:t>
      </w:r>
      <w:r w:rsidR="00C21B31" w:rsidRPr="007C73D7">
        <w:t xml:space="preserve"> a</w:t>
      </w:r>
      <w:r w:rsidRPr="007C73D7">
        <w:t xml:space="preserve"> </w:t>
      </w:r>
      <w:r w:rsidR="00C21B31" w:rsidRPr="007C73D7">
        <w:t xml:space="preserve">high </w:t>
      </w:r>
      <w:r w:rsidRPr="007C73D7">
        <w:t>degree of local self-governance and decision-making autonomy with respect to public social spending</w:t>
      </w:r>
      <w:r w:rsidR="00886829" w:rsidRPr="007C73D7">
        <w:t xml:space="preserve"> in general</w:t>
      </w:r>
      <w:r w:rsidRPr="007C73D7">
        <w:t xml:space="preserve"> </w:t>
      </w:r>
      <w:r w:rsidRPr="007C73D7">
        <w:rPr>
          <w:rStyle w:val="FootnoteReference"/>
        </w:rPr>
        <w:fldChar w:fldCharType="begin" w:fldLock="1"/>
      </w:r>
      <w:r w:rsidR="00CA1237" w:rsidRPr="007C73D7">
        <w:instrText>ADDIN CSL_CITATION {"citationItems":[{"id":"ITEM-1","itemData":{"DOI":"10.1093/heapol/czw120","ISSN":"14602237","PMID":"28207049","abstract":"In 2013 Indonesia, the world's fourth most populous country, declared that it would provide affordable health care for all its citizens within seven years. This crystallised an ambition first enshrined in law over five decades earlier, but never previously realised. This paper explores Indonesia's journey towards universal health coverage (UHC) from independence to the launch of a comprehensive health insurance scheme in January 2014. We find that Indonesia's path has been determined largely by domestic political concerns - different groups obtained access to healthcare as their socio-political importance grew. A major inflection point occurred following the Asian financial crisis of 1997. To stave off social unrest, the government provided health coverage for the poor for the first time, creating a path dependency that influenced later policy choices. The end of this programme coincided with decentralisation, leading to experimentation with several different models of health provision at the local level. When direct elections for local leaders were introduced in 2005, popular health schemes led to success at the polls. UHC became an electoral asset, moving up the political agenda. It also became contested, with national policy-makers appropriating health insurance programmes that were first developed locally, and taking credit for them. The Indonesian experience underlines the value of policy experimentation, and of a close understanding of the contextual and political factors that drive successful UHC models at the local level. Specific drivers of success and failure should be taken into account when scaling UHC to the national level. In the Indonesian example, UHC became possible when the interests of politically and economically influential groups were either satisfied or neutralised. While technical considerations took a back seat to political priorities in developing the structures for health coverage nationally, they will have to be addressed going forward to achieve sustainable UHC in Indonesia.","author":[{"dropping-particle":"","family":"Pisani","given":"Elizabeth","non-dropping-particle":"","parse-names":false,"suffix":""},{"dropping-particle":"","family":"Kok","given":"Maarten Olivier","non-dropping-particle":"","parse-names":false,"suffix":""},{"dropping-particle":"","family":"Nugroho","given":"Kharisma","non-dropping-particle":"","parse-names":false,"suffix":""}],"container-title":"Health Policy and Planning","id":"ITEM-1","issue":"2","issued":{"date-parts":[["2017"]]},"page":"267-276","title":"Indonesia's road to universal health coverage: A political journey","type":"article-journal","volume":"32"},"uris":["http://www.mendeley.com/documents/?uuid=1212070c-1632-45df-a282-e7bcc52815e5"]}],"mendeley":{"formattedCitation":"[20]","plainTextFormattedCitation":"[20]","previouslyFormattedCitation":"[20]"},"properties":{"noteIndex":0},"schema":"https://github.com/citation-style-language/schema/raw/master/csl-citation.json"}</w:instrText>
      </w:r>
      <w:r w:rsidRPr="007C73D7">
        <w:rPr>
          <w:rStyle w:val="FootnoteReference"/>
        </w:rPr>
        <w:fldChar w:fldCharType="separate"/>
      </w:r>
      <w:r w:rsidR="00CA1237" w:rsidRPr="007C73D7">
        <w:rPr>
          <w:noProof/>
        </w:rPr>
        <w:t>[20]</w:t>
      </w:r>
      <w:r w:rsidRPr="007C73D7">
        <w:rPr>
          <w:rStyle w:val="FootnoteReference"/>
        </w:rPr>
        <w:fldChar w:fldCharType="end"/>
      </w:r>
      <w:r w:rsidRPr="007C73D7">
        <w:t>,</w:t>
      </w:r>
      <w:r w:rsidR="000655FF" w:rsidRPr="007C73D7">
        <w:t xml:space="preserve"> and</w:t>
      </w:r>
      <w:r w:rsidRPr="007C73D7">
        <w:t xml:space="preserve"> </w:t>
      </w:r>
      <w:r w:rsidR="000655FF" w:rsidRPr="007C73D7">
        <w:t>in particular</w:t>
      </w:r>
      <w:r w:rsidR="00886829" w:rsidRPr="007C73D7">
        <w:t xml:space="preserve"> for</w:t>
      </w:r>
      <w:r w:rsidR="000655FF" w:rsidRPr="007C73D7">
        <w:t xml:space="preserve"> </w:t>
      </w:r>
      <w:r w:rsidRPr="007C73D7">
        <w:t>health</w:t>
      </w:r>
      <w:r w:rsidR="000655FF" w:rsidRPr="007C73D7">
        <w:t xml:space="preserve"> spending. We use a province-level panel dataset</w:t>
      </w:r>
      <w:r w:rsidR="00886829" w:rsidRPr="007C73D7">
        <w:t xml:space="preserve"> that</w:t>
      </w:r>
      <w:r w:rsidR="00C21B31" w:rsidRPr="007C73D7">
        <w:t xml:space="preserve"> captures these local spending decisions, </w:t>
      </w:r>
      <w:r w:rsidR="000655FF" w:rsidRPr="007C73D7">
        <w:t xml:space="preserve">and </w:t>
      </w:r>
      <w:r w:rsidR="00886829" w:rsidRPr="007C73D7">
        <w:t xml:space="preserve">we employ </w:t>
      </w:r>
      <w:r w:rsidR="000655FF" w:rsidRPr="007C73D7">
        <w:t>a dynamic panel data approach to account for endogeneity as well as the potential dynamics in the relationship between health expenditure and health indicators [10]</w:t>
      </w:r>
      <w:r w:rsidR="00E30678" w:rsidRPr="007C73D7">
        <w:t>.</w:t>
      </w:r>
      <w:r w:rsidR="000655FF" w:rsidRPr="007C73D7">
        <w:t xml:space="preserve"> </w:t>
      </w:r>
    </w:p>
    <w:p w14:paraId="16BFAB23" w14:textId="4ED657AB" w:rsidR="002B4C5F" w:rsidRPr="007C73D7" w:rsidRDefault="2D11C78F" w:rsidP="7469DDBB">
      <w:r w:rsidRPr="007C73D7">
        <w:t xml:space="preserve">The resulting </w:t>
      </w:r>
      <w:r w:rsidR="4D8E748D" w:rsidRPr="007C73D7">
        <w:t>elasticit</w:t>
      </w:r>
      <w:r w:rsidRPr="007C73D7">
        <w:t>y estimates</w:t>
      </w:r>
      <w:r w:rsidR="4D8E748D" w:rsidRPr="007C73D7">
        <w:t xml:space="preserve"> of U5MR with respect to health spending</w:t>
      </w:r>
      <w:r w:rsidRPr="007C73D7">
        <w:t xml:space="preserve"> </w:t>
      </w:r>
      <w:r w:rsidR="00920E7D">
        <w:t>are</w:t>
      </w:r>
      <w:r w:rsidRPr="007C73D7">
        <w:t xml:space="preserve"> used </w:t>
      </w:r>
      <w:r w:rsidR="5A616FB7" w:rsidRPr="007C73D7">
        <w:t xml:space="preserve">to </w:t>
      </w:r>
      <w:r w:rsidR="6EA903C5" w:rsidRPr="007C73D7">
        <w:t>calculate</w:t>
      </w:r>
      <w:r w:rsidR="5A616FB7" w:rsidRPr="007C73D7">
        <w:t xml:space="preserve"> </w:t>
      </w:r>
      <w:r w:rsidR="7A681B3E" w:rsidRPr="007C73D7">
        <w:t>gains in terms of DALYs averted</w:t>
      </w:r>
      <w:r w:rsidR="6EA903C5" w:rsidRPr="007C73D7">
        <w:t xml:space="preserve"> from increasing health expenditure</w:t>
      </w:r>
      <w:r w:rsidR="7A681B3E" w:rsidRPr="007C73D7">
        <w:t xml:space="preserve">. </w:t>
      </w:r>
      <w:r w:rsidR="6D4D8D49" w:rsidRPr="007C73D7">
        <w:t xml:space="preserve">We apply additional data to first calculate under-five deaths averted by an increase in expenditure. We then </w:t>
      </w:r>
      <w:r w:rsidRPr="007C73D7">
        <w:t xml:space="preserve">model </w:t>
      </w:r>
      <w:r w:rsidR="6D4D8D49" w:rsidRPr="007C73D7">
        <w:t xml:space="preserve">the DALYs averted based on deaths averted among under-5s and, ultimately, DALYs averted in the wider population. </w:t>
      </w:r>
      <w:r w:rsidR="7677469E" w:rsidRPr="007C73D7">
        <w:t xml:space="preserve">Given that the </w:t>
      </w:r>
      <w:r w:rsidR="6D4D8D49" w:rsidRPr="007C73D7">
        <w:t xml:space="preserve">cost per DALY averted </w:t>
      </w:r>
      <w:r w:rsidR="7677469E" w:rsidRPr="007C73D7">
        <w:t xml:space="preserve">metric </w:t>
      </w:r>
      <w:r w:rsidR="48F6BF89" w:rsidRPr="007C73D7">
        <w:t xml:space="preserve">can be interpreted as </w:t>
      </w:r>
      <w:r w:rsidR="2EAD1C3B" w:rsidRPr="007C73D7">
        <w:t>the HOC</w:t>
      </w:r>
      <w:r w:rsidR="65E2F1F4" w:rsidRPr="007C73D7">
        <w:t xml:space="preserve"> </w:t>
      </w:r>
      <w:r w:rsidR="7677469E" w:rsidRPr="007C73D7">
        <w:t xml:space="preserve">in the Indonesian healthcare system, </w:t>
      </w:r>
      <w:r w:rsidR="54F8DA08" w:rsidRPr="007C73D7">
        <w:t xml:space="preserve">our estimates </w:t>
      </w:r>
      <w:r w:rsidR="52D91D90" w:rsidRPr="007C73D7">
        <w:t>have the potential to inform the decision-making process about a suitable cost-effectiveness threshold</w:t>
      </w:r>
      <w:r w:rsidR="54F8DA08" w:rsidRPr="007C73D7">
        <w:t xml:space="preserve"> </w:t>
      </w:r>
      <w:r w:rsidR="39E50DCE" w:rsidRPr="007C73D7">
        <w:t xml:space="preserve">(CET) </w:t>
      </w:r>
      <w:r w:rsidR="54F8DA08" w:rsidRPr="007C73D7">
        <w:t xml:space="preserve">in the country, which </w:t>
      </w:r>
      <w:r w:rsidR="6D4D8D49" w:rsidRPr="007C73D7">
        <w:t>would ensure that interventions deemed cost-effective are only those which are likely to result in net health gains if funded</w:t>
      </w:r>
      <w:r w:rsidR="7677469E" w:rsidRPr="007C73D7">
        <w:t>.</w:t>
      </w:r>
      <w:r w:rsidR="6D4D8D49" w:rsidRPr="007C73D7">
        <w:t xml:space="preserve"> </w:t>
      </w:r>
      <w:r w:rsidR="54F8DA08" w:rsidRPr="007C73D7">
        <w:t xml:space="preserve">In </w:t>
      </w:r>
      <w:r w:rsidR="4D600A68" w:rsidRPr="007C73D7">
        <w:t xml:space="preserve">practice, </w:t>
      </w:r>
      <w:r w:rsidR="6FAB2FD6" w:rsidRPr="007C73D7">
        <w:t>thresholds</w:t>
      </w:r>
      <w:r w:rsidR="39E50DCE" w:rsidRPr="007C73D7">
        <w:t xml:space="preserve"> used for making investment and disinvestment decisions typically reflect a wide range of considerations other than </w:t>
      </w:r>
      <w:r w:rsidR="76334E10" w:rsidRPr="007C73D7">
        <w:t>HOCs</w:t>
      </w:r>
      <w:r w:rsidR="39E50DCE" w:rsidRPr="007C73D7">
        <w:t>.</w:t>
      </w:r>
      <w:r w:rsidR="76334E10" w:rsidRPr="007C73D7">
        <w:t xml:space="preserve"> </w:t>
      </w:r>
      <w:r w:rsidR="4C37B473" w:rsidRPr="007C73D7">
        <w:t xml:space="preserve">For this reason, like in </w:t>
      </w:r>
      <w:r w:rsidR="365A72FC" w:rsidRPr="007C73D7">
        <w:t xml:space="preserve">Edney et al., </w:t>
      </w:r>
      <w:r w:rsidR="28137B9C" w:rsidRPr="007C73D7">
        <w:fldChar w:fldCharType="begin" w:fldLock="1"/>
      </w:r>
      <w:r w:rsidR="28137B9C" w:rsidRPr="007C73D7">
        <w:instrText>ADDIN CSL_CITATION {"citationItems":[{"id":"ITEM-1","itemData":{"DOI":"10.1007/s40273-021-01087-6","ISBN":"0123456789","ISSN":"11792027","PMID":"34585359","abstract":"Many health technology assessment committees have an explicit or implicit reference value (often referred to as a ‘threshold’) below which new health technologies or interventions are considered value for money. The basis for these reference values is unclear but one argument is that it should be based on the health opportunity costs of funding decisions. Empirical estimates of the marginal cost per unit of health produced by a healthcare system have been proposed to capture the health opportunity costs of new funding decisions. Based on a systematic search, we identified eight studies that have sought to estimate a reference value through empirical estimation of the marginal cost per unit of health produced by a healthcare system for England, Spain, Australia, The Netherlands, Sweden, South Africa and China. We review these eight studies to provide an overview of the key methodological approaches taken to estimate the marginal cost per unit of health produced by the healthcare system with the aim to help inform future estimates for additional countries. The lead author for each of these papers was invited to contribute to the current paper to ensure all the key methodological issues encountered were appropriately captured. These included consideration of the key variables required and their measurement, accounting for endogeneity of spending to health outcomes, the inclusion of lagged spending, discounting and future costs, the use of analytical weights, level of disease aggregation, expected duration of health gains, and modelling approaches to estimating mortality and morbidity effects of health spending. Subsequent research estimates for additional countries should (1) carefully consider the specific context and data available, (2) clearly and transparently report the assumptions made and include stakeholder perspectives on their appropriateness and acceptability, and (3) assess the sensitivity of the preferred central estimate to these assumptions.","author":[{"dropping-particle":"","family":"Edney","given":"Laura C.","non-dropping-particle":"","parse-names":false,"suffix":""},{"dropping-particle":"","family":"Lomas","given":"James","non-dropping-particle":"","parse-names":false,"suffix":""},{"dropping-particle":"","family":"Karnon","given":"Jonathan","non-dropping-particle":"","parse-names":false,"suffix":""},{"dropping-particle":"","family":"Vallejo-Torres","given":"Laura","non-dropping-particle":"","parse-names":false,"suffix":""},{"dropping-particle":"","family":"Stadhouders","given":"Niek","non-dropping-particle":"","parse-names":false,"suffix":""},{"dropping-particle":"","family":"Siverskog","given":"Jonathan","non-dropping-particle":"","parse-names":false,"suffix":""},{"dropping-particle":"","family":"Paulden","given":"Mike","non-dropping-particle":"","parse-names":false,"suffix":""},{"dropping-particle":"","family":"Edoka","given":"Ijeoma P.","non-dropping-particle":"","parse-names":false,"suffix":""},{"dropping-particle":"","family":"Ochalek","given":"Jessica","non-dropping-particle":"","parse-names":false,"suffix":""}],"container-title":"PharmacoEconomics","id":"ITEM-1","issue":"1","issued":{"date-parts":[["2022"]]},"page":"31-43","publisher":"Springer International Publishing","title":"Empirical Estimates of the Marginal Cost of Health Produced by a Healthcare System: Methodological Considerations from Country-Level Estimates","type":"article-journal","volume":"40"},"uris":["http://www.mendeley.com/documents/?uuid=d5f50760-71d0-48f0-94cc-d3f036bdaec1"]}],"mendeley":{"formattedCitation":"[10]","plainTextFormattedCitation":"[10]","previouslyFormattedCitation":"[10]"},"properties":{"noteIndex":0},"schema":"https://github.com/citation-style-language/schema/raw/master/csl-citation.json"}</w:instrText>
      </w:r>
      <w:r w:rsidR="28137B9C" w:rsidRPr="007C73D7">
        <w:fldChar w:fldCharType="separate"/>
      </w:r>
      <w:r w:rsidR="2DDA68AF" w:rsidRPr="007C73D7">
        <w:rPr>
          <w:noProof/>
        </w:rPr>
        <w:t>[10]</w:t>
      </w:r>
      <w:r w:rsidR="28137B9C" w:rsidRPr="007C73D7">
        <w:fldChar w:fldCharType="end"/>
      </w:r>
      <w:r w:rsidR="365A72FC" w:rsidRPr="007C73D7">
        <w:t>,</w:t>
      </w:r>
      <w:r w:rsidR="4C37B473" w:rsidRPr="007C73D7">
        <w:t xml:space="preserve"> in this paper we avoid </w:t>
      </w:r>
      <w:r w:rsidR="1BEB8FB9" w:rsidRPr="007C73D7">
        <w:t>referring to</w:t>
      </w:r>
      <w:r w:rsidR="659D6236" w:rsidRPr="007C73D7">
        <w:t xml:space="preserve"> our estimates as</w:t>
      </w:r>
      <w:r w:rsidR="1BEB8FB9" w:rsidRPr="007C73D7">
        <w:t xml:space="preserve"> CETs.</w:t>
      </w:r>
    </w:p>
    <w:p w14:paraId="091C2111" w14:textId="6626FEA2" w:rsidR="00AE18E4" w:rsidRPr="007C73D7" w:rsidRDefault="000655FF" w:rsidP="00E02E4F">
      <w:r w:rsidRPr="007C73D7">
        <w:t>T</w:t>
      </w:r>
      <w:r w:rsidR="003E6E37" w:rsidRPr="007C73D7">
        <w:t xml:space="preserve">his </w:t>
      </w:r>
      <w:r w:rsidR="249BE14B" w:rsidRPr="007C73D7">
        <w:t xml:space="preserve">paper </w:t>
      </w:r>
      <w:r w:rsidR="003E6E37" w:rsidRPr="007C73D7">
        <w:t>makes t</w:t>
      </w:r>
      <w:r w:rsidR="00E53224" w:rsidRPr="007C73D7">
        <w:t>hree</w:t>
      </w:r>
      <w:r w:rsidR="003E6E37" w:rsidRPr="007C73D7">
        <w:t xml:space="preserve"> contributions to the existing literature.</w:t>
      </w:r>
      <w:r w:rsidR="002B4C5F" w:rsidRPr="007C73D7">
        <w:t xml:space="preserve"> </w:t>
      </w:r>
      <w:r w:rsidR="003E6E37" w:rsidRPr="007C73D7">
        <w:t xml:space="preserve">Firstly, it adds to the scarce </w:t>
      </w:r>
      <w:r w:rsidR="249BE14B" w:rsidRPr="007C73D7">
        <w:t xml:space="preserve">body of </w:t>
      </w:r>
      <w:r w:rsidR="003E6E37" w:rsidRPr="007C73D7">
        <w:t>work on the causal</w:t>
      </w:r>
      <w:r w:rsidR="00B9768E" w:rsidRPr="007C73D7">
        <w:t xml:space="preserve"> effect</w:t>
      </w:r>
      <w:r w:rsidR="003E6E37" w:rsidRPr="007C73D7">
        <w:t xml:space="preserve"> of health expenditure on mortality using subnational data in LMICs. Secondly, it contributes to the literature </w:t>
      </w:r>
      <w:r w:rsidR="00E768B1" w:rsidRPr="007C73D7">
        <w:t xml:space="preserve">on methods for </w:t>
      </w:r>
      <w:r w:rsidR="00E07C70" w:rsidRPr="007C73D7">
        <w:t>estimating the effect of health expenditure on mortality (</w:t>
      </w:r>
      <w:r w:rsidR="7BFEFC67" w:rsidRPr="007C73D7">
        <w:t xml:space="preserve">elasticities) </w:t>
      </w:r>
      <w:r w:rsidR="00EC1213" w:rsidRPr="007C73D7">
        <w:t>by</w:t>
      </w:r>
      <w:r w:rsidR="003E6E37" w:rsidRPr="007C73D7">
        <w:t xml:space="preserve"> </w:t>
      </w:r>
      <w:r w:rsidR="008B7478" w:rsidRPr="007C73D7">
        <w:t>considering</w:t>
      </w:r>
      <w:r w:rsidR="003E6E37" w:rsidRPr="007C73D7">
        <w:t xml:space="preserve"> a dynamic </w:t>
      </w:r>
      <w:r w:rsidR="008B7478" w:rsidRPr="007C73D7">
        <w:t xml:space="preserve">specification of the </w:t>
      </w:r>
      <w:r w:rsidR="003E6E37" w:rsidRPr="007C73D7">
        <w:t xml:space="preserve">health production function. Thirdly, it fills a gap in the literature </w:t>
      </w:r>
      <w:r w:rsidR="00FD108C" w:rsidRPr="007C73D7">
        <w:lastRenderedPageBreak/>
        <w:t>by quantifying</w:t>
      </w:r>
      <w:r w:rsidR="003E6E37" w:rsidRPr="007C73D7">
        <w:t xml:space="preserve"> the marginal productivity of the Indonesian public health</w:t>
      </w:r>
      <w:r w:rsidR="0076239D" w:rsidRPr="007C73D7">
        <w:t>care</w:t>
      </w:r>
      <w:r w:rsidR="003E6E37" w:rsidRPr="007C73D7">
        <w:t xml:space="preserve"> system</w:t>
      </w:r>
      <w:r w:rsidR="249BE14B" w:rsidRPr="007C73D7">
        <w:t xml:space="preserve"> in terms of cost per DALY averted, which can inform the HOC in Indonesia to support local reimbursement decisions</w:t>
      </w:r>
      <w:r w:rsidR="00BD5299" w:rsidRPr="007C73D7">
        <w:t>.</w:t>
      </w:r>
    </w:p>
    <w:p w14:paraId="78AB14DC" w14:textId="1AB71480" w:rsidR="00D84AD4" w:rsidRPr="007C73D7" w:rsidRDefault="00AB4E88" w:rsidP="00E02E4F">
      <w:pPr>
        <w:rPr>
          <w:b/>
          <w:bCs/>
        </w:rPr>
      </w:pPr>
      <w:r w:rsidRPr="007C73D7">
        <w:rPr>
          <w:b/>
          <w:bCs/>
        </w:rPr>
        <w:t>2</w:t>
      </w:r>
      <w:r w:rsidR="00A97737" w:rsidRPr="007C73D7">
        <w:rPr>
          <w:b/>
          <w:bCs/>
        </w:rPr>
        <w:t xml:space="preserve">. </w:t>
      </w:r>
      <w:r w:rsidR="00553ACB" w:rsidRPr="007C73D7">
        <w:rPr>
          <w:b/>
          <w:bCs/>
        </w:rPr>
        <w:t>Methods</w:t>
      </w:r>
    </w:p>
    <w:p w14:paraId="125124F6" w14:textId="4C0897BA" w:rsidR="00A97737" w:rsidRPr="007C73D7" w:rsidRDefault="00AB4E88" w:rsidP="00E02E4F">
      <w:pPr>
        <w:rPr>
          <w:b/>
          <w:bCs/>
        </w:rPr>
      </w:pPr>
      <w:r w:rsidRPr="007C73D7">
        <w:rPr>
          <w:b/>
          <w:bCs/>
        </w:rPr>
        <w:t>2</w:t>
      </w:r>
      <w:r w:rsidR="00A97737" w:rsidRPr="007C73D7">
        <w:rPr>
          <w:b/>
          <w:bCs/>
        </w:rPr>
        <w:t>.1. Data sources and variables</w:t>
      </w:r>
    </w:p>
    <w:p w14:paraId="564C2173" w14:textId="64144484" w:rsidR="00D84AD4" w:rsidRPr="007C73D7" w:rsidRDefault="00D84AD4" w:rsidP="00E02E4F">
      <w:r w:rsidRPr="007C73D7">
        <w:t>We constructed a panel includ</w:t>
      </w:r>
      <w:r w:rsidR="00A809D9" w:rsidRPr="007C73D7">
        <w:t>ing</w:t>
      </w:r>
      <w:r w:rsidRPr="007C73D7">
        <w:t xml:space="preserve"> data from </w:t>
      </w:r>
      <w:r w:rsidR="002E7078" w:rsidRPr="007C73D7">
        <w:t xml:space="preserve">the </w:t>
      </w:r>
      <w:r w:rsidRPr="007C73D7">
        <w:t xml:space="preserve">33 Indonesian provinces over the 2004-2012 period. </w:t>
      </w:r>
      <w:r w:rsidR="00D55EFE" w:rsidRPr="007C73D7">
        <w:t>The under-five mortality rate was</w:t>
      </w:r>
      <w:r w:rsidRPr="007C73D7">
        <w:rPr>
          <w:color w:val="FF0000"/>
        </w:rPr>
        <w:t xml:space="preserve"> </w:t>
      </w:r>
      <w:r w:rsidRPr="007C73D7">
        <w:t>constructed from the Indonesia Demographic and Health Survey</w:t>
      </w:r>
      <w:r w:rsidR="008034D8" w:rsidRPr="007C73D7">
        <w:t>s</w:t>
      </w:r>
      <w:r w:rsidRPr="007C73D7">
        <w:t xml:space="preserve"> (IDHS) conducted in 2007 and 2012</w:t>
      </w:r>
      <w:r w:rsidR="00B746AB" w:rsidRPr="007C73D7">
        <w:t xml:space="preserve"> </w:t>
      </w:r>
      <w:r w:rsidR="00C13917" w:rsidRPr="007C73D7">
        <w:rPr>
          <w:rStyle w:val="FootnoteReference"/>
        </w:rPr>
        <w:fldChar w:fldCharType="begin" w:fldLock="1"/>
      </w:r>
      <w:r w:rsidR="00CA1237" w:rsidRPr="007C73D7">
        <w:instrText>ADDIN CSL_CITATION {"citationItems":[{"id":"ITEM-1","itemData":{"author":[{"dropping-particle":"","family":"Statistics Indonesia - Badan Pusat Statistik (BPS) and Macro International","given":"","non-dropping-particle":"","parse-names":false,"suffix":""}],"id":"ITEM-1","issued":{"date-parts":[["2008"]]},"publisher-place":"Calverton, Maryland, USA, BPS and Macro International.","title":"Indonesia Demographic and Health Survey 2007","type":"report"},"uris":["http://www.mendeley.com/documents/?uuid=20f5cd26-1c0d-4b70-9b70-79cb53755aeb"]},{"id":"ITEM-2","itemData":{"author":[{"dropping-particle":"","family":"Statistics Indonesia - Badan Pusat Statistik (BPS)","given":"","non-dropping-particle":"","parse-names":false,"suffix":""}],"id":"ITEM-2","issued":{"date-parts":[["2013"]]},"publisher-place":"Jakarta, Indonesia: BPS, BKKBN, Kemenkes, and ICF International","title":"Indonesia Demographic and Health Survey 2012.","type":"report"},"uris":["http://www.mendeley.com/documents/?uuid=f9d56bcd-9ba5-4cb3-8641-42d4f27c514a"]}],"mendeley":{"formattedCitation":"[21,22]","plainTextFormattedCitation":"[21,22]","previouslyFormattedCitation":"[21,22]"},"properties":{"noteIndex":0},"schema":"https://github.com/citation-style-language/schema/raw/master/csl-citation.json"}</w:instrText>
      </w:r>
      <w:r w:rsidR="00C13917" w:rsidRPr="007C73D7">
        <w:rPr>
          <w:rStyle w:val="FootnoteReference"/>
        </w:rPr>
        <w:fldChar w:fldCharType="separate"/>
      </w:r>
      <w:r w:rsidR="00CA1237" w:rsidRPr="007C73D7">
        <w:rPr>
          <w:noProof/>
        </w:rPr>
        <w:t>[21,22]</w:t>
      </w:r>
      <w:r w:rsidR="00C13917" w:rsidRPr="007C73D7">
        <w:rPr>
          <w:rStyle w:val="FootnoteReference"/>
        </w:rPr>
        <w:fldChar w:fldCharType="end"/>
      </w:r>
      <w:r w:rsidRPr="007C73D7">
        <w:t xml:space="preserve">. </w:t>
      </w:r>
      <w:r w:rsidR="00A97737" w:rsidRPr="007C73D7">
        <w:t xml:space="preserve">This is a large, high-quality household survey representative at the province level, including data from around 40,000 households per survey wave. </w:t>
      </w:r>
      <w:r w:rsidRPr="007C73D7">
        <w:t>The covariates and instrumental variables used in the analysis were extracted from the Indonesia Database for Policy and Economic Research</w:t>
      </w:r>
      <w:r w:rsidR="00DC38B8" w:rsidRPr="007C73D7">
        <w:t xml:space="preserve"> (</w:t>
      </w:r>
      <w:r w:rsidRPr="007C73D7">
        <w:t>INDO-DAPOER</w:t>
      </w:r>
      <w:r w:rsidR="00BF6983" w:rsidRPr="007C73D7">
        <w:t xml:space="preserve">, </w:t>
      </w:r>
      <w:r w:rsidR="00C13917" w:rsidRPr="007C73D7">
        <w:rPr>
          <w:rStyle w:val="FootnoteReference"/>
        </w:rPr>
        <w:fldChar w:fldCharType="begin" w:fldLock="1"/>
      </w:r>
      <w:r w:rsidR="00CA1237" w:rsidRPr="007C73D7">
        <w:instrText>ADDIN CSL_CITATION {"citationItems":[{"id":"ITEM-1","itemData":{"author":[{"dropping-particle":"","family":"The World Bank","given":"","non-dropping-particle":"","parse-names":false,"suffix":""}],"id":"ITEM-1","issued":{"date-parts":[["2012"]]},"title":"Indonesia Database for Policy and Economic Research (INDO-DAPOER)","type":"article"},"uris":["http://www.mendeley.com/documents/?uuid=0f720d9d-ed34-4de5-85b3-8b77e8152bda"]}],"mendeley":{"formattedCitation":"[23]","plainTextFormattedCitation":"[23]","previouslyFormattedCitation":"[23]"},"properties":{"noteIndex":0},"schema":"https://github.com/citation-style-language/schema/raw/master/csl-citation.json"}</w:instrText>
      </w:r>
      <w:r w:rsidR="00C13917" w:rsidRPr="007C73D7">
        <w:rPr>
          <w:rStyle w:val="FootnoteReference"/>
        </w:rPr>
        <w:fldChar w:fldCharType="separate"/>
      </w:r>
      <w:r w:rsidR="00CA1237" w:rsidRPr="007C73D7">
        <w:rPr>
          <w:noProof/>
        </w:rPr>
        <w:t>[23]</w:t>
      </w:r>
      <w:r w:rsidR="00C13917" w:rsidRPr="007C73D7">
        <w:rPr>
          <w:rStyle w:val="FootnoteReference"/>
        </w:rPr>
        <w:fldChar w:fldCharType="end"/>
      </w:r>
      <w:r w:rsidRPr="007C73D7">
        <w:t>), which is maintained by the World Bank and contains economic and social indicators at t</w:t>
      </w:r>
      <w:r w:rsidR="00BF3127" w:rsidRPr="007C73D7">
        <w:t>he province- and district-level</w:t>
      </w:r>
      <w:r w:rsidRPr="007C73D7">
        <w:t xml:space="preserve"> </w:t>
      </w:r>
      <w:r w:rsidR="00C13917" w:rsidRPr="007C73D7">
        <w:rPr>
          <w:rStyle w:val="FootnoteReference"/>
        </w:rPr>
        <w:fldChar w:fldCharType="begin" w:fldLock="1"/>
      </w:r>
      <w:r w:rsidR="00CA1237" w:rsidRPr="007C73D7">
        <w:instrText>ADDIN CSL_CITATION {"citationItems":[{"id":"ITEM-1","itemData":{"abstract":"Sejalan dengan tugas pokok BPS dalam melaksanakan kegiatan pemerintah di bidang statistik khususnya untuk menyediakan data statistik kesejahteraan rakyat yang lengkap, akurat, dan mutakhir, Survei Sosial Ekonomi Nasional (Susenas) mengumpulkan data yang berkaitan dengan kondisi sosial ekonomi masyarakat meliputi: kondisi kesehatan, pendidikan, fertilitas, keluarga berencana, ketenagakerjaan, perumahan,dan kondisi sosial ekonomi lainnya. Dengan perannya sebagai sumber data bidang sosial ekonomi dan kesejahteraan rakyat, maka Susenas terus menerus mengalami perbaikan dan pengembangan. Pada tahun 1992, BPS melakukan pengembangan materi Susenas sekaligus penataan waktu pendataannya. Seluruh topik atau variabel yang dicakup dalam Susenas sebelumnya dicacah dengan menggunakan satu kuesioner. Pada saat ini, topik atau variabel yang dicakup dalam Susenas dikelompokkan ke dalam 2 (dua) kategori, yaitu Kor dan Modul. Variabel yang termasuk kategori Kor (inti) dikumpulkan datanya setiap tahun, sedangkan untuk variabel kategori Modul dikelompokkan lagi ke dalam 3 (tiga) paket, masing-masing paket digilir pengumpulannya setiap 3 (tiga) tahun sekali. Ketiga paket tersebut adalah","author":[{"dropping-particle":"","family":"Statistics Indonesia (Badan Pusat Statistik—BPS)","given":"","non-dropping-particle":"","parse-names":false,"suffix":""}],"id":"ITEM-1","issued":{"date-parts":[["2014"]]},"publisher-place":"Jakarta","title":"Indonesia - National Socio-Economic Survey 2013","type":"report"},"uris":["http://www.mendeley.com/documents/?uuid=0dfafc01-3849-49a6-8d82-377fff6c41aa"]}],"mendeley":{"formattedCitation":"[24]","plainTextFormattedCitation":"[24]","previouslyFormattedCitation":"[24]"},"properties":{"noteIndex":0},"schema":"https://github.com/citation-style-language/schema/raw/master/csl-citation.json"}</w:instrText>
      </w:r>
      <w:r w:rsidR="00C13917" w:rsidRPr="007C73D7">
        <w:rPr>
          <w:rStyle w:val="FootnoteReference"/>
        </w:rPr>
        <w:fldChar w:fldCharType="separate"/>
      </w:r>
      <w:r w:rsidR="00CA1237" w:rsidRPr="007C73D7">
        <w:rPr>
          <w:noProof/>
        </w:rPr>
        <w:t>[24]</w:t>
      </w:r>
      <w:r w:rsidR="00C13917" w:rsidRPr="007C73D7">
        <w:rPr>
          <w:rStyle w:val="FootnoteReference"/>
        </w:rPr>
        <w:fldChar w:fldCharType="end"/>
      </w:r>
      <w:r w:rsidRPr="007C73D7">
        <w:t xml:space="preserve">. </w:t>
      </w:r>
      <w:r w:rsidR="0013099C" w:rsidRPr="007C73D7">
        <w:t>Table 1 provides descriptive statistics of the variables used in the analysis.</w:t>
      </w:r>
    </w:p>
    <w:p w14:paraId="41AC1769" w14:textId="60A120D2" w:rsidR="00D84AD4" w:rsidRPr="007C73D7" w:rsidRDefault="00E64DC3" w:rsidP="00E02E4F">
      <w:pPr>
        <w:rPr>
          <w:b/>
          <w:bCs/>
          <w:i/>
          <w:iCs/>
        </w:rPr>
      </w:pPr>
      <w:r w:rsidRPr="007C73D7">
        <w:rPr>
          <w:b/>
          <w:bCs/>
          <w:i/>
          <w:iCs/>
        </w:rPr>
        <w:t xml:space="preserve">2.1.1. </w:t>
      </w:r>
      <w:r w:rsidR="00D84AD4" w:rsidRPr="007C73D7">
        <w:rPr>
          <w:b/>
          <w:bCs/>
          <w:i/>
          <w:iCs/>
        </w:rPr>
        <w:t>Mortality outcome</w:t>
      </w:r>
    </w:p>
    <w:p w14:paraId="440B7502" w14:textId="10036223" w:rsidR="002C1469" w:rsidRPr="007C73D7" w:rsidRDefault="6DB014EC" w:rsidP="6DB014EC">
      <w:pPr>
        <w:rPr>
          <w:rFonts w:ascii="Calibri" w:eastAsia="Calibri" w:hAnsi="Calibri" w:cs="Calibri"/>
        </w:rPr>
      </w:pPr>
      <w:r w:rsidRPr="007C73D7">
        <w:rPr>
          <w:rFonts w:ascii="Calibri" w:eastAsia="Calibri" w:hAnsi="Calibri" w:cs="Calibri"/>
          <w:color w:val="000000" w:themeColor="text1"/>
        </w:rPr>
        <w:t xml:space="preserve">Due to the lack of vital statistics information in Indonesia, we follow other reports (e.g., </w:t>
      </w:r>
      <w:r w:rsidR="00B97406" w:rsidRPr="007C73D7">
        <w:rPr>
          <w:rFonts w:ascii="Calibri" w:eastAsia="Calibri" w:hAnsi="Calibri" w:cs="Calibri"/>
          <w:color w:val="000000" w:themeColor="text1"/>
        </w:rPr>
        <w:fldChar w:fldCharType="begin" w:fldLock="1"/>
      </w:r>
      <w:r w:rsidR="00BB7FBF" w:rsidRPr="007C73D7">
        <w:rPr>
          <w:rFonts w:ascii="Calibri" w:eastAsia="Calibri" w:hAnsi="Calibri" w:cs="Calibri"/>
          <w:color w:val="000000" w:themeColor="text1"/>
        </w:rPr>
        <w:instrText>ADDIN CSL_CITATION {"citationItems":[{"id":"ITEM-1","itemData":{"ISBN":"9789280653212","abstract":"In calce alla copertina: Unicef, World Health Organization, World Bank Group, United Nations While the world was gripped by the unfolding COVID-19 pandemic in 2020, children continued to face the same crisis they have for decades: intolerably high mortality rates and vastly inequitable chances at life. In total, more than 5.0 million children under age 5, including 2.4 million newborns, along with 2.2 million children and youth aged 5 to 24 years – 43 per cent of whom are adolescents – died in 2020. This tragic and massive loss of life, most of which was due to preventable or treatable causes, is a stark reminder of the urgent need to end preventable deaths of children and young people.","author":[{"dropping-particle":"","family":"UN Inter-agency Group for Child Mortality Estimation (UN IGME)","given":"","non-dropping-particle":"","parse-names":false,"suffix":""}],"id":"ITEM-1","issued":{"date-parts":[["2019"]]},"publisher":"United Nations Children’s Fund","publisher-place":"New York","title":"Levels and trends in child mortality: report 2019, Estimates developed by the United Nations Inter-agency Group for Child Mortality Estimation","type":"book"},"uris":["http://www.mendeley.com/documents/?uuid=c326f36a-0d5b-4eb3-9a08-1350b3fae989"]},{"id":"ITEM-2","itemData":{"ISBN":"9789290225164","author":[{"dropping-particle":"","family":"Mahendradhata","given":"Y","non-dropping-particle":"","parse-names":false,"suffix":""},{"dropping-particle":"","family":"Trisnantoro","given":"L","non-dropping-particle":"","parse-names":false,"suffix":""},{"dropping-particle":"","family":"Listyadewi","given":"S","non-dropping-particle":"","parse-names":false,"suffix":""},{"dropping-particle":"","family":"Soewondo","given":"P","non-dropping-particle":"","parse-names":false,"suffix":""},{"dropping-particle":"","family":"Marthias","given":"T","non-dropping-particle":"","parse-names":false,"suffix":""},{"dropping-particle":"","family":"Harimurti","given":"P","non-dropping-particle":"","parse-names":false,"suffix":""},{"dropping-particle":"","family":"Prawira","given":"J","non-dropping-particle":"","parse-names":false,"suffix":""}],"id":"ITEM-2","issued":{"date-parts":[["2017"]]},"publisher":"In: Hort &amp; Patcharanarumol W (eds.) Health Systems in Transition. India: World Health Organization. 2017.","title":"The Republic of Indonesia Health System Review","type":"report"},"uris":["http://www.mendeley.com/documents/?uuid=fcedce89-a3eb-48e9-83d5-0fcb03ef5c14"]}],"mendeley":{"formattedCitation":"[19,25]","plainTextFormattedCitation":"[19,25]","previouslyFormattedCitation":"[19,25]"},"properties":{"noteIndex":0},"schema":"https://github.com/citation-style-language/schema/raw/master/csl-citation.json"}</w:instrText>
      </w:r>
      <w:r w:rsidR="00B97406" w:rsidRPr="007C73D7">
        <w:rPr>
          <w:rFonts w:ascii="Calibri" w:eastAsia="Calibri" w:hAnsi="Calibri" w:cs="Calibri"/>
          <w:color w:val="000000" w:themeColor="text1"/>
        </w:rPr>
        <w:fldChar w:fldCharType="separate"/>
      </w:r>
      <w:r w:rsidR="00B97406" w:rsidRPr="007C73D7">
        <w:rPr>
          <w:rFonts w:ascii="Calibri" w:eastAsia="Calibri" w:hAnsi="Calibri" w:cs="Calibri"/>
          <w:noProof/>
          <w:color w:val="000000" w:themeColor="text1"/>
        </w:rPr>
        <w:t>[19,25]</w:t>
      </w:r>
      <w:r w:rsidR="00B97406" w:rsidRPr="007C73D7">
        <w:rPr>
          <w:rFonts w:ascii="Calibri" w:eastAsia="Calibri" w:hAnsi="Calibri" w:cs="Calibri"/>
          <w:color w:val="000000" w:themeColor="text1"/>
        </w:rPr>
        <w:fldChar w:fldCharType="end"/>
      </w:r>
      <w:r w:rsidRPr="007C73D7">
        <w:rPr>
          <w:rFonts w:ascii="Calibri" w:eastAsia="Calibri" w:hAnsi="Calibri" w:cs="Calibri"/>
          <w:color w:val="000000" w:themeColor="text1"/>
        </w:rPr>
        <w:t xml:space="preserve">) and use estimates from the Demographic and Health Surveys. It has been demonstrated that these estimates are reliable indicators of child mortality </w:t>
      </w:r>
      <w:r w:rsidR="00BB7FBF" w:rsidRPr="007C73D7">
        <w:rPr>
          <w:rFonts w:ascii="Calibri" w:eastAsia="Calibri" w:hAnsi="Calibri" w:cs="Calibri"/>
          <w:color w:val="000000" w:themeColor="text1"/>
          <w:highlight w:val="yellow"/>
        </w:rPr>
        <w:fldChar w:fldCharType="begin" w:fldLock="1"/>
      </w:r>
      <w:r w:rsidR="00BB7FBF" w:rsidRPr="007C73D7">
        <w:rPr>
          <w:rFonts w:ascii="Calibri" w:eastAsia="Calibri" w:hAnsi="Calibri" w:cs="Calibri"/>
          <w:color w:val="000000" w:themeColor="text1"/>
          <w:highlight w:val="yellow"/>
        </w:rPr>
        <w:instrText>ADDIN CSL_CITATION {"citationItems":[{"id":"ITEM-1","itemData":{"abstract":"This report assesses the quality and consistency of age and date reports in DHS surveys conducted since 2000 in 67 countries. It is the most recent of several reports on various aspects of DHS data quality. The first chapter describes the steps of editing and imputing during fieldwork and data processing. Great care is taken to train and supervise the interviewers to obtain the best possible estimates of ages and dates. The eligibility of adults for the surveys of women and men depends on obtaining accurate values of age near the lower and upper age boundaries within the household survey. The eligibility of young children for the detailed health questions depends on obtaining accurate estimates of when they were born within the surveys of women. Age-specific fertility rates, under-five mortality rates, immunization rates, anthropometry scores, and many other DHS indicators depend on accurate estimates of age. An appendix provides an inventory of all the locations in DHS surveys where the respondents are asked for ages and dates. This assessment focuses on just a few of those locations: the ages of all household members, provided by the household respondent during the household survey; the self-reported ages and birthdates of women and men in the surveys of women and men; women�s self-reports of age and date of first union in the survey of women; the birthdates (and ages, if living) of children in the birth histories, provided by the mother; and the women�s and men�s estimates of their respective spouses� ages in the surveys of women and men. The second chapter assesses the ages listed above, other than spousal estimates, in terms of three types of measures: incompleteness, heaping, and transfers. A total of 11 indicators are used. For each indicator, the distribution across all surveys is described and the surveys with the most extreme levels are identified. All of these measures vary substantially. There are many surveys with values close to zero on all measures, and others with very high values. There are some surveys in which month of birth is hardly ever given. Age/date transfers are sometimes large but in a direction opposite to what we would expect, particularly around age 15 or around the date for the health questions, clearly as a result of over-correction during training and supervision. Surveys with extreme values are listed. Summary indices of incompleteness, heaping, and transfers are constructed and tracked over time. The indicators fluctua…","author":[{"dropping-particle":"","family":"Pullum","given":"Thomas W","non-dropping-particle":"","parse-names":false,"suffix":""},{"dropping-particle":"","family":"Staveteig","given":"Sarah","non-dropping-particle":"","parse-names":false,"suffix":""}],"container-title":"DHS Methodological Report No. 19 ","id":"ITEM-1","issue":"August","issued":{"date-parts":[["2017"]]},"page":"2000-2015","title":"An assessment of the quality and consistency of age and date reporting in DHS Surveys, 2000-2015 ","type":"article-journal"},"uris":["http://www.mendeley.com/documents/?uuid=6f8503a3-3c2f-4e98-9bd6-a4cd584d7ce1"]}],"mendeley":{"formattedCitation":"[26]","plainTextFormattedCitation":"[26]","previouslyFormattedCitation":"[26]"},"properties":{"noteIndex":0},"schema":"https://github.com/citation-style-language/schema/raw/master/csl-citation.json"}</w:instrText>
      </w:r>
      <w:r w:rsidR="00BB7FBF" w:rsidRPr="007C73D7">
        <w:rPr>
          <w:rFonts w:ascii="Calibri" w:eastAsia="Calibri" w:hAnsi="Calibri" w:cs="Calibri"/>
          <w:color w:val="000000" w:themeColor="text1"/>
          <w:highlight w:val="yellow"/>
        </w:rPr>
        <w:fldChar w:fldCharType="separate"/>
      </w:r>
      <w:r w:rsidR="00BB7FBF" w:rsidRPr="007C73D7">
        <w:rPr>
          <w:rFonts w:ascii="Calibri" w:eastAsia="Calibri" w:hAnsi="Calibri" w:cs="Calibri"/>
          <w:noProof/>
          <w:color w:val="000000" w:themeColor="text1"/>
        </w:rPr>
        <w:t>[26]</w:t>
      </w:r>
      <w:r w:rsidR="00BB7FBF" w:rsidRPr="007C73D7">
        <w:rPr>
          <w:rFonts w:ascii="Calibri" w:eastAsia="Calibri" w:hAnsi="Calibri" w:cs="Calibri"/>
          <w:color w:val="000000" w:themeColor="text1"/>
          <w:highlight w:val="yellow"/>
        </w:rPr>
        <w:fldChar w:fldCharType="end"/>
      </w:r>
      <w:r w:rsidRPr="007C73D7">
        <w:rPr>
          <w:rFonts w:ascii="Calibri" w:eastAsia="Calibri" w:hAnsi="Calibri" w:cs="Calibri"/>
          <w:color w:val="000000" w:themeColor="text1"/>
        </w:rPr>
        <w:t>, and in particular for Indonesia they closely correspond to alternative estimates by the United Nations indicators</w:t>
      </w:r>
      <w:r w:rsidR="00BB7FBF" w:rsidRPr="007C73D7">
        <w:rPr>
          <w:rFonts w:ascii="Calibri" w:eastAsia="Calibri" w:hAnsi="Calibri" w:cs="Calibri"/>
          <w:color w:val="000000" w:themeColor="text1"/>
        </w:rPr>
        <w:t xml:space="preserve">. </w:t>
      </w:r>
      <w:r w:rsidR="00BB7FBF" w:rsidRPr="007C73D7">
        <w:rPr>
          <w:rFonts w:ascii="Calibri" w:eastAsia="Calibri" w:hAnsi="Calibri" w:cs="Calibri"/>
          <w:color w:val="000000" w:themeColor="text1"/>
        </w:rPr>
        <w:fldChar w:fldCharType="begin" w:fldLock="1"/>
      </w:r>
      <w:r w:rsidR="00BB7FBF" w:rsidRPr="007C73D7">
        <w:rPr>
          <w:rFonts w:ascii="Calibri" w:eastAsia="Calibri" w:hAnsi="Calibri" w:cs="Calibri"/>
          <w:color w:val="000000" w:themeColor="text1"/>
        </w:rPr>
        <w:instrText>ADDIN CSL_CITATION {"citationItems":[{"id":"ITEM-1","itemData":{"ISBN":"9789280653212","abstract":"In calce alla copertina: Unicef, World Health Organization, World Bank Group, United Nations While the world was gripped by the unfolding COVID-19 pandemic in 2020, children continued to face the same crisis they have for decades: intolerably high mortality rates and vastly inequitable chances at life. In total, more than 5.0 million children under age 5, including 2.4 million newborns, along with 2.2 million children and youth aged 5 to 24 years – 43 per cent of whom are adolescents – died in 2020. This tragic and massive loss of life, most of which was due to preventable or treatable causes, is a stark reminder of the urgent need to end preventable deaths of children and young people.","author":[{"dropping-particle":"","family":"UN Inter-agency Group for Child Mortality Estimation (UN IGME)","given":"","non-dropping-particle":"","parse-names":false,"suffix":""}],"id":"ITEM-1","issued":{"date-parts":[["2019"]]},"publisher":"United Nations Children’s Fund","publisher-place":"New York","title":"Levels and trends in child mortality: report 2019, Estimates developed by the United Nations Inter-agency Group for Child Mortality Estimation","type":"book"},"uris":["http://www.mendeley.com/documents/?uuid=c326f36a-0d5b-4eb3-9a08-1350b3fae989"]}],"mendeley":{"formattedCitation":"[25]","plainTextFormattedCitation":"[25]","previouslyFormattedCitation":"[25]"},"properties":{"noteIndex":0},"schema":"https://github.com/citation-style-language/schema/raw/master/csl-citation.json"}</w:instrText>
      </w:r>
      <w:r w:rsidR="00BB7FBF" w:rsidRPr="007C73D7">
        <w:rPr>
          <w:rFonts w:ascii="Calibri" w:eastAsia="Calibri" w:hAnsi="Calibri" w:cs="Calibri"/>
          <w:color w:val="000000" w:themeColor="text1"/>
        </w:rPr>
        <w:fldChar w:fldCharType="separate"/>
      </w:r>
      <w:r w:rsidR="00BB7FBF" w:rsidRPr="007C73D7">
        <w:rPr>
          <w:rFonts w:ascii="Calibri" w:eastAsia="Calibri" w:hAnsi="Calibri" w:cs="Calibri"/>
          <w:noProof/>
          <w:color w:val="000000" w:themeColor="text1"/>
        </w:rPr>
        <w:t>[25]</w:t>
      </w:r>
      <w:r w:rsidR="00BB7FBF" w:rsidRPr="007C73D7">
        <w:rPr>
          <w:rFonts w:ascii="Calibri" w:eastAsia="Calibri" w:hAnsi="Calibri" w:cs="Calibri"/>
          <w:color w:val="000000" w:themeColor="text1"/>
        </w:rPr>
        <w:fldChar w:fldCharType="end"/>
      </w:r>
      <w:r w:rsidRPr="007C73D7">
        <w:rPr>
          <w:rFonts w:ascii="Calibri" w:eastAsia="Calibri" w:hAnsi="Calibri" w:cs="Calibri"/>
        </w:rPr>
        <w:t xml:space="preserve"> </w:t>
      </w:r>
    </w:p>
    <w:p w14:paraId="1D01D24D" w14:textId="033EA1A7" w:rsidR="002C1469" w:rsidRPr="007C73D7" w:rsidRDefault="00D84AD4" w:rsidP="6DB014EC">
      <w:pPr>
        <w:rPr>
          <w:rFonts w:ascii="Calibri" w:eastAsia="Calibri" w:hAnsi="Calibri" w:cs="Calibri"/>
        </w:rPr>
      </w:pPr>
      <w:r w:rsidRPr="007C73D7">
        <w:t xml:space="preserve">We use U5MR, which measures the probability </w:t>
      </w:r>
      <w:r w:rsidR="008B0305" w:rsidRPr="007C73D7">
        <w:t xml:space="preserve">for a given child </w:t>
      </w:r>
      <w:r w:rsidRPr="007C73D7">
        <w:t xml:space="preserve">of dying between birth and </w:t>
      </w:r>
      <w:r w:rsidR="00BE0B35" w:rsidRPr="007C73D7">
        <w:t xml:space="preserve">the </w:t>
      </w:r>
      <w:r w:rsidRPr="007C73D7">
        <w:t xml:space="preserve">age </w:t>
      </w:r>
      <w:r w:rsidR="00BE0B35" w:rsidRPr="007C73D7">
        <w:t xml:space="preserve">of </w:t>
      </w:r>
      <w:r w:rsidRPr="007C73D7">
        <w:t xml:space="preserve">five years. </w:t>
      </w:r>
      <w:r w:rsidR="6DB014EC" w:rsidRPr="007C73D7">
        <w:rPr>
          <w:rFonts w:ascii="Calibri" w:eastAsia="Calibri" w:hAnsi="Calibri" w:cs="Calibri"/>
          <w:color w:val="000000" w:themeColor="text1"/>
        </w:rPr>
        <w:t xml:space="preserve"> The information contributing to the U5MR is based on retrospective birth information provided by women aged 15-49 who had ever been married.  A full birth history was collected from interviewed women about each </w:t>
      </w:r>
      <w:r w:rsidR="6DB014EC" w:rsidRPr="007C73D7">
        <w:rPr>
          <w:rFonts w:ascii="Calibri" w:eastAsia="Calibri" w:hAnsi="Calibri" w:cs="Calibri"/>
        </w:rPr>
        <w:t>live-born child to whom the woman had ever given birth, and the data includes variables for the date of birth (month and year) of each live birth, sex of each child, survival status of each child, age of each surviving child, and age at death of each deceased.</w:t>
      </w:r>
    </w:p>
    <w:p w14:paraId="020B00CC" w14:textId="53165550" w:rsidR="002C1469" w:rsidRPr="007C73D7" w:rsidRDefault="6DB014EC" w:rsidP="6DB014EC">
      <w:r w:rsidRPr="007C73D7">
        <w:rPr>
          <w:rFonts w:ascii="Calibri" w:eastAsia="Calibri" w:hAnsi="Calibri" w:cs="Calibri"/>
          <w:color w:val="000000" w:themeColor="text1"/>
        </w:rPr>
        <w:lastRenderedPageBreak/>
        <w:t xml:space="preserve">We calculate province-specific, yearly under-five mortality rates, using the synthetic cohort probability method employed in the Demographic and Health Surveys (DHS) </w:t>
      </w:r>
      <w:r w:rsidR="00BB7FBF" w:rsidRPr="007C73D7">
        <w:rPr>
          <w:rFonts w:ascii="Calibri" w:eastAsia="Calibri" w:hAnsi="Calibri" w:cs="Calibri"/>
          <w:color w:val="000000" w:themeColor="text1"/>
        </w:rPr>
        <w:fldChar w:fldCharType="begin" w:fldLock="1"/>
      </w:r>
      <w:r w:rsidR="00BB7FBF" w:rsidRPr="007C73D7">
        <w:rPr>
          <w:rFonts w:ascii="Calibri" w:eastAsia="Calibri" w:hAnsi="Calibri" w:cs="Calibri"/>
          <w:color w:val="000000" w:themeColor="text1"/>
        </w:rPr>
        <w:instrText>ADDIN CSL_CITATION {"citationItems":[{"id":"ITEM-1","itemData":{"DOI":"10.1371/journal.pone.0216403","ISBN":"1111111111","ISSN":"19326203","PMID":"31125337","abstract":"The Demographic and Health Surveys (DHS) are a major source for many demographic and health indicators in developing countries. Although these indicators are well defined in the literature, using survey data to calculate some of these indicators has never been an easy task for data users. This paper presents the DHS.rates software, a user-friendly R package developed to calculate fertility indicators, such as the total fertility rate, general fertility rate, and age-specific fertility rates, and childhood mortality indicators, such as the neonatal mortality rate, post-neonatal mortality rate, infant mortality rate, child mortality rate, and under-5 mortality rate, from the DHS data. The package allows for national and subnational indicators. In addition, the package calculates sampling error indicators such as standard error, design effect, relative standard error, and confidence interval for each demographic indicator. The package can also be used to calculate the same indicators from other population surveys such as the Multiple Indicator Cluster Survey (MICS).","author":[{"dropping-particle":"","family":"Elkasabi","given":"Mahmoud","non-dropping-particle":"","parse-names":false,"suffix":""}],"container-title":"PLoS ONE","id":"ITEM-1","issue":"5","issued":{"date-parts":[["2019"]]},"page":"1-22","title":"Calculating fertility and childhood mortality rates from survey data using the DHS.rates R package","type":"article-journal","volume":"14"},"uris":["http://www.mendeley.com/documents/?uuid=2b235e8a-8674-4b13-a1ba-1a4f39b222c3"]}],"mendeley":{"formattedCitation":"[27]","plainTextFormattedCitation":"[27]","previouslyFormattedCitation":"[27]"},"properties":{"noteIndex":0},"schema":"https://github.com/citation-style-language/schema/raw/master/csl-citation.json"}</w:instrText>
      </w:r>
      <w:r w:rsidR="00BB7FBF" w:rsidRPr="007C73D7">
        <w:rPr>
          <w:rFonts w:ascii="Calibri" w:eastAsia="Calibri" w:hAnsi="Calibri" w:cs="Calibri"/>
          <w:color w:val="000000" w:themeColor="text1"/>
        </w:rPr>
        <w:fldChar w:fldCharType="separate"/>
      </w:r>
      <w:r w:rsidR="00BB7FBF" w:rsidRPr="007C73D7">
        <w:rPr>
          <w:rFonts w:ascii="Calibri" w:eastAsia="Calibri" w:hAnsi="Calibri" w:cs="Calibri"/>
          <w:noProof/>
          <w:color w:val="000000" w:themeColor="text1"/>
        </w:rPr>
        <w:t>[27]</w:t>
      </w:r>
      <w:r w:rsidR="00BB7FBF" w:rsidRPr="007C73D7">
        <w:rPr>
          <w:rFonts w:ascii="Calibri" w:eastAsia="Calibri" w:hAnsi="Calibri" w:cs="Calibri"/>
          <w:color w:val="000000" w:themeColor="text1"/>
        </w:rPr>
        <w:fldChar w:fldCharType="end"/>
      </w:r>
      <w:r w:rsidRPr="007C73D7">
        <w:rPr>
          <w:rFonts w:ascii="Calibri" w:eastAsia="Calibri" w:hAnsi="Calibri" w:cs="Calibri"/>
          <w:color w:val="000000" w:themeColor="text1"/>
        </w:rPr>
        <w:t xml:space="preserve">, using the Stata module SYNCMRATES </w:t>
      </w:r>
      <w:r w:rsidR="00BB7FBF" w:rsidRPr="007C73D7">
        <w:rPr>
          <w:rFonts w:ascii="Calibri" w:eastAsia="Calibri" w:hAnsi="Calibri" w:cs="Calibri"/>
          <w:color w:val="000000" w:themeColor="text1"/>
        </w:rPr>
        <w:fldChar w:fldCharType="begin" w:fldLock="1"/>
      </w:r>
      <w:r w:rsidR="007A74CB" w:rsidRPr="007C73D7">
        <w:rPr>
          <w:rFonts w:ascii="Calibri" w:eastAsia="Calibri" w:hAnsi="Calibri" w:cs="Calibri"/>
          <w:color w:val="000000" w:themeColor="text1"/>
        </w:rPr>
        <w:instrText>ADDIN CSL_CITATION {"citationItems":[{"id":"ITEM-1","itemData":{"abstract":"syncmrates calculates child mortality rates using the synthetic cohort probability method employed in Demographic and Health Surveys(DHS). In addition to exactly replicating child mortality rates reported by DHS, syncmrates: 1) allows a flexible range for the time interval over which mortality rates are calculated ; 2) allows the calculation of mortality rates for population sub-groups; 3) calculates bootstrapped standard errors and 95% confidence intervals; 4) tests the difference in mortality rates between groups; and 5) builds monthly time series of mortality rates with their confidence intervals, and plots the series.","author":[{"dropping-particle":"","family":"Masset","given":"Edoardo","non-dropping-particle":"","parse-names":false,"suffix":""}],"id":"ITEM-1","issued":{"date-parts":[["2016"]]},"publisher":"Boston College Department of Economics","title":"SYNCMRATES: Stata module to compute child mortality rates using synthetic cohort probabilities","type":"article"},"uris":["http://www.mendeley.com/documents/?uuid=4c8d5b87-cce4-4b28-bcf4-0a96f07df2b9"]}],"mendeley":{"formattedCitation":"[28]","plainTextFormattedCitation":"[28]","previouslyFormattedCitation":"[28]"},"properties":{"noteIndex":0},"schema":"https://github.com/citation-style-language/schema/raw/master/csl-citation.json"}</w:instrText>
      </w:r>
      <w:r w:rsidR="00BB7FBF" w:rsidRPr="007C73D7">
        <w:rPr>
          <w:rFonts w:ascii="Calibri" w:eastAsia="Calibri" w:hAnsi="Calibri" w:cs="Calibri"/>
          <w:color w:val="000000" w:themeColor="text1"/>
        </w:rPr>
        <w:fldChar w:fldCharType="separate"/>
      </w:r>
      <w:r w:rsidR="00BB7FBF" w:rsidRPr="007C73D7">
        <w:rPr>
          <w:rFonts w:ascii="Calibri" w:eastAsia="Calibri" w:hAnsi="Calibri" w:cs="Calibri"/>
          <w:noProof/>
          <w:color w:val="000000" w:themeColor="text1"/>
        </w:rPr>
        <w:t>[28]</w:t>
      </w:r>
      <w:r w:rsidR="00BB7FBF" w:rsidRPr="007C73D7">
        <w:rPr>
          <w:rFonts w:ascii="Calibri" w:eastAsia="Calibri" w:hAnsi="Calibri" w:cs="Calibri"/>
          <w:color w:val="000000" w:themeColor="text1"/>
        </w:rPr>
        <w:fldChar w:fldCharType="end"/>
      </w:r>
      <w:r w:rsidRPr="007C73D7">
        <w:rPr>
          <w:rFonts w:ascii="Calibri" w:eastAsia="Calibri" w:hAnsi="Calibri" w:cs="Calibri"/>
          <w:color w:val="000000" w:themeColor="text1"/>
        </w:rPr>
        <w:t xml:space="preserve">, which was developed to exactly replicate the corresponding mortality rates reported by DHS </w:t>
      </w:r>
      <w:r w:rsidR="00D84AD4" w:rsidRPr="007C73D7">
        <w:rPr>
          <w:rStyle w:val="FootnoteReference"/>
        </w:rPr>
        <w:fldChar w:fldCharType="begin" w:fldLock="1"/>
      </w:r>
      <w:r w:rsidR="00BB7FBF" w:rsidRPr="007C73D7">
        <w:instrText>ADDIN CSL_CITATION {"citationItems":[{"id":"ITEM-1","itemData":{"abstract":"syncmrates calculates child mortality rates using the synthetic cohort probability method employed in Demographic and Health Surveys(DHS). In addition to exactly replicating child mortality rates reported by DHS, syncmrates: 1) allows a flexible range for the time interval over which mortality rates are calculated ; 2) allows the calculation of mortality rates for population sub-groups; 3) calculates bootstrapped standard errors and 95% confidence intervals; 4) tests the difference in mortality rates between groups; and 5) builds monthly time series of mortality rates with their confidence intervals, and plots the series.","author":[{"dropping-particle":"","family":"Masset","given":"Edoardo","non-dropping-particle":"","parse-names":false,"suffix":""}],"id":"ITEM-1","issued":{"date-parts":[["2016"]]},"publisher":"Boston College Department of Economics","title":"SYNCMRATES: Stata module to compute child mortality rates using synthetic cohort probabilities","type":"article"},"uris":["http://www.mendeley.com/documents/?uuid=4c8d5b87-cce4-4b28-bcf4-0a96f07df2b9"]}],"mendeley":{"formattedCitation":"[28]","plainTextFormattedCitation":"[28]","previouslyFormattedCitation":"[28]"},"properties":{"noteIndex":0},"schema":"https://github.com/citation-style-language/schema/raw/master/csl-citation.json"}</w:instrText>
      </w:r>
      <w:r w:rsidR="00D84AD4" w:rsidRPr="007C73D7">
        <w:rPr>
          <w:rStyle w:val="FootnoteReference"/>
        </w:rPr>
        <w:fldChar w:fldCharType="separate"/>
      </w:r>
      <w:r w:rsidR="00BB7FBF" w:rsidRPr="007C73D7">
        <w:rPr>
          <w:noProof/>
        </w:rPr>
        <w:t>[28]</w:t>
      </w:r>
      <w:r w:rsidR="00D84AD4" w:rsidRPr="007C73D7">
        <w:rPr>
          <w:rStyle w:val="FootnoteReference"/>
        </w:rPr>
        <w:fldChar w:fldCharType="end"/>
      </w:r>
      <w:r w:rsidR="00A76D34" w:rsidRPr="007C73D7">
        <w:t xml:space="preserve">. </w:t>
      </w:r>
    </w:p>
    <w:p w14:paraId="7B2A49ED" w14:textId="7FCFCFFE" w:rsidR="00D84AD4" w:rsidRPr="007C73D7" w:rsidRDefault="00E64DC3" w:rsidP="00E02E4F">
      <w:pPr>
        <w:rPr>
          <w:b/>
          <w:bCs/>
          <w:i/>
          <w:iCs/>
        </w:rPr>
      </w:pPr>
      <w:r w:rsidRPr="007C73D7">
        <w:rPr>
          <w:b/>
          <w:bCs/>
          <w:i/>
          <w:iCs/>
        </w:rPr>
        <w:t xml:space="preserve">2.1.2. </w:t>
      </w:r>
      <w:r w:rsidR="006246F2" w:rsidRPr="007C73D7">
        <w:rPr>
          <w:b/>
          <w:bCs/>
          <w:i/>
          <w:iCs/>
        </w:rPr>
        <w:t>Health e</w:t>
      </w:r>
      <w:r w:rsidR="00D84AD4" w:rsidRPr="007C73D7">
        <w:rPr>
          <w:b/>
          <w:bCs/>
          <w:i/>
          <w:iCs/>
        </w:rPr>
        <w:t>xpenditure measure</w:t>
      </w:r>
    </w:p>
    <w:p w14:paraId="144CFF95" w14:textId="406C6E8B" w:rsidR="00294C92" w:rsidRPr="007C73D7" w:rsidRDefault="00D84AD4" w:rsidP="00E02E4F">
      <w:r w:rsidRPr="007C73D7">
        <w:t xml:space="preserve">The key explanatory variable of the study is total public health expenditure per capita aggregated to the province-year level. </w:t>
      </w:r>
      <w:r w:rsidR="00254E72" w:rsidRPr="007C73D7">
        <w:t>We constructed this variable</w:t>
      </w:r>
      <w:r w:rsidRPr="007C73D7">
        <w:t xml:space="preserve"> from the INDO-DAPOER database, derived from reports on “Regional Revenue and Expenditure Budgets” (APBD)</w:t>
      </w:r>
      <w:r w:rsidR="0042155D" w:rsidRPr="007C73D7">
        <w:t xml:space="preserve"> and</w:t>
      </w:r>
      <w:r w:rsidRPr="007C73D7">
        <w:t xml:space="preserve"> published by the Indonesia</w:t>
      </w:r>
      <w:r w:rsidR="002E7078" w:rsidRPr="007C73D7">
        <w:t>n</w:t>
      </w:r>
      <w:r w:rsidRPr="007C73D7">
        <w:t xml:space="preserve"> Ministry of Finance. </w:t>
      </w:r>
      <w:r w:rsidR="00254E72" w:rsidRPr="007C73D7">
        <w:t xml:space="preserve">It </w:t>
      </w:r>
      <w:r w:rsidRPr="007C73D7">
        <w:t>aggregates the yearly</w:t>
      </w:r>
      <w:r w:rsidR="00AB2021" w:rsidRPr="007C73D7">
        <w:t>-realised health</w:t>
      </w:r>
      <w:r w:rsidRPr="007C73D7">
        <w:t xml:space="preserve"> budgets of each province with all the district level budgets that administratively belong to the same province in a given year.</w:t>
      </w:r>
      <w:r w:rsidR="00E53224" w:rsidRPr="007C73D7">
        <w:rPr>
          <w:rStyle w:val="FootnoteReference"/>
        </w:rPr>
        <w:footnoteReference w:id="2"/>
      </w:r>
      <w:r w:rsidRPr="007C73D7">
        <w:t xml:space="preserve"> To account for underreporting of budget information at the district level</w:t>
      </w:r>
      <w:r w:rsidR="00AF4CCF" w:rsidRPr="007C73D7">
        <w:t xml:space="preserve"> (</w:t>
      </w:r>
      <w:r w:rsidR="001568C7" w:rsidRPr="007C73D7">
        <w:t>4.7% of the district-year observations missing</w:t>
      </w:r>
      <w:r w:rsidR="00AF4CCF" w:rsidRPr="007C73D7">
        <w:t>)</w:t>
      </w:r>
      <w:r w:rsidRPr="007C73D7">
        <w:t xml:space="preserve">, we </w:t>
      </w:r>
      <w:r w:rsidR="00E53224" w:rsidRPr="007C73D7">
        <w:t>used interpolation app</w:t>
      </w:r>
      <w:r w:rsidR="00C21B31" w:rsidRPr="007C73D7">
        <w:t>r</w:t>
      </w:r>
      <w:r w:rsidR="00E53224" w:rsidRPr="007C73D7">
        <w:t>oaches</w:t>
      </w:r>
      <w:r w:rsidR="00C21B31" w:rsidRPr="007C73D7">
        <w:t>.</w:t>
      </w:r>
      <w:r w:rsidR="00E53224" w:rsidRPr="007C73D7">
        <w:rPr>
          <w:rStyle w:val="FootnoteReference"/>
        </w:rPr>
        <w:footnoteReference w:id="3"/>
      </w:r>
      <w:r w:rsidRPr="007C73D7">
        <w:t xml:space="preserve"> The </w:t>
      </w:r>
      <w:r w:rsidR="007E6F7B" w:rsidRPr="007C73D7">
        <w:t>resulting</w:t>
      </w:r>
      <w:r w:rsidRPr="007C73D7">
        <w:t xml:space="preserve"> </w:t>
      </w:r>
      <w:r w:rsidR="00394F68" w:rsidRPr="007C73D7">
        <w:t>expenditure variable contains</w:t>
      </w:r>
      <w:r w:rsidRPr="007C73D7">
        <w:t xml:space="preserve">: </w:t>
      </w:r>
      <w:r w:rsidR="00394F68" w:rsidRPr="007C73D7">
        <w:t xml:space="preserve">the </w:t>
      </w:r>
      <w:r w:rsidRPr="007C73D7">
        <w:t>salaries of civil servant</w:t>
      </w:r>
      <w:r w:rsidR="00640E04" w:rsidRPr="007C73D7">
        <w:t>s</w:t>
      </w:r>
      <w:r w:rsidRPr="007C73D7">
        <w:t xml:space="preserve"> working in hospitals, the administration of decentralised health insurance schemes (</w:t>
      </w:r>
      <w:proofErr w:type="spellStart"/>
      <w:r w:rsidRPr="007C73D7">
        <w:rPr>
          <w:i/>
        </w:rPr>
        <w:t>Jamkesda</w:t>
      </w:r>
      <w:proofErr w:type="spellEnd"/>
      <w:r w:rsidRPr="007C73D7">
        <w:t>), operational su</w:t>
      </w:r>
      <w:r w:rsidR="00AB2021" w:rsidRPr="007C73D7">
        <w:t>pport of public health clinics</w:t>
      </w:r>
      <w:r w:rsidRPr="007C73D7">
        <w:t>, primary care</w:t>
      </w:r>
      <w:r w:rsidR="003F634B" w:rsidRPr="007C73D7">
        <w:t xml:space="preserve"> and </w:t>
      </w:r>
      <w:r w:rsidRPr="007C73D7">
        <w:t>specialist services and pharmacy services</w:t>
      </w:r>
      <w:r w:rsidR="00417590" w:rsidRPr="007C73D7">
        <w:t>, but excludes direct transfers from the ministry of health to provinces and district</w:t>
      </w:r>
      <w:r w:rsidR="00C112BC" w:rsidRPr="007C73D7">
        <w:t>s</w:t>
      </w:r>
      <w:r w:rsidR="00294C92" w:rsidRPr="007C73D7">
        <w:t>, and some part of the subsidised health insurance payments</w:t>
      </w:r>
      <w:r w:rsidR="003C7DB7" w:rsidRPr="007C73D7">
        <w:t xml:space="preserve"> </w:t>
      </w:r>
      <w:r w:rsidR="00C13917" w:rsidRPr="007C73D7">
        <w:rPr>
          <w:rStyle w:val="FootnoteReference"/>
        </w:rPr>
        <w:fldChar w:fldCharType="begin" w:fldLock="1"/>
      </w:r>
      <w:r w:rsidR="00BB7FBF" w:rsidRPr="007C73D7">
        <w:instrText>ADDIN CSL_CITATION {"citationItems":[{"id":"ITEM-1","itemData":{"author":[{"dropping-particle":"","family":"Hatt","given":"Laurel","non-dropping-particle":"","parse-names":false,"suffix":""},{"dropping-particle":"","family":"Cico","given":"Altea","non-dropping-particle":"","parse-names":false,"suffix":""},{"dropping-particle":"","family":"Chee","given":"Grace","non-dropping-particle":"","parse-names":false,"suffix":""},{"dropping-particle":"","family":"Ergo","given":"Alex","non-dropping-particle":"","parse-names":false,"suffix":""},{"dropping-particle":"","family":"Fuad","given":"Anis","non-dropping-particle":"","parse-names":false,"suffix":""},{"dropping-particle":"","family":"Gigli","given":"Susan","non-dropping-particle":"","parse-names":false,"suffix":""},{"dropping-particle":"","family":"Hensley","given":"Lara","non-dropping-particle":"","parse-names":false,"suffix":""},{"dropping-particle":"","family":"Laird","given":"Kelley","non-dropping-particle":"","parse-names":false,"suffix":""},{"dropping-particle":"","family":"Simatupang","given":"Renata","non-dropping-particle":"","parse-names":false,"suffix":""},{"dropping-particle":"","family":"Tarantino","given":"Lisa","non-dropping-particle":"","parse-names":false,"suffix":""},{"dropping-particle":"","family":"Wright","given":"Jenna","non-dropping-particle":"","parse-names":false,"suffix":""},{"dropping-particle":"","family":"Zuwasti","given":"Ufara","non-dropping-particle":"","parse-names":false,"suffix":""}],"id":"ITEM-1","issued":{"date-parts":[["2015"]]},"publisher-place":"Bethesda, MD: Health Finance and Governance Project, Abt Associates Inc.","title":"Rapid Analytical Review and Assessment of Health Systems Opportunities and Gaps in Indonesia.","type":"report"},"uris":["http://www.mendeley.com/documents/?uuid=7d9dfa50-4237-4823-98cb-b167e93ba266"]}],"mendeley":{"formattedCitation":"[29]","plainTextFormattedCitation":"[29]","previouslyFormattedCitation":"[29]"},"properties":{"noteIndex":0},"schema":"https://github.com/citation-style-language/schema/raw/master/csl-citation.json"}</w:instrText>
      </w:r>
      <w:r w:rsidR="00C13917" w:rsidRPr="007C73D7">
        <w:rPr>
          <w:rStyle w:val="FootnoteReference"/>
        </w:rPr>
        <w:fldChar w:fldCharType="separate"/>
      </w:r>
      <w:r w:rsidR="00BB7FBF" w:rsidRPr="007C73D7">
        <w:rPr>
          <w:noProof/>
        </w:rPr>
        <w:t>[29]</w:t>
      </w:r>
      <w:r w:rsidR="00C13917" w:rsidRPr="007C73D7">
        <w:rPr>
          <w:rStyle w:val="FootnoteReference"/>
        </w:rPr>
        <w:fldChar w:fldCharType="end"/>
      </w:r>
      <w:r w:rsidRPr="007C73D7">
        <w:t>. Public health expenditure per capita</w:t>
      </w:r>
      <w:r w:rsidR="00B307FC" w:rsidRPr="007C73D7">
        <w:t>, as captured in our dataset,</w:t>
      </w:r>
      <w:r w:rsidRPr="007C73D7">
        <w:t xml:space="preserve"> was on average, 139</w:t>
      </w:r>
      <w:r w:rsidR="00AB2021" w:rsidRPr="007C73D7">
        <w:t>,</w:t>
      </w:r>
      <w:r w:rsidRPr="007C73D7">
        <w:t>377</w:t>
      </w:r>
      <w:r w:rsidR="00AB2021" w:rsidRPr="007C73D7">
        <w:t xml:space="preserve"> </w:t>
      </w:r>
      <w:r w:rsidRPr="007C73D7">
        <w:t>IDR</w:t>
      </w:r>
      <w:r w:rsidR="00294C92" w:rsidRPr="007C73D7">
        <w:t xml:space="preserve"> in the 2004-2012 period</w:t>
      </w:r>
      <w:r w:rsidR="00C112BC" w:rsidRPr="007C73D7">
        <w:t xml:space="preserve">. </w:t>
      </w:r>
      <w:r w:rsidR="00417590" w:rsidRPr="007C73D7">
        <w:t xml:space="preserve">For comparison, </w:t>
      </w:r>
      <w:r w:rsidR="00294C92" w:rsidRPr="007C73D7">
        <w:t>in 2012, total health expenditure (public and private) in Indonesia was 1,032,130 ID</w:t>
      </w:r>
      <w:r w:rsidR="00B0023C" w:rsidRPr="007C73D7">
        <w:t>R</w:t>
      </w:r>
      <w:r w:rsidR="00294C92" w:rsidRPr="007C73D7">
        <w:t xml:space="preserve"> (110 </w:t>
      </w:r>
      <w:r w:rsidR="006C3C28" w:rsidRPr="007C73D7">
        <w:t>2019 $US</w:t>
      </w:r>
      <w:r w:rsidR="00294C92" w:rsidRPr="007C73D7">
        <w:t xml:space="preserve">) per capita, of which 39% was government spending, amounting to 409,849 IDR (43.7 </w:t>
      </w:r>
      <w:r w:rsidR="006C3C28" w:rsidRPr="007C73D7">
        <w:t>2019 $US</w:t>
      </w:r>
      <w:r w:rsidR="00294C92" w:rsidRPr="007C73D7">
        <w:t xml:space="preserve">). </w:t>
      </w:r>
    </w:p>
    <w:p w14:paraId="14430263" w14:textId="5CF38CC8" w:rsidR="00D84AD4" w:rsidRPr="007C73D7" w:rsidRDefault="00E64DC3" w:rsidP="00E02E4F">
      <w:pPr>
        <w:rPr>
          <w:b/>
          <w:bCs/>
          <w:i/>
          <w:iCs/>
        </w:rPr>
      </w:pPr>
      <w:r w:rsidRPr="007C73D7">
        <w:rPr>
          <w:b/>
          <w:bCs/>
          <w:i/>
          <w:iCs/>
        </w:rPr>
        <w:t xml:space="preserve">2.1.3. </w:t>
      </w:r>
      <w:r w:rsidR="00D84AD4" w:rsidRPr="007C73D7">
        <w:rPr>
          <w:b/>
          <w:bCs/>
          <w:i/>
          <w:iCs/>
        </w:rPr>
        <w:t>Covariates</w:t>
      </w:r>
    </w:p>
    <w:p w14:paraId="00B63247" w14:textId="0F8EC4CB" w:rsidR="00775041" w:rsidRPr="007C73D7" w:rsidRDefault="00714102" w:rsidP="003F634B">
      <w:r w:rsidRPr="007C73D7">
        <w:lastRenderedPageBreak/>
        <w:t xml:space="preserve">We sought to control for factors that could confound the relationship between </w:t>
      </w:r>
      <w:r w:rsidR="006042CB" w:rsidRPr="007C73D7">
        <w:t>U5MR</w:t>
      </w:r>
      <w:r w:rsidRPr="007C73D7">
        <w:t xml:space="preserve"> and </w:t>
      </w:r>
      <w:r w:rsidR="007E6F7B" w:rsidRPr="007C73D7">
        <w:t>public health</w:t>
      </w:r>
      <w:r w:rsidR="00B856E8" w:rsidRPr="007C73D7">
        <w:t xml:space="preserve"> expenditure</w:t>
      </w:r>
      <w:r w:rsidRPr="007C73D7">
        <w:t xml:space="preserve">. </w:t>
      </w:r>
      <w:r w:rsidR="003F634B" w:rsidRPr="007C73D7">
        <w:t>We use yearly household expenditure per capita to control for the</w:t>
      </w:r>
      <w:r w:rsidR="001B08DC" w:rsidRPr="007C73D7">
        <w:t xml:space="preserve"> </w:t>
      </w:r>
      <w:r w:rsidR="00D84AD4" w:rsidRPr="007C73D7">
        <w:t xml:space="preserve">purchasing power </w:t>
      </w:r>
      <w:r w:rsidR="001B08DC" w:rsidRPr="007C73D7">
        <w:t>of the province</w:t>
      </w:r>
      <w:r w:rsidR="006940B3" w:rsidRPr="007C73D7">
        <w:t>s</w:t>
      </w:r>
      <w:r w:rsidR="001B08DC" w:rsidRPr="007C73D7">
        <w:t xml:space="preserve">, </w:t>
      </w:r>
      <w:r w:rsidR="00A3469D" w:rsidRPr="007C73D7">
        <w:t>as</w:t>
      </w:r>
      <w:r w:rsidR="00DB5964" w:rsidRPr="007C73D7">
        <w:t xml:space="preserve"> </w:t>
      </w:r>
      <w:r w:rsidR="006940B3" w:rsidRPr="007C73D7">
        <w:t>a higher</w:t>
      </w:r>
      <w:r w:rsidR="00D84AD4" w:rsidRPr="007C73D7">
        <w:t xml:space="preserve"> </w:t>
      </w:r>
      <w:r w:rsidR="00C92C4F" w:rsidRPr="007C73D7">
        <w:t xml:space="preserve">household </w:t>
      </w:r>
      <w:r w:rsidR="00D84AD4" w:rsidRPr="007C73D7">
        <w:t>income</w:t>
      </w:r>
      <w:r w:rsidR="00DB5964" w:rsidRPr="007C73D7">
        <w:t xml:space="preserve"> is expected to </w:t>
      </w:r>
      <w:r w:rsidR="00D84AD4" w:rsidRPr="007C73D7">
        <w:t>give access to improved diets, better housing and other quality services</w:t>
      </w:r>
      <w:r w:rsidR="00640E04" w:rsidRPr="007C73D7">
        <w:t xml:space="preserve">, all of which may affect </w:t>
      </w:r>
      <w:r w:rsidR="00D84AD4" w:rsidRPr="007C73D7">
        <w:t>health outcomes</w:t>
      </w:r>
      <w:r w:rsidR="00A3469D" w:rsidRPr="007C73D7">
        <w:t xml:space="preserve">. </w:t>
      </w:r>
      <w:r w:rsidR="001B08DC" w:rsidRPr="007C73D7">
        <w:t>On the same grounds</w:t>
      </w:r>
      <w:r w:rsidR="002E3920" w:rsidRPr="007C73D7">
        <w:t>, w</w:t>
      </w:r>
      <w:r w:rsidR="00D84AD4" w:rsidRPr="007C73D7">
        <w:t>e</w:t>
      </w:r>
      <w:r w:rsidR="00686284" w:rsidRPr="007C73D7">
        <w:t xml:space="preserve"> control</w:t>
      </w:r>
      <w:r w:rsidR="00D84AD4" w:rsidRPr="007C73D7">
        <w:t xml:space="preserve"> </w:t>
      </w:r>
      <w:r w:rsidR="002E3920" w:rsidRPr="007C73D7">
        <w:t xml:space="preserve">for </w:t>
      </w:r>
      <w:r w:rsidR="00D84AD4" w:rsidRPr="007C73D7">
        <w:t xml:space="preserve">the annual relative poverty rate as a </w:t>
      </w:r>
      <w:r w:rsidR="00076C0F" w:rsidRPr="007C73D7">
        <w:t>proportion</w:t>
      </w:r>
      <w:r w:rsidR="00D84AD4" w:rsidRPr="007C73D7">
        <w:t xml:space="preserve"> of total population, as </w:t>
      </w:r>
      <w:r w:rsidR="00DB5964" w:rsidRPr="007C73D7">
        <w:t>it is</w:t>
      </w:r>
      <w:r w:rsidR="00D84AD4" w:rsidRPr="007C73D7">
        <w:t xml:space="preserve"> </w:t>
      </w:r>
      <w:r w:rsidR="00045092" w:rsidRPr="007C73D7">
        <w:t xml:space="preserve">a </w:t>
      </w:r>
      <w:r w:rsidR="00D84AD4" w:rsidRPr="007C73D7">
        <w:t>key driver of both mortality rates</w:t>
      </w:r>
      <w:r w:rsidR="00DB5964" w:rsidRPr="007C73D7">
        <w:t xml:space="preserve"> and </w:t>
      </w:r>
      <w:r w:rsidR="003F634B" w:rsidRPr="007C73D7">
        <w:t>can inf</w:t>
      </w:r>
      <w:r w:rsidR="00433A24" w:rsidRPr="007C73D7">
        <w:t>l</w:t>
      </w:r>
      <w:r w:rsidR="003F634B" w:rsidRPr="007C73D7">
        <w:t>uence</w:t>
      </w:r>
      <w:r w:rsidR="00A3469D" w:rsidRPr="007C73D7">
        <w:t xml:space="preserve"> decisions on public health </w:t>
      </w:r>
      <w:r w:rsidR="00DB5964" w:rsidRPr="007C73D7">
        <w:t>spending</w:t>
      </w:r>
      <w:r w:rsidR="00443338" w:rsidRPr="007C73D7">
        <w:t xml:space="preserve"> </w:t>
      </w:r>
      <w:r w:rsidR="00C13917" w:rsidRPr="007C73D7">
        <w:rPr>
          <w:rStyle w:val="FootnoteReference"/>
        </w:rPr>
        <w:fldChar w:fldCharType="begin" w:fldLock="1"/>
      </w:r>
      <w:r w:rsidR="00BB7FBF" w:rsidRPr="007C73D7">
        <w:instrText>ADDIN CSL_CITATION {"citationItems":[{"id":"ITEM-1","itemData":{"abstract":"Background: Poor infant and young child feeding (IYCF) practices in the first 2 years of age are among major causes of childhood malnutrition, in developing countries including Ethiopia. It results in irreversible outcomes of stunting, poor cognitive development, and significantly increases risks of many chronic and infectious diseases. This study was intended to assess factors associated with minimum meal frequency and minimum dietary diversity practice among children aged 6-23 months in the predominantly agrarian society of Bale zone, Southeast Ethiopia. Methods: A community based cross sectional study was employed from January to June 2016. An interviewer administered, pretested and structured questionnaire was used to collect data. Multi-stage sampling followed by a systematic random sampling technique was used to include study subjects. Data was entered using Epi info version 3.5.3 and analyzed by SPSS version 20. In the logistic regression, both bivariate and multivariate analyses were carried out to identify factors associated with minimum meal frequency and minimum dietary diversity scores. All variables with P-values of &lt;0.2 in the bivariate were earmarked for the multivariate analysis. Both Crude Odds Ratio (COR) and Adjusted Odds Ratio (AOR) were computed at 95% Confidence Interval (CI) to determine the strength of associations. In the multivariate analysis, variables at P-Values of &lt;0.05 were considered as statistically significant with minimum meal frequency and dietary diversity practice. Result: A total of 801 infants and young children aged 6-23 months and their mothers participated in the study. The overall prevalence of minimum meal frequency and minimum dietary diversity practice was 68.4% [95% CI: 0.652, 0.716] and 28.5% [95% CI: 0.254, 0.316], respectively. Child age (AOR = 0.29; 95% CI: 0.28, 0.94) and parity of mother (AOR = 2.8; 95% CI: 1.11, 7.50) were independently associated with minimal meal frequency. On the other hand, mothers educational level (AOR = 0.52; 95% CI: 0.28, 0.94), child illness in the past 1 week (AOR = 0.44; 95% CI: 0.26, 0.73) and maternal counselling on IYCF practice during postnatal care (PNC) visits (AOR = 2.6; 95% CI: 1.59, 4.45) were factors statistically associated with dietary diversity practice in the study area. Conclusion and recommendations: Compliance to recommended minimum meal frequency and diversified diets was low in this study community. Minimum meal frequency was associated with the age of …","author":[{"dropping-particle":"","family":"Wagstaff","given":"Adam","non-dropping-particle":"","parse-names":false,"suffix":""}],"container-title":"Bulletin of the World Health Organization","id":"ITEM-1","issue":"1","issued":{"date-parts":[["2000"]]},"page":"19-29","title":"Socioeconomic inequalities in child mortality: comparisons across nine developing countries","type":"article-journal","volume":"78"},"uris":["http://www.mendeley.com/documents/?uuid=78e2ccd3-c1cb-4f09-9cb3-129528f40d44"]}],"mendeley":{"formattedCitation":"[30]","plainTextFormattedCitation":"[30]","previouslyFormattedCitation":"[30]"},"properties":{"noteIndex":0},"schema":"https://github.com/citation-style-language/schema/raw/master/csl-citation.json"}</w:instrText>
      </w:r>
      <w:r w:rsidR="00C13917" w:rsidRPr="007C73D7">
        <w:rPr>
          <w:rStyle w:val="FootnoteReference"/>
        </w:rPr>
        <w:fldChar w:fldCharType="separate"/>
      </w:r>
      <w:r w:rsidR="00BB7FBF" w:rsidRPr="007C73D7">
        <w:rPr>
          <w:noProof/>
        </w:rPr>
        <w:t>[30]</w:t>
      </w:r>
      <w:r w:rsidR="00C13917" w:rsidRPr="007C73D7">
        <w:rPr>
          <w:rStyle w:val="FootnoteReference"/>
        </w:rPr>
        <w:fldChar w:fldCharType="end"/>
      </w:r>
      <w:r w:rsidR="00D84AD4" w:rsidRPr="007C73D7">
        <w:t xml:space="preserve">. </w:t>
      </w:r>
      <w:r w:rsidR="00A3469D" w:rsidRPr="007C73D7">
        <w:t>We also control for rates of sanitation, as d</w:t>
      </w:r>
      <w:r w:rsidR="002E3920" w:rsidRPr="007C73D7">
        <w:t>iarrhoea-related illness is o</w:t>
      </w:r>
      <w:r w:rsidR="00D84AD4" w:rsidRPr="007C73D7">
        <w:t xml:space="preserve">ne of the main proximate causes of child mortality </w:t>
      </w:r>
      <w:r w:rsidR="00C13917" w:rsidRPr="007C73D7">
        <w:rPr>
          <w:rStyle w:val="FootnoteReference"/>
        </w:rPr>
        <w:fldChar w:fldCharType="begin" w:fldLock="1"/>
      </w:r>
      <w:r w:rsidR="00BB7FBF" w:rsidRPr="007C73D7">
        <w:instrText>ADDIN CSL_CITATION {"citationItems":[{"id":"ITEM-1","itemData":{"DOI":"10.1016/S0140-6736(13)60222-6","ISSN":"1474547X","PMID":"23582727","abstract":"Diarrhoea and pneumonia are the leading infectious causes of childhood morbidity and mortality. We comprehensively reviewed the epidemiology of childhood diarrhoea and pneumonia in 2010-11 to inform the planning of integrated control programmes for both illnesses. We estimated that, in 2010, there were 1•731 billion episodes of diarrhoea (36 million of which progressed to severe episodes) and 120 million episodes of pneumonia (14 million of which progressed to severe episodes) in children younger than 5 years. We estimated that, in 2011, 700 000 episodes of diarrhoea and 1•3 million of pneumonia led to death. A high proportion of deaths occurs in the fi rst 2 years of life in both diseases-72% for diarrhoea and 81% for pneumonia. The epidemiology of childhood diarrhoea and that of pneumonia overlap, which might be partly because of shared risk factors, such as undernutrition, suboptimum breastfeeding, and zinc defi ciency. Rotavirus is the most common cause of vaccine-preventable severe diarrhoea (associated with 28% of cases), and Streptococcus pneumoniae (18•3%) of vaccine-preventable severe pneumonia. Morbidity and mortality from childhood pneumonia and diarrhoea are falling, but action is needed globally and at country level to accelerate the reduction.","author":[{"dropping-particle":"","family":"Fischer Walker","given":"Christa L.","non-dropping-particle":"","parse-names":false,"suffix":""},{"dropping-particle":"","family":"Rudan","given":"Igor","non-dropping-particle":"","parse-names":false,"suffix":""},{"dropping-particle":"","family":"Liu","given":"Li","non-dropping-particle":"","parse-names":false,"suffix":""},{"dropping-particle":"","family":"Nair","given":"Harish","non-dropping-particle":"","parse-names":false,"suffix":""},{"dropping-particle":"","family":"Theodoratou","given":"Evropi","non-dropping-particle":"","parse-names":false,"suffix":""},{"dropping-particle":"","family":"Bhutta","given":"Zulfiqar A.","non-dropping-particle":"","parse-names":false,"suffix":""},{"dropping-particle":"","family":"O'Brien","given":"Katherine L.","non-dropping-particle":"","parse-names":false,"suffix":""},{"dropping-particle":"","family":"Campbell","given":"Harry","non-dropping-particle":"","parse-names":false,"suffix":""},{"dropping-particle":"","family":"Black","given":"Robert E.","non-dropping-particle":"","parse-names":false,"suffix":""}],"container-title":"The Lancet","id":"ITEM-1","issue":"9875","issued":{"date-parts":[["2013"]]},"page":"1405-1416","title":"Global burden of childhood pneumonia and diarrhoea","type":"article-journal","volume":"381"},"uris":["http://www.mendeley.com/documents/?uuid=67427307-5f98-44e0-af2f-cce71dbe1351"]}],"mendeley":{"formattedCitation":"[31]","plainTextFormattedCitation":"[31]","previouslyFormattedCitation":"[31]"},"properties":{"noteIndex":0},"schema":"https://github.com/citation-style-language/schema/raw/master/csl-citation.json"}</w:instrText>
      </w:r>
      <w:r w:rsidR="00C13917" w:rsidRPr="007C73D7">
        <w:rPr>
          <w:rStyle w:val="FootnoteReference"/>
        </w:rPr>
        <w:fldChar w:fldCharType="separate"/>
      </w:r>
      <w:r w:rsidR="00BB7FBF" w:rsidRPr="007C73D7">
        <w:rPr>
          <w:noProof/>
        </w:rPr>
        <w:t>[31]</w:t>
      </w:r>
      <w:r w:rsidR="00C13917" w:rsidRPr="007C73D7">
        <w:rPr>
          <w:rStyle w:val="FootnoteReference"/>
        </w:rPr>
        <w:fldChar w:fldCharType="end"/>
      </w:r>
      <w:r w:rsidR="00A3469D" w:rsidRPr="007C73D7">
        <w:t xml:space="preserve">, </w:t>
      </w:r>
      <w:r w:rsidR="003F634B" w:rsidRPr="007C73D7">
        <w:t>while</w:t>
      </w:r>
      <w:r w:rsidR="00D84AD4" w:rsidRPr="007C73D7">
        <w:t xml:space="preserve"> access to safe sanitat</w:t>
      </w:r>
      <w:r w:rsidR="000126E6" w:rsidRPr="007C73D7">
        <w:t>ion remains a challenge for Indonesian authorities</w:t>
      </w:r>
      <w:r w:rsidR="00E155BE" w:rsidRPr="007C73D7">
        <w:t>.</w:t>
      </w:r>
      <w:r w:rsidR="00076C0F" w:rsidRPr="007C73D7">
        <w:t xml:space="preserve"> </w:t>
      </w:r>
      <w:r w:rsidR="00433A24" w:rsidRPr="007C73D7">
        <w:t>We also</w:t>
      </w:r>
      <w:r w:rsidR="003F634B" w:rsidRPr="007C73D7">
        <w:t xml:space="preserve"> control for the electrification rate and literacy rate of the population aged 15 and over. W</w:t>
      </w:r>
      <w:r w:rsidR="00AC36F7" w:rsidRPr="007C73D7">
        <w:t>e control for i</w:t>
      </w:r>
      <w:r w:rsidR="00D84AD4" w:rsidRPr="007C73D7">
        <w:t xml:space="preserve">mmunisation coverage </w:t>
      </w:r>
      <w:r w:rsidR="00AC36F7" w:rsidRPr="007C73D7">
        <w:t xml:space="preserve">as it </w:t>
      </w:r>
      <w:r w:rsidR="00D84AD4" w:rsidRPr="007C73D7">
        <w:t>is a key driver of mortality among children in LMICs</w:t>
      </w:r>
      <w:r w:rsidR="003F634B" w:rsidRPr="007C73D7">
        <w:t xml:space="preserve"> </w:t>
      </w:r>
      <w:r w:rsidR="003F634B" w:rsidRPr="007C73D7">
        <w:fldChar w:fldCharType="begin" w:fldLock="1"/>
      </w:r>
      <w:r w:rsidR="00BB7FBF" w:rsidRPr="007C73D7">
        <w:instrText>ADDIN CSL_CITATION {"citationItems":[{"id":"ITEM-1","itemData":{"DOI":"10.1093/heapol/czn044","ISSN":"02681080","PMID":"19066181","abstract":"This paper provides empirical evidence on the relationship between per capita public health expenditure and three measures of health outcomes (infant and under-five mortality rates and crude death rates) using cross-country data from seven Pacific Island countries for selected years between 1990 and 2002. The results of the fixed-effects estimation procedure, correcting for AR(1) errors, provide strong evidence that per capita health expenditure is an important factor in determining health outcomes. The elasticity of the infant mortality rate with respect to per capita health expenditure is -0.66. Based on this elasticity, a 10% increase in per capita health expenditure means that a country such as Papua New Guinea, with a high infant mortality rate, would see a reduction of 3.6 infant deaths per 1000 live births, with an average reduction of 2.0 infant deaths per 1000 live births for the Pacific Island countries. The empirical results also provide strong evidence that per capita incomes and immunization are additional core factors that determine health outcomes. Some policy implications are drawn. © The Author 2008; all rights reserved.","author":[{"dropping-particle":"","family":"Gani","given":"Azmat","non-dropping-particle":"","parse-names":false,"suffix":""}],"container-title":"Health Policy and Planning","id":"ITEM-1","issue":"1","issued":{"date-parts":[["2009"]]},"page":"72-81","title":"Health care financing and health outcomes in Pacific Island countries","type":"article-journal","volume":"24"},"uris":["http://www.mendeley.com/documents/?uuid=ef3be36a-9295-4f43-9fe6-a59e77be68e8"]},{"id":"ITEM-2","itemData":{"DOI":"10.1111/rssa.12048","ISSN":"1467985X","abstract":"Summary: Progress towards universal health coverage involves providing people with access to needed health services without entailing financial hardship and is often advocated on the grounds that it improves population health. The paper offers econometric evidence on the effects of health coverage on mortality outcomes at the national level. We use a large panel data set of countries, examined by using instrumental variable specifications that explicitly allow for potential reverse causality and unobserved country-specific characteristics. We employ various proxies for the coverage level in a health system. Our results indicate that expanded health coverage, particularly through higher levels of publicly funded health spending, results in lower child and adult mortality, with the beneficial effect on child mortality being larger in poorer countries.","author":[{"dropping-particle":"","family":"Moreno-Serra","given":"Rodrigo","non-dropping-particle":"","parse-names":false,"suffix":""},{"dropping-particle":"","family":"Smith","given":"Peter C.","non-dropping-particle":"","parse-names":false,"suffix":""}],"container-title":"Journal of the Royal Statistical Society. Series A: Statistics in Society","id":"ITEM-2","issue":"1","issued":{"date-parts":[["2015"]]},"page":"101-124","title":"Broader health coverage is good for the nation's health: Evidence from country level panel data","type":"article-journal","volume":"178"},"uris":["http://www.mendeley.com/documents/?uuid=4101c8d0-c058-43d0-9843-895d81a7c401"]}],"mendeley":{"formattedCitation":"[2,32]","plainTextFormattedCitation":"[2,32]","previouslyFormattedCitation":"[2,32]"},"properties":{"noteIndex":0},"schema":"https://github.com/citation-style-language/schema/raw/master/csl-citation.json"}</w:instrText>
      </w:r>
      <w:r w:rsidR="003F634B" w:rsidRPr="007C73D7">
        <w:fldChar w:fldCharType="separate"/>
      </w:r>
      <w:r w:rsidR="00BB7FBF" w:rsidRPr="007C73D7">
        <w:rPr>
          <w:noProof/>
        </w:rPr>
        <w:t>[2,32]</w:t>
      </w:r>
      <w:r w:rsidR="003F634B" w:rsidRPr="007C73D7">
        <w:fldChar w:fldCharType="end"/>
      </w:r>
      <w:r w:rsidR="00433A24" w:rsidRPr="007C73D7">
        <w:t xml:space="preserve"> </w:t>
      </w:r>
      <w:r w:rsidR="003F634B" w:rsidRPr="007C73D7">
        <w:t>a</w:t>
      </w:r>
      <w:r w:rsidR="00433A24" w:rsidRPr="007C73D7">
        <w:t>nd</w:t>
      </w:r>
      <w:r w:rsidR="003F634B" w:rsidRPr="007C73D7">
        <w:t>,</w:t>
      </w:r>
      <w:r w:rsidR="0093378D" w:rsidRPr="007C73D7">
        <w:t xml:space="preserve"> </w:t>
      </w:r>
      <w:r w:rsidR="003F634B" w:rsidRPr="007C73D7">
        <w:t>while</w:t>
      </w:r>
      <w:r w:rsidR="00076C0F" w:rsidRPr="007C73D7">
        <w:t xml:space="preserve"> t</w:t>
      </w:r>
      <w:r w:rsidR="00D84AD4" w:rsidRPr="007C73D7">
        <w:t xml:space="preserve">he </w:t>
      </w:r>
      <w:r w:rsidR="00E155BE" w:rsidRPr="007C73D7">
        <w:t xml:space="preserve">Indonesian </w:t>
      </w:r>
      <w:r w:rsidR="00D84AD4" w:rsidRPr="007C73D7">
        <w:t xml:space="preserve">central </w:t>
      </w:r>
      <w:r w:rsidR="00E155BE" w:rsidRPr="007C73D7">
        <w:t>government</w:t>
      </w:r>
      <w:r w:rsidR="0093378D" w:rsidRPr="007C73D7">
        <w:t xml:space="preserve"> was responsible for financing the vaccines</w:t>
      </w:r>
      <w:r w:rsidR="003F634B" w:rsidRPr="007C73D7">
        <w:t xml:space="preserve"> over the 2004-2012 period</w:t>
      </w:r>
      <w:r w:rsidR="00076C0F" w:rsidRPr="007C73D7">
        <w:t>, district governments we</w:t>
      </w:r>
      <w:r w:rsidR="00D84AD4" w:rsidRPr="007C73D7">
        <w:t>re responsible for the delivery</w:t>
      </w:r>
      <w:r w:rsidR="0093378D" w:rsidRPr="007C73D7">
        <w:t xml:space="preserve"> </w:t>
      </w:r>
      <w:r w:rsidR="00C13917" w:rsidRPr="007C73D7">
        <w:rPr>
          <w:rStyle w:val="FootnoteReference"/>
        </w:rPr>
        <w:fldChar w:fldCharType="begin" w:fldLock="1"/>
      </w:r>
      <w:r w:rsidR="00BB7FBF" w:rsidRPr="007C73D7">
        <w:instrText>ADDIN CSL_CITATION {"citationItems":[{"id":"ITEM-1","itemData":{"author":[{"dropping-particle":"","family":"Tandon","given":"Ajay","non-dropping-particle":"","parse-names":false,"suffix":""},{"dropping-particle":"","family":"Pambudi","given":"Eko","non-dropping-particle":"","parse-names":false,"suffix":""},{"dropping-particle":"","family":"Harimurti","given":"Pandu","non-dropping-particle":"","parse-names":false,"suffix":""},{"dropping-particle":"","family":"Masaki","given":"Emiko","non-dropping-particle":"","parse-names":false,"suffix":""},{"dropping-particle":"","family":"Subandoro","given":"Ali","non-dropping-particle":"","parse-names":false,"suffix":""},{"dropping-particle":"","family":"Marzoeki","given":"Puti","non-dropping-particle":"","parse-names":false,"suffix":""},{"dropping-particle":"","family":"Rajan","given":"Vikram","non-dropping-particle":"","parse-names":false,"suffix":""},{"dropping-particle":"","family":"Dorkin","given":"Darren W","non-dropping-particle":"","parse-names":false,"suffix":""},{"dropping-particle":"","family":"Chandra","given":"Amit","non-dropping-particle":"","parse-names":false,"suffix":""},{"dropping-particle":"","family":"Boudreaux","given":"Chantelle","non-dropping-particle":"","parse-names":false,"suffix":""},{"dropping-particle":"","family":"Chew","given":"Melissa","non-dropping-particle":"","parse-names":false,"suffix":""},{"dropping-particle":"","family":"Suhamo","given":"Nugroho","non-dropping-particle":"","parse-names":false,"suffix":""}],"id":"ITEM-1","issued":{"date-parts":[["2016"]]},"publisher-place":"Jakarta: World Bank.","title":"Indonesia. Health Financing System Assessment Spend More, Right and Better.","type":"report"},"uris":["http://www.mendeley.com/documents/?uuid=d71f8828-b2a9-4558-9809-5c6f3a94283c"]}],"mendeley":{"formattedCitation":"[33]","plainTextFormattedCitation":"[33]","previouslyFormattedCitation":"[33]"},"properties":{"noteIndex":0},"schema":"https://github.com/citation-style-language/schema/raw/master/csl-citation.json"}</w:instrText>
      </w:r>
      <w:r w:rsidR="00C13917" w:rsidRPr="007C73D7">
        <w:rPr>
          <w:rStyle w:val="FootnoteReference"/>
        </w:rPr>
        <w:fldChar w:fldCharType="separate"/>
      </w:r>
      <w:r w:rsidR="00BB7FBF" w:rsidRPr="007C73D7">
        <w:rPr>
          <w:noProof/>
        </w:rPr>
        <w:t>[33]</w:t>
      </w:r>
      <w:r w:rsidR="00C13917" w:rsidRPr="007C73D7">
        <w:rPr>
          <w:rStyle w:val="FootnoteReference"/>
        </w:rPr>
        <w:fldChar w:fldCharType="end"/>
      </w:r>
      <w:r w:rsidR="0093378D" w:rsidRPr="007C73D7">
        <w:t>.</w:t>
      </w:r>
      <w:r w:rsidR="00076C0F" w:rsidRPr="007C73D7">
        <w:t xml:space="preserve"> The delivery took</w:t>
      </w:r>
      <w:r w:rsidR="00D84AD4" w:rsidRPr="007C73D7">
        <w:t xml:space="preserve"> place in several</w:t>
      </w:r>
      <w:r w:rsidR="00167DFA" w:rsidRPr="007C73D7">
        <w:t xml:space="preserve"> points such as health centres </w:t>
      </w:r>
      <w:r w:rsidR="00E36141" w:rsidRPr="007C73D7">
        <w:t>(</w:t>
      </w:r>
      <w:proofErr w:type="spellStart"/>
      <w:r w:rsidR="00D84AD4" w:rsidRPr="007C73D7">
        <w:rPr>
          <w:i/>
          <w:iCs/>
        </w:rPr>
        <w:t>puskesmas</w:t>
      </w:r>
      <w:proofErr w:type="spellEnd"/>
      <w:r w:rsidR="00E36141" w:rsidRPr="007C73D7">
        <w:t>)</w:t>
      </w:r>
      <w:r w:rsidR="00D84AD4" w:rsidRPr="007C73D7">
        <w:t>, schools or village maternity clinics</w:t>
      </w:r>
      <w:r w:rsidR="003F634B" w:rsidRPr="007C73D7">
        <w:t xml:space="preserve"> and </w:t>
      </w:r>
      <w:r w:rsidR="00D84AD4" w:rsidRPr="007C73D7">
        <w:t xml:space="preserve">provision inequalities </w:t>
      </w:r>
      <w:r w:rsidR="003F634B" w:rsidRPr="007C73D7">
        <w:t xml:space="preserve">were reported </w:t>
      </w:r>
      <w:r w:rsidR="00D84AD4" w:rsidRPr="007C73D7">
        <w:t>across the country</w:t>
      </w:r>
      <w:r w:rsidR="00AB4E88" w:rsidRPr="007C73D7">
        <w:rPr>
          <w:rStyle w:val="FootnoteReference"/>
        </w:rPr>
        <w:footnoteReference w:id="4"/>
      </w:r>
      <w:bookmarkEnd w:id="0"/>
      <w:bookmarkEnd w:id="1"/>
      <w:bookmarkEnd w:id="2"/>
      <w:r w:rsidR="00566479" w:rsidRPr="007C73D7">
        <w:t xml:space="preserve">. </w:t>
      </w:r>
    </w:p>
    <w:p w14:paraId="6519D675" w14:textId="592F8869" w:rsidR="00D84AD4" w:rsidRPr="007C73D7" w:rsidRDefault="00DE5F4A" w:rsidP="00E02E4F">
      <w:pPr>
        <w:rPr>
          <w:b/>
          <w:bCs/>
          <w:szCs w:val="20"/>
        </w:rPr>
      </w:pPr>
      <w:r w:rsidRPr="007C73D7">
        <w:rPr>
          <w:b/>
          <w:bCs/>
          <w:szCs w:val="20"/>
        </w:rPr>
        <w:t>2.2</w:t>
      </w:r>
      <w:r w:rsidR="00D84AD4" w:rsidRPr="007C73D7">
        <w:rPr>
          <w:b/>
          <w:bCs/>
          <w:szCs w:val="20"/>
        </w:rPr>
        <w:t xml:space="preserve">. </w:t>
      </w:r>
      <w:r w:rsidR="00686069" w:rsidRPr="007C73D7">
        <w:rPr>
          <w:b/>
          <w:bCs/>
          <w:szCs w:val="20"/>
        </w:rPr>
        <w:t xml:space="preserve">A </w:t>
      </w:r>
      <w:r w:rsidR="004C2801" w:rsidRPr="007C73D7">
        <w:rPr>
          <w:b/>
          <w:bCs/>
          <w:szCs w:val="20"/>
        </w:rPr>
        <w:t>dynamic</w:t>
      </w:r>
      <w:r w:rsidR="00686069" w:rsidRPr="007C73D7">
        <w:rPr>
          <w:b/>
          <w:bCs/>
          <w:szCs w:val="20"/>
        </w:rPr>
        <w:t xml:space="preserve"> </w:t>
      </w:r>
      <w:r w:rsidR="004C2801" w:rsidRPr="007C73D7">
        <w:rPr>
          <w:b/>
          <w:bCs/>
          <w:szCs w:val="20"/>
        </w:rPr>
        <w:t>model</w:t>
      </w:r>
      <w:r w:rsidR="00686069" w:rsidRPr="007C73D7">
        <w:rPr>
          <w:b/>
          <w:bCs/>
          <w:szCs w:val="20"/>
        </w:rPr>
        <w:t xml:space="preserve"> of the effect of health expenditure on mortality</w:t>
      </w:r>
    </w:p>
    <w:p w14:paraId="2B453600" w14:textId="20ACB313" w:rsidR="00D84AD4" w:rsidRPr="007C73D7" w:rsidRDefault="00E54F4B" w:rsidP="00E02E4F">
      <w:r w:rsidRPr="007C73D7">
        <w:t>We define the</w:t>
      </w:r>
      <w:r w:rsidR="00BF7626" w:rsidRPr="007C73D7">
        <w:t xml:space="preserve"> </w:t>
      </w:r>
      <w:r w:rsidRPr="007C73D7">
        <w:t>following</w:t>
      </w:r>
      <w:r w:rsidR="00F078AA" w:rsidRPr="007C73D7">
        <w:t xml:space="preserve"> dynamic</w:t>
      </w:r>
      <w:r w:rsidR="009457AC" w:rsidRPr="007C73D7">
        <w:t xml:space="preserve"> health production function in the form of a</w:t>
      </w:r>
      <w:r w:rsidR="00123A7F" w:rsidRPr="007C73D7">
        <w:t xml:space="preserve"> </w:t>
      </w:r>
      <w:r w:rsidRPr="007C73D7">
        <w:t>distributed-lag model</w:t>
      </w:r>
      <w:r w:rsidR="00D84AD4" w:rsidRPr="007C73D7">
        <w:t>:</w:t>
      </w:r>
    </w:p>
    <w:tbl>
      <w:tblPr>
        <w:tblW w:w="7335" w:type="dxa"/>
        <w:jc w:val="center"/>
        <w:tblBorders>
          <w:top w:val="single" w:sz="4" w:space="0" w:color="FFFFFF" w:themeColor="background1"/>
          <w:left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90"/>
        <w:gridCol w:w="645"/>
      </w:tblGrid>
      <w:tr w:rsidR="00D84AD4" w:rsidRPr="007C73D7" w14:paraId="198F7131" w14:textId="77777777" w:rsidTr="18112CD4">
        <w:trPr>
          <w:trHeight w:val="1035"/>
          <w:jc w:val="center"/>
        </w:trPr>
        <w:tc>
          <w:tcPr>
            <w:tcW w:w="6690" w:type="dxa"/>
            <w:vAlign w:val="center"/>
          </w:tcPr>
          <w:p w14:paraId="193567BB" w14:textId="20C8ABA6" w:rsidR="00D84AD4" w:rsidRPr="007C73D7" w:rsidRDefault="00F20129" w:rsidP="00E02E4F">
            <m:oMath>
              <m:sSub>
                <m:sSubPr>
                  <m:ctrlPr>
                    <w:rPr>
                      <w:rFonts w:ascii="Cambria Math" w:hAnsi="Cambria Math"/>
                    </w:rPr>
                  </m:ctrlPr>
                </m:sSub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t</m:t>
                  </m:r>
                </m:sub>
              </m:sSub>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t</m:t>
                  </m:r>
                </m:sub>
              </m:sSub>
              <m: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t-1</m:t>
                  </m:r>
                </m:sub>
              </m:sSub>
              <m: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…+β</m:t>
                      </m:r>
                    </m:e>
                    <m:sub>
                      <m:r>
                        <w:rPr>
                          <w:rFonts w:ascii="Cambria Math" w:hAnsi="Cambria Math"/>
                        </w:rPr>
                        <m:t>-k</m:t>
                      </m:r>
                    </m:sub>
                  </m:sSub>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r>
                    <w:rPr>
                      <w:rFonts w:ascii="Cambria Math" w:hAnsi="Cambria Math"/>
                    </w:rPr>
                    <m:t>w</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sSub>
                    <m:sSubPr>
                      <m:ctrlPr>
                        <w:rPr>
                          <w:rFonts w:ascii="Cambria Math" w:hAnsi="Cambria Math"/>
                          <w:i/>
                        </w:rPr>
                      </m:ctrlPr>
                    </m:sSubPr>
                    <m:e>
                      <m:r>
                        <w:rPr>
                          <w:rFonts w:ascii="Cambria Math" w:hAnsi="Cambria Math"/>
                        </w:rPr>
                        <m:t>γ</m:t>
                      </m:r>
                    </m:e>
                    <m:sub>
                      <m:r>
                        <w:rPr>
                          <w:rFonts w:ascii="Cambria Math" w:hAnsi="Cambria Math"/>
                        </w:rPr>
                        <m:t>i</m:t>
                      </m:r>
                    </m:sub>
                  </m:sSub>
                  <m:r>
                    <w:rPr>
                      <w:rFonts w:ascii="Cambria Math" w:hAnsi="Cambria Math"/>
                    </w:rPr>
                    <m:t>+ϵ</m:t>
                  </m:r>
                </m:e>
                <m:sub>
                  <m:r>
                    <w:rPr>
                      <w:rFonts w:ascii="Cambria Math" w:hAnsi="Cambria Math"/>
                    </w:rPr>
                    <m:t>i</m:t>
                  </m:r>
                  <m:r>
                    <m:rPr>
                      <m:sty m:val="p"/>
                    </m:rPr>
                    <w:rPr>
                      <w:rFonts w:ascii="Cambria Math" w:hAnsi="Cambria Math"/>
                    </w:rPr>
                    <m:t>,</m:t>
                  </m:r>
                  <m:r>
                    <w:rPr>
                      <w:rFonts w:ascii="Cambria Math" w:hAnsi="Cambria Math"/>
                    </w:rPr>
                    <m:t>t</m:t>
                  </m:r>
                </m:sub>
              </m:sSub>
            </m:oMath>
            <w:r w:rsidR="164D7F4A" w:rsidRPr="007C73D7">
              <w:rPr>
                <w:rFonts w:eastAsiaTheme="minorEastAsia"/>
              </w:rPr>
              <w:t>,</w:t>
            </w:r>
          </w:p>
        </w:tc>
        <w:tc>
          <w:tcPr>
            <w:tcW w:w="645" w:type="dxa"/>
            <w:vAlign w:val="center"/>
          </w:tcPr>
          <w:p w14:paraId="30D94095" w14:textId="2E0F08B0" w:rsidR="00D84AD4" w:rsidRPr="007C73D7" w:rsidRDefault="68F06556" w:rsidP="00E02E4F">
            <w:pPr>
              <w:rPr>
                <w:rFonts w:eastAsia="Calibri"/>
              </w:rPr>
            </w:pPr>
            <w:r w:rsidRPr="007C73D7">
              <w:rPr>
                <w:rFonts w:eastAsia="Calibri"/>
              </w:rPr>
              <w:t>(1)</w:t>
            </w:r>
          </w:p>
        </w:tc>
      </w:tr>
    </w:tbl>
    <w:p w14:paraId="2EF62F35" w14:textId="211DCDF9" w:rsidR="00543E2B" w:rsidRPr="007C73D7" w:rsidRDefault="00D84AD4" w:rsidP="00E02E4F">
      <w:pPr>
        <w:rPr>
          <w:rFonts w:eastAsiaTheme="minorEastAsia"/>
        </w:rPr>
      </w:pPr>
      <w:r w:rsidRPr="007C73D7">
        <w:rPr>
          <w:rFonts w:eastAsiaTheme="minorEastAsia"/>
        </w:rPr>
        <w:t xml:space="preserve">where </w:t>
      </w:r>
      <m:oMath>
        <m:sSub>
          <m:sSubPr>
            <m:ctrlPr>
              <w:rPr>
                <w:rFonts w:ascii="Cambria Math" w:hAnsi="Cambria Math"/>
              </w:rPr>
            </m:ctrlPr>
          </m:sSub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sub>
        </m:sSub>
      </m:oMath>
      <w:r w:rsidRPr="007C73D7">
        <w:t xml:space="preserve"> represents </w:t>
      </w:r>
      <w:r w:rsidR="00BF7936" w:rsidRPr="007C73D7">
        <w:t xml:space="preserve">the </w:t>
      </w:r>
      <w:r w:rsidRPr="007C73D7">
        <w:t xml:space="preserve">mortality rate for each province </w:t>
      </w:r>
      <w:proofErr w:type="spellStart"/>
      <w:r w:rsidR="00BF7936" w:rsidRPr="007C73D7">
        <w:rPr>
          <w:i/>
        </w:rPr>
        <w:t>i</w:t>
      </w:r>
      <w:proofErr w:type="spellEnd"/>
      <w:r w:rsidR="00BF7936" w:rsidRPr="007C73D7">
        <w:t xml:space="preserve"> in period </w:t>
      </w:r>
      <w:r w:rsidR="00BF7936" w:rsidRPr="007C73D7">
        <w:rPr>
          <w:i/>
        </w:rPr>
        <w:t>t</w:t>
      </w:r>
      <w:r w:rsidRPr="007C73D7">
        <w:t xml:space="preserve">; </w:t>
      </w:r>
      <m:oMath>
        <m:sSub>
          <m:sSubPr>
            <m:ctrlPr>
              <w:rPr>
                <w:rFonts w:ascii="Cambria Math" w:hAnsi="Cambria Math"/>
              </w:rPr>
            </m:ctrlPr>
          </m:sSubPr>
          <m:e>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t</m:t>
            </m:r>
          </m:sub>
        </m:sSub>
      </m:oMath>
      <w:r w:rsidRPr="007C73D7">
        <w:t xml:space="preserve"> is the logged </w:t>
      </w:r>
      <w:r w:rsidR="00A430D3" w:rsidRPr="007C73D7">
        <w:t xml:space="preserve">level of </w:t>
      </w:r>
      <w:r w:rsidRPr="007C73D7">
        <w:t>ex</w:t>
      </w:r>
      <w:r w:rsidR="00DB5692" w:rsidRPr="007C73D7">
        <w:t>penditure in the current period;</w:t>
      </w:r>
      <w:r w:rsidRPr="007C73D7">
        <w:t xml:space="preserve">  </w:t>
      </w:r>
      <m:oMath>
        <m:sSub>
          <m:sSubPr>
            <m:ctrlPr>
              <w:rPr>
                <w:rFonts w:ascii="Cambria Math" w:hAnsi="Cambria Math"/>
              </w:rPr>
            </m:ctrlPr>
          </m:sSubPr>
          <m:e>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t-s</m:t>
            </m:r>
          </m:sub>
        </m:sSub>
      </m:oMath>
      <w:r w:rsidR="007479BA" w:rsidRPr="007C73D7">
        <w:rPr>
          <w:rFonts w:eastAsiaTheme="minorEastAsia"/>
        </w:rPr>
        <w:t xml:space="preserve"> is the s-times-lagged logged level of expenditure</w:t>
      </w:r>
      <w:r w:rsidRPr="007C73D7">
        <w:rPr>
          <w:rFonts w:eastAsiaTheme="minorEastAsia"/>
        </w:rPr>
        <w:t>,</w:t>
      </w:r>
      <w:r w:rsidR="007479BA" w:rsidRPr="007C73D7">
        <w:rPr>
          <w:rFonts w:eastAsiaTheme="minorEastAsia"/>
        </w:rPr>
        <w:t xml:space="preserve"> being </w:t>
      </w:r>
      <w:r w:rsidR="007479BA" w:rsidRPr="007C73D7">
        <w:rPr>
          <w:rFonts w:eastAsiaTheme="minorEastAsia"/>
          <w:i/>
        </w:rPr>
        <w:t>t-k</w:t>
      </w:r>
      <w:r w:rsidRPr="007C73D7">
        <w:rPr>
          <w:rFonts w:eastAsiaTheme="minorEastAsia"/>
        </w:rPr>
        <w:t xml:space="preserve"> the earliest period for which the model allows health expenditure to </w:t>
      </w:r>
      <w:r w:rsidR="007479BA" w:rsidRPr="007C73D7">
        <w:rPr>
          <w:rFonts w:eastAsiaTheme="minorEastAsia"/>
        </w:rPr>
        <w:t xml:space="preserve">affect mortality in period </w:t>
      </w:r>
      <w:r w:rsidR="007479BA" w:rsidRPr="007C73D7">
        <w:rPr>
          <w:rFonts w:eastAsiaTheme="minorEastAsia"/>
          <w:i/>
        </w:rPr>
        <w:t>t</w:t>
      </w:r>
      <w:r w:rsidR="00DB5692" w:rsidRPr="007C73D7">
        <w:rPr>
          <w:rFonts w:eastAsiaTheme="minorEastAsia"/>
        </w:rPr>
        <w:t>;</w:t>
      </w:r>
      <w:r w:rsidR="002629BE" w:rsidRPr="007C73D7">
        <w:rPr>
          <w:rFonts w:eastAsiaTheme="minorEastAsia"/>
        </w:rPr>
        <w:t xml:space="preserve"> </w:t>
      </w:r>
      <m:oMath>
        <m:sSub>
          <m:sSubPr>
            <m:ctrlPr>
              <w:rPr>
                <w:rFonts w:ascii="Cambria Math" w:hAnsi="Cambria Math"/>
              </w:rPr>
            </m:ctrlPr>
          </m:sSubPr>
          <m:e>
            <m:r>
              <w:rPr>
                <w:rFonts w:ascii="Cambria Math" w:hAnsi="Cambria Math"/>
              </w:rPr>
              <m:t>w</m:t>
            </m:r>
          </m:e>
          <m:sub>
            <m:r>
              <w:rPr>
                <w:rFonts w:ascii="Cambria Math" w:hAnsi="Cambria Math"/>
              </w:rPr>
              <m:t>i</m:t>
            </m:r>
            <m:r>
              <m:rPr>
                <m:sty m:val="p"/>
              </m:rPr>
              <w:rPr>
                <w:rFonts w:ascii="Cambria Math" w:hAnsi="Cambria Math"/>
              </w:rPr>
              <m:t>,</m:t>
            </m:r>
            <m:r>
              <w:rPr>
                <w:rFonts w:ascii="Cambria Math" w:hAnsi="Cambria Math"/>
              </w:rPr>
              <m:t>t</m:t>
            </m:r>
          </m:sub>
        </m:sSub>
      </m:oMath>
      <w:r w:rsidRPr="007C73D7">
        <w:rPr>
          <w:rFonts w:eastAsiaTheme="minorEastAsia"/>
        </w:rPr>
        <w:t xml:space="preserve"> </w:t>
      </w:r>
      <w:r w:rsidR="00DB5692" w:rsidRPr="007C73D7">
        <w:t xml:space="preserve">denotes </w:t>
      </w:r>
      <w:r w:rsidRPr="007C73D7">
        <w:t xml:space="preserve">a set of province-level </w:t>
      </w:r>
      <w:r w:rsidR="00C21B31" w:rsidRPr="007C73D7">
        <w:t>c</w:t>
      </w:r>
      <w:r w:rsidR="00F078AA" w:rsidRPr="007C73D7">
        <w:t>ovariates</w:t>
      </w:r>
      <w:r w:rsidR="00DB5692" w:rsidRPr="007C73D7">
        <w:t xml:space="preserve">; </w:t>
      </w:r>
      <m:oMath>
        <m:sSub>
          <m:sSubPr>
            <m:ctrlPr>
              <w:rPr>
                <w:rFonts w:ascii="Cambria Math" w:hAnsi="Cambria Math"/>
                <w:i/>
              </w:rPr>
            </m:ctrlPr>
          </m:sSubPr>
          <m:e>
            <m:r>
              <w:rPr>
                <w:rFonts w:ascii="Cambria Math" w:hAnsi="Cambria Math"/>
              </w:rPr>
              <m:t>γ</m:t>
            </m:r>
          </m:e>
          <m:sub>
            <m:r>
              <w:rPr>
                <w:rFonts w:ascii="Cambria Math" w:hAnsi="Cambria Math"/>
              </w:rPr>
              <m:t>i</m:t>
            </m:r>
          </m:sub>
        </m:sSub>
      </m:oMath>
      <w:r w:rsidR="00DB5692" w:rsidRPr="007C73D7">
        <w:rPr>
          <w:rFonts w:eastAsiaTheme="minorEastAsia"/>
        </w:rPr>
        <w:t xml:space="preserve"> </w:t>
      </w:r>
      <w:r w:rsidR="00A430D3" w:rsidRPr="007C73D7">
        <w:rPr>
          <w:rFonts w:eastAsiaTheme="minorEastAsia"/>
        </w:rPr>
        <w:t xml:space="preserve">is the </w:t>
      </w:r>
      <w:r w:rsidR="00A430D3" w:rsidRPr="007C73D7">
        <w:t>intercept for each province</w:t>
      </w:r>
      <w:r w:rsidR="00FB6DB0" w:rsidRPr="007C73D7">
        <w:t>;</w:t>
      </w:r>
      <w:r w:rsidR="00DB5692" w:rsidRPr="007C73D7">
        <w:t xml:space="preserve"> </w:t>
      </w:r>
      <m:oMath>
        <m:sSub>
          <m:sSubPr>
            <m:ctrlPr>
              <w:rPr>
                <w:rFonts w:ascii="Cambria Math" w:hAnsi="Cambria Math"/>
              </w:rPr>
            </m:ctrlPr>
          </m:sSubPr>
          <m:e>
            <m:r>
              <w:rPr>
                <w:rFonts w:ascii="Cambria Math" w:hAnsi="Cambria Math"/>
              </w:rPr>
              <m:t>ϵ</m:t>
            </m:r>
          </m:e>
          <m:sub>
            <m:r>
              <w:rPr>
                <w:rFonts w:ascii="Cambria Math" w:hAnsi="Cambria Math"/>
              </w:rPr>
              <m:t>i</m:t>
            </m:r>
            <m:r>
              <m:rPr>
                <m:sty m:val="p"/>
              </m:rPr>
              <w:rPr>
                <w:rFonts w:ascii="Cambria Math" w:hAnsi="Cambria Math"/>
              </w:rPr>
              <m:t>,</m:t>
            </m:r>
            <m:r>
              <w:rPr>
                <w:rFonts w:ascii="Cambria Math" w:hAnsi="Cambria Math"/>
              </w:rPr>
              <m:t>t</m:t>
            </m:r>
          </m:sub>
        </m:sSub>
        <m:r>
          <w:rPr>
            <w:rFonts w:ascii="Cambria Math" w:hAnsi="Cambria Math"/>
          </w:rPr>
          <m:t xml:space="preserve"> </m:t>
        </m:r>
      </m:oMath>
      <w:r w:rsidR="007479BA" w:rsidRPr="007C73D7">
        <w:t xml:space="preserve">is </w:t>
      </w:r>
      <w:r w:rsidRPr="007C73D7">
        <w:t>the idiosyncratic error term</w:t>
      </w:r>
      <w:r w:rsidR="00FB6DB0" w:rsidRPr="007C73D7">
        <w:t xml:space="preserve">; and </w:t>
      </w:r>
      <m:oMath>
        <m:sSub>
          <m:sSubPr>
            <m:ctrlPr>
              <w:rPr>
                <w:rFonts w:ascii="Cambria Math" w:hAnsi="Cambria Math"/>
              </w:rPr>
            </m:ctrlPr>
          </m:sSubPr>
          <m:e>
            <m:r>
              <w:rPr>
                <w:rFonts w:ascii="Cambria Math" w:hAnsi="Cambria Math"/>
              </w:rPr>
              <m:t>θ</m:t>
            </m:r>
          </m:e>
          <m:sub>
            <m:r>
              <w:rPr>
                <w:rFonts w:ascii="Cambria Math" w:hAnsi="Cambria Math"/>
              </w:rPr>
              <m:t>t</m:t>
            </m:r>
          </m:sub>
        </m:sSub>
      </m:oMath>
      <w:r w:rsidR="00A430D3" w:rsidRPr="007C73D7">
        <w:rPr>
          <w:rFonts w:eastAsiaTheme="minorEastAsia"/>
        </w:rPr>
        <w:t xml:space="preserve"> is the year fixed-effects term </w:t>
      </w:r>
      <w:r w:rsidR="00870FAB" w:rsidRPr="007C73D7">
        <w:rPr>
          <w:rFonts w:eastAsiaTheme="minorEastAsia"/>
        </w:rPr>
        <w:t>capturing</w:t>
      </w:r>
      <w:r w:rsidRPr="007C73D7">
        <w:t xml:space="preserve"> changes occur</w:t>
      </w:r>
      <w:r w:rsidR="00A430D3" w:rsidRPr="007C73D7">
        <w:t xml:space="preserve">ring over time across all </w:t>
      </w:r>
      <w:r w:rsidR="00E54F4B" w:rsidRPr="007C73D7">
        <w:t xml:space="preserve">the </w:t>
      </w:r>
      <w:r w:rsidRPr="007C73D7">
        <w:t xml:space="preserve">provinces </w:t>
      </w:r>
      <w:r w:rsidR="00214895" w:rsidRPr="007C73D7">
        <w:t>that</w:t>
      </w:r>
      <w:r w:rsidRPr="007C73D7">
        <w:t xml:space="preserve"> affect health expenditure and mortality</w:t>
      </w:r>
      <w:r w:rsidR="007479BA" w:rsidRPr="007C73D7">
        <w:t xml:space="preserve"> simultaneously</w:t>
      </w:r>
      <w:r w:rsidRPr="007C73D7">
        <w:t xml:space="preserve"> (e.g. technological progress).</w:t>
      </w:r>
      <w:r w:rsidR="00543E2B" w:rsidRPr="007C73D7">
        <w:t xml:space="preserve"> </w:t>
      </w:r>
    </w:p>
    <w:p w14:paraId="22828C1C" w14:textId="1D5F4DF1" w:rsidR="00D84AD4" w:rsidRPr="007C73D7" w:rsidRDefault="00214895" w:rsidP="00E02E4F">
      <w:r w:rsidRPr="007C73D7">
        <w:lastRenderedPageBreak/>
        <w:t>T</w:t>
      </w:r>
      <w:r w:rsidR="00AB4E88" w:rsidRPr="007C73D7">
        <w:t>o</w:t>
      </w:r>
      <w:r w:rsidRPr="007C73D7">
        <w:t xml:space="preserve"> estimat</w:t>
      </w:r>
      <w:r w:rsidR="00AB4E88" w:rsidRPr="007C73D7">
        <w:t>e</w:t>
      </w:r>
      <w:r w:rsidRPr="007C73D7">
        <w:t xml:space="preserve"> </w:t>
      </w:r>
      <w:r w:rsidR="006179F0" w:rsidRPr="007C73D7">
        <w:t>E</w:t>
      </w:r>
      <w:r w:rsidRPr="007C73D7">
        <w:t>quation</w:t>
      </w:r>
      <w:r w:rsidR="00AB4E88" w:rsidRPr="007C73D7">
        <w:t xml:space="preserve"> (1), f</w:t>
      </w:r>
      <w:r w:rsidR="00D84AD4" w:rsidRPr="007C73D7">
        <w:t xml:space="preserve">ollowing </w:t>
      </w:r>
      <w:r w:rsidR="00F6425E" w:rsidRPr="007C73D7">
        <w:t xml:space="preserve">Gravelle and Backhouse </w:t>
      </w:r>
      <w:r w:rsidR="00F6425E" w:rsidRPr="007C73D7">
        <w:fldChar w:fldCharType="begin" w:fldLock="1"/>
      </w:r>
      <w:r w:rsidR="007D1F2A" w:rsidRPr="007C73D7">
        <w:instrText>ADDIN CSL_CITATION {"citationItems":[{"id":"ITEM-1","itemData":{"abstract":"Abstract-An essential ingredient in the evaluation of policies concerning health services is knowledge of the impact of health services and other factors on the health of the population. One method of obtaining this information is from the regression analysis of international cross-section data on mortality rates, health service provision, income levels, consumption patterns, and other variables hypothesised to affect population health. The investigation of the determinants of population health is in many ways akin to the estimation of production functions which describe the relationship between the output of goods or services and the mix of inputs used in their production. The purpose of our paper is to use this analogy to discuss, and provide examples of, the problems which arise with the statistical investigation of mortality rates. Issues raised include simultanecus equation bias, multicollinearity, selection of explanatory variables, omitted variable bias, definition and measurement of variables, functional forms, lagged relationships and temporal stability. These problems are illustrated by replication and re-analysis, using new data, of the well known study by Cochrane, St Leger and Moore","author":[{"dropping-particle":"","family":"Gravelle","given":"H.S.E","non-dropping-particle":"","parse-names":false,"suffix":""},{"dropping-particle":"","family":"Backhouse","given":"M.E","non-dropping-particle":"","parse-names":false,"suffix":""}],"container-title":"Social Science and Medicine","id":"ITEM-1","issue":"5","issued":{"date-parts":[["1987"]]},"page":"427-441","title":"International Cross-Section Analysis of the Determination of Mortality","type":"article-journal","volume":"25"},"uris":["http://www.mendeley.com/documents/?uuid=d075365c-4d3e-465d-b2a9-f4dd97891936"]}],"mendeley":{"formattedCitation":"[3]","plainTextFormattedCitation":"[3]","previouslyFormattedCitation":"[3]"},"properties":{"noteIndex":0},"schema":"https://github.com/citation-style-language/schema/raw/master/csl-citation.json"}</w:instrText>
      </w:r>
      <w:r w:rsidR="00F6425E" w:rsidRPr="007C73D7">
        <w:fldChar w:fldCharType="separate"/>
      </w:r>
      <w:r w:rsidR="003F634B" w:rsidRPr="007C73D7">
        <w:rPr>
          <w:noProof/>
        </w:rPr>
        <w:t>[3]</w:t>
      </w:r>
      <w:r w:rsidR="00F6425E" w:rsidRPr="007C73D7">
        <w:fldChar w:fldCharType="end"/>
      </w:r>
      <w:r w:rsidR="00F6425E" w:rsidRPr="007C73D7">
        <w:t xml:space="preserve"> </w:t>
      </w:r>
      <w:r w:rsidR="00D84AD4" w:rsidRPr="007C73D7">
        <w:t xml:space="preserve">we assume the </w:t>
      </w:r>
      <w:r w:rsidR="00F55BC7" w:rsidRPr="007C73D7">
        <w:t>stream of expenditure coefficients</w:t>
      </w:r>
      <w:r w:rsidR="00D84AD4" w:rsidRPr="007C73D7">
        <w:t xml:space="preserve">, </w:t>
      </w:r>
      <m:oMath>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 xml:space="preserve">, </m:t>
        </m:r>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-k</m:t>
            </m:r>
          </m:sub>
        </m:sSub>
      </m:oMath>
      <w:r w:rsidR="00434187" w:rsidRPr="007C73D7">
        <w:rPr>
          <w:rFonts w:eastAsiaTheme="minorEastAsia"/>
        </w:rPr>
        <w:t>,</w:t>
      </w:r>
      <w:r w:rsidR="00D84AD4" w:rsidRPr="007C73D7">
        <w:t xml:space="preserve">  to follow a geometric decay at the rate of </w:t>
      </w:r>
      <m:oMath>
        <m:r>
          <w:rPr>
            <w:rFonts w:ascii="Cambria Math" w:hAnsi="Cambria Math"/>
          </w:rPr>
          <m:t>λ</m:t>
        </m:r>
      </m:oMath>
      <w:r w:rsidR="009457AC" w:rsidRPr="007C73D7">
        <w:rPr>
          <w:rFonts w:eastAsiaTheme="minorEastAsia"/>
        </w:rPr>
        <w:t>.</w:t>
      </w:r>
      <w:r w:rsidR="00517425" w:rsidRPr="007C73D7">
        <w:rPr>
          <w:rFonts w:eastAsiaTheme="minorEastAsia"/>
        </w:rPr>
        <w:t xml:space="preserve"> </w:t>
      </w:r>
      <w:r w:rsidR="00870FAB" w:rsidRPr="007C73D7">
        <w:rPr>
          <w:rFonts w:eastAsiaTheme="minorEastAsia"/>
        </w:rPr>
        <w:t>Then</w:t>
      </w:r>
      <w:r w:rsidR="00517425" w:rsidRPr="007C73D7">
        <w:rPr>
          <w:rFonts w:eastAsiaTheme="minorEastAsia"/>
        </w:rPr>
        <w:t>,</w:t>
      </w:r>
      <w:r w:rsidR="009457AC" w:rsidRPr="007C73D7">
        <w:rPr>
          <w:rFonts w:eastAsiaTheme="minorEastAsia"/>
        </w:rPr>
        <w:t xml:space="preserve"> </w:t>
      </w:r>
      <w:r w:rsidR="00517425" w:rsidRPr="007C73D7">
        <w:rPr>
          <w:rFonts w:eastAsiaTheme="minorEastAsia"/>
        </w:rPr>
        <w:t>t</w:t>
      </w:r>
      <w:r w:rsidR="009457AC" w:rsidRPr="007C73D7">
        <w:rPr>
          <w:rFonts w:eastAsiaTheme="minorEastAsia"/>
        </w:rPr>
        <w:t xml:space="preserve">he effect of expenditure </w:t>
      </w:r>
      <w:r w:rsidR="00517425" w:rsidRPr="007C73D7">
        <w:rPr>
          <w:rFonts w:eastAsiaTheme="minorEastAsia"/>
        </w:rPr>
        <w:t xml:space="preserve">from </w:t>
      </w:r>
      <w:r w:rsidR="00870FAB" w:rsidRPr="007C73D7">
        <w:rPr>
          <w:rFonts w:eastAsiaTheme="minorEastAsia"/>
        </w:rPr>
        <w:t xml:space="preserve">period </w:t>
      </w:r>
      <m:oMath>
        <m:r>
          <w:rPr>
            <w:rFonts w:ascii="Cambria Math" w:eastAsiaTheme="minorEastAsia" w:hAnsi="Cambria Math"/>
          </w:rPr>
          <m:t>t-s</m:t>
        </m:r>
      </m:oMath>
      <w:r w:rsidR="009457AC" w:rsidRPr="007C73D7">
        <w:rPr>
          <w:rFonts w:eastAsiaTheme="minorEastAsia"/>
        </w:rPr>
        <w:t xml:space="preserve"> can be derived as</w:t>
      </w:r>
      <w:r w:rsidR="00D84AD4" w:rsidRPr="007C73D7">
        <w:rPr>
          <w:rFonts w:eastAsiaTheme="minorEastAsia"/>
        </w:rPr>
        <w:t xml:space="preserve"> </w:t>
      </w:r>
      <m:oMath>
        <m:sSub>
          <m:sSubPr>
            <m:ctrlPr>
              <w:rPr>
                <w:rFonts w:ascii="Cambria Math" w:hAnsi="Cambria Math"/>
              </w:rPr>
            </m:ctrlPr>
          </m:sSubPr>
          <m:e>
            <m:r>
              <w:rPr>
                <w:rFonts w:ascii="Cambria Math" w:hAnsi="Cambria Math"/>
              </w:rPr>
              <m:t>β</m:t>
            </m:r>
          </m:e>
          <m:sub>
            <m:r>
              <w:rPr>
                <w:rFonts w:ascii="Cambria Math" w:hAnsi="Cambria Math"/>
              </w:rPr>
              <m:t>-s</m:t>
            </m:r>
          </m:sub>
        </m:sSub>
        <m:r>
          <w:rPr>
            <w:rFonts w:ascii="Cambria Math" w:hAnsi="Cambria Math"/>
          </w:rPr>
          <m:t>=</m:t>
        </m:r>
        <m:sSup>
          <m:sSupPr>
            <m:ctrlPr>
              <w:rPr>
                <w:rFonts w:ascii="Cambria Math" w:hAnsi="Cambria Math"/>
                <w:i/>
              </w:rPr>
            </m:ctrlPr>
          </m:sSupPr>
          <m:e>
            <m:r>
              <w:rPr>
                <w:rFonts w:ascii="Cambria Math" w:hAnsi="Cambria Math"/>
              </w:rPr>
              <m:t>λ</m:t>
            </m:r>
          </m:e>
          <m:sup>
            <m:r>
              <w:rPr>
                <w:rFonts w:ascii="Cambria Math" w:hAnsi="Cambria Math"/>
              </w:rPr>
              <m:t>s</m:t>
            </m:r>
          </m:sup>
        </m:sSup>
        <m:sSub>
          <m:sSubPr>
            <m:ctrlPr>
              <w:rPr>
                <w:rFonts w:ascii="Cambria Math" w:hAnsi="Cambria Math"/>
              </w:rPr>
            </m:ctrlPr>
          </m:sSubPr>
          <m:e>
            <m:r>
              <w:rPr>
                <w:rFonts w:ascii="Cambria Math" w:hAnsi="Cambria Math"/>
              </w:rPr>
              <m:t>β</m:t>
            </m:r>
          </m:e>
          <m:sub>
            <m:r>
              <w:rPr>
                <w:rFonts w:ascii="Cambria Math" w:hAnsi="Cambria Math"/>
              </w:rPr>
              <m:t>0</m:t>
            </m:r>
          </m:sub>
        </m:sSub>
      </m:oMath>
      <w:r w:rsidR="00D84AD4" w:rsidRPr="007C73D7">
        <w:rPr>
          <w:rFonts w:eastAsiaTheme="minorEastAsia"/>
        </w:rPr>
        <w:t xml:space="preserve"> for </w:t>
      </w:r>
      <m:oMath>
        <m:r>
          <w:rPr>
            <w:rFonts w:ascii="Cambria Math" w:eastAsiaTheme="minorEastAsia" w:hAnsi="Cambria Math"/>
          </w:rPr>
          <m:t>s=0</m:t>
        </m:r>
      </m:oMath>
      <w:r w:rsidR="00D84AD4" w:rsidRPr="007C73D7">
        <w:rPr>
          <w:rFonts w:eastAsiaTheme="minorEastAsia"/>
        </w:rPr>
        <w:t xml:space="preserve"> to </w:t>
      </w:r>
      <m:oMath>
        <m:r>
          <w:rPr>
            <w:rFonts w:ascii="Cambria Math" w:eastAsiaTheme="minorEastAsia" w:hAnsi="Cambria Math"/>
          </w:rPr>
          <m:t>k,</m:t>
        </m:r>
      </m:oMath>
      <w:r w:rsidR="00517425" w:rsidRPr="007C73D7">
        <w:t xml:space="preserve"> and </w:t>
      </w:r>
      <w:r w:rsidR="00F52AB4" w:rsidRPr="007C73D7">
        <w:t>E</w:t>
      </w:r>
      <w:r w:rsidR="0047450E" w:rsidRPr="007C73D7">
        <w:t>quation (1)</w:t>
      </w:r>
      <w:r w:rsidR="00012FBC" w:rsidRPr="007C73D7">
        <w:t xml:space="preserve"> can be re-written as</w:t>
      </w:r>
    </w:p>
    <w:tbl>
      <w:tblPr>
        <w:tblW w:w="5029" w:type="dxa"/>
        <w:jc w:val="center"/>
        <w:tblLook w:val="04A0" w:firstRow="1" w:lastRow="0" w:firstColumn="1" w:lastColumn="0" w:noHBand="0" w:noVBand="1"/>
      </w:tblPr>
      <w:tblGrid>
        <w:gridCol w:w="4429"/>
        <w:gridCol w:w="600"/>
      </w:tblGrid>
      <w:tr w:rsidR="00D84AD4" w:rsidRPr="007C73D7" w14:paraId="44059F36" w14:textId="77777777" w:rsidTr="18112CD4">
        <w:trPr>
          <w:trHeight w:val="567"/>
          <w:jc w:val="center"/>
        </w:trPr>
        <w:tc>
          <w:tcPr>
            <w:tcW w:w="4429" w:type="dxa"/>
            <w:vAlign w:val="center"/>
          </w:tcPr>
          <w:p w14:paraId="0545C672" w14:textId="77777777" w:rsidR="00D84AD4" w:rsidRPr="007C73D7" w:rsidRDefault="00F20129" w:rsidP="00E02E4F">
            <m:oMath>
              <m:sSub>
                <m:sSubPr>
                  <m:ctrlPr>
                    <w:rPr>
                      <w:rFonts w:ascii="Cambria Math" w:hAnsi="Cambria Math"/>
                    </w:rPr>
                  </m:ctrlPr>
                </m:sSub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t</m:t>
                  </m:r>
                </m:sub>
              </m:sSub>
              <m:r>
                <m:rPr>
                  <m:sty m:val="p"/>
                </m:rPr>
                <w:rPr>
                  <w:rFonts w:ascii="Cambria Math" w:hAnsi="Cambria Math"/>
                </w:rPr>
                <m:t>+</m:t>
              </m:r>
              <m:r>
                <w:rPr>
                  <w:rFonts w:ascii="Cambria Math" w:hAnsi="Cambria Math"/>
                </w:rPr>
                <m:t>λ</m:t>
              </m:r>
              <m:sSub>
                <m:sSubPr>
                  <m:ctrlPr>
                    <w:rPr>
                      <w:rFonts w:ascii="Cambria Math" w:hAnsi="Cambria Math"/>
                    </w:rPr>
                  </m:ctrlPr>
                </m:sSubPr>
                <m:e>
                  <m:r>
                    <w:rPr>
                      <w:rFonts w:ascii="Cambria Math" w:hAnsi="Cambria Math"/>
                    </w:rPr>
                    <m:t>y</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r>
                <m:rPr>
                  <m:sty m:val="p"/>
                </m:rP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sSub>
                <m:sSubPr>
                  <m:ctrlPr>
                    <w:rPr>
                      <w:rFonts w:ascii="Cambria Math" w:hAnsi="Cambria Math"/>
                    </w:rPr>
                  </m:ctrlPr>
                </m:sSubPr>
                <m:e>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δ</m:t>
              </m:r>
              <m:sSub>
                <m:sSubPr>
                  <m:ctrlPr>
                    <w:rPr>
                      <w:rFonts w:ascii="Cambria Math" w:hAnsi="Cambria Math"/>
                    </w:rPr>
                  </m:ctrlPr>
                </m:sSubPr>
                <m:e>
                  <m:r>
                    <w:rPr>
                      <w:rFonts w:ascii="Cambria Math" w:hAnsi="Cambria Math"/>
                    </w:rPr>
                    <m:t>w</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m:t>
                  </m:r>
                  <m:r>
                    <m:rPr>
                      <m:sty m:val="p"/>
                    </m:rPr>
                    <w:rPr>
                      <w:rFonts w:ascii="Cambria Math" w:hAnsi="Cambria Math"/>
                    </w:rPr>
                    <m:t>,</m:t>
                  </m:r>
                  <m:r>
                    <w:rPr>
                      <w:rFonts w:ascii="Cambria Math" w:hAnsi="Cambria Math"/>
                    </w:rPr>
                    <m:t>t</m:t>
                  </m:r>
                </m:sub>
              </m:sSub>
            </m:oMath>
            <w:r w:rsidR="00D84AD4" w:rsidRPr="007C73D7">
              <w:rPr>
                <w:rFonts w:eastAsiaTheme="minorEastAsia"/>
              </w:rPr>
              <w:t>,</w:t>
            </w:r>
          </w:p>
        </w:tc>
        <w:tc>
          <w:tcPr>
            <w:tcW w:w="600" w:type="dxa"/>
            <w:vAlign w:val="center"/>
          </w:tcPr>
          <w:p w14:paraId="60DAC6B3" w14:textId="0EF49B58" w:rsidR="00D84AD4" w:rsidRPr="007C73D7" w:rsidRDefault="0047450E" w:rsidP="00E02E4F">
            <w:r w:rsidRPr="007C73D7">
              <w:t>(</w:t>
            </w:r>
            <w:r w:rsidR="002B40B5" w:rsidRPr="007C73D7">
              <w:t>2</w:t>
            </w:r>
            <w:r w:rsidRPr="007C73D7">
              <w:t>)</w:t>
            </w:r>
          </w:p>
        </w:tc>
      </w:tr>
    </w:tbl>
    <w:p w14:paraId="001ED7D4" w14:textId="58959DCC" w:rsidR="007977C1" w:rsidRPr="007C73D7" w:rsidRDefault="009457AC" w:rsidP="00E02E4F">
      <w:pPr>
        <w:rPr>
          <w:color w:val="FF0000"/>
        </w:rPr>
      </w:pPr>
      <w:r w:rsidRPr="007C73D7">
        <w:t>w</w:t>
      </w:r>
      <w:r w:rsidR="00FB39BF" w:rsidRPr="007C73D7">
        <w:t xml:space="preserve">here </w:t>
      </w:r>
      <m:oMath>
        <m:sSub>
          <m:sSubPr>
            <m:ctrlPr>
              <w:rPr>
                <w:rFonts w:ascii="Cambria Math" w:hAnsi="Cambria Math"/>
              </w:rPr>
            </m:ctrlPr>
          </m:sSubPr>
          <m:e>
            <m:r>
              <w:rPr>
                <w:rFonts w:ascii="Cambria Math" w:hAnsi="Cambria Math"/>
              </w:rPr>
              <m:t>α</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t</m:t>
            </m:r>
          </m:sub>
        </m:sSub>
        <m:r>
          <w:rPr>
            <w:rFonts w:ascii="Cambria Math" w:hAnsi="Cambria Math"/>
          </w:rPr>
          <m:t>(1-λ)</m:t>
        </m:r>
      </m:oMath>
      <w:r w:rsidR="00AB4E88" w:rsidRPr="007C73D7">
        <w:rPr>
          <w:rFonts w:eastAsiaTheme="minorEastAsia"/>
        </w:rPr>
        <w:t xml:space="preserve">, </w:t>
      </w:r>
      <w:r w:rsidR="00FB39BF" w:rsidRPr="007C73D7">
        <w:rPr>
          <w:rFonts w:eastAsiaTheme="minorEastAsia"/>
        </w:rPr>
        <w:t xml:space="preserve"> </w:t>
      </w:r>
      <m:oMath>
        <m:sSub>
          <m:sSubPr>
            <m:ctrlPr>
              <w:rPr>
                <w:rFonts w:ascii="Cambria Math" w:hAnsi="Cambria Math"/>
              </w:rPr>
            </m:ctrlPr>
          </m:sSubPr>
          <m:e>
            <m:r>
              <w:rPr>
                <w:rFonts w:ascii="Cambria Math" w:hAnsi="Cambria Math"/>
              </w:rPr>
              <m:t>ε</m:t>
            </m:r>
          </m:e>
          <m:sub>
            <m:r>
              <w:rPr>
                <w:rFonts w:ascii="Cambria Math" w:hAnsi="Cambria Math"/>
              </w:rPr>
              <m:t>i</m:t>
            </m:r>
            <m:r>
              <m:rPr>
                <m:sty m:val="p"/>
              </m:rPr>
              <w:rPr>
                <w:rFonts w:ascii="Cambria Math" w:hAnsi="Cambria Math"/>
              </w:rPr>
              <m:t>,</m:t>
            </m:r>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m:t>
            </m:r>
            <m:r>
              <m:rPr>
                <m:sty m:val="p"/>
              </m:rPr>
              <w:rPr>
                <w:rFonts w:ascii="Cambria Math" w:hAnsi="Cambria Math"/>
              </w:rPr>
              <m:t>,</m:t>
            </m:r>
            <m:r>
              <w:rPr>
                <w:rFonts w:ascii="Cambria Math" w:hAnsi="Cambria Math"/>
              </w:rPr>
              <m:t>t</m:t>
            </m:r>
          </m:sub>
        </m:sSub>
        <m:r>
          <w:rPr>
            <w:rFonts w:ascii="Cambria Math" w:hAnsi="Cambria Math"/>
          </w:rPr>
          <m:t>-λ</m:t>
        </m:r>
        <m:sSub>
          <m:sSubPr>
            <m:ctrlPr>
              <w:rPr>
                <w:rFonts w:ascii="Cambria Math" w:hAnsi="Cambria Math"/>
              </w:rPr>
            </m:ctrlPr>
          </m:sSubPr>
          <m:e>
            <m:r>
              <w:rPr>
                <w:rFonts w:ascii="Cambria Math" w:hAnsi="Cambria Math"/>
              </w:rPr>
              <m:t>ϵ</m:t>
            </m:r>
          </m:e>
          <m:sub>
            <m:r>
              <w:rPr>
                <w:rFonts w:ascii="Cambria Math" w:hAnsi="Cambria Math"/>
              </w:rPr>
              <m:t>i</m:t>
            </m:r>
            <m:r>
              <m:rPr>
                <m:sty m:val="p"/>
              </m:rPr>
              <w:rPr>
                <w:rFonts w:ascii="Cambria Math" w:hAnsi="Cambria Math"/>
              </w:rPr>
              <m:t>,</m:t>
            </m:r>
            <m:r>
              <w:rPr>
                <w:rFonts w:ascii="Cambria Math" w:hAnsi="Cambria Math"/>
              </w:rPr>
              <m:t>t-1</m:t>
            </m:r>
          </m:sub>
        </m:sSub>
      </m:oMath>
      <w:r w:rsidR="00AB4E88" w:rsidRPr="007C73D7">
        <w:rPr>
          <w:rFonts w:eastAsiaTheme="minorEastAsia"/>
        </w:rPr>
        <w:t xml:space="preserve">. </w:t>
      </w:r>
      <w:r w:rsidR="00AB4E88" w:rsidRPr="007C73D7">
        <w:t>The coefficient of interest</w:t>
      </w:r>
      <w:r w:rsidR="00517425" w:rsidRPr="007C73D7">
        <w:t>,</w:t>
      </w:r>
      <w:r w:rsidR="00AB4E88" w:rsidRPr="007C73D7">
        <w:t xml:space="preserve"> </w:t>
      </w:r>
      <m:oMath>
        <m:sSub>
          <m:sSubPr>
            <m:ctrlPr>
              <w:rPr>
                <w:rFonts w:ascii="Cambria Math" w:hAnsi="Cambria Math"/>
              </w:rPr>
            </m:ctrlPr>
          </m:sSubPr>
          <m:e>
            <m:r>
              <w:rPr>
                <w:rFonts w:ascii="Cambria Math" w:hAnsi="Cambria Math"/>
              </w:rPr>
              <m:t>β</m:t>
            </m:r>
          </m:e>
          <m:sub>
            <m:r>
              <w:rPr>
                <w:rFonts w:ascii="Cambria Math" w:hAnsi="Cambria Math"/>
              </w:rPr>
              <m:t>0</m:t>
            </m:r>
          </m:sub>
        </m:sSub>
      </m:oMath>
      <w:r w:rsidR="00AB4E88" w:rsidRPr="007C73D7">
        <w:rPr>
          <w:rFonts w:eastAsiaTheme="minorEastAsia"/>
        </w:rPr>
        <w:t>,</w:t>
      </w:r>
      <w:r w:rsidR="002B40B5" w:rsidRPr="007C73D7">
        <w:t xml:space="preserve"> </w:t>
      </w:r>
      <w:r w:rsidR="00517425" w:rsidRPr="007C73D7">
        <w:t>is the</w:t>
      </w:r>
      <w:r w:rsidR="00AB4E88" w:rsidRPr="007C73D7">
        <w:t xml:space="preserve"> </w:t>
      </w:r>
      <w:r w:rsidR="0017094D" w:rsidRPr="007C73D7">
        <w:t xml:space="preserve">expenditure </w:t>
      </w:r>
      <w:r w:rsidR="00AB4E88" w:rsidRPr="007C73D7">
        <w:rPr>
          <w:rFonts w:eastAsiaTheme="minorEastAsia"/>
        </w:rPr>
        <w:t>semi-elasticity</w:t>
      </w:r>
      <w:r w:rsidR="00AB4E88" w:rsidRPr="007C73D7">
        <w:t xml:space="preserve"> </w:t>
      </w:r>
      <w:r w:rsidR="0017094D" w:rsidRPr="007C73D7">
        <w:t xml:space="preserve">of </w:t>
      </w:r>
      <w:r w:rsidR="00F078AA" w:rsidRPr="007C73D7">
        <w:rPr>
          <w:rFonts w:eastAsiaTheme="minorEastAsia"/>
        </w:rPr>
        <w:t>U5MR</w:t>
      </w:r>
      <w:r w:rsidR="00517425" w:rsidRPr="007C73D7">
        <w:rPr>
          <w:rFonts w:eastAsiaTheme="minorEastAsia"/>
        </w:rPr>
        <w:t xml:space="preserve">, </w:t>
      </w:r>
      <w:r w:rsidR="00434187" w:rsidRPr="007C73D7">
        <w:rPr>
          <w:rFonts w:eastAsiaTheme="minorEastAsia"/>
        </w:rPr>
        <w:t xml:space="preserve">i.e. change in the mortality rate of </w:t>
      </w:r>
      <m:oMath>
        <m:sSub>
          <m:sSubPr>
            <m:ctrlPr>
              <w:rPr>
                <w:rFonts w:ascii="Cambria Math" w:hAnsi="Cambria Math"/>
              </w:rPr>
            </m:ctrlPr>
          </m:sSubPr>
          <m:e>
            <m:r>
              <w:rPr>
                <w:rFonts w:ascii="Cambria Math" w:hAnsi="Cambria Math"/>
              </w:rPr>
              <m:t>β</m:t>
            </m:r>
          </m:e>
          <m:sub>
            <m:r>
              <w:rPr>
                <w:rFonts w:ascii="Cambria Math" w:hAnsi="Cambria Math"/>
              </w:rPr>
              <m:t>0</m:t>
            </m:r>
          </m:sub>
        </m:sSub>
      </m:oMath>
      <w:r w:rsidR="00434187" w:rsidRPr="007C73D7">
        <w:rPr>
          <w:rFonts w:eastAsiaTheme="minorEastAsia"/>
        </w:rPr>
        <w:t>/100 units following a 1</w:t>
      </w:r>
      <w:r w:rsidR="00AB4E88" w:rsidRPr="007C73D7">
        <w:rPr>
          <w:rFonts w:eastAsiaTheme="minorEastAsia"/>
        </w:rPr>
        <w:t>% increase in the level of spending</w:t>
      </w:r>
      <w:r w:rsidR="002B40B5" w:rsidRPr="007C73D7">
        <w:rPr>
          <w:rStyle w:val="FootnoteReference"/>
        </w:rPr>
        <w:footnoteReference w:id="5"/>
      </w:r>
      <w:r w:rsidR="00AB4E88" w:rsidRPr="007C73D7">
        <w:rPr>
          <w:rFonts w:eastAsiaTheme="minorEastAsia"/>
        </w:rPr>
        <w:t>.</w:t>
      </w:r>
      <w:r w:rsidR="00517425" w:rsidRPr="007C73D7">
        <w:t xml:space="preserve"> It c</w:t>
      </w:r>
      <w:r w:rsidR="00870FAB" w:rsidRPr="007C73D7">
        <w:t>aptures</w:t>
      </w:r>
      <w:r w:rsidR="00517425" w:rsidRPr="007C73D7">
        <w:t xml:space="preserve"> the short-term effects of expenditure on mortality through, for example, quality of care and availability of hospital medical equipment </w:t>
      </w:r>
      <w:r w:rsidR="008C6CF5" w:rsidRPr="007C73D7">
        <w:fldChar w:fldCharType="begin" w:fldLock="1"/>
      </w:r>
      <w:r w:rsidR="00CA1237" w:rsidRPr="007C73D7">
        <w:instrText>ADDIN CSL_CITATION {"citationItems":[{"id":"ITEM-1","itemData":{"DOI":"10.1002/hec","abstract":"In 2004, California became the first state to implement statewide minimum nurse-to-patient ratios in general hospitals. In spite of years of work to establish statewide staffing regulations, there is little evidence that the law was effective in attracting more nurses to the hospital workforce or improving patient outcomes. This paper examines the effects of this legislation on employment and wages of registered nurses. By using annual financial data from California hospitals, I show that nurse-to-patient ratios in medical/surgical units increased substantially following the staffing mandate. However, survey data from two nationally representative datasets indicate that the law had no effect on the aggregate number of registered nurses or the hours they worked in California hospitals, and at most a modest effect on wages. My findings suggest that offsetting changes in labor demand due to hospital closures, combined with reclassification of workers within hospitals, and mitigated the employment effects of California's staffing regulation. This paper cautions that California's experience with minimum nurse staffing legislation may not be generalizable to states considering similar policies in very different hospital markets. Copyright © 2013 John Wiley &amp; Sons, Ltd. Copyright © 2013 John Wiley &amp; Sons, Ltd.","author":[{"dropping-particle":"","family":"Bhalotra","given":"Sonia","non-dropping-particle":"","parse-names":false,"suffix":""}],"container-title":"Health Economics","id":"ITEM-1","issued":{"date-parts":[["2007"]]},"page":"911-928","title":"Spending to save? State health expenditure and infant mortality in India","type":"article-journal","volume":"16"},"uris":["http://www.mendeley.com/documents/?uuid=050ccfed-3cf7-4b7d-8c22-ed8d9c382d2a"]}],"mendeley":{"formattedCitation":"[11]","plainTextFormattedCitation":"[11]","previouslyFormattedCitation":"[11]"},"properties":{"noteIndex":0},"schema":"https://github.com/citation-style-language/schema/raw/master/csl-citation.json"}</w:instrText>
      </w:r>
      <w:r w:rsidR="008C6CF5" w:rsidRPr="007C73D7">
        <w:fldChar w:fldCharType="separate"/>
      </w:r>
      <w:r w:rsidR="00CA1237" w:rsidRPr="007C73D7">
        <w:rPr>
          <w:noProof/>
        </w:rPr>
        <w:t>[11]</w:t>
      </w:r>
      <w:r w:rsidR="008C6CF5" w:rsidRPr="007C73D7">
        <w:fldChar w:fldCharType="end"/>
      </w:r>
      <w:r w:rsidR="009D2240">
        <w:t>.</w:t>
      </w:r>
    </w:p>
    <w:p w14:paraId="6CDC3916" w14:textId="591688CF" w:rsidR="00F25922" w:rsidRPr="007C73D7" w:rsidRDefault="005E31C6" w:rsidP="00E02E4F">
      <w:r w:rsidRPr="007C73D7">
        <w:t>Estimating</w:t>
      </w:r>
      <w:r w:rsidR="00D84AD4" w:rsidRPr="007C73D7">
        <w:t xml:space="preserve"> </w:t>
      </w:r>
      <w:r w:rsidR="00E471B3" w:rsidRPr="007C73D7">
        <w:t xml:space="preserve">the coefficients in </w:t>
      </w:r>
      <w:r w:rsidR="00F52AB4" w:rsidRPr="007C73D7">
        <w:t>E</w:t>
      </w:r>
      <w:r w:rsidR="004D7B5A" w:rsidRPr="007C73D7">
        <w:t xml:space="preserve">quation </w:t>
      </w:r>
      <w:r w:rsidR="008E468E" w:rsidRPr="007C73D7">
        <w:t>(</w:t>
      </w:r>
      <w:r w:rsidR="002B40B5" w:rsidRPr="007C73D7">
        <w:t>2</w:t>
      </w:r>
      <w:r w:rsidR="008E468E" w:rsidRPr="007C73D7">
        <w:t>)</w:t>
      </w:r>
      <w:r w:rsidR="009C0D75" w:rsidRPr="007C73D7">
        <w:t xml:space="preserve"> requires</w:t>
      </w:r>
      <w:r w:rsidR="0030332C" w:rsidRPr="007C73D7">
        <w:t xml:space="preserve"> </w:t>
      </w:r>
      <w:r w:rsidR="00F7208E" w:rsidRPr="007C73D7">
        <w:t>appropriate techniques</w:t>
      </w:r>
      <w:r w:rsidR="0030332C" w:rsidRPr="007C73D7">
        <w:t xml:space="preserve"> </w:t>
      </w:r>
      <w:r w:rsidR="00870FAB" w:rsidRPr="007C73D7">
        <w:t xml:space="preserve">to account for </w:t>
      </w:r>
      <w:r w:rsidRPr="007C73D7">
        <w:t>the correlation between the</w:t>
      </w:r>
      <w:r w:rsidR="00D84AD4" w:rsidRPr="007C73D7">
        <w:t xml:space="preserve"> lagged </w:t>
      </w:r>
      <w:r w:rsidR="007B21EE" w:rsidRPr="007C73D7">
        <w:t xml:space="preserve">mortality rate </w:t>
      </w:r>
      <w:r w:rsidR="006940B3" w:rsidRPr="007C73D7">
        <w:t>o</w:t>
      </w:r>
      <w:r w:rsidR="007B21EE" w:rsidRPr="007C73D7">
        <w:t>n the right-hand side</w:t>
      </w:r>
      <w:r w:rsidR="003E461D" w:rsidRPr="007C73D7">
        <w:t xml:space="preserve"> of</w:t>
      </w:r>
      <w:r w:rsidR="00DF205A" w:rsidRPr="007C73D7">
        <w:t xml:space="preserve"> equation</w:t>
      </w:r>
      <w:r w:rsidR="003E461D" w:rsidRPr="007C73D7">
        <w:t xml:space="preserve"> </w:t>
      </w:r>
      <w:r w:rsidR="004B3A55" w:rsidRPr="007C73D7">
        <w:t>with the transformed error term</w:t>
      </w:r>
      <w:r w:rsidR="000E16D2" w:rsidRPr="007C73D7">
        <w:t xml:space="preserve"> </w:t>
      </w:r>
      <w:r w:rsidR="00C13917" w:rsidRPr="007C73D7">
        <w:rPr>
          <w:rStyle w:val="FootnoteReference"/>
        </w:rPr>
        <w:fldChar w:fldCharType="begin" w:fldLock="1"/>
      </w:r>
      <w:r w:rsidR="00BB7FBF" w:rsidRPr="007C73D7">
        <w:instrText>ADDIN CSL_CITATION {"citationItems":[{"id":"ITEM-1","itemData":{"author":[{"dropping-particle":"","family":"Nickell","given":"Stephen J","non-dropping-particle":"","parse-names":false,"suffix":""}],"container-title":"Econometrica","id":"ITEM-1","issue":"6","issued":{"date-parts":[["1981"]]},"page":"1417-1426","title":"Biases in Dynamic Models with Fixed Effects","type":"article-journal","volume":"49"},"uris":["http://www.mendeley.com/documents/?uuid=fa6c930c-6c50-4f11-858f-cd1f93ee1fab"]}],"mendeley":{"formattedCitation":"[34]","plainTextFormattedCitation":"[34]","previouslyFormattedCitation":"[34]"},"properties":{"noteIndex":0},"schema":"https://github.com/citation-style-language/schema/raw/master/csl-citation.json"}</w:instrText>
      </w:r>
      <w:r w:rsidR="00C13917" w:rsidRPr="007C73D7">
        <w:rPr>
          <w:rStyle w:val="FootnoteReference"/>
        </w:rPr>
        <w:fldChar w:fldCharType="separate"/>
      </w:r>
      <w:r w:rsidR="00BB7FBF" w:rsidRPr="007C73D7">
        <w:rPr>
          <w:noProof/>
        </w:rPr>
        <w:t>[34]</w:t>
      </w:r>
      <w:r w:rsidR="00C13917" w:rsidRPr="007C73D7">
        <w:rPr>
          <w:rStyle w:val="FootnoteReference"/>
        </w:rPr>
        <w:fldChar w:fldCharType="end"/>
      </w:r>
      <w:r w:rsidR="0062296D" w:rsidRPr="007C73D7">
        <w:t xml:space="preserve">. </w:t>
      </w:r>
      <w:r w:rsidR="0042607D" w:rsidRPr="007C73D7">
        <w:t>W</w:t>
      </w:r>
      <w:r w:rsidR="003B406A" w:rsidRPr="007C73D7">
        <w:t xml:space="preserve">e use the System-GMM estimator which </w:t>
      </w:r>
      <w:r w:rsidR="00493FA3" w:rsidRPr="007C73D7">
        <w:t xml:space="preserve">is </w:t>
      </w:r>
      <w:r w:rsidR="003E461D" w:rsidRPr="007C73D7">
        <w:t xml:space="preserve">a dynamic panel data method that </w:t>
      </w:r>
      <w:r w:rsidR="003B406A" w:rsidRPr="007C73D7">
        <w:t>involves</w:t>
      </w:r>
      <w:r w:rsidR="003B7CF3" w:rsidRPr="007C73D7">
        <w:t xml:space="preserve"> </w:t>
      </w:r>
      <w:r w:rsidR="003017E5" w:rsidRPr="007C73D7">
        <w:t>using lagged values of the endogenous variables as instrumental variables</w:t>
      </w:r>
      <w:r w:rsidR="003B406A" w:rsidRPr="007C73D7">
        <w:t xml:space="preserve"> for them </w:t>
      </w:r>
      <w:r w:rsidR="008C6CF5" w:rsidRPr="007C73D7">
        <w:rPr>
          <w:rFonts w:eastAsiaTheme="minorEastAsia"/>
        </w:rPr>
        <w:fldChar w:fldCharType="begin" w:fldLock="1"/>
      </w:r>
      <w:r w:rsidR="00BB7FBF" w:rsidRPr="007C73D7">
        <w:rPr>
          <w:rFonts w:eastAsiaTheme="minorEastAsia"/>
        </w:rPr>
        <w:instrText>ADDIN CSL_CITATION {"citationItems":[{"id":"ITEM-1","itemData":{"author":[{"dropping-particle":"","family":"Arellano","given":"Manuel","non-dropping-particle":"","parse-names":false,"suffix":""},{"dropping-particle":"","family":"Bond","given":"Stephen","non-dropping-particle":"","parse-names":false,"suffix":""}],"container-title":"Review of Economic Studies","id":"ITEM-1","issued":{"date-parts":[["1991"]]},"page":"277-297","title":"Some Tests of Specification for Panel Data: Monte Carlo Evidence and an Application to Employment Equaltions","type":"article-journal","volume":"58"},"uris":["http://www.mendeley.com/documents/?uuid=c95ba93c-08fe-4f4a-a760-408deff0e061"]},{"id":"ITEM-2","itemData":{"DOI":"10.1016/S0304-4076(98)00009-8","ISSN":"03044076","abstract":"Estimation of the dynamic error components model is considered using two alternative linear estimators that are designed to improve the properties of the standard first-differenced GMM estimator. Both estimators require restrictions on the initial conditions process. Asymptotic efficiency comparisons and Monte Carlo simulations for the simple AR(1) model demonstrate the dramatic improvement in performance of the proposed estimators compared to the usual first-differenced GMM estimator, and compared to non-linear GMM. The importance of these results is illustrated in an application to the estimation of a labour demand model using company panel data. © 1998 Elsevier Science S.A. All rights reserved.","author":[{"dropping-particle":"","family":"Blundell","given":"Richard","non-dropping-particle":"","parse-names":false,"suffix":""},{"dropping-particle":"","family":"Bond","given":"Stephen","non-dropping-particle":"","parse-names":false,"suffix":""}],"container-title":"Journal of Econometrics","id":"ITEM-2","issue":"1","issued":{"date-parts":[["1998"]]},"page":"115-143","title":"Initial conditions and moment restrictions in dynamic panel data models","type":"article-journal","volume":"87"},"uris":["http://www.mendeley.com/documents/?uuid=1748d756-ba41-49ef-b6a7-bb3f4074a9c3"]},{"id":"ITEM-3","itemData":{"author":[{"dropping-particle":"","family":"Windmeijer","given":"Frank","non-dropping-particle":"","parse-names":false,"suffix":""}],"container-title":"Journal of Econometrics","id":"ITEM-3","issue":"1","issued":{"date-parts":[["2005"]]},"page":"25-51","title":"A finite sample correction for the variance of linear efficient two-step GMM estimators","type":"article-journal","volume":"126"},"uris":["http://www.mendeley.com/documents/?uuid=318e8728-da44-466d-bc25-977e9592946f"]}],"mendeley":{"formattedCitation":"[35–37]","plainTextFormattedCitation":"[35–37]","previouslyFormattedCitation":"[35–37]"},"properties":{"noteIndex":0},"schema":"https://github.com/citation-style-language/schema/raw/master/csl-citation.json"}</w:instrText>
      </w:r>
      <w:r w:rsidR="008C6CF5" w:rsidRPr="007C73D7">
        <w:rPr>
          <w:rFonts w:eastAsiaTheme="minorEastAsia"/>
        </w:rPr>
        <w:fldChar w:fldCharType="separate"/>
      </w:r>
      <w:r w:rsidR="00BB7FBF" w:rsidRPr="007C73D7">
        <w:rPr>
          <w:rFonts w:eastAsiaTheme="minorEastAsia"/>
          <w:noProof/>
        </w:rPr>
        <w:t>[35–37]</w:t>
      </w:r>
      <w:r w:rsidR="008C6CF5" w:rsidRPr="007C73D7">
        <w:rPr>
          <w:rFonts w:eastAsiaTheme="minorEastAsia"/>
        </w:rPr>
        <w:fldChar w:fldCharType="end"/>
      </w:r>
      <w:r w:rsidR="00580025" w:rsidRPr="007C73D7">
        <w:rPr>
          <w:rFonts w:eastAsiaTheme="minorEastAsia"/>
        </w:rPr>
        <w:t>.</w:t>
      </w:r>
      <w:r w:rsidR="00580025" w:rsidRPr="007C73D7">
        <w:t xml:space="preserve"> </w:t>
      </w:r>
      <w:r w:rsidR="00F078AA" w:rsidRPr="007C73D7">
        <w:t>To reduce concerns due to omitted confounders, we</w:t>
      </w:r>
      <w:r w:rsidR="007301C5" w:rsidRPr="007C73D7">
        <w:t xml:space="preserve"> </w:t>
      </w:r>
      <w:r w:rsidR="0042607D" w:rsidRPr="007C73D7">
        <w:t xml:space="preserve">also </w:t>
      </w:r>
      <w:r w:rsidR="002240FA" w:rsidRPr="007C73D7">
        <w:t xml:space="preserve">consider </w:t>
      </w:r>
      <w:r w:rsidR="007301C5" w:rsidRPr="007C73D7">
        <w:t xml:space="preserve">two </w:t>
      </w:r>
      <w:r w:rsidR="00A527BD" w:rsidRPr="007C73D7">
        <w:t xml:space="preserve">widely-used </w:t>
      </w:r>
      <w:r w:rsidR="00580025" w:rsidRPr="007C73D7">
        <w:t>instruments</w:t>
      </w:r>
      <w:r w:rsidR="007301C5" w:rsidRPr="007C73D7">
        <w:t xml:space="preserve"> </w:t>
      </w:r>
      <w:r w:rsidR="0042607D" w:rsidRPr="007C73D7">
        <w:t xml:space="preserve">in </w:t>
      </w:r>
      <w:r w:rsidR="005B120B" w:rsidRPr="007C73D7">
        <w:t>studies that have looked into non-dynamic</w:t>
      </w:r>
      <w:r w:rsidR="0042607D" w:rsidRPr="007C73D7">
        <w:t xml:space="preserve"> health production functions</w:t>
      </w:r>
      <w:r w:rsidR="00F971DB" w:rsidRPr="007C73D7">
        <w:t xml:space="preserve">, </w:t>
      </w:r>
      <w:r w:rsidR="00724D33" w:rsidRPr="007C73D7">
        <w:t>the aggregated own-source revenue of the province and districts</w:t>
      </w:r>
      <w:r w:rsidR="00F667B9" w:rsidRPr="007C73D7">
        <w:t xml:space="preserve"> and</w:t>
      </w:r>
      <w:r w:rsidR="00724D33" w:rsidRPr="007C73D7">
        <w:t xml:space="preserve"> the level of oil exports in the </w:t>
      </w:r>
      <w:r w:rsidR="00F971DB" w:rsidRPr="007C73D7">
        <w:t>province</w:t>
      </w:r>
      <w:r w:rsidR="003E461D" w:rsidRPr="007C73D7">
        <w:t xml:space="preserve"> </w:t>
      </w:r>
      <w:r w:rsidR="00F6425E" w:rsidRPr="007C73D7">
        <w:fldChar w:fldCharType="begin" w:fldLock="1"/>
      </w:r>
      <w:r w:rsidR="00BB7FBF" w:rsidRPr="007C73D7">
        <w:instrText>ADDIN CSL_CITATION {"citationItems":[{"id":"ITEM-1","itemData":{"DOI":"10.1080/00220388.2016.1241384","ISSN":"17439140","abstract":"Using a panel data set of Indian states between 1983–1984 and 2011–2012, this paper studies the impact of public health expenditure on the infant mortality rate (IMR), after controlling for other relevant covariates like political competition, per capita income, female literacy, and urbanisation. We find that public expenditure on health care reduces the IMR. Our baseline specification shows that an increase in public health expenditure by 1 per cent of state-level net domestic product is associated with a reduction in the IMR by about nine infant deaths per 1000 live births. We also find that political competition, female literacy and urbanisation reduce the IMR.","author":[{"dropping-particle":"","family":"Barenberg","given":"Andrew J.","non-dropping-particle":"","parse-names":false,"suffix":""},{"dropping-particle":"","family":"Basu","given":"Deepankar","non-dropping-particle":"","parse-names":false,"suffix":""},{"dropping-particle":"","family":"Soylu","given":"Ceren","non-dropping-particle":"","parse-names":false,"suffix":""}],"container-title":"Journal of Development Studies","id":"ITEM-1","issue":"10","issued":{"date-parts":[["2017"]]},"page":"1765-1784","title":"The Effect of Public Health Expenditure on Infant Mortality: Evidence from a Panel of Indian States, 1983–1984 to 2011–2012","type":"article-journal","volume":"53"},"uris":["http://www.mendeley.com/documents/?uuid=471dd499-c26a-4c84-a6ed-5bd9cf7c3ca0"]},{"id":"ITEM-2","itemData":{"DOI":"10.1162/REST_a_00306","ISSN":"00346535","abstract":"Health expenditures as a share of GDP in the United States have more than tripled over the past half-century. A common conjecture is that this is a consequence of rising income. We investigate this hypothesis by instrumenting for local area income with time series variation in oil prices interacted with local oil reserves. This strategy enables us to capture both partial equilibrium and local general equilibrium effects of income on health expenditures. Our central income elasticity estimate is 0.7, with 1.1 as the upper end of the 95% confidence interval, which suggests that rising income is unlikely to be a major driver of the rising health expenditure share of GDP. © 2013 by the President and Fellows of Harvard College and the Massachusetts Institute of Technology.","author":[{"dropping-particle":"","family":"Acemoglu","given":"Daron","non-dropping-particle":"","parse-names":false,"suffix":""},{"dropping-particle":"","family":"Finkelstein","given":"Amy","non-dropping-particle":"","parse-names":false,"suffix":""},{"dropping-particle":"","family":"Notowidigdo","given":"Matthew J.","non-dropping-particle":"","parse-names":false,"suffix":""}],"container-title":"Review of Economics and Statistics","id":"ITEM-2","issue":"4","issued":{"date-parts":[["2013"]]},"page":"1079-1095","title":"Income and health spending: Evidence from oil price shocks","type":"article-journal","volume":"95"},"uris":["http://www.mendeley.com/documents/?uuid=1066bfe4-de05-44a3-8558-0ffbb3a003e7"]}],"mendeley":{"formattedCitation":"[9,38]","plainTextFormattedCitation":"[9,38]","previouslyFormattedCitation":"[9,38]"},"properties":{"noteIndex":0},"schema":"https://github.com/citation-style-language/schema/raw/master/csl-citation.json"}</w:instrText>
      </w:r>
      <w:r w:rsidR="00F6425E" w:rsidRPr="007C73D7">
        <w:fldChar w:fldCharType="separate"/>
      </w:r>
      <w:r w:rsidR="00BB7FBF" w:rsidRPr="007C73D7">
        <w:rPr>
          <w:noProof/>
        </w:rPr>
        <w:t>[9,38]</w:t>
      </w:r>
      <w:r w:rsidR="00F6425E" w:rsidRPr="007C73D7">
        <w:fldChar w:fldCharType="end"/>
      </w:r>
      <w:r w:rsidR="008D1826" w:rsidRPr="007C73D7">
        <w:rPr>
          <w:rStyle w:val="FootnoteReference"/>
        </w:rPr>
        <w:footnoteReference w:id="6"/>
      </w:r>
      <w:r w:rsidR="00A527BD" w:rsidRPr="007C73D7">
        <w:t>.</w:t>
      </w:r>
    </w:p>
    <w:p w14:paraId="4BC416C7" w14:textId="5BFD0C5D" w:rsidR="0009600D" w:rsidRPr="007C73D7" w:rsidRDefault="00F667B9" w:rsidP="6DB014EC">
      <w:r w:rsidRPr="007C73D7">
        <w:t xml:space="preserve">We expect </w:t>
      </w:r>
      <w:r w:rsidR="005B120B" w:rsidRPr="007C73D7">
        <w:t>our instruments</w:t>
      </w:r>
      <w:r w:rsidRPr="007C73D7">
        <w:t xml:space="preserve"> to meet the criteria for instrument validity: (</w:t>
      </w:r>
      <w:proofErr w:type="spellStart"/>
      <w:r w:rsidRPr="007C73D7">
        <w:t>i</w:t>
      </w:r>
      <w:proofErr w:type="spellEnd"/>
      <w:r w:rsidRPr="007C73D7">
        <w:t>) to present a strong association with the level of expenditure (through higher province revenues); (ii) to be independent from the unobserved confounders (this assumption cannot be formally tested but previous work suggests it is likely to hold</w:t>
      </w:r>
      <w:r w:rsidR="00AA2546" w:rsidRPr="007C73D7">
        <w:t>, see e.g.</w:t>
      </w:r>
      <w:r w:rsidR="004D3ECD" w:rsidRPr="007C73D7">
        <w:t>,</w:t>
      </w:r>
      <w:r w:rsidR="00506E0C" w:rsidRPr="007C73D7">
        <w:t xml:space="preserve"> </w:t>
      </w:r>
      <w:r w:rsidR="00506E0C" w:rsidRPr="007C73D7">
        <w:fldChar w:fldCharType="begin" w:fldLock="1"/>
      </w:r>
      <w:r w:rsidR="007D1F2A" w:rsidRPr="007C73D7">
        <w:instrText>ADDIN CSL_CITATION {"citationItems":[{"id":"ITEM-1","itemData":{"DOI":"10.1080/00220388.2016.1241384","ISSN":"17439140","abstract":"Using a panel data set of Indian states between 1983–1984 and 2011–2012, this paper studies the impact of public health expenditure on the infant mortality rate (IMR), after controlling for other relevant covariates like political competition, per capita income, female literacy, and urbanisation. We find that public expenditure on health care reduces the IMR. Our baseline specification shows that an increase in public health expenditure by 1 per cent of state-level net domestic product is associated with a reduction in the IMR by about nine infant deaths per 1000 live births. We also find that political competition, female literacy and urbanisation reduce the IMR.","author":[{"dropping-particle":"","family":"Barenberg","given":"Andrew J.","non-dropping-particle":"","parse-names":false,"suffix":""},{"dropping-particle":"","family":"Basu","given":"Deepankar","non-dropping-particle":"","parse-names":false,"suffix":""},{"dropping-particle":"","family":"Soylu","given":"Ceren","non-dropping-particle":"","parse-names":false,"suffix":""}],"container-title":"Journal of Development Studies","id":"ITEM-1","issue":"10","issued":{"date-parts":[["2017"]]},"page":"1765-1784","title":"The Effect of Public Health Expenditure on Infant Mortality: Evidence from a Panel of Indian States, 1983–1984 to 2011–2012","type":"article-journal","volume":"53"},"uris":["http://www.mendeley.com/documents/?uuid=471dd499-c26a-4c84-a6ed-5bd9cf7c3ca0"]}],"mendeley":{"formattedCitation":"[9]","plainTextFormattedCitation":"[9]","previouslyFormattedCitation":"[9]"},"properties":{"noteIndex":0},"schema":"https://github.com/citation-style-language/schema/raw/master/csl-citation.json"}</w:instrText>
      </w:r>
      <w:r w:rsidR="00506E0C" w:rsidRPr="007C73D7">
        <w:fldChar w:fldCharType="separate"/>
      </w:r>
      <w:r w:rsidR="003F634B" w:rsidRPr="007C73D7">
        <w:rPr>
          <w:noProof/>
        </w:rPr>
        <w:t>[9]</w:t>
      </w:r>
      <w:r w:rsidR="00506E0C" w:rsidRPr="007C73D7">
        <w:fldChar w:fldCharType="end"/>
      </w:r>
      <w:r w:rsidRPr="007C73D7">
        <w:t>); and (iii) to only affect the outcome through the level of spending (this assumption cannot be verified but controlling for the covariates described in section 2</w:t>
      </w:r>
      <w:r w:rsidR="00622680" w:rsidRPr="007C73D7">
        <w:t>.1.</w:t>
      </w:r>
      <w:r w:rsidRPr="007C73D7">
        <w:t xml:space="preserve"> is intended to bolster th</w:t>
      </w:r>
      <w:r w:rsidR="00622680" w:rsidRPr="007C73D7">
        <w:t>e plausibility of this assumption).</w:t>
      </w:r>
      <w:r w:rsidR="6DB014EC" w:rsidRPr="007C73D7">
        <w:t xml:space="preserve"> </w:t>
      </w:r>
      <w:r w:rsidR="00131C42">
        <w:t>I</w:t>
      </w:r>
      <w:r w:rsidR="00920E7D">
        <w:t>n the next section, we present the results under</w:t>
      </w:r>
      <w:r w:rsidR="005B120B" w:rsidRPr="007C73D7">
        <w:t xml:space="preserve"> our preferred specification</w:t>
      </w:r>
      <w:r w:rsidR="008A7498" w:rsidRPr="007C73D7">
        <w:rPr>
          <w:rStyle w:val="FootnoteReference"/>
        </w:rPr>
        <w:footnoteReference w:id="7"/>
      </w:r>
      <w:r w:rsidR="0009600D" w:rsidRPr="007C73D7">
        <w:t xml:space="preserve"> </w:t>
      </w:r>
      <w:r w:rsidR="00920E7D">
        <w:t>but also u</w:t>
      </w:r>
      <w:r w:rsidR="002302A9">
        <w:t>sing</w:t>
      </w:r>
      <w:r w:rsidR="00920E7D">
        <w:t xml:space="preserve"> </w:t>
      </w:r>
      <w:r w:rsidR="00F25922" w:rsidRPr="007C73D7">
        <w:lastRenderedPageBreak/>
        <w:t>alternative</w:t>
      </w:r>
      <w:r w:rsidR="00A527BD" w:rsidRPr="007C73D7">
        <w:t xml:space="preserve"> </w:t>
      </w:r>
      <w:r w:rsidR="0027256E" w:rsidRPr="007C73D7">
        <w:t xml:space="preserve">combinations of the </w:t>
      </w:r>
      <w:r w:rsidR="00A527BD" w:rsidRPr="007C73D7">
        <w:t>instrumental variables</w:t>
      </w:r>
      <w:r w:rsidR="007301C5" w:rsidRPr="007C73D7">
        <w:t xml:space="preserve">. </w:t>
      </w:r>
      <w:r w:rsidR="005B120B" w:rsidRPr="007C73D7">
        <w:rPr>
          <w:color w:val="000000" w:themeColor="text1"/>
        </w:rPr>
        <w:t xml:space="preserve">We </w:t>
      </w:r>
      <w:r w:rsidR="0009600D" w:rsidRPr="007C73D7">
        <w:rPr>
          <w:color w:val="000000" w:themeColor="text1"/>
        </w:rPr>
        <w:t xml:space="preserve">report </w:t>
      </w:r>
      <w:r w:rsidR="00F52AB4" w:rsidRPr="007C73D7">
        <w:rPr>
          <w:color w:val="000000" w:themeColor="text1"/>
        </w:rPr>
        <w:t xml:space="preserve">conventional </w:t>
      </w:r>
      <w:r w:rsidR="0009600D" w:rsidRPr="007C73D7">
        <w:rPr>
          <w:color w:val="000000" w:themeColor="text1"/>
        </w:rPr>
        <w:t xml:space="preserve">tests conducted to assess the validity of </w:t>
      </w:r>
      <w:r w:rsidR="005B120B" w:rsidRPr="007C73D7">
        <w:rPr>
          <w:color w:val="000000" w:themeColor="text1"/>
        </w:rPr>
        <w:t>the</w:t>
      </w:r>
      <w:r w:rsidR="0009600D" w:rsidRPr="007C73D7">
        <w:rPr>
          <w:color w:val="000000" w:themeColor="text1"/>
        </w:rPr>
        <w:t xml:space="preserve"> instrument</w:t>
      </w:r>
      <w:r w:rsidR="005B120B" w:rsidRPr="007C73D7">
        <w:rPr>
          <w:color w:val="000000" w:themeColor="text1"/>
        </w:rPr>
        <w:t>al variables</w:t>
      </w:r>
      <w:r w:rsidR="0009600D" w:rsidRPr="007C73D7">
        <w:rPr>
          <w:color w:val="000000" w:themeColor="text1"/>
        </w:rPr>
        <w:t xml:space="preserve">. </w:t>
      </w:r>
      <w:r w:rsidR="008357CF" w:rsidRPr="007C73D7">
        <w:rPr>
          <w:color w:val="000000" w:themeColor="text1"/>
        </w:rPr>
        <w:t>W</w:t>
      </w:r>
      <w:r w:rsidR="0009600D" w:rsidRPr="007C73D7">
        <w:rPr>
          <w:color w:val="000000" w:themeColor="text1"/>
        </w:rPr>
        <w:t>e conduct the Arellano-Bond test for serial autocorrelation in the idiosyncratic component of the error term</w:t>
      </w:r>
      <w:r w:rsidR="00890A21" w:rsidRPr="007C73D7">
        <w:rPr>
          <w:color w:val="000000" w:themeColor="text1"/>
        </w:rPr>
        <w:t xml:space="preserve">, assessing </w:t>
      </w:r>
      <w:r w:rsidR="0009600D" w:rsidRPr="007C73D7">
        <w:rPr>
          <w:color w:val="000000" w:themeColor="text1"/>
        </w:rPr>
        <w:t xml:space="preserve">the validity of the lagged values as instruments. </w:t>
      </w:r>
      <w:r w:rsidR="008357CF" w:rsidRPr="007C73D7">
        <w:rPr>
          <w:color w:val="000000" w:themeColor="text1"/>
        </w:rPr>
        <w:t>T</w:t>
      </w:r>
      <w:r w:rsidR="0009600D" w:rsidRPr="007C73D7">
        <w:rPr>
          <w:color w:val="000000" w:themeColor="text1"/>
        </w:rPr>
        <w:t xml:space="preserve">o test the joint validity of the </w:t>
      </w:r>
      <w:r w:rsidR="00890A21" w:rsidRPr="007C73D7">
        <w:rPr>
          <w:color w:val="000000" w:themeColor="text1"/>
        </w:rPr>
        <w:t xml:space="preserve">proposed set of </w:t>
      </w:r>
      <w:r w:rsidR="0009600D" w:rsidRPr="007C73D7">
        <w:rPr>
          <w:color w:val="000000" w:themeColor="text1"/>
        </w:rPr>
        <w:t>instruments we employ the Hansen test</w:t>
      </w:r>
      <w:r w:rsidR="00890A21" w:rsidRPr="007C73D7">
        <w:rPr>
          <w:color w:val="000000" w:themeColor="text1"/>
        </w:rPr>
        <w:t xml:space="preserve">, where failing reject the null hypothesis supports the joint validity. </w:t>
      </w:r>
    </w:p>
    <w:p w14:paraId="343BE5E7" w14:textId="2E185318" w:rsidR="00463EBA" w:rsidRPr="007C73D7" w:rsidRDefault="00F52AB4" w:rsidP="00E02E4F">
      <w:pPr>
        <w:rPr>
          <w:color w:val="000000" w:themeColor="text1"/>
        </w:rPr>
      </w:pPr>
      <w:r w:rsidRPr="007C73D7">
        <w:rPr>
          <w:color w:val="000000" w:themeColor="text1"/>
        </w:rPr>
        <w:t>W</w:t>
      </w:r>
      <w:r w:rsidR="004E2EE7" w:rsidRPr="007C73D7">
        <w:rPr>
          <w:color w:val="000000" w:themeColor="text1"/>
        </w:rPr>
        <w:t xml:space="preserve">e present </w:t>
      </w:r>
      <w:r w:rsidR="00866517" w:rsidRPr="007C73D7">
        <w:rPr>
          <w:color w:val="000000" w:themeColor="text1"/>
        </w:rPr>
        <w:t xml:space="preserve">some </w:t>
      </w:r>
      <w:r w:rsidR="004E2EE7" w:rsidRPr="007C73D7">
        <w:rPr>
          <w:color w:val="000000" w:themeColor="text1"/>
        </w:rPr>
        <w:t xml:space="preserve">checks conducted to assess the robustness of our results to </w:t>
      </w:r>
      <w:r w:rsidR="00D30819" w:rsidRPr="007C73D7">
        <w:rPr>
          <w:color w:val="000000" w:themeColor="text1"/>
        </w:rPr>
        <w:t xml:space="preserve">relaxing some of the </w:t>
      </w:r>
      <w:r w:rsidR="004E2EE7" w:rsidRPr="007C73D7">
        <w:rPr>
          <w:color w:val="000000" w:themeColor="text1"/>
        </w:rPr>
        <w:t xml:space="preserve">assumptions </w:t>
      </w:r>
      <w:r w:rsidR="00881BAD" w:rsidRPr="007C73D7">
        <w:rPr>
          <w:color w:val="000000" w:themeColor="text1"/>
        </w:rPr>
        <w:t>made in the</w:t>
      </w:r>
      <w:r w:rsidR="00866517" w:rsidRPr="007C73D7">
        <w:rPr>
          <w:color w:val="000000" w:themeColor="text1"/>
        </w:rPr>
        <w:t xml:space="preserve"> </w:t>
      </w:r>
      <w:r w:rsidR="00881BAD" w:rsidRPr="007C73D7">
        <w:rPr>
          <w:color w:val="000000" w:themeColor="text1"/>
        </w:rPr>
        <w:t>main</w:t>
      </w:r>
      <w:r w:rsidR="00890A21" w:rsidRPr="007C73D7">
        <w:rPr>
          <w:color w:val="000000" w:themeColor="text1"/>
        </w:rPr>
        <w:t xml:space="preserve"> econometric </w:t>
      </w:r>
      <w:r w:rsidR="00866517" w:rsidRPr="002F6EB7">
        <w:rPr>
          <w:color w:val="000000" w:themeColor="text1"/>
        </w:rPr>
        <w:t>analysis</w:t>
      </w:r>
      <w:r w:rsidRPr="002F6EB7">
        <w:rPr>
          <w:color w:val="000000" w:themeColor="text1"/>
        </w:rPr>
        <w:t xml:space="preserve"> (see Section 3.2</w:t>
      </w:r>
      <w:r w:rsidR="00EB2FA0" w:rsidRPr="002F6EB7">
        <w:rPr>
          <w:color w:val="000000" w:themeColor="text1"/>
        </w:rPr>
        <w:t xml:space="preserve"> and Supplementary Material</w:t>
      </w:r>
      <w:r w:rsidRPr="002F6EB7">
        <w:rPr>
          <w:color w:val="000000" w:themeColor="text1"/>
        </w:rPr>
        <w:t>)</w:t>
      </w:r>
      <w:r w:rsidR="00866517" w:rsidRPr="002F6EB7">
        <w:rPr>
          <w:color w:val="000000" w:themeColor="text1"/>
        </w:rPr>
        <w:t>, including</w:t>
      </w:r>
      <w:r w:rsidR="00866517" w:rsidRPr="007C73D7">
        <w:rPr>
          <w:color w:val="000000" w:themeColor="text1"/>
        </w:rPr>
        <w:t xml:space="preserve"> </w:t>
      </w:r>
      <w:r w:rsidR="00D30819" w:rsidRPr="007C73D7">
        <w:rPr>
          <w:color w:val="000000" w:themeColor="text1"/>
        </w:rPr>
        <w:t>those about</w:t>
      </w:r>
      <w:r w:rsidR="00866517" w:rsidRPr="007C73D7">
        <w:rPr>
          <w:color w:val="000000" w:themeColor="text1"/>
        </w:rPr>
        <w:t xml:space="preserve"> endogeneity but also </w:t>
      </w:r>
      <w:r w:rsidR="004E2EE7" w:rsidRPr="007C73D7">
        <w:rPr>
          <w:color w:val="000000" w:themeColor="text1"/>
        </w:rPr>
        <w:t>about the outliers</w:t>
      </w:r>
      <w:r w:rsidR="00866517" w:rsidRPr="007C73D7">
        <w:rPr>
          <w:color w:val="000000" w:themeColor="text1"/>
        </w:rPr>
        <w:t xml:space="preserve"> and the </w:t>
      </w:r>
      <w:r w:rsidR="004E2EE7" w:rsidRPr="007C73D7">
        <w:rPr>
          <w:color w:val="000000" w:themeColor="text1"/>
        </w:rPr>
        <w:t>lag structure</w:t>
      </w:r>
      <w:r w:rsidR="00881BAD" w:rsidRPr="007C73D7">
        <w:rPr>
          <w:color w:val="000000" w:themeColor="text1"/>
        </w:rPr>
        <w:t xml:space="preserve"> of the health production function</w:t>
      </w:r>
      <w:r w:rsidR="004E2EE7" w:rsidRPr="007C73D7">
        <w:rPr>
          <w:color w:val="000000" w:themeColor="text1"/>
        </w:rPr>
        <w:t>.</w:t>
      </w:r>
      <w:r w:rsidR="00430BC2" w:rsidRPr="007C73D7">
        <w:rPr>
          <w:color w:val="000000" w:themeColor="text1"/>
        </w:rPr>
        <w:t xml:space="preserve"> </w:t>
      </w:r>
      <w:r w:rsidR="001A3C02" w:rsidRPr="007C73D7">
        <w:rPr>
          <w:color w:val="000000" w:themeColor="text1"/>
        </w:rPr>
        <w:t>Finally, w</w:t>
      </w:r>
      <w:r w:rsidR="00196E54" w:rsidRPr="007C73D7">
        <w:rPr>
          <w:color w:val="000000" w:themeColor="text1"/>
        </w:rPr>
        <w:t>e run an additional analysis in which we estimate the effects of spending on infant mortality (deaths at age</w:t>
      </w:r>
      <w:r w:rsidR="00852F5A" w:rsidRPr="007C73D7">
        <w:rPr>
          <w:color w:val="000000" w:themeColor="text1"/>
        </w:rPr>
        <w:t xml:space="preserve">s 0 to 11 </w:t>
      </w:r>
      <w:r w:rsidR="00196E54" w:rsidRPr="007C73D7">
        <w:rPr>
          <w:color w:val="000000" w:themeColor="text1"/>
        </w:rPr>
        <w:t xml:space="preserve">months). </w:t>
      </w:r>
      <w:r w:rsidR="00881BAD" w:rsidRPr="007C73D7">
        <w:rPr>
          <w:color w:val="000000" w:themeColor="text1"/>
        </w:rPr>
        <w:t xml:space="preserve">We expect the </w:t>
      </w:r>
      <w:r w:rsidR="00196E54" w:rsidRPr="007C73D7">
        <w:rPr>
          <w:color w:val="000000" w:themeColor="text1"/>
        </w:rPr>
        <w:t>Infant Mortality Rate (IMR) to account for a significant proportion of the deaths occurring within the group of under-fives</w:t>
      </w:r>
      <w:r w:rsidR="00CA2423" w:rsidRPr="007C73D7">
        <w:rPr>
          <w:color w:val="000000" w:themeColor="text1"/>
        </w:rPr>
        <w:t xml:space="preserve"> </w:t>
      </w:r>
      <w:r w:rsidRPr="007C73D7">
        <w:rPr>
          <w:color w:val="000000" w:themeColor="text1"/>
          <w:vertAlign w:val="superscript"/>
        </w:rPr>
        <w:fldChar w:fldCharType="begin" w:fldLock="1"/>
      </w:r>
      <w:r w:rsidRPr="007C73D7">
        <w:rPr>
          <w:color w:val="000000" w:themeColor="text1"/>
        </w:rPr>
        <w:instrText>ADDIN CSL_CITATION {"citationItems":[{"id":"ITEM-1","itemData":{"DOI":"10.1016/S0277-9536(99)00150-1","ISSN":"02779536","PMID":"10509822","abstract":"We use cross-national data to examine the impact of both public spending on health and non-health factors (economic, educational, cultural) in determining child (under-5) and infant mortality. There are two striking findings. First, the impact of public spending on health is quite small, with a coefficient that is typically both numerically small and statistically insignificant at conventional levels. Independent variation in public spending explains less than one-seventh of 1% of the observed differences in mortality across countries. The estimates imply that for a developing country at average income levels the actual public spending per child death averted is $50,000-100,000. This stands in marked contrast to the typical range of estimates of the cost effectiveness of medical interventions to avert the largest causes of child mortality in developing countries, which is $10-4000. We outline three possible explanations for this divergence of the actual and apparent potential of public spending. Second, whereas health spending is not a powerful determinant of mortality, 95% of cross-national variation in mortality can be explained by a country's income per capita, inequality of income distribution, extent of female education, level of ethnic fragmentation, and predominant religion.","author":[{"dropping-particle":"","family":"Filmer","given":"Deon","non-dropping-particle":"","parse-names":false,"suffix":""},{"dropping-particle":"","family":"Pritchett","given":"Lant","non-dropping-particle":"","parse-names":false,"suffix":""}],"container-title":"Social Science and Medicine","id":"ITEM-1","issue":"10","issued":{"date-parts":[["1999"]]},"page":"1309-1323","title":"The impact of public spending on health: Does money matter?","type":"article-journal","volume":"49"},"uris":["http://www.mendeley.com/documents/?uuid=67e80e74-8683-4b5c-aadb-4df325ff3f8e"]}],"mendeley":{"formattedCitation":"[5]","plainTextFormattedCitation":"[5]","previouslyFormattedCitation":"[5]"},"properties":{"noteIndex":0},"schema":"https://github.com/citation-style-language/schema/raw/master/csl-citation.json"}</w:instrText>
      </w:r>
      <w:r w:rsidRPr="007C73D7">
        <w:rPr>
          <w:color w:val="000000" w:themeColor="text1"/>
          <w:vertAlign w:val="superscript"/>
        </w:rPr>
        <w:fldChar w:fldCharType="separate"/>
      </w:r>
      <w:r w:rsidR="00CA2423" w:rsidRPr="007C73D7">
        <w:rPr>
          <w:noProof/>
          <w:color w:val="000000" w:themeColor="text1"/>
        </w:rPr>
        <w:t>[5]</w:t>
      </w:r>
      <w:r w:rsidRPr="007C73D7">
        <w:rPr>
          <w:color w:val="000000" w:themeColor="text1"/>
        </w:rPr>
        <w:fldChar w:fldCharType="end"/>
      </w:r>
      <w:r w:rsidR="00CA2423" w:rsidRPr="007C73D7">
        <w:rPr>
          <w:color w:val="000000" w:themeColor="text1"/>
        </w:rPr>
        <w:t>,</w:t>
      </w:r>
      <w:r w:rsidR="00196E54" w:rsidRPr="007C73D7">
        <w:rPr>
          <w:color w:val="000000" w:themeColor="text1"/>
        </w:rPr>
        <w:t xml:space="preserve"> and </w:t>
      </w:r>
      <w:r w:rsidR="00CA2423" w:rsidRPr="007C73D7">
        <w:rPr>
          <w:color w:val="000000" w:themeColor="text1"/>
        </w:rPr>
        <w:t xml:space="preserve">it </w:t>
      </w:r>
      <w:r w:rsidR="00852F5A" w:rsidRPr="007C73D7">
        <w:rPr>
          <w:color w:val="000000" w:themeColor="text1"/>
        </w:rPr>
        <w:t>is therefore a subgroup of prime interest.</w:t>
      </w:r>
    </w:p>
    <w:p w14:paraId="02874084" w14:textId="320A7DD2" w:rsidR="00703CA7" w:rsidRPr="007C73D7" w:rsidRDefault="00DE5F4A" w:rsidP="00E02E4F">
      <w:pPr>
        <w:rPr>
          <w:b/>
        </w:rPr>
      </w:pPr>
      <w:r w:rsidRPr="007C73D7">
        <w:rPr>
          <w:b/>
        </w:rPr>
        <w:t>2</w:t>
      </w:r>
      <w:r w:rsidR="00703CA7" w:rsidRPr="007C73D7">
        <w:rPr>
          <w:b/>
        </w:rPr>
        <w:t>.</w:t>
      </w:r>
      <w:r w:rsidRPr="007C73D7">
        <w:rPr>
          <w:b/>
        </w:rPr>
        <w:t>3</w:t>
      </w:r>
      <w:r w:rsidR="00703CA7" w:rsidRPr="007C73D7">
        <w:rPr>
          <w:b/>
        </w:rPr>
        <w:t xml:space="preserve">. </w:t>
      </w:r>
      <w:r w:rsidR="007977C1" w:rsidRPr="007C73D7">
        <w:rPr>
          <w:b/>
        </w:rPr>
        <w:t>Calculating cost per DALY averted</w:t>
      </w:r>
    </w:p>
    <w:p w14:paraId="2BF671DA" w14:textId="78AF8EBE" w:rsidR="00724D33" w:rsidRPr="007C73D7" w:rsidRDefault="51A83448" w:rsidP="00E02E4F">
      <w:pPr>
        <w:rPr>
          <w:strike/>
          <w:highlight w:val="yellow"/>
        </w:rPr>
      </w:pPr>
      <w:r w:rsidRPr="007C73D7">
        <w:t>We base the</w:t>
      </w:r>
      <w:r w:rsidR="4E78B0F6" w:rsidRPr="007C73D7">
        <w:rPr>
          <w:color w:val="000000" w:themeColor="text1"/>
        </w:rPr>
        <w:t xml:space="preserve"> estimate of health opportunity cost</w:t>
      </w:r>
      <w:r w:rsidR="56BBB47E" w:rsidRPr="007C73D7">
        <w:rPr>
          <w:color w:val="000000" w:themeColor="text1"/>
        </w:rPr>
        <w:t xml:space="preserve"> on </w:t>
      </w:r>
      <w:r w:rsidR="5D1B5365" w:rsidRPr="007C73D7">
        <w:rPr>
          <w:color w:val="000000" w:themeColor="text1"/>
        </w:rPr>
        <w:t>the</w:t>
      </w:r>
      <w:r w:rsidRPr="007C73D7">
        <w:rPr>
          <w:color w:val="000000" w:themeColor="text1"/>
        </w:rPr>
        <w:t xml:space="preserve"> estimated</w:t>
      </w:r>
      <w:r w:rsidR="5D1B5365" w:rsidRPr="007C73D7">
        <w:rPr>
          <w:color w:val="000000" w:themeColor="text1"/>
        </w:rPr>
        <w:t xml:space="preserve"> marginal productivity of health expenditure</w:t>
      </w:r>
      <w:r w:rsidR="56BBB47E" w:rsidRPr="007C73D7">
        <w:rPr>
          <w:color w:val="000000" w:themeColor="text1"/>
        </w:rPr>
        <w:t>.</w:t>
      </w:r>
      <w:r w:rsidR="5709752F" w:rsidRPr="007C73D7">
        <w:rPr>
          <w:color w:val="000000" w:themeColor="text1"/>
        </w:rPr>
        <w:t xml:space="preserve"> </w:t>
      </w:r>
      <w:r w:rsidR="56BBB47E" w:rsidRPr="007C73D7">
        <w:rPr>
          <w:color w:val="000000" w:themeColor="text1"/>
        </w:rPr>
        <w:t>This is typically presented in terms of cost per DALY or quality adjusted life year (QALY), both of which reflect changes in both the length and quality of life and can be used to compare interventions for different disease areas. While</w:t>
      </w:r>
      <w:r w:rsidR="56BBB47E" w:rsidRPr="007C73D7">
        <w:t xml:space="preserve"> in an ideal situation an estimate of the </w:t>
      </w:r>
      <w:r w:rsidR="5D1B5365" w:rsidRPr="007C73D7">
        <w:t>marginal productivity</w:t>
      </w:r>
      <w:r w:rsidR="56BBB47E" w:rsidRPr="007C73D7">
        <w:t xml:space="preserve"> would capture the effect of changes in expenditure on health across the total population, estimates of the effect on subsets of the population can be used to </w:t>
      </w:r>
      <w:r w:rsidR="59FDB616" w:rsidRPr="007C73D7">
        <w:t>provide a best guess of</w:t>
      </w:r>
      <w:r w:rsidR="56BBB47E" w:rsidRPr="007C73D7">
        <w:t xml:space="preserve"> the effect across the wider population</w:t>
      </w:r>
      <w:r w:rsidR="4A17129C" w:rsidRPr="007C73D7">
        <w:t xml:space="preserve">, </w:t>
      </w:r>
      <w:r w:rsidR="706661ED" w:rsidRPr="007C73D7">
        <w:t>applying</w:t>
      </w:r>
      <w:r w:rsidR="4A17129C" w:rsidRPr="007C73D7">
        <w:t xml:space="preserve"> certain</w:t>
      </w:r>
      <w:r w:rsidR="56BBB47E" w:rsidRPr="007C73D7">
        <w:t xml:space="preserve"> assumptions. The steps and assumptions applied in this analysis to calculate cost per DALY averted for the Indonesian healthcare system </w:t>
      </w:r>
      <w:r w:rsidR="673D8AE4" w:rsidRPr="007C73D7">
        <w:t>are drawn</w:t>
      </w:r>
      <w:r w:rsidR="56BBB47E" w:rsidRPr="007C73D7">
        <w:t xml:space="preserve"> from the literature undertaking this type of exercise in other contexts</w:t>
      </w:r>
      <w:r w:rsidR="4A17129C" w:rsidRPr="007C73D7">
        <w:t>, as</w:t>
      </w:r>
      <w:r w:rsidR="56BBB47E" w:rsidRPr="007C73D7">
        <w:t xml:space="preserve"> described below.</w:t>
      </w:r>
    </w:p>
    <w:p w14:paraId="00A8DBCD" w14:textId="451F3375" w:rsidR="00724D33" w:rsidRPr="007C73D7" w:rsidRDefault="00724D33" w:rsidP="005B61F6">
      <w:pPr>
        <w:spacing w:before="240"/>
        <w:rPr>
          <w:b/>
          <w:i/>
          <w:iCs/>
        </w:rPr>
      </w:pPr>
      <w:r w:rsidRPr="007C73D7">
        <w:rPr>
          <w:b/>
          <w:i/>
          <w:iCs/>
        </w:rPr>
        <w:t>Deaths averted</w:t>
      </w:r>
    </w:p>
    <w:p w14:paraId="7D478307" w14:textId="4BB4CFE5" w:rsidR="00724D33" w:rsidRPr="007C73D7" w:rsidRDefault="00BD005C" w:rsidP="00E02E4F">
      <w:pPr>
        <w:rPr>
          <w:rFonts w:eastAsiaTheme="minorEastAsia"/>
          <w:iCs/>
        </w:rPr>
      </w:pPr>
      <w:r w:rsidRPr="007C73D7">
        <w:rPr>
          <w:rFonts w:eastAsiaTheme="minorEastAsia"/>
          <w:iCs/>
        </w:rPr>
        <w:lastRenderedPageBreak/>
        <w:t xml:space="preserve">We first convert </w:t>
      </w:r>
      <w:r w:rsidR="00724D33" w:rsidRPr="007C73D7">
        <w:rPr>
          <w:rFonts w:eastAsiaTheme="minorEastAsia"/>
          <w:iCs/>
        </w:rPr>
        <w:t xml:space="preserve">U5MR into a </w:t>
      </w:r>
      <w:r w:rsidRPr="007C73D7">
        <w:rPr>
          <w:rFonts w:eastAsiaTheme="minorEastAsia"/>
          <w:iCs/>
        </w:rPr>
        <w:t>one-year</w:t>
      </w:r>
      <w:r w:rsidR="00724D33" w:rsidRPr="007C73D7">
        <w:rPr>
          <w:rFonts w:eastAsiaTheme="minorEastAsia"/>
          <w:iCs/>
        </w:rPr>
        <w:t xml:space="preserve"> mortality rate</w:t>
      </w:r>
      <w:r w:rsidRPr="007C73D7">
        <w:rPr>
          <w:rFonts w:eastAsiaTheme="minorEastAsia"/>
          <w:iCs/>
        </w:rPr>
        <w:t xml:space="preserve"> to apply the</w:t>
      </w:r>
      <w:r w:rsidR="00724D33" w:rsidRPr="007C73D7">
        <w:rPr>
          <w:rFonts w:eastAsiaTheme="minorEastAsia"/>
          <w:iCs/>
        </w:rPr>
        <w:t xml:space="preserve"> e</w:t>
      </w:r>
      <w:r w:rsidR="001804D8" w:rsidRPr="007C73D7">
        <w:rPr>
          <w:rFonts w:eastAsiaTheme="minorEastAsia"/>
          <w:iCs/>
        </w:rPr>
        <w:t>stimated e</w:t>
      </w:r>
      <w:r w:rsidR="00724D33" w:rsidRPr="007C73D7">
        <w:rPr>
          <w:rFonts w:eastAsiaTheme="minorEastAsia"/>
          <w:iCs/>
        </w:rPr>
        <w:t>lasticity</w:t>
      </w:r>
      <w:r w:rsidR="00004143" w:rsidRPr="007C73D7">
        <w:rPr>
          <w:rFonts w:eastAsiaTheme="minorEastAsia"/>
          <w:iCs/>
        </w:rPr>
        <w:t xml:space="preserve"> (as defined in </w:t>
      </w:r>
      <w:r w:rsidR="00005147" w:rsidRPr="007C73D7">
        <w:rPr>
          <w:rFonts w:eastAsiaTheme="minorEastAsia"/>
          <w:iCs/>
        </w:rPr>
        <w:t>S</w:t>
      </w:r>
      <w:r w:rsidR="00004143" w:rsidRPr="007C73D7">
        <w:rPr>
          <w:rFonts w:eastAsiaTheme="minorEastAsia"/>
          <w:iCs/>
        </w:rPr>
        <w:t xml:space="preserve">ection 2.2) </w:t>
      </w:r>
      <w:r w:rsidR="00724D33" w:rsidRPr="007C73D7">
        <w:rPr>
          <w:rFonts w:eastAsiaTheme="minorEastAsia"/>
          <w:iCs/>
        </w:rPr>
        <w:t xml:space="preserve">to determine the mortality rates before and after the change in expenditure.  </w:t>
      </w:r>
      <w:r w:rsidRPr="007C73D7">
        <w:rPr>
          <w:rFonts w:eastAsiaTheme="minorEastAsia"/>
          <w:iCs/>
        </w:rPr>
        <w:t xml:space="preserve">This </w:t>
      </w:r>
      <w:r w:rsidR="00724D33" w:rsidRPr="007C73D7">
        <w:rPr>
          <w:rFonts w:eastAsiaTheme="minorEastAsia"/>
          <w:iCs/>
        </w:rPr>
        <w:t xml:space="preserve">change in mortality rates is then applied to the population to determine deaths averted. </w:t>
      </w:r>
    </w:p>
    <w:tbl>
      <w:tblPr>
        <w:tblW w:w="8417" w:type="dxa"/>
        <w:jc w:val="center"/>
        <w:tblLook w:val="04A0" w:firstRow="1" w:lastRow="0" w:firstColumn="1" w:lastColumn="0" w:noHBand="0" w:noVBand="1"/>
      </w:tblPr>
      <w:tblGrid>
        <w:gridCol w:w="7802"/>
        <w:gridCol w:w="615"/>
      </w:tblGrid>
      <w:tr w:rsidR="004015EB" w:rsidRPr="007C73D7" w14:paraId="67B3D0BE" w14:textId="77777777" w:rsidTr="18112CD4">
        <w:trPr>
          <w:trHeight w:val="1035"/>
          <w:jc w:val="center"/>
        </w:trPr>
        <w:tc>
          <w:tcPr>
            <w:tcW w:w="7802" w:type="dxa"/>
            <w:vAlign w:val="center"/>
          </w:tcPr>
          <w:p w14:paraId="0CDBE166" w14:textId="3C0D3AB8" w:rsidR="004015EB" w:rsidRPr="007C73D7" w:rsidRDefault="004015EB" w:rsidP="18112CD4">
            <w:pPr>
              <w:contextualSpacing/>
              <w:jc w:val="center"/>
              <w:rPr>
                <w:rFonts w:ascii="Cambria Math" w:eastAsiaTheme="minorEastAsia" w:hAnsi="Cambria Math"/>
                <w:i/>
                <w:iCs/>
              </w:rPr>
            </w:pPr>
            <m:oMathPara>
              <m:oMath>
                <m:r>
                  <w:rPr>
                    <w:rFonts w:ascii="Cambria Math" w:eastAsiaTheme="minorEastAsia" w:hAnsi="Cambria Math"/>
                  </w:rPr>
                  <m:t>u5 deaths averted=</m:t>
                </m:r>
                <m:f>
                  <m:fPr>
                    <m:ctrlPr>
                      <w:rPr>
                        <w:rFonts w:ascii="Cambria Math" w:eastAsiaTheme="minorEastAsia" w:hAnsi="Cambria Math"/>
                        <w:i/>
                        <w:iCs/>
                      </w:rPr>
                    </m:ctrlPr>
                  </m:fPr>
                  <m:num>
                    <m:r>
                      <w:rPr>
                        <w:rFonts w:ascii="Cambria Math" w:eastAsiaTheme="minorEastAsia" w:hAnsi="Cambria Math"/>
                      </w:rPr>
                      <m:t>-ln</m:t>
                    </m:r>
                    <m:d>
                      <m:dPr>
                        <m:ctrlPr>
                          <w:rPr>
                            <w:rFonts w:ascii="Cambria Math" w:eastAsiaTheme="minorEastAsia" w:hAnsi="Cambria Math"/>
                            <w:i/>
                            <w:iCs/>
                          </w:rPr>
                        </m:ctrlPr>
                      </m:dPr>
                      <m:e>
                        <m:r>
                          <w:rPr>
                            <w:rFonts w:ascii="Cambria Math" w:eastAsiaTheme="minorEastAsia" w:hAnsi="Cambria Math"/>
                          </w:rPr>
                          <m:t>1-U5MR</m:t>
                        </m:r>
                      </m:e>
                    </m:d>
                  </m:num>
                  <m:den>
                    <m:r>
                      <w:rPr>
                        <w:rFonts w:ascii="Cambria Math" w:eastAsiaTheme="minorEastAsia" w:hAnsi="Cambria Math"/>
                      </w:rPr>
                      <m:t>5</m:t>
                    </m:r>
                  </m:den>
                </m:f>
                <m:r>
                  <w:rPr>
                    <w:rFonts w:ascii="Cambria Math" w:eastAsiaTheme="minorEastAsia" w:hAnsi="Cambria Math"/>
                  </w:rPr>
                  <m:t>*(1-U5MR elasticity)*u5 population</m:t>
                </m:r>
              </m:oMath>
            </m:oMathPara>
          </w:p>
        </w:tc>
        <w:tc>
          <w:tcPr>
            <w:tcW w:w="615" w:type="dxa"/>
            <w:vAlign w:val="center"/>
          </w:tcPr>
          <w:p w14:paraId="6A62B482" w14:textId="2A12A5BD" w:rsidR="004015EB" w:rsidRPr="007C73D7" w:rsidRDefault="4A72CC38" w:rsidP="00A73D87">
            <w:pPr>
              <w:spacing w:line="240" w:lineRule="auto"/>
              <w:jc w:val="center"/>
              <w:rPr>
                <w:rFonts w:eastAsiaTheme="minorEastAsia"/>
              </w:rPr>
            </w:pPr>
            <w:r w:rsidRPr="007C73D7">
              <w:rPr>
                <w:rFonts w:eastAsiaTheme="minorEastAsia"/>
              </w:rPr>
              <w:t>(3)</w:t>
            </w:r>
          </w:p>
        </w:tc>
      </w:tr>
    </w:tbl>
    <w:p w14:paraId="51327B22" w14:textId="516D346F" w:rsidR="00724D33" w:rsidRPr="007C73D7" w:rsidRDefault="00724D33" w:rsidP="00E02E4F">
      <w:pPr>
        <w:rPr>
          <w:rFonts w:eastAsiaTheme="minorEastAsia"/>
          <w:b/>
          <w:i/>
          <w:iCs/>
        </w:rPr>
      </w:pPr>
      <w:r w:rsidRPr="007C73D7">
        <w:rPr>
          <w:rFonts w:eastAsiaTheme="minorEastAsia"/>
          <w:b/>
          <w:i/>
          <w:iCs/>
        </w:rPr>
        <w:t>DALYs averted</w:t>
      </w:r>
    </w:p>
    <w:p w14:paraId="660D79ED" w14:textId="2688ADA0" w:rsidR="00724D33" w:rsidRPr="007C73D7" w:rsidRDefault="008126BD" w:rsidP="18112CD4">
      <w:pPr>
        <w:rPr>
          <w:rFonts w:eastAsiaTheme="minorEastAsia"/>
        </w:rPr>
      </w:pPr>
      <w:r w:rsidRPr="007C73D7">
        <w:rPr>
          <w:rFonts w:eastAsiaTheme="minorEastAsia"/>
        </w:rPr>
        <w:t>We calculate t</w:t>
      </w:r>
      <w:r w:rsidR="56BBB47E" w:rsidRPr="007C73D7">
        <w:rPr>
          <w:rFonts w:eastAsiaTheme="minorEastAsia"/>
        </w:rPr>
        <w:t>he survival effects of the change in expenditure</w:t>
      </w:r>
      <w:r w:rsidR="66FF9222" w:rsidRPr="007C73D7">
        <w:rPr>
          <w:rFonts w:eastAsiaTheme="minorEastAsia"/>
        </w:rPr>
        <w:t xml:space="preserve"> </w:t>
      </w:r>
      <w:r w:rsidRPr="007C73D7">
        <w:rPr>
          <w:rFonts w:eastAsiaTheme="minorEastAsia"/>
        </w:rPr>
        <w:t>by m</w:t>
      </w:r>
      <w:r w:rsidR="66FF9222" w:rsidRPr="007C73D7">
        <w:rPr>
          <w:rFonts w:eastAsiaTheme="minorEastAsia"/>
        </w:rPr>
        <w:t>ultiplying deaths averted with conditional life expectancy (CLE)</w:t>
      </w:r>
      <w:r w:rsidR="0D78C429" w:rsidRPr="007C73D7">
        <w:rPr>
          <w:rFonts w:eastAsiaTheme="minorEastAsia"/>
        </w:rPr>
        <w:t xml:space="preserve"> </w:t>
      </w:r>
      <w:r w:rsidR="00941A29" w:rsidRPr="007C73D7">
        <w:rPr>
          <w:rFonts w:eastAsiaTheme="minorEastAsia"/>
        </w:rPr>
        <w:fldChar w:fldCharType="begin" w:fldLock="1"/>
      </w:r>
      <w:r w:rsidR="00BB7FBF" w:rsidRPr="007C73D7">
        <w:rPr>
          <w:rFonts w:eastAsiaTheme="minorEastAsia"/>
        </w:rPr>
        <w:instrText>ADDIN CSL_CITATION {"citationItems":[{"id":"ITEM-1","itemData":{"URL":"http://ghdx.healthdata.org/gbd-results-tool","accessed":{"date-parts":[["2021","1","29"]]},"author":[{"dropping-particle":"","family":"Global Burden of Disease Collaborative Network","given":"","non-dropping-particle":"","parse-names":false,"suffix":""}],"container-title":"Seattle, United States: Institute for Health Metrics and Evaluation (IHME)","id":"ITEM-1","issued":{"date-parts":[["2020"]]},"title":"Global Burden of Disease Study 2019 (GBD 2019) Results","type":"webpage"},"uris":["http://www.mendeley.com/documents/?uuid=4473d253-d9f6-42e0-ad8a-415f17a3d5ad"]}],"mendeley":{"formattedCitation":"[39]","plainTextFormattedCitation":"[39]","previouslyFormattedCitation":"[39]"},"properties":{"noteIndex":0},"schema":"https://github.com/citation-style-language/schema/raw/master/csl-citation.json"}</w:instrText>
      </w:r>
      <w:r w:rsidR="00941A29" w:rsidRPr="007C73D7">
        <w:rPr>
          <w:rFonts w:eastAsiaTheme="minorEastAsia"/>
        </w:rPr>
        <w:fldChar w:fldCharType="separate"/>
      </w:r>
      <w:r w:rsidR="0D78C429" w:rsidRPr="007C73D7">
        <w:rPr>
          <w:rFonts w:eastAsiaTheme="minorEastAsia"/>
          <w:noProof/>
        </w:rPr>
        <w:t>[39]</w:t>
      </w:r>
      <w:r w:rsidR="00941A29" w:rsidRPr="007C73D7">
        <w:rPr>
          <w:rFonts w:eastAsiaTheme="minorEastAsia"/>
        </w:rPr>
        <w:fldChar w:fldCharType="end"/>
      </w:r>
      <w:r w:rsidR="56BBB47E" w:rsidRPr="007C73D7">
        <w:rPr>
          <w:rFonts w:eastAsiaTheme="minorEastAsia"/>
        </w:rPr>
        <w:t xml:space="preserve">. To capture the morbidity effects of a change in expenditure, </w:t>
      </w:r>
      <w:r w:rsidRPr="007C73D7">
        <w:rPr>
          <w:rFonts w:eastAsiaTheme="minorEastAsia"/>
        </w:rPr>
        <w:t xml:space="preserve">we apply </w:t>
      </w:r>
      <w:r w:rsidR="56BBB47E" w:rsidRPr="007C73D7">
        <w:rPr>
          <w:rFonts w:eastAsiaTheme="minorEastAsia"/>
        </w:rPr>
        <w:t>the ratio of the morbidity burden of disease</w:t>
      </w:r>
      <w:r w:rsidR="00822411" w:rsidRPr="007C73D7">
        <w:rPr>
          <w:rStyle w:val="FootnoteReference"/>
        </w:rPr>
        <w:footnoteReference w:id="8"/>
      </w:r>
      <w:r w:rsidR="56BBB47E" w:rsidRPr="007C73D7">
        <w:rPr>
          <w:rFonts w:eastAsiaTheme="minorEastAsia"/>
        </w:rPr>
        <w:t xml:space="preserve"> (measured in years of life disabled, YLD) to the survival</w:t>
      </w:r>
      <w:r w:rsidR="005EE5FC" w:rsidRPr="007C73D7">
        <w:rPr>
          <w:rFonts w:eastAsiaTheme="minorEastAsia"/>
        </w:rPr>
        <w:t xml:space="preserve"> </w:t>
      </w:r>
      <w:r w:rsidR="56BBB47E" w:rsidRPr="007C73D7">
        <w:rPr>
          <w:rFonts w:eastAsiaTheme="minorEastAsia"/>
        </w:rPr>
        <w:t>burden of disease</w:t>
      </w:r>
      <w:r w:rsidR="005EE5FC" w:rsidRPr="007C73D7">
        <w:rPr>
          <w:rFonts w:eastAsiaTheme="minorEastAsia"/>
        </w:rPr>
        <w:t xml:space="preserve"> (measured in years of life lost, YLL) </w:t>
      </w:r>
      <w:r w:rsidR="56BBB47E" w:rsidRPr="007C73D7">
        <w:rPr>
          <w:rFonts w:eastAsiaTheme="minorEastAsia"/>
        </w:rPr>
        <w:t xml:space="preserve">to the calculated survival effects of the change in expenditure, giving the DALYs averted </w:t>
      </w:r>
      <w:r w:rsidR="000C41D7" w:rsidRPr="007C73D7">
        <w:rPr>
          <w:rFonts w:eastAsiaTheme="minorEastAsia"/>
        </w:rPr>
        <w:fldChar w:fldCharType="begin" w:fldLock="1"/>
      </w:r>
      <w:r w:rsidR="00BB7FBF" w:rsidRPr="007C73D7">
        <w:rPr>
          <w:rFonts w:eastAsiaTheme="minorEastAsia"/>
        </w:rPr>
        <w:instrText>ADDIN CSL_CITATION {"citationItems":[{"id":"ITEM-1","itemData":{"URL":"http://ghdx.healthdata.org/gbd-results-tool","accessed":{"date-parts":[["2021","1","29"]]},"author":[{"dropping-particle":"","family":"Global Burden of Disease Collaborative Network","given":"","non-dropping-particle":"","parse-names":false,"suffix":""}],"container-title":"Seattle, United States: Institute for Health Metrics and Evaluation (IHME)","id":"ITEM-1","issued":{"date-parts":[["2020"]]},"title":"Global Burden of Disease Study 2019 (GBD 2019) Results","type":"webpage"},"uris":["http://www.mendeley.com/documents/?uuid=4473d253-d9f6-42e0-ad8a-415f17a3d5ad"]}],"mendeley":{"formattedCitation":"[39]","plainTextFormattedCitation":"[39]","previouslyFormattedCitation":"[39]"},"properties":{"noteIndex":0},"schema":"https://github.com/citation-style-language/schema/raw/master/csl-citation.json"}</w:instrText>
      </w:r>
      <w:r w:rsidR="000C41D7" w:rsidRPr="007C73D7">
        <w:rPr>
          <w:rFonts w:eastAsiaTheme="minorEastAsia"/>
        </w:rPr>
        <w:fldChar w:fldCharType="separate"/>
      </w:r>
      <w:r w:rsidR="0D78C429" w:rsidRPr="007C73D7">
        <w:rPr>
          <w:rFonts w:eastAsiaTheme="minorEastAsia"/>
          <w:noProof/>
        </w:rPr>
        <w:t>[39]</w:t>
      </w:r>
      <w:r w:rsidR="000C41D7" w:rsidRPr="007C73D7">
        <w:rPr>
          <w:rFonts w:eastAsiaTheme="minorEastAsia"/>
        </w:rPr>
        <w:fldChar w:fldCharType="end"/>
      </w:r>
      <w:r w:rsidR="56BBB47E" w:rsidRPr="007C73D7">
        <w:rPr>
          <w:rFonts w:eastAsiaTheme="minorEastAsia"/>
        </w:rPr>
        <w:t>.</w:t>
      </w:r>
      <w:r w:rsidR="00724D33" w:rsidRPr="007C73D7">
        <w:rPr>
          <w:rStyle w:val="FootnoteReference"/>
        </w:rPr>
        <w:footnoteReference w:id="9"/>
      </w:r>
    </w:p>
    <w:tbl>
      <w:tblPr>
        <w:tblW w:w="6060" w:type="dxa"/>
        <w:jc w:val="center"/>
        <w:tblLook w:val="04A0" w:firstRow="1" w:lastRow="0" w:firstColumn="1" w:lastColumn="0" w:noHBand="0" w:noVBand="1"/>
      </w:tblPr>
      <w:tblGrid>
        <w:gridCol w:w="5490"/>
        <w:gridCol w:w="570"/>
      </w:tblGrid>
      <w:tr w:rsidR="004015EB" w:rsidRPr="007C73D7" w14:paraId="78B2CE63" w14:textId="77777777" w:rsidTr="18112CD4">
        <w:trPr>
          <w:trHeight w:val="765"/>
          <w:jc w:val="center"/>
        </w:trPr>
        <w:tc>
          <w:tcPr>
            <w:tcW w:w="5490" w:type="dxa"/>
            <w:vAlign w:val="center"/>
          </w:tcPr>
          <w:p w14:paraId="402236A6" w14:textId="475E6D00" w:rsidR="004015EB" w:rsidRPr="007C73D7" w:rsidRDefault="004015EB" w:rsidP="18112CD4">
            <w:pPr>
              <w:spacing w:line="240" w:lineRule="auto"/>
              <w:jc w:val="center"/>
              <w:rPr>
                <w:rFonts w:ascii="Cambria Math" w:eastAsiaTheme="minorEastAsia" w:hAnsi="Cambria Math"/>
                <w:i/>
                <w:iCs/>
              </w:rPr>
            </w:pPr>
            <m:oMathPara>
              <m:oMath>
                <m:r>
                  <w:rPr>
                    <w:rFonts w:ascii="Cambria Math" w:eastAsiaTheme="minorEastAsia" w:hAnsi="Cambria Math"/>
                  </w:rPr>
                  <m:t>DALYs averted=deaths averted*CLE*(1+</m:t>
                </m:r>
                <m:f>
                  <m:fPr>
                    <m:ctrlPr>
                      <w:rPr>
                        <w:rFonts w:ascii="Cambria Math" w:eastAsiaTheme="minorEastAsia" w:hAnsi="Cambria Math"/>
                        <w:i/>
                        <w:iCs/>
                      </w:rPr>
                    </m:ctrlPr>
                  </m:fPr>
                  <m:num>
                    <m:r>
                      <w:rPr>
                        <w:rFonts w:ascii="Cambria Math" w:eastAsiaTheme="minorEastAsia" w:hAnsi="Cambria Math"/>
                      </w:rPr>
                      <m:t>YLD</m:t>
                    </m:r>
                  </m:num>
                  <m:den>
                    <m:r>
                      <w:rPr>
                        <w:rFonts w:ascii="Cambria Math" w:eastAsiaTheme="minorEastAsia" w:hAnsi="Cambria Math"/>
                      </w:rPr>
                      <m:t>YLL</m:t>
                    </m:r>
                  </m:den>
                </m:f>
                <m:r>
                  <w:rPr>
                    <w:rFonts w:ascii="Cambria Math" w:eastAsiaTheme="minorEastAsia" w:hAnsi="Cambria Math"/>
                  </w:rPr>
                  <m:t>)</m:t>
                </m:r>
              </m:oMath>
            </m:oMathPara>
          </w:p>
        </w:tc>
        <w:tc>
          <w:tcPr>
            <w:tcW w:w="570" w:type="dxa"/>
            <w:vAlign w:val="center"/>
          </w:tcPr>
          <w:p w14:paraId="7B975C09" w14:textId="4D01E976" w:rsidR="004015EB" w:rsidRPr="007C73D7" w:rsidRDefault="4A72CC38" w:rsidP="18112CD4">
            <w:pPr>
              <w:spacing w:line="240" w:lineRule="auto"/>
              <w:jc w:val="center"/>
              <w:rPr>
                <w:rFonts w:eastAsiaTheme="minorEastAsia"/>
              </w:rPr>
            </w:pPr>
            <w:r w:rsidRPr="007C73D7">
              <w:rPr>
                <w:rFonts w:eastAsiaTheme="minorEastAsia"/>
              </w:rPr>
              <w:t>(4)</w:t>
            </w:r>
          </w:p>
        </w:tc>
      </w:tr>
    </w:tbl>
    <w:p w14:paraId="70C0854A" w14:textId="4C5132D1" w:rsidR="00724D33" w:rsidRPr="007C73D7" w:rsidRDefault="00724D33" w:rsidP="00E02E4F">
      <w:pPr>
        <w:rPr>
          <w:rFonts w:eastAsiaTheme="minorEastAsia"/>
        </w:rPr>
      </w:pPr>
      <w:r w:rsidRPr="007C73D7">
        <w:rPr>
          <w:rFonts w:eastAsiaTheme="minorEastAsia"/>
        </w:rPr>
        <w:t>This simplification means that we are assuming that health care expenditure elasticity applies to morbidity in the same way it applies to mortality. In the absence of direct estimates</w:t>
      </w:r>
      <w:r w:rsidR="00D30ABC" w:rsidRPr="007C73D7">
        <w:rPr>
          <w:rFonts w:eastAsiaTheme="minorEastAsia"/>
        </w:rPr>
        <w:t xml:space="preserve"> of the effect of expenditure on mor</w:t>
      </w:r>
      <w:r w:rsidR="00920E7D">
        <w:rPr>
          <w:rFonts w:eastAsiaTheme="minorEastAsia"/>
        </w:rPr>
        <w:t>bidity</w:t>
      </w:r>
      <w:r w:rsidRPr="007C73D7">
        <w:rPr>
          <w:rFonts w:eastAsiaTheme="minorEastAsia"/>
        </w:rPr>
        <w:t xml:space="preserve"> this is </w:t>
      </w:r>
      <w:r w:rsidR="001E2C47" w:rsidRPr="007C73D7">
        <w:rPr>
          <w:rFonts w:eastAsiaTheme="minorEastAsia"/>
        </w:rPr>
        <w:t>a necessary assumption</w:t>
      </w:r>
      <w:r w:rsidRPr="007C73D7">
        <w:rPr>
          <w:rFonts w:eastAsiaTheme="minorEastAsia"/>
        </w:rPr>
        <w:t xml:space="preserve">, </w:t>
      </w:r>
      <w:r w:rsidR="001E2C47" w:rsidRPr="007C73D7">
        <w:rPr>
          <w:rFonts w:eastAsiaTheme="minorEastAsia"/>
        </w:rPr>
        <w:t>which</w:t>
      </w:r>
      <w:r w:rsidRPr="007C73D7">
        <w:rPr>
          <w:rFonts w:eastAsiaTheme="minorEastAsia"/>
        </w:rPr>
        <w:t xml:space="preserve"> has been made</w:t>
      </w:r>
      <w:r w:rsidR="001E2C47" w:rsidRPr="007C73D7">
        <w:rPr>
          <w:rFonts w:eastAsiaTheme="minorEastAsia"/>
        </w:rPr>
        <w:t xml:space="preserve"> in</w:t>
      </w:r>
      <w:r w:rsidRPr="007C73D7">
        <w:rPr>
          <w:rFonts w:eastAsiaTheme="minorEastAsia"/>
        </w:rPr>
        <w:t xml:space="preserve"> previous</w:t>
      </w:r>
      <w:r w:rsidR="001E2C47" w:rsidRPr="007C73D7">
        <w:rPr>
          <w:rFonts w:eastAsiaTheme="minorEastAsia"/>
        </w:rPr>
        <w:t xml:space="preserve"> </w:t>
      </w:r>
      <w:r w:rsidRPr="007C73D7">
        <w:rPr>
          <w:rFonts w:eastAsiaTheme="minorEastAsia"/>
        </w:rPr>
        <w:t xml:space="preserve">studies </w:t>
      </w:r>
      <w:r w:rsidR="00C13917" w:rsidRPr="007C73D7">
        <w:rPr>
          <w:rStyle w:val="FootnoteReference"/>
          <w:rFonts w:eastAsiaTheme="minorEastAsia"/>
        </w:rPr>
        <w:fldChar w:fldCharType="begin" w:fldLock="1"/>
      </w:r>
      <w:r w:rsidR="00BB7FBF" w:rsidRPr="007C73D7">
        <w:rPr>
          <w:rFonts w:eastAsiaTheme="minorEastAsia"/>
        </w:rPr>
        <w:instrText>ADDIN CSL_CITATION {"citationItems":[{"id":"ITEM-1","itemData":{"DOI":"10.3310/hta19140","ISSN":"20464924","PMID":"25692211","abstract":"Background: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 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 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 Results: The most relevant ‘central’ threshold is estimated to be £12,936 per QALY (2008 expenditure, 2008–10 mortality). Uncertainty analysis indicates that the probability that the threshold is &lt; £20,000 per QALY is 0.89 and the probability that it is &lt; £30,000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impose n…","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Assessment","id":"ITEM-1","issue":"14","issued":{"date-parts":[["2015"]]},"page":"1-503","title":"Methods for the estimation of the National Institute for Health and care excellence cost-effectiveness threshold","type":"article-journal","volume":"19"},"uris":["http://www.mendeley.com/documents/?uuid=1539faba-dc3b-4583-ab99-00a3af43dad2"]},{"id":"ITEM-2","itemData":{"DOI":"10.1136/bmjgh-2018-000964","ISSN":"20597908","abstract":"The economic evaluation of healthcare interventions requires an assessment of whether the improvement in health outcomes they offer exceeds the improvement in health that would have been possible if the additional resources required had, instead, been made available for other healthcare activities. Therefore, some assessment of these health opportunity costs is required if the best use is to be made of the resources available for healthcare. This paper provides a framework for generating country-specific estimates of cost per disability-adjusted life year (DALY) averted ‘thresholds’ that reflect health opportunity costs. We apply estimated elasticities on mortality, survival, morbidity and a generic measure of health, DALYs, that take account of measures of a country’s infrastructure and changes in donor funding to country-specific data on health expenditure, epidemiology and demographics to determine the likely DALYs averted from a 1% change in expenditure on health. The resulting range of cost per DALY averted ‘threshold’ estimates for each country that represent likely health opportunity costs tend to fall below the range previously suggested by WHO of 1–3× gross domestic product (GDP) per capita. The 1–3× GDP range and many other previous and existing recommendations about which interventions are cost-effective are not based on an empirical assessment of the likely health opportunity costs, and as a consequence, the health effects of changes in health expenditure have tended to be underestimated, and there is a risk that interventions regarded as cost-effective reduce rather than improve health outcomes overall.","author":[{"dropping-particle":"","family":"Ochalek","given":"Jessica","non-dropping-particle":"","parse-names":false,"suffix":""},{"dropping-particle":"","family":"Lomas","given":"James","non-dropping-particle":"","parse-names":false,"suffix":""},{"dropping-particle":"","family":"Claxton","given":"Karl","non-dropping-particle":"","parse-names":false,"suffix":""}],"container-title":"BMJ Global Health","id":"ITEM-2","issue":"6","issued":{"date-parts":[["2018"]]},"title":"Estimating health opportunity costs in low-income and middle-income countries: A novel approach and evidence from cross-country data","type":"article-journal","volume":"3"},"uris":["http://www.mendeley.com/documents/?uuid=fe4dba9f-e2eb-425d-9730-f7907a60f647"]}],"mendeley":{"formattedCitation":"[14,40]","plainTextFormattedCitation":"[14,40]","previouslyFormattedCitation":"[14,40]"},"properties":{"noteIndex":0},"schema":"https://github.com/citation-style-language/schema/raw/master/csl-citation.json"}</w:instrText>
      </w:r>
      <w:r w:rsidR="00C13917" w:rsidRPr="007C73D7">
        <w:rPr>
          <w:rStyle w:val="FootnoteReference"/>
          <w:rFonts w:eastAsiaTheme="minorEastAsia"/>
        </w:rPr>
        <w:fldChar w:fldCharType="separate"/>
      </w:r>
      <w:r w:rsidR="00BB7FBF" w:rsidRPr="007C73D7">
        <w:rPr>
          <w:rFonts w:eastAsiaTheme="minorEastAsia"/>
          <w:noProof/>
        </w:rPr>
        <w:t>[14,40]</w:t>
      </w:r>
      <w:r w:rsidR="00C13917" w:rsidRPr="007C73D7">
        <w:rPr>
          <w:rStyle w:val="FootnoteReference"/>
          <w:rFonts w:eastAsiaTheme="minorEastAsia"/>
        </w:rPr>
        <w:fldChar w:fldCharType="end"/>
      </w:r>
      <w:r w:rsidR="00217744" w:rsidRPr="007C73D7">
        <w:rPr>
          <w:rFonts w:eastAsiaTheme="minorEastAsia"/>
        </w:rPr>
        <w:t>.</w:t>
      </w:r>
    </w:p>
    <w:p w14:paraId="6A1E0B1D" w14:textId="11461F21" w:rsidR="00724D33" w:rsidRPr="007C73D7" w:rsidRDefault="00724D33" w:rsidP="00E02E4F">
      <w:pPr>
        <w:rPr>
          <w:rFonts w:eastAsiaTheme="minorEastAsia"/>
          <w:b/>
          <w:i/>
          <w:iCs/>
        </w:rPr>
      </w:pPr>
      <w:r w:rsidRPr="007C73D7">
        <w:rPr>
          <w:rFonts w:eastAsiaTheme="minorEastAsia"/>
          <w:b/>
          <w:i/>
          <w:iCs/>
        </w:rPr>
        <w:t>Total population DALYs averted</w:t>
      </w:r>
    </w:p>
    <w:p w14:paraId="36D46F80" w14:textId="29E58470" w:rsidR="00724D33" w:rsidRPr="007C73D7" w:rsidRDefault="00724D33" w:rsidP="00E02E4F">
      <w:pPr>
        <w:rPr>
          <w:rFonts w:eastAsiaTheme="minorEastAsia"/>
        </w:rPr>
      </w:pPr>
      <w:r w:rsidRPr="007C73D7">
        <w:rPr>
          <w:rFonts w:eastAsiaTheme="minorEastAsia"/>
        </w:rPr>
        <w:t>To calculate DALYs averted in the total population based on DALYs averted among children under-</w:t>
      </w:r>
      <w:r w:rsidR="001470E6" w:rsidRPr="007C73D7">
        <w:rPr>
          <w:rFonts w:eastAsiaTheme="minorEastAsia"/>
        </w:rPr>
        <w:t>five</w:t>
      </w:r>
      <w:r w:rsidRPr="007C73D7">
        <w:rPr>
          <w:rFonts w:eastAsiaTheme="minorEastAsia"/>
        </w:rPr>
        <w:t xml:space="preserve"> we assume that DALYs averted are in proportion to</w:t>
      </w:r>
      <w:r w:rsidR="00473937" w:rsidRPr="007C73D7">
        <w:rPr>
          <w:rFonts w:eastAsiaTheme="minorEastAsia"/>
        </w:rPr>
        <w:t xml:space="preserve"> the</w:t>
      </w:r>
      <w:r w:rsidRPr="007C73D7">
        <w:rPr>
          <w:rFonts w:eastAsiaTheme="minorEastAsia"/>
        </w:rPr>
        <w:t xml:space="preserve"> DALY burden across the different age groups within the population. It is possible that, in reality, expenditure has a greater effect when spent on certain age groups within the population. For example, if this was the case </w:t>
      </w:r>
      <w:r w:rsidR="00473937" w:rsidRPr="007C73D7">
        <w:rPr>
          <w:rFonts w:eastAsiaTheme="minorEastAsia"/>
        </w:rPr>
        <w:t xml:space="preserve">for expenditure associated with the health of </w:t>
      </w:r>
      <w:r w:rsidRPr="007C73D7">
        <w:rPr>
          <w:rFonts w:eastAsiaTheme="minorEastAsia"/>
        </w:rPr>
        <w:t xml:space="preserve">infants </w:t>
      </w:r>
      <w:r w:rsidRPr="007C73D7">
        <w:rPr>
          <w:rFonts w:eastAsiaTheme="minorEastAsia"/>
        </w:rPr>
        <w:lastRenderedPageBreak/>
        <w:t>and children under-</w:t>
      </w:r>
      <w:r w:rsidR="001470E6" w:rsidRPr="007C73D7">
        <w:rPr>
          <w:rFonts w:eastAsiaTheme="minorEastAsia"/>
        </w:rPr>
        <w:t>five</w:t>
      </w:r>
      <w:r w:rsidR="00473937" w:rsidRPr="007C73D7">
        <w:rPr>
          <w:rFonts w:eastAsiaTheme="minorEastAsia"/>
        </w:rPr>
        <w:t>,</w:t>
      </w:r>
      <w:r w:rsidRPr="007C73D7">
        <w:rPr>
          <w:rFonts w:eastAsiaTheme="minorEastAsia"/>
        </w:rPr>
        <w:t xml:space="preserve"> this would imply that our estimate of total </w:t>
      </w:r>
      <w:r w:rsidR="00473937" w:rsidRPr="007C73D7">
        <w:rPr>
          <w:rFonts w:eastAsiaTheme="minorEastAsia"/>
        </w:rPr>
        <w:t>population</w:t>
      </w:r>
      <w:r w:rsidR="006E0E2B" w:rsidRPr="007C73D7">
        <w:rPr>
          <w:rFonts w:eastAsiaTheme="minorEastAsia"/>
        </w:rPr>
        <w:t xml:space="preserve"> </w:t>
      </w:r>
      <w:r w:rsidRPr="007C73D7">
        <w:rPr>
          <w:rFonts w:eastAsiaTheme="minorEastAsia"/>
        </w:rPr>
        <w:t>DALYs averted is higher than the true estimate.</w:t>
      </w:r>
    </w:p>
    <w:tbl>
      <w:tblPr>
        <w:tblW w:w="7243" w:type="dxa"/>
        <w:jc w:val="center"/>
        <w:tblLook w:val="04A0" w:firstRow="1" w:lastRow="0" w:firstColumn="1" w:lastColumn="0" w:noHBand="0" w:noVBand="1"/>
      </w:tblPr>
      <w:tblGrid>
        <w:gridCol w:w="6707"/>
        <w:gridCol w:w="536"/>
      </w:tblGrid>
      <w:tr w:rsidR="004015EB" w:rsidRPr="007C73D7" w14:paraId="20AA422D" w14:textId="77777777" w:rsidTr="6DB014EC">
        <w:trPr>
          <w:trHeight w:val="793"/>
          <w:jc w:val="center"/>
        </w:trPr>
        <w:tc>
          <w:tcPr>
            <w:tcW w:w="6707" w:type="dxa"/>
            <w:vAlign w:val="center"/>
          </w:tcPr>
          <w:p w14:paraId="2BDBAF31" w14:textId="1678BBC8" w:rsidR="004015EB" w:rsidRPr="007C73D7" w:rsidRDefault="004015EB" w:rsidP="6DB014EC">
            <w:pPr>
              <w:spacing w:line="240" w:lineRule="auto"/>
              <w:jc w:val="center"/>
              <w:rPr>
                <w:rFonts w:ascii="Cambria Math" w:eastAsiaTheme="minorEastAsia" w:hAnsi="Cambria Math"/>
                <w:i/>
                <w:iCs/>
              </w:rPr>
            </w:pPr>
            <m:oMathPara>
              <m:oMath>
                <m:r>
                  <w:rPr>
                    <w:rFonts w:ascii="Cambria Math" w:eastAsiaTheme="minorEastAsia" w:hAnsi="Cambria Math"/>
                  </w:rPr>
                  <m:t>Total population DALYs=</m:t>
                </m:r>
                <m:f>
                  <m:fPr>
                    <m:ctrlPr>
                      <w:rPr>
                        <w:rFonts w:ascii="Cambria Math" w:eastAsiaTheme="minorEastAsia" w:hAnsi="Cambria Math"/>
                        <w:i/>
                        <w:iCs/>
                      </w:rPr>
                    </m:ctrlPr>
                  </m:fPr>
                  <m:num>
                    <m:r>
                      <w:rPr>
                        <w:rFonts w:ascii="Cambria Math" w:eastAsiaTheme="minorEastAsia" w:hAnsi="Cambria Math"/>
                      </w:rPr>
                      <m:t>U5 DALYs averted</m:t>
                    </m:r>
                  </m:num>
                  <m:den>
                    <m:r>
                      <w:rPr>
                        <w:rFonts w:ascii="Cambria Math" w:eastAsiaTheme="minorEastAsia" w:hAnsi="Cambria Math"/>
                      </w:rPr>
                      <m:t>U5 % of total population DALY burden</m:t>
                    </m:r>
                  </m:den>
                </m:f>
              </m:oMath>
            </m:oMathPara>
          </w:p>
        </w:tc>
        <w:tc>
          <w:tcPr>
            <w:tcW w:w="536" w:type="dxa"/>
            <w:vAlign w:val="center"/>
          </w:tcPr>
          <w:p w14:paraId="25DCBF79" w14:textId="6F2F54BA" w:rsidR="004015EB" w:rsidRPr="007C73D7" w:rsidRDefault="7D61F6DE" w:rsidP="6DB014EC">
            <w:pPr>
              <w:spacing w:line="240" w:lineRule="auto"/>
              <w:jc w:val="center"/>
              <w:rPr>
                <w:rFonts w:eastAsiaTheme="minorEastAsia"/>
              </w:rPr>
            </w:pPr>
            <w:r w:rsidRPr="007C73D7">
              <w:rPr>
                <w:rFonts w:eastAsiaTheme="minorEastAsia"/>
              </w:rPr>
              <w:t>(5)</w:t>
            </w:r>
          </w:p>
        </w:tc>
      </w:tr>
    </w:tbl>
    <w:p w14:paraId="7F895678" w14:textId="28247418" w:rsidR="00724D33" w:rsidRPr="007C73D7" w:rsidRDefault="00724D33" w:rsidP="00E02E4F">
      <w:pPr>
        <w:rPr>
          <w:rFonts w:eastAsiaTheme="minorEastAsia"/>
          <w:b/>
          <w:i/>
          <w:iCs/>
        </w:rPr>
      </w:pPr>
      <w:r w:rsidRPr="007C73D7">
        <w:rPr>
          <w:rFonts w:eastAsiaTheme="minorEastAsia"/>
          <w:b/>
          <w:i/>
          <w:iCs/>
        </w:rPr>
        <w:t>Cost per DALY averted</w:t>
      </w:r>
    </w:p>
    <w:p w14:paraId="52C72364" w14:textId="50E0902E" w:rsidR="00724D33" w:rsidRPr="007C73D7" w:rsidRDefault="00724D33" w:rsidP="00E02E4F">
      <w:pPr>
        <w:rPr>
          <w:rFonts w:eastAsiaTheme="minorEastAsia"/>
        </w:rPr>
      </w:pPr>
      <w:r w:rsidRPr="007C73D7">
        <w:rPr>
          <w:rFonts w:eastAsiaTheme="minorEastAsia"/>
        </w:rPr>
        <w:t>In the final step, a modelled 1% change in public health expenditure is divided by the associated health improvement</w:t>
      </w:r>
      <w:r w:rsidR="00545904" w:rsidRPr="007C73D7">
        <w:rPr>
          <w:rFonts w:eastAsiaTheme="minorEastAsia"/>
        </w:rPr>
        <w:t xml:space="preserve"> in the total population to give an estimate of the cost per DALY averted</w:t>
      </w:r>
      <w:r w:rsidRPr="007C73D7">
        <w:rPr>
          <w:rFonts w:eastAsiaTheme="minorEastAsia"/>
        </w:rPr>
        <w:t>.</w:t>
      </w:r>
    </w:p>
    <w:tbl>
      <w:tblPr>
        <w:tblW w:w="7923" w:type="dxa"/>
        <w:jc w:val="center"/>
        <w:tblLook w:val="04A0" w:firstRow="1" w:lastRow="0" w:firstColumn="1" w:lastColumn="0" w:noHBand="0" w:noVBand="1"/>
      </w:tblPr>
      <w:tblGrid>
        <w:gridCol w:w="7344"/>
        <w:gridCol w:w="579"/>
      </w:tblGrid>
      <w:tr w:rsidR="00FE21D7" w:rsidRPr="007C73D7" w14:paraId="2839FDE0" w14:textId="77777777" w:rsidTr="6DB014EC">
        <w:trPr>
          <w:trHeight w:val="567"/>
          <w:jc w:val="center"/>
        </w:trPr>
        <w:tc>
          <w:tcPr>
            <w:tcW w:w="7344" w:type="dxa"/>
            <w:vAlign w:val="center"/>
          </w:tcPr>
          <w:p w14:paraId="72202A05" w14:textId="28BD0D01" w:rsidR="00FE21D7" w:rsidRPr="007C73D7" w:rsidRDefault="00FE21D7" w:rsidP="00FE21D7">
            <w:pPr>
              <w:rPr>
                <w:rFonts w:ascii="Cambria Math" w:eastAsiaTheme="minorEastAsia" w:hAnsi="Cambria Math" w:cstheme="majorBidi"/>
                <w:i/>
                <w:iCs/>
              </w:rPr>
            </w:pPr>
            <m:oMathPara>
              <m:oMath>
                <m:r>
                  <w:rPr>
                    <w:rFonts w:ascii="Cambria Math" w:eastAsiaTheme="minorEastAsia" w:hAnsi="Cambria Math" w:cstheme="majorBidi"/>
                  </w:rPr>
                  <m:t xml:space="preserve">Cost per DALY averted= </m:t>
                </m:r>
                <m:f>
                  <m:fPr>
                    <m:ctrlPr>
                      <w:rPr>
                        <w:rFonts w:ascii="Cambria Math" w:eastAsiaTheme="minorEastAsia" w:hAnsi="Cambria Math" w:cstheme="majorBidi"/>
                        <w:i/>
                        <w:iCs/>
                      </w:rPr>
                    </m:ctrlPr>
                  </m:fPr>
                  <m:num>
                    <m:r>
                      <w:rPr>
                        <w:rFonts w:ascii="Cambria Math" w:eastAsiaTheme="minorEastAsia" w:hAnsi="Cambria Math" w:cstheme="majorBidi"/>
                      </w:rPr>
                      <m:t xml:space="preserve"> 1% change in total public health expenditure</m:t>
                    </m:r>
                  </m:num>
                  <m:den>
                    <m:r>
                      <w:rPr>
                        <w:rFonts w:ascii="Cambria Math" w:eastAsiaTheme="minorEastAsia" w:hAnsi="Cambria Math" w:cstheme="majorBidi"/>
                      </w:rPr>
                      <m:t>Total population DALYs averted</m:t>
                    </m:r>
                  </m:den>
                </m:f>
              </m:oMath>
            </m:oMathPara>
          </w:p>
        </w:tc>
        <w:tc>
          <w:tcPr>
            <w:tcW w:w="579" w:type="dxa"/>
            <w:vAlign w:val="center"/>
          </w:tcPr>
          <w:p w14:paraId="56F8F774" w14:textId="2ED9B215" w:rsidR="00FE21D7" w:rsidRPr="007C73D7" w:rsidRDefault="00FE21D7" w:rsidP="00FE21D7">
            <w:pPr>
              <w:rPr>
                <w:rFonts w:eastAsiaTheme="minorEastAsia" w:cstheme="minorHAnsi"/>
                <w:iCs/>
              </w:rPr>
            </w:pPr>
            <w:r w:rsidRPr="007C73D7">
              <w:rPr>
                <w:rFonts w:eastAsiaTheme="minorEastAsia" w:cstheme="minorHAnsi"/>
                <w:iCs/>
              </w:rPr>
              <w:t>(6)</w:t>
            </w:r>
          </w:p>
        </w:tc>
      </w:tr>
    </w:tbl>
    <w:p w14:paraId="204C1275" w14:textId="7A1D463E" w:rsidR="00BE3981" w:rsidRPr="007C73D7" w:rsidRDefault="0DB2B300" w:rsidP="6DB014EC">
      <w:pPr>
        <w:rPr>
          <w:b/>
          <w:bCs/>
        </w:rPr>
      </w:pPr>
      <w:r w:rsidRPr="007C73D7">
        <w:rPr>
          <w:rFonts w:eastAsiaTheme="minorEastAsia"/>
        </w:rPr>
        <w:t>To assess the sensitivity of our findings to the main assumptions made in the calculation of the cost per DALY averted we conducted three additional sets of analysis. First, to assess the impact of the assumption that the effect of expenditure on morbidity is the same as the effect of expenditure on mortality, we conducted a sensitivity analysis where we calculated cost per DALY averted assuming no effect on morbidity and twice the effect on morbidity as on mortality (as well as 10% increments in between these two extremes). Second, we considered alternative scenarios where the proportion of DALYs averted in the remainder of the population was varied as a function of the proportion of DALYs</w:t>
      </w:r>
      <w:r w:rsidRPr="007C73D7">
        <w:rPr>
          <w:rFonts w:eastAsiaTheme="minorEastAsia"/>
          <w:color w:val="201F1E"/>
        </w:rPr>
        <w:t xml:space="preserve"> averted in under-5s ranging from 0% (i.e., assuming expenditure has no effect on health in other age groups) to 200% DALYs averted (assuming the effect of expenditure on DALYs averted among the rest of the population is twice as big). Finally, we consider an extreme scenario which</w:t>
      </w:r>
      <w:r w:rsidRPr="007C73D7">
        <w:rPr>
          <w:rFonts w:ascii="Calibri" w:eastAsia="Calibri" w:hAnsi="Calibri" w:cs="Calibri"/>
        </w:rPr>
        <w:t xml:space="preserve"> assumes zero effect on morbidity across the population, and zero effect on mortality among the population over-5. This provides an upper bound for what the cost per DALY averted could be.</w:t>
      </w:r>
    </w:p>
    <w:p w14:paraId="308C019C" w14:textId="7BE23300" w:rsidR="00BE3981" w:rsidRPr="007C73D7" w:rsidRDefault="00420ED8" w:rsidP="6DB014EC">
      <w:pPr>
        <w:rPr>
          <w:b/>
          <w:bCs/>
        </w:rPr>
      </w:pPr>
      <w:r w:rsidRPr="007C73D7">
        <w:rPr>
          <w:b/>
          <w:bCs/>
        </w:rPr>
        <w:t>3</w:t>
      </w:r>
      <w:r w:rsidR="00BE3981" w:rsidRPr="007C73D7">
        <w:rPr>
          <w:b/>
          <w:bCs/>
        </w:rPr>
        <w:t>. R</w:t>
      </w:r>
      <w:r w:rsidR="00911548" w:rsidRPr="007C73D7">
        <w:rPr>
          <w:b/>
          <w:bCs/>
        </w:rPr>
        <w:t>esults</w:t>
      </w:r>
    </w:p>
    <w:p w14:paraId="0EC68927" w14:textId="37FD2512" w:rsidR="00632F29" w:rsidRPr="007C73D7" w:rsidRDefault="00420ED8" w:rsidP="6DB014EC">
      <w:pPr>
        <w:rPr>
          <w:b/>
          <w:bCs/>
        </w:rPr>
      </w:pPr>
      <w:r w:rsidRPr="007C73D7">
        <w:rPr>
          <w:b/>
          <w:bCs/>
        </w:rPr>
        <w:t>3</w:t>
      </w:r>
      <w:r w:rsidR="00632F29" w:rsidRPr="007C73D7">
        <w:rPr>
          <w:b/>
          <w:bCs/>
        </w:rPr>
        <w:t>.1. Main econometric analysis</w:t>
      </w:r>
    </w:p>
    <w:p w14:paraId="3825919E" w14:textId="157BC2F2" w:rsidR="000677A9" w:rsidRPr="007C73D7" w:rsidRDefault="00D84AD4" w:rsidP="00E02E4F">
      <w:r w:rsidRPr="007C73D7">
        <w:t xml:space="preserve">Table </w:t>
      </w:r>
      <w:r w:rsidR="0010513A" w:rsidRPr="007C73D7">
        <w:t>2</w:t>
      </w:r>
      <w:r w:rsidRPr="007C73D7">
        <w:t xml:space="preserve"> presents the </w:t>
      </w:r>
      <w:r w:rsidR="000A64A2" w:rsidRPr="007C73D7">
        <w:t>estimates of the marginal productivity for Indonesia</w:t>
      </w:r>
      <w:r w:rsidRPr="007C73D7">
        <w:t>, alongside t</w:t>
      </w:r>
      <w:r w:rsidR="004C07B6" w:rsidRPr="007C73D7">
        <w:t>he tests for instrument</w:t>
      </w:r>
      <w:r w:rsidRPr="007C73D7">
        <w:t xml:space="preserve"> </w:t>
      </w:r>
      <w:r w:rsidR="004C07B6" w:rsidRPr="007C73D7">
        <w:t>relevan</w:t>
      </w:r>
      <w:r w:rsidR="00724663" w:rsidRPr="007C73D7">
        <w:t>ce</w:t>
      </w:r>
      <w:r w:rsidR="004C07B6" w:rsidRPr="007C73D7">
        <w:t xml:space="preserve"> </w:t>
      </w:r>
      <w:r w:rsidRPr="007C73D7">
        <w:t>and</w:t>
      </w:r>
      <w:r w:rsidR="00724663" w:rsidRPr="007C73D7">
        <w:t xml:space="preserve"> </w:t>
      </w:r>
      <w:r w:rsidR="004C07B6" w:rsidRPr="007C73D7">
        <w:t>validity</w:t>
      </w:r>
      <w:r w:rsidR="00724663" w:rsidRPr="007C73D7">
        <w:t>.</w:t>
      </w:r>
      <w:r w:rsidR="001C7818" w:rsidRPr="007C73D7">
        <w:t xml:space="preserve"> </w:t>
      </w:r>
      <w:r w:rsidR="00890A21" w:rsidRPr="007C73D7">
        <w:t>The t</w:t>
      </w:r>
      <w:r w:rsidR="00724663" w:rsidRPr="007C73D7">
        <w:t>h</w:t>
      </w:r>
      <w:r w:rsidR="00572A29" w:rsidRPr="007C73D7">
        <w:t>ird-order Arellano-Bond Autocorrelation test</w:t>
      </w:r>
      <w:r w:rsidR="00890A21" w:rsidRPr="007C73D7">
        <w:t>s are</w:t>
      </w:r>
      <w:r w:rsidR="00572A29" w:rsidRPr="007C73D7">
        <w:t xml:space="preserve"> not rejected at a</w:t>
      </w:r>
      <w:r w:rsidR="00872E3D" w:rsidRPr="007C73D7">
        <w:t>ny</w:t>
      </w:r>
      <w:r w:rsidR="00572A29" w:rsidRPr="007C73D7">
        <w:t xml:space="preserve"> </w:t>
      </w:r>
      <w:r w:rsidR="00572A29" w:rsidRPr="007C73D7">
        <w:lastRenderedPageBreak/>
        <w:t xml:space="preserve">significance level in any of the </w:t>
      </w:r>
      <w:r w:rsidR="00A40D19" w:rsidRPr="007C73D7">
        <w:t>specifications</w:t>
      </w:r>
      <w:r w:rsidR="00572A29" w:rsidRPr="007C73D7">
        <w:t xml:space="preserve">, </w:t>
      </w:r>
      <w:r w:rsidR="00C372F8" w:rsidRPr="007C73D7">
        <w:t>suggesting</w:t>
      </w:r>
      <w:r w:rsidR="00004143" w:rsidRPr="007C73D7">
        <w:t xml:space="preserve"> that the lags are valid instruments</w:t>
      </w:r>
      <w:r w:rsidR="00572A29" w:rsidRPr="007C73D7">
        <w:t xml:space="preserve">. </w:t>
      </w:r>
      <w:r w:rsidR="00CA265F" w:rsidRPr="007C73D7">
        <w:t>Similarly, t</w:t>
      </w:r>
      <w:r w:rsidR="00572A29" w:rsidRPr="007C73D7">
        <w:t>he Hansen test of joint validity cannot be rejected at any significance level</w:t>
      </w:r>
      <w:r w:rsidR="00561779" w:rsidRPr="007C73D7">
        <w:t>.</w:t>
      </w:r>
    </w:p>
    <w:p w14:paraId="46CD8ABC" w14:textId="62174F52" w:rsidR="00E677A3" w:rsidRPr="007C73D7" w:rsidRDefault="00FE1D68" w:rsidP="00E02E4F">
      <w:r w:rsidRPr="007C73D7">
        <w:t xml:space="preserve">Under our preferred specification, the results of the </w:t>
      </w:r>
      <w:r w:rsidR="00D71177" w:rsidRPr="007C73D7">
        <w:t>System-GMM</w:t>
      </w:r>
      <w:r w:rsidRPr="007C73D7">
        <w:t xml:space="preserve"> estimation suggest that</w:t>
      </w:r>
      <w:r w:rsidR="00A651EC" w:rsidRPr="007C73D7">
        <w:t xml:space="preserve"> </w:t>
      </w:r>
      <w:r w:rsidRPr="007C73D7">
        <w:t xml:space="preserve">expansions in the level of </w:t>
      </w:r>
      <w:r w:rsidR="00A651EC" w:rsidRPr="007C73D7">
        <w:t>health expenditure le</w:t>
      </w:r>
      <w:r w:rsidRPr="007C73D7">
        <w:t>d</w:t>
      </w:r>
      <w:r w:rsidR="00A651EC" w:rsidRPr="007C73D7">
        <w:t xml:space="preserve"> to reductions in </w:t>
      </w:r>
      <w:r w:rsidR="008F3535" w:rsidRPr="007C73D7">
        <w:t>U5MR</w:t>
      </w:r>
      <w:r w:rsidRPr="007C73D7">
        <w:t xml:space="preserve"> in Indonesia (Column 1</w:t>
      </w:r>
      <w:r w:rsidR="00656E8D" w:rsidRPr="007C73D7">
        <w:t xml:space="preserve"> in </w:t>
      </w:r>
      <w:r w:rsidR="00005147" w:rsidRPr="007C73D7">
        <w:t>T</w:t>
      </w:r>
      <w:r w:rsidR="00656E8D" w:rsidRPr="007C73D7">
        <w:t xml:space="preserve">able </w:t>
      </w:r>
      <w:r w:rsidR="0010513A" w:rsidRPr="007C73D7">
        <w:t>2</w:t>
      </w:r>
      <w:r w:rsidRPr="007C73D7">
        <w:t>)</w:t>
      </w:r>
      <w:r w:rsidR="001C7818" w:rsidRPr="007C73D7">
        <w:t xml:space="preserve">. The </w:t>
      </w:r>
      <w:r w:rsidR="00BF68A7" w:rsidRPr="007C73D7">
        <w:t xml:space="preserve">semi-elasticities </w:t>
      </w:r>
      <w:r w:rsidRPr="007C73D7">
        <w:t xml:space="preserve">are similar across the four specifications and </w:t>
      </w:r>
      <w:r w:rsidR="00BF68A7" w:rsidRPr="007C73D7">
        <w:t>range from -0.01</w:t>
      </w:r>
      <w:r w:rsidR="006E229B" w:rsidRPr="007C73D7">
        <w:t>5</w:t>
      </w:r>
      <w:r w:rsidRPr="007C73D7">
        <w:t xml:space="preserve"> </w:t>
      </w:r>
      <w:r w:rsidR="00BF68A7" w:rsidRPr="007C73D7">
        <w:t>to -0.01</w:t>
      </w:r>
      <w:r w:rsidR="006E229B" w:rsidRPr="007C73D7">
        <w:t>7</w:t>
      </w:r>
      <w:r w:rsidR="00BF68A7" w:rsidRPr="007C73D7">
        <w:t xml:space="preserve"> (</w:t>
      </w:r>
      <w:r w:rsidR="00920E7D">
        <w:t>all</w:t>
      </w:r>
      <w:r w:rsidR="00DF205A" w:rsidRPr="007C73D7">
        <w:t xml:space="preserve"> </w:t>
      </w:r>
      <w:r w:rsidR="00BF68A7" w:rsidRPr="007C73D7">
        <w:t>at 5% level of significance)</w:t>
      </w:r>
      <w:r w:rsidRPr="007C73D7">
        <w:t>. Th</w:t>
      </w:r>
      <w:r w:rsidR="000A64A2" w:rsidRPr="007C73D7">
        <w:t xml:space="preserve">is result translates into a </w:t>
      </w:r>
      <w:r w:rsidR="00265863" w:rsidRPr="007C73D7">
        <w:t>health</w:t>
      </w:r>
      <w:r w:rsidR="00F8192A" w:rsidRPr="007C73D7">
        <w:t xml:space="preserve"> expenditure elasticity of U5MR of</w:t>
      </w:r>
      <w:r w:rsidR="00BD20CE" w:rsidRPr="007C73D7">
        <w:t xml:space="preserve"> -0.38</w:t>
      </w:r>
      <w:r w:rsidR="008D0225">
        <w:t xml:space="preserve"> under our preferred specification</w:t>
      </w:r>
      <w:r w:rsidR="00BD20CE" w:rsidRPr="007C73D7">
        <w:t xml:space="preserve"> (</w:t>
      </w:r>
      <w:r w:rsidR="00730C45" w:rsidRPr="007C73D7">
        <w:t xml:space="preserve">95% CI </w:t>
      </w:r>
      <w:r w:rsidR="00BD20CE" w:rsidRPr="007C73D7">
        <w:t>-0.76, 0.00)</w:t>
      </w:r>
      <w:r w:rsidR="00FD0C57" w:rsidRPr="007C73D7">
        <w:t>.</w:t>
      </w:r>
      <w:r w:rsidR="00004143" w:rsidRPr="007C73D7">
        <w:rPr>
          <w:rStyle w:val="FootnoteReference"/>
        </w:rPr>
        <w:footnoteReference w:id="10"/>
      </w:r>
      <w:r w:rsidR="00BF68A7" w:rsidRPr="007C73D7">
        <w:t xml:space="preserve"> </w:t>
      </w:r>
      <w:r w:rsidR="00EE2E4F" w:rsidRPr="007C73D7">
        <w:t xml:space="preserve">Given the average </w:t>
      </w:r>
      <w:r w:rsidR="00C14949" w:rsidRPr="007C73D7">
        <w:t xml:space="preserve">under-five </w:t>
      </w:r>
      <w:r w:rsidR="00EE2E4F" w:rsidRPr="007C73D7">
        <w:t xml:space="preserve">mortality rates in our study period, </w:t>
      </w:r>
      <w:r w:rsidR="00890A21" w:rsidRPr="007C73D7">
        <w:t>it follows that</w:t>
      </w:r>
      <w:r w:rsidR="00EE2E4F" w:rsidRPr="007C73D7">
        <w:t xml:space="preserve"> a 1% increase in health expenditure per capita </w:t>
      </w:r>
      <w:r w:rsidR="00612B99" w:rsidRPr="007C73D7">
        <w:t>reduce</w:t>
      </w:r>
      <w:r w:rsidR="00890A21" w:rsidRPr="007C73D7">
        <w:t xml:space="preserve">d </w:t>
      </w:r>
      <w:r w:rsidR="00612B99" w:rsidRPr="007C73D7">
        <w:t xml:space="preserve">the number </w:t>
      </w:r>
      <w:r w:rsidR="007B14F1" w:rsidRPr="007C73D7">
        <w:t xml:space="preserve">of </w:t>
      </w:r>
      <w:r w:rsidR="00C14949" w:rsidRPr="007C73D7">
        <w:t>deaths per 1,000 live births</w:t>
      </w:r>
      <w:r w:rsidR="00890A21" w:rsidRPr="007C73D7">
        <w:t xml:space="preserve"> from 44.5 to 44.3.</w:t>
      </w:r>
    </w:p>
    <w:p w14:paraId="536BFD4F" w14:textId="4BBA4F24" w:rsidR="5FEEE46A" w:rsidRPr="007C73D7" w:rsidRDefault="5FEEE46A">
      <w:r w:rsidRPr="007C73D7">
        <w:t xml:space="preserve">Following the steps outlined in </w:t>
      </w:r>
      <w:r w:rsidR="16AA4E79" w:rsidRPr="007C73D7">
        <w:t>S</w:t>
      </w:r>
      <w:r w:rsidRPr="007C73D7">
        <w:t>ection 2.3.</w:t>
      </w:r>
      <w:r w:rsidR="3CE08D56" w:rsidRPr="007C73D7">
        <w:t xml:space="preserve"> </w:t>
      </w:r>
      <w:r w:rsidRPr="007C73D7">
        <w:t xml:space="preserve">to obtain a cost per DALY averted from the estimated elasticities we find </w:t>
      </w:r>
      <w:r w:rsidR="163756C0" w:rsidRPr="007C73D7">
        <w:t xml:space="preserve">that </w:t>
      </w:r>
      <w:r w:rsidR="23FA97AF" w:rsidRPr="007C73D7">
        <w:t>t</w:t>
      </w:r>
      <w:r w:rsidR="47A00E3A" w:rsidRPr="007C73D7">
        <w:t>he</w:t>
      </w:r>
      <w:r w:rsidR="27EBD868" w:rsidRPr="007C73D7">
        <w:t xml:space="preserve"> rate at which the Indonesian healthcare system produces health</w:t>
      </w:r>
      <w:r w:rsidR="47A00E3A" w:rsidRPr="007C73D7">
        <w:t xml:space="preserve"> </w:t>
      </w:r>
      <w:r w:rsidR="27EBD868" w:rsidRPr="007C73D7">
        <w:t>is</w:t>
      </w:r>
      <w:r w:rsidR="38CB3215" w:rsidRPr="007C73D7">
        <w:t xml:space="preserve"> 2</w:t>
      </w:r>
      <w:r w:rsidR="163756C0" w:rsidRPr="007C73D7">
        <w:t>35</w:t>
      </w:r>
      <w:r w:rsidR="27EBD868" w:rsidRPr="007C73D7">
        <w:t xml:space="preserve"> (20</w:t>
      </w:r>
      <w:r w:rsidR="163756C0" w:rsidRPr="007C73D7">
        <w:t>19</w:t>
      </w:r>
      <w:r w:rsidR="27EBD868" w:rsidRPr="007C73D7">
        <w:t xml:space="preserve"> US$) per DALY averted, which </w:t>
      </w:r>
      <w:r w:rsidR="0BA75F1D" w:rsidRPr="007C73D7">
        <w:t xml:space="preserve">represents </w:t>
      </w:r>
      <w:r w:rsidR="27EBD868" w:rsidRPr="007C73D7">
        <w:t xml:space="preserve">6% of </w:t>
      </w:r>
      <w:r w:rsidR="0BA75F1D" w:rsidRPr="007C73D7">
        <w:t xml:space="preserve">Indonesia’s </w:t>
      </w:r>
      <w:r w:rsidR="002F593F">
        <w:t>gr</w:t>
      </w:r>
      <w:r w:rsidR="002F593F" w:rsidRPr="004B575C">
        <w:t xml:space="preserve">oss domestic product </w:t>
      </w:r>
      <w:r w:rsidR="002F593F">
        <w:t>(</w:t>
      </w:r>
      <w:r w:rsidR="27EBD868" w:rsidRPr="007C73D7">
        <w:t>GDP</w:t>
      </w:r>
      <w:r w:rsidR="002F593F">
        <w:t>)</w:t>
      </w:r>
      <w:r w:rsidR="27EBD868" w:rsidRPr="007C73D7">
        <w:t xml:space="preserve"> per capita.  </w:t>
      </w:r>
      <w:r w:rsidRPr="007C73D7">
        <w:t>The estimates</w:t>
      </w:r>
      <w:r w:rsidR="0AEEF451" w:rsidRPr="007C73D7">
        <w:t xml:space="preserve"> of cost per DALY averted </w:t>
      </w:r>
      <w:r w:rsidRPr="007C73D7">
        <w:t>range</w:t>
      </w:r>
      <w:r w:rsidR="0AEEF451" w:rsidRPr="007C73D7">
        <w:t xml:space="preserve"> 2</w:t>
      </w:r>
      <w:r w:rsidR="0B089762" w:rsidRPr="007C73D7">
        <w:t>35</w:t>
      </w:r>
      <w:r w:rsidR="0AEEF451" w:rsidRPr="007C73D7">
        <w:t xml:space="preserve"> to 2</w:t>
      </w:r>
      <w:r w:rsidR="0B089762" w:rsidRPr="007C73D7">
        <w:t>61</w:t>
      </w:r>
      <w:r w:rsidR="0AEEF451" w:rsidRPr="007C73D7">
        <w:t xml:space="preserve"> (201</w:t>
      </w:r>
      <w:r w:rsidR="0B089762" w:rsidRPr="007C73D7">
        <w:t>9</w:t>
      </w:r>
      <w:r w:rsidR="0AEEF451" w:rsidRPr="007C73D7">
        <w:t xml:space="preserve"> US$)</w:t>
      </w:r>
      <w:r w:rsidRPr="007C73D7">
        <w:t xml:space="preserve"> across the four model specifications (see Table 2 and Sections 3.2 and 3.3. for results from sensitivity analyses around the assumptions on econometric analysis and calculation of cost per DALY averted from the elasticities).</w:t>
      </w:r>
    </w:p>
    <w:p w14:paraId="32344603" w14:textId="67ED22B5" w:rsidR="00BD20CE" w:rsidRPr="007C73D7" w:rsidRDefault="00BD20CE" w:rsidP="00F446FB">
      <w:r w:rsidRPr="007C73D7">
        <w:rPr>
          <w:b/>
        </w:rPr>
        <w:t>3.2. Robustness checks</w:t>
      </w:r>
      <w:r w:rsidR="00890A21" w:rsidRPr="007C73D7">
        <w:rPr>
          <w:b/>
        </w:rPr>
        <w:t xml:space="preserve"> in the econometric analysis</w:t>
      </w:r>
    </w:p>
    <w:p w14:paraId="138D0207" w14:textId="760EFC96" w:rsidR="00302C5D" w:rsidRPr="007C73D7" w:rsidRDefault="0A13EBC6" w:rsidP="00E02E4F">
      <w:r w:rsidRPr="007C73D7">
        <w:t>W</w:t>
      </w:r>
      <w:r w:rsidR="46A0ADB7" w:rsidRPr="007C73D7">
        <w:t xml:space="preserve">e conduct a series of checks to assess the </w:t>
      </w:r>
      <w:r w:rsidR="4BA1B5E3" w:rsidRPr="007C73D7">
        <w:t xml:space="preserve">robustness </w:t>
      </w:r>
      <w:r w:rsidR="46A0ADB7" w:rsidRPr="007C73D7">
        <w:t xml:space="preserve">of the results to </w:t>
      </w:r>
      <w:r w:rsidR="4BA1B5E3" w:rsidRPr="007C73D7">
        <w:t xml:space="preserve">relaxing some of </w:t>
      </w:r>
      <w:r w:rsidR="46A0ADB7" w:rsidRPr="007C73D7">
        <w:t>the</w:t>
      </w:r>
      <w:r w:rsidR="51A83448" w:rsidRPr="007C73D7">
        <w:t xml:space="preserve"> </w:t>
      </w:r>
      <w:r w:rsidR="46A0ADB7" w:rsidRPr="007C73D7">
        <w:t xml:space="preserve">assumptions made in the study </w:t>
      </w:r>
      <w:r w:rsidR="51A83448" w:rsidRPr="007C73D7">
        <w:t xml:space="preserve">(see Table A.1 in </w:t>
      </w:r>
      <w:r w:rsidR="5BD106B4" w:rsidRPr="007C73D7">
        <w:t>Supplementary Materials</w:t>
      </w:r>
      <w:r w:rsidR="51A83448" w:rsidRPr="007C73D7">
        <w:t>)</w:t>
      </w:r>
      <w:r w:rsidR="46A0ADB7" w:rsidRPr="007C73D7">
        <w:t xml:space="preserve">. </w:t>
      </w:r>
      <w:r w:rsidRPr="007C73D7">
        <w:t>We find that</w:t>
      </w:r>
      <w:r w:rsidR="3DAA0548" w:rsidRPr="007C73D7">
        <w:t xml:space="preserve"> alternative </w:t>
      </w:r>
      <w:r w:rsidRPr="007C73D7">
        <w:t>methods to handle</w:t>
      </w:r>
      <w:r w:rsidR="3DAA0548" w:rsidRPr="007C73D7">
        <w:t xml:space="preserve"> endogeneity</w:t>
      </w:r>
      <w:r w:rsidRPr="007C73D7">
        <w:rPr>
          <w:rFonts w:eastAsiaTheme="minorEastAsia"/>
        </w:rPr>
        <w:t xml:space="preserve"> result in</w:t>
      </w:r>
      <w:r w:rsidR="601E247A" w:rsidRPr="007C73D7">
        <w:rPr>
          <w:rFonts w:eastAsiaTheme="minorEastAsia"/>
        </w:rPr>
        <w:t xml:space="preserve"> similar estimates </w:t>
      </w:r>
      <w:r w:rsidRPr="007C73D7">
        <w:rPr>
          <w:rFonts w:eastAsiaTheme="minorEastAsia"/>
        </w:rPr>
        <w:t>of the marginal productivity</w:t>
      </w:r>
      <w:r w:rsidR="0C890D1C" w:rsidRPr="007C73D7">
        <w:rPr>
          <w:rFonts w:eastAsiaTheme="minorEastAsia"/>
        </w:rPr>
        <w:t xml:space="preserve"> and opportunity cost</w:t>
      </w:r>
      <w:r w:rsidR="601E247A" w:rsidRPr="007C73D7">
        <w:rPr>
          <w:rFonts w:eastAsiaTheme="minorEastAsia"/>
        </w:rPr>
        <w:t>.</w:t>
      </w:r>
      <w:r w:rsidRPr="007C73D7">
        <w:rPr>
          <w:rFonts w:eastAsiaTheme="minorEastAsia"/>
        </w:rPr>
        <w:t xml:space="preserve"> </w:t>
      </w:r>
      <w:r w:rsidRPr="007C73D7">
        <w:t>Our</w:t>
      </w:r>
      <w:r w:rsidR="3DAA0548" w:rsidRPr="007C73D7">
        <w:t xml:space="preserve"> results appear robust</w:t>
      </w:r>
      <w:r w:rsidR="4E76E05E" w:rsidRPr="007C73D7">
        <w:t xml:space="preserve"> to the exclusion of outliers</w:t>
      </w:r>
      <w:r w:rsidRPr="007C73D7">
        <w:t xml:space="preserve">. </w:t>
      </w:r>
      <w:r w:rsidR="46A0ADB7" w:rsidRPr="007C73D7">
        <w:t>U</w:t>
      </w:r>
      <w:r w:rsidR="4E76E05E" w:rsidRPr="007C73D7">
        <w:t>sing a reduced dataset that excludes the</w:t>
      </w:r>
      <w:r w:rsidR="23FA97AF" w:rsidRPr="007C73D7">
        <w:t xml:space="preserve"> eastern-most provinces of Papua and Papua Barat</w:t>
      </w:r>
      <w:r w:rsidR="4E76E05E" w:rsidRPr="007C73D7">
        <w:t xml:space="preserve"> results in similar estimates to those </w:t>
      </w:r>
      <w:r w:rsidR="34A22C97" w:rsidRPr="007C73D7">
        <w:t xml:space="preserve">in </w:t>
      </w:r>
      <w:r w:rsidR="16AA4E79" w:rsidRPr="007C73D7">
        <w:t>the main analysis</w:t>
      </w:r>
      <w:r w:rsidR="06291884" w:rsidRPr="007C73D7">
        <w:t>.</w:t>
      </w:r>
      <w:r w:rsidR="269D7471" w:rsidRPr="007C73D7">
        <w:t xml:space="preserve"> </w:t>
      </w:r>
      <w:r w:rsidR="4BA1B5E3" w:rsidRPr="007C73D7">
        <w:t>T</w:t>
      </w:r>
      <w:r w:rsidR="4E76E05E" w:rsidRPr="007C73D7">
        <w:t xml:space="preserve">he </w:t>
      </w:r>
      <w:r w:rsidR="1997E1C7" w:rsidRPr="007C73D7">
        <w:t xml:space="preserve">results </w:t>
      </w:r>
      <w:r w:rsidR="6609536A" w:rsidRPr="007C73D7">
        <w:t xml:space="preserve">also </w:t>
      </w:r>
      <w:r w:rsidR="1997E1C7" w:rsidRPr="007C73D7">
        <w:t xml:space="preserve">appear robust to </w:t>
      </w:r>
      <w:r w:rsidR="0FFB2B66" w:rsidRPr="007C73D7">
        <w:t>different</w:t>
      </w:r>
      <w:r w:rsidR="1F7851A7" w:rsidRPr="007C73D7">
        <w:t xml:space="preserve"> assumptions </w:t>
      </w:r>
      <w:r w:rsidR="34A22C97" w:rsidRPr="007C73D7">
        <w:t>about</w:t>
      </w:r>
      <w:r w:rsidR="1F7851A7" w:rsidRPr="007C73D7">
        <w:t xml:space="preserve"> the lag structure </w:t>
      </w:r>
      <w:r w:rsidR="0FFB2B66" w:rsidRPr="007C73D7">
        <w:t>of the health production function</w:t>
      </w:r>
      <w:r w:rsidR="1997E1C7" w:rsidRPr="007C73D7">
        <w:t xml:space="preserve">. </w:t>
      </w:r>
    </w:p>
    <w:p w14:paraId="2D7BF7BB" w14:textId="006D6DB6" w:rsidR="00D25018" w:rsidRPr="007C73D7" w:rsidRDefault="00AC5BB9" w:rsidP="00E02E4F">
      <w:r w:rsidRPr="007C73D7">
        <w:lastRenderedPageBreak/>
        <w:t>As expected, the results under the IMR specification suggest that infant deaths are less sensitive to changes in the current level of spending</w:t>
      </w:r>
      <w:r w:rsidR="004171E7" w:rsidRPr="007C73D7">
        <w:t xml:space="preserve">. </w:t>
      </w:r>
      <w:r w:rsidR="00F03C29" w:rsidRPr="007C73D7">
        <w:t>These results are consistent with the findings by Filmer and Pritchett</w:t>
      </w:r>
      <w:r w:rsidR="006D0BBA" w:rsidRPr="007C73D7">
        <w:t xml:space="preserve"> </w:t>
      </w:r>
      <w:r w:rsidR="006D0BBA" w:rsidRPr="007C73D7">
        <w:fldChar w:fldCharType="begin" w:fldLock="1"/>
      </w:r>
      <w:r w:rsidR="007D1F2A" w:rsidRPr="007C73D7">
        <w:instrText>ADDIN CSL_CITATION {"citationItems":[{"id":"ITEM-1","itemData":{"DOI":"10.1016/S0277-9536(99)00150-1","ISSN":"02779536","PMID":"10509822","abstract":"We use cross-national data to examine the impact of both public spending on health and non-health factors (economic, educational, cultural) in determining child (under-5) and infant mortality. There are two striking findings. First, the impact of public spending on health is quite small, with a coefficient that is typically both numerically small and statistically insignificant at conventional levels. Independent variation in public spending explains less than one-seventh of 1% of the observed differences in mortality across countries. The estimates imply that for a developing country at average income levels the actual public spending per child death averted is $50,000-100,000. This stands in marked contrast to the typical range of estimates of the cost effectiveness of medical interventions to avert the largest causes of child mortality in developing countries, which is $10-4000. We outline three possible explanations for this divergence of the actual and apparent potential of public spending. Second, whereas health spending is not a powerful determinant of mortality, 95% of cross-national variation in mortality can be explained by a country's income per capita, inequality of income distribution, extent of female education, level of ethnic fragmentation, and predominant religion.","author":[{"dropping-particle":"","family":"Filmer","given":"Deon","non-dropping-particle":"","parse-names":false,"suffix":""},{"dropping-particle":"","family":"Pritchett","given":"Lant","non-dropping-particle":"","parse-names":false,"suffix":""}],"container-title":"Social Science and Medicine","id":"ITEM-1","issue":"10","issued":{"date-parts":[["1999"]]},"page":"1309-1323","title":"The impact of public spending on health: Does money matter?","type":"article-journal","volume":"49"},"uris":["http://www.mendeley.com/documents/?uuid=67e80e74-8683-4b5c-aadb-4df325ff3f8e"]}],"mendeley":{"formattedCitation":"[5]","plainTextFormattedCitation":"[5]","previouslyFormattedCitation":"[5]"},"properties":{"noteIndex":0},"schema":"https://github.com/citation-style-language/schema/raw/master/csl-citation.json"}</w:instrText>
      </w:r>
      <w:r w:rsidR="006D0BBA" w:rsidRPr="007C73D7">
        <w:fldChar w:fldCharType="separate"/>
      </w:r>
      <w:r w:rsidR="003F634B" w:rsidRPr="007C73D7">
        <w:rPr>
          <w:noProof/>
        </w:rPr>
        <w:t>[5]</w:t>
      </w:r>
      <w:r w:rsidR="006D0BBA" w:rsidRPr="007C73D7">
        <w:fldChar w:fldCharType="end"/>
      </w:r>
      <w:r w:rsidR="00F03C29" w:rsidRPr="007C73D7">
        <w:t xml:space="preserve"> who also looked at these two age groups and found similar results</w:t>
      </w:r>
      <w:r w:rsidR="00B96D87" w:rsidRPr="007C73D7">
        <w:rPr>
          <w:rStyle w:val="FootnoteReference"/>
        </w:rPr>
        <w:footnoteReference w:id="11"/>
      </w:r>
      <w:r w:rsidR="008A3DD7" w:rsidRPr="007C73D7">
        <w:t>.</w:t>
      </w:r>
      <w:r w:rsidR="004B1C1A" w:rsidRPr="007C73D7">
        <w:t xml:space="preserve"> </w:t>
      </w:r>
      <w:r w:rsidR="00405CE9" w:rsidRPr="007C73D7">
        <w:t>S</w:t>
      </w:r>
      <w:r w:rsidR="008A3DD7" w:rsidRPr="007C73D7">
        <w:t>ince these mortality rates overlap in their age range, our results</w:t>
      </w:r>
      <w:r w:rsidR="00405CE9" w:rsidRPr="007C73D7">
        <w:t xml:space="preserve"> appear to</w:t>
      </w:r>
      <w:r w:rsidR="008A3DD7" w:rsidRPr="007C73D7">
        <w:t xml:space="preserve"> suggest that reductions in infant mortality explain a significant proportion of the reduction in under-five mortality</w:t>
      </w:r>
      <w:r w:rsidR="00F028D4" w:rsidRPr="007C73D7">
        <w:t xml:space="preserve"> in Indonesia</w:t>
      </w:r>
      <w:r w:rsidR="008A3DD7" w:rsidRPr="007C73D7">
        <w:t>.</w:t>
      </w:r>
    </w:p>
    <w:p w14:paraId="24F68D79" w14:textId="51E8E982" w:rsidR="0038760D" w:rsidRPr="007C73D7" w:rsidRDefault="00BD20CE" w:rsidP="6DB014EC">
      <w:pPr>
        <w:rPr>
          <w:rFonts w:ascii="Calibri" w:eastAsia="Calibri" w:hAnsi="Calibri" w:cs="Calibri"/>
        </w:rPr>
      </w:pPr>
      <w:r w:rsidRPr="007C73D7">
        <w:rPr>
          <w:b/>
        </w:rPr>
        <w:t>3.</w:t>
      </w:r>
      <w:r w:rsidR="53A48461" w:rsidRPr="007C73D7">
        <w:rPr>
          <w:b/>
          <w:bCs/>
        </w:rPr>
        <w:t>3</w:t>
      </w:r>
      <w:r w:rsidRPr="007C73D7">
        <w:rPr>
          <w:b/>
        </w:rPr>
        <w:t xml:space="preserve">. </w:t>
      </w:r>
      <w:r w:rsidR="6DB014EC" w:rsidRPr="007C73D7">
        <w:rPr>
          <w:rFonts w:ascii="Calibri" w:eastAsia="Calibri" w:hAnsi="Calibri" w:cs="Calibri"/>
          <w:b/>
        </w:rPr>
        <w:t>Sensitivity analysis for the calculation of cost per DALY averted</w:t>
      </w:r>
    </w:p>
    <w:p w14:paraId="55B5BBA1" w14:textId="0893964F" w:rsidR="0038760D" w:rsidRPr="007C73D7" w:rsidRDefault="0DB2B300" w:rsidP="18112CD4">
      <w:pPr>
        <w:rPr>
          <w:b/>
          <w:bCs/>
        </w:rPr>
      </w:pPr>
      <w:r w:rsidRPr="007C73D7">
        <w:t>Assuming no effect on morbidity results in a cost per DALY averted of $3</w:t>
      </w:r>
      <w:r w:rsidR="343A440F" w:rsidRPr="007C73D7">
        <w:t>35</w:t>
      </w:r>
      <w:r w:rsidRPr="007C73D7">
        <w:t xml:space="preserve"> (8% of GDP pc) while assuming the effect on morbidity is double the effect on mortality results in a cost per DALY averted of $1</w:t>
      </w:r>
      <w:r w:rsidR="5CF92AD7" w:rsidRPr="007C73D7">
        <w:t>80</w:t>
      </w:r>
      <w:r w:rsidRPr="007C73D7">
        <w:t xml:space="preserve"> (4% of GDP pc). Assuming, on one extreme, that expenditure only effects health among under-5s results in a cost per DALY averted</w:t>
      </w:r>
      <w:r w:rsidR="20E1BE9D" w:rsidRPr="007C73D7">
        <w:t xml:space="preserve"> </w:t>
      </w:r>
      <w:r w:rsidRPr="007C73D7">
        <w:t>of $1,</w:t>
      </w:r>
      <w:r w:rsidR="55342A03" w:rsidRPr="007C73D7">
        <w:t>276</w:t>
      </w:r>
      <w:r w:rsidRPr="007C73D7">
        <w:t xml:space="preserve"> (31% of GDP pc). Another possibility is that expenditure has double the effect on the DALY burden of disease in the population over age 5 compared to the effect is has in the population under-5. This results in a </w:t>
      </w:r>
      <w:r w:rsidR="3A200579" w:rsidRPr="007C73D7">
        <w:t xml:space="preserve">cost per DALY </w:t>
      </w:r>
      <w:r w:rsidR="7561C2B0" w:rsidRPr="007C73D7">
        <w:t>averted</w:t>
      </w:r>
      <w:r w:rsidRPr="007C73D7">
        <w:t xml:space="preserve"> of $1</w:t>
      </w:r>
      <w:r w:rsidR="487F271A" w:rsidRPr="007C73D7">
        <w:t>2</w:t>
      </w:r>
      <w:r w:rsidR="7423B42F" w:rsidRPr="007C73D7">
        <w:t xml:space="preserve">9 </w:t>
      </w:r>
      <w:r w:rsidRPr="007C73D7">
        <w:t xml:space="preserve">(3% of GDP pc). Full set of results can be found in the Supplementary Materials. In the scenario where we </w:t>
      </w:r>
      <w:r w:rsidRPr="007C73D7">
        <w:rPr>
          <w:rFonts w:ascii="Calibri" w:eastAsia="Calibri" w:hAnsi="Calibri" w:cs="Calibri"/>
        </w:rPr>
        <w:t>assume zero effect on morbidity across the population and zero effect on mortality among the population over 5,</w:t>
      </w:r>
      <w:r w:rsidRPr="007C73D7">
        <w:t xml:space="preserve"> </w:t>
      </w:r>
      <w:r w:rsidR="6D9AA161" w:rsidRPr="007C73D7">
        <w:t>we find that cost per DALY averted would be $1,</w:t>
      </w:r>
      <w:r w:rsidR="246028A7" w:rsidRPr="007C73D7">
        <w:t>350</w:t>
      </w:r>
      <w:r w:rsidR="6D9AA161" w:rsidRPr="007C73D7">
        <w:t xml:space="preserve"> (33% of GDP pc). Altogether, the sensitivity analyses provide a range of possible cost per DALY averted values, from </w:t>
      </w:r>
      <w:r w:rsidRPr="007C73D7">
        <w:t>$1</w:t>
      </w:r>
      <w:r w:rsidR="487F271A" w:rsidRPr="007C73D7">
        <w:t>2</w:t>
      </w:r>
      <w:r w:rsidR="7423B42F" w:rsidRPr="007C73D7">
        <w:t xml:space="preserve">9 </w:t>
      </w:r>
      <w:r w:rsidRPr="007C73D7">
        <w:t xml:space="preserve">(3% of GDP pc) to </w:t>
      </w:r>
      <w:r w:rsidR="6D9AA161" w:rsidRPr="007C73D7">
        <w:t>$1,</w:t>
      </w:r>
      <w:r w:rsidR="246028A7" w:rsidRPr="007C73D7">
        <w:t>350</w:t>
      </w:r>
      <w:r w:rsidR="6D9AA161" w:rsidRPr="007C73D7">
        <w:t xml:space="preserve"> (33% of GDP pc).</w:t>
      </w:r>
    </w:p>
    <w:p w14:paraId="624978CE" w14:textId="3784C824" w:rsidR="0038760D" w:rsidRPr="007C73D7" w:rsidRDefault="6C16D38E" w:rsidP="18112CD4">
      <w:pPr>
        <w:rPr>
          <w:b/>
          <w:bCs/>
        </w:rPr>
      </w:pPr>
      <w:bookmarkStart w:id="5" w:name="_Toc524694447"/>
      <w:bookmarkStart w:id="6" w:name="_Toc524694496"/>
      <w:r w:rsidRPr="007C73D7">
        <w:rPr>
          <w:b/>
          <w:bCs/>
        </w:rPr>
        <w:t>4</w:t>
      </w:r>
      <w:r w:rsidR="164D7F4A" w:rsidRPr="007C73D7">
        <w:rPr>
          <w:b/>
          <w:bCs/>
        </w:rPr>
        <w:t xml:space="preserve">. </w:t>
      </w:r>
      <w:bookmarkEnd w:id="5"/>
      <w:bookmarkEnd w:id="6"/>
      <w:r w:rsidR="25F07F65" w:rsidRPr="007C73D7">
        <w:rPr>
          <w:b/>
          <w:bCs/>
        </w:rPr>
        <w:t>D</w:t>
      </w:r>
      <w:r w:rsidR="76207B3E" w:rsidRPr="007C73D7">
        <w:rPr>
          <w:b/>
          <w:bCs/>
        </w:rPr>
        <w:t>iscussion</w:t>
      </w:r>
    </w:p>
    <w:p w14:paraId="6A586A18" w14:textId="374F0D1E" w:rsidR="0038760D" w:rsidRPr="007C73D7" w:rsidRDefault="311B1EC6" w:rsidP="18112CD4">
      <w:pPr>
        <w:rPr>
          <w:rFonts w:eastAsiaTheme="minorEastAsia"/>
        </w:rPr>
      </w:pPr>
      <w:r w:rsidRPr="007C73D7">
        <w:rPr>
          <w:rFonts w:eastAsia="Times New Roman"/>
          <w:color w:val="000000" w:themeColor="text1"/>
          <w:lang w:eastAsia="en-GB"/>
        </w:rPr>
        <w:t xml:space="preserve">This study adds to previous attempts to estimate the marginal productivity of health spending using </w:t>
      </w:r>
      <w:r w:rsidR="1BDBDC1B" w:rsidRPr="007C73D7">
        <w:rPr>
          <w:rFonts w:eastAsia="Times New Roman"/>
          <w:color w:val="000000" w:themeColor="text1"/>
          <w:lang w:eastAsia="en-GB"/>
        </w:rPr>
        <w:t>subnational</w:t>
      </w:r>
      <w:r w:rsidRPr="007C73D7">
        <w:rPr>
          <w:rFonts w:eastAsia="Times New Roman"/>
          <w:color w:val="000000" w:themeColor="text1"/>
          <w:lang w:eastAsia="en-GB"/>
        </w:rPr>
        <w:t xml:space="preserve"> data</w:t>
      </w:r>
      <w:r w:rsidR="27EBD868" w:rsidRPr="007C73D7">
        <w:rPr>
          <w:rFonts w:eastAsia="Times New Roman"/>
          <w:color w:val="000000" w:themeColor="text1"/>
          <w:lang w:eastAsia="en-GB"/>
        </w:rPr>
        <w:t xml:space="preserve"> by estimating the effect of </w:t>
      </w:r>
      <w:r w:rsidR="0B3A3595" w:rsidRPr="007C73D7">
        <w:rPr>
          <w:rFonts w:eastAsia="Times New Roman"/>
          <w:color w:val="000000" w:themeColor="text1"/>
          <w:lang w:eastAsia="en-GB"/>
        </w:rPr>
        <w:t>ex</w:t>
      </w:r>
      <w:r w:rsidR="014C21F6" w:rsidRPr="007C73D7">
        <w:rPr>
          <w:rFonts w:eastAsia="Times New Roman"/>
          <w:color w:val="000000" w:themeColor="text1"/>
          <w:lang w:eastAsia="en-GB"/>
        </w:rPr>
        <w:t>pansions in the level of spending</w:t>
      </w:r>
      <w:r w:rsidR="27EBD868" w:rsidRPr="007C73D7">
        <w:rPr>
          <w:rFonts w:eastAsia="Times New Roman"/>
          <w:color w:val="000000" w:themeColor="text1"/>
          <w:lang w:eastAsia="en-GB"/>
        </w:rPr>
        <w:t xml:space="preserve"> on relevant aggregated indicators of population </w:t>
      </w:r>
      <w:r w:rsidR="0B3A3595" w:rsidRPr="007C73D7">
        <w:rPr>
          <w:rFonts w:eastAsia="Times New Roman"/>
          <w:color w:val="000000" w:themeColor="text1"/>
          <w:lang w:eastAsia="en-GB"/>
        </w:rPr>
        <w:t xml:space="preserve">health </w:t>
      </w:r>
      <w:r w:rsidR="014C21F6" w:rsidRPr="007C73D7">
        <w:rPr>
          <w:rFonts w:eastAsia="Times New Roman"/>
          <w:color w:val="000000" w:themeColor="text1"/>
          <w:lang w:eastAsia="en-GB"/>
        </w:rPr>
        <w:t>in Indonesia</w:t>
      </w:r>
      <w:r w:rsidR="3CB30CD7" w:rsidRPr="007C73D7">
        <w:rPr>
          <w:rFonts w:eastAsia="Times New Roman"/>
          <w:color w:val="000000" w:themeColor="text1"/>
          <w:lang w:eastAsia="en-GB"/>
        </w:rPr>
        <w:t>.</w:t>
      </w:r>
      <w:r w:rsidR="74DEB7EC" w:rsidRPr="007C73D7">
        <w:rPr>
          <w:rFonts w:eastAsia="Times New Roman"/>
          <w:color w:val="000000" w:themeColor="text1"/>
          <w:lang w:eastAsia="en-GB"/>
        </w:rPr>
        <w:t xml:space="preserve"> To </w:t>
      </w:r>
      <w:r w:rsidR="0BA75F1D" w:rsidRPr="007C73D7">
        <w:rPr>
          <w:rFonts w:eastAsia="Times New Roman"/>
          <w:color w:val="000000" w:themeColor="text1"/>
          <w:lang w:eastAsia="en-GB"/>
        </w:rPr>
        <w:t xml:space="preserve">arrive at this </w:t>
      </w:r>
      <w:r w:rsidR="2D43CA71" w:rsidRPr="007C73D7">
        <w:rPr>
          <w:rFonts w:eastAsia="Times New Roman"/>
          <w:color w:val="000000" w:themeColor="text1"/>
          <w:lang w:eastAsia="en-GB"/>
        </w:rPr>
        <w:t>value</w:t>
      </w:r>
      <w:r w:rsidR="74DEB7EC" w:rsidRPr="007C73D7">
        <w:rPr>
          <w:rFonts w:eastAsia="Times New Roman"/>
          <w:color w:val="000000" w:themeColor="text1"/>
          <w:lang w:eastAsia="en-GB"/>
        </w:rPr>
        <w:t>, w</w:t>
      </w:r>
      <w:r w:rsidRPr="007C73D7">
        <w:rPr>
          <w:rFonts w:eastAsia="Times New Roman"/>
          <w:color w:val="000000" w:themeColor="text1"/>
          <w:lang w:eastAsia="en-GB"/>
        </w:rPr>
        <w:t xml:space="preserve">e </w:t>
      </w:r>
      <w:r w:rsidR="34A22C97" w:rsidRPr="007C73D7">
        <w:rPr>
          <w:rFonts w:eastAsia="Times New Roman"/>
          <w:color w:val="000000" w:themeColor="text1"/>
          <w:lang w:eastAsia="en-GB"/>
        </w:rPr>
        <w:t>estimated the</w:t>
      </w:r>
      <w:r w:rsidR="0BA75F1D" w:rsidRPr="007C73D7">
        <w:rPr>
          <w:rFonts w:eastAsia="Times New Roman"/>
          <w:color w:val="000000" w:themeColor="text1"/>
          <w:lang w:eastAsia="en-GB"/>
        </w:rPr>
        <w:t xml:space="preserve"> </w:t>
      </w:r>
      <w:r w:rsidRPr="007C73D7">
        <w:rPr>
          <w:rFonts w:eastAsia="Times New Roman"/>
          <w:color w:val="000000" w:themeColor="text1"/>
          <w:lang w:eastAsia="en-GB"/>
        </w:rPr>
        <w:t xml:space="preserve">impact of fluctuations in the level of spending on Indonesia’s </w:t>
      </w:r>
      <w:r w:rsidR="08F8F03E" w:rsidRPr="007C73D7">
        <w:rPr>
          <w:rFonts w:eastAsia="Times New Roman"/>
          <w:color w:val="000000" w:themeColor="text1"/>
          <w:lang w:eastAsia="en-GB"/>
        </w:rPr>
        <w:t>U5MR</w:t>
      </w:r>
      <w:r w:rsidRPr="007C73D7">
        <w:rPr>
          <w:rFonts w:eastAsia="Times New Roman"/>
          <w:color w:val="000000" w:themeColor="text1"/>
          <w:lang w:eastAsia="en-GB"/>
        </w:rPr>
        <w:t xml:space="preserve"> using </w:t>
      </w:r>
      <w:r w:rsidR="27EBD868" w:rsidRPr="007C73D7">
        <w:rPr>
          <w:rFonts w:eastAsia="Times New Roman"/>
          <w:color w:val="000000" w:themeColor="text1"/>
          <w:lang w:eastAsia="en-GB"/>
        </w:rPr>
        <w:t>data from</w:t>
      </w:r>
      <w:r w:rsidRPr="007C73D7">
        <w:rPr>
          <w:rFonts w:eastAsia="Times New Roman"/>
          <w:color w:val="000000" w:themeColor="text1"/>
          <w:lang w:eastAsia="en-GB"/>
        </w:rPr>
        <w:t xml:space="preserve"> 33 Indonesian provinces over </w:t>
      </w:r>
      <w:r w:rsidR="34A22C97" w:rsidRPr="007C73D7">
        <w:rPr>
          <w:rFonts w:eastAsia="Times New Roman"/>
          <w:color w:val="000000" w:themeColor="text1"/>
          <w:lang w:eastAsia="en-GB"/>
        </w:rPr>
        <w:t>a period of gradual expansion in the level of spending undertaken by Indonesia’s provinces and districts, which</w:t>
      </w:r>
      <w:r w:rsidRPr="007C73D7">
        <w:rPr>
          <w:rFonts w:eastAsia="Times New Roman"/>
          <w:color w:val="000000" w:themeColor="text1"/>
          <w:lang w:eastAsia="en-GB"/>
        </w:rPr>
        <w:t xml:space="preserve"> </w:t>
      </w:r>
      <w:r w:rsidR="0B3A3595" w:rsidRPr="007C73D7">
        <w:rPr>
          <w:rFonts w:eastAsia="Times New Roman"/>
          <w:color w:val="000000" w:themeColor="text1"/>
          <w:lang w:eastAsia="en-GB"/>
        </w:rPr>
        <w:t>we</w:t>
      </w:r>
      <w:r w:rsidR="34A22C97" w:rsidRPr="007C73D7">
        <w:rPr>
          <w:rFonts w:eastAsia="Times New Roman"/>
          <w:color w:val="000000" w:themeColor="text1"/>
          <w:lang w:eastAsia="en-GB"/>
        </w:rPr>
        <w:t xml:space="preserve"> then</w:t>
      </w:r>
      <w:r w:rsidR="0B3A3595" w:rsidRPr="007C73D7">
        <w:rPr>
          <w:rFonts w:eastAsia="Times New Roman"/>
          <w:color w:val="000000" w:themeColor="text1"/>
          <w:lang w:eastAsia="en-GB"/>
        </w:rPr>
        <w:t xml:space="preserve"> </w:t>
      </w:r>
      <w:r w:rsidR="34A22C97" w:rsidRPr="007C73D7">
        <w:rPr>
          <w:color w:val="000000" w:themeColor="text1"/>
        </w:rPr>
        <w:t xml:space="preserve">expressed in terms of the cost </w:t>
      </w:r>
      <w:r w:rsidR="2D43CA71" w:rsidRPr="007C73D7">
        <w:rPr>
          <w:color w:val="000000" w:themeColor="text1"/>
        </w:rPr>
        <w:t>to</w:t>
      </w:r>
      <w:r w:rsidR="34A22C97" w:rsidRPr="007C73D7">
        <w:rPr>
          <w:color w:val="000000" w:themeColor="text1"/>
        </w:rPr>
        <w:t xml:space="preserve"> the Indonesian healthcare system of averting one DALY</w:t>
      </w:r>
      <w:r w:rsidRPr="007C73D7">
        <w:rPr>
          <w:rFonts w:eastAsia="Times New Roman"/>
          <w:color w:val="000000" w:themeColor="text1"/>
          <w:lang w:eastAsia="en-GB"/>
        </w:rPr>
        <w:t xml:space="preserve">. </w:t>
      </w:r>
      <w:r w:rsidR="5E200D7E" w:rsidRPr="007C73D7">
        <w:rPr>
          <w:color w:val="000000" w:themeColor="text1"/>
        </w:rPr>
        <w:t>Our results</w:t>
      </w:r>
      <w:r w:rsidR="0B3A3595" w:rsidRPr="007C73D7">
        <w:rPr>
          <w:color w:val="000000" w:themeColor="text1"/>
        </w:rPr>
        <w:t xml:space="preserve"> suggest</w:t>
      </w:r>
      <w:r w:rsidRPr="007C73D7">
        <w:rPr>
          <w:color w:val="000000" w:themeColor="text1"/>
        </w:rPr>
        <w:t xml:space="preserve"> </w:t>
      </w:r>
      <w:r w:rsidRPr="007C73D7">
        <w:rPr>
          <w:color w:val="000000" w:themeColor="text1"/>
        </w:rPr>
        <w:lastRenderedPageBreak/>
        <w:t>that a 1% increase in the level of spending reduced U5MR by 0.38% (95% CI 0.00</w:t>
      </w:r>
      <w:r w:rsidR="5A54E729" w:rsidRPr="007C73D7">
        <w:rPr>
          <w:color w:val="000000" w:themeColor="text1"/>
        </w:rPr>
        <w:t>-</w:t>
      </w:r>
      <w:r w:rsidRPr="007C73D7">
        <w:rPr>
          <w:color w:val="000000" w:themeColor="text1"/>
        </w:rPr>
        <w:t>0.76)</w:t>
      </w:r>
      <w:r w:rsidR="5E200D7E" w:rsidRPr="007C73D7">
        <w:rPr>
          <w:color w:val="000000" w:themeColor="text1"/>
        </w:rPr>
        <w:t xml:space="preserve">, which translates into an </w:t>
      </w:r>
      <w:r w:rsidR="0B3A3595" w:rsidRPr="007C73D7">
        <w:rPr>
          <w:color w:val="000000" w:themeColor="text1"/>
        </w:rPr>
        <w:t xml:space="preserve">estimated cost </w:t>
      </w:r>
      <w:r w:rsidR="34A22C97" w:rsidRPr="007C73D7">
        <w:rPr>
          <w:color w:val="000000" w:themeColor="text1"/>
        </w:rPr>
        <w:t xml:space="preserve">of averting one DALY </w:t>
      </w:r>
      <w:r w:rsidR="5E200D7E" w:rsidRPr="007C73D7">
        <w:rPr>
          <w:color w:val="000000" w:themeColor="text1"/>
        </w:rPr>
        <w:t>of</w:t>
      </w:r>
      <w:r w:rsidR="211B6984" w:rsidRPr="007C73D7">
        <w:rPr>
          <w:color w:val="000000" w:themeColor="text1"/>
        </w:rPr>
        <w:t xml:space="preserve"> </w:t>
      </w:r>
      <w:r w:rsidR="6FD20835" w:rsidRPr="007C73D7">
        <w:rPr>
          <w:color w:val="000000" w:themeColor="text1"/>
        </w:rPr>
        <w:t xml:space="preserve">US$ </w:t>
      </w:r>
      <w:r w:rsidR="211B6984" w:rsidRPr="007C73D7">
        <w:rPr>
          <w:color w:val="000000" w:themeColor="text1"/>
        </w:rPr>
        <w:t>2</w:t>
      </w:r>
      <w:r w:rsidR="23E9CF6F" w:rsidRPr="007C73D7">
        <w:rPr>
          <w:color w:val="000000" w:themeColor="text1"/>
        </w:rPr>
        <w:t>35</w:t>
      </w:r>
      <w:r w:rsidR="737BC63C" w:rsidRPr="007C73D7">
        <w:rPr>
          <w:color w:val="000000" w:themeColor="text1"/>
        </w:rPr>
        <w:t xml:space="preserve"> </w:t>
      </w:r>
      <w:r w:rsidR="211B6984" w:rsidRPr="007C73D7">
        <w:rPr>
          <w:color w:val="000000" w:themeColor="text1"/>
        </w:rPr>
        <w:t>(201</w:t>
      </w:r>
      <w:r w:rsidR="23E9CF6F" w:rsidRPr="007C73D7">
        <w:rPr>
          <w:color w:val="000000" w:themeColor="text1"/>
        </w:rPr>
        <w:t>9</w:t>
      </w:r>
      <w:r w:rsidR="211B6984" w:rsidRPr="007C73D7">
        <w:rPr>
          <w:color w:val="000000" w:themeColor="text1"/>
        </w:rPr>
        <w:t xml:space="preserve"> US</w:t>
      </w:r>
      <w:r w:rsidR="6244D16E" w:rsidRPr="007C73D7">
        <w:rPr>
          <w:color w:val="000000" w:themeColor="text1"/>
        </w:rPr>
        <w:t>$</w:t>
      </w:r>
      <w:r w:rsidR="211B6984" w:rsidRPr="007C73D7">
        <w:rPr>
          <w:color w:val="000000" w:themeColor="text1"/>
        </w:rPr>
        <w:t>)</w:t>
      </w:r>
      <w:r w:rsidR="5E200D7E" w:rsidRPr="007C73D7">
        <w:rPr>
          <w:color w:val="000000" w:themeColor="text1"/>
        </w:rPr>
        <w:t>, equivalent to</w:t>
      </w:r>
      <w:r w:rsidR="014C21F6" w:rsidRPr="007C73D7">
        <w:rPr>
          <w:color w:val="000000" w:themeColor="text1"/>
        </w:rPr>
        <w:t xml:space="preserve"> 6% of </w:t>
      </w:r>
      <w:r w:rsidR="5E200D7E" w:rsidRPr="007C73D7">
        <w:rPr>
          <w:color w:val="000000" w:themeColor="text1"/>
        </w:rPr>
        <w:t>Indonesia</w:t>
      </w:r>
      <w:r w:rsidR="014C21F6" w:rsidRPr="007C73D7">
        <w:rPr>
          <w:color w:val="000000" w:themeColor="text1"/>
        </w:rPr>
        <w:t xml:space="preserve">’s GDP </w:t>
      </w:r>
      <w:r w:rsidR="3AFF368E" w:rsidRPr="007C73D7">
        <w:rPr>
          <w:color w:val="000000" w:themeColor="text1"/>
        </w:rPr>
        <w:t>per capita</w:t>
      </w:r>
      <w:r w:rsidR="0B3A3595" w:rsidRPr="007C73D7">
        <w:rPr>
          <w:color w:val="000000" w:themeColor="text1"/>
        </w:rPr>
        <w:t>.</w:t>
      </w:r>
      <w:r w:rsidR="0A13EBC6" w:rsidRPr="007C73D7">
        <w:t xml:space="preserve"> </w:t>
      </w:r>
    </w:p>
    <w:p w14:paraId="39B5B716" w14:textId="09B5B407" w:rsidR="0010513A" w:rsidRPr="007C73D7" w:rsidRDefault="481AA4AE" w:rsidP="4F3397F3">
      <w:pPr>
        <w:rPr>
          <w:rFonts w:ascii="Calibri" w:eastAsia="Calibri" w:hAnsi="Calibri" w:cs="Calibri"/>
        </w:rPr>
      </w:pPr>
      <w:r w:rsidRPr="007C73D7">
        <w:rPr>
          <w:rFonts w:ascii="Calibri" w:eastAsia="Calibri" w:hAnsi="Calibri" w:cs="Calibri"/>
          <w:sz w:val="21"/>
          <w:szCs w:val="21"/>
        </w:rPr>
        <w:t xml:space="preserve">Our estimated elasticity </w:t>
      </w:r>
      <w:r w:rsidR="0DB2B300" w:rsidRPr="007C73D7">
        <w:t xml:space="preserve">captures the </w:t>
      </w:r>
      <w:r w:rsidR="0DB2B300" w:rsidRPr="007C73D7">
        <w:rPr>
          <w:rFonts w:ascii="Calibri" w:eastAsia="Calibri" w:hAnsi="Calibri" w:cs="Calibri"/>
          <w:color w:val="000000" w:themeColor="text1"/>
        </w:rPr>
        <w:t xml:space="preserve">average effect of </w:t>
      </w:r>
      <w:r w:rsidR="447E8FE1" w:rsidRPr="007C73D7">
        <w:rPr>
          <w:rFonts w:ascii="Calibri" w:eastAsia="Calibri" w:hAnsi="Calibri" w:cs="Calibri"/>
          <w:color w:val="000000" w:themeColor="text1"/>
        </w:rPr>
        <w:t xml:space="preserve">marginal expansions in health </w:t>
      </w:r>
      <w:r w:rsidR="0DB2B300" w:rsidRPr="007C73D7">
        <w:rPr>
          <w:rFonts w:ascii="Calibri" w:eastAsia="Calibri" w:hAnsi="Calibri" w:cs="Calibri"/>
          <w:color w:val="000000" w:themeColor="text1"/>
        </w:rPr>
        <w:t>spending over the study period</w:t>
      </w:r>
      <w:r w:rsidRPr="007C73D7">
        <w:rPr>
          <w:rFonts w:ascii="Calibri" w:eastAsia="Calibri" w:hAnsi="Calibri" w:cs="Calibri"/>
          <w:sz w:val="21"/>
          <w:szCs w:val="21"/>
        </w:rPr>
        <w:t>. The resulting estimate of the marginal productivity, expressed as cost</w:t>
      </w:r>
      <w:r w:rsidR="77BAF2B6" w:rsidRPr="007C73D7">
        <w:rPr>
          <w:rFonts w:ascii="Calibri" w:eastAsia="Calibri" w:hAnsi="Calibri" w:cs="Calibri"/>
          <w:sz w:val="21"/>
          <w:szCs w:val="21"/>
        </w:rPr>
        <w:t xml:space="preserve"> per </w:t>
      </w:r>
      <w:r w:rsidRPr="007C73D7">
        <w:rPr>
          <w:rFonts w:ascii="Calibri" w:eastAsia="Calibri" w:hAnsi="Calibri" w:cs="Calibri"/>
          <w:sz w:val="21"/>
          <w:szCs w:val="21"/>
        </w:rPr>
        <w:t>DALY averted, can be interpreted as the</w:t>
      </w:r>
      <w:r w:rsidRPr="007C73D7">
        <w:rPr>
          <w:rFonts w:ascii="Calibri" w:eastAsia="Calibri" w:hAnsi="Calibri" w:cs="Calibri"/>
          <w:color w:val="1B1B1B"/>
          <w:sz w:val="21"/>
          <w:szCs w:val="21"/>
        </w:rPr>
        <w:t xml:space="preserve"> </w:t>
      </w:r>
      <w:r w:rsidR="6986CC8F" w:rsidRPr="007C73D7">
        <w:rPr>
          <w:rFonts w:ascii="Calibri" w:eastAsia="Calibri" w:hAnsi="Calibri" w:cs="Calibri"/>
          <w:color w:val="1B1B1B"/>
          <w:sz w:val="21"/>
          <w:szCs w:val="21"/>
        </w:rPr>
        <w:t>HOC</w:t>
      </w:r>
      <w:r w:rsidRPr="007C73D7">
        <w:rPr>
          <w:rFonts w:ascii="Calibri" w:eastAsia="Calibri" w:hAnsi="Calibri" w:cs="Calibri"/>
          <w:color w:val="1B1B1B"/>
          <w:sz w:val="21"/>
          <w:szCs w:val="21"/>
        </w:rPr>
        <w:t xml:space="preserve"> in the healthcare system</w:t>
      </w:r>
      <w:r w:rsidR="574CC351" w:rsidRPr="007C73D7">
        <w:rPr>
          <w:rFonts w:ascii="Calibri" w:eastAsia="Calibri" w:hAnsi="Calibri" w:cs="Calibri"/>
          <w:color w:val="000000" w:themeColor="text1"/>
        </w:rPr>
        <w:t>.</w:t>
      </w:r>
      <w:r w:rsidR="0DB2B300" w:rsidRPr="007C73D7">
        <w:rPr>
          <w:rFonts w:ascii="Calibri" w:eastAsia="Calibri" w:hAnsi="Calibri" w:cs="Calibri"/>
          <w:color w:val="000000" w:themeColor="text1"/>
        </w:rPr>
        <w:t xml:space="preserve"> </w:t>
      </w:r>
      <w:r w:rsidR="39BF4558" w:rsidRPr="007C73D7">
        <w:rPr>
          <w:rFonts w:eastAsiaTheme="minorEastAsia"/>
          <w:color w:val="000000" w:themeColor="text1"/>
        </w:rPr>
        <w:t xml:space="preserve">By providing an indication of the HOC of potential investments and disinvestments, these results support the country’s efforts towards establishing robust and transparent evidence-based decision-making processes and </w:t>
      </w:r>
      <w:r w:rsidR="39BF4558" w:rsidRPr="007C73D7">
        <w:t xml:space="preserve">provide unambiguous evidence as to the value of increasing funding for healthcare in Indonesia, supporting </w:t>
      </w:r>
      <w:r w:rsidR="39BF4558" w:rsidRPr="007C73D7">
        <w:rPr>
          <w:rFonts w:eastAsiaTheme="minorEastAsia"/>
          <w:color w:val="000000" w:themeColor="text1"/>
        </w:rPr>
        <w:t>progress toward achieving the goal of UHC</w:t>
      </w:r>
      <w:r w:rsidR="0DB2B300" w:rsidRPr="007C73D7">
        <w:t>.</w:t>
      </w:r>
      <w:r w:rsidR="0DB2B300" w:rsidRPr="007C73D7">
        <w:rPr>
          <w:rFonts w:ascii="Calibri" w:eastAsia="Calibri" w:hAnsi="Calibri" w:cs="Calibri"/>
        </w:rPr>
        <w:t xml:space="preserve"> </w:t>
      </w:r>
    </w:p>
    <w:p w14:paraId="7AEF120A" w14:textId="06F541FF" w:rsidR="0038760D" w:rsidRPr="007C73D7" w:rsidRDefault="0DB2B300" w:rsidP="6DB014EC">
      <w:pPr>
        <w:rPr>
          <w:rFonts w:ascii="Calibri" w:eastAsia="Calibri" w:hAnsi="Calibri" w:cs="Calibri"/>
          <w:color w:val="000000" w:themeColor="text1"/>
        </w:rPr>
      </w:pPr>
      <w:bookmarkStart w:id="7" w:name="OLE_LINK1"/>
      <w:r w:rsidRPr="007C73D7">
        <w:rPr>
          <w:rFonts w:ascii="Calibri" w:eastAsia="Calibri" w:hAnsi="Calibri" w:cs="Calibri"/>
          <w:color w:val="000000" w:themeColor="text1"/>
        </w:rPr>
        <w:t xml:space="preserve">Our study also makes an important contribution to the literature of methods for estimating the returns to marginal expansions </w:t>
      </w:r>
      <w:r w:rsidR="447E8FE1" w:rsidRPr="007C73D7">
        <w:rPr>
          <w:rFonts w:ascii="Calibri" w:eastAsia="Calibri" w:hAnsi="Calibri" w:cs="Calibri"/>
          <w:color w:val="000000" w:themeColor="text1"/>
        </w:rPr>
        <w:t xml:space="preserve">of </w:t>
      </w:r>
      <w:r w:rsidRPr="007C73D7">
        <w:rPr>
          <w:rFonts w:ascii="Calibri" w:eastAsia="Calibri" w:hAnsi="Calibri" w:cs="Calibri"/>
          <w:color w:val="000000" w:themeColor="text1"/>
        </w:rPr>
        <w:t xml:space="preserve">health spending by considering a dynamic specification of the health production (see Edney et al., </w:t>
      </w:r>
      <w:r w:rsidR="6DB014EC" w:rsidRPr="007C73D7">
        <w:rPr>
          <w:rFonts w:ascii="Calibri" w:eastAsia="Calibri" w:hAnsi="Calibri" w:cs="Calibri"/>
          <w:color w:val="000000" w:themeColor="text1"/>
        </w:rPr>
        <w:fldChar w:fldCharType="begin" w:fldLock="1"/>
      </w:r>
      <w:r w:rsidR="6DB014EC" w:rsidRPr="007C73D7">
        <w:rPr>
          <w:rFonts w:ascii="Calibri" w:eastAsia="Calibri" w:hAnsi="Calibri" w:cs="Calibri"/>
          <w:color w:val="000000" w:themeColor="text1"/>
        </w:rPr>
        <w:instrText>ADDIN CSL_CITATION {"citationItems":[{"id":"ITEM-1","itemData":{"DOI":"10.1007/s40273-021-01087-6","ISBN":"0123456789","ISSN":"11792027","PMID":"34585359","abstract":"Many health technology assessment committees have an explicit or implicit reference value (often referred to as a ‘threshold’) below which new health technologies or interventions are considered value for money. The basis for these reference values is unclear but one argument is that it should be based on the health opportunity costs of funding decisions. Empirical estimates of the marginal cost per unit of health produced by a healthcare system have been proposed to capture the health opportunity costs of new funding decisions. Based on a systematic search, we identified eight studies that have sought to estimate a reference value through empirical estimation of the marginal cost per unit of health produced by a healthcare system for England, Spain, Australia, The Netherlands, Sweden, South Africa and China. We review these eight studies to provide an overview of the key methodological approaches taken to estimate the marginal cost per unit of health produced by the healthcare system with the aim to help inform future estimates for additional countries. The lead author for each of these papers was invited to contribute to the current paper to ensure all the key methodological issues encountered were appropriately captured. These included consideration of the key variables required and their measurement, accounting for endogeneity of spending to health outcomes, the inclusion of lagged spending, discounting and future costs, the use of analytical weights, level of disease aggregation, expected duration of health gains, and modelling approaches to estimating mortality and morbidity effects of health spending. Subsequent research estimates for additional countries should (1) carefully consider the specific context and data available, (2) clearly and transparently report the assumptions made and include stakeholder perspectives on their appropriateness and acceptability, and (3) assess the sensitivity of the preferred central estimate to these assumptions.","author":[{"dropping-particle":"","family":"Edney","given":"Laura C.","non-dropping-particle":"","parse-names":false,"suffix":""},{"dropping-particle":"","family":"Lomas","given":"James","non-dropping-particle":"","parse-names":false,"suffix":""},{"dropping-particle":"","family":"Karnon","given":"Jonathan","non-dropping-particle":"","parse-names":false,"suffix":""},{"dropping-particle":"","family":"Vallejo-Torres","given":"Laura","non-dropping-particle":"","parse-names":false,"suffix":""},{"dropping-particle":"","family":"Stadhouders","given":"Niek","non-dropping-particle":"","parse-names":false,"suffix":""},{"dropping-particle":"","family":"Siverskog","given":"Jonathan","non-dropping-particle":"","parse-names":false,"suffix":""},{"dropping-particle":"","family":"Paulden","given":"Mike","non-dropping-particle":"","parse-names":false,"suffix":""},{"dropping-particle":"","family":"Edoka","given":"Ijeoma P.","non-dropping-particle":"","parse-names":false,"suffix":""},{"dropping-particle":"","family":"Ochalek","given":"Jessica","non-dropping-particle":"","parse-names":false,"suffix":""}],"container-title":"PharmacoEconomics","id":"ITEM-1","issue":"1","issued":{"date-parts":[["2022"]]},"page":"31-43","publisher":"Springer International Publishing","title":"Empirical Estimates of the Marginal Cost of Health Produced by a Healthcare System: Methodological Considerations from Country-Level Estimates","type":"article-journal","volume":"40"},"uris":["http://www.mendeley.com/documents/?uuid=d5f50760-71d0-48f0-94cc-d3f036bdaec1"]}],"mendeley":{"formattedCitation":"[10]","plainTextFormattedCitation":"[10]","previouslyFormattedCitation":"[10]"},"properties":{"noteIndex":0},"schema":"https://github.com/citation-style-language/schema/raw/master/csl-citation.json"}</w:instrText>
      </w:r>
      <w:r w:rsidR="6DB014EC" w:rsidRPr="007C73D7">
        <w:rPr>
          <w:rFonts w:ascii="Calibri" w:eastAsia="Calibri" w:hAnsi="Calibri" w:cs="Calibri"/>
          <w:color w:val="000000" w:themeColor="text1"/>
        </w:rPr>
        <w:fldChar w:fldCharType="separate"/>
      </w:r>
      <w:r w:rsidR="153B68D9" w:rsidRPr="007C73D7">
        <w:rPr>
          <w:rFonts w:ascii="Calibri" w:eastAsia="Calibri" w:hAnsi="Calibri" w:cs="Calibri"/>
          <w:noProof/>
          <w:color w:val="000000" w:themeColor="text1"/>
        </w:rPr>
        <w:t>[10]</w:t>
      </w:r>
      <w:r w:rsidR="6DB014EC" w:rsidRPr="007C73D7">
        <w:rPr>
          <w:rFonts w:ascii="Calibri" w:eastAsia="Calibri" w:hAnsi="Calibri" w:cs="Calibri"/>
          <w:color w:val="000000" w:themeColor="text1"/>
        </w:rPr>
        <w:fldChar w:fldCharType="end"/>
      </w:r>
      <w:r w:rsidRPr="007C73D7">
        <w:rPr>
          <w:rFonts w:ascii="Calibri" w:eastAsia="Calibri" w:hAnsi="Calibri" w:cs="Calibri"/>
          <w:color w:val="000000" w:themeColor="text1"/>
        </w:rPr>
        <w:t>) for review of the methodological approaches). Vallejo-Torres et al.</w:t>
      </w:r>
      <w:r w:rsidR="153B68D9" w:rsidRPr="007C73D7">
        <w:rPr>
          <w:rFonts w:ascii="Calibri" w:eastAsia="Calibri" w:hAnsi="Calibri" w:cs="Calibri"/>
          <w:color w:val="000000" w:themeColor="text1"/>
        </w:rPr>
        <w:t xml:space="preserve">, </w:t>
      </w:r>
      <w:r w:rsidR="6DB014EC" w:rsidRPr="007C73D7">
        <w:rPr>
          <w:rFonts w:ascii="Calibri" w:eastAsia="Calibri" w:hAnsi="Calibri" w:cs="Calibri"/>
          <w:color w:val="000000" w:themeColor="text1"/>
        </w:rPr>
        <w:fldChar w:fldCharType="begin" w:fldLock="1"/>
      </w:r>
      <w:r w:rsidR="6DB014EC" w:rsidRPr="007C73D7">
        <w:rPr>
          <w:rFonts w:ascii="Calibri" w:eastAsia="Calibri" w:hAnsi="Calibri" w:cs="Calibri"/>
          <w:color w:val="000000" w:themeColor="text1"/>
        </w:rPr>
        <w:instrText>ADDIN CSL_CITATION {"citationItems":[{"id":"ITEM-1","itemData":{"DOI":"10.1002/hec.3633","ISSN":"10991050","PMID":"29282798","abstract":"The cost of generating a quality-adjusted life year (QALY) within a National Health Service provides an approximation of the average opportunity cost of funding decisions. This information can be used to inform a cost-effectiveness threshold. The aim of this paper is to estimate the cost per QALY at the Spanish National Health Service. We exploit variation across 17 regional health services and the exogenous changes in expenditure that took place as a consequence of the economic crisis over 5 years of data. We conduct fixed effect models and use an instrumental variable approach to test for potential remaining endogeneity. Our results show that health expenditure has a positive and significant effect on population health, with an average spending elasticity of 0.07. This translates into a cost per QALY of between 22,000€ and 25,000€. These values are below the cost-effectiveness threshold figure of 30,000€ commonly cited in Spain.","author":[{"dropping-particle":"","family":"Vallejo-Torres","given":"Laura","non-dropping-particle":"","parse-names":false,"suffix":""},{"dropping-particle":"","family":"García-Lorenzo","given":"Borja","non-dropping-particle":"","parse-names":false,"suffix":""},{"dropping-particle":"","family":"Serrano-Aguilar","given":"Pedro","non-dropping-particle":"","parse-names":false,"suffix":""}],"container-title":"Health Economics (United Kingdom)","id":"ITEM-1","issue":"4","issued":{"date-parts":[["2018"]]},"page":"746-761","title":"Estimating a cost-effectiveness threshold for the Spanish NHS","type":"article-journal","volume":"27"},"uris":["http://www.mendeley.com/documents/?uuid=60f252e1-f05a-46c3-a3ed-74792dce8164"]}],"mendeley":{"formattedCitation":"[15]","plainTextFormattedCitation":"[15]","previouslyFormattedCitation":"[15]"},"properties":{"noteIndex":0},"schema":"https://github.com/citation-style-language/schema/raw/master/csl-citation.json"}</w:instrText>
      </w:r>
      <w:r w:rsidR="6DB014EC" w:rsidRPr="007C73D7">
        <w:rPr>
          <w:rFonts w:ascii="Calibri" w:eastAsia="Calibri" w:hAnsi="Calibri" w:cs="Calibri"/>
          <w:color w:val="000000" w:themeColor="text1"/>
        </w:rPr>
        <w:fldChar w:fldCharType="separate"/>
      </w:r>
      <w:r w:rsidR="153B68D9" w:rsidRPr="007C73D7">
        <w:rPr>
          <w:rFonts w:ascii="Calibri" w:eastAsia="Calibri" w:hAnsi="Calibri" w:cs="Calibri"/>
          <w:noProof/>
          <w:color w:val="000000" w:themeColor="text1"/>
        </w:rPr>
        <w:t>[15]</w:t>
      </w:r>
      <w:r w:rsidR="6DB014EC" w:rsidRPr="007C73D7">
        <w:rPr>
          <w:rFonts w:ascii="Calibri" w:eastAsia="Calibri" w:hAnsi="Calibri" w:cs="Calibri"/>
          <w:color w:val="000000" w:themeColor="text1"/>
        </w:rPr>
        <w:fldChar w:fldCharType="end"/>
      </w:r>
      <w:r w:rsidRPr="007C73D7">
        <w:rPr>
          <w:rFonts w:ascii="Calibri" w:eastAsia="Calibri" w:hAnsi="Calibri" w:cs="Calibri"/>
          <w:color w:val="000000" w:themeColor="text1"/>
        </w:rPr>
        <w:t xml:space="preserve"> and Van Baal et al.</w:t>
      </w:r>
      <w:r w:rsidR="153B68D9" w:rsidRPr="007C73D7">
        <w:rPr>
          <w:rFonts w:ascii="Calibri" w:eastAsia="Calibri" w:hAnsi="Calibri" w:cs="Calibri"/>
          <w:color w:val="000000" w:themeColor="text1"/>
        </w:rPr>
        <w:t xml:space="preserve">, </w:t>
      </w:r>
      <w:r w:rsidR="6DB014EC" w:rsidRPr="007C73D7">
        <w:rPr>
          <w:rFonts w:ascii="Calibri" w:eastAsia="Calibri" w:hAnsi="Calibri" w:cs="Calibri"/>
          <w:color w:val="000000" w:themeColor="text1"/>
        </w:rPr>
        <w:fldChar w:fldCharType="begin" w:fldLock="1"/>
      </w:r>
      <w:r w:rsidR="6DB014EC" w:rsidRPr="007C73D7">
        <w:rPr>
          <w:rFonts w:ascii="Calibri" w:eastAsia="Calibri" w:hAnsi="Calibri" w:cs="Calibri"/>
          <w:color w:val="000000" w:themeColor="text1"/>
        </w:rPr>
        <w:instrText>ADDIN CSL_CITATION {"citationItems":[{"id":"ITEM-1","itemData":{"DOI":"10.1002/hec.3831","ISSN":"10991050","PMID":"30273967","abstract":"Traditionally, threshold levels of cost-effectiveness have been derived from willingness-to-pay studies, indicating the consumption value of health (v-thresholds). However, it has been argued that v-thresholds need to be supplemented by so-called k-thresholds, which are based on the marginal returns to health care. The objective of this research is to estimate a k-threshold based on the marginal returns to cardiovascular disease (CVD) hospital care in the Netherlands. To estimate a k-threshold for hospital care on CVD, we proceed in two steps: First, we estimate the impact of hospital spending on mortality using a Bayesian regression modelling framework, using data on CVD mortality and CVD hospital spending by age and gender for the period 1994–2010. Second, we use life tables in combination with quality of life data to convert these estimates into a k-threshold expressed in euros per quality-adjusted life year gained. Our base case estimate resulted in an estimate of 41,000 per quality-adjusted life year gained. In our sensitivity analyses, we illustrated how the incorporation of prior evidence into the estimation pushes estimates downwards. We conclude that our base case estimate of the k-threshold may serve as a benchmark value for decision making in the Netherlands as well as for future research regarding k-thresholds.","author":[{"dropping-particle":"","family":"Baal","given":"Pieter","non-dropping-particle":"Van","parse-names":false,"suffix":""},{"dropping-particle":"","family":"Perry-Duxbury","given":"Meg","non-dropping-particle":"","parse-names":false,"suffix":""},{"dropping-particle":"","family":"Bakx","given":"Pieter","non-dropping-particle":"","parse-names":false,"suffix":""},{"dropping-particle":"","family":"Versteegh","given":"Matthijs","non-dropping-particle":"","parse-names":false,"suffix":""},{"dropping-particle":"","family":"Doorslaer","given":"Eddy","non-dropping-particle":"van","parse-names":false,"suffix":""},{"dropping-particle":"","family":"Brouwer","given":"Werner","non-dropping-particle":"","parse-names":false,"suffix":""}],"container-title":"Health Economics (United Kingdom)","id":"ITEM-1","issue":"1","issued":{"date-parts":[["2019"]]},"page":"87-100","title":"A cost-effectiveness threshold based on the marginal returns of cardiovascular hospital spending","type":"article-journal","volume":"28"},"uris":["http://www.mendeley.com/documents/?uuid=476f6aae-b3d6-4ec5-bc06-1ef4aa23bf74"]}],"mendeley":{"formattedCitation":"[17]","plainTextFormattedCitation":"[17]","previouslyFormattedCitation":"[17]"},"properties":{"noteIndex":0},"schema":"https://github.com/citation-style-language/schema/raw/master/csl-citation.json"}</w:instrText>
      </w:r>
      <w:r w:rsidR="6DB014EC" w:rsidRPr="007C73D7">
        <w:rPr>
          <w:rFonts w:ascii="Calibri" w:eastAsia="Calibri" w:hAnsi="Calibri" w:cs="Calibri"/>
          <w:color w:val="000000" w:themeColor="text1"/>
        </w:rPr>
        <w:fldChar w:fldCharType="separate"/>
      </w:r>
      <w:r w:rsidR="153B68D9" w:rsidRPr="007C73D7">
        <w:rPr>
          <w:rFonts w:ascii="Calibri" w:eastAsia="Calibri" w:hAnsi="Calibri" w:cs="Calibri"/>
          <w:noProof/>
          <w:color w:val="000000" w:themeColor="text1"/>
        </w:rPr>
        <w:t>[17]</w:t>
      </w:r>
      <w:r w:rsidR="6DB014EC" w:rsidRPr="007C73D7">
        <w:rPr>
          <w:rFonts w:ascii="Calibri" w:eastAsia="Calibri" w:hAnsi="Calibri" w:cs="Calibri"/>
          <w:color w:val="000000" w:themeColor="text1"/>
        </w:rPr>
        <w:fldChar w:fldCharType="end"/>
      </w:r>
      <w:r w:rsidRPr="007C73D7">
        <w:rPr>
          <w:rFonts w:ascii="Calibri" w:eastAsia="Calibri" w:hAnsi="Calibri" w:cs="Calibri"/>
          <w:color w:val="000000" w:themeColor="text1"/>
        </w:rPr>
        <w:t xml:space="preserve"> </w:t>
      </w:r>
      <w:r w:rsidRPr="007C73D7">
        <w:rPr>
          <w:rFonts w:ascii="Calibri" w:eastAsia="Calibri" w:hAnsi="Calibri" w:cs="Calibri"/>
          <w:color w:val="000000" w:themeColor="text1"/>
          <w:lang w:val="en-US"/>
        </w:rPr>
        <w:t>found that excluding the one-time lagged level spending from their models led to an overestimate of the marginal productivity of the health system.</w:t>
      </w:r>
      <w:r w:rsidRPr="007C73D7">
        <w:rPr>
          <w:rFonts w:ascii="Calibri" w:eastAsia="Calibri" w:hAnsi="Calibri" w:cs="Calibri"/>
          <w:color w:val="000000" w:themeColor="text1"/>
        </w:rPr>
        <w:t xml:space="preserve"> Here, we follow Gravelle and Backhouse </w:t>
      </w:r>
      <w:r w:rsidR="6DB014EC" w:rsidRPr="007C73D7">
        <w:rPr>
          <w:rFonts w:ascii="Calibri" w:eastAsia="Calibri" w:hAnsi="Calibri" w:cs="Calibri"/>
          <w:color w:val="000000" w:themeColor="text1"/>
        </w:rPr>
        <w:fldChar w:fldCharType="begin" w:fldLock="1"/>
      </w:r>
      <w:r w:rsidR="6DB014EC" w:rsidRPr="007C73D7">
        <w:rPr>
          <w:rFonts w:ascii="Calibri" w:eastAsia="Calibri" w:hAnsi="Calibri" w:cs="Calibri"/>
          <w:color w:val="000000" w:themeColor="text1"/>
        </w:rPr>
        <w:instrText>ADDIN CSL_CITATION {"citationItems":[{"id":"ITEM-1","itemData":{"abstract":"Abstract-An essential ingredient in the evaluation of policies concerning health services is knowledge of the impact of health services and other factors on the health of the population. One method of obtaining this information is from the regression analysis of international cross-section data on mortality rates, health service provision, income levels, consumption patterns, and other variables hypothesised to affect population health. The investigation of the determinants of population health is in many ways akin to the estimation of production functions which describe the relationship between the output of goods or services and the mix of inputs used in their production. The purpose of our paper is to use this analogy to discuss, and provide examples of, the problems which arise with the statistical investigation of mortality rates. Issues raised include simultanecus equation bias, multicollinearity, selection of explanatory variables, omitted variable bias, definition and measurement of variables, functional forms, lagged relationships and temporal stability. These problems are illustrated by replication and re-analysis, using new data, of the well known study by Cochrane, St Leger and Moore","author":[{"dropping-particle":"","family":"Gravelle","given":"H.S.E","non-dropping-particle":"","parse-names":false,"suffix":""},{"dropping-particle":"","family":"Backhouse","given":"M.E","non-dropping-particle":"","parse-names":false,"suffix":""}],"container-title":"Social Science and Medicine","id":"ITEM-1","issue":"5","issued":{"date-parts":[["1987"]]},"page":"427-441","title":"International Cross-Section Analysis of the Determination of Mortality","type":"article-journal","volume":"25"},"uris":["http://www.mendeley.com/documents/?uuid=d075365c-4d3e-465d-b2a9-f4dd97891936"]}],"mendeley":{"formattedCitation":"[3]","plainTextFormattedCitation":"[3]","previouslyFormattedCitation":"[3]"},"properties":{"noteIndex":0},"schema":"https://github.com/citation-style-language/schema/raw/master/csl-citation.json"}</w:instrText>
      </w:r>
      <w:r w:rsidR="6DB014EC" w:rsidRPr="007C73D7">
        <w:rPr>
          <w:rFonts w:ascii="Calibri" w:eastAsia="Calibri" w:hAnsi="Calibri" w:cs="Calibri"/>
          <w:color w:val="000000" w:themeColor="text1"/>
        </w:rPr>
        <w:fldChar w:fldCharType="separate"/>
      </w:r>
      <w:r w:rsidR="153B68D9" w:rsidRPr="007C73D7">
        <w:rPr>
          <w:rFonts w:ascii="Calibri" w:eastAsia="Calibri" w:hAnsi="Calibri" w:cs="Calibri"/>
          <w:noProof/>
          <w:color w:val="000000" w:themeColor="text1"/>
        </w:rPr>
        <w:t>[3]</w:t>
      </w:r>
      <w:r w:rsidR="6DB014EC" w:rsidRPr="007C73D7">
        <w:rPr>
          <w:rFonts w:ascii="Calibri" w:eastAsia="Calibri" w:hAnsi="Calibri" w:cs="Calibri"/>
          <w:color w:val="000000" w:themeColor="text1"/>
        </w:rPr>
        <w:fldChar w:fldCharType="end"/>
      </w:r>
      <w:r w:rsidRPr="007C73D7">
        <w:rPr>
          <w:rFonts w:ascii="Calibri" w:eastAsia="Calibri" w:hAnsi="Calibri" w:cs="Calibri"/>
          <w:color w:val="000000" w:themeColor="text1"/>
        </w:rPr>
        <w:t xml:space="preserve">, </w:t>
      </w:r>
      <w:r w:rsidR="447E8FE1" w:rsidRPr="007C73D7">
        <w:rPr>
          <w:rFonts w:ascii="Calibri" w:eastAsia="Calibri" w:hAnsi="Calibri" w:cs="Calibri"/>
          <w:color w:val="000000" w:themeColor="text1"/>
        </w:rPr>
        <w:t>and</w:t>
      </w:r>
      <w:r w:rsidRPr="007C73D7">
        <w:rPr>
          <w:rFonts w:ascii="Calibri" w:eastAsia="Calibri" w:hAnsi="Calibri" w:cs="Calibri"/>
          <w:color w:val="000000" w:themeColor="text1"/>
        </w:rPr>
        <w:t xml:space="preserve"> define a distributed lag model </w:t>
      </w:r>
      <w:r w:rsidR="447E8FE1" w:rsidRPr="007C73D7">
        <w:rPr>
          <w:rFonts w:ascii="Calibri" w:eastAsia="Calibri" w:hAnsi="Calibri" w:cs="Calibri"/>
          <w:color w:val="000000" w:themeColor="text1"/>
        </w:rPr>
        <w:t>that</w:t>
      </w:r>
      <w:r w:rsidRPr="007C73D7">
        <w:rPr>
          <w:rFonts w:ascii="Calibri" w:eastAsia="Calibri" w:hAnsi="Calibri" w:cs="Calibri"/>
          <w:color w:val="000000" w:themeColor="text1"/>
        </w:rPr>
        <w:t xml:space="preserve"> accounts for the potential dynamic relationship between expenditure and outcomes and assumes the effect of expenditures in previous periods to be proportional to that in the current period. To reduce the risk of endogeneity in the model we </w:t>
      </w:r>
      <w:r w:rsidR="447E8FE1" w:rsidRPr="007C73D7">
        <w:rPr>
          <w:rFonts w:ascii="Calibri" w:eastAsia="Calibri" w:hAnsi="Calibri" w:cs="Calibri"/>
          <w:color w:val="000000" w:themeColor="text1"/>
        </w:rPr>
        <w:t>use</w:t>
      </w:r>
      <w:r w:rsidRPr="007C73D7">
        <w:rPr>
          <w:rFonts w:ascii="Calibri" w:eastAsia="Calibri" w:hAnsi="Calibri" w:cs="Calibri"/>
          <w:color w:val="000000" w:themeColor="text1"/>
        </w:rPr>
        <w:t xml:space="preserve"> dynamic panel data methods</w:t>
      </w:r>
      <w:r w:rsidR="447E8FE1" w:rsidRPr="007C73D7">
        <w:rPr>
          <w:rFonts w:ascii="Calibri" w:eastAsia="Calibri" w:hAnsi="Calibri" w:cs="Calibri"/>
          <w:color w:val="000000" w:themeColor="text1"/>
        </w:rPr>
        <w:t xml:space="preserve"> with instrumental variables.</w:t>
      </w:r>
    </w:p>
    <w:bookmarkEnd w:id="7"/>
    <w:p w14:paraId="09F17AE7" w14:textId="4A261B51" w:rsidR="0010513A" w:rsidRPr="007C73D7" w:rsidRDefault="4C0DFFBD" w:rsidP="18112CD4">
      <w:r w:rsidRPr="007C73D7">
        <w:rPr>
          <w:rFonts w:ascii="Calibri" w:eastAsia="Calibri" w:hAnsi="Calibri" w:cs="Calibri"/>
        </w:rPr>
        <w:t xml:space="preserve">It is worth </w:t>
      </w:r>
      <w:r w:rsidR="3584101F" w:rsidRPr="007C73D7">
        <w:rPr>
          <w:rFonts w:ascii="Calibri" w:eastAsia="Calibri" w:hAnsi="Calibri" w:cs="Calibri"/>
        </w:rPr>
        <w:t xml:space="preserve">noting </w:t>
      </w:r>
      <w:r w:rsidRPr="007C73D7">
        <w:rPr>
          <w:rFonts w:ascii="Calibri" w:eastAsia="Calibri" w:hAnsi="Calibri" w:cs="Calibri"/>
        </w:rPr>
        <w:t>that th</w:t>
      </w:r>
      <w:r w:rsidR="51935732" w:rsidRPr="007C73D7">
        <w:rPr>
          <w:rFonts w:ascii="Calibri" w:eastAsia="Calibri" w:hAnsi="Calibri" w:cs="Calibri"/>
        </w:rPr>
        <w:t>e</w:t>
      </w:r>
      <w:r w:rsidRPr="007C73D7">
        <w:rPr>
          <w:rFonts w:ascii="Calibri" w:eastAsia="Calibri" w:hAnsi="Calibri" w:cs="Calibri"/>
        </w:rPr>
        <w:t xml:space="preserve"> interpretation of the </w:t>
      </w:r>
      <w:r w:rsidR="3584101F" w:rsidRPr="007C73D7">
        <w:rPr>
          <w:rFonts w:ascii="Calibri" w:eastAsia="Calibri" w:hAnsi="Calibri" w:cs="Calibri"/>
        </w:rPr>
        <w:t>HOC</w:t>
      </w:r>
      <w:r w:rsidR="59EE3027" w:rsidRPr="007C73D7">
        <w:rPr>
          <w:rFonts w:ascii="Calibri" w:eastAsia="Calibri" w:hAnsi="Calibri" w:cs="Calibri"/>
        </w:rPr>
        <w:t xml:space="preserve"> in this study</w:t>
      </w:r>
      <w:r w:rsidRPr="007C73D7">
        <w:rPr>
          <w:rFonts w:ascii="Calibri" w:eastAsia="Calibri" w:hAnsi="Calibri" w:cs="Calibri"/>
        </w:rPr>
        <w:t xml:space="preserve"> is based on estimates of marginal productivity </w:t>
      </w:r>
      <w:r w:rsidR="59EE3027" w:rsidRPr="007C73D7">
        <w:rPr>
          <w:rFonts w:ascii="Calibri" w:eastAsia="Calibri" w:hAnsi="Calibri" w:cs="Calibri"/>
        </w:rPr>
        <w:t xml:space="preserve">of the Indonesian health care system </w:t>
      </w:r>
      <w:r w:rsidRPr="007C73D7">
        <w:rPr>
          <w:rFonts w:ascii="Calibri" w:eastAsia="Calibri" w:hAnsi="Calibri" w:cs="Calibri"/>
        </w:rPr>
        <w:t xml:space="preserve">given the way </w:t>
      </w:r>
      <w:r w:rsidR="59EE3027" w:rsidRPr="007C73D7">
        <w:rPr>
          <w:rFonts w:ascii="Calibri" w:eastAsia="Calibri" w:hAnsi="Calibri" w:cs="Calibri"/>
        </w:rPr>
        <w:t xml:space="preserve">it </w:t>
      </w:r>
      <w:r w:rsidRPr="007C73D7">
        <w:rPr>
          <w:rFonts w:ascii="Calibri" w:eastAsia="Calibri" w:hAnsi="Calibri" w:cs="Calibri"/>
        </w:rPr>
        <w:t>was organised (including technical and allocative inefficiencies) at the time of the analysis. I</w:t>
      </w:r>
      <w:r w:rsidR="153B68D9" w:rsidRPr="007C73D7">
        <w:rPr>
          <w:rFonts w:ascii="Calibri" w:eastAsia="Calibri" w:hAnsi="Calibri" w:cs="Calibri"/>
        </w:rPr>
        <w:t>t is a priori unclear whether, the cost per DALY averted estimate would be higher or lower following changes in these factors</w:t>
      </w:r>
      <w:r w:rsidR="153B68D9" w:rsidRPr="007C73D7">
        <w:t xml:space="preserve">, as the health budget simultaneously expands over time. </w:t>
      </w:r>
      <w:r w:rsidR="153B68D9" w:rsidRPr="007C73D7">
        <w:rPr>
          <w:rFonts w:ascii="Calibri" w:eastAsia="Calibri" w:hAnsi="Calibri" w:cs="Calibri"/>
        </w:rPr>
        <w:t xml:space="preserve">Following a likely increase in allocative efficiency over time, </w:t>
      </w:r>
      <w:r w:rsidR="153B68D9" w:rsidRPr="007C73D7">
        <w:t xml:space="preserve">the cost per DALY averted would be higher, all else being equal. However, other factors, such as changes in the system’s technical efficiency, changes in burden of disease, population size and/or age structure, and demand for technologies, </w:t>
      </w:r>
      <w:r w:rsidR="153B68D9" w:rsidRPr="007C73D7">
        <w:lastRenderedPageBreak/>
        <w:t xml:space="preserve">among other things will also simultaneously influence the cost per DALY averted in potentially different directions </w:t>
      </w:r>
      <w:r w:rsidR="00256EFE" w:rsidRPr="007C73D7">
        <w:fldChar w:fldCharType="begin" w:fldLock="1"/>
      </w:r>
      <w:r w:rsidR="00A17D0B">
        <w:instrText>ADDIN CSL_CITATION {"citationItems":[{"id":"ITEM-1","itemData":{"DOI":"10.1177/0272989X16662242","ISSN":"0272-989X","abstract":"The cost-effectiveness threshold in health care systems with a constrained budget should be determined by the cost-effectiveness of displacing health care services to fund new interventions. Using comparative statics, we review some potential determinants of the threshold, including the budget for health care, the demand for existing health care interventions, the technical efficiency of existing interventions, and the development of new health technologies. We consider the anticipated direction of impact that would affect the threshold following a change in each of these determinants. Where the health care system is technically efficient, an increase in the health care budget unambiguously raises the threshold, whereas an increase in the demand for existing, non-marginal health interventions unambiguously lowers the threshold. Improvements in the technical efficiency of existing interventions may raise or lower the threshold, depending on the cause of the improvement in efficiency, whether the intervention is already funded, and, if so, whether it is marginal. New technologies may also raise or lower the threshold, depending on whether the new technology is a substitute for an existing technology and, again, whether the existing technology is marginal. Our analysis permits health economists and decision makers to assess if and in what direction the threshold may change over time. This matters, as threshold changes impact the cost-effectiveness of interventions that require decisions now but have costs and effects that fall in future periods.","author":[{"dropping-particle":"","family":"Paulden","given":"Mike","non-dropping-particle":"","parse-names":false,"suffix":""},{"dropping-particle":"","family":"O’Mahony","given":"James","non-dropping-particle":"","parse-names":false,"suffix":""},{"dropping-particle":"","family":"McCabe","given":"Christopher","non-dropping-particle":"","parse-names":false,"suffix":""}],"container-title":"Medical Decision Making","id":"ITEM-1","issue":"2","issued":{"date-parts":[["2016"]]},"note":"doi: 10.1177/0272989X16662242","page":"264-276","title":"Determinants of Change in the Cost-effectiveness Threshold","type":"article-journal","volume":"37"},"uris":["http://www.mendeley.com/documents/?uuid=442bd3c9-5374-44b9-b15d-952cedd6a60b"]},{"id":"ITEM-2","itemData":{"author":[{"dropping-particle":"","family":"Lomas","given":"James","non-dropping-particle":"","parse-names":false,"suffix":""},{"dropping-particle":"","family":"Claxton","given":"Karl","non-dropping-particle":"","parse-names":false,"suffix":""},{"dropping-particle":"","family":"Ochalek","given":"Jessica","non-dropping-particle":"","parse-names":false,"suffix":""}],"id":"ITEM-2","issue":"August 2021","issued":{"date-parts":[["2022"]]},"page":"45-54","title":"Accounting for country- and time-specific values in the economic evaluation of health-related projects relevant to low- and middle-income countries","type":"article-journal"},"uris":["http://www.mendeley.com/documents/?uuid=828f807a-8a0d-49d0-a155-9374f3843af4"]}],"mendeley":{"formattedCitation":"[41,42]","plainTextFormattedCitation":"[41,42]","previouslyFormattedCitation":"[41,42]"},"properties":{"noteIndex":0},"schema":"https://github.com/citation-style-language/schema/raw/master/csl-citation.json"}</w:instrText>
      </w:r>
      <w:r w:rsidR="00256EFE" w:rsidRPr="007C73D7">
        <w:fldChar w:fldCharType="separate"/>
      </w:r>
      <w:r w:rsidR="153B68D9" w:rsidRPr="007C73D7">
        <w:rPr>
          <w:noProof/>
        </w:rPr>
        <w:t>[41,42]</w:t>
      </w:r>
      <w:r w:rsidR="00256EFE" w:rsidRPr="007C73D7">
        <w:fldChar w:fldCharType="end"/>
      </w:r>
      <w:r w:rsidR="153B68D9" w:rsidRPr="007C73D7">
        <w:t xml:space="preserve">. </w:t>
      </w:r>
      <w:r w:rsidR="23EDDF61" w:rsidRPr="007C73D7">
        <w:t>I</w:t>
      </w:r>
      <w:r w:rsidR="23EDDF61" w:rsidRPr="007C73D7">
        <w:rPr>
          <w:rFonts w:ascii="Calibri" w:eastAsia="Calibri" w:hAnsi="Calibri" w:cs="Calibri"/>
          <w:color w:val="000000" w:themeColor="text1"/>
        </w:rPr>
        <w:t>n addition to this, decision-makers should take into consideration the likely presence of diminishing marginal benefits to spending if the decision context were to involve a large (non-marginal) expansion in overall budget. Hence, it crucial for</w:t>
      </w:r>
      <w:r w:rsidR="6069A4FC" w:rsidRPr="007C73D7">
        <w:t xml:space="preserve"> researchers to repeat th</w:t>
      </w:r>
      <w:r w:rsidR="61F1B30A" w:rsidRPr="007C73D7">
        <w:t>is</w:t>
      </w:r>
      <w:r w:rsidR="6069A4FC" w:rsidRPr="007C73D7">
        <w:t xml:space="preserve"> exercise as new data becomes available, to provide relevant estimates of HOCs to support decision making over time.</w:t>
      </w:r>
    </w:p>
    <w:p w14:paraId="30DE7C27" w14:textId="036EF39E" w:rsidR="0038760D" w:rsidRPr="007C73D7" w:rsidRDefault="0038760D" w:rsidP="6DB014EC">
      <w:pPr>
        <w:rPr>
          <w:color w:val="000000"/>
          <w:lang w:val="en-US"/>
        </w:rPr>
      </w:pPr>
      <w:r w:rsidRPr="007C73D7">
        <w:rPr>
          <w:color w:val="000000" w:themeColor="text1"/>
        </w:rPr>
        <w:t xml:space="preserve">As </w:t>
      </w:r>
      <w:r w:rsidR="0207E2CC" w:rsidRPr="007C73D7">
        <w:rPr>
          <w:color w:val="000000" w:themeColor="text1"/>
        </w:rPr>
        <w:t>our</w:t>
      </w:r>
      <w:r w:rsidRPr="007C73D7">
        <w:rPr>
          <w:color w:val="000000" w:themeColor="text1"/>
        </w:rPr>
        <w:t xml:space="preserve"> results represent the first assessment of the marginal productivity</w:t>
      </w:r>
      <w:r w:rsidR="00AE6CD9" w:rsidRPr="007C73D7">
        <w:rPr>
          <w:color w:val="000000" w:themeColor="text1"/>
        </w:rPr>
        <w:t xml:space="preserve"> and </w:t>
      </w:r>
      <w:r w:rsidR="00E32712" w:rsidRPr="007C73D7">
        <w:rPr>
          <w:color w:val="000000" w:themeColor="text1"/>
        </w:rPr>
        <w:t>HOC</w:t>
      </w:r>
      <w:r w:rsidRPr="007C73D7">
        <w:rPr>
          <w:color w:val="000000" w:themeColor="text1"/>
        </w:rPr>
        <w:t xml:space="preserve"> of the Indonesian health system using subnational data, it is not possible to compare the estimates to others from the same country. However, the results do appear broadly consistent with previous findings from other studies using within-country data in an LMIC context: for India</w:t>
      </w:r>
      <w:r w:rsidR="00E348DB" w:rsidRPr="007C73D7">
        <w:rPr>
          <w:color w:val="000000" w:themeColor="text1"/>
        </w:rPr>
        <w:t>,</w:t>
      </w:r>
      <w:r w:rsidR="001E1817" w:rsidRPr="007C73D7">
        <w:rPr>
          <w:color w:val="000000" w:themeColor="text1"/>
        </w:rPr>
        <w:t xml:space="preserve"> </w:t>
      </w:r>
      <w:proofErr w:type="spellStart"/>
      <w:r w:rsidR="006D0BBA" w:rsidRPr="007C73D7">
        <w:rPr>
          <w:color w:val="000000" w:themeColor="text1"/>
        </w:rPr>
        <w:t>Bhalotra</w:t>
      </w:r>
      <w:proofErr w:type="spellEnd"/>
      <w:r w:rsidR="006D0BBA" w:rsidRPr="007C73D7">
        <w:rPr>
          <w:color w:val="000000" w:themeColor="text1"/>
        </w:rPr>
        <w:t xml:space="preserve"> </w:t>
      </w:r>
      <w:r w:rsidRPr="007C73D7">
        <w:rPr>
          <w:color w:val="000000" w:themeColor="text1"/>
        </w:rPr>
        <w:fldChar w:fldCharType="begin" w:fldLock="1"/>
      </w:r>
      <w:r w:rsidR="00CA1237" w:rsidRPr="007C73D7">
        <w:rPr>
          <w:color w:val="000000" w:themeColor="text1"/>
        </w:rPr>
        <w:instrText>ADDIN CSL_CITATION {"citationItems":[{"id":"ITEM-1","itemData":{"DOI":"10.1002/hec","abstract":"In 2004, California became the first state to implement statewide minimum nurse-to-patient ratios in general hospitals. In spite of years of work to establish statewide staffing regulations, there is little evidence that the law was effective in attracting more nurses to the hospital workforce or improving patient outcomes. This paper examines the effects of this legislation on employment and wages of registered nurses. By using annual financial data from California hospitals, I show that nurse-to-patient ratios in medical/surgical units increased substantially following the staffing mandate. However, survey data from two nationally representative datasets indicate that the law had no effect on the aggregate number of registered nurses or the hours they worked in California hospitals, and at most a modest effect on wages. My findings suggest that offsetting changes in labor demand due to hospital closures, combined with reclassification of workers within hospitals, and mitigated the employment effects of California's staffing regulation. This paper cautions that California's experience with minimum nurse staffing legislation may not be generalizable to states considering similar policies in very different hospital markets. Copyright © 2013 John Wiley &amp; Sons, Ltd. Copyright © 2013 John Wiley &amp; Sons, Ltd.","author":[{"dropping-particle":"","family":"Bhalotra","given":"Sonia","non-dropping-particle":"","parse-names":false,"suffix":""}],"container-title":"Health Economics","id":"ITEM-1","issued":{"date-parts":[["2007"]]},"page":"911-928","title":"Spending to save? State health expenditure and infant mortality in India","type":"article-journal","volume":"16"},"uris":["http://www.mendeley.com/documents/?uuid=050ccfed-3cf7-4b7d-8c22-ed8d9c382d2a"]}],"mendeley":{"formattedCitation":"[11]","plainTextFormattedCitation":"[11]","previouslyFormattedCitation":"[11]"},"properties":{"noteIndex":0},"schema":"https://github.com/citation-style-language/schema/raw/master/csl-citation.json"}</w:instrText>
      </w:r>
      <w:r w:rsidRPr="007C73D7">
        <w:rPr>
          <w:color w:val="000000" w:themeColor="text1"/>
        </w:rPr>
        <w:fldChar w:fldCharType="separate"/>
      </w:r>
      <w:r w:rsidR="00CA1237" w:rsidRPr="007C73D7">
        <w:rPr>
          <w:noProof/>
          <w:color w:val="000000" w:themeColor="text1"/>
        </w:rPr>
        <w:t>[11]</w:t>
      </w:r>
      <w:r w:rsidRPr="007C73D7">
        <w:rPr>
          <w:color w:val="000000" w:themeColor="text1"/>
        </w:rPr>
        <w:fldChar w:fldCharType="end"/>
      </w:r>
      <w:r w:rsidR="006D0BBA" w:rsidRPr="007C73D7">
        <w:rPr>
          <w:color w:val="000000" w:themeColor="text1"/>
        </w:rPr>
        <w:t xml:space="preserve"> </w:t>
      </w:r>
      <w:r w:rsidRPr="007C73D7">
        <w:rPr>
          <w:color w:val="000000" w:themeColor="text1"/>
        </w:rPr>
        <w:t xml:space="preserve">estimated the </w:t>
      </w:r>
      <w:r w:rsidR="00D35D2D" w:rsidRPr="007C73D7">
        <w:rPr>
          <w:color w:val="000000" w:themeColor="text1"/>
        </w:rPr>
        <w:t xml:space="preserve">expenditure </w:t>
      </w:r>
      <w:r w:rsidRPr="007C73D7">
        <w:rPr>
          <w:color w:val="000000" w:themeColor="text1"/>
        </w:rPr>
        <w:t xml:space="preserve">elasticity of </w:t>
      </w:r>
      <w:r w:rsidR="001E1817" w:rsidRPr="007C73D7">
        <w:rPr>
          <w:color w:val="000000" w:themeColor="text1"/>
        </w:rPr>
        <w:t>IMR</w:t>
      </w:r>
      <w:r w:rsidRPr="007C73D7">
        <w:rPr>
          <w:color w:val="000000" w:themeColor="text1"/>
        </w:rPr>
        <w:t xml:space="preserve"> to be -0.24.</w:t>
      </w:r>
      <w:r w:rsidR="006D0BBA" w:rsidRPr="007C73D7">
        <w:rPr>
          <w:color w:val="000000" w:themeColor="text1"/>
        </w:rPr>
        <w:t xml:space="preserve"> </w:t>
      </w:r>
      <w:proofErr w:type="spellStart"/>
      <w:r w:rsidR="006D0BBA" w:rsidRPr="007C73D7">
        <w:rPr>
          <w:color w:val="000000" w:themeColor="text1"/>
        </w:rPr>
        <w:t>Edoka</w:t>
      </w:r>
      <w:proofErr w:type="spellEnd"/>
      <w:r w:rsidR="006D0BBA" w:rsidRPr="007C73D7">
        <w:rPr>
          <w:color w:val="000000" w:themeColor="text1"/>
        </w:rPr>
        <w:t xml:space="preserve"> and Stacey </w:t>
      </w:r>
      <w:r w:rsidRPr="007C73D7">
        <w:rPr>
          <w:color w:val="000000" w:themeColor="text1"/>
        </w:rPr>
        <w:t>found the U5MR elasticity in South Africa to be -0.519</w:t>
      </w:r>
      <w:r w:rsidR="00005147" w:rsidRPr="007C73D7">
        <w:rPr>
          <w:color w:val="000000" w:themeColor="text1"/>
        </w:rPr>
        <w:t xml:space="preserve"> </w:t>
      </w:r>
      <w:r w:rsidRPr="007C73D7">
        <w:rPr>
          <w:color w:val="000000" w:themeColor="text1"/>
        </w:rPr>
        <w:fldChar w:fldCharType="begin" w:fldLock="1"/>
      </w:r>
      <w:r w:rsidR="00CA1237" w:rsidRPr="007C73D7">
        <w:rPr>
          <w:color w:val="000000" w:themeColor="text1"/>
        </w:rPr>
        <w:instrText xml:space="preserve">ADDIN CSL_CITATION {"citationItems":[{"id":"ITEM-1","itemData":{"DOI":"10.1093/heapol/czz152","ISSN":"14602237","PMID":"32125375","abstract":"Cost-effectiveness thresholds are important decision rules that determine whether health interventions represent good value for money. In low- and middle-income countries, the World Health Organization (WHO) one to three times per capita gross domestic product (GDP) per disability-adjusted life years (DALYs) averted has been the most widely used threshold for informing resource allocation decisions. However, in 2016, the WHO withdrew recommendations for using this threshold, creating a significant vacuum in South Africa and many countries that rely on results of cost-effectiveness analyses for making resource allocation decisions. This study estimates a cost-effectiveness threshold that reflects the health opportunity cost of health spending in South Africa using a three-step approach. First, marginal returns to health spending was estimated as health spending elasticity for crude death rates using a fixed effect estimation approach. Second, the opportunity cost of health spending was estimated as DALYs averted. Finally, a cost per DALY averted threshold was estimated as the inverse of the marginal product of health spending. We show that 1% of total health spending in 2015 (equivalent to approximately ZAR 1.54 billion/USD 120.7 million) averted 1050 deaths, 34 180 years of life lost, 5880 years lived with disability and 40 055 DALYs. The cost-effectiveness threshold was estimated at approximately ZAR 38 500 (USD 3015) per DALY averted, </w:instrText>
      </w:r>
      <w:r w:rsidR="00CA1237" w:rsidRPr="007C73D7">
        <w:rPr>
          <w:rFonts w:ascii="Cambria Math" w:hAnsi="Cambria Math" w:cs="Cambria Math"/>
          <w:color w:val="000000" w:themeColor="text1"/>
        </w:rPr>
        <w:instrText>∼</w:instrText>
      </w:r>
      <w:r w:rsidR="00CA1237" w:rsidRPr="007C73D7">
        <w:rPr>
          <w:color w:val="000000" w:themeColor="text1"/>
        </w:rPr>
        <w:instrText>53% of South Africa's per capita GDP in 2015 (ZAR 72 700/USD 5700) and lower than the previously recommended one to three times per capita GDP. As South Africa moves towards implementing universal health coverage reforms through National Health Insurance by 2025, the adoption of a threshold that reflects health opportunity costs will be crucial for ensuring efficiency in the allocation of scarce resources. This study provides useful insight into the magnitude of the health opportunity cost of health spending in South Africa and highlights the need for further research.","author":[{"dropping-particle":"","family":"Edoka","given":"Ijeoma P.","non-dropping-particle":"","parse-names":false,"suffix":""},{"dropping-particle":"","family":"Stacey","given":"Nicholas K.","non-dropping-particle":"","parse-names":false,"suffix":""}],"container-title":"Health policy and planning","id":"ITEM-1","issue":"5","issued":{"date-parts":[["2020"]]},"page":"546-555","title":"Estimating a cost-effectiveness threshold for health care decision-making in South Africa","type":"article-journal","volume":"35"},"uris":["http://www.mendeley.com/documents/?uuid=d03e601e-8e44-4be4-a720-fc4621e831cc"]}],"mendeley":{"formattedCitation":"[18]","plainTextFormattedCitation":"[18]","previouslyFormattedCitation":"[18]"},"properties":{"noteIndex":0},"schema":"https://github.com/citation-style-language/schema/raw/master/csl-citation.json"}</w:instrText>
      </w:r>
      <w:r w:rsidRPr="007C73D7">
        <w:rPr>
          <w:color w:val="000000" w:themeColor="text1"/>
        </w:rPr>
        <w:fldChar w:fldCharType="separate"/>
      </w:r>
      <w:r w:rsidR="00CA1237" w:rsidRPr="007C73D7">
        <w:rPr>
          <w:noProof/>
          <w:color w:val="000000" w:themeColor="text1"/>
        </w:rPr>
        <w:t>[18]</w:t>
      </w:r>
      <w:r w:rsidRPr="007C73D7">
        <w:rPr>
          <w:color w:val="000000" w:themeColor="text1"/>
        </w:rPr>
        <w:fldChar w:fldCharType="end"/>
      </w:r>
      <w:r w:rsidRPr="007C73D7">
        <w:rPr>
          <w:color w:val="000000" w:themeColor="text1"/>
        </w:rPr>
        <w:t xml:space="preserve">. </w:t>
      </w:r>
      <w:r w:rsidR="002E7E87" w:rsidRPr="007C73D7">
        <w:rPr>
          <w:color w:val="000000" w:themeColor="text1"/>
        </w:rPr>
        <w:t xml:space="preserve">For China, </w:t>
      </w:r>
      <w:proofErr w:type="spellStart"/>
      <w:r w:rsidR="002E7E87" w:rsidRPr="007C73D7">
        <w:rPr>
          <w:color w:val="000000" w:themeColor="text1"/>
        </w:rPr>
        <w:t>Ochalek</w:t>
      </w:r>
      <w:proofErr w:type="spellEnd"/>
      <w:r w:rsidR="002E7E87" w:rsidRPr="007C73D7">
        <w:rPr>
          <w:color w:val="000000" w:themeColor="text1"/>
        </w:rPr>
        <w:t xml:space="preserve"> et al</w:t>
      </w:r>
      <w:r w:rsidR="00005147" w:rsidRPr="007C73D7">
        <w:rPr>
          <w:color w:val="000000" w:themeColor="text1"/>
        </w:rPr>
        <w:t>.</w:t>
      </w:r>
      <w:r w:rsidR="002E7E87" w:rsidRPr="007C73D7">
        <w:rPr>
          <w:color w:val="000000" w:themeColor="text1"/>
        </w:rPr>
        <w:t xml:space="preserve"> </w:t>
      </w:r>
      <w:r w:rsidRPr="007C73D7">
        <w:rPr>
          <w:color w:val="000000" w:themeColor="text1"/>
        </w:rPr>
        <w:fldChar w:fldCharType="begin" w:fldLock="1"/>
      </w:r>
      <w:r w:rsidR="0010513A" w:rsidRPr="007C73D7">
        <w:rPr>
          <w:color w:val="000000" w:themeColor="text1"/>
        </w:rPr>
        <w:instrText>ADDIN CSL_CITATION {"citationItems":[{"id":"ITEM-1","itemData":{"DOI":"10.1007/s40273-020-00954-y","ISSN":"1179-2027","abstract":"Health technology assessment has been increasingly used in China, having been legally mandated in 2019, to inform reimbursement decisions and price negotiations between the National Healthcare Security Administration and pharmaceutical companies around the price of new pharmaceuticals. The criteria currently used to judge cost effectiveness and inform pricing negotiations, 3 × GDP per capita, is based on the rule of thumb previously recommended by the World Health Organization rather than an estimate based on an empirical assessment of health opportunity costs.","author":[{"dropping-particle":"","family":"Ochalek","given":"Jessica","non-dropping-particle":"","parse-names":false,"suffix":""},{"dropping-particle":"","family":"Wang","given":"Haiyin","non-dropping-particle":"","parse-names":false,"suffix":""},{"dropping-particle":"","family":"Gu","given":"Yuanyuan","non-dropping-particle":"","parse-names":false,"suffix":""},{"dropping-particle":"","family":"Lomas","given":"James","non-dropping-particle":"","parse-names":false,"suffix":""},{"dropping-particle":"","family":"Cutler","given":"Henry","non-dropping-particle":"","parse-names":false,"suffix":""},{"dropping-particle":"","family":"Jin","given":"Chunlin","non-dropping-particle":"","parse-names":false,"suffix":""}],"container-title":"PharmacoEconomics","id":"ITEM-1","issue":"12","issued":{"date-parts":[["2020"]]},"page":"1319-1331","title":"Informing a Cost-Effectiveness Threshold for Health Technology Assessment in China: A Marginal Productivity Approach","type":"article-journal","volume":"38"},"uris":["http://www.mendeley.com/documents/?uuid=6253a194-7928-4773-819d-dba78415a3c0"]}],"mendeley":{"formattedCitation":"[43]","plainTextFormattedCitation":"[43]","previouslyFormattedCitation":"[43]"},"properties":{"noteIndex":0},"schema":"https://github.com/citation-style-language/schema/raw/master/csl-citation.json"}</w:instrText>
      </w:r>
      <w:r w:rsidRPr="007C73D7">
        <w:rPr>
          <w:color w:val="000000" w:themeColor="text1"/>
        </w:rPr>
        <w:fldChar w:fldCharType="separate"/>
      </w:r>
      <w:r w:rsidR="007A74CB" w:rsidRPr="007C73D7">
        <w:rPr>
          <w:noProof/>
          <w:color w:val="000000" w:themeColor="text1"/>
        </w:rPr>
        <w:t>[43]</w:t>
      </w:r>
      <w:r w:rsidRPr="007C73D7">
        <w:rPr>
          <w:color w:val="000000" w:themeColor="text1"/>
        </w:rPr>
        <w:fldChar w:fldCharType="end"/>
      </w:r>
      <w:r w:rsidR="008B1E7A" w:rsidRPr="007C73D7">
        <w:rPr>
          <w:color w:val="000000" w:themeColor="text1"/>
        </w:rPr>
        <w:t xml:space="preserve"> </w:t>
      </w:r>
      <w:r w:rsidR="002E7E87" w:rsidRPr="007C73D7">
        <w:rPr>
          <w:color w:val="000000" w:themeColor="text1"/>
        </w:rPr>
        <w:t xml:space="preserve">found the U5MR elasticity to be </w:t>
      </w:r>
      <w:r w:rsidR="0F957746" w:rsidRPr="007C73D7">
        <w:rPr>
          <w:color w:val="000000" w:themeColor="text1"/>
        </w:rPr>
        <w:t>-</w:t>
      </w:r>
      <w:r w:rsidR="002E7E87" w:rsidRPr="007C73D7">
        <w:rPr>
          <w:color w:val="000000" w:themeColor="text1"/>
          <w:lang w:val="en-US"/>
        </w:rPr>
        <w:t xml:space="preserve">0.448 and IMR to be </w:t>
      </w:r>
      <w:r w:rsidR="0F957746" w:rsidRPr="007C73D7">
        <w:rPr>
          <w:color w:val="000000" w:themeColor="text1"/>
          <w:lang w:val="en-US"/>
        </w:rPr>
        <w:t>-</w:t>
      </w:r>
      <w:r w:rsidR="002E7E87" w:rsidRPr="007C73D7">
        <w:rPr>
          <w:color w:val="000000" w:themeColor="text1"/>
          <w:lang w:val="en-US"/>
        </w:rPr>
        <w:t>0.677</w:t>
      </w:r>
      <w:r w:rsidR="00005147" w:rsidRPr="007C73D7">
        <w:rPr>
          <w:color w:val="000000" w:themeColor="text1"/>
          <w:lang w:val="en-US"/>
        </w:rPr>
        <w:t xml:space="preserve"> </w:t>
      </w:r>
      <w:r w:rsidRPr="007C73D7">
        <w:rPr>
          <w:color w:val="000000" w:themeColor="text1"/>
          <w:lang w:val="en-US"/>
        </w:rPr>
        <w:fldChar w:fldCharType="begin" w:fldLock="1"/>
      </w:r>
      <w:r w:rsidR="0010513A" w:rsidRPr="007C73D7">
        <w:rPr>
          <w:color w:val="000000" w:themeColor="text1"/>
          <w:lang w:val="en-US"/>
        </w:rPr>
        <w:instrText>ADDIN CSL_CITATION {"citationItems":[{"id":"ITEM-1","itemData":{"DOI":"10.1007/s40273-020-00954-y","ISSN":"1179-2027","abstract":"Health technology assessment has been increasingly used in China, having been legally mandated in 2019, to inform reimbursement decisions and price negotiations between the National Healthcare Security Administration and pharmaceutical companies around the price of new pharmaceuticals. The criteria currently used to judge cost effectiveness and inform pricing negotiations, 3 × GDP per capita, is based on the rule of thumb previously recommended by the World Health Organization rather than an estimate based on an empirical assessment of health opportunity costs.","author":[{"dropping-particle":"","family":"Ochalek","given":"Jessica","non-dropping-particle":"","parse-names":false,"suffix":""},{"dropping-particle":"","family":"Wang","given":"Haiyin","non-dropping-particle":"","parse-names":false,"suffix":""},{"dropping-particle":"","family":"Gu","given":"Yuanyuan","non-dropping-particle":"","parse-names":false,"suffix":""},{"dropping-particle":"","family":"Lomas","given":"James","non-dropping-particle":"","parse-names":false,"suffix":""},{"dropping-particle":"","family":"Cutler","given":"Henry","non-dropping-particle":"","parse-names":false,"suffix":""},{"dropping-particle":"","family":"Jin","given":"Chunlin","non-dropping-particle":"","parse-names":false,"suffix":""}],"container-title":"PharmacoEconomics","id":"ITEM-1","issue":"12","issued":{"date-parts":[["2020"]]},"page":"1319-1331","title":"Informing a Cost-Effectiveness Threshold for Health Technology Assessment in China: A Marginal Productivity Approach","type":"article-journal","volume":"38"},"uris":["http://www.mendeley.com/documents/?uuid=6253a194-7928-4773-819d-dba78415a3c0"]}],"mendeley":{"formattedCitation":"[43]","plainTextFormattedCitation":"[43]","previouslyFormattedCitation":"[43]"},"properties":{"noteIndex":0},"schema":"https://github.com/citation-style-language/schema/raw/master/csl-citation.json"}</w:instrText>
      </w:r>
      <w:r w:rsidRPr="007C73D7">
        <w:rPr>
          <w:color w:val="000000" w:themeColor="text1"/>
          <w:lang w:val="en-US"/>
        </w:rPr>
        <w:fldChar w:fldCharType="separate"/>
      </w:r>
      <w:r w:rsidR="007A74CB" w:rsidRPr="007C73D7">
        <w:rPr>
          <w:noProof/>
          <w:color w:val="000000" w:themeColor="text1"/>
          <w:lang w:val="en-US"/>
        </w:rPr>
        <w:t>[43]</w:t>
      </w:r>
      <w:r w:rsidRPr="007C73D7">
        <w:rPr>
          <w:color w:val="000000" w:themeColor="text1"/>
          <w:lang w:val="en-US"/>
        </w:rPr>
        <w:fldChar w:fldCharType="end"/>
      </w:r>
      <w:r w:rsidR="002E7E87" w:rsidRPr="007C73D7">
        <w:rPr>
          <w:color w:val="000000" w:themeColor="text1"/>
          <w:lang w:val="en-US"/>
        </w:rPr>
        <w:t xml:space="preserve">.  </w:t>
      </w:r>
      <w:r w:rsidRPr="007C73D7">
        <w:rPr>
          <w:color w:val="000000" w:themeColor="text1"/>
        </w:rPr>
        <w:t xml:space="preserve">Using cross-country regression analysis, </w:t>
      </w:r>
      <w:r w:rsidR="006D0BBA" w:rsidRPr="007C73D7">
        <w:rPr>
          <w:color w:val="000000" w:themeColor="text1"/>
        </w:rPr>
        <w:t xml:space="preserve">Bokhari et al. </w:t>
      </w:r>
      <w:r w:rsidRPr="007C73D7">
        <w:rPr>
          <w:color w:val="000000" w:themeColor="text1"/>
        </w:rPr>
        <w:fldChar w:fldCharType="begin" w:fldLock="1"/>
      </w:r>
      <w:r w:rsidRPr="007C73D7">
        <w:rPr>
          <w:color w:val="000000" w:themeColor="text1"/>
        </w:rPr>
        <w:instrText>ADDIN CSL_CITATION {"citationItems":[{"id":"ITEM-1","itemData":{"DOI":"10.1002/hec","abstract":"This paper provides econometric evidence linking a country’s per capita government health expenditures and per capita income to two health outcomes: under-five mortality and maternal mortality. Using instrumental variables techniques (GMM-H2SL), we estimate the elasticity of these outcomes with respect to government health expenditures and income while treating both variables as endogenous. Consequently, our elasticity estimates are larger in magnitude than those reported in literature, which may be biased up. The elasticity of under-five mortality with respect to government expenditures ranges from ?0:25 to ?0:42 with a mean value of ?0:33: For maternal mortality the elasticity ranges from ?0:42 to ?0:52 with a mean value of ?0:50: For developing countries, our results imply that while economic growth is certainly an important contributor to health outcomes, government spending on health is just as important a factor.","author":[{"dropping-particle":"","family":"Bokhari","given":"Farasat A","non-dropping-particle":"","parse-names":false,"suffix":""},{"dropping-particle":"","family":"Gai","given":"Yunwei","non-dropping-particle":"","parse-names":false,"suffix":""},{"dropping-particle":"","family":"Gottret","given":"Pablo","non-dropping-particle":"","parse-names":false,"suffix":""}],"container-title":"Health Economics","id":"ITEM-1","issued":{"date-parts":[["2007"]]},"page":"257-273","title":"Government health expenditures and health outcomes","type":"article-journal","volume":"16"},"uris":["http://www.mendeley.com/documents/?uuid=bf59fa25-f35b-483f-94c4-4e6ff6ca5406"]}],"mendeley":{"formattedCitation":"[6]","plainTextFormattedCitation":"[6]","previouslyFormattedCitation":"[6]"},"properties":{"noteIndex":0},"schema":"https://github.com/citation-style-language/schema/raw/master/csl-citation.json"}</w:instrText>
      </w:r>
      <w:r w:rsidRPr="007C73D7">
        <w:rPr>
          <w:color w:val="000000" w:themeColor="text1"/>
        </w:rPr>
        <w:fldChar w:fldCharType="separate"/>
      </w:r>
      <w:r w:rsidR="003F634B" w:rsidRPr="007C73D7">
        <w:rPr>
          <w:noProof/>
          <w:color w:val="000000" w:themeColor="text1"/>
        </w:rPr>
        <w:t>[6]</w:t>
      </w:r>
      <w:r w:rsidRPr="007C73D7">
        <w:rPr>
          <w:color w:val="000000" w:themeColor="text1"/>
        </w:rPr>
        <w:fldChar w:fldCharType="end"/>
      </w:r>
      <w:r w:rsidR="006D0BBA" w:rsidRPr="007C73D7">
        <w:rPr>
          <w:color w:val="000000" w:themeColor="text1"/>
        </w:rPr>
        <w:t xml:space="preserve"> </w:t>
      </w:r>
      <w:r w:rsidR="00D35D2D" w:rsidRPr="007C73D7">
        <w:rPr>
          <w:color w:val="000000" w:themeColor="text1"/>
        </w:rPr>
        <w:t>derived</w:t>
      </w:r>
      <w:r w:rsidRPr="007C73D7">
        <w:rPr>
          <w:color w:val="000000" w:themeColor="text1"/>
        </w:rPr>
        <w:t xml:space="preserve"> country-specific U5MR elasticities</w:t>
      </w:r>
      <w:r w:rsidR="00D35D2D" w:rsidRPr="007C73D7">
        <w:rPr>
          <w:color w:val="000000" w:themeColor="text1"/>
        </w:rPr>
        <w:t xml:space="preserve"> and </w:t>
      </w:r>
      <w:r w:rsidRPr="007C73D7">
        <w:rPr>
          <w:color w:val="000000" w:themeColor="text1"/>
        </w:rPr>
        <w:t>predict</w:t>
      </w:r>
      <w:r w:rsidR="00D35D2D" w:rsidRPr="007C73D7">
        <w:rPr>
          <w:color w:val="000000" w:themeColor="text1"/>
        </w:rPr>
        <w:t>ed</w:t>
      </w:r>
      <w:r w:rsidRPr="007C73D7">
        <w:rPr>
          <w:color w:val="000000" w:themeColor="text1"/>
        </w:rPr>
        <w:t xml:space="preserve"> a value of -0.34 for Indonesia.</w:t>
      </w:r>
    </w:p>
    <w:p w14:paraId="62D99001" w14:textId="6346D668" w:rsidR="00B962B6" w:rsidRPr="007C73D7" w:rsidRDefault="00B962B6">
      <w:r w:rsidRPr="007C73D7">
        <w:t>Our estimate</w:t>
      </w:r>
      <w:r w:rsidR="000651A0" w:rsidRPr="007C73D7">
        <w:t xml:space="preserve"> </w:t>
      </w:r>
      <w:r w:rsidRPr="007C73D7">
        <w:t xml:space="preserve">of </w:t>
      </w:r>
      <w:r w:rsidR="00E348DB" w:rsidRPr="007C73D7">
        <w:rPr>
          <w:color w:val="000000" w:themeColor="text1"/>
        </w:rPr>
        <w:t xml:space="preserve">US$ </w:t>
      </w:r>
      <w:r w:rsidRPr="007C73D7">
        <w:rPr>
          <w:color w:val="000000" w:themeColor="text1"/>
        </w:rPr>
        <w:t>235 per DALY is</w:t>
      </w:r>
      <w:r w:rsidR="00747CB8" w:rsidRPr="007C73D7">
        <w:t xml:space="preserve"> lower than</w:t>
      </w:r>
      <w:r w:rsidR="007F3F0F" w:rsidRPr="007C73D7">
        <w:t xml:space="preserve"> available </w:t>
      </w:r>
      <w:r w:rsidR="00747CB8" w:rsidRPr="007C73D7">
        <w:t>estimates</w:t>
      </w:r>
      <w:r w:rsidR="007F3F0F" w:rsidRPr="007C73D7">
        <w:t xml:space="preserve"> </w:t>
      </w:r>
      <w:r w:rsidR="00747CB8" w:rsidRPr="007C73D7">
        <w:t>based on extrapolation or cross-country analysis.</w:t>
      </w:r>
      <w:r w:rsidR="009B42F9" w:rsidRPr="007C73D7">
        <w:t xml:space="preserve"> </w:t>
      </w:r>
      <w:r w:rsidR="0A7F2472" w:rsidRPr="007C73D7">
        <w:t>However, under a</w:t>
      </w:r>
      <w:r w:rsidR="5CA9E3B9" w:rsidRPr="007C73D7">
        <w:t>lternative</w:t>
      </w:r>
      <w:r w:rsidR="0010513A" w:rsidRPr="007C73D7">
        <w:t>,</w:t>
      </w:r>
      <w:r w:rsidR="5CA9E3B9" w:rsidRPr="007C73D7">
        <w:t xml:space="preserve"> plausible </w:t>
      </w:r>
      <w:r w:rsidR="009B42F9" w:rsidRPr="007C73D7">
        <w:t xml:space="preserve">assumptions made </w:t>
      </w:r>
      <w:r w:rsidR="00040757" w:rsidRPr="007C73D7">
        <w:t xml:space="preserve">in the </w:t>
      </w:r>
      <w:r w:rsidR="5CA9E3B9" w:rsidRPr="007C73D7">
        <w:t>calculation of the cost per DALY averted,</w:t>
      </w:r>
      <w:r w:rsidR="009B42F9" w:rsidRPr="007C73D7">
        <w:t xml:space="preserve"> our </w:t>
      </w:r>
      <w:r w:rsidR="0A7F2472" w:rsidRPr="007C73D7">
        <w:t xml:space="preserve">results </w:t>
      </w:r>
      <w:r w:rsidR="009B42F9" w:rsidRPr="007C73D7">
        <w:t>overlap with those</w:t>
      </w:r>
      <w:r w:rsidR="00B367E4" w:rsidRPr="007C73D7">
        <w:t xml:space="preserve"> reported</w:t>
      </w:r>
      <w:r w:rsidR="009B42F9" w:rsidRPr="007C73D7">
        <w:t xml:space="preserve"> in </w:t>
      </w:r>
      <w:r w:rsidR="006D0BBA" w:rsidRPr="007C73D7">
        <w:rPr>
          <w:lang w:val="fr-LU"/>
        </w:rPr>
        <w:t xml:space="preserve">Woods et al. </w:t>
      </w:r>
      <w:r w:rsidRPr="007C73D7">
        <w:fldChar w:fldCharType="begin" w:fldLock="1"/>
      </w:r>
      <w:r w:rsidR="0010513A" w:rsidRPr="007C73D7">
        <w:rPr>
          <w:lang w:val="fr-LU"/>
        </w:rPr>
        <w:instrText>ADDIN CSL_CITATION {"citationItems":[{"id":"ITEM-1","itemData":{"DOI":"10.1016/j.jval.2016.02.017","ISSN":"15244733","PMID":"27987642","abstract":"Background Cost-effectiveness analysis can guide policymakers in resource allocation decisions. It assesses whether the health gains offered by an intervention are large enough relative to any additional costs to warrant adoption. When there are constraints on the health care system's budget or ability to increase expenditures, additional costs imposed by interventions have an “opportunity cost” in terms of the health foregone because other interventions cannot be provided. Cost-effectiveness thresholds (CETs) are typically used to assess whether an intervention is worthwhile and should reflect health opportunity cost. Nevertheless, CETs used by some decision makers—such as the World Health Organization that suggested CETs of 1 to 3 times the gross domestic product (GDP) per capita—do not. Objectives To estimate CETs based on opportunity cost for a wide range of countries. Methods We estimated CETs based on recent empirical estimates of opportunity cost (from the English National Health Service), estimates of the relationship between country GDP per capita and the value of a statistical life, and a series of explicit assumptions. Results CETs for Malawi (the country with the lowest income in the world), Cambodia (with borderline low/low-middle income), El Salvador (with borderline low-middle/upper-middle income), and Kazakhstan (with borderline high-middle/high income) were estimated to be $3 to $116 (1%–51% GDP per capita), $44 to $518 (4%–51%), $422 to $1967 (11%–51%), and $4485 to $8018 (32%–59%), respectively. Conclusions To date, opportunity-cost-based CETs for low-/middle-income countries have not been available. Although uncertainty exists in the underlying assumptions, these estimates can provide a useful input to inform resource allocation decisions and suggest that routinely used CETs have been too high.","author":[{"dropping-particle":"","family":"Woods","given":"Beth","non-dropping-particle":"","parse-names":false,"suffix":""},{"dropping-particle":"","family":"Revill","given":"Paul","non-dropping-particle":"","parse-names":false,"suffix":""},{"dropping-particle":"","family":"Sculpher","given":"Mark","non-dropping-particle":"","parse-names":false,"suffix":""},{"dropping-particle":"","family":"Claxton","given":"Karl","non-dropping-particle":"","parse-names":false,"suffix":""}],"container-title":"Value in Health","id":"ITEM-1","issue":"8","issued":{"date-parts":[["2016"]]},"page":"929-935","publisher":"Elsevier","title":"Country-Level Cost-Effectiveness Thresholds: Initial Estimates and the Need for Further Research","type":"article-journal","volume":"19"},"uris":["http://www.mendeley.com/documents/?uuid=8f09947e-3946-45f1-afb7-2f3470938f3f"]}],"mendeley":{"formattedCitation":"[44]","plainTextFormattedCitation":"[44]","previouslyFormattedCitation":"[44]"},"properties":{"noteIndex":0},"schema":"https://github.com/citation-style-language/schema/raw/master/csl-citation.json"}</w:instrText>
      </w:r>
      <w:r w:rsidRPr="007C73D7">
        <w:fldChar w:fldCharType="separate"/>
      </w:r>
      <w:r w:rsidR="007A74CB" w:rsidRPr="007C73D7">
        <w:rPr>
          <w:noProof/>
          <w:lang w:val="fr-LU"/>
        </w:rPr>
        <w:t>[44]</w:t>
      </w:r>
      <w:r w:rsidRPr="007C73D7">
        <w:fldChar w:fldCharType="end"/>
      </w:r>
      <w:r w:rsidR="0009466A" w:rsidRPr="007C73D7">
        <w:rPr>
          <w:lang w:val="fr-LU"/>
        </w:rPr>
        <w:t xml:space="preserve"> and </w:t>
      </w:r>
      <w:proofErr w:type="spellStart"/>
      <w:r w:rsidR="0009466A" w:rsidRPr="007C73D7">
        <w:rPr>
          <w:lang w:val="fr-LU"/>
        </w:rPr>
        <w:t>Ochalek</w:t>
      </w:r>
      <w:proofErr w:type="spellEnd"/>
      <w:r w:rsidR="0009466A" w:rsidRPr="007C73D7">
        <w:rPr>
          <w:lang w:val="fr-LU"/>
        </w:rPr>
        <w:t xml:space="preserve"> et al. </w:t>
      </w:r>
      <w:r w:rsidRPr="007C73D7">
        <w:fldChar w:fldCharType="begin" w:fldLock="1"/>
      </w:r>
      <w:r w:rsidR="00BB7FBF" w:rsidRPr="007C73D7">
        <w:rPr>
          <w:lang w:val="fr-LU"/>
        </w:rPr>
        <w:instrText>ADDIN CSL_CITATION {"citationItems":[{"id":"ITEM-1","itemData":{"DOI":"10.1136/bmjgh-2018-000964","ISSN":"20597908","abstract":"The economic evaluation of healthcare interventions requires an assessment of whether the improvement in health outcomes they offer exceeds the improvement in health that would have been possible if the additional resources required had, instead, been made available for other healthcare activities. Therefore, some assessment of these health opportunity costs is required if the best use is to be made of the resources available for healthcare. This paper provides a framework for generating country-specific estimates of cost per disability-adjusted life year (DALY) averted ‘thresholds’ that reflect health opportunity costs. We apply estimated elasticities on mortality, survival, morbidity and a generic measure of health, DALYs, that take account of measures of a country’s infrastructure and changes in donor funding to country-specific data on health expenditure, epidemiology and demographics to determine the likely DALYs averted from a 1% change in expenditure on health. The resulting range of cost per DALY averted ‘threshold’ estimates for each country that represent likely health opportunity costs tend to fall below the range previously suggested by WHO of 1–3× gross domestic product (GDP) per capita. The 1–3× GDP range and many other previous and existing recommendations about which interventions are cost-effective are not based on an empirical assessment of the likely health opportunity costs, and as a consequence, the health effects of changes in health expenditure have tended to be underestimated, and there is a risk that interventions regarded as cost-effective reduce rather than improve health outcomes overall.","author":[{"dropping-particle":"","family":"Ochalek","given":"Jessica","non-dropping-particle":"","parse-names":false,"suffix":""},{"dropping-particle":"","family":"Lomas","given":"James","non-dropping-particle":"","parse-names":false,"suffix":""},{"dropping-particle":"","family":"Claxton","given":"Karl","non-dropping-particle":"","parse-names":false,"suffix":""}],"container-title":"BMJ Global Health","id":"ITEM-1","issue":"6","issued":{"date-parts":[["2018"]]},"title":"Estimating health opportunity costs in low-income and middle-income countries: A novel approach and evidence from cross-country data","type":"article-journal","volume":"3"},"uris":["http://www.mendeley.com/documents/?uuid=fe4dba9f-e2eb-425d-9730-f7907a60f647"]}],"mendeley":{"formattedCitation":"[40]","plainTextFormattedCitation":"[40]","previouslyFormattedCitation":"[40]"},"properties":{"noteIndex":0},"schema":"https://github.com/citation-style-language/schema/raw/master/csl-citation.json"}</w:instrText>
      </w:r>
      <w:r w:rsidRPr="007C73D7">
        <w:fldChar w:fldCharType="separate"/>
      </w:r>
      <w:r w:rsidR="00BB7FBF" w:rsidRPr="007C73D7">
        <w:rPr>
          <w:noProof/>
          <w:lang w:val="fr-LU"/>
        </w:rPr>
        <w:t>[40]</w:t>
      </w:r>
      <w:r w:rsidRPr="007C73D7">
        <w:fldChar w:fldCharType="end"/>
      </w:r>
      <w:r w:rsidR="00FE52F6" w:rsidRPr="007C73D7">
        <w:t>. These studies</w:t>
      </w:r>
      <w:r w:rsidR="00E21300" w:rsidRPr="007C73D7">
        <w:t xml:space="preserve"> </w:t>
      </w:r>
      <w:r w:rsidR="00E21300" w:rsidRPr="007C73D7">
        <w:rPr>
          <w:lang w:val="fr-LU"/>
        </w:rPr>
        <w:t xml:space="preserve">report, </w:t>
      </w:r>
      <w:proofErr w:type="spellStart"/>
      <w:r w:rsidR="00E21300" w:rsidRPr="007C73D7">
        <w:rPr>
          <w:lang w:val="fr-LU"/>
        </w:rPr>
        <w:t>respectively</w:t>
      </w:r>
      <w:proofErr w:type="spellEnd"/>
      <w:r w:rsidR="00E21300" w:rsidRPr="007C73D7">
        <w:rPr>
          <w:lang w:val="fr-LU"/>
        </w:rPr>
        <w:t>,</w:t>
      </w:r>
      <w:r w:rsidR="007F3F0F" w:rsidRPr="007C73D7">
        <w:rPr>
          <w:lang w:val="fr-LU"/>
        </w:rPr>
        <w:t xml:space="preserve"> </w:t>
      </w:r>
      <w:proofErr w:type="spellStart"/>
      <w:r w:rsidR="00E21300" w:rsidRPr="007C73D7">
        <w:rPr>
          <w:lang w:val="fr-LU"/>
        </w:rPr>
        <w:t>costs</w:t>
      </w:r>
      <w:proofErr w:type="spellEnd"/>
      <w:r w:rsidR="00E21300" w:rsidRPr="007C73D7">
        <w:rPr>
          <w:lang w:val="fr-LU"/>
        </w:rPr>
        <w:t xml:space="preserve"> per DALY for </w:t>
      </w:r>
      <w:proofErr w:type="spellStart"/>
      <w:r w:rsidR="00E21300" w:rsidRPr="007C73D7">
        <w:rPr>
          <w:lang w:val="fr-LU"/>
        </w:rPr>
        <w:t>Indonesia</w:t>
      </w:r>
      <w:proofErr w:type="spellEnd"/>
      <w:r w:rsidR="00E21300" w:rsidRPr="007C73D7">
        <w:rPr>
          <w:lang w:val="fr-LU"/>
        </w:rPr>
        <w:t xml:space="preserve"> </w:t>
      </w:r>
      <w:r w:rsidR="007F3F0F" w:rsidRPr="007C73D7">
        <w:rPr>
          <w:lang w:val="fr-LU"/>
        </w:rPr>
        <w:t xml:space="preserve">in the range </w:t>
      </w:r>
      <w:r w:rsidR="00E21300" w:rsidRPr="007C73D7">
        <w:rPr>
          <w:lang w:val="fr-LU"/>
        </w:rPr>
        <w:t xml:space="preserve">of </w:t>
      </w:r>
      <w:r w:rsidR="00E21300" w:rsidRPr="007C73D7">
        <w:rPr>
          <w:color w:val="000000" w:themeColor="text1"/>
          <w:lang w:val="fr-LU"/>
        </w:rPr>
        <w:t>562 – 2125 (2019 $US) and 661 – 961 (2019 $US).</w:t>
      </w:r>
      <w:r w:rsidR="00E21300" w:rsidRPr="007C73D7">
        <w:rPr>
          <w:lang w:val="fr-LU"/>
        </w:rPr>
        <w:t xml:space="preserve"> </w:t>
      </w:r>
      <w:r w:rsidR="00747CB8" w:rsidRPr="007C73D7">
        <w:t xml:space="preserve">The </w:t>
      </w:r>
      <w:r w:rsidR="00B33F92" w:rsidRPr="007C73D7">
        <w:t xml:space="preserve">lower cost per DALY estimate found in this </w:t>
      </w:r>
      <w:r w:rsidR="0A61598F" w:rsidRPr="007C73D7">
        <w:t>study</w:t>
      </w:r>
      <w:r w:rsidR="00747CB8" w:rsidRPr="007C73D7">
        <w:t xml:space="preserve"> may </w:t>
      </w:r>
      <w:r w:rsidR="00A6155B" w:rsidRPr="007C73D7">
        <w:t>be</w:t>
      </w:r>
      <w:r w:rsidR="00B33F92" w:rsidRPr="007C73D7">
        <w:t xml:space="preserve"> explained by</w:t>
      </w:r>
      <w:r w:rsidR="00A6155B" w:rsidRPr="007C73D7">
        <w:t xml:space="preserve"> various </w:t>
      </w:r>
      <w:r w:rsidR="0A61598F" w:rsidRPr="007C73D7">
        <w:t>factors</w:t>
      </w:r>
      <w:r w:rsidR="31AA7A77" w:rsidRPr="007C73D7">
        <w:t>.</w:t>
      </w:r>
      <w:r w:rsidR="00747CB8" w:rsidRPr="007C73D7">
        <w:t xml:space="preserve"> </w:t>
      </w:r>
      <w:r w:rsidR="006D0BBA" w:rsidRPr="007C73D7">
        <w:t xml:space="preserve">Woods et al. </w:t>
      </w:r>
      <w:r w:rsidRPr="007C73D7">
        <w:fldChar w:fldCharType="begin" w:fldLock="1"/>
      </w:r>
      <w:r w:rsidR="0010513A" w:rsidRPr="007C73D7">
        <w:instrText>ADDIN CSL_CITATION {"citationItems":[{"id":"ITEM-1","itemData":{"DOI":"10.1016/j.jval.2016.02.017","ISSN":"15244733","PMID":"27987642","abstract":"Background Cost-effectiveness analysis can guide policymakers in resource allocation decisions. It assesses whether the health gains offered by an intervention are large enough relative to any additional costs to warrant adoption. When there are constraints on the health care system's budget or ability to increase expenditures, additional costs imposed by interventions have an “opportunity cost” in terms of the health foregone because other interventions cannot be provided. Cost-effectiveness thresholds (CETs) are typically used to assess whether an intervention is worthwhile and should reflect health opportunity cost. Nevertheless, CETs used by some decision makers—such as the World Health Organization that suggested CETs of 1 to 3 times the gross domestic product (GDP) per capita—do not. Objectives To estimate CETs based on opportunity cost for a wide range of countries. Methods We estimated CETs based on recent empirical estimates of opportunity cost (from the English National Health Service), estimates of the relationship between country GDP per capita and the value of a statistical life, and a series of explicit assumptions. Results CETs for Malawi (the country with the lowest income in the world), Cambodia (with borderline low/low-middle income), El Salvador (with borderline low-middle/upper-middle income), and Kazakhstan (with borderline high-middle/high income) were estimated to be $3 to $116 (1%–51% GDP per capita), $44 to $518 (4%–51%), $422 to $1967 (11%–51%), and $4485 to $8018 (32%–59%), respectively. Conclusions To date, opportunity-cost-based CETs for low-/middle-income countries have not been available. Although uncertainty exists in the underlying assumptions, these estimates can provide a useful input to inform resource allocation decisions and suggest that routinely used CETs have been too high.","author":[{"dropping-particle":"","family":"Woods","given":"Beth","non-dropping-particle":"","parse-names":false,"suffix":""},{"dropping-particle":"","family":"Revill","given":"Paul","non-dropping-particle":"","parse-names":false,"suffix":""},{"dropping-particle":"","family":"Sculpher","given":"Mark","non-dropping-particle":"","parse-names":false,"suffix":""},{"dropping-particle":"","family":"Claxton","given":"Karl","non-dropping-particle":"","parse-names":false,"suffix":""}],"container-title":"Value in Health","id":"ITEM-1","issue":"8","issued":{"date-parts":[["2016"]]},"page":"929-935","publisher":"Elsevier","title":"Country-Level Cost-Effectiveness Thresholds: Initial Estimates and the Need for Further Research","type":"article-journal","volume":"19"},"uris":["http://www.mendeley.com/documents/?uuid=8f09947e-3946-45f1-afb7-2f3470938f3f"]}],"mendeley":{"formattedCitation":"[44]","plainTextFormattedCitation":"[44]","previouslyFormattedCitation":"[44]"},"properties":{"noteIndex":0},"schema":"https://github.com/citation-style-language/schema/raw/master/csl-citation.json"}</w:instrText>
      </w:r>
      <w:r w:rsidRPr="007C73D7">
        <w:fldChar w:fldCharType="separate"/>
      </w:r>
      <w:r w:rsidR="007A74CB" w:rsidRPr="007C73D7">
        <w:rPr>
          <w:noProof/>
        </w:rPr>
        <w:t>[44]</w:t>
      </w:r>
      <w:r w:rsidRPr="007C73D7">
        <w:fldChar w:fldCharType="end"/>
      </w:r>
      <w:r w:rsidR="00747CB8" w:rsidRPr="007C73D7">
        <w:t xml:space="preserve"> </w:t>
      </w:r>
      <w:r w:rsidR="0009466A" w:rsidRPr="007C73D7">
        <w:t>rely</w:t>
      </w:r>
      <w:r w:rsidR="00747CB8" w:rsidRPr="007C73D7">
        <w:t xml:space="preserve"> on the assumption that the income elasticity of the value of a statistical life is appropriate for extrapolating the estimate of cost per QALY from the UK, and that the UK estimate itself is reasonable. Comparisons with </w:t>
      </w:r>
      <w:proofErr w:type="spellStart"/>
      <w:r w:rsidR="006D0BBA" w:rsidRPr="007C73D7">
        <w:t>Ochalek</w:t>
      </w:r>
      <w:proofErr w:type="spellEnd"/>
      <w:r w:rsidR="006D0BBA" w:rsidRPr="007C73D7">
        <w:t xml:space="preserve"> et al. </w:t>
      </w:r>
      <w:r w:rsidRPr="007C73D7">
        <w:fldChar w:fldCharType="begin" w:fldLock="1"/>
      </w:r>
      <w:r w:rsidR="00BB7FBF" w:rsidRPr="007C73D7">
        <w:instrText>ADDIN CSL_CITATION {"citationItems":[{"id":"ITEM-1","itemData":{"DOI":"10.1136/bmjgh-2018-000964","ISSN":"20597908","abstract":"The economic evaluation of healthcare interventions requires an assessment of whether the improvement in health outcomes they offer exceeds the improvement in health that would have been possible if the additional resources required had, instead, been made available for other healthcare activities. Therefore, some assessment of these health opportunity costs is required if the best use is to be made of the resources available for healthcare. This paper provides a framework for generating country-specific estimates of cost per disability-adjusted life year (DALY) averted ‘thresholds’ that reflect health opportunity costs. We apply estimated elasticities on mortality, survival, morbidity and a generic measure of health, DALYs, that take account of measures of a country’s infrastructure and changes in donor funding to country-specific data on health expenditure, epidemiology and demographics to determine the likely DALYs averted from a 1% change in expenditure on health. The resulting range of cost per DALY averted ‘threshold’ estimates for each country that represent likely health opportunity costs tend to fall below the range previously suggested by WHO of 1–3× gross domestic product (GDP) per capita. The 1–3× GDP range and many other previous and existing recommendations about which interventions are cost-effective are not based on an empirical assessment of the likely health opportunity costs, and as a consequence, the health effects of changes in health expenditure have tended to be underestimated, and there is a risk that interventions regarded as cost-effective reduce rather than improve health outcomes overall.","author":[{"dropping-particle":"","family":"Ochalek","given":"Jessica","non-dropping-particle":"","parse-names":false,"suffix":""},{"dropping-particle":"","family":"Lomas","given":"James","non-dropping-particle":"","parse-names":false,"suffix":""},{"dropping-particle":"","family":"Claxton","given":"Karl","non-dropping-particle":"","parse-names":false,"suffix":""}],"container-title":"BMJ Global Health","id":"ITEM-1","issue":"6","issued":{"date-parts":[["2018"]]},"title":"Estimating health opportunity costs in low-income and middle-income countries: A novel approach and evidence from cross-country data","type":"article-journal","volume":"3"},"uris":["http://www.mendeley.com/documents/?uuid=fe4dba9f-e2eb-425d-9730-f7907a60f647"]}],"mendeley":{"formattedCitation":"[40]","plainTextFormattedCitation":"[40]","previouslyFormattedCitation":"[40]"},"properties":{"noteIndex":0},"schema":"https://github.com/citation-style-language/schema/raw/master/csl-citation.json"}</w:instrText>
      </w:r>
      <w:r w:rsidRPr="007C73D7">
        <w:fldChar w:fldCharType="separate"/>
      </w:r>
      <w:r w:rsidR="00BB7FBF" w:rsidRPr="007C73D7">
        <w:rPr>
          <w:noProof/>
        </w:rPr>
        <w:t>[40]</w:t>
      </w:r>
      <w:r w:rsidRPr="007C73D7">
        <w:fldChar w:fldCharType="end"/>
      </w:r>
      <w:r w:rsidR="006D0BBA" w:rsidRPr="007C73D7">
        <w:t xml:space="preserve"> </w:t>
      </w:r>
      <w:r w:rsidR="00747CB8" w:rsidRPr="007C73D7">
        <w:t>are more straightforward to make</w:t>
      </w:r>
      <w:r w:rsidR="00E21300" w:rsidRPr="007C73D7">
        <w:t xml:space="preserve"> since they use existing estimates of the marginal productivity of healthcare expenditure</w:t>
      </w:r>
      <w:r w:rsidR="00A761C6" w:rsidRPr="007C73D7">
        <w:t xml:space="preserve"> by Bokhari et al.</w:t>
      </w:r>
      <w:r w:rsidR="00E21300" w:rsidRPr="007C73D7">
        <w:t xml:space="preserve"> </w:t>
      </w:r>
      <w:r w:rsidRPr="007C73D7">
        <w:fldChar w:fldCharType="begin" w:fldLock="1"/>
      </w:r>
      <w:r w:rsidRPr="007C73D7">
        <w:instrText>ADDIN CSL_CITATION {"citationItems":[{"id":"ITEM-1","itemData":{"DOI":"10.1002/hec","abstract":"This paper provides econometric evidence linking a country’s per capita government health expenditures and per capita income to two health outcomes: under-five mortality and maternal mortality. Using instrumental variables techniques (GMM-H2SL), we estimate the elasticity of these outcomes with respect to government health expenditures and income while treating both variables as endogenous. Consequently, our elasticity estimates are larger in magnitude than those reported in literature, which may be biased up. The elasticity of under-five mortality with respect to government expenditures ranges from ?0:25 to ?0:42 with a mean value of ?0:33: For maternal mortality the elasticity ranges from ?0:42 to ?0:52 with a mean value of ?0:50: For developing countries, our results imply that while economic growth is certainly an important contributor to health outcomes, government spending on health is just as important a factor.","author":[{"dropping-particle":"","family":"Bokhari","given":"Farasat A","non-dropping-particle":"","parse-names":false,"suffix":""},{"dropping-particle":"","family":"Gai","given":"Yunwei","non-dropping-particle":"","parse-names":false,"suffix":""},{"dropping-particle":"","family":"Gottret","given":"Pablo","non-dropping-particle":"","parse-names":false,"suffix":""}],"container-title":"Health Economics","id":"ITEM-1","issued":{"date-parts":[["2007"]]},"page":"257-273","title":"Government health expenditures and health outcomes","type":"article-journal","volume":"16"},"uris":["http://www.mendeley.com/documents/?uuid=bf59fa25-f35b-483f-94c4-4e6ff6ca5406"]}],"mendeley":{"formattedCitation":"[6]","plainTextFormattedCitation":"[6]","previouslyFormattedCitation":"[6]"},"properties":{"noteIndex":0},"schema":"https://github.com/citation-style-language/schema/raw/master/csl-citation.json"}</w:instrText>
      </w:r>
      <w:r w:rsidRPr="007C73D7">
        <w:fldChar w:fldCharType="separate"/>
      </w:r>
      <w:r w:rsidR="003F634B" w:rsidRPr="007C73D7">
        <w:rPr>
          <w:noProof/>
        </w:rPr>
        <w:t>[6]</w:t>
      </w:r>
      <w:r w:rsidRPr="007C73D7">
        <w:fldChar w:fldCharType="end"/>
      </w:r>
      <w:r w:rsidR="007F3F0F" w:rsidRPr="007C73D7">
        <w:t xml:space="preserve"> that are </w:t>
      </w:r>
      <w:bookmarkStart w:id="8" w:name="_Int_1zCrVsw6"/>
      <w:r w:rsidR="007F3F0F" w:rsidRPr="007C73D7">
        <w:t>similar to</w:t>
      </w:r>
      <w:bookmarkEnd w:id="8"/>
      <w:r w:rsidR="007F3F0F" w:rsidRPr="007C73D7">
        <w:t xml:space="preserve"> our estimates </w:t>
      </w:r>
      <w:r w:rsidR="00E21300" w:rsidRPr="007C73D7">
        <w:t>and apply similar methods to those outlined here to obtain a cost per DALY averted for each country.</w:t>
      </w:r>
      <w:r w:rsidR="00747CB8" w:rsidRPr="007C73D7">
        <w:t xml:space="preserve"> </w:t>
      </w:r>
      <w:r w:rsidR="007F3F0F" w:rsidRPr="007C73D7">
        <w:t xml:space="preserve">While </w:t>
      </w:r>
      <w:proofErr w:type="spellStart"/>
      <w:r w:rsidR="00B6211C" w:rsidRPr="007C73D7">
        <w:t>Ochalek</w:t>
      </w:r>
      <w:proofErr w:type="spellEnd"/>
      <w:r w:rsidR="00B6211C" w:rsidRPr="007C73D7">
        <w:t xml:space="preserve"> et al. </w:t>
      </w:r>
      <w:r w:rsidRPr="007C73D7">
        <w:fldChar w:fldCharType="begin" w:fldLock="1"/>
      </w:r>
      <w:r w:rsidR="00BB7FBF" w:rsidRPr="007C73D7">
        <w:instrText>ADDIN CSL_CITATION {"citationItems":[{"id":"ITEM-1","itemData":{"DOI":"10.1136/bmjgh-2018-000964","ISSN":"20597908","abstract":"The economic evaluation of healthcare interventions requires an assessment of whether the improvement in health outcomes they offer exceeds the improvement in health that would have been possible if the additional resources required had, instead, been made available for other healthcare activities. Therefore, some assessment of these health opportunity costs is required if the best use is to be made of the resources available for healthcare. This paper provides a framework for generating country-specific estimates of cost per disability-adjusted life year (DALY) averted ‘thresholds’ that reflect health opportunity costs. We apply estimated elasticities on mortality, survival, morbidity and a generic measure of health, DALYs, that take account of measures of a country’s infrastructure and changes in donor funding to country-specific data on health expenditure, epidemiology and demographics to determine the likely DALYs averted from a 1% change in expenditure on health. The resulting range of cost per DALY averted ‘threshold’ estimates for each country that represent likely health opportunity costs tend to fall below the range previously suggested by WHO of 1–3× gross domestic product (GDP) per capita. The 1–3× GDP range and many other previous and existing recommendations about which interventions are cost-effective are not based on an empirical assessment of the likely health opportunity costs, and as a consequence, the health effects of changes in health expenditure have tended to be underestimated, and there is a risk that interventions regarded as cost-effective reduce rather than improve health outcomes overall.","author":[{"dropping-particle":"","family":"Ochalek","given":"Jessica","non-dropping-particle":"","parse-names":false,"suffix":""},{"dropping-particle":"","family":"Lomas","given":"James","non-dropping-particle":"","parse-names":false,"suffix":""},{"dropping-particle":"","family":"Claxton","given":"Karl","non-dropping-particle":"","parse-names":false,"suffix":""}],"container-title":"BMJ Global Health","id":"ITEM-1","issue":"6","issued":{"date-parts":[["2018"]]},"title":"Estimating health opportunity costs in low-income and middle-income countries: A novel approach and evidence from cross-country data","type":"article-journal","volume":"3"},"uris":["http://www.mendeley.com/documents/?uuid=fe4dba9f-e2eb-425d-9730-f7907a60f647"]}],"mendeley":{"formattedCitation":"[40]","plainTextFormattedCitation":"[40]","previouslyFormattedCitation":"[40]"},"properties":{"noteIndex":0},"schema":"https://github.com/citation-style-language/schema/raw/master/csl-citation.json"}</w:instrText>
      </w:r>
      <w:r w:rsidRPr="007C73D7">
        <w:fldChar w:fldCharType="separate"/>
      </w:r>
      <w:r w:rsidR="00BB7FBF" w:rsidRPr="007C73D7">
        <w:rPr>
          <w:noProof/>
        </w:rPr>
        <w:t>[40]</w:t>
      </w:r>
      <w:r w:rsidRPr="007C73D7">
        <w:fldChar w:fldCharType="end"/>
      </w:r>
      <w:r w:rsidR="00881A6E" w:rsidRPr="007C73D7">
        <w:t xml:space="preserve"> </w:t>
      </w:r>
      <w:r w:rsidR="00747CB8" w:rsidRPr="007C73D7">
        <w:t>estimate separate elasticities for adult male and adult female mortality and calculate DALYs averted among these population</w:t>
      </w:r>
      <w:r w:rsidR="00A94F2E" w:rsidRPr="007C73D7">
        <w:t>s</w:t>
      </w:r>
      <w:r w:rsidR="00747CB8" w:rsidRPr="007C73D7">
        <w:t xml:space="preserve"> separately</w:t>
      </w:r>
      <w:r w:rsidR="007F3F0F" w:rsidRPr="007C73D7">
        <w:t>, due to data limitation</w:t>
      </w:r>
      <w:r w:rsidR="00A94F2E" w:rsidRPr="007C73D7">
        <w:t>s</w:t>
      </w:r>
      <w:r w:rsidR="007F3F0F" w:rsidRPr="007C73D7">
        <w:t xml:space="preserve"> the current study assumes that </w:t>
      </w:r>
      <w:r w:rsidR="007F3F0F" w:rsidRPr="007C73D7">
        <w:lastRenderedPageBreak/>
        <w:t xml:space="preserve">the estimated proportion of DALYs averted among children under-5 based on the elasticity estimated on U5MR can be extrapolated across the population. </w:t>
      </w:r>
      <w:r w:rsidR="004D027F" w:rsidRPr="007C73D7">
        <w:t>However, w</w:t>
      </w:r>
      <w:r w:rsidR="009D6F92" w:rsidRPr="007C73D7">
        <w:t>hen we relax this assumption</w:t>
      </w:r>
      <w:r w:rsidR="60F2AE8F" w:rsidRPr="007C73D7">
        <w:t>,</w:t>
      </w:r>
      <w:r w:rsidR="009D6F92" w:rsidRPr="007C73D7">
        <w:t xml:space="preserve"> we </w:t>
      </w:r>
      <w:r w:rsidR="0010513A" w:rsidRPr="007C73D7">
        <w:t>find similar estimates to</w:t>
      </w:r>
      <w:r w:rsidR="00E9276E" w:rsidRPr="007C73D7">
        <w:t xml:space="preserve"> those </w:t>
      </w:r>
      <w:r w:rsidR="0010513A" w:rsidRPr="007C73D7">
        <w:t xml:space="preserve">reported </w:t>
      </w:r>
      <w:r w:rsidR="00E9276E" w:rsidRPr="007C73D7">
        <w:t xml:space="preserve">in </w:t>
      </w:r>
      <w:proofErr w:type="spellStart"/>
      <w:r w:rsidR="00E9276E" w:rsidRPr="007C73D7">
        <w:t>Ochalek</w:t>
      </w:r>
      <w:proofErr w:type="spellEnd"/>
      <w:r w:rsidR="00E9276E" w:rsidRPr="007C73D7">
        <w:t xml:space="preserve"> et al. </w:t>
      </w:r>
      <w:r w:rsidR="00E9276E" w:rsidRPr="007C73D7">
        <w:fldChar w:fldCharType="begin" w:fldLock="1"/>
      </w:r>
      <w:r w:rsidR="00BB7FBF" w:rsidRPr="007C73D7">
        <w:instrText>ADDIN CSL_CITATION {"citationItems":[{"id":"ITEM-1","itemData":{"DOI":"10.1136/bmjgh-2018-000964","ISSN":"20597908","abstract":"The economic evaluation of healthcare interventions requires an assessment of whether the improvement in health outcomes they offer exceeds the improvement in health that would have been possible if the additional resources required had, instead, been made available for other healthcare activities. Therefore, some assessment of these health opportunity costs is required if the best use is to be made of the resources available for healthcare. This paper provides a framework for generating country-specific estimates of cost per disability-adjusted life year (DALY) averted ‘thresholds’ that reflect health opportunity costs. We apply estimated elasticities on mortality, survival, morbidity and a generic measure of health, DALYs, that take account of measures of a country’s infrastructure and changes in donor funding to country-specific data on health expenditure, epidemiology and demographics to determine the likely DALYs averted from a 1% change in expenditure on health. The resulting range of cost per DALY averted ‘threshold’ estimates for each country that represent likely health opportunity costs tend to fall below the range previously suggested by WHO of 1–3× gross domestic product (GDP) per capita. The 1–3× GDP range and many other previous and existing recommendations about which interventions are cost-effective are not based on an empirical assessment of the likely health opportunity costs, and as a consequence, the health effects of changes in health expenditure have tended to be underestimated, and there is a risk that interventions regarded as cost-effective reduce rather than improve health outcomes overall.","author":[{"dropping-particle":"","family":"Ochalek","given":"Jessica","non-dropping-particle":"","parse-names":false,"suffix":""},{"dropping-particle":"","family":"Lomas","given":"James","non-dropping-particle":"","parse-names":false,"suffix":""},{"dropping-particle":"","family":"Claxton","given":"Karl","non-dropping-particle":"","parse-names":false,"suffix":""}],"container-title":"BMJ Global Health","id":"ITEM-1","issue":"6","issued":{"date-parts":[["2018"]]},"title":"Estimating health opportunity costs in low-income and middle-income countries: A novel approach and evidence from cross-country data","type":"article-journal","volume":"3"},"uris":["http://www.mendeley.com/documents/?uuid=fe4dba9f-e2eb-425d-9730-f7907a60f647"]}],"mendeley":{"formattedCitation":"[40]","plainTextFormattedCitation":"[40]","previouslyFormattedCitation":"[40]"},"properties":{"noteIndex":0},"schema":"https://github.com/citation-style-language/schema/raw/master/csl-citation.json"}</w:instrText>
      </w:r>
      <w:r w:rsidR="00E9276E" w:rsidRPr="007C73D7">
        <w:fldChar w:fldCharType="separate"/>
      </w:r>
      <w:r w:rsidR="00BB7FBF" w:rsidRPr="007C73D7">
        <w:rPr>
          <w:noProof/>
        </w:rPr>
        <w:t>[40]</w:t>
      </w:r>
      <w:r w:rsidR="00E9276E" w:rsidRPr="007C73D7">
        <w:fldChar w:fldCharType="end"/>
      </w:r>
      <w:r w:rsidR="00E9276E" w:rsidRPr="007C73D7">
        <w:t xml:space="preserve">. </w:t>
      </w:r>
      <w:r w:rsidR="00747CB8" w:rsidRPr="007C73D7">
        <w:t xml:space="preserve">Differences may also arise from the </w:t>
      </w:r>
      <w:r w:rsidR="00E21300" w:rsidRPr="007C73D7">
        <w:t>measures</w:t>
      </w:r>
      <w:r w:rsidR="00747CB8" w:rsidRPr="007C73D7">
        <w:t xml:space="preserve"> of health expenditure or mortality used: </w:t>
      </w:r>
      <w:proofErr w:type="spellStart"/>
      <w:r w:rsidR="00B6211C" w:rsidRPr="007C73D7">
        <w:t>Ochalek</w:t>
      </w:r>
      <w:proofErr w:type="spellEnd"/>
      <w:r w:rsidR="00B6211C" w:rsidRPr="007C73D7">
        <w:t xml:space="preserve"> et al. </w:t>
      </w:r>
      <w:r w:rsidRPr="007C73D7">
        <w:fldChar w:fldCharType="begin" w:fldLock="1"/>
      </w:r>
      <w:r w:rsidR="00BB7FBF" w:rsidRPr="007C73D7">
        <w:instrText>ADDIN CSL_CITATION {"citationItems":[{"id":"ITEM-1","itemData":{"DOI":"10.1136/bmjgh-2018-000964","ISSN":"20597908","abstract":"The economic evaluation of healthcare interventions requires an assessment of whether the improvement in health outcomes they offer exceeds the improvement in health that would have been possible if the additional resources required had, instead, been made available for other healthcare activities. Therefore, some assessment of these health opportunity costs is required if the best use is to be made of the resources available for healthcare. This paper provides a framework for generating country-specific estimates of cost per disability-adjusted life year (DALY) averted ‘thresholds’ that reflect health opportunity costs. We apply estimated elasticities on mortality, survival, morbidity and a generic measure of health, DALYs, that take account of measures of a country’s infrastructure and changes in donor funding to country-specific data on health expenditure, epidemiology and demographics to determine the likely DALYs averted from a 1% change in expenditure on health. The resulting range of cost per DALY averted ‘threshold’ estimates for each country that represent likely health opportunity costs tend to fall below the range previously suggested by WHO of 1–3× gross domestic product (GDP) per capita. The 1–3× GDP range and many other previous and existing recommendations about which interventions are cost-effective are not based on an empirical assessment of the likely health opportunity costs, and as a consequence, the health effects of changes in health expenditure have tended to be underestimated, and there is a risk that interventions regarded as cost-effective reduce rather than improve health outcomes overall.","author":[{"dropping-particle":"","family":"Ochalek","given":"Jessica","non-dropping-particle":"","parse-names":false,"suffix":""},{"dropping-particle":"","family":"Lomas","given":"James","non-dropping-particle":"","parse-names":false,"suffix":""},{"dropping-particle":"","family":"Claxton","given":"Karl","non-dropping-particle":"","parse-names":false,"suffix":""}],"container-title":"BMJ Global Health","id":"ITEM-1","issue":"6","issued":{"date-parts":[["2018"]]},"title":"Estimating health opportunity costs in low-income and middle-income countries: A novel approach and evidence from cross-country data","type":"article-journal","volume":"3"},"uris":["http://www.mendeley.com/documents/?uuid=fe4dba9f-e2eb-425d-9730-f7907a60f647"]}],"mendeley":{"formattedCitation":"[40]","plainTextFormattedCitation":"[40]","previouslyFormattedCitation":"[40]"},"properties":{"noteIndex":0},"schema":"https://github.com/citation-style-language/schema/raw/master/csl-citation.json"}</w:instrText>
      </w:r>
      <w:r w:rsidRPr="007C73D7">
        <w:fldChar w:fldCharType="separate"/>
      </w:r>
      <w:r w:rsidR="00BB7FBF" w:rsidRPr="007C73D7">
        <w:rPr>
          <w:noProof/>
        </w:rPr>
        <w:t>[40]</w:t>
      </w:r>
      <w:r w:rsidRPr="007C73D7">
        <w:fldChar w:fldCharType="end"/>
      </w:r>
      <w:r w:rsidR="00B6211C" w:rsidRPr="007C73D7">
        <w:t xml:space="preserve"> </w:t>
      </w:r>
      <w:r w:rsidR="00747CB8" w:rsidRPr="007C73D7">
        <w:t>use international data sources while this study makes use of more granular</w:t>
      </w:r>
      <w:r w:rsidR="0009466A" w:rsidRPr="007C73D7">
        <w:t xml:space="preserve"> sub</w:t>
      </w:r>
      <w:r w:rsidR="00747CB8" w:rsidRPr="007C73D7">
        <w:t xml:space="preserve">national data. All else equal, a higher estimate of healthcare expenditure will result in a higher cost per DALY averted. Similarly, higher baseline mortality rates would result in more DALYs averted and a lower cost per DALY averted. We assessed the robustness of our results to the assumptions 1) the morbidity burden of disease would be affected to the same extent as the mortality burden of disease by an increase in expenditure, and 2) that same proportion of the DALY burden of disease averted in under-5s would also be averted in the rest of the population. The results varied little, and employing extreme assumptions (i.e., that expenditure has no effect on morbidity </w:t>
      </w:r>
      <w:r w:rsidR="053F9F6E" w:rsidRPr="007C73D7">
        <w:t xml:space="preserve">across the population </w:t>
      </w:r>
      <w:r w:rsidR="00747CB8" w:rsidRPr="007C73D7">
        <w:t>nor on mortality in the population over 5) we still find that cost per DALY averted would be $</w:t>
      </w:r>
      <w:r w:rsidR="053F9F6E" w:rsidRPr="007C73D7">
        <w:t>1,350</w:t>
      </w:r>
      <w:r w:rsidR="00352852">
        <w:t>, which is</w:t>
      </w:r>
      <w:r w:rsidR="053F9F6E" w:rsidRPr="007C73D7">
        <w:t xml:space="preserve"> </w:t>
      </w:r>
      <w:r w:rsidR="00352852">
        <w:t>~</w:t>
      </w:r>
      <w:r w:rsidR="00747CB8" w:rsidRPr="007C73D7">
        <w:t xml:space="preserve">33% </w:t>
      </w:r>
      <w:r w:rsidR="00352852">
        <w:t xml:space="preserve">of the commonly cited CET of 1x </w:t>
      </w:r>
      <w:r w:rsidR="004B575C" w:rsidRPr="004B575C">
        <w:t>GDP per capita</w:t>
      </w:r>
      <w:r w:rsidR="0010513A" w:rsidRPr="007C73D7">
        <w:t>.</w:t>
      </w:r>
    </w:p>
    <w:p w14:paraId="34FE18AA" w14:textId="280D9B19" w:rsidR="6DB014EC" w:rsidRPr="007C73D7" w:rsidRDefault="21C570BB" w:rsidP="7469DDBB">
      <w:pPr>
        <w:rPr>
          <w:rFonts w:ascii="Calibri" w:eastAsia="Calibri" w:hAnsi="Calibri" w:cs="Calibri"/>
          <w:highlight w:val="yellow"/>
        </w:rPr>
      </w:pPr>
      <w:proofErr w:type="spellStart"/>
      <w:r w:rsidRPr="007C73D7">
        <w:rPr>
          <w:rFonts w:ascii="Calibri" w:eastAsia="Calibri" w:hAnsi="Calibri" w:cs="Calibri"/>
        </w:rPr>
        <w:t>Culyer</w:t>
      </w:r>
      <w:proofErr w:type="spellEnd"/>
      <w:r w:rsidRPr="007C73D7">
        <w:rPr>
          <w:rFonts w:ascii="Calibri" w:eastAsia="Calibri" w:hAnsi="Calibri" w:cs="Calibri"/>
        </w:rPr>
        <w:t xml:space="preserve"> et al</w:t>
      </w:r>
      <w:r w:rsidR="27F9CB50" w:rsidRPr="007C73D7">
        <w:rPr>
          <w:rFonts w:ascii="Calibri" w:eastAsia="Calibri" w:hAnsi="Calibri" w:cs="Calibri"/>
        </w:rPr>
        <w:t>.</w:t>
      </w:r>
      <w:r w:rsidRPr="007C73D7">
        <w:rPr>
          <w:rFonts w:ascii="Calibri" w:eastAsia="Calibri" w:hAnsi="Calibri" w:cs="Calibri"/>
        </w:rPr>
        <w:t xml:space="preserve"> </w:t>
      </w:r>
      <w:r w:rsidR="004F3CB5" w:rsidRPr="007C73D7">
        <w:rPr>
          <w:rFonts w:ascii="Calibri" w:eastAsia="Calibri" w:hAnsi="Calibri" w:cs="Calibri"/>
        </w:rPr>
        <w:fldChar w:fldCharType="begin" w:fldLock="1"/>
      </w:r>
      <w:r w:rsidR="00A17D0B">
        <w:rPr>
          <w:rFonts w:ascii="Calibri" w:eastAsia="Calibri" w:hAnsi="Calibri" w:cs="Calibri"/>
        </w:rPr>
        <w:instrText>ADDIN CSL_CITATION {"citationItems":[{"id":"ITEM-1","itemData":{"DOI":"10.1017/S1744133116000049","ISSN":"1744134X","PMID":"26906561","abstract":"There is misunderstanding about both the meaning and the role of cost-effectiveness thresholds in policy decision making. This article dissects the main issues by use of a bookshelf metaphor. Its main conclusions are as follows: it must be possible to compare interventions in terms of their impact on a common measure of health; mere effectiveness is not a persuasive case for inclusion in public insurance plans; public health advocates need to address issues of relative effectiveness; a 'first best' benchmark or threshold ratio of health gain to expenditure identifies the least effective intervention that should be included in a public insurance plan; the reciprocal of this ratio - the 'first best' cost-effectiveness threshold - will rise or fall as the health budget rises or falls (ceteris paribus); setting thresholds too high or too low costs lives; failure to set any cost-effectiveness threshold at all also involves avertable deaths and morbidity; the threshold cannot be set independently of the health budget; the threshold can be approached from either the demand side or the supply side - the two are equivalent only in a health-maximising equilibrium; the supply-side approach generates an estimate of a 'second best' cost-effectiveness threshold that is higher than the 'first best'; the second best threshold is the one generally to be preferred in decisions about adding or subtracting interventions in an established public insurance package; multiple thresholds are implied by systems having distinct and separable health budgets; disinvestment involves eliminating effective technologies from the insured bundle; differential weighting of beneficiaries' health gains may affect the threshold; anonymity and identity are factors that may affect the interpretation of the threshold; the true opportunity cost of health care in a community, where the effectiveness of interventions is determined by their impact on health, is not to be measured in money - but in health itself.","author":[{"dropping-particle":"","family":"Culyer","given":"Anthony J.","non-dropping-particle":"","parse-names":false,"suffix":""}],"container-title":"Health Economics, Policy and Law","id":"ITEM-1","issue":"4","issued":{"date-parts":[["2016"]]},"page":"415-432","title":"Cost-effectiveness thresholds in health care: A bookshelf guide to their meaning and use","type":"article-journal","volume":"11"},"uris":["http://www.mendeley.com/documents/?uuid=0e07d043-e55e-416d-89c7-39de3e8cf012"]}],"mendeley":{"formattedCitation":"[13]","plainTextFormattedCitation":"[13]","previouslyFormattedCitation":"[13]"},"properties":{"noteIndex":0},"schema":"https://github.com/citation-style-language/schema/raw/master/csl-citation.json"}</w:instrText>
      </w:r>
      <w:r w:rsidR="004F3CB5" w:rsidRPr="007C73D7">
        <w:rPr>
          <w:rFonts w:ascii="Calibri" w:eastAsia="Calibri" w:hAnsi="Calibri" w:cs="Calibri"/>
        </w:rPr>
        <w:fldChar w:fldCharType="separate"/>
      </w:r>
      <w:r w:rsidR="153B68D9" w:rsidRPr="007C73D7">
        <w:rPr>
          <w:rFonts w:ascii="Calibri" w:eastAsia="Calibri" w:hAnsi="Calibri" w:cs="Calibri"/>
          <w:noProof/>
        </w:rPr>
        <w:t>[13]</w:t>
      </w:r>
      <w:r w:rsidR="004F3CB5" w:rsidRPr="007C73D7">
        <w:rPr>
          <w:rFonts w:ascii="Calibri" w:eastAsia="Calibri" w:hAnsi="Calibri" w:cs="Calibri"/>
        </w:rPr>
        <w:fldChar w:fldCharType="end"/>
      </w:r>
      <w:r w:rsidRPr="007C73D7">
        <w:rPr>
          <w:rFonts w:ascii="Calibri" w:eastAsia="Calibri" w:hAnsi="Calibri" w:cs="Calibri"/>
        </w:rPr>
        <w:t xml:space="preserve"> des</w:t>
      </w:r>
      <w:r w:rsidR="753BC614" w:rsidRPr="007C73D7">
        <w:rPr>
          <w:rFonts w:ascii="Calibri" w:eastAsia="Calibri" w:hAnsi="Calibri" w:cs="Calibri"/>
        </w:rPr>
        <w:t>cribes a</w:t>
      </w:r>
      <w:r w:rsidR="0DB2B300" w:rsidRPr="007C73D7">
        <w:rPr>
          <w:rFonts w:ascii="Calibri" w:eastAsia="Calibri" w:hAnsi="Calibri" w:cs="Calibri"/>
        </w:rPr>
        <w:t xml:space="preserve">n alternate approach to identifying cost per DALY averted which reflect </w:t>
      </w:r>
      <w:r w:rsidR="17DD9641" w:rsidRPr="007C73D7">
        <w:rPr>
          <w:rFonts w:ascii="Calibri" w:eastAsia="Calibri" w:hAnsi="Calibri" w:cs="Calibri"/>
        </w:rPr>
        <w:t>HOCs</w:t>
      </w:r>
      <w:r w:rsidR="0DB2B300" w:rsidRPr="007C73D7">
        <w:rPr>
          <w:rFonts w:ascii="Calibri" w:eastAsia="Calibri" w:hAnsi="Calibri" w:cs="Calibri"/>
        </w:rPr>
        <w:t xml:space="preserve"> in the healthcare system</w:t>
      </w:r>
      <w:r w:rsidR="1E5B2D5E" w:rsidRPr="007C73D7">
        <w:rPr>
          <w:rFonts w:ascii="Calibri" w:eastAsia="Calibri" w:hAnsi="Calibri" w:cs="Calibri"/>
        </w:rPr>
        <w:t xml:space="preserve">, </w:t>
      </w:r>
      <w:r w:rsidR="0DB2B300" w:rsidRPr="007C73D7">
        <w:rPr>
          <w:rFonts w:ascii="Calibri" w:eastAsia="Calibri" w:hAnsi="Calibri" w:cs="Calibri"/>
        </w:rPr>
        <w:t xml:space="preserve">where the </w:t>
      </w:r>
      <w:r w:rsidR="57D0DF81" w:rsidRPr="007C73D7">
        <w:rPr>
          <w:rFonts w:ascii="Calibri" w:eastAsia="Calibri" w:hAnsi="Calibri" w:cs="Calibri"/>
        </w:rPr>
        <w:t>HOC</w:t>
      </w:r>
      <w:r w:rsidR="0DB2B300" w:rsidRPr="007C73D7">
        <w:rPr>
          <w:rFonts w:ascii="Calibri" w:eastAsia="Calibri" w:hAnsi="Calibri" w:cs="Calibri"/>
        </w:rPr>
        <w:t xml:space="preserve"> is the cost per DALY of the least cost-effective intervention</w:t>
      </w:r>
      <w:r w:rsidR="1EBBE991" w:rsidRPr="007C73D7">
        <w:rPr>
          <w:rFonts w:ascii="Calibri" w:eastAsia="Calibri" w:hAnsi="Calibri" w:cs="Calibri"/>
        </w:rPr>
        <w:t xml:space="preserve"> </w:t>
      </w:r>
      <w:r w:rsidR="0DB2B300" w:rsidRPr="007C73D7">
        <w:rPr>
          <w:rFonts w:ascii="Calibri" w:eastAsia="Calibri" w:hAnsi="Calibri" w:cs="Calibri"/>
        </w:rPr>
        <w:t xml:space="preserve">that is funded </w:t>
      </w:r>
      <w:r w:rsidR="1EBBE991" w:rsidRPr="007C73D7">
        <w:rPr>
          <w:rFonts w:ascii="Calibri" w:eastAsia="Calibri" w:hAnsi="Calibri" w:cs="Calibri"/>
        </w:rPr>
        <w:t>(bookshelf approach</w:t>
      </w:r>
      <w:r w:rsidR="4E30480B" w:rsidRPr="007C73D7">
        <w:rPr>
          <w:rFonts w:ascii="Calibri" w:eastAsia="Calibri" w:hAnsi="Calibri" w:cs="Calibri"/>
        </w:rPr>
        <w:t>)</w:t>
      </w:r>
      <w:r w:rsidR="0DB2B300" w:rsidRPr="007C73D7">
        <w:rPr>
          <w:rFonts w:ascii="Calibri" w:eastAsia="Calibri" w:hAnsi="Calibri" w:cs="Calibri"/>
        </w:rPr>
        <w:t xml:space="preserve">. </w:t>
      </w:r>
      <w:r w:rsidR="6A69EA49" w:rsidRPr="007C73D7">
        <w:rPr>
          <w:rFonts w:ascii="Calibri" w:eastAsia="Calibri" w:hAnsi="Calibri" w:cs="Calibri"/>
        </w:rPr>
        <w:t xml:space="preserve">Using this alternative approach, we would expect to </w:t>
      </w:r>
      <w:r w:rsidR="0DB2B300" w:rsidRPr="007C73D7">
        <w:rPr>
          <w:rFonts w:ascii="Calibri" w:eastAsia="Calibri" w:hAnsi="Calibri" w:cs="Calibri"/>
        </w:rPr>
        <w:t>find a lower estimate</w:t>
      </w:r>
      <w:r w:rsidR="22EF1645" w:rsidRPr="007C73D7">
        <w:rPr>
          <w:rFonts w:ascii="Calibri" w:eastAsia="Calibri" w:hAnsi="Calibri" w:cs="Calibri"/>
        </w:rPr>
        <w:t xml:space="preserve"> </w:t>
      </w:r>
      <w:r w:rsidR="002E2E38">
        <w:rPr>
          <w:rFonts w:ascii="Calibri" w:eastAsia="Calibri" w:hAnsi="Calibri" w:cs="Calibri"/>
        </w:rPr>
        <w:t xml:space="preserve">of the HOC </w:t>
      </w:r>
      <w:r w:rsidR="22EF1645" w:rsidRPr="007C73D7">
        <w:rPr>
          <w:rFonts w:ascii="Calibri" w:eastAsia="Calibri" w:hAnsi="Calibri" w:cs="Calibri"/>
        </w:rPr>
        <w:t xml:space="preserve">than </w:t>
      </w:r>
      <w:r w:rsidR="162F9813" w:rsidRPr="007C73D7">
        <w:rPr>
          <w:rFonts w:ascii="Calibri" w:eastAsia="Calibri" w:hAnsi="Calibri" w:cs="Calibri"/>
        </w:rPr>
        <w:t xml:space="preserve">the one </w:t>
      </w:r>
      <w:r w:rsidR="47CD92C4" w:rsidRPr="007C73D7">
        <w:rPr>
          <w:rFonts w:ascii="Calibri" w:eastAsia="Calibri" w:hAnsi="Calibri" w:cs="Calibri"/>
        </w:rPr>
        <w:t xml:space="preserve">reported </w:t>
      </w:r>
      <w:r w:rsidR="22EF1645" w:rsidRPr="007C73D7">
        <w:rPr>
          <w:rFonts w:ascii="Calibri" w:eastAsia="Calibri" w:hAnsi="Calibri" w:cs="Calibri"/>
        </w:rPr>
        <w:t>in this study</w:t>
      </w:r>
      <w:r w:rsidR="764ACF37" w:rsidRPr="007C73D7">
        <w:rPr>
          <w:rFonts w:ascii="Calibri" w:eastAsia="Calibri" w:hAnsi="Calibri" w:cs="Calibri"/>
        </w:rPr>
        <w:t xml:space="preserve"> </w:t>
      </w:r>
      <w:r w:rsidR="0DB2B300" w:rsidRPr="007C73D7">
        <w:rPr>
          <w:rFonts w:ascii="Calibri" w:eastAsia="Calibri" w:hAnsi="Calibri" w:cs="Calibri"/>
        </w:rPr>
        <w:t xml:space="preserve">if </w:t>
      </w:r>
      <w:r w:rsidR="00C759B3">
        <w:rPr>
          <w:rFonts w:ascii="Calibri" w:eastAsia="Calibri" w:hAnsi="Calibri" w:cs="Calibri"/>
        </w:rPr>
        <w:t>the least cost</w:t>
      </w:r>
      <w:r w:rsidR="00C759B3" w:rsidRPr="00A73D87">
        <w:rPr>
          <w:rFonts w:ascii="Calibri" w:eastAsia="Calibri" w:hAnsi="Calibri" w:cs="Calibri"/>
        </w:rPr>
        <w:t>-effecti</w:t>
      </w:r>
      <w:r w:rsidR="00C759B3">
        <w:rPr>
          <w:rFonts w:ascii="Calibri" w:eastAsia="Calibri" w:hAnsi="Calibri" w:cs="Calibri"/>
        </w:rPr>
        <w:t>ve intervention among those funded wa</w:t>
      </w:r>
      <w:r w:rsidR="00C759B3" w:rsidRPr="007C73D7">
        <w:rPr>
          <w:rFonts w:ascii="Calibri" w:eastAsia="Calibri" w:hAnsi="Calibri" w:cs="Calibri"/>
        </w:rPr>
        <w:t xml:space="preserve">s </w:t>
      </w:r>
      <w:r w:rsidR="00393197">
        <w:rPr>
          <w:rFonts w:ascii="Calibri" w:eastAsia="Calibri" w:hAnsi="Calibri" w:cs="Calibri"/>
        </w:rPr>
        <w:t>less</w:t>
      </w:r>
      <w:r w:rsidR="00C759B3" w:rsidRPr="007C73D7">
        <w:rPr>
          <w:rFonts w:ascii="Calibri" w:eastAsia="Calibri" w:hAnsi="Calibri" w:cs="Calibri"/>
        </w:rPr>
        <w:t xml:space="preserve"> cost-effective than the activity which underpins the variations in expenditure from which the empirical estimate is based</w:t>
      </w:r>
      <w:r w:rsidR="0DB2B300" w:rsidRPr="007C73D7">
        <w:rPr>
          <w:rFonts w:ascii="Calibri" w:eastAsia="Calibri" w:hAnsi="Calibri" w:cs="Calibri"/>
        </w:rPr>
        <w:t>. However, such an approach is practically infeasible due to the complexity of a health system in a setting like Indonesia and</w:t>
      </w:r>
      <w:r w:rsidR="527B41F6" w:rsidRPr="007C73D7">
        <w:rPr>
          <w:rFonts w:ascii="Calibri" w:eastAsia="Calibri" w:hAnsi="Calibri" w:cs="Calibri"/>
        </w:rPr>
        <w:t xml:space="preserve">, hence, the </w:t>
      </w:r>
      <w:r w:rsidR="0DB2B300" w:rsidRPr="007C73D7">
        <w:rPr>
          <w:rFonts w:ascii="Calibri" w:eastAsia="Calibri" w:hAnsi="Calibri" w:cs="Calibri"/>
        </w:rPr>
        <w:t xml:space="preserve">empirical estimation </w:t>
      </w:r>
      <w:r w:rsidR="527B41F6" w:rsidRPr="007C73D7">
        <w:rPr>
          <w:rFonts w:ascii="Calibri" w:eastAsia="Calibri" w:hAnsi="Calibri" w:cs="Calibri"/>
        </w:rPr>
        <w:t xml:space="preserve">of the marginal productivity </w:t>
      </w:r>
      <w:r w:rsidR="0DB2B300" w:rsidRPr="007C73D7">
        <w:rPr>
          <w:rFonts w:ascii="Calibri" w:eastAsia="Calibri" w:hAnsi="Calibri" w:cs="Calibri"/>
        </w:rPr>
        <w:t xml:space="preserve">to identify </w:t>
      </w:r>
      <w:r w:rsidR="527B41F6" w:rsidRPr="007C73D7">
        <w:rPr>
          <w:rFonts w:ascii="Calibri" w:eastAsia="Calibri" w:hAnsi="Calibri" w:cs="Calibri"/>
        </w:rPr>
        <w:t>HOC</w:t>
      </w:r>
      <w:r w:rsidR="499B921C" w:rsidRPr="007C73D7">
        <w:rPr>
          <w:rFonts w:ascii="Calibri" w:eastAsia="Calibri" w:hAnsi="Calibri" w:cs="Calibri"/>
        </w:rPr>
        <w:t>s</w:t>
      </w:r>
      <w:r w:rsidR="0DB2B300" w:rsidRPr="007C73D7">
        <w:rPr>
          <w:rFonts w:ascii="Calibri" w:eastAsia="Calibri" w:hAnsi="Calibri" w:cs="Calibri"/>
        </w:rPr>
        <w:t xml:space="preserve"> provides a practical alternative.</w:t>
      </w:r>
    </w:p>
    <w:p w14:paraId="64FCABB9" w14:textId="05EFE450" w:rsidR="0025791E" w:rsidRPr="007C73D7" w:rsidRDefault="0038760D" w:rsidP="00E02E4F">
      <w:pPr>
        <w:rPr>
          <w:color w:val="000000"/>
        </w:rPr>
      </w:pPr>
      <w:r w:rsidRPr="007C73D7">
        <w:rPr>
          <w:color w:val="000000"/>
        </w:rPr>
        <w:t xml:space="preserve">Our study has some limitations, largely attributable to data availability. Firstly, vital registration-based mortality data was not available for the period 2004-2012, and we estimated U5MR using the 2007 and 2012 IDHS surveys. This may result in underreporting for deaths that occurred several years before the survey was conducted. If women who </w:t>
      </w:r>
      <w:r w:rsidR="00A70A3F" w:rsidRPr="007C73D7">
        <w:rPr>
          <w:color w:val="000000"/>
        </w:rPr>
        <w:t>took</w:t>
      </w:r>
      <w:r w:rsidRPr="007C73D7">
        <w:rPr>
          <w:color w:val="000000"/>
        </w:rPr>
        <w:t xml:space="preserve"> part in the survey have a higher risk of child mortality than those that did </w:t>
      </w:r>
      <w:r w:rsidRPr="007C73D7">
        <w:rPr>
          <w:color w:val="000000"/>
        </w:rPr>
        <w:lastRenderedPageBreak/>
        <w:t xml:space="preserve">not, the estimates would be affected by sample selection bias and would overstate actual mortality rates. Another limitation of the analysis is in the comparatively limited number of years included in the dataset, which may adversely affect the efficiency of the estimators implemented. Furthermore, because expenditure </w:t>
      </w:r>
      <w:r w:rsidR="00290A9F" w:rsidRPr="007C73D7">
        <w:rPr>
          <w:color w:val="000000"/>
        </w:rPr>
        <w:t xml:space="preserve">is </w:t>
      </w:r>
      <w:r w:rsidRPr="007C73D7">
        <w:rPr>
          <w:color w:val="000000"/>
        </w:rPr>
        <w:t>aggregated at the province level, two important components are not captured and thus not included in this assessment of the marginal productivity. One of these is payments to hospitals by the national health insurance funds and another is the operational costs of nationwide public health programmes. Although a large proportion of these is captured in budgets at the district level (and thus they are accounted for), they could be a hidden source of confounding in the analysis.</w:t>
      </w:r>
      <w:r w:rsidR="00577239" w:rsidRPr="007C73D7">
        <w:rPr>
          <w:color w:val="000000"/>
        </w:rPr>
        <w:t xml:space="preserve"> </w:t>
      </w:r>
      <w:r w:rsidR="00E34B0B" w:rsidRPr="007C73D7">
        <w:t>The fragmented financing system in Indonesia</w:t>
      </w:r>
      <w:r w:rsidR="006D5431" w:rsidRPr="007C73D7">
        <w:t xml:space="preserve"> also</w:t>
      </w:r>
      <w:r w:rsidR="00E34B0B" w:rsidRPr="007C73D7">
        <w:t xml:space="preserve"> </w:t>
      </w:r>
      <w:r w:rsidR="006D5431" w:rsidRPr="007C73D7">
        <w:t>did not allow</w:t>
      </w:r>
      <w:r w:rsidR="00E34B0B" w:rsidRPr="007C73D7">
        <w:t xml:space="preserve"> captur</w:t>
      </w:r>
      <w:r w:rsidR="00290A9F" w:rsidRPr="007C73D7">
        <w:t>ing</w:t>
      </w:r>
      <w:r w:rsidR="00E34B0B" w:rsidRPr="007C73D7">
        <w:t xml:space="preserve"> total spending on program activities to reduce U5MR</w:t>
      </w:r>
      <w:r w:rsidR="007F3F0F" w:rsidRPr="007C73D7">
        <w:t>, as these</w:t>
      </w:r>
      <w:r w:rsidR="00E34B0B" w:rsidRPr="007C73D7">
        <w:t xml:space="preserve"> activities have been supported by different sources, and even </w:t>
      </w:r>
      <w:r w:rsidR="00042A3B" w:rsidRPr="007C73D7">
        <w:t xml:space="preserve">by other </w:t>
      </w:r>
      <w:r w:rsidR="00E34B0B" w:rsidRPr="007C73D7">
        <w:t>ministries</w:t>
      </w:r>
      <w:r w:rsidR="00042A3B" w:rsidRPr="007C73D7">
        <w:t xml:space="preserve">, </w:t>
      </w:r>
      <w:r w:rsidR="00E34B0B" w:rsidRPr="007C73D7">
        <w:t>disbursed through their own system</w:t>
      </w:r>
      <w:r w:rsidR="00290A9F" w:rsidRPr="007C73D7">
        <w:t>s</w:t>
      </w:r>
      <w:r w:rsidR="00E34B0B" w:rsidRPr="007C73D7">
        <w:t xml:space="preserve">. </w:t>
      </w:r>
    </w:p>
    <w:p w14:paraId="2EA12CE4" w14:textId="412A620F" w:rsidR="00F446FB" w:rsidRPr="007C73D7" w:rsidRDefault="311B1EC6" w:rsidP="4F3397F3">
      <w:pPr>
        <w:rPr>
          <w:color w:val="000000"/>
        </w:rPr>
      </w:pPr>
      <w:r w:rsidRPr="007C73D7">
        <w:rPr>
          <w:color w:val="000000" w:themeColor="text1"/>
        </w:rPr>
        <w:t xml:space="preserve">Future research could build on this work in at least </w:t>
      </w:r>
      <w:r w:rsidR="54294334" w:rsidRPr="007C73D7">
        <w:rPr>
          <w:color w:val="000000" w:themeColor="text1"/>
        </w:rPr>
        <w:t xml:space="preserve">three </w:t>
      </w:r>
      <w:r w:rsidRPr="007C73D7">
        <w:rPr>
          <w:color w:val="000000" w:themeColor="text1"/>
        </w:rPr>
        <w:t xml:space="preserve">ways. First, there is scope for a more explicit, analytical treatment of the role of private expenditure in affecting population health, both via out-of-pocket payments and via private insurance. Second, there is </w:t>
      </w:r>
      <w:r w:rsidR="388DD8CD" w:rsidRPr="007C73D7">
        <w:rPr>
          <w:color w:val="000000" w:themeColor="text1"/>
        </w:rPr>
        <w:t xml:space="preserve">the </w:t>
      </w:r>
      <w:r w:rsidRPr="007C73D7">
        <w:rPr>
          <w:color w:val="000000" w:themeColor="text1"/>
        </w:rPr>
        <w:t xml:space="preserve">potential for going beyond the assessment of the reduced form impact of expenditures on health </w:t>
      </w:r>
      <w:r w:rsidR="388DD8CD" w:rsidRPr="007C73D7">
        <w:rPr>
          <w:color w:val="000000" w:themeColor="text1"/>
        </w:rPr>
        <w:t xml:space="preserve">to </w:t>
      </w:r>
      <w:r w:rsidRPr="007C73D7">
        <w:rPr>
          <w:color w:val="000000" w:themeColor="text1"/>
        </w:rPr>
        <w:t>shed light on the mechanisms underlying this effect.</w:t>
      </w:r>
      <w:r w:rsidR="388DD8CD" w:rsidRPr="007C73D7">
        <w:rPr>
          <w:color w:val="000000" w:themeColor="text1"/>
        </w:rPr>
        <w:t xml:space="preserve"> </w:t>
      </w:r>
      <w:r w:rsidR="54294334" w:rsidRPr="007C73D7">
        <w:rPr>
          <w:color w:val="000000" w:themeColor="text1"/>
        </w:rPr>
        <w:t xml:space="preserve">Third, </w:t>
      </w:r>
      <w:r w:rsidR="086E6BF7" w:rsidRPr="007C73D7">
        <w:rPr>
          <w:color w:val="000000" w:themeColor="text1"/>
        </w:rPr>
        <w:t>this work motivat</w:t>
      </w:r>
      <w:r w:rsidR="14DCC7C4" w:rsidRPr="007C73D7">
        <w:rPr>
          <w:color w:val="000000" w:themeColor="text1"/>
        </w:rPr>
        <w:t>es</w:t>
      </w:r>
      <w:r w:rsidR="086E6BF7" w:rsidRPr="007C73D7">
        <w:rPr>
          <w:color w:val="000000" w:themeColor="text1"/>
        </w:rPr>
        <w:t xml:space="preserve"> the collect</w:t>
      </w:r>
      <w:r w:rsidR="14DCC7C4" w:rsidRPr="007C73D7">
        <w:rPr>
          <w:color w:val="000000" w:themeColor="text1"/>
        </w:rPr>
        <w:t>ion</w:t>
      </w:r>
      <w:r w:rsidR="086E6BF7" w:rsidRPr="007C73D7">
        <w:rPr>
          <w:color w:val="000000" w:themeColor="text1"/>
        </w:rPr>
        <w:t xml:space="preserve"> of </w:t>
      </w:r>
      <w:r w:rsidR="54294334" w:rsidRPr="007C73D7">
        <w:rPr>
          <w:color w:val="000000" w:themeColor="text1"/>
        </w:rPr>
        <w:t xml:space="preserve">data on </w:t>
      </w:r>
      <w:r w:rsidR="086E6BF7" w:rsidRPr="007C73D7">
        <w:rPr>
          <w:color w:val="000000" w:themeColor="text1"/>
        </w:rPr>
        <w:t xml:space="preserve">potential other outcome variables, such as </w:t>
      </w:r>
      <w:r w:rsidR="54294334" w:rsidRPr="007C73D7">
        <w:rPr>
          <w:color w:val="000000" w:themeColor="text1"/>
        </w:rPr>
        <w:t>population mortality or DALYs or QALYs</w:t>
      </w:r>
      <w:r w:rsidR="086E6BF7" w:rsidRPr="007C73D7">
        <w:rPr>
          <w:color w:val="000000" w:themeColor="text1"/>
        </w:rPr>
        <w:t>.  This</w:t>
      </w:r>
      <w:r w:rsidR="54294334" w:rsidRPr="007C73D7">
        <w:rPr>
          <w:color w:val="000000" w:themeColor="text1"/>
        </w:rPr>
        <w:t xml:space="preserve"> would enable a more </w:t>
      </w:r>
      <w:r w:rsidR="086E6BF7" w:rsidRPr="007C73D7">
        <w:rPr>
          <w:color w:val="000000" w:themeColor="text1"/>
        </w:rPr>
        <w:t>conventional</w:t>
      </w:r>
      <w:r w:rsidR="54294334" w:rsidRPr="007C73D7">
        <w:rPr>
          <w:color w:val="000000" w:themeColor="text1"/>
        </w:rPr>
        <w:t xml:space="preserve"> estimation of opportunity costs, albeit with </w:t>
      </w:r>
      <w:r w:rsidR="086E6BF7" w:rsidRPr="007C73D7">
        <w:rPr>
          <w:color w:val="000000" w:themeColor="text1"/>
        </w:rPr>
        <w:t>alternative assumptions than those applied in the current work implicit in the outcome variables.</w:t>
      </w:r>
      <w:r w:rsidR="54294334" w:rsidRPr="007C73D7">
        <w:rPr>
          <w:color w:val="000000" w:themeColor="text1"/>
        </w:rPr>
        <w:t xml:space="preserve"> </w:t>
      </w:r>
      <w:r w:rsidR="388DD8CD" w:rsidRPr="007C73D7">
        <w:rPr>
          <w:color w:val="000000" w:themeColor="text1"/>
        </w:rPr>
        <w:t>The current work, however</w:t>
      </w:r>
      <w:r w:rsidR="38C5DA81" w:rsidRPr="007C73D7">
        <w:rPr>
          <w:color w:val="000000" w:themeColor="text1"/>
        </w:rPr>
        <w:t xml:space="preserve">, represents an initial attempt to provide an estimate of marginal productivity of health expenditure for Indonesia and </w:t>
      </w:r>
      <w:r w:rsidR="46871A2C" w:rsidRPr="007C73D7">
        <w:rPr>
          <w:color w:val="000000" w:themeColor="text1"/>
        </w:rPr>
        <w:t xml:space="preserve">HOC </w:t>
      </w:r>
      <w:r w:rsidR="17465823" w:rsidRPr="007C73D7">
        <w:rPr>
          <w:color w:val="000000" w:themeColor="text1"/>
        </w:rPr>
        <w:t>for the Indonesian healthcare system, which may form the basis of a cost-effectiveness threshold for decision making in health</w:t>
      </w:r>
      <w:r w:rsidR="14DCC7C4" w:rsidRPr="007C73D7">
        <w:rPr>
          <w:color w:val="000000" w:themeColor="text1"/>
        </w:rPr>
        <w:t>.</w:t>
      </w:r>
      <w:r w:rsidR="0DB2B300" w:rsidRPr="007C73D7">
        <w:rPr>
          <w:rFonts w:ascii="Calibri" w:eastAsia="Calibri" w:hAnsi="Calibri" w:cs="Calibri"/>
          <w:color w:val="000000" w:themeColor="text1"/>
        </w:rPr>
        <w:t xml:space="preserve"> </w:t>
      </w:r>
      <w:r w:rsidR="6DB014EC" w:rsidRPr="007C73D7">
        <w:rPr>
          <w:color w:val="000000" w:themeColor="text1"/>
        </w:rPr>
        <w:br w:type="page"/>
      </w:r>
    </w:p>
    <w:p w14:paraId="3F51F233" w14:textId="485BE961" w:rsidR="00F446FB" w:rsidRPr="00E42FBF" w:rsidRDefault="00F446FB" w:rsidP="00F446FB">
      <w:pPr>
        <w:spacing w:line="240" w:lineRule="auto"/>
        <w:rPr>
          <w:i/>
          <w:iCs/>
        </w:rPr>
      </w:pPr>
      <w:bookmarkStart w:id="9" w:name="_Toc55050343"/>
      <w:r w:rsidRPr="00E42FBF">
        <w:rPr>
          <w:i/>
          <w:iCs/>
        </w:rPr>
        <w:lastRenderedPageBreak/>
        <w:t xml:space="preserve">Table </w:t>
      </w:r>
      <w:r w:rsidRPr="00E42FBF">
        <w:rPr>
          <w:i/>
          <w:iCs/>
        </w:rPr>
        <w:fldChar w:fldCharType="begin"/>
      </w:r>
      <w:r w:rsidRPr="00E42FBF">
        <w:rPr>
          <w:i/>
          <w:iCs/>
        </w:rPr>
        <w:instrText xml:space="preserve"> SEQ Table \* ARABIC </w:instrText>
      </w:r>
      <w:r w:rsidRPr="00E42FBF">
        <w:rPr>
          <w:i/>
          <w:iCs/>
        </w:rPr>
        <w:fldChar w:fldCharType="separate"/>
      </w:r>
      <w:r w:rsidR="00FA0AFF">
        <w:rPr>
          <w:i/>
          <w:iCs/>
          <w:noProof/>
        </w:rPr>
        <w:t>1</w:t>
      </w:r>
      <w:r w:rsidRPr="00E42FBF">
        <w:fldChar w:fldCharType="end"/>
      </w:r>
      <w:r w:rsidRPr="00E42FBF">
        <w:rPr>
          <w:i/>
          <w:iCs/>
        </w:rPr>
        <w:t>: Variables and descriptive statistics</w:t>
      </w:r>
      <w:bookmarkEnd w:id="9"/>
    </w:p>
    <w:tbl>
      <w:tblPr>
        <w:tblpPr w:leftFromText="180" w:rightFromText="180" w:vertAnchor="text" w:tblpXSpec="center" w:tblpY="1"/>
        <w:tblOverlap w:val="never"/>
        <w:tblW w:w="10737" w:type="dxa"/>
        <w:tblLayout w:type="fixed"/>
        <w:tblLook w:val="04A0" w:firstRow="1" w:lastRow="0" w:firstColumn="1" w:lastColumn="0" w:noHBand="0" w:noVBand="1"/>
      </w:tblPr>
      <w:tblGrid>
        <w:gridCol w:w="4395"/>
        <w:gridCol w:w="1275"/>
        <w:gridCol w:w="1276"/>
        <w:gridCol w:w="1276"/>
        <w:gridCol w:w="1417"/>
        <w:gridCol w:w="1088"/>
        <w:gridCol w:w="10"/>
      </w:tblGrid>
      <w:tr w:rsidR="00F446FB" w:rsidRPr="00E42FBF" w14:paraId="0133055A" w14:textId="77777777" w:rsidTr="00C20E33">
        <w:trPr>
          <w:gridAfter w:val="1"/>
          <w:wAfter w:w="10" w:type="dxa"/>
          <w:trHeight w:val="283"/>
        </w:trPr>
        <w:tc>
          <w:tcPr>
            <w:tcW w:w="4395" w:type="dxa"/>
            <w:tcBorders>
              <w:top w:val="double" w:sz="4" w:space="0" w:color="auto"/>
              <w:bottom w:val="single" w:sz="4" w:space="0" w:color="auto"/>
            </w:tcBorders>
            <w:vAlign w:val="center"/>
          </w:tcPr>
          <w:p w14:paraId="45C55EA0" w14:textId="77777777" w:rsidR="00F446FB" w:rsidRPr="00E42FBF" w:rsidRDefault="00F446FB" w:rsidP="00C20E33">
            <w:pPr>
              <w:spacing w:after="0" w:line="240" w:lineRule="auto"/>
              <w:rPr>
                <w:bCs/>
                <w:iCs/>
              </w:rPr>
            </w:pPr>
            <w:r w:rsidRPr="00E42FBF">
              <w:rPr>
                <w:bCs/>
                <w:iCs/>
              </w:rPr>
              <w:t>Variables</w:t>
            </w:r>
          </w:p>
        </w:tc>
        <w:tc>
          <w:tcPr>
            <w:tcW w:w="1275" w:type="dxa"/>
            <w:tcBorders>
              <w:top w:val="double" w:sz="4" w:space="0" w:color="auto"/>
              <w:bottom w:val="single" w:sz="4" w:space="0" w:color="auto"/>
            </w:tcBorders>
            <w:vAlign w:val="center"/>
          </w:tcPr>
          <w:p w14:paraId="3FCC00A2" w14:textId="77777777" w:rsidR="00F446FB" w:rsidRPr="00E42FBF" w:rsidRDefault="00F446FB" w:rsidP="00C20E33">
            <w:pPr>
              <w:spacing w:after="0" w:line="240" w:lineRule="auto"/>
              <w:jc w:val="center"/>
              <w:rPr>
                <w:bCs/>
                <w:iCs/>
              </w:rPr>
            </w:pPr>
            <w:r w:rsidRPr="00E42FBF">
              <w:rPr>
                <w:bCs/>
                <w:iCs/>
              </w:rPr>
              <w:t>Mean</w:t>
            </w:r>
          </w:p>
        </w:tc>
        <w:tc>
          <w:tcPr>
            <w:tcW w:w="1276" w:type="dxa"/>
            <w:tcBorders>
              <w:top w:val="double" w:sz="4" w:space="0" w:color="auto"/>
              <w:bottom w:val="single" w:sz="4" w:space="0" w:color="auto"/>
            </w:tcBorders>
            <w:vAlign w:val="center"/>
          </w:tcPr>
          <w:p w14:paraId="10411EE5" w14:textId="77777777" w:rsidR="00F446FB" w:rsidRPr="00E42FBF" w:rsidRDefault="00F446FB" w:rsidP="00C20E33">
            <w:pPr>
              <w:spacing w:after="0" w:line="240" w:lineRule="auto"/>
              <w:jc w:val="center"/>
              <w:rPr>
                <w:bCs/>
                <w:iCs/>
              </w:rPr>
            </w:pPr>
            <w:r w:rsidRPr="00E42FBF">
              <w:rPr>
                <w:bCs/>
                <w:iCs/>
              </w:rPr>
              <w:t>Standard deviation</w:t>
            </w:r>
          </w:p>
        </w:tc>
        <w:tc>
          <w:tcPr>
            <w:tcW w:w="1276" w:type="dxa"/>
            <w:tcBorders>
              <w:top w:val="double" w:sz="4" w:space="0" w:color="auto"/>
              <w:bottom w:val="single" w:sz="4" w:space="0" w:color="auto"/>
            </w:tcBorders>
            <w:vAlign w:val="center"/>
          </w:tcPr>
          <w:p w14:paraId="2D4AFB14" w14:textId="77777777" w:rsidR="00F446FB" w:rsidRPr="00E42FBF" w:rsidRDefault="00F446FB" w:rsidP="00C20E33">
            <w:pPr>
              <w:spacing w:after="0" w:line="240" w:lineRule="auto"/>
              <w:jc w:val="center"/>
              <w:rPr>
                <w:bCs/>
                <w:iCs/>
              </w:rPr>
            </w:pPr>
            <w:r w:rsidRPr="00E42FBF">
              <w:rPr>
                <w:bCs/>
                <w:iCs/>
              </w:rPr>
              <w:t>Min</w:t>
            </w:r>
          </w:p>
        </w:tc>
        <w:tc>
          <w:tcPr>
            <w:tcW w:w="1417" w:type="dxa"/>
            <w:tcBorders>
              <w:top w:val="double" w:sz="4" w:space="0" w:color="auto"/>
              <w:bottom w:val="single" w:sz="4" w:space="0" w:color="auto"/>
            </w:tcBorders>
            <w:vAlign w:val="center"/>
          </w:tcPr>
          <w:p w14:paraId="308EF779" w14:textId="77777777" w:rsidR="00F446FB" w:rsidRPr="00E42FBF" w:rsidRDefault="00F446FB" w:rsidP="00C20E33">
            <w:pPr>
              <w:spacing w:after="0" w:line="240" w:lineRule="auto"/>
              <w:jc w:val="center"/>
              <w:rPr>
                <w:bCs/>
                <w:iCs/>
              </w:rPr>
            </w:pPr>
            <w:r w:rsidRPr="00E42FBF">
              <w:rPr>
                <w:bCs/>
                <w:iCs/>
              </w:rPr>
              <w:t>Max</w:t>
            </w:r>
          </w:p>
        </w:tc>
        <w:tc>
          <w:tcPr>
            <w:tcW w:w="1088" w:type="dxa"/>
            <w:tcBorders>
              <w:top w:val="double" w:sz="4" w:space="0" w:color="auto"/>
              <w:bottom w:val="single" w:sz="4" w:space="0" w:color="auto"/>
            </w:tcBorders>
            <w:vAlign w:val="center"/>
          </w:tcPr>
          <w:p w14:paraId="77B8A230" w14:textId="77777777" w:rsidR="00F446FB" w:rsidRPr="00E42FBF" w:rsidRDefault="00F446FB" w:rsidP="00C20E33">
            <w:pPr>
              <w:spacing w:after="0" w:line="240" w:lineRule="auto"/>
              <w:jc w:val="center"/>
              <w:rPr>
                <w:bCs/>
                <w:iCs/>
              </w:rPr>
            </w:pPr>
            <w:r w:rsidRPr="00E42FBF">
              <w:rPr>
                <w:bCs/>
                <w:iCs/>
              </w:rPr>
              <w:t>Source</w:t>
            </w:r>
          </w:p>
        </w:tc>
      </w:tr>
      <w:tr w:rsidR="00F446FB" w:rsidRPr="00E42FBF" w14:paraId="65F5AEAB" w14:textId="77777777" w:rsidTr="00C20E33">
        <w:trPr>
          <w:gridAfter w:val="1"/>
          <w:wAfter w:w="10" w:type="dxa"/>
          <w:trHeight w:val="283"/>
        </w:trPr>
        <w:tc>
          <w:tcPr>
            <w:tcW w:w="4395" w:type="dxa"/>
            <w:tcBorders>
              <w:top w:val="single" w:sz="4" w:space="0" w:color="FFFFFF" w:themeColor="background1"/>
              <w:bottom w:val="single" w:sz="4" w:space="0" w:color="FFFFFF" w:themeColor="background1"/>
            </w:tcBorders>
            <w:vAlign w:val="center"/>
          </w:tcPr>
          <w:p w14:paraId="1D60EF31" w14:textId="77777777" w:rsidR="00F446FB" w:rsidRPr="00E42FBF" w:rsidRDefault="00F446FB" w:rsidP="00C20E33">
            <w:pPr>
              <w:spacing w:after="0" w:line="240" w:lineRule="auto"/>
              <w:rPr>
                <w:bCs/>
                <w:iCs/>
              </w:rPr>
            </w:pPr>
            <w:r w:rsidRPr="00E42FBF">
              <w:rPr>
                <w:bCs/>
                <w:iCs/>
              </w:rPr>
              <w:t>Under-five mortality rate (per 1,000)</w:t>
            </w:r>
          </w:p>
        </w:tc>
        <w:tc>
          <w:tcPr>
            <w:tcW w:w="1275" w:type="dxa"/>
            <w:tcBorders>
              <w:top w:val="single" w:sz="4" w:space="0" w:color="FFFFFF" w:themeColor="background1"/>
              <w:bottom w:val="single" w:sz="4" w:space="0" w:color="FFFFFF" w:themeColor="background1"/>
            </w:tcBorders>
            <w:vAlign w:val="center"/>
          </w:tcPr>
          <w:p w14:paraId="2AC4E5B2" w14:textId="77777777" w:rsidR="00F446FB" w:rsidRPr="00E42FBF" w:rsidRDefault="00F446FB" w:rsidP="00C20E33">
            <w:pPr>
              <w:spacing w:after="0" w:line="240" w:lineRule="auto"/>
              <w:jc w:val="center"/>
              <w:rPr>
                <w:bCs/>
                <w:iCs/>
              </w:rPr>
            </w:pPr>
            <w:r w:rsidRPr="00E42FBF">
              <w:rPr>
                <w:bCs/>
                <w:iCs/>
              </w:rPr>
              <w:t>44.50</w:t>
            </w:r>
          </w:p>
        </w:tc>
        <w:tc>
          <w:tcPr>
            <w:tcW w:w="1276" w:type="dxa"/>
            <w:tcBorders>
              <w:top w:val="single" w:sz="4" w:space="0" w:color="FFFFFF" w:themeColor="background1"/>
              <w:bottom w:val="single" w:sz="4" w:space="0" w:color="FFFFFF" w:themeColor="background1"/>
            </w:tcBorders>
            <w:vAlign w:val="center"/>
          </w:tcPr>
          <w:p w14:paraId="5EACBA29" w14:textId="77777777" w:rsidR="00F446FB" w:rsidRPr="00E42FBF" w:rsidRDefault="00F446FB" w:rsidP="00C20E33">
            <w:pPr>
              <w:spacing w:after="0" w:line="240" w:lineRule="auto"/>
              <w:jc w:val="center"/>
              <w:rPr>
                <w:bCs/>
                <w:iCs/>
              </w:rPr>
            </w:pPr>
            <w:r w:rsidRPr="00E42FBF">
              <w:rPr>
                <w:bCs/>
                <w:iCs/>
              </w:rPr>
              <w:t>23.41</w:t>
            </w:r>
          </w:p>
        </w:tc>
        <w:tc>
          <w:tcPr>
            <w:tcW w:w="1276" w:type="dxa"/>
            <w:tcBorders>
              <w:top w:val="single" w:sz="4" w:space="0" w:color="FFFFFF" w:themeColor="background1"/>
              <w:bottom w:val="single" w:sz="4" w:space="0" w:color="FFFFFF" w:themeColor="background1"/>
            </w:tcBorders>
            <w:vAlign w:val="center"/>
          </w:tcPr>
          <w:p w14:paraId="236EACF2" w14:textId="77777777" w:rsidR="00F446FB" w:rsidRPr="00E42FBF" w:rsidRDefault="00F446FB" w:rsidP="00C20E33">
            <w:pPr>
              <w:spacing w:after="0" w:line="240" w:lineRule="auto"/>
              <w:jc w:val="center"/>
              <w:rPr>
                <w:bCs/>
                <w:iCs/>
              </w:rPr>
            </w:pPr>
            <w:r w:rsidRPr="00E42FBF">
              <w:rPr>
                <w:bCs/>
                <w:iCs/>
              </w:rPr>
              <w:t>5.49</w:t>
            </w:r>
          </w:p>
        </w:tc>
        <w:tc>
          <w:tcPr>
            <w:tcW w:w="1417" w:type="dxa"/>
            <w:tcBorders>
              <w:top w:val="single" w:sz="4" w:space="0" w:color="FFFFFF" w:themeColor="background1"/>
              <w:bottom w:val="single" w:sz="4" w:space="0" w:color="FFFFFF" w:themeColor="background1"/>
            </w:tcBorders>
            <w:vAlign w:val="center"/>
          </w:tcPr>
          <w:p w14:paraId="67ED8D3D" w14:textId="77777777" w:rsidR="00F446FB" w:rsidRPr="00E42FBF" w:rsidRDefault="00F446FB" w:rsidP="00C20E33">
            <w:pPr>
              <w:spacing w:after="0" w:line="240" w:lineRule="auto"/>
              <w:jc w:val="center"/>
              <w:rPr>
                <w:bCs/>
                <w:iCs/>
              </w:rPr>
            </w:pPr>
            <w:r w:rsidRPr="00E42FBF">
              <w:rPr>
                <w:bCs/>
                <w:iCs/>
              </w:rPr>
              <w:t>172.75</w:t>
            </w:r>
          </w:p>
        </w:tc>
        <w:tc>
          <w:tcPr>
            <w:tcW w:w="1088" w:type="dxa"/>
            <w:tcBorders>
              <w:top w:val="single" w:sz="4" w:space="0" w:color="FFFFFF" w:themeColor="background1"/>
              <w:bottom w:val="single" w:sz="4" w:space="0" w:color="FFFFFF" w:themeColor="background1"/>
            </w:tcBorders>
            <w:vAlign w:val="center"/>
          </w:tcPr>
          <w:p w14:paraId="1F504863" w14:textId="77777777" w:rsidR="00F446FB" w:rsidRPr="00E42FBF" w:rsidRDefault="00F446FB" w:rsidP="00C20E33">
            <w:pPr>
              <w:spacing w:after="0" w:line="240" w:lineRule="auto"/>
              <w:jc w:val="center"/>
              <w:rPr>
                <w:bCs/>
                <w:iCs/>
              </w:rPr>
            </w:pPr>
            <w:r w:rsidRPr="00E42FBF">
              <w:rPr>
                <w:bCs/>
                <w:iCs/>
              </w:rPr>
              <w:t>IDHS</w:t>
            </w:r>
          </w:p>
        </w:tc>
      </w:tr>
      <w:tr w:rsidR="00F446FB" w:rsidRPr="00E42FBF" w14:paraId="0461ECBA" w14:textId="77777777" w:rsidTr="00C20E33">
        <w:trPr>
          <w:gridAfter w:val="1"/>
          <w:wAfter w:w="10" w:type="dxa"/>
          <w:trHeight w:val="283"/>
        </w:trPr>
        <w:tc>
          <w:tcPr>
            <w:tcW w:w="4395" w:type="dxa"/>
            <w:tcBorders>
              <w:top w:val="single" w:sz="4" w:space="0" w:color="FFFFFF" w:themeColor="background1"/>
              <w:bottom w:val="single" w:sz="4" w:space="0" w:color="FFFFFF" w:themeColor="background1"/>
            </w:tcBorders>
            <w:vAlign w:val="center"/>
          </w:tcPr>
          <w:p w14:paraId="1D3AB283" w14:textId="77777777" w:rsidR="00F446FB" w:rsidRPr="00E42FBF" w:rsidRDefault="00F446FB" w:rsidP="00C20E33">
            <w:pPr>
              <w:spacing w:after="0" w:line="240" w:lineRule="auto"/>
              <w:rPr>
                <w:bCs/>
                <w:iCs/>
              </w:rPr>
            </w:pPr>
            <w:r w:rsidRPr="00E42FBF">
              <w:rPr>
                <w:bCs/>
                <w:iCs/>
              </w:rPr>
              <w:t>Total health expenditure pc (in IDR)</w:t>
            </w:r>
          </w:p>
        </w:tc>
        <w:tc>
          <w:tcPr>
            <w:tcW w:w="1275" w:type="dxa"/>
            <w:tcBorders>
              <w:top w:val="single" w:sz="4" w:space="0" w:color="FFFFFF" w:themeColor="background1"/>
              <w:bottom w:val="single" w:sz="4" w:space="0" w:color="FFFFFF" w:themeColor="background1"/>
            </w:tcBorders>
            <w:vAlign w:val="center"/>
          </w:tcPr>
          <w:p w14:paraId="6FDEFDA4" w14:textId="77777777" w:rsidR="00F446FB" w:rsidRPr="00E42FBF" w:rsidRDefault="00F446FB" w:rsidP="00C20E33">
            <w:pPr>
              <w:spacing w:after="0" w:line="240" w:lineRule="auto"/>
              <w:jc w:val="center"/>
              <w:rPr>
                <w:bCs/>
                <w:iCs/>
              </w:rPr>
            </w:pPr>
            <w:r w:rsidRPr="00E42FBF">
              <w:rPr>
                <w:bCs/>
                <w:iCs/>
              </w:rPr>
              <w:t>139,377.10</w:t>
            </w:r>
          </w:p>
        </w:tc>
        <w:tc>
          <w:tcPr>
            <w:tcW w:w="1276" w:type="dxa"/>
            <w:tcBorders>
              <w:top w:val="single" w:sz="4" w:space="0" w:color="FFFFFF" w:themeColor="background1"/>
              <w:bottom w:val="single" w:sz="4" w:space="0" w:color="FFFFFF" w:themeColor="background1"/>
            </w:tcBorders>
            <w:vAlign w:val="center"/>
          </w:tcPr>
          <w:p w14:paraId="58B5634E" w14:textId="77777777" w:rsidR="00F446FB" w:rsidRPr="00E42FBF" w:rsidRDefault="00F446FB" w:rsidP="00C20E33">
            <w:pPr>
              <w:spacing w:after="0" w:line="240" w:lineRule="auto"/>
              <w:jc w:val="center"/>
              <w:rPr>
                <w:bCs/>
                <w:iCs/>
              </w:rPr>
            </w:pPr>
            <w:r w:rsidRPr="00E42FBF">
              <w:rPr>
                <w:bCs/>
                <w:iCs/>
              </w:rPr>
              <w:t>111,975.70</w:t>
            </w:r>
          </w:p>
        </w:tc>
        <w:tc>
          <w:tcPr>
            <w:tcW w:w="1276" w:type="dxa"/>
            <w:tcBorders>
              <w:top w:val="single" w:sz="4" w:space="0" w:color="FFFFFF" w:themeColor="background1"/>
              <w:bottom w:val="single" w:sz="4" w:space="0" w:color="FFFFFF" w:themeColor="background1"/>
            </w:tcBorders>
            <w:vAlign w:val="center"/>
          </w:tcPr>
          <w:p w14:paraId="41AF8260" w14:textId="77777777" w:rsidR="00F446FB" w:rsidRPr="00E42FBF" w:rsidRDefault="00F446FB" w:rsidP="00C20E33">
            <w:pPr>
              <w:spacing w:after="0" w:line="240" w:lineRule="auto"/>
              <w:jc w:val="center"/>
              <w:rPr>
                <w:bCs/>
                <w:iCs/>
              </w:rPr>
            </w:pPr>
            <w:r w:rsidRPr="00E42FBF">
              <w:rPr>
                <w:bCs/>
                <w:iCs/>
              </w:rPr>
              <w:t>29,629.41</w:t>
            </w:r>
          </w:p>
        </w:tc>
        <w:tc>
          <w:tcPr>
            <w:tcW w:w="1417" w:type="dxa"/>
            <w:tcBorders>
              <w:top w:val="single" w:sz="4" w:space="0" w:color="FFFFFF" w:themeColor="background1"/>
              <w:bottom w:val="single" w:sz="4" w:space="0" w:color="FFFFFF" w:themeColor="background1"/>
            </w:tcBorders>
            <w:vAlign w:val="center"/>
          </w:tcPr>
          <w:p w14:paraId="05296AF4" w14:textId="77777777" w:rsidR="00F446FB" w:rsidRPr="00E42FBF" w:rsidRDefault="00F446FB" w:rsidP="00C20E33">
            <w:pPr>
              <w:spacing w:after="0" w:line="240" w:lineRule="auto"/>
              <w:jc w:val="center"/>
              <w:rPr>
                <w:bCs/>
                <w:iCs/>
              </w:rPr>
            </w:pPr>
            <w:r w:rsidRPr="00E42FBF">
              <w:rPr>
                <w:bCs/>
                <w:iCs/>
              </w:rPr>
              <w:t>848,855.30</w:t>
            </w:r>
          </w:p>
        </w:tc>
        <w:tc>
          <w:tcPr>
            <w:tcW w:w="1088" w:type="dxa"/>
            <w:tcBorders>
              <w:top w:val="single" w:sz="4" w:space="0" w:color="FFFFFF" w:themeColor="background1"/>
              <w:bottom w:val="single" w:sz="4" w:space="0" w:color="FFFFFF" w:themeColor="background1"/>
            </w:tcBorders>
            <w:vAlign w:val="center"/>
          </w:tcPr>
          <w:p w14:paraId="20F8D075" w14:textId="77777777" w:rsidR="00F446FB" w:rsidRPr="00E42FBF" w:rsidRDefault="00F446FB" w:rsidP="00C20E33">
            <w:pPr>
              <w:spacing w:after="0" w:line="240" w:lineRule="auto"/>
              <w:jc w:val="center"/>
              <w:rPr>
                <w:bCs/>
                <w:iCs/>
              </w:rPr>
            </w:pPr>
            <w:r w:rsidRPr="00E42FBF">
              <w:rPr>
                <w:bCs/>
                <w:iCs/>
              </w:rPr>
              <w:t>MoF</w:t>
            </w:r>
          </w:p>
        </w:tc>
      </w:tr>
      <w:tr w:rsidR="00F446FB" w:rsidRPr="00E42FBF" w14:paraId="362A8D65" w14:textId="77777777" w:rsidTr="00C20E33">
        <w:trPr>
          <w:gridAfter w:val="1"/>
          <w:wAfter w:w="10" w:type="dxa"/>
          <w:trHeight w:val="283"/>
        </w:trPr>
        <w:tc>
          <w:tcPr>
            <w:tcW w:w="4395" w:type="dxa"/>
            <w:tcBorders>
              <w:top w:val="single" w:sz="4" w:space="0" w:color="FFFFFF" w:themeColor="background1"/>
              <w:bottom w:val="single" w:sz="4" w:space="0" w:color="FFFFFF" w:themeColor="background1"/>
            </w:tcBorders>
            <w:vAlign w:val="center"/>
          </w:tcPr>
          <w:p w14:paraId="3BC35557" w14:textId="2D03E214" w:rsidR="00F446FB" w:rsidRPr="00E42FBF" w:rsidRDefault="00F446FB" w:rsidP="00C20E33">
            <w:pPr>
              <w:spacing w:after="0" w:line="240" w:lineRule="auto"/>
              <w:rPr>
                <w:bCs/>
                <w:iCs/>
              </w:rPr>
            </w:pPr>
            <w:r w:rsidRPr="00E42FBF">
              <w:rPr>
                <w:bCs/>
                <w:iCs/>
              </w:rPr>
              <w:t>Total health expenditure pc (in logs)</w:t>
            </w:r>
          </w:p>
        </w:tc>
        <w:tc>
          <w:tcPr>
            <w:tcW w:w="1275" w:type="dxa"/>
            <w:tcBorders>
              <w:top w:val="single" w:sz="4" w:space="0" w:color="FFFFFF" w:themeColor="background1"/>
              <w:bottom w:val="single" w:sz="4" w:space="0" w:color="FFFFFF" w:themeColor="background1"/>
            </w:tcBorders>
            <w:vAlign w:val="center"/>
          </w:tcPr>
          <w:p w14:paraId="4FADC62B" w14:textId="77777777" w:rsidR="00F446FB" w:rsidRPr="00E42FBF" w:rsidRDefault="00F446FB" w:rsidP="00C20E33">
            <w:pPr>
              <w:spacing w:after="0" w:line="240" w:lineRule="auto"/>
              <w:jc w:val="center"/>
              <w:rPr>
                <w:bCs/>
                <w:iCs/>
              </w:rPr>
            </w:pPr>
            <w:r w:rsidRPr="00E42FBF">
              <w:rPr>
                <w:bCs/>
                <w:iCs/>
              </w:rPr>
              <w:t>11.61</w:t>
            </w:r>
          </w:p>
        </w:tc>
        <w:tc>
          <w:tcPr>
            <w:tcW w:w="1276" w:type="dxa"/>
            <w:tcBorders>
              <w:top w:val="single" w:sz="4" w:space="0" w:color="FFFFFF" w:themeColor="background1"/>
              <w:bottom w:val="single" w:sz="4" w:space="0" w:color="FFFFFF" w:themeColor="background1"/>
            </w:tcBorders>
            <w:vAlign w:val="center"/>
          </w:tcPr>
          <w:p w14:paraId="5898381C" w14:textId="77777777" w:rsidR="00F446FB" w:rsidRPr="00E42FBF" w:rsidRDefault="00F446FB" w:rsidP="00C20E33">
            <w:pPr>
              <w:spacing w:after="0" w:line="240" w:lineRule="auto"/>
              <w:jc w:val="center"/>
              <w:rPr>
                <w:bCs/>
                <w:iCs/>
              </w:rPr>
            </w:pPr>
            <w:r w:rsidRPr="00E42FBF">
              <w:rPr>
                <w:bCs/>
                <w:iCs/>
              </w:rPr>
              <w:t>0.68</w:t>
            </w:r>
          </w:p>
        </w:tc>
        <w:tc>
          <w:tcPr>
            <w:tcW w:w="1276" w:type="dxa"/>
            <w:tcBorders>
              <w:top w:val="single" w:sz="4" w:space="0" w:color="FFFFFF" w:themeColor="background1"/>
              <w:bottom w:val="single" w:sz="4" w:space="0" w:color="FFFFFF" w:themeColor="background1"/>
            </w:tcBorders>
            <w:vAlign w:val="center"/>
          </w:tcPr>
          <w:p w14:paraId="62AD77DD" w14:textId="77777777" w:rsidR="00F446FB" w:rsidRPr="00E42FBF" w:rsidRDefault="00F446FB" w:rsidP="00C20E33">
            <w:pPr>
              <w:spacing w:after="0" w:line="240" w:lineRule="auto"/>
              <w:jc w:val="center"/>
              <w:rPr>
                <w:bCs/>
                <w:iCs/>
              </w:rPr>
            </w:pPr>
            <w:r w:rsidRPr="00E42FBF">
              <w:rPr>
                <w:bCs/>
                <w:iCs/>
              </w:rPr>
              <w:t>10.30</w:t>
            </w:r>
          </w:p>
        </w:tc>
        <w:tc>
          <w:tcPr>
            <w:tcW w:w="1417" w:type="dxa"/>
            <w:tcBorders>
              <w:top w:val="single" w:sz="4" w:space="0" w:color="FFFFFF" w:themeColor="background1"/>
              <w:bottom w:val="single" w:sz="4" w:space="0" w:color="FFFFFF" w:themeColor="background1"/>
            </w:tcBorders>
            <w:vAlign w:val="center"/>
          </w:tcPr>
          <w:p w14:paraId="33DC567E" w14:textId="77777777" w:rsidR="00F446FB" w:rsidRPr="00E42FBF" w:rsidRDefault="00F446FB" w:rsidP="00C20E33">
            <w:pPr>
              <w:spacing w:after="0" w:line="240" w:lineRule="auto"/>
              <w:jc w:val="center"/>
              <w:rPr>
                <w:bCs/>
                <w:iCs/>
              </w:rPr>
            </w:pPr>
            <w:r w:rsidRPr="00E42FBF">
              <w:rPr>
                <w:bCs/>
                <w:iCs/>
              </w:rPr>
              <w:t>13.65</w:t>
            </w:r>
          </w:p>
        </w:tc>
        <w:tc>
          <w:tcPr>
            <w:tcW w:w="1088" w:type="dxa"/>
            <w:tcBorders>
              <w:top w:val="single" w:sz="4" w:space="0" w:color="FFFFFF" w:themeColor="background1"/>
              <w:bottom w:val="single" w:sz="4" w:space="0" w:color="FFFFFF" w:themeColor="background1"/>
            </w:tcBorders>
            <w:vAlign w:val="center"/>
          </w:tcPr>
          <w:p w14:paraId="26EEE742" w14:textId="77777777" w:rsidR="00F446FB" w:rsidRPr="00E42FBF" w:rsidRDefault="00F446FB" w:rsidP="00C20E33">
            <w:pPr>
              <w:spacing w:after="0" w:line="240" w:lineRule="auto"/>
              <w:jc w:val="center"/>
              <w:rPr>
                <w:bCs/>
                <w:iCs/>
              </w:rPr>
            </w:pPr>
            <w:r w:rsidRPr="00E42FBF">
              <w:rPr>
                <w:bCs/>
                <w:iCs/>
              </w:rPr>
              <w:t>MoF</w:t>
            </w:r>
          </w:p>
        </w:tc>
      </w:tr>
      <w:tr w:rsidR="00F446FB" w:rsidRPr="00E42FBF" w14:paraId="74E5B595" w14:textId="77777777" w:rsidTr="00C20E33">
        <w:trPr>
          <w:gridAfter w:val="1"/>
          <w:wAfter w:w="10" w:type="dxa"/>
          <w:trHeight w:val="283"/>
        </w:trPr>
        <w:tc>
          <w:tcPr>
            <w:tcW w:w="4395" w:type="dxa"/>
            <w:tcBorders>
              <w:top w:val="single" w:sz="4" w:space="0" w:color="FFFFFF" w:themeColor="background1"/>
              <w:bottom w:val="single" w:sz="4" w:space="0" w:color="FFFFFF" w:themeColor="background1"/>
            </w:tcBorders>
            <w:vAlign w:val="center"/>
          </w:tcPr>
          <w:p w14:paraId="197F1AEF" w14:textId="77777777" w:rsidR="00F446FB" w:rsidRPr="00E42FBF" w:rsidRDefault="00F446FB" w:rsidP="00C20E33">
            <w:pPr>
              <w:spacing w:after="0" w:line="240" w:lineRule="auto"/>
              <w:rPr>
                <w:bCs/>
                <w:iCs/>
              </w:rPr>
            </w:pPr>
            <w:r w:rsidRPr="00E42FBF">
              <w:rPr>
                <w:bCs/>
                <w:iCs/>
              </w:rPr>
              <w:t>Household expenditure pc (in IDR)</w:t>
            </w:r>
          </w:p>
        </w:tc>
        <w:tc>
          <w:tcPr>
            <w:tcW w:w="1275" w:type="dxa"/>
            <w:tcBorders>
              <w:top w:val="single" w:sz="4" w:space="0" w:color="FFFFFF" w:themeColor="background1"/>
              <w:bottom w:val="single" w:sz="4" w:space="0" w:color="FFFFFF" w:themeColor="background1"/>
            </w:tcBorders>
            <w:vAlign w:val="center"/>
          </w:tcPr>
          <w:p w14:paraId="3C3901FD" w14:textId="77777777" w:rsidR="00F446FB" w:rsidRPr="00E42FBF" w:rsidRDefault="00F446FB" w:rsidP="00C20E33">
            <w:pPr>
              <w:spacing w:after="0" w:line="240" w:lineRule="auto"/>
              <w:jc w:val="center"/>
              <w:rPr>
                <w:bCs/>
                <w:iCs/>
              </w:rPr>
            </w:pPr>
            <w:r w:rsidRPr="00E42FBF">
              <w:rPr>
                <w:bCs/>
                <w:iCs/>
              </w:rPr>
              <w:t>415,884.60</w:t>
            </w:r>
          </w:p>
        </w:tc>
        <w:tc>
          <w:tcPr>
            <w:tcW w:w="1276" w:type="dxa"/>
            <w:tcBorders>
              <w:top w:val="single" w:sz="4" w:space="0" w:color="FFFFFF" w:themeColor="background1"/>
              <w:bottom w:val="single" w:sz="4" w:space="0" w:color="FFFFFF" w:themeColor="background1"/>
            </w:tcBorders>
            <w:vAlign w:val="center"/>
          </w:tcPr>
          <w:p w14:paraId="720E2578" w14:textId="77777777" w:rsidR="00F446FB" w:rsidRPr="00E42FBF" w:rsidRDefault="00F446FB" w:rsidP="00C20E33">
            <w:pPr>
              <w:spacing w:after="0" w:line="240" w:lineRule="auto"/>
              <w:jc w:val="center"/>
              <w:rPr>
                <w:bCs/>
                <w:iCs/>
              </w:rPr>
            </w:pPr>
            <w:r w:rsidRPr="00E42FBF">
              <w:rPr>
                <w:bCs/>
                <w:iCs/>
              </w:rPr>
              <w:t>185,178.90</w:t>
            </w:r>
          </w:p>
        </w:tc>
        <w:tc>
          <w:tcPr>
            <w:tcW w:w="1276" w:type="dxa"/>
            <w:tcBorders>
              <w:top w:val="single" w:sz="4" w:space="0" w:color="FFFFFF" w:themeColor="background1"/>
              <w:bottom w:val="single" w:sz="4" w:space="0" w:color="FFFFFF" w:themeColor="background1"/>
            </w:tcBorders>
            <w:vAlign w:val="center"/>
          </w:tcPr>
          <w:p w14:paraId="23C04F47" w14:textId="77777777" w:rsidR="00F446FB" w:rsidRPr="00E42FBF" w:rsidRDefault="00F446FB" w:rsidP="00C20E33">
            <w:pPr>
              <w:spacing w:after="0" w:line="240" w:lineRule="auto"/>
              <w:jc w:val="center"/>
              <w:rPr>
                <w:bCs/>
                <w:iCs/>
              </w:rPr>
            </w:pPr>
            <w:r w:rsidRPr="00E42FBF">
              <w:rPr>
                <w:bCs/>
                <w:iCs/>
              </w:rPr>
              <w:t>146,622.40</w:t>
            </w:r>
          </w:p>
        </w:tc>
        <w:tc>
          <w:tcPr>
            <w:tcW w:w="1417" w:type="dxa"/>
            <w:tcBorders>
              <w:top w:val="single" w:sz="4" w:space="0" w:color="FFFFFF" w:themeColor="background1"/>
              <w:bottom w:val="single" w:sz="4" w:space="0" w:color="FFFFFF" w:themeColor="background1"/>
            </w:tcBorders>
            <w:vAlign w:val="center"/>
          </w:tcPr>
          <w:p w14:paraId="23AE12D0" w14:textId="77777777" w:rsidR="00F446FB" w:rsidRPr="00E42FBF" w:rsidRDefault="00F446FB" w:rsidP="00C20E33">
            <w:pPr>
              <w:spacing w:after="0" w:line="240" w:lineRule="auto"/>
              <w:jc w:val="center"/>
              <w:rPr>
                <w:bCs/>
                <w:iCs/>
              </w:rPr>
            </w:pPr>
            <w:r w:rsidRPr="00E42FBF">
              <w:rPr>
                <w:bCs/>
                <w:iCs/>
              </w:rPr>
              <w:t>1,415,312.00</w:t>
            </w:r>
          </w:p>
        </w:tc>
        <w:tc>
          <w:tcPr>
            <w:tcW w:w="1088" w:type="dxa"/>
            <w:tcBorders>
              <w:top w:val="single" w:sz="4" w:space="0" w:color="FFFFFF" w:themeColor="background1"/>
              <w:bottom w:val="single" w:sz="4" w:space="0" w:color="FFFFFF" w:themeColor="background1"/>
            </w:tcBorders>
            <w:vAlign w:val="center"/>
          </w:tcPr>
          <w:p w14:paraId="68147BFE" w14:textId="77777777" w:rsidR="00F446FB" w:rsidRPr="00E42FBF" w:rsidRDefault="00F446FB" w:rsidP="00C20E33">
            <w:pPr>
              <w:spacing w:after="0" w:line="240" w:lineRule="auto"/>
              <w:jc w:val="center"/>
              <w:rPr>
                <w:bCs/>
                <w:iCs/>
              </w:rPr>
            </w:pPr>
            <w:r w:rsidRPr="00E42FBF">
              <w:rPr>
                <w:bCs/>
                <w:iCs/>
              </w:rPr>
              <w:t>SUSENAS</w:t>
            </w:r>
          </w:p>
        </w:tc>
      </w:tr>
      <w:tr w:rsidR="00F446FB" w:rsidRPr="00E42FBF" w14:paraId="68DD4E44" w14:textId="77777777" w:rsidTr="00C20E33">
        <w:trPr>
          <w:gridAfter w:val="1"/>
          <w:wAfter w:w="10" w:type="dxa"/>
          <w:trHeight w:val="283"/>
        </w:trPr>
        <w:tc>
          <w:tcPr>
            <w:tcW w:w="4395" w:type="dxa"/>
            <w:tcBorders>
              <w:top w:val="single" w:sz="4" w:space="0" w:color="FFFFFF" w:themeColor="background1"/>
              <w:bottom w:val="single" w:sz="4" w:space="0" w:color="FFFFFF" w:themeColor="background1"/>
            </w:tcBorders>
            <w:vAlign w:val="center"/>
          </w:tcPr>
          <w:p w14:paraId="2B740E11" w14:textId="77777777" w:rsidR="00F446FB" w:rsidRPr="00E42FBF" w:rsidRDefault="00F446FB" w:rsidP="00C20E33">
            <w:pPr>
              <w:spacing w:after="0" w:line="240" w:lineRule="auto"/>
              <w:rPr>
                <w:bCs/>
                <w:iCs/>
              </w:rPr>
            </w:pPr>
            <w:r w:rsidRPr="00E42FBF">
              <w:rPr>
                <w:bCs/>
                <w:iCs/>
              </w:rPr>
              <w:t>Household expenditure pc (in logs)</w:t>
            </w:r>
          </w:p>
        </w:tc>
        <w:tc>
          <w:tcPr>
            <w:tcW w:w="1275" w:type="dxa"/>
            <w:tcBorders>
              <w:top w:val="single" w:sz="4" w:space="0" w:color="FFFFFF" w:themeColor="background1"/>
              <w:bottom w:val="single" w:sz="4" w:space="0" w:color="FFFFFF" w:themeColor="background1"/>
            </w:tcBorders>
            <w:vAlign w:val="center"/>
          </w:tcPr>
          <w:p w14:paraId="1E4C5C3F" w14:textId="77777777" w:rsidR="00F446FB" w:rsidRPr="00E42FBF" w:rsidRDefault="00F446FB" w:rsidP="00C20E33">
            <w:pPr>
              <w:spacing w:after="0" w:line="240" w:lineRule="auto"/>
              <w:jc w:val="center"/>
              <w:rPr>
                <w:bCs/>
                <w:iCs/>
              </w:rPr>
            </w:pPr>
            <w:r w:rsidRPr="00E42FBF">
              <w:rPr>
                <w:bCs/>
                <w:iCs/>
              </w:rPr>
              <w:t>12.85</w:t>
            </w:r>
          </w:p>
        </w:tc>
        <w:tc>
          <w:tcPr>
            <w:tcW w:w="1276" w:type="dxa"/>
            <w:tcBorders>
              <w:top w:val="single" w:sz="4" w:space="0" w:color="FFFFFF" w:themeColor="background1"/>
              <w:bottom w:val="single" w:sz="4" w:space="0" w:color="FFFFFF" w:themeColor="background1"/>
            </w:tcBorders>
            <w:vAlign w:val="center"/>
          </w:tcPr>
          <w:p w14:paraId="727BADF5" w14:textId="77777777" w:rsidR="00F446FB" w:rsidRPr="00E42FBF" w:rsidRDefault="00F446FB" w:rsidP="00C20E33">
            <w:pPr>
              <w:spacing w:after="0" w:line="240" w:lineRule="auto"/>
              <w:jc w:val="center"/>
              <w:rPr>
                <w:bCs/>
                <w:iCs/>
              </w:rPr>
            </w:pPr>
            <w:r w:rsidRPr="00E42FBF">
              <w:rPr>
                <w:bCs/>
                <w:iCs/>
              </w:rPr>
              <w:t>0.41</w:t>
            </w:r>
          </w:p>
        </w:tc>
        <w:tc>
          <w:tcPr>
            <w:tcW w:w="1276" w:type="dxa"/>
            <w:tcBorders>
              <w:top w:val="single" w:sz="4" w:space="0" w:color="FFFFFF" w:themeColor="background1"/>
              <w:bottom w:val="single" w:sz="4" w:space="0" w:color="FFFFFF" w:themeColor="background1"/>
            </w:tcBorders>
            <w:vAlign w:val="center"/>
          </w:tcPr>
          <w:p w14:paraId="0DCD7E60" w14:textId="77777777" w:rsidR="00F446FB" w:rsidRPr="00E42FBF" w:rsidRDefault="00F446FB" w:rsidP="00C20E33">
            <w:pPr>
              <w:spacing w:after="0" w:line="240" w:lineRule="auto"/>
              <w:jc w:val="center"/>
              <w:rPr>
                <w:bCs/>
                <w:iCs/>
              </w:rPr>
            </w:pPr>
            <w:r w:rsidRPr="00E42FBF">
              <w:rPr>
                <w:bCs/>
                <w:iCs/>
              </w:rPr>
              <w:t>11.90</w:t>
            </w:r>
          </w:p>
        </w:tc>
        <w:tc>
          <w:tcPr>
            <w:tcW w:w="1417" w:type="dxa"/>
            <w:tcBorders>
              <w:top w:val="single" w:sz="4" w:space="0" w:color="FFFFFF" w:themeColor="background1"/>
              <w:bottom w:val="single" w:sz="4" w:space="0" w:color="FFFFFF" w:themeColor="background1"/>
            </w:tcBorders>
            <w:vAlign w:val="center"/>
          </w:tcPr>
          <w:p w14:paraId="1F75F1C8" w14:textId="77777777" w:rsidR="00F446FB" w:rsidRPr="00E42FBF" w:rsidRDefault="00F446FB" w:rsidP="00C20E33">
            <w:pPr>
              <w:spacing w:after="0" w:line="240" w:lineRule="auto"/>
              <w:jc w:val="center"/>
              <w:rPr>
                <w:bCs/>
                <w:iCs/>
              </w:rPr>
            </w:pPr>
            <w:r w:rsidRPr="00E42FBF">
              <w:rPr>
                <w:bCs/>
                <w:iCs/>
              </w:rPr>
              <w:t>14.16</w:t>
            </w:r>
          </w:p>
        </w:tc>
        <w:tc>
          <w:tcPr>
            <w:tcW w:w="1088" w:type="dxa"/>
            <w:tcBorders>
              <w:top w:val="single" w:sz="4" w:space="0" w:color="FFFFFF" w:themeColor="background1"/>
              <w:bottom w:val="single" w:sz="4" w:space="0" w:color="FFFFFF" w:themeColor="background1"/>
            </w:tcBorders>
            <w:vAlign w:val="center"/>
          </w:tcPr>
          <w:p w14:paraId="0AC95562" w14:textId="77777777" w:rsidR="00F446FB" w:rsidRPr="00E42FBF" w:rsidRDefault="00F446FB" w:rsidP="00C20E33">
            <w:pPr>
              <w:spacing w:after="0" w:line="240" w:lineRule="auto"/>
              <w:jc w:val="center"/>
              <w:rPr>
                <w:bCs/>
                <w:iCs/>
              </w:rPr>
            </w:pPr>
            <w:r w:rsidRPr="00E42FBF">
              <w:rPr>
                <w:bCs/>
                <w:iCs/>
              </w:rPr>
              <w:t>SUSENAS</w:t>
            </w:r>
          </w:p>
        </w:tc>
      </w:tr>
      <w:tr w:rsidR="00F446FB" w:rsidRPr="00E42FBF" w14:paraId="5A6CCC96" w14:textId="77777777" w:rsidTr="00C20E33">
        <w:trPr>
          <w:gridAfter w:val="1"/>
          <w:wAfter w:w="10" w:type="dxa"/>
          <w:trHeight w:val="283"/>
        </w:trPr>
        <w:tc>
          <w:tcPr>
            <w:tcW w:w="4395" w:type="dxa"/>
            <w:tcBorders>
              <w:top w:val="single" w:sz="4" w:space="0" w:color="FFFFFF" w:themeColor="background1"/>
              <w:bottom w:val="single" w:sz="4" w:space="0" w:color="FFFFFF" w:themeColor="background1"/>
            </w:tcBorders>
            <w:vAlign w:val="center"/>
          </w:tcPr>
          <w:p w14:paraId="0D10735A" w14:textId="77777777" w:rsidR="00F446FB" w:rsidRPr="00E42FBF" w:rsidRDefault="00F446FB" w:rsidP="00C20E33">
            <w:pPr>
              <w:spacing w:after="0" w:line="240" w:lineRule="auto"/>
              <w:rPr>
                <w:bCs/>
                <w:iCs/>
              </w:rPr>
            </w:pPr>
            <w:r w:rsidRPr="00E42FBF">
              <w:rPr>
                <w:bCs/>
                <w:iCs/>
              </w:rPr>
              <w:t>Literacy rate</w:t>
            </w:r>
          </w:p>
        </w:tc>
        <w:tc>
          <w:tcPr>
            <w:tcW w:w="1275" w:type="dxa"/>
            <w:tcBorders>
              <w:top w:val="single" w:sz="4" w:space="0" w:color="FFFFFF" w:themeColor="background1"/>
              <w:bottom w:val="single" w:sz="4" w:space="0" w:color="FFFFFF" w:themeColor="background1"/>
            </w:tcBorders>
            <w:vAlign w:val="center"/>
          </w:tcPr>
          <w:p w14:paraId="4B2605B5" w14:textId="77777777" w:rsidR="00F446FB" w:rsidRPr="00E42FBF" w:rsidRDefault="00F446FB" w:rsidP="00C20E33">
            <w:pPr>
              <w:spacing w:after="0" w:line="240" w:lineRule="auto"/>
              <w:jc w:val="center"/>
              <w:rPr>
                <w:bCs/>
                <w:iCs/>
              </w:rPr>
            </w:pPr>
            <w:r w:rsidRPr="00E42FBF">
              <w:rPr>
                <w:bCs/>
                <w:iCs/>
              </w:rPr>
              <w:t>0.92</w:t>
            </w:r>
          </w:p>
        </w:tc>
        <w:tc>
          <w:tcPr>
            <w:tcW w:w="1276" w:type="dxa"/>
            <w:tcBorders>
              <w:top w:val="single" w:sz="4" w:space="0" w:color="FFFFFF" w:themeColor="background1"/>
              <w:bottom w:val="single" w:sz="4" w:space="0" w:color="FFFFFF" w:themeColor="background1"/>
            </w:tcBorders>
            <w:vAlign w:val="center"/>
          </w:tcPr>
          <w:p w14:paraId="0CB5CB92" w14:textId="77777777" w:rsidR="00F446FB" w:rsidRPr="00E42FBF" w:rsidRDefault="00F446FB" w:rsidP="00C20E33">
            <w:pPr>
              <w:spacing w:after="0" w:line="240" w:lineRule="auto"/>
              <w:jc w:val="center"/>
              <w:rPr>
                <w:bCs/>
                <w:iCs/>
              </w:rPr>
            </w:pPr>
            <w:r w:rsidRPr="00E42FBF">
              <w:rPr>
                <w:bCs/>
                <w:iCs/>
              </w:rPr>
              <w:t>0.05</w:t>
            </w:r>
          </w:p>
        </w:tc>
        <w:tc>
          <w:tcPr>
            <w:tcW w:w="1276" w:type="dxa"/>
            <w:tcBorders>
              <w:top w:val="single" w:sz="4" w:space="0" w:color="FFFFFF" w:themeColor="background1"/>
              <w:bottom w:val="single" w:sz="4" w:space="0" w:color="FFFFFF" w:themeColor="background1"/>
            </w:tcBorders>
            <w:vAlign w:val="center"/>
          </w:tcPr>
          <w:p w14:paraId="354F5936" w14:textId="77777777" w:rsidR="00F446FB" w:rsidRPr="00E42FBF" w:rsidRDefault="00F446FB" w:rsidP="00C20E33">
            <w:pPr>
              <w:spacing w:after="0" w:line="240" w:lineRule="auto"/>
              <w:jc w:val="center"/>
              <w:rPr>
                <w:bCs/>
                <w:iCs/>
              </w:rPr>
            </w:pPr>
            <w:r>
              <w:rPr>
                <w:bCs/>
                <w:iCs/>
              </w:rPr>
              <w:t>0.</w:t>
            </w:r>
            <w:r w:rsidRPr="00E42FBF">
              <w:rPr>
                <w:bCs/>
                <w:iCs/>
              </w:rPr>
              <w:t>64</w:t>
            </w:r>
          </w:p>
        </w:tc>
        <w:tc>
          <w:tcPr>
            <w:tcW w:w="1417" w:type="dxa"/>
            <w:tcBorders>
              <w:top w:val="single" w:sz="4" w:space="0" w:color="FFFFFF" w:themeColor="background1"/>
              <w:bottom w:val="single" w:sz="4" w:space="0" w:color="FFFFFF" w:themeColor="background1"/>
            </w:tcBorders>
            <w:vAlign w:val="center"/>
          </w:tcPr>
          <w:p w14:paraId="401E36CC" w14:textId="77777777" w:rsidR="00F446FB" w:rsidRPr="00E42FBF" w:rsidRDefault="00F446FB" w:rsidP="00C20E33">
            <w:pPr>
              <w:spacing w:after="0" w:line="240" w:lineRule="auto"/>
              <w:jc w:val="center"/>
              <w:rPr>
                <w:bCs/>
                <w:iCs/>
              </w:rPr>
            </w:pPr>
            <w:r w:rsidRPr="00E42FBF">
              <w:rPr>
                <w:bCs/>
                <w:iCs/>
              </w:rPr>
              <w:t>0.99</w:t>
            </w:r>
          </w:p>
        </w:tc>
        <w:tc>
          <w:tcPr>
            <w:tcW w:w="1088" w:type="dxa"/>
            <w:tcBorders>
              <w:top w:val="single" w:sz="4" w:space="0" w:color="FFFFFF" w:themeColor="background1"/>
              <w:bottom w:val="single" w:sz="4" w:space="0" w:color="FFFFFF" w:themeColor="background1"/>
            </w:tcBorders>
            <w:vAlign w:val="center"/>
          </w:tcPr>
          <w:p w14:paraId="62290334" w14:textId="77777777" w:rsidR="00F446FB" w:rsidRPr="00E42FBF" w:rsidRDefault="00F446FB" w:rsidP="00C20E33">
            <w:pPr>
              <w:spacing w:after="0" w:line="240" w:lineRule="auto"/>
              <w:jc w:val="center"/>
              <w:rPr>
                <w:bCs/>
                <w:iCs/>
              </w:rPr>
            </w:pPr>
            <w:r w:rsidRPr="00E42FBF">
              <w:rPr>
                <w:bCs/>
                <w:iCs/>
              </w:rPr>
              <w:t>SUSENAS</w:t>
            </w:r>
          </w:p>
        </w:tc>
      </w:tr>
      <w:tr w:rsidR="00F446FB" w:rsidRPr="00E42FBF" w14:paraId="1C114472" w14:textId="77777777" w:rsidTr="00C20E33">
        <w:trPr>
          <w:gridAfter w:val="1"/>
          <w:wAfter w:w="10" w:type="dxa"/>
          <w:trHeight w:val="283"/>
        </w:trPr>
        <w:tc>
          <w:tcPr>
            <w:tcW w:w="4395" w:type="dxa"/>
            <w:tcBorders>
              <w:top w:val="single" w:sz="4" w:space="0" w:color="FFFFFF" w:themeColor="background1"/>
              <w:bottom w:val="single" w:sz="4" w:space="0" w:color="FFFFFF" w:themeColor="background1"/>
            </w:tcBorders>
            <w:vAlign w:val="center"/>
          </w:tcPr>
          <w:p w14:paraId="1AF18982" w14:textId="77777777" w:rsidR="00F446FB" w:rsidRPr="00E42FBF" w:rsidRDefault="00F446FB" w:rsidP="00C20E33">
            <w:pPr>
              <w:spacing w:after="0" w:line="240" w:lineRule="auto"/>
              <w:rPr>
                <w:bCs/>
                <w:iCs/>
              </w:rPr>
            </w:pPr>
            <w:r w:rsidRPr="00E42FBF">
              <w:rPr>
                <w:bCs/>
                <w:iCs/>
              </w:rPr>
              <w:t>Poverty rate</w:t>
            </w:r>
          </w:p>
        </w:tc>
        <w:tc>
          <w:tcPr>
            <w:tcW w:w="1275" w:type="dxa"/>
            <w:tcBorders>
              <w:top w:val="single" w:sz="4" w:space="0" w:color="FFFFFF" w:themeColor="background1"/>
              <w:bottom w:val="single" w:sz="4" w:space="0" w:color="FFFFFF" w:themeColor="background1"/>
            </w:tcBorders>
            <w:vAlign w:val="center"/>
          </w:tcPr>
          <w:p w14:paraId="3F351319" w14:textId="77777777" w:rsidR="00F446FB" w:rsidRPr="00E42FBF" w:rsidRDefault="00F446FB" w:rsidP="00C20E33">
            <w:pPr>
              <w:spacing w:after="0" w:line="240" w:lineRule="auto"/>
              <w:jc w:val="center"/>
              <w:rPr>
                <w:bCs/>
                <w:iCs/>
              </w:rPr>
            </w:pPr>
            <w:r w:rsidRPr="00E42FBF">
              <w:rPr>
                <w:bCs/>
                <w:iCs/>
              </w:rPr>
              <w:t>0.15</w:t>
            </w:r>
          </w:p>
        </w:tc>
        <w:tc>
          <w:tcPr>
            <w:tcW w:w="1276" w:type="dxa"/>
            <w:tcBorders>
              <w:top w:val="single" w:sz="4" w:space="0" w:color="FFFFFF" w:themeColor="background1"/>
              <w:bottom w:val="single" w:sz="4" w:space="0" w:color="FFFFFF" w:themeColor="background1"/>
            </w:tcBorders>
            <w:vAlign w:val="center"/>
          </w:tcPr>
          <w:p w14:paraId="722A7BDF" w14:textId="77777777" w:rsidR="00F446FB" w:rsidRPr="00E42FBF" w:rsidRDefault="00F446FB" w:rsidP="00C20E33">
            <w:pPr>
              <w:spacing w:after="0" w:line="240" w:lineRule="auto"/>
              <w:jc w:val="center"/>
              <w:rPr>
                <w:bCs/>
                <w:iCs/>
              </w:rPr>
            </w:pPr>
            <w:r w:rsidRPr="00E42FBF">
              <w:rPr>
                <w:bCs/>
                <w:iCs/>
              </w:rPr>
              <w:t>0.06</w:t>
            </w:r>
          </w:p>
        </w:tc>
        <w:tc>
          <w:tcPr>
            <w:tcW w:w="1276" w:type="dxa"/>
            <w:tcBorders>
              <w:top w:val="single" w:sz="4" w:space="0" w:color="FFFFFF" w:themeColor="background1"/>
              <w:bottom w:val="single" w:sz="4" w:space="0" w:color="FFFFFF" w:themeColor="background1"/>
            </w:tcBorders>
            <w:vAlign w:val="center"/>
          </w:tcPr>
          <w:p w14:paraId="62DF1963" w14:textId="77777777" w:rsidR="00F446FB" w:rsidRPr="00E42FBF" w:rsidRDefault="00F446FB" w:rsidP="00C20E33">
            <w:pPr>
              <w:spacing w:after="0" w:line="240" w:lineRule="auto"/>
              <w:jc w:val="center"/>
              <w:rPr>
                <w:bCs/>
                <w:iCs/>
              </w:rPr>
            </w:pPr>
            <w:r w:rsidRPr="00E42FBF">
              <w:rPr>
                <w:bCs/>
                <w:iCs/>
              </w:rPr>
              <w:t>0.03</w:t>
            </w:r>
          </w:p>
        </w:tc>
        <w:tc>
          <w:tcPr>
            <w:tcW w:w="1417" w:type="dxa"/>
            <w:tcBorders>
              <w:top w:val="single" w:sz="4" w:space="0" w:color="FFFFFF" w:themeColor="background1"/>
              <w:bottom w:val="single" w:sz="4" w:space="0" w:color="FFFFFF" w:themeColor="background1"/>
            </w:tcBorders>
            <w:vAlign w:val="center"/>
          </w:tcPr>
          <w:p w14:paraId="23DDE314" w14:textId="77777777" w:rsidR="00F446FB" w:rsidRPr="00E42FBF" w:rsidRDefault="00F446FB" w:rsidP="00C20E33">
            <w:pPr>
              <w:spacing w:after="0" w:line="240" w:lineRule="auto"/>
              <w:jc w:val="center"/>
              <w:rPr>
                <w:bCs/>
                <w:iCs/>
              </w:rPr>
            </w:pPr>
            <w:r w:rsidRPr="00E42FBF">
              <w:rPr>
                <w:bCs/>
                <w:iCs/>
              </w:rPr>
              <w:t>0.42</w:t>
            </w:r>
          </w:p>
        </w:tc>
        <w:tc>
          <w:tcPr>
            <w:tcW w:w="1088" w:type="dxa"/>
            <w:tcBorders>
              <w:top w:val="single" w:sz="4" w:space="0" w:color="FFFFFF" w:themeColor="background1"/>
              <w:bottom w:val="single" w:sz="4" w:space="0" w:color="FFFFFF" w:themeColor="background1"/>
            </w:tcBorders>
            <w:vAlign w:val="center"/>
          </w:tcPr>
          <w:p w14:paraId="125D3043" w14:textId="77777777" w:rsidR="00F446FB" w:rsidRPr="00E42FBF" w:rsidRDefault="00F446FB" w:rsidP="00C20E33">
            <w:pPr>
              <w:spacing w:after="0" w:line="240" w:lineRule="auto"/>
              <w:jc w:val="center"/>
              <w:rPr>
                <w:bCs/>
                <w:iCs/>
              </w:rPr>
            </w:pPr>
            <w:r w:rsidRPr="00E42FBF">
              <w:rPr>
                <w:bCs/>
                <w:iCs/>
              </w:rPr>
              <w:t>BPS</w:t>
            </w:r>
          </w:p>
        </w:tc>
      </w:tr>
      <w:tr w:rsidR="00F446FB" w:rsidRPr="00E42FBF" w14:paraId="627A7BB1" w14:textId="77777777" w:rsidTr="00C20E33">
        <w:trPr>
          <w:gridAfter w:val="1"/>
          <w:wAfter w:w="10" w:type="dxa"/>
          <w:trHeight w:val="283"/>
        </w:trPr>
        <w:tc>
          <w:tcPr>
            <w:tcW w:w="4395" w:type="dxa"/>
            <w:tcBorders>
              <w:top w:val="single" w:sz="4" w:space="0" w:color="FFFFFF" w:themeColor="background1"/>
            </w:tcBorders>
            <w:vAlign w:val="center"/>
          </w:tcPr>
          <w:p w14:paraId="5D7B958A" w14:textId="77777777" w:rsidR="00F446FB" w:rsidRPr="00E42FBF" w:rsidRDefault="00F446FB" w:rsidP="00C20E33">
            <w:pPr>
              <w:spacing w:after="0" w:line="240" w:lineRule="auto"/>
              <w:rPr>
                <w:bCs/>
                <w:iCs/>
              </w:rPr>
            </w:pPr>
            <w:r w:rsidRPr="00E42FBF">
              <w:rPr>
                <w:bCs/>
                <w:iCs/>
              </w:rPr>
              <w:t>Sanitation rate</w:t>
            </w:r>
          </w:p>
        </w:tc>
        <w:tc>
          <w:tcPr>
            <w:tcW w:w="1275" w:type="dxa"/>
            <w:tcBorders>
              <w:top w:val="single" w:sz="4" w:space="0" w:color="FFFFFF" w:themeColor="background1"/>
            </w:tcBorders>
            <w:vAlign w:val="center"/>
          </w:tcPr>
          <w:p w14:paraId="6924BDF3" w14:textId="77777777" w:rsidR="00F446FB" w:rsidRPr="00E42FBF" w:rsidRDefault="00F446FB" w:rsidP="00C20E33">
            <w:pPr>
              <w:spacing w:after="0" w:line="240" w:lineRule="auto"/>
              <w:jc w:val="center"/>
              <w:rPr>
                <w:bCs/>
                <w:iCs/>
              </w:rPr>
            </w:pPr>
            <w:r w:rsidRPr="00E42FBF">
              <w:rPr>
                <w:bCs/>
                <w:iCs/>
              </w:rPr>
              <w:t>0.63</w:t>
            </w:r>
          </w:p>
        </w:tc>
        <w:tc>
          <w:tcPr>
            <w:tcW w:w="1276" w:type="dxa"/>
            <w:tcBorders>
              <w:top w:val="single" w:sz="4" w:space="0" w:color="FFFFFF" w:themeColor="background1"/>
            </w:tcBorders>
            <w:vAlign w:val="center"/>
          </w:tcPr>
          <w:p w14:paraId="419805EB" w14:textId="77777777" w:rsidR="00F446FB" w:rsidRPr="00E42FBF" w:rsidRDefault="00F446FB" w:rsidP="00C20E33">
            <w:pPr>
              <w:spacing w:after="0" w:line="240" w:lineRule="auto"/>
              <w:jc w:val="center"/>
              <w:rPr>
                <w:bCs/>
                <w:iCs/>
              </w:rPr>
            </w:pPr>
            <w:r w:rsidRPr="00E42FBF">
              <w:rPr>
                <w:bCs/>
                <w:iCs/>
              </w:rPr>
              <w:t>0.09</w:t>
            </w:r>
          </w:p>
        </w:tc>
        <w:tc>
          <w:tcPr>
            <w:tcW w:w="1276" w:type="dxa"/>
            <w:tcBorders>
              <w:top w:val="single" w:sz="4" w:space="0" w:color="FFFFFF" w:themeColor="background1"/>
            </w:tcBorders>
            <w:vAlign w:val="center"/>
          </w:tcPr>
          <w:p w14:paraId="0027DEC5" w14:textId="77777777" w:rsidR="00F446FB" w:rsidRPr="00E42FBF" w:rsidRDefault="00F446FB" w:rsidP="00C20E33">
            <w:pPr>
              <w:spacing w:after="0" w:line="240" w:lineRule="auto"/>
              <w:jc w:val="center"/>
              <w:rPr>
                <w:bCs/>
                <w:iCs/>
              </w:rPr>
            </w:pPr>
            <w:r w:rsidRPr="00E42FBF">
              <w:rPr>
                <w:bCs/>
                <w:iCs/>
              </w:rPr>
              <w:t>0.29</w:t>
            </w:r>
          </w:p>
        </w:tc>
        <w:tc>
          <w:tcPr>
            <w:tcW w:w="1417" w:type="dxa"/>
            <w:tcBorders>
              <w:top w:val="single" w:sz="4" w:space="0" w:color="FFFFFF" w:themeColor="background1"/>
            </w:tcBorders>
            <w:vAlign w:val="center"/>
          </w:tcPr>
          <w:p w14:paraId="1499C93E" w14:textId="77777777" w:rsidR="00F446FB" w:rsidRPr="00E42FBF" w:rsidRDefault="00F446FB" w:rsidP="00C20E33">
            <w:pPr>
              <w:spacing w:after="0" w:line="240" w:lineRule="auto"/>
              <w:jc w:val="center"/>
              <w:rPr>
                <w:bCs/>
                <w:iCs/>
              </w:rPr>
            </w:pPr>
            <w:r w:rsidRPr="00E42FBF">
              <w:rPr>
                <w:bCs/>
                <w:iCs/>
              </w:rPr>
              <w:t>0.86</w:t>
            </w:r>
          </w:p>
        </w:tc>
        <w:tc>
          <w:tcPr>
            <w:tcW w:w="1088" w:type="dxa"/>
            <w:tcBorders>
              <w:top w:val="single" w:sz="4" w:space="0" w:color="FFFFFF" w:themeColor="background1"/>
            </w:tcBorders>
            <w:vAlign w:val="center"/>
          </w:tcPr>
          <w:p w14:paraId="6ACA004D" w14:textId="77777777" w:rsidR="00F446FB" w:rsidRPr="00E42FBF" w:rsidRDefault="00F446FB" w:rsidP="00C20E33">
            <w:pPr>
              <w:spacing w:after="0" w:line="240" w:lineRule="auto"/>
              <w:jc w:val="center"/>
              <w:rPr>
                <w:bCs/>
                <w:iCs/>
              </w:rPr>
            </w:pPr>
            <w:r w:rsidRPr="00E42FBF">
              <w:rPr>
                <w:bCs/>
                <w:iCs/>
              </w:rPr>
              <w:t>SUSENAS</w:t>
            </w:r>
          </w:p>
        </w:tc>
      </w:tr>
      <w:tr w:rsidR="00F446FB" w:rsidRPr="00E42FBF" w14:paraId="1A660CE7" w14:textId="77777777" w:rsidTr="00C20E33">
        <w:trPr>
          <w:gridAfter w:val="1"/>
          <w:wAfter w:w="10" w:type="dxa"/>
          <w:trHeight w:val="283"/>
        </w:trPr>
        <w:tc>
          <w:tcPr>
            <w:tcW w:w="4395" w:type="dxa"/>
            <w:vAlign w:val="center"/>
          </w:tcPr>
          <w:p w14:paraId="0FE8331C" w14:textId="77777777" w:rsidR="00F446FB" w:rsidRPr="00E42FBF" w:rsidRDefault="00F446FB" w:rsidP="00C20E33">
            <w:pPr>
              <w:spacing w:after="0" w:line="240" w:lineRule="auto"/>
              <w:rPr>
                <w:bCs/>
                <w:iCs/>
              </w:rPr>
            </w:pPr>
            <w:r w:rsidRPr="00E42FBF">
              <w:rPr>
                <w:bCs/>
                <w:iCs/>
              </w:rPr>
              <w:t>Electrification rate</w:t>
            </w:r>
          </w:p>
        </w:tc>
        <w:tc>
          <w:tcPr>
            <w:tcW w:w="1275" w:type="dxa"/>
            <w:vAlign w:val="center"/>
          </w:tcPr>
          <w:p w14:paraId="59FD6BAC" w14:textId="77777777" w:rsidR="00F446FB" w:rsidRPr="00E42FBF" w:rsidRDefault="00F446FB" w:rsidP="00C20E33">
            <w:pPr>
              <w:spacing w:after="0" w:line="240" w:lineRule="auto"/>
              <w:jc w:val="center"/>
              <w:rPr>
                <w:bCs/>
                <w:iCs/>
              </w:rPr>
            </w:pPr>
            <w:r w:rsidRPr="00E42FBF">
              <w:rPr>
                <w:bCs/>
                <w:iCs/>
              </w:rPr>
              <w:t>0.92</w:t>
            </w:r>
          </w:p>
        </w:tc>
        <w:tc>
          <w:tcPr>
            <w:tcW w:w="1276" w:type="dxa"/>
            <w:vAlign w:val="center"/>
          </w:tcPr>
          <w:p w14:paraId="6A188FA8" w14:textId="77777777" w:rsidR="00F446FB" w:rsidRPr="00E42FBF" w:rsidRDefault="00F446FB" w:rsidP="00C20E33">
            <w:pPr>
              <w:spacing w:after="0" w:line="240" w:lineRule="auto"/>
              <w:jc w:val="center"/>
              <w:rPr>
                <w:bCs/>
                <w:iCs/>
              </w:rPr>
            </w:pPr>
            <w:r w:rsidRPr="00E42FBF">
              <w:rPr>
                <w:bCs/>
                <w:iCs/>
              </w:rPr>
              <w:t>0.12</w:t>
            </w:r>
          </w:p>
        </w:tc>
        <w:tc>
          <w:tcPr>
            <w:tcW w:w="1276" w:type="dxa"/>
            <w:vAlign w:val="center"/>
          </w:tcPr>
          <w:p w14:paraId="4B4C08A1" w14:textId="77777777" w:rsidR="00F446FB" w:rsidRPr="00E42FBF" w:rsidRDefault="00F446FB" w:rsidP="00C20E33">
            <w:pPr>
              <w:spacing w:after="0" w:line="240" w:lineRule="auto"/>
              <w:jc w:val="center"/>
              <w:rPr>
                <w:bCs/>
                <w:iCs/>
              </w:rPr>
            </w:pPr>
            <w:r w:rsidRPr="00E42FBF">
              <w:rPr>
                <w:bCs/>
                <w:iCs/>
              </w:rPr>
              <w:t>0.38</w:t>
            </w:r>
          </w:p>
        </w:tc>
        <w:tc>
          <w:tcPr>
            <w:tcW w:w="1417" w:type="dxa"/>
            <w:vAlign w:val="center"/>
          </w:tcPr>
          <w:p w14:paraId="3EF3F835" w14:textId="77777777" w:rsidR="00F446FB" w:rsidRPr="00E42FBF" w:rsidRDefault="00F446FB" w:rsidP="00C20E33">
            <w:pPr>
              <w:spacing w:after="0" w:line="240" w:lineRule="auto"/>
              <w:jc w:val="center"/>
              <w:rPr>
                <w:bCs/>
                <w:iCs/>
              </w:rPr>
            </w:pPr>
            <w:r w:rsidRPr="00E42FBF">
              <w:rPr>
                <w:bCs/>
                <w:iCs/>
              </w:rPr>
              <w:t>1.00</w:t>
            </w:r>
          </w:p>
        </w:tc>
        <w:tc>
          <w:tcPr>
            <w:tcW w:w="1088" w:type="dxa"/>
            <w:vAlign w:val="center"/>
          </w:tcPr>
          <w:p w14:paraId="3085DC6D" w14:textId="77777777" w:rsidR="00F446FB" w:rsidRPr="00E42FBF" w:rsidRDefault="00F446FB" w:rsidP="00C20E33">
            <w:pPr>
              <w:spacing w:after="0" w:line="240" w:lineRule="auto"/>
              <w:jc w:val="center"/>
              <w:rPr>
                <w:bCs/>
                <w:iCs/>
              </w:rPr>
            </w:pPr>
            <w:r w:rsidRPr="00E42FBF">
              <w:rPr>
                <w:bCs/>
                <w:iCs/>
              </w:rPr>
              <w:t>SUSENAS</w:t>
            </w:r>
          </w:p>
        </w:tc>
      </w:tr>
      <w:tr w:rsidR="00F446FB" w:rsidRPr="00E42FBF" w14:paraId="3B2D5C68" w14:textId="77777777" w:rsidTr="00C20E33">
        <w:trPr>
          <w:gridAfter w:val="1"/>
          <w:wAfter w:w="10" w:type="dxa"/>
          <w:trHeight w:val="283"/>
        </w:trPr>
        <w:tc>
          <w:tcPr>
            <w:tcW w:w="4395" w:type="dxa"/>
            <w:tcBorders>
              <w:bottom w:val="single" w:sz="4" w:space="0" w:color="auto"/>
            </w:tcBorders>
            <w:vAlign w:val="center"/>
          </w:tcPr>
          <w:p w14:paraId="5809C273" w14:textId="77777777" w:rsidR="00F446FB" w:rsidRPr="00E42FBF" w:rsidRDefault="00F446FB" w:rsidP="00C20E33">
            <w:pPr>
              <w:spacing w:after="0" w:line="240" w:lineRule="auto"/>
              <w:rPr>
                <w:bCs/>
                <w:iCs/>
              </w:rPr>
            </w:pPr>
            <w:r w:rsidRPr="00E42FBF">
              <w:rPr>
                <w:bCs/>
                <w:iCs/>
              </w:rPr>
              <w:t>Children immunisation coverage</w:t>
            </w:r>
          </w:p>
        </w:tc>
        <w:tc>
          <w:tcPr>
            <w:tcW w:w="1275" w:type="dxa"/>
            <w:tcBorders>
              <w:bottom w:val="single" w:sz="4" w:space="0" w:color="auto"/>
            </w:tcBorders>
            <w:vAlign w:val="center"/>
          </w:tcPr>
          <w:p w14:paraId="09758907" w14:textId="77777777" w:rsidR="00F446FB" w:rsidRPr="00E42FBF" w:rsidRDefault="00F446FB" w:rsidP="00C20E33">
            <w:pPr>
              <w:spacing w:after="0" w:line="240" w:lineRule="auto"/>
              <w:jc w:val="center"/>
              <w:rPr>
                <w:bCs/>
                <w:iCs/>
              </w:rPr>
            </w:pPr>
            <w:r w:rsidRPr="00E42FBF">
              <w:rPr>
                <w:bCs/>
                <w:iCs/>
              </w:rPr>
              <w:t>0.94</w:t>
            </w:r>
          </w:p>
        </w:tc>
        <w:tc>
          <w:tcPr>
            <w:tcW w:w="1276" w:type="dxa"/>
            <w:tcBorders>
              <w:bottom w:val="single" w:sz="4" w:space="0" w:color="auto"/>
            </w:tcBorders>
            <w:vAlign w:val="center"/>
          </w:tcPr>
          <w:p w14:paraId="7D167D73" w14:textId="77777777" w:rsidR="00F446FB" w:rsidRPr="00E42FBF" w:rsidRDefault="00F446FB" w:rsidP="00C20E33">
            <w:pPr>
              <w:spacing w:after="0" w:line="240" w:lineRule="auto"/>
              <w:jc w:val="center"/>
              <w:rPr>
                <w:bCs/>
                <w:iCs/>
              </w:rPr>
            </w:pPr>
            <w:r w:rsidRPr="00E42FBF">
              <w:rPr>
                <w:bCs/>
                <w:iCs/>
              </w:rPr>
              <w:t>0.04</w:t>
            </w:r>
          </w:p>
        </w:tc>
        <w:tc>
          <w:tcPr>
            <w:tcW w:w="1276" w:type="dxa"/>
            <w:tcBorders>
              <w:bottom w:val="single" w:sz="4" w:space="0" w:color="auto"/>
            </w:tcBorders>
            <w:vAlign w:val="center"/>
          </w:tcPr>
          <w:p w14:paraId="62D78F8C" w14:textId="77777777" w:rsidR="00F446FB" w:rsidRPr="00E42FBF" w:rsidRDefault="00F446FB" w:rsidP="00C20E33">
            <w:pPr>
              <w:spacing w:after="0" w:line="240" w:lineRule="auto"/>
              <w:jc w:val="center"/>
              <w:rPr>
                <w:bCs/>
                <w:iCs/>
              </w:rPr>
            </w:pPr>
            <w:r w:rsidRPr="00E42FBF">
              <w:rPr>
                <w:bCs/>
                <w:iCs/>
              </w:rPr>
              <w:t>0.71</w:t>
            </w:r>
          </w:p>
        </w:tc>
        <w:tc>
          <w:tcPr>
            <w:tcW w:w="1417" w:type="dxa"/>
            <w:tcBorders>
              <w:bottom w:val="single" w:sz="4" w:space="0" w:color="auto"/>
            </w:tcBorders>
            <w:vAlign w:val="center"/>
          </w:tcPr>
          <w:p w14:paraId="02AAE7EC" w14:textId="77777777" w:rsidR="00F446FB" w:rsidRPr="00E42FBF" w:rsidRDefault="00F446FB" w:rsidP="00C20E33">
            <w:pPr>
              <w:spacing w:after="0" w:line="240" w:lineRule="auto"/>
              <w:jc w:val="center"/>
              <w:rPr>
                <w:bCs/>
                <w:iCs/>
              </w:rPr>
            </w:pPr>
            <w:r w:rsidRPr="00E42FBF">
              <w:rPr>
                <w:bCs/>
                <w:iCs/>
              </w:rPr>
              <w:t>1.00</w:t>
            </w:r>
          </w:p>
        </w:tc>
        <w:tc>
          <w:tcPr>
            <w:tcW w:w="1088" w:type="dxa"/>
            <w:tcBorders>
              <w:bottom w:val="single" w:sz="4" w:space="0" w:color="auto"/>
            </w:tcBorders>
            <w:vAlign w:val="center"/>
          </w:tcPr>
          <w:p w14:paraId="718FF816" w14:textId="77777777" w:rsidR="00F446FB" w:rsidRPr="00E42FBF" w:rsidRDefault="00F446FB" w:rsidP="00C20E33">
            <w:pPr>
              <w:spacing w:after="0" w:line="240" w:lineRule="auto"/>
              <w:jc w:val="center"/>
              <w:rPr>
                <w:bCs/>
                <w:iCs/>
              </w:rPr>
            </w:pPr>
            <w:r w:rsidRPr="00E42FBF">
              <w:rPr>
                <w:bCs/>
                <w:iCs/>
              </w:rPr>
              <w:t>SUSENAS</w:t>
            </w:r>
          </w:p>
        </w:tc>
      </w:tr>
      <w:tr w:rsidR="00F446FB" w:rsidRPr="00E42FBF" w14:paraId="6D1902EC" w14:textId="77777777" w:rsidTr="00C20E33">
        <w:trPr>
          <w:gridAfter w:val="1"/>
          <w:wAfter w:w="10" w:type="dxa"/>
          <w:trHeight w:val="283"/>
        </w:trPr>
        <w:tc>
          <w:tcPr>
            <w:tcW w:w="4395" w:type="dxa"/>
            <w:tcBorders>
              <w:top w:val="single" w:sz="4" w:space="0" w:color="auto"/>
              <w:bottom w:val="single" w:sz="4" w:space="0" w:color="auto"/>
            </w:tcBorders>
            <w:vAlign w:val="center"/>
          </w:tcPr>
          <w:p w14:paraId="563EC84A" w14:textId="27EFFD5D" w:rsidR="00F446FB" w:rsidRPr="00E42FBF" w:rsidRDefault="00F446FB" w:rsidP="00C20E33">
            <w:pPr>
              <w:spacing w:after="0" w:line="240" w:lineRule="auto"/>
              <w:rPr>
                <w:bCs/>
                <w:iCs/>
              </w:rPr>
            </w:pPr>
            <w:r w:rsidRPr="00E42FBF">
              <w:rPr>
                <w:bCs/>
                <w:iCs/>
              </w:rPr>
              <w:t>Instrumental variable</w:t>
            </w:r>
            <w:r w:rsidR="008734D2">
              <w:rPr>
                <w:bCs/>
                <w:iCs/>
              </w:rPr>
              <w:t>s</w:t>
            </w:r>
          </w:p>
        </w:tc>
        <w:tc>
          <w:tcPr>
            <w:tcW w:w="1275" w:type="dxa"/>
            <w:tcBorders>
              <w:top w:val="single" w:sz="4" w:space="0" w:color="auto"/>
              <w:bottom w:val="single" w:sz="4" w:space="0" w:color="auto"/>
            </w:tcBorders>
            <w:vAlign w:val="center"/>
          </w:tcPr>
          <w:p w14:paraId="419695CD" w14:textId="77777777" w:rsidR="00F446FB" w:rsidRPr="00E42FBF" w:rsidRDefault="00F446FB" w:rsidP="00C20E33">
            <w:pPr>
              <w:spacing w:after="0" w:line="240" w:lineRule="auto"/>
              <w:jc w:val="center"/>
              <w:rPr>
                <w:bCs/>
                <w:iCs/>
              </w:rPr>
            </w:pPr>
          </w:p>
        </w:tc>
        <w:tc>
          <w:tcPr>
            <w:tcW w:w="1276" w:type="dxa"/>
            <w:tcBorders>
              <w:top w:val="single" w:sz="4" w:space="0" w:color="auto"/>
              <w:bottom w:val="single" w:sz="4" w:space="0" w:color="auto"/>
            </w:tcBorders>
            <w:vAlign w:val="center"/>
          </w:tcPr>
          <w:p w14:paraId="48FDA7EC" w14:textId="77777777" w:rsidR="00F446FB" w:rsidRPr="00E42FBF" w:rsidRDefault="00F446FB" w:rsidP="00C20E33">
            <w:pPr>
              <w:spacing w:after="0" w:line="240" w:lineRule="auto"/>
              <w:jc w:val="center"/>
              <w:rPr>
                <w:bCs/>
                <w:iCs/>
              </w:rPr>
            </w:pPr>
          </w:p>
        </w:tc>
        <w:tc>
          <w:tcPr>
            <w:tcW w:w="1276" w:type="dxa"/>
            <w:tcBorders>
              <w:top w:val="single" w:sz="4" w:space="0" w:color="auto"/>
              <w:bottom w:val="single" w:sz="4" w:space="0" w:color="auto"/>
            </w:tcBorders>
            <w:vAlign w:val="center"/>
          </w:tcPr>
          <w:p w14:paraId="461FE964" w14:textId="77777777" w:rsidR="00F446FB" w:rsidRPr="00E42FBF" w:rsidRDefault="00F446FB" w:rsidP="00C20E33">
            <w:pPr>
              <w:spacing w:after="0" w:line="240" w:lineRule="auto"/>
              <w:jc w:val="center"/>
              <w:rPr>
                <w:bCs/>
                <w:iCs/>
              </w:rPr>
            </w:pPr>
          </w:p>
        </w:tc>
        <w:tc>
          <w:tcPr>
            <w:tcW w:w="1417" w:type="dxa"/>
            <w:tcBorders>
              <w:top w:val="single" w:sz="4" w:space="0" w:color="auto"/>
              <w:bottom w:val="single" w:sz="4" w:space="0" w:color="auto"/>
            </w:tcBorders>
            <w:vAlign w:val="center"/>
          </w:tcPr>
          <w:p w14:paraId="5149874E" w14:textId="77777777" w:rsidR="00F446FB" w:rsidRPr="00E42FBF" w:rsidRDefault="00F446FB" w:rsidP="00C20E33">
            <w:pPr>
              <w:spacing w:after="0" w:line="240" w:lineRule="auto"/>
              <w:jc w:val="center"/>
              <w:rPr>
                <w:bCs/>
                <w:iCs/>
              </w:rPr>
            </w:pPr>
          </w:p>
        </w:tc>
        <w:tc>
          <w:tcPr>
            <w:tcW w:w="1088" w:type="dxa"/>
            <w:tcBorders>
              <w:top w:val="single" w:sz="4" w:space="0" w:color="auto"/>
              <w:bottom w:val="single" w:sz="4" w:space="0" w:color="auto"/>
            </w:tcBorders>
            <w:vAlign w:val="center"/>
          </w:tcPr>
          <w:p w14:paraId="0CD89D58" w14:textId="77777777" w:rsidR="00F446FB" w:rsidRPr="00E42FBF" w:rsidRDefault="00F446FB" w:rsidP="00C20E33">
            <w:pPr>
              <w:spacing w:after="0" w:line="240" w:lineRule="auto"/>
              <w:jc w:val="center"/>
              <w:rPr>
                <w:bCs/>
                <w:iCs/>
              </w:rPr>
            </w:pPr>
          </w:p>
        </w:tc>
      </w:tr>
      <w:tr w:rsidR="00F446FB" w:rsidRPr="00E42FBF" w14:paraId="06BEC2E0" w14:textId="77777777" w:rsidTr="00C20E33">
        <w:trPr>
          <w:gridAfter w:val="1"/>
          <w:wAfter w:w="10" w:type="dxa"/>
          <w:trHeight w:val="283"/>
        </w:trPr>
        <w:tc>
          <w:tcPr>
            <w:tcW w:w="4395" w:type="dxa"/>
            <w:tcBorders>
              <w:top w:val="single" w:sz="4" w:space="0" w:color="FFFFFF" w:themeColor="background1"/>
              <w:bottom w:val="single" w:sz="4" w:space="0" w:color="FFFFFF" w:themeColor="background1"/>
            </w:tcBorders>
            <w:vAlign w:val="center"/>
          </w:tcPr>
          <w:p w14:paraId="7391FC49" w14:textId="77777777" w:rsidR="00F446FB" w:rsidRPr="00E42FBF" w:rsidRDefault="00F446FB" w:rsidP="00C20E33">
            <w:pPr>
              <w:spacing w:after="0" w:line="240" w:lineRule="auto"/>
              <w:rPr>
                <w:bCs/>
                <w:iCs/>
              </w:rPr>
            </w:pPr>
            <w:r w:rsidRPr="00E42FBF">
              <w:rPr>
                <w:bCs/>
                <w:iCs/>
              </w:rPr>
              <w:t>Total own source revenue (in logs)</w:t>
            </w:r>
          </w:p>
        </w:tc>
        <w:tc>
          <w:tcPr>
            <w:tcW w:w="1275" w:type="dxa"/>
            <w:tcBorders>
              <w:top w:val="single" w:sz="4" w:space="0" w:color="FFFFFF" w:themeColor="background1"/>
              <w:bottom w:val="single" w:sz="4" w:space="0" w:color="FFFFFF" w:themeColor="background1"/>
            </w:tcBorders>
            <w:vAlign w:val="center"/>
          </w:tcPr>
          <w:p w14:paraId="428873BB" w14:textId="77777777" w:rsidR="00F446FB" w:rsidRPr="00E42FBF" w:rsidRDefault="00F446FB" w:rsidP="00C20E33">
            <w:pPr>
              <w:spacing w:after="0" w:line="240" w:lineRule="auto"/>
              <w:jc w:val="center"/>
              <w:rPr>
                <w:bCs/>
                <w:iCs/>
              </w:rPr>
            </w:pPr>
            <w:r w:rsidRPr="00E42FBF">
              <w:rPr>
                <w:bCs/>
                <w:iCs/>
              </w:rPr>
              <w:t>12.37</w:t>
            </w:r>
          </w:p>
        </w:tc>
        <w:tc>
          <w:tcPr>
            <w:tcW w:w="1276" w:type="dxa"/>
            <w:tcBorders>
              <w:top w:val="single" w:sz="4" w:space="0" w:color="FFFFFF" w:themeColor="background1"/>
              <w:bottom w:val="single" w:sz="4" w:space="0" w:color="FFFFFF" w:themeColor="background1"/>
            </w:tcBorders>
            <w:vAlign w:val="center"/>
          </w:tcPr>
          <w:p w14:paraId="07CCA67A" w14:textId="77777777" w:rsidR="00F446FB" w:rsidRPr="00E42FBF" w:rsidRDefault="00F446FB" w:rsidP="00C20E33">
            <w:pPr>
              <w:spacing w:after="0" w:line="240" w:lineRule="auto"/>
              <w:jc w:val="center"/>
              <w:rPr>
                <w:bCs/>
                <w:iCs/>
              </w:rPr>
            </w:pPr>
            <w:r w:rsidRPr="00E42FBF">
              <w:rPr>
                <w:bCs/>
                <w:iCs/>
              </w:rPr>
              <w:t>0.62</w:t>
            </w:r>
          </w:p>
        </w:tc>
        <w:tc>
          <w:tcPr>
            <w:tcW w:w="1276" w:type="dxa"/>
            <w:tcBorders>
              <w:top w:val="single" w:sz="4" w:space="0" w:color="FFFFFF" w:themeColor="background1"/>
              <w:bottom w:val="single" w:sz="4" w:space="0" w:color="FFFFFF" w:themeColor="background1"/>
            </w:tcBorders>
            <w:vAlign w:val="center"/>
          </w:tcPr>
          <w:p w14:paraId="511B4C1E" w14:textId="77777777" w:rsidR="00F446FB" w:rsidRPr="00E42FBF" w:rsidRDefault="00F446FB" w:rsidP="00C20E33">
            <w:pPr>
              <w:spacing w:after="0" w:line="240" w:lineRule="auto"/>
              <w:jc w:val="center"/>
              <w:rPr>
                <w:bCs/>
                <w:iCs/>
              </w:rPr>
            </w:pPr>
            <w:r w:rsidRPr="00E42FBF">
              <w:rPr>
                <w:bCs/>
                <w:iCs/>
              </w:rPr>
              <w:t>10.24</w:t>
            </w:r>
          </w:p>
        </w:tc>
        <w:tc>
          <w:tcPr>
            <w:tcW w:w="1417" w:type="dxa"/>
            <w:tcBorders>
              <w:top w:val="single" w:sz="4" w:space="0" w:color="FFFFFF" w:themeColor="background1"/>
              <w:bottom w:val="single" w:sz="4" w:space="0" w:color="FFFFFF" w:themeColor="background1"/>
            </w:tcBorders>
            <w:vAlign w:val="center"/>
          </w:tcPr>
          <w:p w14:paraId="1F4404C6" w14:textId="77777777" w:rsidR="00F446FB" w:rsidRPr="00E42FBF" w:rsidRDefault="00F446FB" w:rsidP="00C20E33">
            <w:pPr>
              <w:spacing w:after="0" w:line="240" w:lineRule="auto"/>
              <w:jc w:val="center"/>
              <w:rPr>
                <w:bCs/>
                <w:iCs/>
              </w:rPr>
            </w:pPr>
            <w:r w:rsidRPr="00E42FBF">
              <w:rPr>
                <w:bCs/>
                <w:iCs/>
              </w:rPr>
              <w:t>14.62</w:t>
            </w:r>
          </w:p>
        </w:tc>
        <w:tc>
          <w:tcPr>
            <w:tcW w:w="1088" w:type="dxa"/>
            <w:tcBorders>
              <w:top w:val="single" w:sz="4" w:space="0" w:color="FFFFFF" w:themeColor="background1"/>
              <w:bottom w:val="single" w:sz="4" w:space="0" w:color="FFFFFF" w:themeColor="background1"/>
            </w:tcBorders>
            <w:vAlign w:val="center"/>
          </w:tcPr>
          <w:p w14:paraId="0F77ECA9" w14:textId="77777777" w:rsidR="00F446FB" w:rsidRPr="00E42FBF" w:rsidRDefault="00F446FB" w:rsidP="00C20E33">
            <w:pPr>
              <w:spacing w:after="0" w:line="240" w:lineRule="auto"/>
              <w:jc w:val="center"/>
              <w:rPr>
                <w:bCs/>
                <w:iCs/>
              </w:rPr>
            </w:pPr>
            <w:r w:rsidRPr="00E42FBF">
              <w:rPr>
                <w:bCs/>
                <w:iCs/>
              </w:rPr>
              <w:t>MoF</w:t>
            </w:r>
          </w:p>
        </w:tc>
      </w:tr>
      <w:tr w:rsidR="00F446FB" w:rsidRPr="00E42FBF" w14:paraId="6C38FAB2" w14:textId="77777777" w:rsidTr="00C20E33">
        <w:trPr>
          <w:gridAfter w:val="1"/>
          <w:wAfter w:w="10" w:type="dxa"/>
          <w:trHeight w:val="283"/>
        </w:trPr>
        <w:tc>
          <w:tcPr>
            <w:tcW w:w="4395" w:type="dxa"/>
            <w:tcBorders>
              <w:top w:val="single" w:sz="4" w:space="0" w:color="FFFFFF" w:themeColor="background1"/>
              <w:bottom w:val="single" w:sz="4" w:space="0" w:color="FFFFFF" w:themeColor="background1"/>
            </w:tcBorders>
            <w:vAlign w:val="center"/>
          </w:tcPr>
          <w:p w14:paraId="5F46B6AF" w14:textId="0904E47F" w:rsidR="00F446FB" w:rsidRPr="00E42FBF" w:rsidRDefault="00F446FB" w:rsidP="00C20E33">
            <w:pPr>
              <w:spacing w:after="0" w:line="240" w:lineRule="auto"/>
              <w:rPr>
                <w:bCs/>
                <w:iCs/>
              </w:rPr>
            </w:pPr>
            <w:r w:rsidRPr="00E42FBF">
              <w:rPr>
                <w:bCs/>
                <w:iCs/>
              </w:rPr>
              <w:t>Exports of oil and gas (in million U</w:t>
            </w:r>
            <w:r w:rsidR="00352852" w:rsidRPr="007C73D7">
              <w:rPr>
                <w:color w:val="000000" w:themeColor="text1"/>
              </w:rPr>
              <w:t>S$</w:t>
            </w:r>
            <w:r w:rsidRPr="00E42FBF">
              <w:rPr>
                <w:bCs/>
                <w:iCs/>
              </w:rPr>
              <w:t>)</w:t>
            </w:r>
          </w:p>
        </w:tc>
        <w:tc>
          <w:tcPr>
            <w:tcW w:w="1275" w:type="dxa"/>
            <w:tcBorders>
              <w:top w:val="single" w:sz="4" w:space="0" w:color="FFFFFF" w:themeColor="background1"/>
              <w:bottom w:val="single" w:sz="4" w:space="0" w:color="FFFFFF" w:themeColor="background1"/>
            </w:tcBorders>
            <w:vAlign w:val="center"/>
          </w:tcPr>
          <w:p w14:paraId="36DB30F7" w14:textId="77777777" w:rsidR="00F446FB" w:rsidRPr="00E42FBF" w:rsidRDefault="00F446FB" w:rsidP="00C20E33">
            <w:pPr>
              <w:spacing w:after="0" w:line="240" w:lineRule="auto"/>
              <w:jc w:val="center"/>
              <w:rPr>
                <w:bCs/>
                <w:iCs/>
              </w:rPr>
            </w:pPr>
            <w:r w:rsidRPr="00E42FBF">
              <w:rPr>
                <w:iCs/>
              </w:rPr>
              <w:t>1,035.32</w:t>
            </w:r>
          </w:p>
        </w:tc>
        <w:tc>
          <w:tcPr>
            <w:tcW w:w="1276" w:type="dxa"/>
            <w:tcBorders>
              <w:top w:val="single" w:sz="4" w:space="0" w:color="FFFFFF" w:themeColor="background1"/>
              <w:bottom w:val="single" w:sz="4" w:space="0" w:color="FFFFFF" w:themeColor="background1"/>
            </w:tcBorders>
            <w:vAlign w:val="center"/>
          </w:tcPr>
          <w:p w14:paraId="11F241F5" w14:textId="77777777" w:rsidR="00F446FB" w:rsidRPr="00E42FBF" w:rsidRDefault="00F446FB" w:rsidP="00C20E33">
            <w:pPr>
              <w:spacing w:after="0" w:line="240" w:lineRule="auto"/>
              <w:jc w:val="center"/>
              <w:rPr>
                <w:bCs/>
                <w:iCs/>
              </w:rPr>
            </w:pPr>
            <w:r w:rsidRPr="00E42FBF">
              <w:rPr>
                <w:iCs/>
              </w:rPr>
              <w:t>1,924.80</w:t>
            </w:r>
          </w:p>
        </w:tc>
        <w:tc>
          <w:tcPr>
            <w:tcW w:w="1276" w:type="dxa"/>
            <w:tcBorders>
              <w:top w:val="single" w:sz="4" w:space="0" w:color="FFFFFF" w:themeColor="background1"/>
              <w:bottom w:val="single" w:sz="4" w:space="0" w:color="FFFFFF" w:themeColor="background1"/>
            </w:tcBorders>
            <w:vAlign w:val="center"/>
          </w:tcPr>
          <w:p w14:paraId="15D91FC2" w14:textId="77777777" w:rsidR="00F446FB" w:rsidRPr="00E42FBF" w:rsidRDefault="00F446FB" w:rsidP="00C20E33">
            <w:pPr>
              <w:spacing w:after="0" w:line="240" w:lineRule="auto"/>
              <w:jc w:val="center"/>
              <w:rPr>
                <w:bCs/>
                <w:iCs/>
              </w:rPr>
            </w:pPr>
            <w:r w:rsidRPr="00E42FBF">
              <w:rPr>
                <w:iCs/>
              </w:rPr>
              <w:t>0.00</w:t>
            </w:r>
          </w:p>
        </w:tc>
        <w:tc>
          <w:tcPr>
            <w:tcW w:w="1417" w:type="dxa"/>
            <w:tcBorders>
              <w:top w:val="single" w:sz="4" w:space="0" w:color="FFFFFF" w:themeColor="background1"/>
              <w:bottom w:val="single" w:sz="4" w:space="0" w:color="FFFFFF" w:themeColor="background1"/>
            </w:tcBorders>
            <w:vAlign w:val="center"/>
          </w:tcPr>
          <w:p w14:paraId="45A42174" w14:textId="77777777" w:rsidR="00F446FB" w:rsidRPr="00E42FBF" w:rsidRDefault="00F446FB" w:rsidP="00C20E33">
            <w:pPr>
              <w:spacing w:after="0" w:line="240" w:lineRule="auto"/>
              <w:jc w:val="center"/>
              <w:rPr>
                <w:bCs/>
                <w:iCs/>
              </w:rPr>
            </w:pPr>
            <w:r w:rsidRPr="00E42FBF">
              <w:rPr>
                <w:iCs/>
              </w:rPr>
              <w:t>15,285.18</w:t>
            </w:r>
          </w:p>
        </w:tc>
        <w:tc>
          <w:tcPr>
            <w:tcW w:w="1088" w:type="dxa"/>
            <w:tcBorders>
              <w:top w:val="single" w:sz="4" w:space="0" w:color="FFFFFF" w:themeColor="background1"/>
              <w:bottom w:val="single" w:sz="4" w:space="0" w:color="FFFFFF" w:themeColor="background1"/>
            </w:tcBorders>
            <w:vAlign w:val="center"/>
          </w:tcPr>
          <w:p w14:paraId="44A44006" w14:textId="77777777" w:rsidR="00F446FB" w:rsidRPr="00E42FBF" w:rsidRDefault="00F446FB" w:rsidP="00C20E33">
            <w:pPr>
              <w:spacing w:after="0" w:line="240" w:lineRule="auto"/>
              <w:jc w:val="center"/>
              <w:rPr>
                <w:bCs/>
                <w:iCs/>
              </w:rPr>
            </w:pPr>
            <w:r w:rsidRPr="00E42FBF">
              <w:rPr>
                <w:iCs/>
              </w:rPr>
              <w:t>SUSENAS/CEIC</w:t>
            </w:r>
          </w:p>
        </w:tc>
      </w:tr>
      <w:tr w:rsidR="00F446FB" w:rsidRPr="00E42FBF" w14:paraId="6ACCE3A3" w14:textId="77777777" w:rsidTr="00C20E33">
        <w:trPr>
          <w:trHeight w:val="216"/>
        </w:trPr>
        <w:tc>
          <w:tcPr>
            <w:tcW w:w="10737" w:type="dxa"/>
            <w:gridSpan w:val="7"/>
            <w:tcBorders>
              <w:top w:val="double" w:sz="4" w:space="0" w:color="auto"/>
              <w:bottom w:val="nil"/>
            </w:tcBorders>
            <w:vAlign w:val="center"/>
          </w:tcPr>
          <w:p w14:paraId="60F67AAB" w14:textId="3FDB2CD7" w:rsidR="00F446FB" w:rsidRPr="00BF6983" w:rsidRDefault="00F446FB" w:rsidP="00F20129">
            <w:pPr>
              <w:spacing w:line="259" w:lineRule="auto"/>
              <w:rPr>
                <w:bCs/>
                <w:iCs/>
                <w:sz w:val="20"/>
              </w:rPr>
            </w:pPr>
            <w:r w:rsidRPr="00BF6983">
              <w:rPr>
                <w:bCs/>
                <w:iCs/>
                <w:sz w:val="20"/>
              </w:rPr>
              <w:t xml:space="preserve">Note: Means and standard deviations are weighed by province population. IDR stands for Indonesian Rupiah. </w:t>
            </w:r>
            <w:r w:rsidR="006747DD">
              <w:rPr>
                <w:bCs/>
                <w:iCs/>
                <w:sz w:val="20"/>
              </w:rPr>
              <w:t xml:space="preserve">BPS: Badan Pusat </w:t>
            </w:r>
            <w:proofErr w:type="spellStart"/>
            <w:r w:rsidR="006747DD">
              <w:rPr>
                <w:bCs/>
                <w:iCs/>
                <w:sz w:val="20"/>
              </w:rPr>
              <w:t>Statistik</w:t>
            </w:r>
            <w:proofErr w:type="spellEnd"/>
            <w:r w:rsidR="006747DD">
              <w:rPr>
                <w:bCs/>
                <w:iCs/>
                <w:sz w:val="20"/>
              </w:rPr>
              <w:t xml:space="preserve"> (Statistics Indonesia), </w:t>
            </w:r>
            <w:r w:rsidR="006747DD" w:rsidRPr="006747DD">
              <w:t xml:space="preserve"> </w:t>
            </w:r>
            <w:r w:rsidR="006747DD">
              <w:t xml:space="preserve">IDHS: </w:t>
            </w:r>
            <w:r w:rsidR="006747DD" w:rsidRPr="006747DD">
              <w:rPr>
                <w:bCs/>
                <w:iCs/>
                <w:sz w:val="20"/>
              </w:rPr>
              <w:t>Indonesia Demographic and Health Surve</w:t>
            </w:r>
            <w:r w:rsidR="006747DD">
              <w:rPr>
                <w:bCs/>
                <w:iCs/>
                <w:sz w:val="20"/>
              </w:rPr>
              <w:t xml:space="preserve">y, IDR: </w:t>
            </w:r>
            <w:r w:rsidR="006747DD" w:rsidRPr="006747DD">
              <w:rPr>
                <w:bCs/>
                <w:iCs/>
                <w:sz w:val="20"/>
              </w:rPr>
              <w:t xml:space="preserve"> Indonesian Rupiah</w:t>
            </w:r>
            <w:r w:rsidR="006747DD">
              <w:rPr>
                <w:bCs/>
                <w:iCs/>
                <w:sz w:val="20"/>
              </w:rPr>
              <w:t xml:space="preserve">, MoF: </w:t>
            </w:r>
            <w:r w:rsidR="006747DD" w:rsidRPr="006747DD">
              <w:rPr>
                <w:color w:val="000000"/>
              </w:rPr>
              <w:t>Ministry Of Finance Indonesia</w:t>
            </w:r>
            <w:r w:rsidR="006747DD">
              <w:rPr>
                <w:bCs/>
                <w:iCs/>
                <w:sz w:val="20"/>
              </w:rPr>
              <w:t xml:space="preserve">, SUSENAS: </w:t>
            </w:r>
            <w:proofErr w:type="spellStart"/>
            <w:r w:rsidR="006747DD">
              <w:rPr>
                <w:bCs/>
                <w:iCs/>
                <w:sz w:val="20"/>
              </w:rPr>
              <w:t>Survei</w:t>
            </w:r>
            <w:proofErr w:type="spellEnd"/>
            <w:r w:rsidR="006747DD">
              <w:rPr>
                <w:bCs/>
                <w:iCs/>
                <w:sz w:val="20"/>
              </w:rPr>
              <w:t xml:space="preserve"> Sosial </w:t>
            </w:r>
            <w:proofErr w:type="spellStart"/>
            <w:r w:rsidR="006747DD">
              <w:rPr>
                <w:bCs/>
                <w:iCs/>
                <w:sz w:val="20"/>
              </w:rPr>
              <w:t>Ekonomi</w:t>
            </w:r>
            <w:proofErr w:type="spellEnd"/>
            <w:r w:rsidR="006747DD">
              <w:rPr>
                <w:bCs/>
                <w:iCs/>
                <w:sz w:val="20"/>
              </w:rPr>
              <w:t xml:space="preserve"> Nasional (National Socioeconomic survey), US</w:t>
            </w:r>
            <w:r w:rsidR="00352852">
              <w:rPr>
                <w:bCs/>
                <w:iCs/>
                <w:sz w:val="20"/>
              </w:rPr>
              <w:t>$</w:t>
            </w:r>
            <w:r w:rsidR="006747DD">
              <w:rPr>
                <w:bCs/>
                <w:iCs/>
                <w:sz w:val="20"/>
              </w:rPr>
              <w:t>: United States Dollar.</w:t>
            </w:r>
          </w:p>
        </w:tc>
      </w:tr>
    </w:tbl>
    <w:p w14:paraId="06E82929" w14:textId="77777777" w:rsidR="006747DD" w:rsidRPr="006747DD" w:rsidRDefault="00F446FB" w:rsidP="006747DD">
      <w:pPr>
        <w:spacing w:line="259" w:lineRule="auto"/>
        <w:rPr>
          <w:rStyle w:val="Hyperlink"/>
        </w:rPr>
      </w:pPr>
      <w:r>
        <w:rPr>
          <w:color w:val="000000"/>
        </w:rPr>
        <w:br w:type="page"/>
      </w:r>
      <w:r w:rsidR="006747DD" w:rsidRPr="006747DD">
        <w:rPr>
          <w:color w:val="000000"/>
        </w:rPr>
        <w:fldChar w:fldCharType="begin"/>
      </w:r>
      <w:r w:rsidR="006747DD" w:rsidRPr="006747DD">
        <w:rPr>
          <w:color w:val="000000"/>
        </w:rPr>
        <w:instrText xml:space="preserve"> HYPERLINK "https://dhsprogram.com/pubs/pdf/FR342/FR342.pdf" </w:instrText>
      </w:r>
      <w:r w:rsidR="006747DD" w:rsidRPr="006747DD">
        <w:rPr>
          <w:color w:val="000000"/>
        </w:rPr>
        <w:fldChar w:fldCharType="separate"/>
      </w:r>
    </w:p>
    <w:p w14:paraId="74FD8DE3" w14:textId="0152FB98" w:rsidR="00F446FB" w:rsidRPr="008A6F20" w:rsidRDefault="006747DD" w:rsidP="00F20129">
      <w:pPr>
        <w:spacing w:line="259" w:lineRule="auto"/>
        <w:rPr>
          <w:i/>
          <w:iCs/>
        </w:rPr>
      </w:pPr>
      <w:r w:rsidRPr="006747DD">
        <w:rPr>
          <w:color w:val="000000"/>
        </w:rPr>
        <w:lastRenderedPageBreak/>
        <w:fldChar w:fldCharType="end"/>
      </w:r>
      <w:r w:rsidR="00F446FB" w:rsidRPr="00F20129">
        <w:rPr>
          <w:i/>
          <w:iCs/>
        </w:rPr>
        <w:t xml:space="preserve">Table </w:t>
      </w:r>
      <w:r w:rsidR="0010513A" w:rsidRPr="00F20129">
        <w:rPr>
          <w:i/>
          <w:iCs/>
        </w:rPr>
        <w:t>2</w:t>
      </w:r>
      <w:r w:rsidR="00F446FB" w:rsidRPr="006747DD">
        <w:rPr>
          <w:i/>
          <w:iCs/>
        </w:rPr>
        <w:t>: Estimates</w:t>
      </w:r>
      <w:r w:rsidR="00F446FB" w:rsidRPr="008A6F20">
        <w:rPr>
          <w:i/>
          <w:iCs/>
        </w:rPr>
        <w:t xml:space="preserve"> of the effect of health expenditure on under-five mortality</w:t>
      </w:r>
    </w:p>
    <w:tbl>
      <w:tblPr>
        <w:tblStyle w:val="PlainTable2"/>
        <w:tblW w:w="9696" w:type="dxa"/>
        <w:jc w:val="center"/>
        <w:tblLook w:val="04A0" w:firstRow="1" w:lastRow="0" w:firstColumn="1" w:lastColumn="0" w:noHBand="0" w:noVBand="1"/>
      </w:tblPr>
      <w:tblGrid>
        <w:gridCol w:w="4820"/>
        <w:gridCol w:w="1276"/>
        <w:gridCol w:w="1134"/>
        <w:gridCol w:w="1332"/>
        <w:gridCol w:w="1134"/>
      </w:tblGrid>
      <w:tr w:rsidR="00F446FB" w:rsidRPr="008A6F20" w14:paraId="3A4148F2" w14:textId="77777777" w:rsidTr="18112CD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tcBorders>
              <w:top w:val="double" w:sz="4" w:space="0" w:color="auto"/>
            </w:tcBorders>
          </w:tcPr>
          <w:p w14:paraId="3E394310" w14:textId="77777777" w:rsidR="00F446FB" w:rsidRPr="008A6F20" w:rsidRDefault="00F446FB" w:rsidP="00C20E33">
            <w:pPr>
              <w:spacing w:line="240" w:lineRule="auto"/>
            </w:pPr>
          </w:p>
        </w:tc>
        <w:tc>
          <w:tcPr>
            <w:tcW w:w="1276" w:type="dxa"/>
            <w:tcBorders>
              <w:top w:val="double" w:sz="4" w:space="0" w:color="auto"/>
            </w:tcBorders>
            <w:vAlign w:val="center"/>
          </w:tcPr>
          <w:p w14:paraId="35CE918F" w14:textId="77777777" w:rsidR="00F446FB" w:rsidRPr="008A6F20" w:rsidRDefault="00F446FB" w:rsidP="00C20E33">
            <w:pPr>
              <w:spacing w:line="240" w:lineRule="auto"/>
              <w:jc w:val="center"/>
              <w:cnfStyle w:val="100000000000" w:firstRow="1" w:lastRow="0" w:firstColumn="0" w:lastColumn="0" w:oddVBand="0" w:evenVBand="0" w:oddHBand="0" w:evenHBand="0" w:firstRowFirstColumn="0" w:firstRowLastColumn="0" w:lastRowFirstColumn="0" w:lastRowLastColumn="0"/>
            </w:pPr>
            <w:r w:rsidRPr="008A6F20">
              <w:t>(1)</w:t>
            </w:r>
          </w:p>
        </w:tc>
        <w:tc>
          <w:tcPr>
            <w:tcW w:w="1134" w:type="dxa"/>
            <w:tcBorders>
              <w:top w:val="double" w:sz="4" w:space="0" w:color="auto"/>
            </w:tcBorders>
            <w:vAlign w:val="center"/>
          </w:tcPr>
          <w:p w14:paraId="50B2DF22" w14:textId="77777777" w:rsidR="00F446FB" w:rsidRPr="008A6F20" w:rsidRDefault="00F446FB" w:rsidP="00C20E33">
            <w:pPr>
              <w:spacing w:line="240" w:lineRule="auto"/>
              <w:jc w:val="center"/>
              <w:cnfStyle w:val="100000000000" w:firstRow="1" w:lastRow="0" w:firstColumn="0" w:lastColumn="0" w:oddVBand="0" w:evenVBand="0" w:oddHBand="0" w:evenHBand="0" w:firstRowFirstColumn="0" w:firstRowLastColumn="0" w:lastRowFirstColumn="0" w:lastRowLastColumn="0"/>
            </w:pPr>
            <w:r w:rsidRPr="008A6F20">
              <w:t>(2)</w:t>
            </w:r>
          </w:p>
        </w:tc>
        <w:tc>
          <w:tcPr>
            <w:tcW w:w="1332" w:type="dxa"/>
            <w:tcBorders>
              <w:top w:val="double" w:sz="4" w:space="0" w:color="auto"/>
            </w:tcBorders>
            <w:vAlign w:val="center"/>
          </w:tcPr>
          <w:p w14:paraId="7927006D" w14:textId="77777777" w:rsidR="00F446FB" w:rsidRPr="008A6F20" w:rsidRDefault="00F446FB" w:rsidP="00C20E33">
            <w:pPr>
              <w:spacing w:line="240" w:lineRule="auto"/>
              <w:jc w:val="center"/>
              <w:cnfStyle w:val="100000000000" w:firstRow="1" w:lastRow="0" w:firstColumn="0" w:lastColumn="0" w:oddVBand="0" w:evenVBand="0" w:oddHBand="0" w:evenHBand="0" w:firstRowFirstColumn="0" w:firstRowLastColumn="0" w:lastRowFirstColumn="0" w:lastRowLastColumn="0"/>
            </w:pPr>
            <w:r w:rsidRPr="008A6F20">
              <w:t>(3)</w:t>
            </w:r>
          </w:p>
        </w:tc>
        <w:tc>
          <w:tcPr>
            <w:tcW w:w="1134" w:type="dxa"/>
            <w:tcBorders>
              <w:top w:val="double" w:sz="4" w:space="0" w:color="auto"/>
            </w:tcBorders>
            <w:vAlign w:val="center"/>
          </w:tcPr>
          <w:p w14:paraId="68485712" w14:textId="77777777" w:rsidR="00F446FB" w:rsidRPr="008A6F20" w:rsidRDefault="00F446FB" w:rsidP="00C20E33">
            <w:pPr>
              <w:spacing w:line="240" w:lineRule="auto"/>
              <w:jc w:val="center"/>
              <w:cnfStyle w:val="100000000000" w:firstRow="1" w:lastRow="0" w:firstColumn="0" w:lastColumn="0" w:oddVBand="0" w:evenVBand="0" w:oddHBand="0" w:evenHBand="0" w:firstRowFirstColumn="0" w:firstRowLastColumn="0" w:lastRowFirstColumn="0" w:lastRowLastColumn="0"/>
            </w:pPr>
            <w:r w:rsidRPr="008A6F20">
              <w:t>(4)</w:t>
            </w:r>
          </w:p>
        </w:tc>
      </w:tr>
      <w:tr w:rsidR="00F446FB" w:rsidRPr="008A6F20" w14:paraId="3255B474" w14:textId="77777777" w:rsidTr="18112C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75984BF8" w14:textId="709C8677" w:rsidR="00F446FB" w:rsidRPr="008A6F20" w:rsidRDefault="00F446FB" w:rsidP="00C20E33">
            <w:pPr>
              <w:spacing w:line="240" w:lineRule="auto"/>
              <w:rPr>
                <w:b w:val="0"/>
              </w:rPr>
            </w:pPr>
            <w:r w:rsidRPr="008A6F20">
              <w:rPr>
                <w:b w:val="0"/>
              </w:rPr>
              <w:t>Total health expenditure pc</w:t>
            </w:r>
          </w:p>
        </w:tc>
        <w:tc>
          <w:tcPr>
            <w:tcW w:w="1276" w:type="dxa"/>
            <w:vAlign w:val="center"/>
          </w:tcPr>
          <w:p w14:paraId="6EA7640C"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-0.017**</w:t>
            </w:r>
          </w:p>
          <w:p w14:paraId="26B62369"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(0.049)</w:t>
            </w:r>
          </w:p>
        </w:tc>
        <w:tc>
          <w:tcPr>
            <w:tcW w:w="1134" w:type="dxa"/>
            <w:vAlign w:val="center"/>
          </w:tcPr>
          <w:p w14:paraId="34794125"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-0.015*</w:t>
            </w:r>
          </w:p>
          <w:p w14:paraId="2AC505A7"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(0.073)</w:t>
            </w:r>
          </w:p>
        </w:tc>
        <w:tc>
          <w:tcPr>
            <w:tcW w:w="1332" w:type="dxa"/>
            <w:vAlign w:val="center"/>
          </w:tcPr>
          <w:p w14:paraId="6376B002"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-0.016*</w:t>
            </w:r>
          </w:p>
          <w:p w14:paraId="5B4B1C7C"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(0.053)</w:t>
            </w:r>
          </w:p>
        </w:tc>
        <w:tc>
          <w:tcPr>
            <w:tcW w:w="1134" w:type="dxa"/>
            <w:vAlign w:val="center"/>
          </w:tcPr>
          <w:p w14:paraId="6B90A021"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-0.016**</w:t>
            </w:r>
          </w:p>
          <w:p w14:paraId="265BFF16"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(0.031)</w:t>
            </w:r>
          </w:p>
        </w:tc>
      </w:tr>
      <w:tr w:rsidR="00F446FB" w:rsidRPr="008A6F20" w14:paraId="4A5E4787" w14:textId="77777777" w:rsidTr="18112CD4">
        <w:trPr>
          <w:jc w:val="center"/>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CF8883B" w14:textId="77777777" w:rsidR="00F446FB" w:rsidRPr="008A6F20" w:rsidRDefault="00F446FB" w:rsidP="00C20E33">
            <w:pPr>
              <w:spacing w:line="240" w:lineRule="auto"/>
              <w:rPr>
                <w:b w:val="0"/>
              </w:rPr>
            </w:pPr>
            <w:r w:rsidRPr="008A6F20">
              <w:rPr>
                <w:b w:val="0"/>
              </w:rPr>
              <w:t>Household expenditure per capita</w:t>
            </w:r>
          </w:p>
        </w:tc>
        <w:tc>
          <w:tcPr>
            <w:tcW w:w="1276" w:type="dxa"/>
            <w:vAlign w:val="center"/>
          </w:tcPr>
          <w:p w14:paraId="058EFADB"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0.019</w:t>
            </w:r>
          </w:p>
          <w:p w14:paraId="593A589B"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(0.119)</w:t>
            </w:r>
          </w:p>
        </w:tc>
        <w:tc>
          <w:tcPr>
            <w:tcW w:w="1134" w:type="dxa"/>
            <w:vAlign w:val="center"/>
          </w:tcPr>
          <w:p w14:paraId="2E66233A"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0.018</w:t>
            </w:r>
          </w:p>
          <w:p w14:paraId="1F6237A5"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(0.197)</w:t>
            </w:r>
          </w:p>
        </w:tc>
        <w:tc>
          <w:tcPr>
            <w:tcW w:w="1332" w:type="dxa"/>
            <w:vAlign w:val="center"/>
          </w:tcPr>
          <w:p w14:paraId="15FD8B09"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0.018</w:t>
            </w:r>
          </w:p>
          <w:p w14:paraId="3ACBA6CC"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(0.166)</w:t>
            </w:r>
          </w:p>
        </w:tc>
        <w:tc>
          <w:tcPr>
            <w:tcW w:w="1134" w:type="dxa"/>
            <w:vAlign w:val="center"/>
          </w:tcPr>
          <w:p w14:paraId="31CAA160"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0.019</w:t>
            </w:r>
          </w:p>
          <w:p w14:paraId="459D9B5E"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(0.113)</w:t>
            </w:r>
          </w:p>
        </w:tc>
      </w:tr>
      <w:tr w:rsidR="00F446FB" w:rsidRPr="008A6F20" w14:paraId="092DCA2E" w14:textId="77777777" w:rsidTr="18112C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DEAF2D7" w14:textId="77777777" w:rsidR="00F446FB" w:rsidRPr="008A6F20" w:rsidRDefault="00F446FB" w:rsidP="00C20E33">
            <w:pPr>
              <w:spacing w:line="240" w:lineRule="auto"/>
              <w:rPr>
                <w:b w:val="0"/>
              </w:rPr>
            </w:pPr>
            <w:r w:rsidRPr="008A6F20">
              <w:rPr>
                <w:b w:val="0"/>
              </w:rPr>
              <w:t>Poverty rate</w:t>
            </w:r>
          </w:p>
        </w:tc>
        <w:tc>
          <w:tcPr>
            <w:tcW w:w="1276" w:type="dxa"/>
            <w:vAlign w:val="center"/>
          </w:tcPr>
          <w:p w14:paraId="5972F20D"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0.043</w:t>
            </w:r>
          </w:p>
          <w:p w14:paraId="29BCD5A9"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(0.221)</w:t>
            </w:r>
          </w:p>
        </w:tc>
        <w:tc>
          <w:tcPr>
            <w:tcW w:w="1134" w:type="dxa"/>
            <w:vAlign w:val="center"/>
          </w:tcPr>
          <w:p w14:paraId="4C5D6E50"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0.047</w:t>
            </w:r>
          </w:p>
          <w:p w14:paraId="375DDC90"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(0.197)</w:t>
            </w:r>
          </w:p>
        </w:tc>
        <w:tc>
          <w:tcPr>
            <w:tcW w:w="1332" w:type="dxa"/>
            <w:vAlign w:val="center"/>
          </w:tcPr>
          <w:p w14:paraId="26E35090"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0.045</w:t>
            </w:r>
          </w:p>
          <w:p w14:paraId="79966C64"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(0.196)</w:t>
            </w:r>
          </w:p>
        </w:tc>
        <w:tc>
          <w:tcPr>
            <w:tcW w:w="1134" w:type="dxa"/>
            <w:vAlign w:val="center"/>
          </w:tcPr>
          <w:p w14:paraId="1AC92E7E"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0.044</w:t>
            </w:r>
          </w:p>
          <w:p w14:paraId="33095C7C"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(0.186)</w:t>
            </w:r>
          </w:p>
        </w:tc>
      </w:tr>
      <w:tr w:rsidR="00F446FB" w:rsidRPr="008A6F20" w14:paraId="3D450293" w14:textId="77777777" w:rsidTr="18112CD4">
        <w:trPr>
          <w:jc w:val="center"/>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CB204FA" w14:textId="77777777" w:rsidR="00F446FB" w:rsidRPr="008A6F20" w:rsidRDefault="00F446FB" w:rsidP="00C20E33">
            <w:pPr>
              <w:spacing w:line="240" w:lineRule="auto"/>
              <w:rPr>
                <w:b w:val="0"/>
              </w:rPr>
            </w:pPr>
            <w:r w:rsidRPr="008A6F20">
              <w:rPr>
                <w:b w:val="0"/>
              </w:rPr>
              <w:t>Literacy rate</w:t>
            </w:r>
          </w:p>
        </w:tc>
        <w:tc>
          <w:tcPr>
            <w:tcW w:w="1276" w:type="dxa"/>
            <w:vAlign w:val="center"/>
          </w:tcPr>
          <w:p w14:paraId="1475C27D"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0.003</w:t>
            </w:r>
          </w:p>
          <w:p w14:paraId="04B2FCD2"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(0.948)</w:t>
            </w:r>
          </w:p>
        </w:tc>
        <w:tc>
          <w:tcPr>
            <w:tcW w:w="1134" w:type="dxa"/>
            <w:vAlign w:val="center"/>
          </w:tcPr>
          <w:p w14:paraId="6199BBBC"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0.003</w:t>
            </w:r>
          </w:p>
          <w:p w14:paraId="61C40505"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(0.952)</w:t>
            </w:r>
          </w:p>
        </w:tc>
        <w:tc>
          <w:tcPr>
            <w:tcW w:w="1332" w:type="dxa"/>
            <w:vAlign w:val="center"/>
          </w:tcPr>
          <w:p w14:paraId="380175F8"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0.004</w:t>
            </w:r>
          </w:p>
          <w:p w14:paraId="2B178D2D"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(0.932)</w:t>
            </w:r>
          </w:p>
        </w:tc>
        <w:tc>
          <w:tcPr>
            <w:tcW w:w="1134" w:type="dxa"/>
            <w:vAlign w:val="center"/>
          </w:tcPr>
          <w:p w14:paraId="418FC845"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0.002</w:t>
            </w:r>
          </w:p>
          <w:p w14:paraId="4402DF80"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(0.962)</w:t>
            </w:r>
          </w:p>
        </w:tc>
      </w:tr>
      <w:tr w:rsidR="00F446FB" w:rsidRPr="008A6F20" w14:paraId="4C8AB46D" w14:textId="77777777" w:rsidTr="18112C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B808969" w14:textId="77777777" w:rsidR="00F446FB" w:rsidRPr="008A6F20" w:rsidRDefault="00F446FB" w:rsidP="00C20E33">
            <w:pPr>
              <w:spacing w:line="240" w:lineRule="auto"/>
              <w:rPr>
                <w:b w:val="0"/>
              </w:rPr>
            </w:pPr>
            <w:r w:rsidRPr="008A6F20">
              <w:rPr>
                <w:b w:val="0"/>
              </w:rPr>
              <w:t>Electrification rate</w:t>
            </w:r>
          </w:p>
        </w:tc>
        <w:tc>
          <w:tcPr>
            <w:tcW w:w="1276" w:type="dxa"/>
            <w:vAlign w:val="center"/>
          </w:tcPr>
          <w:p w14:paraId="2D2449FA"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-0.047*</w:t>
            </w:r>
          </w:p>
          <w:p w14:paraId="6436C493"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(0.081)</w:t>
            </w:r>
          </w:p>
        </w:tc>
        <w:tc>
          <w:tcPr>
            <w:tcW w:w="1134" w:type="dxa"/>
            <w:vAlign w:val="center"/>
          </w:tcPr>
          <w:p w14:paraId="2420238E"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-0.044</w:t>
            </w:r>
          </w:p>
          <w:p w14:paraId="0000C480"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(0.142)</w:t>
            </w:r>
          </w:p>
        </w:tc>
        <w:tc>
          <w:tcPr>
            <w:tcW w:w="1332" w:type="dxa"/>
            <w:vAlign w:val="center"/>
          </w:tcPr>
          <w:p w14:paraId="387F01AC"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-0.047*</w:t>
            </w:r>
          </w:p>
          <w:p w14:paraId="7B6FEC8A"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(0.080)</w:t>
            </w:r>
          </w:p>
        </w:tc>
        <w:tc>
          <w:tcPr>
            <w:tcW w:w="1134" w:type="dxa"/>
            <w:vAlign w:val="center"/>
          </w:tcPr>
          <w:p w14:paraId="0FD25595"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-0.046</w:t>
            </w:r>
          </w:p>
          <w:p w14:paraId="1329FAE4"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(0.103)</w:t>
            </w:r>
          </w:p>
        </w:tc>
      </w:tr>
      <w:tr w:rsidR="00F446FB" w:rsidRPr="008A6F20" w14:paraId="461C4283" w14:textId="77777777" w:rsidTr="18112CD4">
        <w:trPr>
          <w:jc w:val="center"/>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0388AE6" w14:textId="77777777" w:rsidR="00F446FB" w:rsidRPr="008A6F20" w:rsidRDefault="00F446FB" w:rsidP="00C20E33">
            <w:pPr>
              <w:spacing w:line="240" w:lineRule="auto"/>
              <w:rPr>
                <w:b w:val="0"/>
              </w:rPr>
            </w:pPr>
            <w:r w:rsidRPr="008A6F20">
              <w:rPr>
                <w:b w:val="0"/>
              </w:rPr>
              <w:t>Sanitation rate</w:t>
            </w:r>
          </w:p>
        </w:tc>
        <w:tc>
          <w:tcPr>
            <w:tcW w:w="1276" w:type="dxa"/>
            <w:vAlign w:val="center"/>
          </w:tcPr>
          <w:p w14:paraId="1435501B"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-0.071***</w:t>
            </w:r>
          </w:p>
          <w:p w14:paraId="5C4ED847"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(0.015)</w:t>
            </w:r>
          </w:p>
        </w:tc>
        <w:tc>
          <w:tcPr>
            <w:tcW w:w="1134" w:type="dxa"/>
            <w:vAlign w:val="center"/>
          </w:tcPr>
          <w:p w14:paraId="57CBF40A"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-0.066</w:t>
            </w:r>
          </w:p>
          <w:p w14:paraId="465E044A"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(0.114)</w:t>
            </w:r>
          </w:p>
        </w:tc>
        <w:tc>
          <w:tcPr>
            <w:tcW w:w="1332" w:type="dxa"/>
            <w:vAlign w:val="center"/>
          </w:tcPr>
          <w:p w14:paraId="1FD770DD"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-0.068***</w:t>
            </w:r>
          </w:p>
          <w:p w14:paraId="271189EE"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(0.032)</w:t>
            </w:r>
          </w:p>
        </w:tc>
        <w:tc>
          <w:tcPr>
            <w:tcW w:w="1134" w:type="dxa"/>
            <w:vAlign w:val="center"/>
          </w:tcPr>
          <w:p w14:paraId="66E5396A"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-0.070**</w:t>
            </w:r>
          </w:p>
          <w:p w14:paraId="02D87C11"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(0.050)</w:t>
            </w:r>
          </w:p>
        </w:tc>
      </w:tr>
      <w:tr w:rsidR="00F446FB" w:rsidRPr="008A6F20" w14:paraId="12A003A8" w14:textId="77777777" w:rsidTr="18112C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530671F" w14:textId="77777777" w:rsidR="00F446FB" w:rsidRPr="008A6F20" w:rsidRDefault="00F446FB" w:rsidP="00C20E33">
            <w:pPr>
              <w:spacing w:line="240" w:lineRule="auto"/>
              <w:rPr>
                <w:b w:val="0"/>
              </w:rPr>
            </w:pPr>
            <w:r w:rsidRPr="008A6F20">
              <w:rPr>
                <w:b w:val="0"/>
              </w:rPr>
              <w:t>Children immunisation</w:t>
            </w:r>
          </w:p>
        </w:tc>
        <w:tc>
          <w:tcPr>
            <w:tcW w:w="1276" w:type="dxa"/>
            <w:vAlign w:val="center"/>
          </w:tcPr>
          <w:p w14:paraId="6CF0DE56"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-0.138</w:t>
            </w:r>
          </w:p>
          <w:p w14:paraId="6F8E6D6B"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(0.190)</w:t>
            </w:r>
          </w:p>
        </w:tc>
        <w:tc>
          <w:tcPr>
            <w:tcW w:w="1134" w:type="dxa"/>
            <w:vAlign w:val="center"/>
          </w:tcPr>
          <w:p w14:paraId="46089C87"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-0.128</w:t>
            </w:r>
          </w:p>
          <w:p w14:paraId="5369CE38"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(0.249)</w:t>
            </w:r>
          </w:p>
        </w:tc>
        <w:tc>
          <w:tcPr>
            <w:tcW w:w="1332" w:type="dxa"/>
            <w:vAlign w:val="center"/>
          </w:tcPr>
          <w:p w14:paraId="1D1918C1"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-0.134</w:t>
            </w:r>
          </w:p>
          <w:p w14:paraId="66D778DB"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(0.206)</w:t>
            </w:r>
          </w:p>
        </w:tc>
        <w:tc>
          <w:tcPr>
            <w:tcW w:w="1134" w:type="dxa"/>
            <w:vAlign w:val="center"/>
          </w:tcPr>
          <w:p w14:paraId="7344541B"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-0.134</w:t>
            </w:r>
          </w:p>
          <w:p w14:paraId="1F5B74E4"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(0.224)</w:t>
            </w:r>
          </w:p>
        </w:tc>
      </w:tr>
      <w:tr w:rsidR="00F446FB" w:rsidRPr="008A6F20" w14:paraId="1520DF5E" w14:textId="77777777" w:rsidTr="18112CD4">
        <w:trPr>
          <w:jc w:val="center"/>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FB8F9AF" w14:textId="77777777" w:rsidR="00F446FB" w:rsidRPr="008A6F20" w:rsidRDefault="00F446FB" w:rsidP="00C20E33">
            <w:pPr>
              <w:spacing w:line="240" w:lineRule="auto"/>
              <w:rPr>
                <w:b w:val="0"/>
              </w:rPr>
            </w:pPr>
            <w:r w:rsidRPr="008A6F20">
              <w:rPr>
                <w:b w:val="0"/>
              </w:rPr>
              <w:t>Lagged mortality rate</w:t>
            </w:r>
          </w:p>
        </w:tc>
        <w:tc>
          <w:tcPr>
            <w:tcW w:w="1276" w:type="dxa"/>
            <w:vAlign w:val="center"/>
          </w:tcPr>
          <w:p w14:paraId="164F6427"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0.169</w:t>
            </w:r>
          </w:p>
          <w:p w14:paraId="7EC1DAC5"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(0.620)</w:t>
            </w:r>
          </w:p>
        </w:tc>
        <w:tc>
          <w:tcPr>
            <w:tcW w:w="1134" w:type="dxa"/>
            <w:vAlign w:val="center"/>
          </w:tcPr>
          <w:p w14:paraId="6DF2B704"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0.169</w:t>
            </w:r>
          </w:p>
          <w:p w14:paraId="1364139C"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(0.649)</w:t>
            </w:r>
          </w:p>
        </w:tc>
        <w:tc>
          <w:tcPr>
            <w:tcW w:w="1332" w:type="dxa"/>
            <w:vAlign w:val="center"/>
          </w:tcPr>
          <w:p w14:paraId="01510498"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0.157</w:t>
            </w:r>
          </w:p>
          <w:p w14:paraId="1C29E22F"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(0.647)</w:t>
            </w:r>
          </w:p>
        </w:tc>
        <w:tc>
          <w:tcPr>
            <w:tcW w:w="1134" w:type="dxa"/>
            <w:vAlign w:val="center"/>
          </w:tcPr>
          <w:p w14:paraId="0DD6E9F0"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0.171</w:t>
            </w:r>
          </w:p>
          <w:p w14:paraId="08D95865"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(0.637)</w:t>
            </w:r>
          </w:p>
        </w:tc>
      </w:tr>
      <w:tr w:rsidR="00F446FB" w:rsidRPr="008A6F20" w14:paraId="1AFB5DDC" w14:textId="77777777" w:rsidTr="18112C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tcPr>
          <w:p w14:paraId="2925CB9D" w14:textId="77777777" w:rsidR="00F446FB" w:rsidRPr="008A6F20" w:rsidRDefault="00F446FB" w:rsidP="00C20E33">
            <w:pPr>
              <w:spacing w:line="240" w:lineRule="auto"/>
              <w:rPr>
                <w:b w:val="0"/>
              </w:rPr>
            </w:pPr>
            <w:r w:rsidRPr="008A6F20">
              <w:rPr>
                <w:b w:val="0"/>
              </w:rPr>
              <w:t>Observations</w:t>
            </w:r>
          </w:p>
        </w:tc>
        <w:tc>
          <w:tcPr>
            <w:tcW w:w="1276" w:type="dxa"/>
            <w:vAlign w:val="center"/>
          </w:tcPr>
          <w:p w14:paraId="2A01198B"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259</w:t>
            </w:r>
          </w:p>
        </w:tc>
        <w:tc>
          <w:tcPr>
            <w:tcW w:w="1134" w:type="dxa"/>
            <w:vAlign w:val="center"/>
          </w:tcPr>
          <w:p w14:paraId="073DC0FB"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259</w:t>
            </w:r>
          </w:p>
        </w:tc>
        <w:tc>
          <w:tcPr>
            <w:tcW w:w="1332" w:type="dxa"/>
            <w:vAlign w:val="center"/>
          </w:tcPr>
          <w:p w14:paraId="6720FFFC"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259</w:t>
            </w:r>
          </w:p>
        </w:tc>
        <w:tc>
          <w:tcPr>
            <w:tcW w:w="1134" w:type="dxa"/>
            <w:vAlign w:val="center"/>
          </w:tcPr>
          <w:p w14:paraId="780961D7"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259</w:t>
            </w:r>
          </w:p>
        </w:tc>
      </w:tr>
      <w:tr w:rsidR="00F446FB" w:rsidRPr="008A6F20" w14:paraId="182A4282" w14:textId="77777777" w:rsidTr="18112CD4">
        <w:trPr>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7F7F7F" w:themeColor="text1" w:themeTint="80"/>
              <w:bottom w:val="single" w:sz="4" w:space="0" w:color="7F7F7F" w:themeColor="text1" w:themeTint="80"/>
            </w:tcBorders>
          </w:tcPr>
          <w:p w14:paraId="384C7200" w14:textId="77777777" w:rsidR="00F446FB" w:rsidRPr="008A6F20" w:rsidRDefault="00F446FB" w:rsidP="00C20E33">
            <w:pPr>
              <w:spacing w:line="240" w:lineRule="auto"/>
              <w:rPr>
                <w:b w:val="0"/>
              </w:rPr>
            </w:pPr>
            <w:r>
              <w:rPr>
                <w:b w:val="0"/>
              </w:rPr>
              <w:t>Instruments</w:t>
            </w:r>
          </w:p>
        </w:tc>
        <w:tc>
          <w:tcPr>
            <w:tcW w:w="1276" w:type="dxa"/>
            <w:tcBorders>
              <w:top w:val="single" w:sz="4" w:space="0" w:color="7F7F7F" w:themeColor="text1" w:themeTint="80"/>
              <w:bottom w:val="single" w:sz="4" w:space="0" w:color="7F7F7F" w:themeColor="text1" w:themeTint="80"/>
            </w:tcBorders>
            <w:vAlign w:val="center"/>
          </w:tcPr>
          <w:p w14:paraId="67BE42DD"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1134" w:type="dxa"/>
            <w:vAlign w:val="center"/>
          </w:tcPr>
          <w:p w14:paraId="09180276"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1332" w:type="dxa"/>
            <w:vAlign w:val="center"/>
          </w:tcPr>
          <w:p w14:paraId="79232B1A"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1134" w:type="dxa"/>
            <w:vAlign w:val="center"/>
          </w:tcPr>
          <w:p w14:paraId="5539742A"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F446FB" w:rsidRPr="008A6F20" w14:paraId="7A336E17" w14:textId="77777777" w:rsidTr="18112C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tcBorders>
              <w:bottom w:val="single" w:sz="4" w:space="0" w:color="FFFFFF" w:themeColor="background1"/>
            </w:tcBorders>
          </w:tcPr>
          <w:p w14:paraId="28462123" w14:textId="77777777" w:rsidR="00F446FB" w:rsidRPr="008A6F20" w:rsidRDefault="00F446FB" w:rsidP="00C20E33">
            <w:pPr>
              <w:spacing w:line="240" w:lineRule="auto"/>
              <w:rPr>
                <w:b w:val="0"/>
              </w:rPr>
            </w:pPr>
            <w:r w:rsidRPr="008A6F20">
              <w:rPr>
                <w:b w:val="0"/>
              </w:rPr>
              <w:t>Log of own-source revenue</w:t>
            </w:r>
          </w:p>
        </w:tc>
        <w:tc>
          <w:tcPr>
            <w:tcW w:w="1276" w:type="dxa"/>
            <w:tcBorders>
              <w:bottom w:val="single" w:sz="4" w:space="0" w:color="FFFFFF" w:themeColor="background1"/>
            </w:tcBorders>
            <w:vAlign w:val="center"/>
          </w:tcPr>
          <w:p w14:paraId="25720020"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rPr>
                <w:noProof/>
                <w:lang w:val="en-US"/>
              </w:rPr>
              <w:drawing>
                <wp:inline distT="0" distB="0" distL="0" distR="0" wp14:anchorId="6E4B34B3" wp14:editId="5631B73B">
                  <wp:extent cx="144000" cy="144000"/>
                  <wp:effectExtent l="0" t="0" r="0" b="0"/>
                  <wp:docPr id="7" name="Graphic 7" descr="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Tick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4000" cy="144000"/>
                          </a:xfrm>
                          <a:prstGeom prst="rect">
                            <a:avLst/>
                          </a:prstGeom>
                        </pic:spPr>
                      </pic:pic>
                    </a:graphicData>
                  </a:graphic>
                </wp:inline>
              </w:drawing>
            </w:r>
          </w:p>
        </w:tc>
        <w:tc>
          <w:tcPr>
            <w:tcW w:w="1134" w:type="dxa"/>
            <w:tcBorders>
              <w:bottom w:val="single" w:sz="4" w:space="0" w:color="FFFFFF" w:themeColor="background1"/>
            </w:tcBorders>
            <w:vAlign w:val="center"/>
          </w:tcPr>
          <w:p w14:paraId="217B9F3F" w14:textId="06F0F39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p>
        </w:tc>
        <w:tc>
          <w:tcPr>
            <w:tcW w:w="1332" w:type="dxa"/>
            <w:tcBorders>
              <w:bottom w:val="single" w:sz="4" w:space="0" w:color="FFFFFF" w:themeColor="background1"/>
            </w:tcBorders>
            <w:vAlign w:val="center"/>
          </w:tcPr>
          <w:p w14:paraId="1E9902A4"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rPr>
                <w:noProof/>
                <w:lang w:val="en-US"/>
              </w:rPr>
              <w:drawing>
                <wp:inline distT="0" distB="0" distL="0" distR="0" wp14:anchorId="143351A5" wp14:editId="0FCFF312">
                  <wp:extent cx="144000" cy="144000"/>
                  <wp:effectExtent l="0" t="0" r="0" b="0"/>
                  <wp:docPr id="6" name="Graphic 6" descr="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Tick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4000" cy="144000"/>
                          </a:xfrm>
                          <a:prstGeom prst="rect">
                            <a:avLst/>
                          </a:prstGeom>
                        </pic:spPr>
                      </pic:pic>
                    </a:graphicData>
                  </a:graphic>
                </wp:inline>
              </w:drawing>
            </w:r>
          </w:p>
        </w:tc>
        <w:tc>
          <w:tcPr>
            <w:tcW w:w="1134" w:type="dxa"/>
            <w:tcBorders>
              <w:bottom w:val="single" w:sz="4" w:space="0" w:color="FFFFFF" w:themeColor="background1"/>
            </w:tcBorders>
            <w:vAlign w:val="center"/>
          </w:tcPr>
          <w:p w14:paraId="6F06FD61"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p>
        </w:tc>
      </w:tr>
      <w:tr w:rsidR="00F446FB" w:rsidRPr="008A6F20" w14:paraId="54DD9699" w14:textId="77777777" w:rsidTr="18112CD4">
        <w:trPr>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FFFFFF" w:themeColor="background1"/>
              <w:bottom w:val="single" w:sz="4" w:space="0" w:color="FFFFFF" w:themeColor="background1"/>
            </w:tcBorders>
          </w:tcPr>
          <w:p w14:paraId="2213724D" w14:textId="77777777" w:rsidR="00F446FB" w:rsidRPr="008A6F20" w:rsidRDefault="00F446FB" w:rsidP="00C20E33">
            <w:pPr>
              <w:spacing w:line="240" w:lineRule="auto"/>
              <w:rPr>
                <w:b w:val="0"/>
              </w:rPr>
            </w:pPr>
            <w:r w:rsidRPr="008A6F20">
              <w:rPr>
                <w:b w:val="0"/>
              </w:rPr>
              <w:t>Oil exports</w:t>
            </w:r>
          </w:p>
        </w:tc>
        <w:tc>
          <w:tcPr>
            <w:tcW w:w="1276" w:type="dxa"/>
            <w:tcBorders>
              <w:top w:val="single" w:sz="4" w:space="0" w:color="FFFFFF" w:themeColor="background1"/>
              <w:bottom w:val="single" w:sz="4" w:space="0" w:color="FFFFFF" w:themeColor="background1"/>
            </w:tcBorders>
            <w:vAlign w:val="center"/>
          </w:tcPr>
          <w:p w14:paraId="5F14B6E2"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FFFFFF" w:themeColor="background1"/>
              <w:bottom w:val="single" w:sz="4" w:space="0" w:color="FFFFFF" w:themeColor="background1"/>
            </w:tcBorders>
            <w:vAlign w:val="center"/>
          </w:tcPr>
          <w:p w14:paraId="38B8DDCF" w14:textId="4E294D79" w:rsidR="00F446FB" w:rsidRPr="008A6F20" w:rsidRDefault="05511159" w:rsidP="18112CD4">
            <w:pPr>
              <w:spacing w:line="240" w:lineRule="auto"/>
              <w:jc w:val="center"/>
              <w:cnfStyle w:val="000000000000" w:firstRow="0" w:lastRow="0" w:firstColumn="0" w:lastColumn="0" w:oddVBand="0" w:evenVBand="0" w:oddHBand="0" w:evenHBand="0" w:firstRowFirstColumn="0" w:firstRowLastColumn="0" w:lastRowFirstColumn="0" w:lastRowLastColumn="0"/>
            </w:pPr>
            <w:r>
              <w:rPr>
                <w:noProof/>
                <w:lang w:val="en-US"/>
              </w:rPr>
              <w:drawing>
                <wp:inline distT="0" distB="0" distL="0" distR="0" wp14:anchorId="7A709921" wp14:editId="22DEE922">
                  <wp:extent cx="144000" cy="144000"/>
                  <wp:effectExtent l="0" t="0" r="0" b="0"/>
                  <wp:docPr id="597159629" name="Graphic 8" descr="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4000" cy="144000"/>
                          </a:xfrm>
                          <a:prstGeom prst="rect">
                            <a:avLst/>
                          </a:prstGeom>
                        </pic:spPr>
                      </pic:pic>
                    </a:graphicData>
                  </a:graphic>
                </wp:inline>
              </w:drawing>
            </w:r>
          </w:p>
        </w:tc>
        <w:tc>
          <w:tcPr>
            <w:tcW w:w="1332" w:type="dxa"/>
            <w:tcBorders>
              <w:top w:val="single" w:sz="4" w:space="0" w:color="FFFFFF" w:themeColor="background1"/>
              <w:bottom w:val="single" w:sz="4" w:space="0" w:color="FFFFFF" w:themeColor="background1"/>
            </w:tcBorders>
            <w:vAlign w:val="center"/>
          </w:tcPr>
          <w:p w14:paraId="272222A5"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rPr>
                <w:noProof/>
                <w:lang w:val="en-US"/>
              </w:rPr>
              <w:drawing>
                <wp:inline distT="0" distB="0" distL="0" distR="0" wp14:anchorId="4F242A66" wp14:editId="397B7587">
                  <wp:extent cx="144000" cy="144000"/>
                  <wp:effectExtent l="0" t="0" r="0" b="0"/>
                  <wp:docPr id="3" name="Graphic 3" descr="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Tick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4000" cy="144000"/>
                          </a:xfrm>
                          <a:prstGeom prst="rect">
                            <a:avLst/>
                          </a:prstGeom>
                        </pic:spPr>
                      </pic:pic>
                    </a:graphicData>
                  </a:graphic>
                </wp:inline>
              </w:drawing>
            </w:r>
          </w:p>
        </w:tc>
        <w:tc>
          <w:tcPr>
            <w:tcW w:w="1134" w:type="dxa"/>
            <w:tcBorders>
              <w:top w:val="single" w:sz="4" w:space="0" w:color="FFFFFF" w:themeColor="background1"/>
              <w:bottom w:val="nil"/>
            </w:tcBorders>
            <w:vAlign w:val="center"/>
          </w:tcPr>
          <w:p w14:paraId="6397E29D"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F446FB" w:rsidRPr="008A6F20" w14:paraId="23A7C146" w14:textId="77777777" w:rsidTr="18112C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FFFFFF" w:themeColor="background1"/>
            </w:tcBorders>
          </w:tcPr>
          <w:p w14:paraId="53E74532" w14:textId="77777777" w:rsidR="00F446FB" w:rsidRPr="008A6F20" w:rsidRDefault="00F446FB" w:rsidP="00C20E33">
            <w:pPr>
              <w:spacing w:line="240" w:lineRule="auto"/>
              <w:rPr>
                <w:b w:val="0"/>
              </w:rPr>
            </w:pPr>
            <w:r w:rsidRPr="008A6F20">
              <w:rPr>
                <w:b w:val="0"/>
              </w:rPr>
              <w:t>Lagged values of the endogenous variables</w:t>
            </w:r>
          </w:p>
        </w:tc>
        <w:tc>
          <w:tcPr>
            <w:tcW w:w="1276" w:type="dxa"/>
            <w:tcBorders>
              <w:top w:val="single" w:sz="4" w:space="0" w:color="FFFFFF" w:themeColor="background1"/>
            </w:tcBorders>
            <w:vAlign w:val="center"/>
          </w:tcPr>
          <w:p w14:paraId="6A56724B"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rPr>
                <w:noProof/>
                <w:lang w:val="en-US"/>
              </w:rPr>
              <w:drawing>
                <wp:inline distT="0" distB="0" distL="0" distR="0" wp14:anchorId="50589A27" wp14:editId="721EA966">
                  <wp:extent cx="144000" cy="144000"/>
                  <wp:effectExtent l="0" t="0" r="0" b="0"/>
                  <wp:docPr id="1" name="Graphic 1" descr="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Tick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4000" cy="144000"/>
                          </a:xfrm>
                          <a:prstGeom prst="rect">
                            <a:avLst/>
                          </a:prstGeom>
                        </pic:spPr>
                      </pic:pic>
                    </a:graphicData>
                  </a:graphic>
                </wp:inline>
              </w:drawing>
            </w:r>
          </w:p>
        </w:tc>
        <w:tc>
          <w:tcPr>
            <w:tcW w:w="1134" w:type="dxa"/>
            <w:tcBorders>
              <w:top w:val="single" w:sz="4" w:space="0" w:color="FFFFFF" w:themeColor="background1"/>
            </w:tcBorders>
            <w:vAlign w:val="center"/>
          </w:tcPr>
          <w:p w14:paraId="116B8D00" w14:textId="0658FE07" w:rsidR="00F446FB" w:rsidRPr="008A6F20" w:rsidRDefault="05511159" w:rsidP="18112CD4">
            <w:pPr>
              <w:spacing w:line="240" w:lineRule="auto"/>
              <w:jc w:val="center"/>
              <w:cnfStyle w:val="000000100000" w:firstRow="0" w:lastRow="0" w:firstColumn="0" w:lastColumn="0" w:oddVBand="0" w:evenVBand="0" w:oddHBand="1" w:evenHBand="0" w:firstRowFirstColumn="0" w:firstRowLastColumn="0" w:lastRowFirstColumn="0" w:lastRowLastColumn="0"/>
            </w:pPr>
            <w:r>
              <w:rPr>
                <w:noProof/>
                <w:lang w:val="en-US"/>
              </w:rPr>
              <w:drawing>
                <wp:inline distT="0" distB="0" distL="0" distR="0" wp14:anchorId="1F7EC985" wp14:editId="17D5B021">
                  <wp:extent cx="144000" cy="144000"/>
                  <wp:effectExtent l="0" t="0" r="0" b="0"/>
                  <wp:docPr id="128775906" name="Graphic 5" descr="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4000" cy="144000"/>
                          </a:xfrm>
                          <a:prstGeom prst="rect">
                            <a:avLst/>
                          </a:prstGeom>
                        </pic:spPr>
                      </pic:pic>
                    </a:graphicData>
                  </a:graphic>
                </wp:inline>
              </w:drawing>
            </w:r>
          </w:p>
        </w:tc>
        <w:tc>
          <w:tcPr>
            <w:tcW w:w="1332" w:type="dxa"/>
            <w:tcBorders>
              <w:top w:val="single" w:sz="4" w:space="0" w:color="FFFFFF" w:themeColor="background1"/>
            </w:tcBorders>
            <w:vAlign w:val="center"/>
          </w:tcPr>
          <w:p w14:paraId="660D0619" w14:textId="4BE232D3" w:rsidR="00F446FB" w:rsidRPr="008A6F20" w:rsidRDefault="05511159" w:rsidP="18112CD4">
            <w:pPr>
              <w:spacing w:line="240" w:lineRule="auto"/>
              <w:jc w:val="center"/>
              <w:cnfStyle w:val="000000100000" w:firstRow="0" w:lastRow="0" w:firstColumn="0" w:lastColumn="0" w:oddVBand="0" w:evenVBand="0" w:oddHBand="1" w:evenHBand="0" w:firstRowFirstColumn="0" w:firstRowLastColumn="0" w:lastRowFirstColumn="0" w:lastRowLastColumn="0"/>
            </w:pPr>
            <w:r>
              <w:rPr>
                <w:noProof/>
                <w:lang w:val="en-US"/>
              </w:rPr>
              <w:drawing>
                <wp:inline distT="0" distB="0" distL="0" distR="0" wp14:anchorId="3509B50C" wp14:editId="04025D3E">
                  <wp:extent cx="144000" cy="144000"/>
                  <wp:effectExtent l="0" t="0" r="0" b="0"/>
                  <wp:docPr id="139750281" name="Graphic 2" descr="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4000" cy="144000"/>
                          </a:xfrm>
                          <a:prstGeom prst="rect">
                            <a:avLst/>
                          </a:prstGeom>
                        </pic:spPr>
                      </pic:pic>
                    </a:graphicData>
                  </a:graphic>
                </wp:inline>
              </w:drawing>
            </w:r>
          </w:p>
        </w:tc>
        <w:tc>
          <w:tcPr>
            <w:tcW w:w="1134" w:type="dxa"/>
            <w:tcBorders>
              <w:top w:val="nil"/>
            </w:tcBorders>
            <w:vAlign w:val="center"/>
          </w:tcPr>
          <w:p w14:paraId="1CAFE9C4"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rPr>
                <w:noProof/>
                <w:lang w:val="en-US"/>
              </w:rPr>
              <w:drawing>
                <wp:inline distT="0" distB="0" distL="0" distR="0" wp14:anchorId="340A4DFB" wp14:editId="0A5E68D5">
                  <wp:extent cx="144000" cy="144000"/>
                  <wp:effectExtent l="0" t="0" r="0" b="0"/>
                  <wp:docPr id="4" name="Graphic 4" descr="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Tick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4000" cy="144000"/>
                          </a:xfrm>
                          <a:prstGeom prst="rect">
                            <a:avLst/>
                          </a:prstGeom>
                        </pic:spPr>
                      </pic:pic>
                    </a:graphicData>
                  </a:graphic>
                </wp:inline>
              </w:drawing>
            </w:r>
          </w:p>
        </w:tc>
      </w:tr>
      <w:tr w:rsidR="00F446FB" w:rsidRPr="008A6F20" w14:paraId="0F83BC37" w14:textId="77777777" w:rsidTr="18112CD4">
        <w:trPr>
          <w:jc w:val="center"/>
        </w:trPr>
        <w:tc>
          <w:tcPr>
            <w:cnfStyle w:val="001000000000" w:firstRow="0" w:lastRow="0" w:firstColumn="1" w:lastColumn="0" w:oddVBand="0" w:evenVBand="0" w:oddHBand="0" w:evenHBand="0" w:firstRowFirstColumn="0" w:firstRowLastColumn="0" w:lastRowFirstColumn="0" w:lastRowLastColumn="0"/>
            <w:tcW w:w="4820" w:type="dxa"/>
          </w:tcPr>
          <w:p w14:paraId="75AE4F53" w14:textId="77777777" w:rsidR="00F446FB" w:rsidRPr="008A6F20" w:rsidRDefault="00F446FB" w:rsidP="00C20E33">
            <w:pPr>
              <w:spacing w:line="240" w:lineRule="auto"/>
              <w:rPr>
                <w:b w:val="0"/>
              </w:rPr>
            </w:pPr>
            <w:r w:rsidRPr="008A6F20">
              <w:rPr>
                <w:b w:val="0"/>
              </w:rPr>
              <w:t>Total number of instruments</w:t>
            </w:r>
          </w:p>
        </w:tc>
        <w:tc>
          <w:tcPr>
            <w:tcW w:w="1276" w:type="dxa"/>
            <w:vAlign w:val="center"/>
          </w:tcPr>
          <w:p w14:paraId="3B262C7F"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29</w:t>
            </w:r>
          </w:p>
        </w:tc>
        <w:tc>
          <w:tcPr>
            <w:tcW w:w="1134" w:type="dxa"/>
            <w:vAlign w:val="center"/>
          </w:tcPr>
          <w:p w14:paraId="4285DC07"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29</w:t>
            </w:r>
          </w:p>
        </w:tc>
        <w:tc>
          <w:tcPr>
            <w:tcW w:w="1332" w:type="dxa"/>
            <w:vAlign w:val="center"/>
          </w:tcPr>
          <w:p w14:paraId="2456D4DB"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30</w:t>
            </w:r>
          </w:p>
        </w:tc>
        <w:tc>
          <w:tcPr>
            <w:tcW w:w="1134" w:type="dxa"/>
            <w:vAlign w:val="center"/>
          </w:tcPr>
          <w:p w14:paraId="3230A702"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28</w:t>
            </w:r>
          </w:p>
        </w:tc>
      </w:tr>
      <w:tr w:rsidR="00F446FB" w:rsidRPr="008A6F20" w14:paraId="30392321" w14:textId="77777777" w:rsidTr="18112C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tcPr>
          <w:p w14:paraId="4BD83E35" w14:textId="77777777" w:rsidR="00F446FB" w:rsidRPr="008A6F20" w:rsidRDefault="00F446FB" w:rsidP="00C20E33">
            <w:pPr>
              <w:spacing w:line="240" w:lineRule="auto"/>
              <w:rPr>
                <w:b w:val="0"/>
              </w:rPr>
            </w:pPr>
            <w:r w:rsidRPr="008A6F20">
              <w:rPr>
                <w:b w:val="0"/>
              </w:rPr>
              <w:t>F statistic</w:t>
            </w:r>
          </w:p>
        </w:tc>
        <w:tc>
          <w:tcPr>
            <w:tcW w:w="1276" w:type="dxa"/>
            <w:vAlign w:val="center"/>
          </w:tcPr>
          <w:p w14:paraId="41D741E2"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14.35</w:t>
            </w:r>
          </w:p>
        </w:tc>
        <w:tc>
          <w:tcPr>
            <w:tcW w:w="1134" w:type="dxa"/>
            <w:vAlign w:val="center"/>
          </w:tcPr>
          <w:p w14:paraId="7A0751A4"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25.83</w:t>
            </w:r>
          </w:p>
        </w:tc>
        <w:tc>
          <w:tcPr>
            <w:tcW w:w="1332" w:type="dxa"/>
            <w:vAlign w:val="center"/>
          </w:tcPr>
          <w:p w14:paraId="05D3F8EB"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22.92</w:t>
            </w:r>
          </w:p>
        </w:tc>
        <w:tc>
          <w:tcPr>
            <w:tcW w:w="1134" w:type="dxa"/>
            <w:vAlign w:val="center"/>
          </w:tcPr>
          <w:p w14:paraId="3000F80F"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15.70</w:t>
            </w:r>
          </w:p>
        </w:tc>
      </w:tr>
      <w:tr w:rsidR="00F446FB" w:rsidRPr="008A6F20" w14:paraId="0E951B48" w14:textId="77777777" w:rsidTr="18112CD4">
        <w:trPr>
          <w:jc w:val="center"/>
        </w:trPr>
        <w:tc>
          <w:tcPr>
            <w:cnfStyle w:val="001000000000" w:firstRow="0" w:lastRow="0" w:firstColumn="1" w:lastColumn="0" w:oddVBand="0" w:evenVBand="0" w:oddHBand="0" w:evenHBand="0" w:firstRowFirstColumn="0" w:firstRowLastColumn="0" w:lastRowFirstColumn="0" w:lastRowLastColumn="0"/>
            <w:tcW w:w="4820" w:type="dxa"/>
          </w:tcPr>
          <w:p w14:paraId="1B056E00" w14:textId="77777777" w:rsidR="00F446FB" w:rsidRPr="008A6F20" w:rsidRDefault="00F446FB" w:rsidP="00C20E33">
            <w:pPr>
              <w:spacing w:line="240" w:lineRule="auto"/>
              <w:rPr>
                <w:b w:val="0"/>
              </w:rPr>
            </w:pPr>
            <w:r w:rsidRPr="008A6F20">
              <w:rPr>
                <w:b w:val="0"/>
              </w:rPr>
              <w:t>Arellano-Bond AR</w:t>
            </w:r>
            <w:r>
              <w:rPr>
                <w:b w:val="0"/>
              </w:rPr>
              <w:t xml:space="preserve"> </w:t>
            </w:r>
            <w:r w:rsidRPr="008A6F20">
              <w:rPr>
                <w:b w:val="0"/>
              </w:rPr>
              <w:t>(3) test in differences (p-value)</w:t>
            </w:r>
          </w:p>
        </w:tc>
        <w:tc>
          <w:tcPr>
            <w:tcW w:w="1276" w:type="dxa"/>
            <w:vAlign w:val="center"/>
          </w:tcPr>
          <w:p w14:paraId="3A59B4A4"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0.288</w:t>
            </w:r>
          </w:p>
        </w:tc>
        <w:tc>
          <w:tcPr>
            <w:tcW w:w="1134" w:type="dxa"/>
            <w:vAlign w:val="center"/>
          </w:tcPr>
          <w:p w14:paraId="1E73CBBA"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0.290</w:t>
            </w:r>
          </w:p>
        </w:tc>
        <w:tc>
          <w:tcPr>
            <w:tcW w:w="1332" w:type="dxa"/>
            <w:vAlign w:val="center"/>
          </w:tcPr>
          <w:p w14:paraId="5B5B515F"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0.287</w:t>
            </w:r>
          </w:p>
        </w:tc>
        <w:tc>
          <w:tcPr>
            <w:tcW w:w="1134" w:type="dxa"/>
            <w:vAlign w:val="center"/>
          </w:tcPr>
          <w:p w14:paraId="594D8932" w14:textId="77777777" w:rsidR="00F446FB" w:rsidRPr="008A6F20" w:rsidRDefault="00F446FB" w:rsidP="00C20E33">
            <w:pPr>
              <w:spacing w:line="240" w:lineRule="auto"/>
              <w:jc w:val="center"/>
              <w:cnfStyle w:val="000000000000" w:firstRow="0" w:lastRow="0" w:firstColumn="0" w:lastColumn="0" w:oddVBand="0" w:evenVBand="0" w:oddHBand="0" w:evenHBand="0" w:firstRowFirstColumn="0" w:firstRowLastColumn="0" w:lastRowFirstColumn="0" w:lastRowLastColumn="0"/>
            </w:pPr>
            <w:r w:rsidRPr="008A6F20">
              <w:t>0.296</w:t>
            </w:r>
          </w:p>
        </w:tc>
      </w:tr>
      <w:tr w:rsidR="00F446FB" w:rsidRPr="008A6F20" w14:paraId="0E9B69CB" w14:textId="77777777" w:rsidTr="18112CD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820" w:type="dxa"/>
            <w:tcBorders>
              <w:bottom w:val="double" w:sz="4" w:space="0" w:color="auto"/>
            </w:tcBorders>
          </w:tcPr>
          <w:p w14:paraId="09446403" w14:textId="77777777" w:rsidR="00F446FB" w:rsidRPr="008A6F20" w:rsidRDefault="00F446FB" w:rsidP="00C20E33">
            <w:pPr>
              <w:spacing w:line="240" w:lineRule="auto"/>
              <w:rPr>
                <w:b w:val="0"/>
              </w:rPr>
            </w:pPr>
            <w:r w:rsidRPr="008A6F20">
              <w:rPr>
                <w:b w:val="0"/>
              </w:rPr>
              <w:t>Hansen test (p-value)</w:t>
            </w:r>
          </w:p>
        </w:tc>
        <w:tc>
          <w:tcPr>
            <w:tcW w:w="1276" w:type="dxa"/>
            <w:tcBorders>
              <w:bottom w:val="double" w:sz="4" w:space="0" w:color="auto"/>
            </w:tcBorders>
            <w:vAlign w:val="center"/>
          </w:tcPr>
          <w:p w14:paraId="1FBD8C2D"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0.414</w:t>
            </w:r>
          </w:p>
        </w:tc>
        <w:tc>
          <w:tcPr>
            <w:tcW w:w="1134" w:type="dxa"/>
            <w:tcBorders>
              <w:bottom w:val="double" w:sz="4" w:space="0" w:color="auto"/>
            </w:tcBorders>
            <w:vAlign w:val="center"/>
          </w:tcPr>
          <w:p w14:paraId="45B75FF5"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0.382</w:t>
            </w:r>
          </w:p>
        </w:tc>
        <w:tc>
          <w:tcPr>
            <w:tcW w:w="1332" w:type="dxa"/>
            <w:tcBorders>
              <w:bottom w:val="double" w:sz="4" w:space="0" w:color="auto"/>
            </w:tcBorders>
            <w:vAlign w:val="center"/>
          </w:tcPr>
          <w:p w14:paraId="26E90A07"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0.457</w:t>
            </w:r>
          </w:p>
        </w:tc>
        <w:tc>
          <w:tcPr>
            <w:tcW w:w="1134" w:type="dxa"/>
            <w:tcBorders>
              <w:bottom w:val="double" w:sz="4" w:space="0" w:color="auto"/>
            </w:tcBorders>
            <w:vAlign w:val="center"/>
          </w:tcPr>
          <w:p w14:paraId="55328815" w14:textId="77777777" w:rsidR="00F446FB" w:rsidRPr="008A6F20" w:rsidRDefault="00F446FB" w:rsidP="00C20E33">
            <w:pPr>
              <w:spacing w:line="240" w:lineRule="auto"/>
              <w:jc w:val="center"/>
              <w:cnfStyle w:val="000000100000" w:firstRow="0" w:lastRow="0" w:firstColumn="0" w:lastColumn="0" w:oddVBand="0" w:evenVBand="0" w:oddHBand="1" w:evenHBand="0" w:firstRowFirstColumn="0" w:firstRowLastColumn="0" w:lastRowFirstColumn="0" w:lastRowLastColumn="0"/>
            </w:pPr>
            <w:r w:rsidRPr="008A6F20">
              <w:t>0.346</w:t>
            </w:r>
          </w:p>
        </w:tc>
      </w:tr>
    </w:tbl>
    <w:p w14:paraId="624749E9" w14:textId="3FDF8216" w:rsidR="00DB200E" w:rsidRPr="008E122D" w:rsidRDefault="00F446FB" w:rsidP="5CA9E3B9">
      <w:pPr>
        <w:spacing w:after="0" w:line="240" w:lineRule="auto"/>
        <w:contextualSpacing/>
        <w:rPr>
          <w:rFonts w:ascii="Calibri" w:hAnsi="Calibri" w:cs="Calibri"/>
          <w:sz w:val="24"/>
          <w:szCs w:val="24"/>
        </w:rPr>
      </w:pPr>
      <w:r w:rsidRPr="6DB014EC">
        <w:rPr>
          <w:sz w:val="20"/>
          <w:szCs w:val="20"/>
        </w:rPr>
        <w:t>Notes: this table presents the estimates obtained for Equation (2), using data for the 2004-2012 period and 33 provinces.</w:t>
      </w:r>
      <w:r w:rsidR="006747DD">
        <w:rPr>
          <w:sz w:val="20"/>
          <w:szCs w:val="20"/>
        </w:rPr>
        <w:t xml:space="preserve"> Models (1)-(4) we</w:t>
      </w:r>
      <w:r w:rsidR="00C759B3">
        <w:rPr>
          <w:sz w:val="20"/>
          <w:szCs w:val="20"/>
        </w:rPr>
        <w:t>re</w:t>
      </w:r>
      <w:r w:rsidR="006747DD">
        <w:rPr>
          <w:sz w:val="20"/>
          <w:szCs w:val="20"/>
        </w:rPr>
        <w:t xml:space="preserve"> estimated using different </w:t>
      </w:r>
      <w:r w:rsidR="00C759B3">
        <w:rPr>
          <w:sz w:val="20"/>
          <w:szCs w:val="20"/>
        </w:rPr>
        <w:t>combinations of</w:t>
      </w:r>
      <w:r w:rsidR="006747DD">
        <w:rPr>
          <w:sz w:val="20"/>
          <w:szCs w:val="20"/>
        </w:rPr>
        <w:t xml:space="preserve"> instrumental variables. The checks denote whether </w:t>
      </w:r>
      <w:r w:rsidR="00C759B3">
        <w:rPr>
          <w:sz w:val="20"/>
          <w:szCs w:val="20"/>
        </w:rPr>
        <w:t>the</w:t>
      </w:r>
      <w:r w:rsidR="006747DD">
        <w:rPr>
          <w:sz w:val="20"/>
          <w:szCs w:val="20"/>
        </w:rPr>
        <w:t xml:space="preserve"> instrument set was used in the model. </w:t>
      </w:r>
      <w:r w:rsidRPr="6DB014EC">
        <w:rPr>
          <w:sz w:val="20"/>
          <w:szCs w:val="20"/>
        </w:rPr>
        <w:t>Details on the methodology can be found in Section 2.2</w:t>
      </w:r>
      <w:r w:rsidRPr="00EE5BE8">
        <w:rPr>
          <w:sz w:val="20"/>
          <w:szCs w:val="20"/>
        </w:rPr>
        <w:t>. P-values are reported in parentheses.</w:t>
      </w:r>
      <w:r w:rsidRPr="6DB014EC">
        <w:rPr>
          <w:sz w:val="20"/>
          <w:szCs w:val="20"/>
        </w:rPr>
        <w:t xml:space="preserve"> The F statistic tests the hypothesis of overall model fit. These estimates were generated using the first-difference transformation of the data. All the estimates were obtained after including year fixed effects. The results include </w:t>
      </w:r>
      <w:proofErr w:type="spellStart"/>
      <w:r w:rsidRPr="6DB014EC">
        <w:rPr>
          <w:sz w:val="20"/>
          <w:szCs w:val="20"/>
        </w:rPr>
        <w:t>Windmeijer’s</w:t>
      </w:r>
      <w:proofErr w:type="spellEnd"/>
      <w:r w:rsidRPr="6DB014EC">
        <w:rPr>
          <w:sz w:val="20"/>
          <w:szCs w:val="20"/>
        </w:rPr>
        <w:t xml:space="preserve"> correction for finite </w:t>
      </w:r>
      <w:r w:rsidRPr="00EE5BE8">
        <w:rPr>
          <w:sz w:val="20"/>
          <w:szCs w:val="20"/>
        </w:rPr>
        <w:t xml:space="preserve">samples </w:t>
      </w:r>
      <w:r w:rsidRPr="00EE5BE8">
        <w:rPr>
          <w:sz w:val="20"/>
          <w:szCs w:val="20"/>
          <w:vertAlign w:val="superscript"/>
        </w:rPr>
        <w:fldChar w:fldCharType="begin" w:fldLock="1"/>
      </w:r>
      <w:r w:rsidR="00BB7FBF" w:rsidRPr="00EE5BE8">
        <w:rPr>
          <w:sz w:val="20"/>
          <w:szCs w:val="20"/>
        </w:rPr>
        <w:instrText>ADDIN CSL_CITATION {"citationItems":[{"id":"ITEM-1","itemData":{"author":[{"dropping-particle":"","family":"Windmeijer","given":"Frank","non-dropping-particle":"","parse-names":false,"suffix":""}],"container-title":"Journal of Econometrics","id":"ITEM-1","issue":"1","issued":{"date-parts":[["2005"]]},"page":"25-51","title":"A finite sample correction for the variance of linear efficient two-step GMM estimators","type":"article-journal","volume":"126"},"uris":["http://www.mendeley.com/documents/?uuid=318e8728-da44-466d-bc25-977e9592946f"]}],"mendeley":{"formattedCitation":"[37]","plainTextFormattedCitation":"[37]","previouslyFormattedCitation":"[37]"},"properties":{"noteIndex":0},"schema":"https://github.com/citation-style-language/schema/raw/master/csl-citation.json"}</w:instrText>
      </w:r>
      <w:r w:rsidRPr="00EE5BE8">
        <w:rPr>
          <w:sz w:val="20"/>
          <w:szCs w:val="20"/>
          <w:vertAlign w:val="superscript"/>
        </w:rPr>
        <w:fldChar w:fldCharType="separate"/>
      </w:r>
      <w:r w:rsidR="00BB7FBF" w:rsidRPr="00EE5BE8">
        <w:rPr>
          <w:noProof/>
          <w:sz w:val="20"/>
          <w:szCs w:val="20"/>
        </w:rPr>
        <w:t>[37]</w:t>
      </w:r>
      <w:r w:rsidRPr="00EE5BE8">
        <w:rPr>
          <w:sz w:val="20"/>
          <w:szCs w:val="20"/>
        </w:rPr>
        <w:fldChar w:fldCharType="end"/>
      </w:r>
      <w:r w:rsidRPr="00EE5BE8">
        <w:rPr>
          <w:sz w:val="20"/>
          <w:szCs w:val="20"/>
        </w:rPr>
        <w:t>.</w:t>
      </w:r>
      <w:r w:rsidRPr="6DB014EC">
        <w:rPr>
          <w:sz w:val="20"/>
          <w:szCs w:val="20"/>
        </w:rPr>
        <w:t xml:space="preserve"> </w:t>
      </w:r>
      <w:r w:rsidR="006747DD">
        <w:rPr>
          <w:sz w:val="20"/>
          <w:szCs w:val="20"/>
        </w:rPr>
        <w:t xml:space="preserve"> AR: autocorrelation.</w:t>
      </w:r>
      <w:r w:rsidR="008E122D">
        <w:rPr>
          <w:rFonts w:ascii="Calibri" w:hAnsi="Calibri" w:cs="Calibri"/>
          <w:sz w:val="24"/>
          <w:szCs w:val="24"/>
        </w:rPr>
        <w:br w:type="page"/>
      </w:r>
      <w:r w:rsidR="00DB200E" w:rsidRPr="00F27FEF">
        <w:rPr>
          <w:rFonts w:ascii="Calibri" w:hAnsi="Calibri" w:cs="Arial"/>
          <w:b/>
          <w:bCs/>
        </w:rPr>
        <w:lastRenderedPageBreak/>
        <w:t>R</w:t>
      </w:r>
      <w:r w:rsidR="00881A6E">
        <w:rPr>
          <w:rFonts w:ascii="Calibri" w:hAnsi="Calibri" w:cs="Arial"/>
          <w:b/>
          <w:bCs/>
        </w:rPr>
        <w:t>eferences</w:t>
      </w:r>
    </w:p>
    <w:p w14:paraId="225FBBD7" w14:textId="28058DB7" w:rsidR="00A17D0B" w:rsidRPr="00A17D0B" w:rsidRDefault="001057D5" w:rsidP="00A17D0B">
      <w:pPr>
        <w:widowControl w:val="0"/>
        <w:autoSpaceDE w:val="0"/>
        <w:autoSpaceDN w:val="0"/>
        <w:adjustRightInd w:val="0"/>
        <w:spacing w:before="100" w:after="100"/>
        <w:rPr>
          <w:rFonts w:ascii="Calibri" w:hAnsi="Calibri" w:cs="Calibri"/>
          <w:noProof/>
        </w:rPr>
      </w:pPr>
      <w:r w:rsidRPr="00F27FEF">
        <w:rPr>
          <w:rFonts w:ascii="Calibri" w:hAnsi="Calibri" w:cs="Arial"/>
        </w:rPr>
        <w:fldChar w:fldCharType="begin" w:fldLock="1"/>
      </w:r>
      <w:r w:rsidRPr="6DB014EC">
        <w:rPr>
          <w:rFonts w:ascii="Calibri" w:hAnsi="Calibri" w:cs="Arial"/>
        </w:rPr>
        <w:instrText xml:space="preserve">ADDIN Mendeley Bibliography CSL_BIBLIOGRAPHY </w:instrText>
      </w:r>
      <w:r w:rsidRPr="00F27FEF">
        <w:rPr>
          <w:rFonts w:ascii="Calibri" w:hAnsi="Calibri" w:cs="Arial"/>
        </w:rPr>
        <w:fldChar w:fldCharType="separate"/>
      </w:r>
      <w:r w:rsidR="00A17D0B" w:rsidRPr="00A17D0B">
        <w:rPr>
          <w:rFonts w:ascii="Calibri" w:hAnsi="Calibri" w:cs="Calibri"/>
          <w:noProof/>
        </w:rPr>
        <w:t xml:space="preserve">1. World Health Organization. The World Health Report 2010: Health Systems Financing: the Path to Universal Coverage. Geneva: World Health Organization; 2010. </w:t>
      </w:r>
    </w:p>
    <w:p w14:paraId="4DB5F302"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2. Moreno-Serra R, Smith PC. Broader health coverage is good for the nation’s health: Evidence from country level panel data. J R Stat Soc Ser A Stat Soc. 2015;178:101–24. </w:t>
      </w:r>
    </w:p>
    <w:p w14:paraId="58386DA4"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3. Gravelle HS., Backhouse M. International Cross-Section Analysis of the Determination of Mortality. Soc Sci Med. 1987;25:427–41. </w:t>
      </w:r>
    </w:p>
    <w:p w14:paraId="07D30539"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4. Kim K, Moody PM. More resources better health? A cross-national perspective. Soc Sci &amp;amp; Med [Internet]. 1992;34:837–42. Available from: https://econpapers.repec.org/RePEc:eee:socmed:v:34:y:1992:i:8:p:837-842</w:t>
      </w:r>
    </w:p>
    <w:p w14:paraId="457C0A9D"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5. Filmer D, Pritchett L. The impact of public spending on health: Does money matter? Soc Sci Med. 1999;49:1309–23. </w:t>
      </w:r>
    </w:p>
    <w:p w14:paraId="42AFF7A3"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6. Bokhari FA, Gai Y, Gottret P. Government health expenditures and health outcomes. Health Econ. 2007;16:257–73. </w:t>
      </w:r>
    </w:p>
    <w:p w14:paraId="73BBF071"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7. Haile F, Niño-Zarazúa M. Does Social Spending Improve Welfare in Low-income and Middle-income Countries? J Int Dev. 2018;30:367–98. </w:t>
      </w:r>
    </w:p>
    <w:p w14:paraId="0C042327"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8. Gallet CA, Doucouliagos H. The impact of healthcare spending on health outcomes: A meta-regression analysis. Soc Sci Med. 2017;179:9–17. </w:t>
      </w:r>
    </w:p>
    <w:p w14:paraId="15C54BA3"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9. Barenberg AJ, Basu D, Soylu C. The Effect of Public Health Expenditure on Infant Mortality: Evidence from a Panel of Indian States, 1983–1984 to 2011–2012. J Dev Stud. 2017;53:1765–84. </w:t>
      </w:r>
    </w:p>
    <w:p w14:paraId="4CF37618"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10. Edney LC, Lomas J, Karnon J, Vallejo-Torres L, Stadhouders N, Siverskog J, et al. Empirical Estimates of the Marginal Cost of Health Produced by a Healthcare System: Methodological Considerations from Country-Level Estimates. Pharmacoeconomics [Internet]. Springer International Publishing; 2022;40:31–43. Available from: https://doi.org/10.1007/s40273-021-01087-6</w:t>
      </w:r>
    </w:p>
    <w:p w14:paraId="3306544E"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lastRenderedPageBreak/>
        <w:t xml:space="preserve">11. Bhalotra S. Spending to save? State health expenditure and infant mortality in India. Health Econ. 2007;16:911–28. </w:t>
      </w:r>
    </w:p>
    <w:p w14:paraId="14DD0928"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12. Soares MO, Sculpher MJ, Claxton K. Health Opportunity Costs: Assessing the Implications of Uncertainty Using Elicitation Methods with Experts. Med Decis Mak. 2020;40:448–59. </w:t>
      </w:r>
    </w:p>
    <w:p w14:paraId="7EB50EAE"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13. Culyer AJ. Cost-effectiveness thresholds in health care: A bookshelf guide to their meaning and use. Heal Econ Policy Law. 2016;11:415–32. </w:t>
      </w:r>
    </w:p>
    <w:p w14:paraId="03013089"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14. Claxton K, Martin S, Soares M, Rice N, Spackman E, Hinde S, et al. Methods for the estimation of the National Institute for Health and care excellence cost-effectiveness threshold. Health Technol Assess (Rockv). 2015;19:1–503. </w:t>
      </w:r>
    </w:p>
    <w:p w14:paraId="5FAFAD0B"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15. Vallejo-Torres L, García-Lorenzo B, Serrano-Aguilar P. Estimating a cost-effectiveness threshold for the Spanish NHS. Heal Econ (United Kingdom). 2018;27:746–61. </w:t>
      </w:r>
    </w:p>
    <w:p w14:paraId="718E5E74"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16. Edney LC, Haji Ali Afzali H, Cheng TC, Karnon J. Mortality reductions from marginal increases in public spending on health. Health Policy (New York) [Internet]. Elsevier Ireland Ltd; 2018;122:892–9. Available from: https://doi.org/10.1016/j.healthpol.2018.04.011</w:t>
      </w:r>
    </w:p>
    <w:p w14:paraId="7DCA88B7"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17. Van Baal P, Perry-Duxbury M, Bakx P, Versteegh M, van Doorslaer E, Brouwer W. A cost-effectiveness threshold based on the marginal returns of cardiovascular hospital spending. Heal Econ (United Kingdom). 2019;28:87–100. </w:t>
      </w:r>
    </w:p>
    <w:p w14:paraId="5DEBC8FE"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18. Edoka IP, Stacey NK. Estimating a cost-effectiveness threshold for health care decision-making in South Africa. Health Policy Plan. 2020;35:546–55. </w:t>
      </w:r>
    </w:p>
    <w:p w14:paraId="398AA37F"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19. Mahendradhata Y, Trisnantoro L, Listyadewi S, Soewondo P, Marthias T, Harimurti P, et al. The Republic of Indonesia Health System Review. In: Hort &amp; Patcharanarumol W (eds.) Health Systems in Transition. India: World Health Organization. 2017.; 2017. </w:t>
      </w:r>
    </w:p>
    <w:p w14:paraId="16AF1635"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20. Pisani E, Kok MO, Nugroho K. Indonesia’s road to universal health coverage: A political journey. Health Policy Plan. 2017;32:267–76. </w:t>
      </w:r>
    </w:p>
    <w:p w14:paraId="55F3A547"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lastRenderedPageBreak/>
        <w:t xml:space="preserve">21. Statistics Indonesia - Badan Pusat Statistik (BPS) and Macro International. Indonesia Demographic and Health Survey 2007. Calverton, Maryland, USA, BPS and Macro International.; 2008. </w:t>
      </w:r>
    </w:p>
    <w:p w14:paraId="7F186D34"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22. Statistics Indonesia - Badan Pusat Statistik (BPS). Indonesia Demographic and Health Survey 2012. Jakarta, Indonesia: BPS, BKKBN, Kemenkes, and ICF International; 2013. </w:t>
      </w:r>
    </w:p>
    <w:p w14:paraId="672270FB"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23. The World Bank. Indonesia Database for Policy and Economic Research (INDO-DAPOER). 2012. </w:t>
      </w:r>
    </w:p>
    <w:p w14:paraId="2F552839"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24. Statistics Indonesia (Badan Pusat Statistik—BPS). Indonesia - National Socio-Economic Survey 2013. Jakarta; 2014. </w:t>
      </w:r>
    </w:p>
    <w:p w14:paraId="70F4E0C8"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25. UN Inter-agency Group for Child Mortality Estimation (UN IGME). Levels and trends in child mortality: report 2019, Estimates developed by the United Nations Inter-agency Group for Child Mortality Estimation. New York: United Nations Children’s Fund; 2019. </w:t>
      </w:r>
    </w:p>
    <w:p w14:paraId="7D603CD5"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26. Pullum TW, Staveteig S. An assessment of the quality and consistency of age and date reporting in DHS Surveys, 2000-2015 . DHS Methodol Rep No 19  [Internet]. 2017;2000–15. Available from: http://dhsprogram.com/pubs/pdf/MR19/MR19.pdf</w:t>
      </w:r>
    </w:p>
    <w:p w14:paraId="700AB209"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27. Elkasabi M. Calculating fertility and childhood mortality rates from survey data using the DHS.rates R package. PLoS One. 2019;14:1–22. </w:t>
      </w:r>
    </w:p>
    <w:p w14:paraId="655CEA72"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28. Masset E. SYNCMRATES: Stata module to compute child mortality rates using synthetic cohort probabilities [Internet]. Boston College Department of Economics; 2016. Available from: https://ideas.repec.org/c/boc/bocode/s458149.html</w:t>
      </w:r>
    </w:p>
    <w:p w14:paraId="389AF5E6"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29. Hatt L, Cico A, Chee G, Ergo A, Fuad A, Gigli S, et al. Rapid Analytical Review and Assessment of Health Systems Opportunities and Gaps in Indonesia. Bethesda, MD: Health Finance and Governance Project, Abt Associates Inc.; 2015. </w:t>
      </w:r>
    </w:p>
    <w:p w14:paraId="2BD85445"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30. Wagstaff A. Socioeconomic inequalities in child mortality: comparisons across nine developing countries. Bull World Health Organ. 2000;78:19–29. </w:t>
      </w:r>
    </w:p>
    <w:p w14:paraId="25259B22"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31. Fischer Walker CL, Rudan I, Liu L, Nair H, Theodoratou E, Bhutta ZA, et al. Global burden of childhood </w:t>
      </w:r>
      <w:r w:rsidRPr="00A17D0B">
        <w:rPr>
          <w:rFonts w:ascii="Calibri" w:hAnsi="Calibri" w:cs="Calibri"/>
          <w:noProof/>
        </w:rPr>
        <w:lastRenderedPageBreak/>
        <w:t xml:space="preserve">pneumonia and diarrhoea. Lancet. 2013;381:1405–16. </w:t>
      </w:r>
    </w:p>
    <w:p w14:paraId="2EBD2671"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32. Gani A. Health care financing and health outcomes in Pacific Island countries. Health Policy Plan. 2009;24:72–81. </w:t>
      </w:r>
    </w:p>
    <w:p w14:paraId="297894A5"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33. Tandon A, Pambudi E, Harimurti P, Masaki E, Subandoro A, Marzoeki P, et al. Indonesia. Health Financing System Assessment Spend More, Right and Better. Jakarta: World Bank.; 2016. </w:t>
      </w:r>
    </w:p>
    <w:p w14:paraId="11EB3E62"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34. Nickell SJ. Biases in Dynamic Models with Fixed Effects. Econometrica. 1981;49:1417–26. </w:t>
      </w:r>
    </w:p>
    <w:p w14:paraId="08C4F12C"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35. Arellano M, Bond S. Some Tests of Specification for Panel Data: Monte Carlo Evidence and an Application to Employment Equaltions. Rev Econ Stud. 1991;58:277–97. </w:t>
      </w:r>
    </w:p>
    <w:p w14:paraId="0664E7F9"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36. Blundell R, Bond S. Initial conditions and moment restrictions in dynamic panel data models. J Econom. 1998;87:115–43. </w:t>
      </w:r>
    </w:p>
    <w:p w14:paraId="6823FDC4"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37. Windmeijer F. A finite sample correction for the variance of linear efficient two-step GMM estimators. J Econom [Internet]. 2005;126:25–51. Available from: https://econpapers.repec.org/RePEc:eee:econom:v:126:y:2005:i:1:p:25-51</w:t>
      </w:r>
    </w:p>
    <w:p w14:paraId="47CB3EE4"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38. Acemoglu D, Finkelstein A, Notowidigdo MJ. Income and health spending: Evidence from oil price shocks. Rev Econ Stat. 2013;95:1079–95. </w:t>
      </w:r>
    </w:p>
    <w:p w14:paraId="5B387FE0"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39. Global Burden of Disease Collaborative Network. Global Burden of Disease Study 2019 (GBD 2019) Results [Internet]. Seattle, United States Inst. Heal. Metrics Eval. 2020 [cited 2021 Jan 29]. Available from: http://ghdx.healthdata.org/gbd-results-tool</w:t>
      </w:r>
    </w:p>
    <w:p w14:paraId="218EA66B"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40. Ochalek J, Lomas J, Claxton K. Estimating health opportunity costs in low-income and middle-income countries: A novel approach and evidence from cross-country data. BMJ Glob Heal. 2018;3. </w:t>
      </w:r>
    </w:p>
    <w:p w14:paraId="78931BE0"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41. Paulden M, O’Mahony J, McCabe C. Determinants of Change in the Cost-effectiveness Threshold. Med Decis Mak [Internet]. 2016;37:264–76. Available from: https://doi.org/10.1177/0272989X16662242</w:t>
      </w:r>
    </w:p>
    <w:p w14:paraId="3EA16BBE"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42. Lomas J, Claxton K, Ochalek J. Accounting for country- and time-specific values in the economic evaluation of health-related projects relevant to low- and middle-income countries. 2022;45–54. </w:t>
      </w:r>
    </w:p>
    <w:p w14:paraId="51AF2C2B"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lastRenderedPageBreak/>
        <w:t>43. Ochalek J, Wang H, Gu Y, Lomas J, Cutler H, Jin C. Informing a Cost-Effectiveness Threshold for Health Technology Assessment in China: A Marginal Productivity Approach. Pharmacoeconomics [Internet]. 2020;38:1319–31. Available from: https://doi.org/10.1007/s40273-020-00954-y</w:t>
      </w:r>
    </w:p>
    <w:p w14:paraId="483E46C9"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44. Woods B, Revill P, Sculpher M, Claxton K. Country-Level Cost-Effectiveness Thresholds: Initial Estimates and the Need for Further Research. Value Heal [Internet]. Elsevier; 2016;19:929–35. Available from: http://dx.doi.org/10.1016/j.jval.2016.02.017</w:t>
      </w:r>
    </w:p>
    <w:p w14:paraId="182E6CB5"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45. Statoids. Administrative Divisions of Countries [Internet]. 2017 [cited 2020 May 25]. Available from: http://www.statoids.com/uid.html</w:t>
      </w:r>
    </w:p>
    <w:p w14:paraId="480D0D82" w14:textId="77777777" w:rsidR="00A17D0B" w:rsidRPr="00A17D0B" w:rsidRDefault="00A17D0B" w:rsidP="00A17D0B">
      <w:pPr>
        <w:widowControl w:val="0"/>
        <w:autoSpaceDE w:val="0"/>
        <w:autoSpaceDN w:val="0"/>
        <w:adjustRightInd w:val="0"/>
        <w:spacing w:before="100" w:after="100"/>
        <w:rPr>
          <w:rFonts w:ascii="Calibri" w:hAnsi="Calibri" w:cs="Calibri"/>
          <w:noProof/>
        </w:rPr>
      </w:pPr>
      <w:r w:rsidRPr="00A17D0B">
        <w:rPr>
          <w:rFonts w:ascii="Calibri" w:hAnsi="Calibri" w:cs="Calibri"/>
          <w:noProof/>
        </w:rPr>
        <w:t xml:space="preserve">46. CEIC. Indonesia Crude Oil: Production, 2002-2018. ISI Emerging Markets Group; 2020. </w:t>
      </w:r>
    </w:p>
    <w:p w14:paraId="4DB30985" w14:textId="37CBFF15" w:rsidR="00190DF5" w:rsidRPr="00F27FEF" w:rsidRDefault="001057D5" w:rsidP="00A17D0B">
      <w:pPr>
        <w:widowControl w:val="0"/>
        <w:autoSpaceDE w:val="0"/>
        <w:autoSpaceDN w:val="0"/>
        <w:adjustRightInd w:val="0"/>
        <w:spacing w:before="100" w:after="100"/>
        <w:rPr>
          <w:rFonts w:ascii="Calibri" w:hAnsi="Calibri" w:cs="Arial"/>
          <w:b/>
          <w:bCs/>
          <w:sz w:val="24"/>
          <w:szCs w:val="24"/>
        </w:rPr>
      </w:pPr>
      <w:r w:rsidRPr="00F27FEF">
        <w:rPr>
          <w:rFonts w:ascii="Calibri" w:hAnsi="Calibri" w:cs="Arial"/>
        </w:rPr>
        <w:fldChar w:fldCharType="end"/>
      </w:r>
    </w:p>
    <w:sectPr w:rsidR="00190DF5" w:rsidRPr="00F27FEF" w:rsidSect="009A7F2F">
      <w:headerReference w:type="default" r:id="rId14"/>
      <w:footerReference w:type="even"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4CF1C" w14:textId="77777777" w:rsidR="00337135" w:rsidRDefault="00337135" w:rsidP="00D84AD4">
      <w:pPr>
        <w:spacing w:after="0" w:line="240" w:lineRule="auto"/>
      </w:pPr>
      <w:r>
        <w:separator/>
      </w:r>
    </w:p>
  </w:endnote>
  <w:endnote w:type="continuationSeparator" w:id="0">
    <w:p w14:paraId="63EB75A8" w14:textId="77777777" w:rsidR="00337135" w:rsidRDefault="00337135" w:rsidP="00D84AD4">
      <w:pPr>
        <w:spacing w:after="0" w:line="240" w:lineRule="auto"/>
      </w:pPr>
      <w:r>
        <w:continuationSeparator/>
      </w:r>
    </w:p>
  </w:endnote>
  <w:endnote w:type="continuationNotice" w:id="1">
    <w:p w14:paraId="33F3C739" w14:textId="77777777" w:rsidR="00337135" w:rsidRDefault="003371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2" w:usb2="00000000" w:usb3="00000000" w:csb0="0000009F" w:csb1="00000000"/>
  </w:font>
  <w:font w:name="Times">
    <w:altName w:val="Times"/>
    <w:panose1 w:val="0200050000000000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FD585" w14:textId="63A99716" w:rsidR="00920E7D" w:rsidRDefault="00920E7D" w:rsidP="00FB18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3D14B2" w14:textId="77777777" w:rsidR="00920E7D" w:rsidRDefault="00920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00482962"/>
      <w:docPartObj>
        <w:docPartGallery w:val="Page Numbers (Bottom of Page)"/>
        <w:docPartUnique/>
      </w:docPartObj>
    </w:sdtPr>
    <w:sdtEndPr>
      <w:rPr>
        <w:rStyle w:val="PageNumber"/>
      </w:rPr>
    </w:sdtEndPr>
    <w:sdtContent>
      <w:p w14:paraId="1A665971" w14:textId="30DA2F4C" w:rsidR="00920E7D" w:rsidRDefault="00920E7D" w:rsidP="00FB18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FDA057" w14:textId="600B8DDC" w:rsidR="00920E7D" w:rsidRPr="00664C0B" w:rsidRDefault="00920E7D">
    <w:pPr>
      <w:pStyle w:val="Footer"/>
      <w:jc w:val="center"/>
      <w:rPr>
        <w:rFonts w:ascii="Calibri" w:hAnsi="Calibri" w:cs="Calibri"/>
      </w:rPr>
    </w:pPr>
  </w:p>
  <w:p w14:paraId="36720FA1" w14:textId="77777777" w:rsidR="00920E7D" w:rsidRDefault="0092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2F47F" w14:textId="77777777" w:rsidR="00337135" w:rsidRDefault="00337135" w:rsidP="00D84AD4">
      <w:pPr>
        <w:spacing w:after="0" w:line="240" w:lineRule="auto"/>
      </w:pPr>
      <w:r>
        <w:separator/>
      </w:r>
    </w:p>
  </w:footnote>
  <w:footnote w:type="continuationSeparator" w:id="0">
    <w:p w14:paraId="29B60025" w14:textId="77777777" w:rsidR="00337135" w:rsidRDefault="00337135" w:rsidP="00D84AD4">
      <w:pPr>
        <w:spacing w:after="0" w:line="240" w:lineRule="auto"/>
      </w:pPr>
      <w:r>
        <w:continuationSeparator/>
      </w:r>
    </w:p>
  </w:footnote>
  <w:footnote w:type="continuationNotice" w:id="1">
    <w:p w14:paraId="4948913A" w14:textId="77777777" w:rsidR="00337135" w:rsidRDefault="00337135">
      <w:pPr>
        <w:spacing w:after="0" w:line="240" w:lineRule="auto"/>
      </w:pPr>
    </w:p>
  </w:footnote>
  <w:footnote w:id="2">
    <w:p w14:paraId="2E69E5A3" w14:textId="30433175" w:rsidR="00920E7D" w:rsidRDefault="00920E7D">
      <w:pPr>
        <w:pStyle w:val="FootnoteText"/>
      </w:pPr>
      <w:r w:rsidRPr="00F67DDC">
        <w:rPr>
          <w:rStyle w:val="FootnoteReference"/>
        </w:rPr>
        <w:footnoteRef/>
      </w:r>
      <w:r>
        <w:t xml:space="preserve"> </w:t>
      </w:r>
      <w:r w:rsidRPr="0042155D">
        <w:t xml:space="preserve">Given the </w:t>
      </w:r>
      <w:r>
        <w:t>changing</w:t>
      </w:r>
      <w:r w:rsidRPr="0042155D">
        <w:t xml:space="preserve"> nature of administrative units in Indonesia (with forming districts and provinces over the study period), we </w:t>
      </w:r>
      <w:r>
        <w:t xml:space="preserve">took efforts to adequately </w:t>
      </w:r>
      <w:r w:rsidRPr="0042155D">
        <w:t xml:space="preserve">link </w:t>
      </w:r>
      <w:r w:rsidRPr="00596F67">
        <w:t xml:space="preserve">districts </w:t>
      </w:r>
      <w:r>
        <w:t>to</w:t>
      </w:r>
      <w:r w:rsidRPr="00596F67">
        <w:t xml:space="preserve"> provinces in a given year, using information from a repository of administrative units in Indonesia from several sources (from the INDO-DAPOER as well as the </w:t>
      </w:r>
      <w:proofErr w:type="spellStart"/>
      <w:r w:rsidRPr="00596F67">
        <w:rPr>
          <w:color w:val="000000" w:themeColor="text1"/>
        </w:rPr>
        <w:t>Statoids</w:t>
      </w:r>
      <w:proofErr w:type="spellEnd"/>
      <w:r w:rsidRPr="00596F67">
        <w:rPr>
          <w:color w:val="000000" w:themeColor="text1"/>
        </w:rPr>
        <w:t xml:space="preserve"> website </w:t>
      </w:r>
      <w:r>
        <w:rPr>
          <w:rStyle w:val="FootnoteReference"/>
          <w:color w:val="000000" w:themeColor="text1"/>
        </w:rPr>
        <w:fldChar w:fldCharType="begin" w:fldLock="1"/>
      </w:r>
      <w:r w:rsidR="00A17D0B">
        <w:rPr>
          <w:color w:val="000000" w:themeColor="text1"/>
        </w:rPr>
        <w:instrText>ADDIN CSL_CITATION {"citationItems":[{"id":"ITEM-1","itemData":{"URL":"http://www.statoids.com/uid.html","accessed":{"date-parts":[["2020","5","25"]]},"author":[{"dropping-particle":"","family":"Statoids","given":"","non-dropping-particle":"","parse-names":false,"suffix":""}],"id":"ITEM-1","issued":{"date-parts":[["2017"]]},"title":"Administrative Divisions of Countries","type":"webpage"},"uris":["http://www.mendeley.com/documents/?uuid=4d223570-108c-470d-8aa1-4652e4ec9486"]}],"mendeley":{"formattedCitation":"[45]","plainTextFormattedCitation":"[45]","previouslyFormattedCitation":"[45]"},"properties":{"noteIndex":0},"schema":"https://github.com/citation-style-language/schema/raw/master/csl-citation.json"}</w:instrText>
      </w:r>
      <w:r>
        <w:rPr>
          <w:rStyle w:val="FootnoteReference"/>
          <w:color w:val="000000" w:themeColor="text1"/>
        </w:rPr>
        <w:fldChar w:fldCharType="separate"/>
      </w:r>
      <w:r w:rsidR="00A17D0B" w:rsidRPr="00A17D0B">
        <w:rPr>
          <w:noProof/>
          <w:color w:val="000000" w:themeColor="text1"/>
        </w:rPr>
        <w:t>[45]</w:t>
      </w:r>
      <w:r>
        <w:rPr>
          <w:rStyle w:val="FootnoteReference"/>
          <w:color w:val="000000" w:themeColor="text1"/>
        </w:rPr>
        <w:fldChar w:fldCharType="end"/>
      </w:r>
      <w:r w:rsidRPr="00596F67">
        <w:t>).</w:t>
      </w:r>
      <w:r w:rsidRPr="0042155D">
        <w:t xml:space="preserve">  </w:t>
      </w:r>
    </w:p>
  </w:footnote>
  <w:footnote w:id="3">
    <w:p w14:paraId="3E87E7F8" w14:textId="7C8E4D65" w:rsidR="00920E7D" w:rsidRDefault="00920E7D">
      <w:pPr>
        <w:pStyle w:val="FootnoteText"/>
      </w:pPr>
      <w:r w:rsidRPr="00F67DDC">
        <w:rPr>
          <w:rStyle w:val="FootnoteReference"/>
        </w:rPr>
        <w:footnoteRef/>
      </w:r>
      <w:r>
        <w:t xml:space="preserve"> </w:t>
      </w:r>
      <w:r w:rsidRPr="0042155D">
        <w:t>First, wherever there was a maximum of two consecutive missing periods, we imputed the missing data by fitting smooth polynomials on the logarithm of the district level expenditure time series. Where three or more district-level data points were missing, we</w:t>
      </w:r>
      <w:r>
        <w:t xml:space="preserve"> imputed them</w:t>
      </w:r>
      <w:r w:rsidRPr="0042155D">
        <w:t xml:space="preserve"> us</w:t>
      </w:r>
      <w:r>
        <w:t>ing</w:t>
      </w:r>
      <w:r w:rsidRPr="0042155D">
        <w:t xml:space="preserve"> the mean expenditure of the province in the given year. For province-level missing budgets and other province</w:t>
      </w:r>
      <w:r>
        <w:t>-level</w:t>
      </w:r>
      <w:r w:rsidRPr="0042155D">
        <w:t xml:space="preserve"> variables</w:t>
      </w:r>
      <w:r>
        <w:t xml:space="preserve"> for a given period,</w:t>
      </w:r>
      <w:r w:rsidRPr="0042155D">
        <w:t xml:space="preserve"> we used </w:t>
      </w:r>
      <w:r>
        <w:t xml:space="preserve">linear </w:t>
      </w:r>
      <w:r w:rsidRPr="0042155D">
        <w:t>interpolation (7.6% of the observations of the health expenditure variable</w:t>
      </w:r>
      <w:r>
        <w:t xml:space="preserve"> were missing</w:t>
      </w:r>
      <w:r w:rsidRPr="0042155D">
        <w:t>, and on average 5.9% of observations for the other variables, and never for more than one period).</w:t>
      </w:r>
    </w:p>
  </w:footnote>
  <w:footnote w:id="4">
    <w:p w14:paraId="3F247221" w14:textId="5C77EEF5" w:rsidR="00920E7D" w:rsidRPr="008D58D4" w:rsidRDefault="00920E7D">
      <w:pPr>
        <w:pStyle w:val="FootnoteText"/>
        <w:rPr>
          <w:rFonts w:ascii="Calibri" w:hAnsi="Calibri" w:cs="Calibri"/>
        </w:rPr>
      </w:pPr>
      <w:r w:rsidRPr="00F67DDC">
        <w:rPr>
          <w:rStyle w:val="FootnoteReference"/>
        </w:rPr>
        <w:footnoteRef/>
      </w:r>
      <w:r w:rsidRPr="008D58D4">
        <w:rPr>
          <w:rFonts w:ascii="Calibri" w:hAnsi="Calibri" w:cs="Calibri"/>
        </w:rPr>
        <w:t xml:space="preserve"> The 2011 Health Facility Census (</w:t>
      </w:r>
      <w:proofErr w:type="spellStart"/>
      <w:r w:rsidRPr="008D58D4">
        <w:rPr>
          <w:rFonts w:ascii="Calibri" w:hAnsi="Calibri" w:cs="Calibri"/>
          <w:i/>
          <w:iCs/>
        </w:rPr>
        <w:t>Rifaskes</w:t>
      </w:r>
      <w:proofErr w:type="spellEnd"/>
      <w:r w:rsidRPr="008D58D4">
        <w:rPr>
          <w:rFonts w:ascii="Calibri" w:hAnsi="Calibri" w:cs="Calibri"/>
          <w:i/>
          <w:iCs/>
        </w:rPr>
        <w:t>)</w:t>
      </w:r>
      <w:r w:rsidRPr="008D58D4">
        <w:rPr>
          <w:rFonts w:ascii="Calibri" w:hAnsi="Calibri" w:cs="Calibri"/>
        </w:rPr>
        <w:t xml:space="preserve"> reported availability issues of BCG, measles, polio and DPT vaccines in the provinces </w:t>
      </w:r>
      <w:r>
        <w:rPr>
          <w:rFonts w:ascii="Calibri" w:hAnsi="Calibri" w:cs="Calibri"/>
        </w:rPr>
        <w:t>including</w:t>
      </w:r>
      <w:r w:rsidRPr="008D58D4">
        <w:rPr>
          <w:rFonts w:ascii="Calibri" w:hAnsi="Calibri" w:cs="Calibri"/>
        </w:rPr>
        <w:t xml:space="preserve"> Papua and Maluku.</w:t>
      </w:r>
    </w:p>
  </w:footnote>
  <w:footnote w:id="5">
    <w:p w14:paraId="67CDADB3" w14:textId="4FB5CA50" w:rsidR="00920E7D" w:rsidRPr="00A17D0B" w:rsidRDefault="00920E7D" w:rsidP="008D1826">
      <w:pPr>
        <w:pStyle w:val="FootnoteText"/>
        <w:jc w:val="both"/>
        <w:rPr>
          <w:rFonts w:ascii="Calibri" w:hAnsi="Calibri" w:cs="Calibri"/>
        </w:rPr>
      </w:pPr>
      <w:r w:rsidRPr="00A17D0B">
        <w:rPr>
          <w:rStyle w:val="FootnoteReference"/>
        </w:rPr>
        <w:footnoteRef/>
      </w:r>
      <w:r w:rsidRPr="00A17D0B">
        <w:rPr>
          <w:rFonts w:ascii="Calibri" w:hAnsi="Calibri" w:cs="Calibri"/>
        </w:rPr>
        <w:t xml:space="preserve"> </w:t>
      </w:r>
      <w:r w:rsidRPr="00A17D0B">
        <w:rPr>
          <w:rFonts w:ascii="Calibri" w:eastAsiaTheme="minorEastAsia" w:hAnsi="Calibri" w:cs="Calibri"/>
        </w:rPr>
        <w:t>The elasticity can be derived using a simple transformation and it informs of the % change in mortality following a 1% increase in the level of expenditure.</w:t>
      </w:r>
    </w:p>
  </w:footnote>
  <w:footnote w:id="6">
    <w:p w14:paraId="65B46912" w14:textId="08772C4E" w:rsidR="00920E7D" w:rsidRPr="00A17D0B" w:rsidRDefault="00920E7D" w:rsidP="008D1826">
      <w:pPr>
        <w:pStyle w:val="FootnoteText"/>
        <w:spacing w:before="0"/>
        <w:jc w:val="both"/>
        <w:rPr>
          <w:rFonts w:ascii="Arial" w:hAnsi="Arial" w:cs="Arial"/>
        </w:rPr>
      </w:pPr>
      <w:r w:rsidRPr="00A17D0B">
        <w:rPr>
          <w:rStyle w:val="FootnoteReference"/>
        </w:rPr>
        <w:footnoteRef/>
      </w:r>
      <w:r w:rsidRPr="00A17D0B">
        <w:rPr>
          <w:rFonts w:ascii="Calibri" w:hAnsi="Calibri" w:cs="Calibri"/>
        </w:rPr>
        <w:t xml:space="preserve"> Unlike Acemoglu et al. </w:t>
      </w:r>
      <w:r w:rsidRPr="00A17D0B">
        <w:rPr>
          <w:rFonts w:ascii="Calibri" w:hAnsi="Calibri" w:cs="Calibri"/>
        </w:rPr>
        <w:fldChar w:fldCharType="begin" w:fldLock="1"/>
      </w:r>
      <w:r w:rsidRPr="00A17D0B">
        <w:rPr>
          <w:rFonts w:ascii="Calibri" w:hAnsi="Calibri" w:cs="Calibri"/>
        </w:rPr>
        <w:instrText>ADDIN CSL_CITATION {"citationItems":[{"id":"ITEM-1","itemData":{"DOI":"10.1162/REST_a_00306","ISSN":"00346535","abstract":"Health expenditures as a share of GDP in the United States have more than tripled over the past half-century. A common conjecture is that this is a consequence of rising income. We investigate this hypothesis by instrumenting for local area income with time series variation in oil prices interacted with local oil reserves. This strategy enables us to capture both partial equilibrium and local general equilibrium effects of income on health expenditures. Our central income elasticity estimate is 0.7, with 1.1 as the upper end of the 95% confidence interval, which suggests that rising income is unlikely to be a major driver of the rising health expenditure share of GDP. © 2013 by the President and Fellows of Harvard College and the Massachusetts Institute of Technology.","author":[{"dropping-particle":"","family":"Acemoglu","given":"Daron","non-dropping-particle":"","parse-names":false,"suffix":""},{"dropping-particle":"","family":"Finkelstein","given":"Amy","non-dropping-particle":"","parse-names":false,"suffix":""},{"dropping-particle":"","family":"Notowidigdo","given":"Matthew J.","non-dropping-particle":"","parse-names":false,"suffix":""}],"container-title":"Review of Economics and Statistics","id":"ITEM-1","issue":"4","issued":{"date-parts":[["2013"]]},"page":"1079-1095","title":"Income and health spending: Evidence from oil price shocks","type":"article-journal","volume":"95"},"uris":["http://www.mendeley.com/documents/?uuid=1066bfe4-de05-44a3-8558-0ffbb3a003e7"]}],"mendeley":{"formattedCitation":"[38]","plainTextFormattedCitation":"[38]","previouslyFormattedCitation":"[38]"},"properties":{"noteIndex":0},"schema":"https://github.com/citation-style-language/schema/raw/master/csl-citation.json"}</w:instrText>
      </w:r>
      <w:r w:rsidRPr="00A17D0B">
        <w:rPr>
          <w:rFonts w:ascii="Calibri" w:hAnsi="Calibri" w:cs="Calibri"/>
        </w:rPr>
        <w:fldChar w:fldCharType="separate"/>
      </w:r>
      <w:r w:rsidRPr="00A17D0B">
        <w:rPr>
          <w:rFonts w:ascii="Calibri" w:hAnsi="Calibri" w:cs="Calibri"/>
          <w:noProof/>
        </w:rPr>
        <w:t>[38]</w:t>
      </w:r>
      <w:r w:rsidRPr="00A17D0B">
        <w:rPr>
          <w:rFonts w:ascii="Calibri" w:hAnsi="Calibri" w:cs="Calibri"/>
        </w:rPr>
        <w:fldChar w:fldCharType="end"/>
      </w:r>
      <w:r w:rsidRPr="00A17D0B">
        <w:rPr>
          <w:rFonts w:ascii="Calibri" w:hAnsi="Calibri" w:cs="Calibri"/>
        </w:rPr>
        <w:t xml:space="preserve"> we approximate the importance of oil in the economy using the volume of exports which was derived using information from the INDO-DAPOER and CEIC databases</w:t>
      </w:r>
      <w:r w:rsidR="00A17D0B" w:rsidRPr="00A17D0B">
        <w:rPr>
          <w:rFonts w:ascii="Calibri" w:hAnsi="Calibri" w:cs="Calibri"/>
        </w:rPr>
        <w:t xml:space="preserve"> </w:t>
      </w:r>
      <w:r w:rsidR="00A17D0B" w:rsidRPr="00A17D0B">
        <w:rPr>
          <w:rFonts w:ascii="Calibri" w:hAnsi="Calibri" w:cs="Calibri"/>
        </w:rPr>
        <w:fldChar w:fldCharType="begin" w:fldLock="1"/>
      </w:r>
      <w:r w:rsidR="00A17D0B" w:rsidRPr="00A17D0B">
        <w:rPr>
          <w:rFonts w:ascii="Calibri" w:hAnsi="Calibri" w:cs="Calibri"/>
        </w:rPr>
        <w:instrText>ADDIN CSL_CITATION {"citationItems":[{"id":"ITEM-1","itemData":{"author":[{"dropping-particle":"","family":"CEIC","given":"","non-dropping-particle":"","parse-names":false,"suffix":""}],"id":"ITEM-1","issued":{"date-parts":[["2020"]]},"publisher":"ISI Emerging Markets Group","title":"Indonesia Crude Oil: Production, 2002-2018","type":"webpage"},"uris":["http://www.mendeley.com/documents/?uuid=55d18063-b77f-4d24-8075-481838f52c37"]}],"mendeley":{"formattedCitation":"[46]","plainTextFormattedCitation":"[46]","previouslyFormattedCitation":"[46]"},"properties":{"noteIndex":0},"schema":"https://github.com/citation-style-language/schema/raw/master/csl-citation.json"}</w:instrText>
      </w:r>
      <w:r w:rsidR="00A17D0B" w:rsidRPr="00A17D0B">
        <w:rPr>
          <w:rFonts w:ascii="Calibri" w:hAnsi="Calibri" w:cs="Calibri"/>
        </w:rPr>
        <w:fldChar w:fldCharType="separate"/>
      </w:r>
      <w:r w:rsidR="00A17D0B" w:rsidRPr="00A17D0B">
        <w:rPr>
          <w:rFonts w:ascii="Calibri" w:hAnsi="Calibri" w:cs="Calibri"/>
          <w:noProof/>
        </w:rPr>
        <w:t>[46]</w:t>
      </w:r>
      <w:r w:rsidR="00A17D0B" w:rsidRPr="00A17D0B">
        <w:rPr>
          <w:rFonts w:ascii="Calibri" w:hAnsi="Calibri" w:cs="Calibri"/>
        </w:rPr>
        <w:fldChar w:fldCharType="end"/>
      </w:r>
      <w:r w:rsidRPr="00A17D0B">
        <w:rPr>
          <w:rFonts w:ascii="Arial" w:hAnsi="Arial" w:cs="Arial"/>
          <w:sz w:val="21"/>
          <w:szCs w:val="21"/>
        </w:rPr>
        <w:t>.</w:t>
      </w:r>
    </w:p>
  </w:footnote>
  <w:footnote w:id="7">
    <w:p w14:paraId="1D09FEA1" w14:textId="77777777" w:rsidR="00920E7D" w:rsidRPr="00911548" w:rsidRDefault="00920E7D" w:rsidP="008A7498">
      <w:pPr>
        <w:pStyle w:val="FootnoteText"/>
        <w:contextualSpacing/>
        <w:jc w:val="both"/>
        <w:rPr>
          <w:rFonts w:ascii="Calibri" w:hAnsi="Calibri" w:cs="Calibri"/>
        </w:rPr>
      </w:pPr>
      <w:r w:rsidRPr="00A17D0B">
        <w:rPr>
          <w:rStyle w:val="FootnoteReference"/>
        </w:rPr>
        <w:footnoteRef/>
      </w:r>
      <w:r w:rsidRPr="00A17D0B">
        <w:rPr>
          <w:rFonts w:ascii="Calibri" w:hAnsi="Calibri" w:cs="Calibri"/>
        </w:rPr>
        <w:t xml:space="preserve"> To ensure the conditions for instrument validity are met while avoiding the risk of instrument proliferation, </w:t>
      </w:r>
      <w:r w:rsidRPr="00A17D0B">
        <w:t>we use only the first three lagged values and the log of own-source revenue as instrumental variables.</w:t>
      </w:r>
    </w:p>
  </w:footnote>
  <w:footnote w:id="8">
    <w:p w14:paraId="7C881FED" w14:textId="34C83184" w:rsidR="00920E7D" w:rsidRPr="004C1048" w:rsidRDefault="00920E7D" w:rsidP="00822411">
      <w:pPr>
        <w:pStyle w:val="FootnoteText"/>
        <w:rPr>
          <w:lang w:val="en-US"/>
        </w:rPr>
      </w:pPr>
      <w:r w:rsidRPr="00F67DDC">
        <w:rPr>
          <w:rStyle w:val="FootnoteReference"/>
        </w:rPr>
        <w:footnoteRef/>
      </w:r>
      <w:r>
        <w:t xml:space="preserve"> Using morbidity burden of disease</w:t>
      </w:r>
      <w:r w:rsidRPr="00822411">
        <w:t xml:space="preserve"> allows us to capture both morbidity related to mortality (i.e. from children who would have died) and morbidity from surviving children.</w:t>
      </w:r>
    </w:p>
  </w:footnote>
  <w:footnote w:id="9">
    <w:p w14:paraId="05CEE723" w14:textId="77777777" w:rsidR="00920E7D" w:rsidRDefault="00920E7D" w:rsidP="00724D33">
      <w:pPr>
        <w:pStyle w:val="FootnoteText"/>
      </w:pPr>
      <w:r w:rsidRPr="00F67DDC">
        <w:rPr>
          <w:rStyle w:val="FootnoteReference"/>
        </w:rPr>
        <w:footnoteRef/>
      </w:r>
      <w:r>
        <w:t xml:space="preserve"> We assume that this ratio stays constant with the levels of mortality.</w:t>
      </w:r>
    </w:p>
  </w:footnote>
  <w:footnote w:id="10">
    <w:p w14:paraId="63EF9060" w14:textId="1D995F6F" w:rsidR="00920E7D" w:rsidRPr="00656E8D" w:rsidRDefault="00920E7D">
      <w:pPr>
        <w:pStyle w:val="FootnoteText"/>
        <w:rPr>
          <w:rFonts w:ascii="Calibri" w:hAnsi="Calibri" w:cs="Calibri"/>
        </w:rPr>
      </w:pPr>
      <w:r w:rsidRPr="00F67DDC">
        <w:rPr>
          <w:rStyle w:val="FootnoteReference"/>
        </w:rPr>
        <w:footnoteRef/>
      </w:r>
      <w:r w:rsidRPr="00656E8D">
        <w:rPr>
          <w:rFonts w:ascii="Calibri" w:hAnsi="Calibri" w:cs="Calibri"/>
        </w:rPr>
        <w:t xml:space="preserve"> The long-term effect of expenditure could be derived as </w:t>
      </w:r>
      <m:oMath>
        <m:nary>
          <m:naryPr>
            <m:chr m:val="∑"/>
            <m:limLoc m:val="subSup"/>
            <m:ctrlPr>
              <w:rPr>
                <w:rFonts w:ascii="Cambria Math" w:hAnsi="Cambria Math" w:cs="Calibri"/>
              </w:rPr>
            </m:ctrlPr>
          </m:naryPr>
          <m:sub>
            <m:r>
              <w:rPr>
                <w:rFonts w:ascii="Cambria Math" w:hAnsi="Cambria Math" w:cs="Calibri"/>
              </w:rPr>
              <m:t>s</m:t>
            </m:r>
            <m:r>
              <m:rPr>
                <m:sty m:val="p"/>
              </m:rPr>
              <w:rPr>
                <w:rFonts w:ascii="Cambria Math" w:hAnsi="Cambria Math" w:cs="Calibri"/>
              </w:rPr>
              <m:t>=0</m:t>
            </m:r>
          </m:sub>
          <m:sup>
            <m:r>
              <w:rPr>
                <w:rFonts w:ascii="Cambria Math" w:hAnsi="Cambria Math" w:cs="Calibri"/>
              </w:rPr>
              <m:t>k</m:t>
            </m:r>
          </m:sup>
          <m:e>
            <m:sSub>
              <m:sSubPr>
                <m:ctrlPr>
                  <w:rPr>
                    <w:rFonts w:ascii="Cambria Math" w:hAnsi="Cambria Math" w:cs="Calibri"/>
                  </w:rPr>
                </m:ctrlPr>
              </m:sSubPr>
              <m:e>
                <m:sSub>
                  <m:sSubPr>
                    <m:ctrlPr>
                      <w:rPr>
                        <w:rFonts w:ascii="Cambria Math" w:hAnsi="Cambria Math" w:cs="Calibri"/>
                      </w:rPr>
                    </m:ctrlPr>
                  </m:sSubPr>
                  <m:e>
                    <m:sSup>
                      <m:sSupPr>
                        <m:ctrlPr>
                          <w:rPr>
                            <w:rFonts w:ascii="Cambria Math" w:hAnsi="Cambria Math" w:cs="Calibri"/>
                          </w:rPr>
                        </m:ctrlPr>
                      </m:sSupPr>
                      <m:e>
                        <m:r>
                          <w:rPr>
                            <w:rFonts w:ascii="Cambria Math" w:hAnsi="Cambria Math" w:cs="Calibri"/>
                          </w:rPr>
                          <m:t>λ</m:t>
                        </m:r>
                      </m:e>
                      <m:sup>
                        <m:r>
                          <w:rPr>
                            <w:rFonts w:ascii="Cambria Math" w:hAnsi="Cambria Math" w:cs="Calibri"/>
                          </w:rPr>
                          <m:t>s</m:t>
                        </m:r>
                      </m:sup>
                    </m:sSup>
                    <m:r>
                      <w:rPr>
                        <w:rFonts w:ascii="Cambria Math" w:hAnsi="Cambria Math" w:cs="Calibri"/>
                      </w:rPr>
                      <m:t>β</m:t>
                    </m:r>
                  </m:e>
                  <m:sub>
                    <m:r>
                      <w:rPr>
                        <w:rFonts w:ascii="Cambria Math" w:hAnsi="Cambria Math" w:cs="Calibri"/>
                      </w:rPr>
                      <m:t>0</m:t>
                    </m:r>
                  </m:sub>
                </m:sSub>
                <m:r>
                  <w:rPr>
                    <w:rFonts w:ascii="Cambria Math" w:hAnsi="Cambria Math" w:cs="Calibri"/>
                  </w:rPr>
                  <m:t>x</m:t>
                </m:r>
              </m:e>
              <m:sub>
                <m:r>
                  <w:rPr>
                    <w:rFonts w:ascii="Cambria Math" w:hAnsi="Cambria Math" w:cs="Calibri"/>
                  </w:rPr>
                  <m:t>i</m:t>
                </m:r>
                <m:r>
                  <m:rPr>
                    <m:sty m:val="p"/>
                  </m:rPr>
                  <w:rPr>
                    <w:rFonts w:ascii="Cambria Math" w:hAnsi="Cambria Math" w:cs="Calibri"/>
                  </w:rPr>
                  <m:t>,t-</m:t>
                </m:r>
                <m:r>
                  <w:rPr>
                    <w:rFonts w:ascii="Cambria Math" w:hAnsi="Cambria Math" w:cs="Calibri"/>
                  </w:rPr>
                  <m:t>k</m:t>
                </m:r>
              </m:sub>
            </m:sSub>
          </m:e>
        </m:nary>
      </m:oMath>
      <w:r w:rsidRPr="00656E8D">
        <w:rPr>
          <w:rFonts w:ascii="Calibri" w:eastAsiaTheme="minorEastAsia" w:hAnsi="Calibri" w:cs="Calibri"/>
        </w:rPr>
        <w:t>. However,</w:t>
      </w:r>
      <w:r w:rsidRPr="00656E8D">
        <w:rPr>
          <w:rFonts w:ascii="Calibri" w:hAnsi="Calibri"/>
        </w:rPr>
        <w:t xml:space="preserve"> </w:t>
      </w:r>
      <w:r w:rsidRPr="00656E8D">
        <w:rPr>
          <w:rFonts w:ascii="Calibri" w:eastAsiaTheme="minorEastAsia" w:hAnsi="Calibri" w:cs="Calibri"/>
        </w:rPr>
        <w:t xml:space="preserve">the coefficients of lagged mortality rates, used for this calculation, are not statistically significant at conventional levels. Our results therefore are not informative of the </w:t>
      </w:r>
      <w:r>
        <w:rPr>
          <w:rFonts w:ascii="Calibri" w:eastAsiaTheme="minorEastAsia" w:hAnsi="Calibri" w:cs="Calibri"/>
        </w:rPr>
        <w:t xml:space="preserve">cumulative </w:t>
      </w:r>
      <w:r w:rsidRPr="00656E8D">
        <w:rPr>
          <w:rFonts w:ascii="Calibri" w:eastAsiaTheme="minorEastAsia" w:hAnsi="Calibri" w:cs="Calibri"/>
        </w:rPr>
        <w:t>effect spending decisions on the current mortality rate.</w:t>
      </w:r>
    </w:p>
  </w:footnote>
  <w:footnote w:id="11">
    <w:p w14:paraId="0B0E8B3B" w14:textId="7C08AADF" w:rsidR="00920E7D" w:rsidRPr="00B96D87" w:rsidRDefault="00920E7D">
      <w:pPr>
        <w:pStyle w:val="FootnoteText"/>
      </w:pPr>
      <w:r w:rsidRPr="00F67DDC">
        <w:rPr>
          <w:rStyle w:val="FootnoteReference"/>
        </w:rPr>
        <w:footnoteRef/>
      </w:r>
      <w:r>
        <w:t xml:space="preserve"> </w:t>
      </w:r>
      <w:r w:rsidRPr="00B96D87">
        <w:t xml:space="preserve">Filmer and Pritchett </w:t>
      </w:r>
      <w:r>
        <w:fldChar w:fldCharType="begin" w:fldLock="1"/>
      </w:r>
      <w:r>
        <w:instrText>ADDIN CSL_CITATION {"citationItems":[{"id":"ITEM-1","itemData":{"DOI":"10.1016/S0277-9536(99)00150-1","ISSN":"02779536","PMID":"10509822","abstract":"We use cross-national data to examine the impact of both public spending on health and non-health factors (economic, educational, cultural) in determining child (under-5) and infant mortality. There are two striking findings. First, the impact of public spending on health is quite small, with a coefficient that is typically both numerically small and statistically insignificant at conventional levels. Independent variation in public spending explains less than one-seventh of 1% of the observed differences in mortality across countries. The estimates imply that for a developing country at average income levels the actual public spending per child death averted is $50,000-100,000. This stands in marked contrast to the typical range of estimates of the cost effectiveness of medical interventions to avert the largest causes of child mortality in developing countries, which is $10-4000. We outline three possible explanations for this divergence of the actual and apparent potential of public spending. Second, whereas health spending is not a powerful determinant of mortality, 95% of cross-national variation in mortality can be explained by a country's income per capita, inequality of income distribution, extent of female education, level of ethnic fragmentation, and predominant religion.","author":[{"dropping-particle":"","family":"Filmer","given":"Deon","non-dropping-particle":"","parse-names":false,"suffix":""},{"dropping-particle":"","family":"Pritchett","given":"Lant","non-dropping-particle":"","parse-names":false,"suffix":""}],"container-title":"Social Science and Medicine","id":"ITEM-1","issue":"10","issued":{"date-parts":[["1999"]]},"page":"1309-1323","title":"The impact of public spending on health: Does money matter?","type":"article-journal","volume":"49"},"uris":["http://www.mendeley.com/documents/?uuid=67e80e74-8683-4b5c-aadb-4df325ff3f8e"]}],"mendeley":{"formattedCitation":"[5]","plainTextFormattedCitation":"[5]","previouslyFormattedCitation":"[5]"},"properties":{"noteIndex":0},"schema":"https://github.com/citation-style-language/schema/raw/master/csl-citation.json"}</w:instrText>
      </w:r>
      <w:r>
        <w:fldChar w:fldCharType="separate"/>
      </w:r>
      <w:r w:rsidRPr="00C475B6">
        <w:rPr>
          <w:noProof/>
        </w:rPr>
        <w:t>[5]</w:t>
      </w:r>
      <w:r>
        <w:fldChar w:fldCharType="end"/>
      </w:r>
      <w:r>
        <w:t xml:space="preserve"> </w:t>
      </w:r>
      <w:r w:rsidRPr="00B96D87">
        <w:t>argue that th</w:t>
      </w:r>
      <w:r>
        <w:t>e lower elasticity of IMR with respect to health spending compared to U5MR could be explained by the genetic component of neonatal deaths, which account for a large proportion of IMR.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45"/>
      <w:gridCol w:w="3245"/>
      <w:gridCol w:w="3245"/>
    </w:tblGrid>
    <w:tr w:rsidR="00920E7D" w14:paraId="1741D1FF" w14:textId="77777777" w:rsidTr="631E03D9">
      <w:tc>
        <w:tcPr>
          <w:tcW w:w="3245" w:type="dxa"/>
        </w:tcPr>
        <w:p w14:paraId="5853ADBF" w14:textId="243116D6" w:rsidR="00920E7D" w:rsidRDefault="00920E7D" w:rsidP="631E03D9">
          <w:pPr>
            <w:pStyle w:val="Header"/>
            <w:ind w:left="-115"/>
            <w:jc w:val="left"/>
            <w:rPr>
              <w:rFonts w:eastAsia="Calibri" w:cs="Arial"/>
              <w:szCs w:val="24"/>
            </w:rPr>
          </w:pPr>
        </w:p>
      </w:tc>
      <w:tc>
        <w:tcPr>
          <w:tcW w:w="3245" w:type="dxa"/>
        </w:tcPr>
        <w:p w14:paraId="14FE6561" w14:textId="0091DF29" w:rsidR="00920E7D" w:rsidRDefault="00920E7D" w:rsidP="631E03D9">
          <w:pPr>
            <w:pStyle w:val="Header"/>
            <w:jc w:val="center"/>
            <w:rPr>
              <w:rFonts w:eastAsia="Calibri" w:cs="Arial"/>
              <w:szCs w:val="24"/>
            </w:rPr>
          </w:pPr>
        </w:p>
      </w:tc>
      <w:tc>
        <w:tcPr>
          <w:tcW w:w="3245" w:type="dxa"/>
        </w:tcPr>
        <w:p w14:paraId="436A0407" w14:textId="5538578E" w:rsidR="00920E7D" w:rsidRDefault="00920E7D" w:rsidP="631E03D9">
          <w:pPr>
            <w:pStyle w:val="Header"/>
            <w:ind w:right="-115"/>
            <w:jc w:val="right"/>
            <w:rPr>
              <w:rFonts w:eastAsia="Calibri" w:cs="Arial"/>
              <w:szCs w:val="24"/>
            </w:rPr>
          </w:pPr>
        </w:p>
      </w:tc>
    </w:tr>
  </w:tbl>
  <w:p w14:paraId="41E8663D" w14:textId="03ED1991" w:rsidR="00920E7D" w:rsidRDefault="00920E7D" w:rsidP="631E03D9">
    <w:pPr>
      <w:pStyle w:val="Header"/>
      <w:rPr>
        <w:rFonts w:eastAsia="Calibri"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55AF6"/>
    <w:multiLevelType w:val="hybridMultilevel"/>
    <w:tmpl w:val="AA4CC55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E5BBE"/>
    <w:multiLevelType w:val="hybridMultilevel"/>
    <w:tmpl w:val="395038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81AC9"/>
    <w:multiLevelType w:val="hybridMultilevel"/>
    <w:tmpl w:val="C1FA35F4"/>
    <w:lvl w:ilvl="0" w:tplc="B8564DD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C2B21"/>
    <w:multiLevelType w:val="hybridMultilevel"/>
    <w:tmpl w:val="FFFFFFFF"/>
    <w:lvl w:ilvl="0" w:tplc="FFFFFFFF">
      <w:start w:val="1"/>
      <w:numFmt w:val="bullet"/>
      <w:lvlText w:val=""/>
      <w:lvlJc w:val="left"/>
      <w:pPr>
        <w:ind w:left="720" w:hanging="360"/>
      </w:pPr>
      <w:rPr>
        <w:rFonts w:ascii="Symbol" w:hAnsi="Symbol" w:hint="default"/>
      </w:rPr>
    </w:lvl>
    <w:lvl w:ilvl="1" w:tplc="F02C8122">
      <w:start w:val="1"/>
      <w:numFmt w:val="bullet"/>
      <w:lvlText w:val="o"/>
      <w:lvlJc w:val="left"/>
      <w:pPr>
        <w:ind w:left="1440" w:hanging="360"/>
      </w:pPr>
      <w:rPr>
        <w:rFonts w:ascii="Courier New" w:hAnsi="Courier New" w:hint="default"/>
      </w:rPr>
    </w:lvl>
    <w:lvl w:ilvl="2" w:tplc="82C4334E">
      <w:start w:val="1"/>
      <w:numFmt w:val="bullet"/>
      <w:lvlText w:val=""/>
      <w:lvlJc w:val="left"/>
      <w:pPr>
        <w:ind w:left="2160" w:hanging="360"/>
      </w:pPr>
      <w:rPr>
        <w:rFonts w:ascii="Wingdings" w:hAnsi="Wingdings" w:hint="default"/>
      </w:rPr>
    </w:lvl>
    <w:lvl w:ilvl="3" w:tplc="9E80358C">
      <w:start w:val="1"/>
      <w:numFmt w:val="bullet"/>
      <w:lvlText w:val=""/>
      <w:lvlJc w:val="left"/>
      <w:pPr>
        <w:ind w:left="2880" w:hanging="360"/>
      </w:pPr>
      <w:rPr>
        <w:rFonts w:ascii="Symbol" w:hAnsi="Symbol" w:hint="default"/>
      </w:rPr>
    </w:lvl>
    <w:lvl w:ilvl="4" w:tplc="A8266C1A">
      <w:start w:val="1"/>
      <w:numFmt w:val="bullet"/>
      <w:lvlText w:val="o"/>
      <w:lvlJc w:val="left"/>
      <w:pPr>
        <w:ind w:left="3600" w:hanging="360"/>
      </w:pPr>
      <w:rPr>
        <w:rFonts w:ascii="Courier New" w:hAnsi="Courier New" w:hint="default"/>
      </w:rPr>
    </w:lvl>
    <w:lvl w:ilvl="5" w:tplc="961AF44C">
      <w:start w:val="1"/>
      <w:numFmt w:val="bullet"/>
      <w:lvlText w:val=""/>
      <w:lvlJc w:val="left"/>
      <w:pPr>
        <w:ind w:left="4320" w:hanging="360"/>
      </w:pPr>
      <w:rPr>
        <w:rFonts w:ascii="Wingdings" w:hAnsi="Wingdings" w:hint="default"/>
      </w:rPr>
    </w:lvl>
    <w:lvl w:ilvl="6" w:tplc="C6041E36">
      <w:start w:val="1"/>
      <w:numFmt w:val="bullet"/>
      <w:lvlText w:val=""/>
      <w:lvlJc w:val="left"/>
      <w:pPr>
        <w:ind w:left="5040" w:hanging="360"/>
      </w:pPr>
      <w:rPr>
        <w:rFonts w:ascii="Symbol" w:hAnsi="Symbol" w:hint="default"/>
      </w:rPr>
    </w:lvl>
    <w:lvl w:ilvl="7" w:tplc="80501CB4">
      <w:start w:val="1"/>
      <w:numFmt w:val="bullet"/>
      <w:lvlText w:val="o"/>
      <w:lvlJc w:val="left"/>
      <w:pPr>
        <w:ind w:left="5760" w:hanging="360"/>
      </w:pPr>
      <w:rPr>
        <w:rFonts w:ascii="Courier New" w:hAnsi="Courier New" w:hint="default"/>
      </w:rPr>
    </w:lvl>
    <w:lvl w:ilvl="8" w:tplc="919EEA98">
      <w:start w:val="1"/>
      <w:numFmt w:val="bullet"/>
      <w:lvlText w:val=""/>
      <w:lvlJc w:val="left"/>
      <w:pPr>
        <w:ind w:left="6480" w:hanging="360"/>
      </w:pPr>
      <w:rPr>
        <w:rFonts w:ascii="Wingdings" w:hAnsi="Wingdings" w:hint="default"/>
      </w:rPr>
    </w:lvl>
  </w:abstractNum>
  <w:abstractNum w:abstractNumId="4" w15:restartNumberingAfterBreak="0">
    <w:nsid w:val="14D14E23"/>
    <w:multiLevelType w:val="hybridMultilevel"/>
    <w:tmpl w:val="A482C274"/>
    <w:lvl w:ilvl="0" w:tplc="71041B12">
      <w:start w:val="1"/>
      <w:numFmt w:val="bullet"/>
      <w:lvlText w:val=""/>
      <w:lvlJc w:val="left"/>
      <w:pPr>
        <w:ind w:left="720" w:hanging="360"/>
      </w:pPr>
    </w:lvl>
    <w:lvl w:ilvl="1" w:tplc="C3B47D8C">
      <w:start w:val="1"/>
      <w:numFmt w:val="lowerLetter"/>
      <w:lvlText w:val="%2."/>
      <w:lvlJc w:val="left"/>
      <w:pPr>
        <w:ind w:left="1440" w:hanging="360"/>
      </w:pPr>
    </w:lvl>
    <w:lvl w:ilvl="2" w:tplc="D354D3DE">
      <w:start w:val="1"/>
      <w:numFmt w:val="lowerRoman"/>
      <w:lvlText w:val="%3."/>
      <w:lvlJc w:val="right"/>
      <w:pPr>
        <w:ind w:left="2160" w:hanging="180"/>
      </w:pPr>
    </w:lvl>
    <w:lvl w:ilvl="3" w:tplc="6BB44CC6">
      <w:start w:val="1"/>
      <w:numFmt w:val="decimal"/>
      <w:lvlText w:val="%4."/>
      <w:lvlJc w:val="left"/>
      <w:pPr>
        <w:ind w:left="2880" w:hanging="360"/>
      </w:pPr>
    </w:lvl>
    <w:lvl w:ilvl="4" w:tplc="D952DEF0">
      <w:start w:val="1"/>
      <w:numFmt w:val="lowerLetter"/>
      <w:lvlText w:val="%5."/>
      <w:lvlJc w:val="left"/>
      <w:pPr>
        <w:ind w:left="3600" w:hanging="360"/>
      </w:pPr>
    </w:lvl>
    <w:lvl w:ilvl="5" w:tplc="335825DE">
      <w:start w:val="1"/>
      <w:numFmt w:val="lowerRoman"/>
      <w:lvlText w:val="%6."/>
      <w:lvlJc w:val="right"/>
      <w:pPr>
        <w:ind w:left="4320" w:hanging="180"/>
      </w:pPr>
    </w:lvl>
    <w:lvl w:ilvl="6" w:tplc="23386E86">
      <w:start w:val="1"/>
      <w:numFmt w:val="decimal"/>
      <w:lvlText w:val="%7."/>
      <w:lvlJc w:val="left"/>
      <w:pPr>
        <w:ind w:left="5040" w:hanging="360"/>
      </w:pPr>
    </w:lvl>
    <w:lvl w:ilvl="7" w:tplc="8ECA80FA">
      <w:start w:val="1"/>
      <w:numFmt w:val="lowerLetter"/>
      <w:lvlText w:val="%8."/>
      <w:lvlJc w:val="left"/>
      <w:pPr>
        <w:ind w:left="5760" w:hanging="360"/>
      </w:pPr>
    </w:lvl>
    <w:lvl w:ilvl="8" w:tplc="9996917A">
      <w:start w:val="1"/>
      <w:numFmt w:val="lowerRoman"/>
      <w:lvlText w:val="%9."/>
      <w:lvlJc w:val="right"/>
      <w:pPr>
        <w:ind w:left="6480" w:hanging="180"/>
      </w:pPr>
    </w:lvl>
  </w:abstractNum>
  <w:abstractNum w:abstractNumId="5" w15:restartNumberingAfterBreak="0">
    <w:nsid w:val="20B86872"/>
    <w:multiLevelType w:val="hybridMultilevel"/>
    <w:tmpl w:val="DE260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956A26"/>
    <w:multiLevelType w:val="hybridMultilevel"/>
    <w:tmpl w:val="209204B4"/>
    <w:lvl w:ilvl="0" w:tplc="A8F8DFB8">
      <w:start w:val="1"/>
      <w:numFmt w:val="bullet"/>
      <w:lvlText w:val=""/>
      <w:lvlJc w:val="left"/>
      <w:pPr>
        <w:ind w:left="720" w:hanging="360"/>
      </w:pPr>
      <w:rPr>
        <w:rFonts w:ascii="Symbol" w:hAnsi="Symbol" w:hint="default"/>
      </w:rPr>
    </w:lvl>
    <w:lvl w:ilvl="1" w:tplc="358817D0">
      <w:start w:val="1"/>
      <w:numFmt w:val="bullet"/>
      <w:lvlText w:val="o"/>
      <w:lvlJc w:val="left"/>
      <w:pPr>
        <w:ind w:left="1440" w:hanging="360"/>
      </w:pPr>
      <w:rPr>
        <w:rFonts w:ascii="Courier New" w:hAnsi="Courier New" w:hint="default"/>
      </w:rPr>
    </w:lvl>
    <w:lvl w:ilvl="2" w:tplc="C548D884">
      <w:start w:val="1"/>
      <w:numFmt w:val="bullet"/>
      <w:lvlText w:val=""/>
      <w:lvlJc w:val="left"/>
      <w:pPr>
        <w:ind w:left="2160" w:hanging="360"/>
      </w:pPr>
      <w:rPr>
        <w:rFonts w:ascii="Wingdings" w:hAnsi="Wingdings" w:hint="default"/>
      </w:rPr>
    </w:lvl>
    <w:lvl w:ilvl="3" w:tplc="CB5C02D8">
      <w:start w:val="1"/>
      <w:numFmt w:val="bullet"/>
      <w:lvlText w:val=""/>
      <w:lvlJc w:val="left"/>
      <w:pPr>
        <w:ind w:left="2880" w:hanging="360"/>
      </w:pPr>
      <w:rPr>
        <w:rFonts w:ascii="Symbol" w:hAnsi="Symbol" w:hint="default"/>
      </w:rPr>
    </w:lvl>
    <w:lvl w:ilvl="4" w:tplc="796CBF94">
      <w:start w:val="1"/>
      <w:numFmt w:val="bullet"/>
      <w:lvlText w:val="o"/>
      <w:lvlJc w:val="left"/>
      <w:pPr>
        <w:ind w:left="3600" w:hanging="360"/>
      </w:pPr>
      <w:rPr>
        <w:rFonts w:ascii="Courier New" w:hAnsi="Courier New" w:hint="default"/>
      </w:rPr>
    </w:lvl>
    <w:lvl w:ilvl="5" w:tplc="306E3DA6">
      <w:start w:val="1"/>
      <w:numFmt w:val="bullet"/>
      <w:lvlText w:val=""/>
      <w:lvlJc w:val="left"/>
      <w:pPr>
        <w:ind w:left="4320" w:hanging="360"/>
      </w:pPr>
      <w:rPr>
        <w:rFonts w:ascii="Wingdings" w:hAnsi="Wingdings" w:hint="default"/>
      </w:rPr>
    </w:lvl>
    <w:lvl w:ilvl="6" w:tplc="934C2F9A">
      <w:start w:val="1"/>
      <w:numFmt w:val="bullet"/>
      <w:lvlText w:val=""/>
      <w:lvlJc w:val="left"/>
      <w:pPr>
        <w:ind w:left="5040" w:hanging="360"/>
      </w:pPr>
      <w:rPr>
        <w:rFonts w:ascii="Symbol" w:hAnsi="Symbol" w:hint="default"/>
      </w:rPr>
    </w:lvl>
    <w:lvl w:ilvl="7" w:tplc="759E9EE4">
      <w:start w:val="1"/>
      <w:numFmt w:val="bullet"/>
      <w:lvlText w:val="o"/>
      <w:lvlJc w:val="left"/>
      <w:pPr>
        <w:ind w:left="5760" w:hanging="360"/>
      </w:pPr>
      <w:rPr>
        <w:rFonts w:ascii="Courier New" w:hAnsi="Courier New" w:hint="default"/>
      </w:rPr>
    </w:lvl>
    <w:lvl w:ilvl="8" w:tplc="2A344FB2">
      <w:start w:val="1"/>
      <w:numFmt w:val="bullet"/>
      <w:lvlText w:val=""/>
      <w:lvlJc w:val="left"/>
      <w:pPr>
        <w:ind w:left="6480" w:hanging="360"/>
      </w:pPr>
      <w:rPr>
        <w:rFonts w:ascii="Wingdings" w:hAnsi="Wingdings" w:hint="default"/>
      </w:rPr>
    </w:lvl>
  </w:abstractNum>
  <w:abstractNum w:abstractNumId="7" w15:restartNumberingAfterBreak="0">
    <w:nsid w:val="2B9E03A9"/>
    <w:multiLevelType w:val="hybridMultilevel"/>
    <w:tmpl w:val="D6668E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2F0060"/>
    <w:multiLevelType w:val="hybridMultilevel"/>
    <w:tmpl w:val="FCC6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954EF"/>
    <w:multiLevelType w:val="hybridMultilevel"/>
    <w:tmpl w:val="D4F2C0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3613088"/>
    <w:multiLevelType w:val="hybridMultilevel"/>
    <w:tmpl w:val="FFFFFFFF"/>
    <w:lvl w:ilvl="0" w:tplc="24B830AC">
      <w:start w:val="1"/>
      <w:numFmt w:val="bullet"/>
      <w:lvlText w:val=""/>
      <w:lvlJc w:val="left"/>
      <w:pPr>
        <w:ind w:left="720" w:hanging="360"/>
      </w:pPr>
      <w:rPr>
        <w:rFonts w:ascii="Symbol" w:hAnsi="Symbol" w:hint="default"/>
      </w:rPr>
    </w:lvl>
    <w:lvl w:ilvl="1" w:tplc="949CCB96">
      <w:start w:val="1"/>
      <w:numFmt w:val="bullet"/>
      <w:lvlText w:val="o"/>
      <w:lvlJc w:val="left"/>
      <w:pPr>
        <w:ind w:left="1440" w:hanging="360"/>
      </w:pPr>
      <w:rPr>
        <w:rFonts w:ascii="Courier New" w:hAnsi="Courier New" w:hint="default"/>
      </w:rPr>
    </w:lvl>
    <w:lvl w:ilvl="2" w:tplc="F02A18CA">
      <w:start w:val="1"/>
      <w:numFmt w:val="bullet"/>
      <w:lvlText w:val=""/>
      <w:lvlJc w:val="left"/>
      <w:pPr>
        <w:ind w:left="2160" w:hanging="360"/>
      </w:pPr>
      <w:rPr>
        <w:rFonts w:ascii="Wingdings" w:hAnsi="Wingdings" w:hint="default"/>
      </w:rPr>
    </w:lvl>
    <w:lvl w:ilvl="3" w:tplc="434E6808">
      <w:start w:val="1"/>
      <w:numFmt w:val="bullet"/>
      <w:lvlText w:val=""/>
      <w:lvlJc w:val="left"/>
      <w:pPr>
        <w:ind w:left="2880" w:hanging="360"/>
      </w:pPr>
      <w:rPr>
        <w:rFonts w:ascii="Symbol" w:hAnsi="Symbol" w:hint="default"/>
      </w:rPr>
    </w:lvl>
    <w:lvl w:ilvl="4" w:tplc="6BA05F38">
      <w:start w:val="1"/>
      <w:numFmt w:val="bullet"/>
      <w:lvlText w:val="o"/>
      <w:lvlJc w:val="left"/>
      <w:pPr>
        <w:ind w:left="3600" w:hanging="360"/>
      </w:pPr>
      <w:rPr>
        <w:rFonts w:ascii="Courier New" w:hAnsi="Courier New" w:hint="default"/>
      </w:rPr>
    </w:lvl>
    <w:lvl w:ilvl="5" w:tplc="50E2535C">
      <w:start w:val="1"/>
      <w:numFmt w:val="bullet"/>
      <w:lvlText w:val=""/>
      <w:lvlJc w:val="left"/>
      <w:pPr>
        <w:ind w:left="4320" w:hanging="360"/>
      </w:pPr>
      <w:rPr>
        <w:rFonts w:ascii="Wingdings" w:hAnsi="Wingdings" w:hint="default"/>
      </w:rPr>
    </w:lvl>
    <w:lvl w:ilvl="6" w:tplc="414AFF4E">
      <w:start w:val="1"/>
      <w:numFmt w:val="bullet"/>
      <w:lvlText w:val=""/>
      <w:lvlJc w:val="left"/>
      <w:pPr>
        <w:ind w:left="5040" w:hanging="360"/>
      </w:pPr>
      <w:rPr>
        <w:rFonts w:ascii="Symbol" w:hAnsi="Symbol" w:hint="default"/>
      </w:rPr>
    </w:lvl>
    <w:lvl w:ilvl="7" w:tplc="F2C86F34">
      <w:start w:val="1"/>
      <w:numFmt w:val="bullet"/>
      <w:lvlText w:val="o"/>
      <w:lvlJc w:val="left"/>
      <w:pPr>
        <w:ind w:left="5760" w:hanging="360"/>
      </w:pPr>
      <w:rPr>
        <w:rFonts w:ascii="Courier New" w:hAnsi="Courier New" w:hint="default"/>
      </w:rPr>
    </w:lvl>
    <w:lvl w:ilvl="8" w:tplc="81D6806A">
      <w:start w:val="1"/>
      <w:numFmt w:val="bullet"/>
      <w:lvlText w:val=""/>
      <w:lvlJc w:val="left"/>
      <w:pPr>
        <w:ind w:left="6480" w:hanging="360"/>
      </w:pPr>
      <w:rPr>
        <w:rFonts w:ascii="Wingdings" w:hAnsi="Wingdings" w:hint="default"/>
      </w:rPr>
    </w:lvl>
  </w:abstractNum>
  <w:abstractNum w:abstractNumId="11" w15:restartNumberingAfterBreak="0">
    <w:nsid w:val="46626240"/>
    <w:multiLevelType w:val="hybridMultilevel"/>
    <w:tmpl w:val="395038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D02FAF"/>
    <w:multiLevelType w:val="multilevel"/>
    <w:tmpl w:val="1248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210E0D"/>
    <w:multiLevelType w:val="multilevel"/>
    <w:tmpl w:val="94E24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7A5A72"/>
    <w:multiLevelType w:val="hybridMultilevel"/>
    <w:tmpl w:val="FFFFFFFF"/>
    <w:lvl w:ilvl="0" w:tplc="3342BCF4">
      <w:start w:val="1"/>
      <w:numFmt w:val="bullet"/>
      <w:lvlText w:val=""/>
      <w:lvlJc w:val="left"/>
      <w:pPr>
        <w:ind w:left="720" w:hanging="360"/>
      </w:pPr>
      <w:rPr>
        <w:rFonts w:ascii="Symbol" w:hAnsi="Symbol" w:hint="default"/>
      </w:rPr>
    </w:lvl>
    <w:lvl w:ilvl="1" w:tplc="54526692">
      <w:start w:val="1"/>
      <w:numFmt w:val="bullet"/>
      <w:lvlText w:val="o"/>
      <w:lvlJc w:val="left"/>
      <w:pPr>
        <w:ind w:left="1440" w:hanging="360"/>
      </w:pPr>
      <w:rPr>
        <w:rFonts w:ascii="Courier New" w:hAnsi="Courier New" w:hint="default"/>
      </w:rPr>
    </w:lvl>
    <w:lvl w:ilvl="2" w:tplc="4C84E168">
      <w:start w:val="1"/>
      <w:numFmt w:val="bullet"/>
      <w:lvlText w:val=""/>
      <w:lvlJc w:val="left"/>
      <w:pPr>
        <w:ind w:left="2160" w:hanging="360"/>
      </w:pPr>
      <w:rPr>
        <w:rFonts w:ascii="Wingdings" w:hAnsi="Wingdings" w:hint="default"/>
      </w:rPr>
    </w:lvl>
    <w:lvl w:ilvl="3" w:tplc="180E4A74">
      <w:start w:val="1"/>
      <w:numFmt w:val="bullet"/>
      <w:lvlText w:val=""/>
      <w:lvlJc w:val="left"/>
      <w:pPr>
        <w:ind w:left="2880" w:hanging="360"/>
      </w:pPr>
      <w:rPr>
        <w:rFonts w:ascii="Symbol" w:hAnsi="Symbol" w:hint="default"/>
      </w:rPr>
    </w:lvl>
    <w:lvl w:ilvl="4" w:tplc="D1508688">
      <w:start w:val="1"/>
      <w:numFmt w:val="bullet"/>
      <w:lvlText w:val="o"/>
      <w:lvlJc w:val="left"/>
      <w:pPr>
        <w:ind w:left="3600" w:hanging="360"/>
      </w:pPr>
      <w:rPr>
        <w:rFonts w:ascii="Courier New" w:hAnsi="Courier New" w:hint="default"/>
      </w:rPr>
    </w:lvl>
    <w:lvl w:ilvl="5" w:tplc="A2E23E6C">
      <w:start w:val="1"/>
      <w:numFmt w:val="bullet"/>
      <w:lvlText w:val=""/>
      <w:lvlJc w:val="left"/>
      <w:pPr>
        <w:ind w:left="4320" w:hanging="360"/>
      </w:pPr>
      <w:rPr>
        <w:rFonts w:ascii="Wingdings" w:hAnsi="Wingdings" w:hint="default"/>
      </w:rPr>
    </w:lvl>
    <w:lvl w:ilvl="6" w:tplc="1862F084">
      <w:start w:val="1"/>
      <w:numFmt w:val="bullet"/>
      <w:lvlText w:val=""/>
      <w:lvlJc w:val="left"/>
      <w:pPr>
        <w:ind w:left="5040" w:hanging="360"/>
      </w:pPr>
      <w:rPr>
        <w:rFonts w:ascii="Symbol" w:hAnsi="Symbol" w:hint="default"/>
      </w:rPr>
    </w:lvl>
    <w:lvl w:ilvl="7" w:tplc="90B4AD02">
      <w:start w:val="1"/>
      <w:numFmt w:val="bullet"/>
      <w:lvlText w:val="o"/>
      <w:lvlJc w:val="left"/>
      <w:pPr>
        <w:ind w:left="5760" w:hanging="360"/>
      </w:pPr>
      <w:rPr>
        <w:rFonts w:ascii="Courier New" w:hAnsi="Courier New" w:hint="default"/>
      </w:rPr>
    </w:lvl>
    <w:lvl w:ilvl="8" w:tplc="9AD0A400">
      <w:start w:val="1"/>
      <w:numFmt w:val="bullet"/>
      <w:lvlText w:val=""/>
      <w:lvlJc w:val="left"/>
      <w:pPr>
        <w:ind w:left="6480" w:hanging="360"/>
      </w:pPr>
      <w:rPr>
        <w:rFonts w:ascii="Wingdings" w:hAnsi="Wingdings" w:hint="default"/>
      </w:rPr>
    </w:lvl>
  </w:abstractNum>
  <w:abstractNum w:abstractNumId="15" w15:restartNumberingAfterBreak="0">
    <w:nsid w:val="629F2CE6"/>
    <w:multiLevelType w:val="hybridMultilevel"/>
    <w:tmpl w:val="FFFFFFFF"/>
    <w:lvl w:ilvl="0" w:tplc="FFFFFFFF">
      <w:start w:val="1"/>
      <w:numFmt w:val="bullet"/>
      <w:lvlText w:val=""/>
      <w:lvlJc w:val="left"/>
      <w:pPr>
        <w:ind w:left="720" w:hanging="360"/>
      </w:pPr>
      <w:rPr>
        <w:rFonts w:ascii="Symbol" w:hAnsi="Symbol" w:hint="default"/>
      </w:rPr>
    </w:lvl>
    <w:lvl w:ilvl="1" w:tplc="F642D2E2">
      <w:start w:val="1"/>
      <w:numFmt w:val="lowerLetter"/>
      <w:lvlText w:val="%2."/>
      <w:lvlJc w:val="left"/>
      <w:pPr>
        <w:ind w:left="1440" w:hanging="360"/>
      </w:pPr>
    </w:lvl>
    <w:lvl w:ilvl="2" w:tplc="E36C6C00">
      <w:start w:val="1"/>
      <w:numFmt w:val="lowerRoman"/>
      <w:lvlText w:val="%3."/>
      <w:lvlJc w:val="right"/>
      <w:pPr>
        <w:ind w:left="2160" w:hanging="180"/>
      </w:pPr>
    </w:lvl>
    <w:lvl w:ilvl="3" w:tplc="A87C07DE">
      <w:start w:val="1"/>
      <w:numFmt w:val="decimal"/>
      <w:lvlText w:val="%4."/>
      <w:lvlJc w:val="left"/>
      <w:pPr>
        <w:ind w:left="2880" w:hanging="360"/>
      </w:pPr>
    </w:lvl>
    <w:lvl w:ilvl="4" w:tplc="1ABCE786">
      <w:start w:val="1"/>
      <w:numFmt w:val="lowerLetter"/>
      <w:lvlText w:val="%5."/>
      <w:lvlJc w:val="left"/>
      <w:pPr>
        <w:ind w:left="3600" w:hanging="360"/>
      </w:pPr>
    </w:lvl>
    <w:lvl w:ilvl="5" w:tplc="A1E2D010">
      <w:start w:val="1"/>
      <w:numFmt w:val="lowerRoman"/>
      <w:lvlText w:val="%6."/>
      <w:lvlJc w:val="right"/>
      <w:pPr>
        <w:ind w:left="4320" w:hanging="180"/>
      </w:pPr>
    </w:lvl>
    <w:lvl w:ilvl="6" w:tplc="A6CC622C">
      <w:start w:val="1"/>
      <w:numFmt w:val="decimal"/>
      <w:lvlText w:val="%7."/>
      <w:lvlJc w:val="left"/>
      <w:pPr>
        <w:ind w:left="5040" w:hanging="360"/>
      </w:pPr>
    </w:lvl>
    <w:lvl w:ilvl="7" w:tplc="A9304320">
      <w:start w:val="1"/>
      <w:numFmt w:val="lowerLetter"/>
      <w:lvlText w:val="%8."/>
      <w:lvlJc w:val="left"/>
      <w:pPr>
        <w:ind w:left="5760" w:hanging="360"/>
      </w:pPr>
    </w:lvl>
    <w:lvl w:ilvl="8" w:tplc="AD3419A2">
      <w:start w:val="1"/>
      <w:numFmt w:val="lowerRoman"/>
      <w:lvlText w:val="%9."/>
      <w:lvlJc w:val="right"/>
      <w:pPr>
        <w:ind w:left="6480" w:hanging="180"/>
      </w:pPr>
    </w:lvl>
  </w:abstractNum>
  <w:abstractNum w:abstractNumId="16" w15:restartNumberingAfterBreak="0">
    <w:nsid w:val="638B247C"/>
    <w:multiLevelType w:val="hybridMultilevel"/>
    <w:tmpl w:val="DBC82EF8"/>
    <w:lvl w:ilvl="0" w:tplc="59E4E1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B636BF"/>
    <w:multiLevelType w:val="hybridMultilevel"/>
    <w:tmpl w:val="FFFFFFFF"/>
    <w:lvl w:ilvl="0" w:tplc="04C66008">
      <w:start w:val="1"/>
      <w:numFmt w:val="bullet"/>
      <w:lvlText w:val=""/>
      <w:lvlJc w:val="left"/>
      <w:pPr>
        <w:ind w:left="720" w:hanging="360"/>
      </w:pPr>
      <w:rPr>
        <w:rFonts w:ascii="Symbol" w:hAnsi="Symbol" w:hint="default"/>
      </w:rPr>
    </w:lvl>
    <w:lvl w:ilvl="1" w:tplc="7CBA4BE4">
      <w:start w:val="1"/>
      <w:numFmt w:val="bullet"/>
      <w:lvlText w:val="o"/>
      <w:lvlJc w:val="left"/>
      <w:pPr>
        <w:ind w:left="1440" w:hanging="360"/>
      </w:pPr>
      <w:rPr>
        <w:rFonts w:ascii="Courier New" w:hAnsi="Courier New" w:hint="default"/>
      </w:rPr>
    </w:lvl>
    <w:lvl w:ilvl="2" w:tplc="F93861F4">
      <w:start w:val="1"/>
      <w:numFmt w:val="bullet"/>
      <w:lvlText w:val=""/>
      <w:lvlJc w:val="left"/>
      <w:pPr>
        <w:ind w:left="2160" w:hanging="360"/>
      </w:pPr>
      <w:rPr>
        <w:rFonts w:ascii="Wingdings" w:hAnsi="Wingdings" w:hint="default"/>
      </w:rPr>
    </w:lvl>
    <w:lvl w:ilvl="3" w:tplc="3BD832B6">
      <w:start w:val="1"/>
      <w:numFmt w:val="bullet"/>
      <w:lvlText w:val=""/>
      <w:lvlJc w:val="left"/>
      <w:pPr>
        <w:ind w:left="2880" w:hanging="360"/>
      </w:pPr>
      <w:rPr>
        <w:rFonts w:ascii="Symbol" w:hAnsi="Symbol" w:hint="default"/>
      </w:rPr>
    </w:lvl>
    <w:lvl w:ilvl="4" w:tplc="00BED8FC">
      <w:start w:val="1"/>
      <w:numFmt w:val="bullet"/>
      <w:lvlText w:val="o"/>
      <w:lvlJc w:val="left"/>
      <w:pPr>
        <w:ind w:left="3600" w:hanging="360"/>
      </w:pPr>
      <w:rPr>
        <w:rFonts w:ascii="Courier New" w:hAnsi="Courier New" w:hint="default"/>
      </w:rPr>
    </w:lvl>
    <w:lvl w:ilvl="5" w:tplc="D668CA30">
      <w:start w:val="1"/>
      <w:numFmt w:val="bullet"/>
      <w:lvlText w:val=""/>
      <w:lvlJc w:val="left"/>
      <w:pPr>
        <w:ind w:left="4320" w:hanging="360"/>
      </w:pPr>
      <w:rPr>
        <w:rFonts w:ascii="Wingdings" w:hAnsi="Wingdings" w:hint="default"/>
      </w:rPr>
    </w:lvl>
    <w:lvl w:ilvl="6" w:tplc="414C96BA">
      <w:start w:val="1"/>
      <w:numFmt w:val="bullet"/>
      <w:lvlText w:val=""/>
      <w:lvlJc w:val="left"/>
      <w:pPr>
        <w:ind w:left="5040" w:hanging="360"/>
      </w:pPr>
      <w:rPr>
        <w:rFonts w:ascii="Symbol" w:hAnsi="Symbol" w:hint="default"/>
      </w:rPr>
    </w:lvl>
    <w:lvl w:ilvl="7" w:tplc="ED7AF62C">
      <w:start w:val="1"/>
      <w:numFmt w:val="bullet"/>
      <w:lvlText w:val="o"/>
      <w:lvlJc w:val="left"/>
      <w:pPr>
        <w:ind w:left="5760" w:hanging="360"/>
      </w:pPr>
      <w:rPr>
        <w:rFonts w:ascii="Courier New" w:hAnsi="Courier New" w:hint="default"/>
      </w:rPr>
    </w:lvl>
    <w:lvl w:ilvl="8" w:tplc="98A6A880">
      <w:start w:val="1"/>
      <w:numFmt w:val="bullet"/>
      <w:lvlText w:val=""/>
      <w:lvlJc w:val="left"/>
      <w:pPr>
        <w:ind w:left="6480" w:hanging="360"/>
      </w:pPr>
      <w:rPr>
        <w:rFonts w:ascii="Wingdings" w:hAnsi="Wingdings" w:hint="default"/>
      </w:rPr>
    </w:lvl>
  </w:abstractNum>
  <w:abstractNum w:abstractNumId="18" w15:restartNumberingAfterBreak="0">
    <w:nsid w:val="6F991145"/>
    <w:multiLevelType w:val="hybridMultilevel"/>
    <w:tmpl w:val="497C9A6E"/>
    <w:lvl w:ilvl="0" w:tplc="049E5B84">
      <w:start w:val="1"/>
      <w:numFmt w:val="bullet"/>
      <w:lvlText w:val=""/>
      <w:lvlJc w:val="left"/>
      <w:pPr>
        <w:ind w:left="720" w:hanging="360"/>
      </w:pPr>
      <w:rPr>
        <w:rFonts w:ascii="Symbol" w:hAnsi="Symbol" w:hint="default"/>
      </w:rPr>
    </w:lvl>
    <w:lvl w:ilvl="1" w:tplc="2F4CEA88">
      <w:start w:val="1"/>
      <w:numFmt w:val="bullet"/>
      <w:lvlText w:val="o"/>
      <w:lvlJc w:val="left"/>
      <w:pPr>
        <w:ind w:left="1440" w:hanging="360"/>
      </w:pPr>
      <w:rPr>
        <w:rFonts w:ascii="Courier New" w:hAnsi="Courier New" w:hint="default"/>
      </w:rPr>
    </w:lvl>
    <w:lvl w:ilvl="2" w:tplc="0E762F36">
      <w:start w:val="1"/>
      <w:numFmt w:val="bullet"/>
      <w:lvlText w:val=""/>
      <w:lvlJc w:val="left"/>
      <w:pPr>
        <w:ind w:left="2160" w:hanging="360"/>
      </w:pPr>
      <w:rPr>
        <w:rFonts w:ascii="Wingdings" w:hAnsi="Wingdings" w:hint="default"/>
      </w:rPr>
    </w:lvl>
    <w:lvl w:ilvl="3" w:tplc="806C3F02">
      <w:start w:val="1"/>
      <w:numFmt w:val="bullet"/>
      <w:lvlText w:val=""/>
      <w:lvlJc w:val="left"/>
      <w:pPr>
        <w:ind w:left="2880" w:hanging="360"/>
      </w:pPr>
      <w:rPr>
        <w:rFonts w:ascii="Symbol" w:hAnsi="Symbol" w:hint="default"/>
      </w:rPr>
    </w:lvl>
    <w:lvl w:ilvl="4" w:tplc="BCA2371A">
      <w:start w:val="1"/>
      <w:numFmt w:val="bullet"/>
      <w:lvlText w:val="o"/>
      <w:lvlJc w:val="left"/>
      <w:pPr>
        <w:ind w:left="3600" w:hanging="360"/>
      </w:pPr>
      <w:rPr>
        <w:rFonts w:ascii="Courier New" w:hAnsi="Courier New" w:hint="default"/>
      </w:rPr>
    </w:lvl>
    <w:lvl w:ilvl="5" w:tplc="616CD1EE">
      <w:start w:val="1"/>
      <w:numFmt w:val="bullet"/>
      <w:lvlText w:val=""/>
      <w:lvlJc w:val="left"/>
      <w:pPr>
        <w:ind w:left="4320" w:hanging="360"/>
      </w:pPr>
      <w:rPr>
        <w:rFonts w:ascii="Wingdings" w:hAnsi="Wingdings" w:hint="default"/>
      </w:rPr>
    </w:lvl>
    <w:lvl w:ilvl="6" w:tplc="52202170">
      <w:start w:val="1"/>
      <w:numFmt w:val="bullet"/>
      <w:lvlText w:val=""/>
      <w:lvlJc w:val="left"/>
      <w:pPr>
        <w:ind w:left="5040" w:hanging="360"/>
      </w:pPr>
      <w:rPr>
        <w:rFonts w:ascii="Symbol" w:hAnsi="Symbol" w:hint="default"/>
      </w:rPr>
    </w:lvl>
    <w:lvl w:ilvl="7" w:tplc="3E9EC6B2">
      <w:start w:val="1"/>
      <w:numFmt w:val="bullet"/>
      <w:lvlText w:val="o"/>
      <w:lvlJc w:val="left"/>
      <w:pPr>
        <w:ind w:left="5760" w:hanging="360"/>
      </w:pPr>
      <w:rPr>
        <w:rFonts w:ascii="Courier New" w:hAnsi="Courier New" w:hint="default"/>
      </w:rPr>
    </w:lvl>
    <w:lvl w:ilvl="8" w:tplc="1BC0E02A">
      <w:start w:val="1"/>
      <w:numFmt w:val="bullet"/>
      <w:lvlText w:val=""/>
      <w:lvlJc w:val="left"/>
      <w:pPr>
        <w:ind w:left="6480" w:hanging="360"/>
      </w:pPr>
      <w:rPr>
        <w:rFonts w:ascii="Wingdings" w:hAnsi="Wingdings" w:hint="default"/>
      </w:rPr>
    </w:lvl>
  </w:abstractNum>
  <w:abstractNum w:abstractNumId="19" w15:restartNumberingAfterBreak="0">
    <w:nsid w:val="747C15B1"/>
    <w:multiLevelType w:val="hybridMultilevel"/>
    <w:tmpl w:val="A0881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3F546A"/>
    <w:multiLevelType w:val="hybridMultilevel"/>
    <w:tmpl w:val="3AF4FCC0"/>
    <w:lvl w:ilvl="0" w:tplc="03B0ED72">
      <w:start w:val="1"/>
      <w:numFmt w:val="bullet"/>
      <w:lvlText w:val=""/>
      <w:lvlJc w:val="left"/>
      <w:pPr>
        <w:ind w:left="720" w:hanging="360"/>
      </w:pPr>
      <w:rPr>
        <w:rFonts w:ascii="Symbol" w:hAnsi="Symbol" w:hint="default"/>
      </w:rPr>
    </w:lvl>
    <w:lvl w:ilvl="1" w:tplc="E40C40FC">
      <w:start w:val="1"/>
      <w:numFmt w:val="bullet"/>
      <w:lvlText w:val="o"/>
      <w:lvlJc w:val="left"/>
      <w:pPr>
        <w:ind w:left="1440" w:hanging="360"/>
      </w:pPr>
      <w:rPr>
        <w:rFonts w:ascii="Courier New" w:hAnsi="Courier New" w:hint="default"/>
      </w:rPr>
    </w:lvl>
    <w:lvl w:ilvl="2" w:tplc="62A00364">
      <w:start w:val="1"/>
      <w:numFmt w:val="bullet"/>
      <w:lvlText w:val=""/>
      <w:lvlJc w:val="left"/>
      <w:pPr>
        <w:ind w:left="2160" w:hanging="360"/>
      </w:pPr>
      <w:rPr>
        <w:rFonts w:ascii="Wingdings" w:hAnsi="Wingdings" w:hint="default"/>
      </w:rPr>
    </w:lvl>
    <w:lvl w:ilvl="3" w:tplc="94B8D4C6">
      <w:start w:val="1"/>
      <w:numFmt w:val="bullet"/>
      <w:lvlText w:val=""/>
      <w:lvlJc w:val="left"/>
      <w:pPr>
        <w:ind w:left="2880" w:hanging="360"/>
      </w:pPr>
      <w:rPr>
        <w:rFonts w:ascii="Symbol" w:hAnsi="Symbol" w:hint="default"/>
      </w:rPr>
    </w:lvl>
    <w:lvl w:ilvl="4" w:tplc="726E4B82">
      <w:start w:val="1"/>
      <w:numFmt w:val="bullet"/>
      <w:lvlText w:val="o"/>
      <w:lvlJc w:val="left"/>
      <w:pPr>
        <w:ind w:left="3600" w:hanging="360"/>
      </w:pPr>
      <w:rPr>
        <w:rFonts w:ascii="Courier New" w:hAnsi="Courier New" w:hint="default"/>
      </w:rPr>
    </w:lvl>
    <w:lvl w:ilvl="5" w:tplc="0802ACD8">
      <w:start w:val="1"/>
      <w:numFmt w:val="bullet"/>
      <w:lvlText w:val=""/>
      <w:lvlJc w:val="left"/>
      <w:pPr>
        <w:ind w:left="4320" w:hanging="360"/>
      </w:pPr>
      <w:rPr>
        <w:rFonts w:ascii="Wingdings" w:hAnsi="Wingdings" w:hint="default"/>
      </w:rPr>
    </w:lvl>
    <w:lvl w:ilvl="6" w:tplc="5E205E06">
      <w:start w:val="1"/>
      <w:numFmt w:val="bullet"/>
      <w:lvlText w:val=""/>
      <w:lvlJc w:val="left"/>
      <w:pPr>
        <w:ind w:left="5040" w:hanging="360"/>
      </w:pPr>
      <w:rPr>
        <w:rFonts w:ascii="Symbol" w:hAnsi="Symbol" w:hint="default"/>
      </w:rPr>
    </w:lvl>
    <w:lvl w:ilvl="7" w:tplc="6D4EDD9A">
      <w:start w:val="1"/>
      <w:numFmt w:val="bullet"/>
      <w:lvlText w:val="o"/>
      <w:lvlJc w:val="left"/>
      <w:pPr>
        <w:ind w:left="5760" w:hanging="360"/>
      </w:pPr>
      <w:rPr>
        <w:rFonts w:ascii="Courier New" w:hAnsi="Courier New" w:hint="default"/>
      </w:rPr>
    </w:lvl>
    <w:lvl w:ilvl="8" w:tplc="F7CACA28">
      <w:start w:val="1"/>
      <w:numFmt w:val="bullet"/>
      <w:lvlText w:val=""/>
      <w:lvlJc w:val="left"/>
      <w:pPr>
        <w:ind w:left="6480" w:hanging="360"/>
      </w:pPr>
      <w:rPr>
        <w:rFonts w:ascii="Wingdings" w:hAnsi="Wingdings" w:hint="default"/>
      </w:rPr>
    </w:lvl>
  </w:abstractNum>
  <w:abstractNum w:abstractNumId="21" w15:restartNumberingAfterBreak="0">
    <w:nsid w:val="799B7AF5"/>
    <w:multiLevelType w:val="hybridMultilevel"/>
    <w:tmpl w:val="B21E983A"/>
    <w:lvl w:ilvl="0" w:tplc="5C2EEC6E">
      <w:start w:val="1"/>
      <w:numFmt w:val="bullet"/>
      <w:lvlText w:val=""/>
      <w:lvlJc w:val="left"/>
      <w:pPr>
        <w:ind w:left="720" w:hanging="360"/>
      </w:pPr>
      <w:rPr>
        <w:rFonts w:ascii="Symbol" w:hAnsi="Symbol" w:hint="default"/>
      </w:rPr>
    </w:lvl>
    <w:lvl w:ilvl="1" w:tplc="ECFADAF8">
      <w:start w:val="1"/>
      <w:numFmt w:val="bullet"/>
      <w:lvlText w:val="o"/>
      <w:lvlJc w:val="left"/>
      <w:pPr>
        <w:ind w:left="1440" w:hanging="360"/>
      </w:pPr>
      <w:rPr>
        <w:rFonts w:ascii="Courier New" w:hAnsi="Courier New" w:hint="default"/>
      </w:rPr>
    </w:lvl>
    <w:lvl w:ilvl="2" w:tplc="0F1E3922">
      <w:start w:val="1"/>
      <w:numFmt w:val="bullet"/>
      <w:lvlText w:val=""/>
      <w:lvlJc w:val="left"/>
      <w:pPr>
        <w:ind w:left="2160" w:hanging="360"/>
      </w:pPr>
      <w:rPr>
        <w:rFonts w:ascii="Wingdings" w:hAnsi="Wingdings" w:hint="default"/>
      </w:rPr>
    </w:lvl>
    <w:lvl w:ilvl="3" w:tplc="2E9C9C1C">
      <w:start w:val="1"/>
      <w:numFmt w:val="bullet"/>
      <w:lvlText w:val=""/>
      <w:lvlJc w:val="left"/>
      <w:pPr>
        <w:ind w:left="2880" w:hanging="360"/>
      </w:pPr>
      <w:rPr>
        <w:rFonts w:ascii="Symbol" w:hAnsi="Symbol" w:hint="default"/>
      </w:rPr>
    </w:lvl>
    <w:lvl w:ilvl="4" w:tplc="8B907EE0">
      <w:start w:val="1"/>
      <w:numFmt w:val="bullet"/>
      <w:lvlText w:val="o"/>
      <w:lvlJc w:val="left"/>
      <w:pPr>
        <w:ind w:left="3600" w:hanging="360"/>
      </w:pPr>
      <w:rPr>
        <w:rFonts w:ascii="Courier New" w:hAnsi="Courier New" w:hint="default"/>
      </w:rPr>
    </w:lvl>
    <w:lvl w:ilvl="5" w:tplc="DEFE75EE">
      <w:start w:val="1"/>
      <w:numFmt w:val="bullet"/>
      <w:lvlText w:val=""/>
      <w:lvlJc w:val="left"/>
      <w:pPr>
        <w:ind w:left="4320" w:hanging="360"/>
      </w:pPr>
      <w:rPr>
        <w:rFonts w:ascii="Wingdings" w:hAnsi="Wingdings" w:hint="default"/>
      </w:rPr>
    </w:lvl>
    <w:lvl w:ilvl="6" w:tplc="B6960FE0">
      <w:start w:val="1"/>
      <w:numFmt w:val="bullet"/>
      <w:lvlText w:val=""/>
      <w:lvlJc w:val="left"/>
      <w:pPr>
        <w:ind w:left="5040" w:hanging="360"/>
      </w:pPr>
      <w:rPr>
        <w:rFonts w:ascii="Symbol" w:hAnsi="Symbol" w:hint="default"/>
      </w:rPr>
    </w:lvl>
    <w:lvl w:ilvl="7" w:tplc="58307E6C">
      <w:start w:val="1"/>
      <w:numFmt w:val="bullet"/>
      <w:lvlText w:val="o"/>
      <w:lvlJc w:val="left"/>
      <w:pPr>
        <w:ind w:left="5760" w:hanging="360"/>
      </w:pPr>
      <w:rPr>
        <w:rFonts w:ascii="Courier New" w:hAnsi="Courier New" w:hint="default"/>
      </w:rPr>
    </w:lvl>
    <w:lvl w:ilvl="8" w:tplc="74D20A08">
      <w:start w:val="1"/>
      <w:numFmt w:val="bullet"/>
      <w:lvlText w:val=""/>
      <w:lvlJc w:val="left"/>
      <w:pPr>
        <w:ind w:left="6480" w:hanging="360"/>
      </w:pPr>
      <w:rPr>
        <w:rFonts w:ascii="Wingdings" w:hAnsi="Wingdings" w:hint="default"/>
      </w:rPr>
    </w:lvl>
  </w:abstractNum>
  <w:abstractNum w:abstractNumId="22" w15:restartNumberingAfterBreak="0">
    <w:nsid w:val="79ED4E2D"/>
    <w:multiLevelType w:val="hybridMultilevel"/>
    <w:tmpl w:val="097418C8"/>
    <w:lvl w:ilvl="0" w:tplc="3488A2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6"/>
  </w:num>
  <w:num w:numId="3">
    <w:abstractNumId w:val="20"/>
  </w:num>
  <w:num w:numId="4">
    <w:abstractNumId w:val="21"/>
  </w:num>
  <w:num w:numId="5">
    <w:abstractNumId w:val="4"/>
  </w:num>
  <w:num w:numId="6">
    <w:abstractNumId w:val="5"/>
  </w:num>
  <w:num w:numId="7">
    <w:abstractNumId w:val="1"/>
  </w:num>
  <w:num w:numId="8">
    <w:abstractNumId w:val="11"/>
  </w:num>
  <w:num w:numId="9">
    <w:abstractNumId w:val="22"/>
  </w:num>
  <w:num w:numId="10">
    <w:abstractNumId w:val="12"/>
  </w:num>
  <w:num w:numId="11">
    <w:abstractNumId w:val="13"/>
  </w:num>
  <w:num w:numId="12">
    <w:abstractNumId w:val="7"/>
  </w:num>
  <w:num w:numId="13">
    <w:abstractNumId w:val="9"/>
  </w:num>
  <w:num w:numId="14">
    <w:abstractNumId w:val="8"/>
  </w:num>
  <w:num w:numId="15">
    <w:abstractNumId w:val="2"/>
  </w:num>
  <w:num w:numId="16">
    <w:abstractNumId w:val="16"/>
  </w:num>
  <w:num w:numId="17">
    <w:abstractNumId w:val="19"/>
  </w:num>
  <w:num w:numId="18">
    <w:abstractNumId w:val="0"/>
  </w:num>
  <w:num w:numId="19">
    <w:abstractNumId w:val="14"/>
  </w:num>
  <w:num w:numId="20">
    <w:abstractNumId w:val="3"/>
  </w:num>
  <w:num w:numId="21">
    <w:abstractNumId w:val="10"/>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removePersonalInformation/>
  <w:activeWritingStyle w:appName="MSWord" w:lang="fr-LU" w:vendorID="64" w:dllVersion="4096" w:nlCheck="1" w:checkStyle="0"/>
  <w:activeWritingStyle w:appName="MSWord" w:lang="en-GB" w:vendorID="64" w:dllVersion="6" w:nlCheck="1" w:checkStyle="0"/>
  <w:activeWritingStyle w:appName="MSWord" w:lang="en-US" w:vendorID="64" w:dllVersion="6" w:nlCheck="1" w:checkStyle="0"/>
  <w:activeWritingStyle w:appName="MSWord" w:lang="fr-LU" w:vendorID="64" w:dllVersion="6" w:nlCheck="1" w:checkStyle="0"/>
  <w:activeWritingStyle w:appName="MSWord" w:lang="en-GB" w:vendorID="64" w:dllVersion="0" w:nlCheck="1" w:checkStyle="0"/>
  <w:proofState w:spelling="clean"/>
  <w:trackRevisions/>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AD4"/>
    <w:rsid w:val="00000D69"/>
    <w:rsid w:val="000016B7"/>
    <w:rsid w:val="00001A65"/>
    <w:rsid w:val="00001BB3"/>
    <w:rsid w:val="00002B6D"/>
    <w:rsid w:val="00002E78"/>
    <w:rsid w:val="000037B4"/>
    <w:rsid w:val="00003998"/>
    <w:rsid w:val="00003AC1"/>
    <w:rsid w:val="00003D42"/>
    <w:rsid w:val="00004143"/>
    <w:rsid w:val="000045E1"/>
    <w:rsid w:val="00004681"/>
    <w:rsid w:val="00005147"/>
    <w:rsid w:val="00005DFD"/>
    <w:rsid w:val="0000621E"/>
    <w:rsid w:val="000062E7"/>
    <w:rsid w:val="000071A5"/>
    <w:rsid w:val="00010DCB"/>
    <w:rsid w:val="000126E6"/>
    <w:rsid w:val="00012C9E"/>
    <w:rsid w:val="00012FBC"/>
    <w:rsid w:val="000142D8"/>
    <w:rsid w:val="00017063"/>
    <w:rsid w:val="000207B2"/>
    <w:rsid w:val="00020875"/>
    <w:rsid w:val="00020BA6"/>
    <w:rsid w:val="000244EA"/>
    <w:rsid w:val="00026F68"/>
    <w:rsid w:val="000274AF"/>
    <w:rsid w:val="0002753B"/>
    <w:rsid w:val="000279B8"/>
    <w:rsid w:val="0002C0CA"/>
    <w:rsid w:val="000306A4"/>
    <w:rsid w:val="00030720"/>
    <w:rsid w:val="00031289"/>
    <w:rsid w:val="0003244D"/>
    <w:rsid w:val="000326B1"/>
    <w:rsid w:val="00032FD6"/>
    <w:rsid w:val="00033857"/>
    <w:rsid w:val="00034758"/>
    <w:rsid w:val="00035EDD"/>
    <w:rsid w:val="000364E6"/>
    <w:rsid w:val="00040757"/>
    <w:rsid w:val="00041182"/>
    <w:rsid w:val="0004291E"/>
    <w:rsid w:val="00042A3B"/>
    <w:rsid w:val="00042DEA"/>
    <w:rsid w:val="0004338A"/>
    <w:rsid w:val="00045092"/>
    <w:rsid w:val="00046233"/>
    <w:rsid w:val="00046552"/>
    <w:rsid w:val="00046D11"/>
    <w:rsid w:val="00046F7D"/>
    <w:rsid w:val="000473C9"/>
    <w:rsid w:val="00051A7D"/>
    <w:rsid w:val="00052FB6"/>
    <w:rsid w:val="00052FC8"/>
    <w:rsid w:val="0005366F"/>
    <w:rsid w:val="00054896"/>
    <w:rsid w:val="000549D4"/>
    <w:rsid w:val="00055238"/>
    <w:rsid w:val="00055CC1"/>
    <w:rsid w:val="000568BB"/>
    <w:rsid w:val="0005BE23"/>
    <w:rsid w:val="00061AF2"/>
    <w:rsid w:val="00061CC6"/>
    <w:rsid w:val="00061ED7"/>
    <w:rsid w:val="00062ED1"/>
    <w:rsid w:val="000631F1"/>
    <w:rsid w:val="000635C0"/>
    <w:rsid w:val="000639AC"/>
    <w:rsid w:val="000651A0"/>
    <w:rsid w:val="000655FF"/>
    <w:rsid w:val="0006644D"/>
    <w:rsid w:val="000677A9"/>
    <w:rsid w:val="0007000A"/>
    <w:rsid w:val="00070338"/>
    <w:rsid w:val="00073608"/>
    <w:rsid w:val="0007514E"/>
    <w:rsid w:val="00076C0F"/>
    <w:rsid w:val="00076D6E"/>
    <w:rsid w:val="00080135"/>
    <w:rsid w:val="00082718"/>
    <w:rsid w:val="000844D0"/>
    <w:rsid w:val="00085D0B"/>
    <w:rsid w:val="00085EB6"/>
    <w:rsid w:val="0008653A"/>
    <w:rsid w:val="00087AD3"/>
    <w:rsid w:val="0009202A"/>
    <w:rsid w:val="00092B4F"/>
    <w:rsid w:val="00093017"/>
    <w:rsid w:val="00093D28"/>
    <w:rsid w:val="0009466A"/>
    <w:rsid w:val="00094A7E"/>
    <w:rsid w:val="00094CD9"/>
    <w:rsid w:val="00094F8E"/>
    <w:rsid w:val="000956C3"/>
    <w:rsid w:val="00095868"/>
    <w:rsid w:val="00095BCB"/>
    <w:rsid w:val="0009600D"/>
    <w:rsid w:val="00097BC1"/>
    <w:rsid w:val="00098800"/>
    <w:rsid w:val="000A1218"/>
    <w:rsid w:val="000A310A"/>
    <w:rsid w:val="000A3629"/>
    <w:rsid w:val="000A4863"/>
    <w:rsid w:val="000A57A0"/>
    <w:rsid w:val="000A5F8F"/>
    <w:rsid w:val="000A64A2"/>
    <w:rsid w:val="000A69EC"/>
    <w:rsid w:val="000A705F"/>
    <w:rsid w:val="000A7B96"/>
    <w:rsid w:val="000AACD7"/>
    <w:rsid w:val="000B0998"/>
    <w:rsid w:val="000B0A48"/>
    <w:rsid w:val="000B3D8E"/>
    <w:rsid w:val="000B3FD3"/>
    <w:rsid w:val="000B4862"/>
    <w:rsid w:val="000B6442"/>
    <w:rsid w:val="000B6896"/>
    <w:rsid w:val="000C1901"/>
    <w:rsid w:val="000C33A9"/>
    <w:rsid w:val="000C41D7"/>
    <w:rsid w:val="000C4A71"/>
    <w:rsid w:val="000C5DED"/>
    <w:rsid w:val="000D0D3B"/>
    <w:rsid w:val="000D18E8"/>
    <w:rsid w:val="000D1A04"/>
    <w:rsid w:val="000D1BA4"/>
    <w:rsid w:val="000D46E7"/>
    <w:rsid w:val="000D4BCA"/>
    <w:rsid w:val="000D51F4"/>
    <w:rsid w:val="000D6B71"/>
    <w:rsid w:val="000D7D13"/>
    <w:rsid w:val="000E022B"/>
    <w:rsid w:val="000E0BF2"/>
    <w:rsid w:val="000E15F7"/>
    <w:rsid w:val="000E16D2"/>
    <w:rsid w:val="000E1C57"/>
    <w:rsid w:val="000E2123"/>
    <w:rsid w:val="000F0037"/>
    <w:rsid w:val="000F0E90"/>
    <w:rsid w:val="000F0F2D"/>
    <w:rsid w:val="000F1760"/>
    <w:rsid w:val="000F1984"/>
    <w:rsid w:val="000F3364"/>
    <w:rsid w:val="000F6399"/>
    <w:rsid w:val="000F685A"/>
    <w:rsid w:val="000F7E9E"/>
    <w:rsid w:val="00101082"/>
    <w:rsid w:val="00102507"/>
    <w:rsid w:val="00102BF4"/>
    <w:rsid w:val="001039F2"/>
    <w:rsid w:val="00104131"/>
    <w:rsid w:val="0010513A"/>
    <w:rsid w:val="001057D5"/>
    <w:rsid w:val="00105989"/>
    <w:rsid w:val="001076AB"/>
    <w:rsid w:val="00107805"/>
    <w:rsid w:val="00107D33"/>
    <w:rsid w:val="00110869"/>
    <w:rsid w:val="00111252"/>
    <w:rsid w:val="00111D90"/>
    <w:rsid w:val="00111EF7"/>
    <w:rsid w:val="00112868"/>
    <w:rsid w:val="00112BDC"/>
    <w:rsid w:val="0011786B"/>
    <w:rsid w:val="00122087"/>
    <w:rsid w:val="001222FA"/>
    <w:rsid w:val="0012239A"/>
    <w:rsid w:val="00122F22"/>
    <w:rsid w:val="00123A7F"/>
    <w:rsid w:val="001242DA"/>
    <w:rsid w:val="001242DF"/>
    <w:rsid w:val="00124FA6"/>
    <w:rsid w:val="001256C3"/>
    <w:rsid w:val="00125AFB"/>
    <w:rsid w:val="001264FC"/>
    <w:rsid w:val="00127709"/>
    <w:rsid w:val="001305CD"/>
    <w:rsid w:val="0013084D"/>
    <w:rsid w:val="0013099C"/>
    <w:rsid w:val="00131C42"/>
    <w:rsid w:val="00133F84"/>
    <w:rsid w:val="00134380"/>
    <w:rsid w:val="00134E3E"/>
    <w:rsid w:val="00135B56"/>
    <w:rsid w:val="00136314"/>
    <w:rsid w:val="00136ADB"/>
    <w:rsid w:val="00137520"/>
    <w:rsid w:val="00137658"/>
    <w:rsid w:val="00137798"/>
    <w:rsid w:val="001417F7"/>
    <w:rsid w:val="001422BE"/>
    <w:rsid w:val="00143F8D"/>
    <w:rsid w:val="001451FA"/>
    <w:rsid w:val="00145B51"/>
    <w:rsid w:val="00145E9B"/>
    <w:rsid w:val="0014693C"/>
    <w:rsid w:val="001470E6"/>
    <w:rsid w:val="00150184"/>
    <w:rsid w:val="00151D3B"/>
    <w:rsid w:val="00151E39"/>
    <w:rsid w:val="001521EB"/>
    <w:rsid w:val="001524DF"/>
    <w:rsid w:val="001525D0"/>
    <w:rsid w:val="00153A7E"/>
    <w:rsid w:val="00154328"/>
    <w:rsid w:val="00155FDB"/>
    <w:rsid w:val="001568C7"/>
    <w:rsid w:val="00156FFD"/>
    <w:rsid w:val="00157242"/>
    <w:rsid w:val="00157668"/>
    <w:rsid w:val="00160946"/>
    <w:rsid w:val="00161201"/>
    <w:rsid w:val="00163D7D"/>
    <w:rsid w:val="00164575"/>
    <w:rsid w:val="0016458F"/>
    <w:rsid w:val="00164CD1"/>
    <w:rsid w:val="00165A43"/>
    <w:rsid w:val="00165DB9"/>
    <w:rsid w:val="00167DFA"/>
    <w:rsid w:val="0016C844"/>
    <w:rsid w:val="0017094D"/>
    <w:rsid w:val="00171174"/>
    <w:rsid w:val="00172604"/>
    <w:rsid w:val="00173B39"/>
    <w:rsid w:val="001743D0"/>
    <w:rsid w:val="00174821"/>
    <w:rsid w:val="00174DB4"/>
    <w:rsid w:val="00177E56"/>
    <w:rsid w:val="001804D8"/>
    <w:rsid w:val="00181195"/>
    <w:rsid w:val="00181532"/>
    <w:rsid w:val="00181FDC"/>
    <w:rsid w:val="001826A0"/>
    <w:rsid w:val="0018295A"/>
    <w:rsid w:val="00183603"/>
    <w:rsid w:val="0018530B"/>
    <w:rsid w:val="00185AA0"/>
    <w:rsid w:val="00186F25"/>
    <w:rsid w:val="00187D79"/>
    <w:rsid w:val="001903FE"/>
    <w:rsid w:val="00190DF5"/>
    <w:rsid w:val="001911FF"/>
    <w:rsid w:val="001912F4"/>
    <w:rsid w:val="00191472"/>
    <w:rsid w:val="0019175B"/>
    <w:rsid w:val="00191CB8"/>
    <w:rsid w:val="00192092"/>
    <w:rsid w:val="00192A63"/>
    <w:rsid w:val="00192DDC"/>
    <w:rsid w:val="00193133"/>
    <w:rsid w:val="00193848"/>
    <w:rsid w:val="00194E10"/>
    <w:rsid w:val="0019537B"/>
    <w:rsid w:val="00196E54"/>
    <w:rsid w:val="00197CA6"/>
    <w:rsid w:val="00197D08"/>
    <w:rsid w:val="001A030C"/>
    <w:rsid w:val="001A1C0C"/>
    <w:rsid w:val="001A28EF"/>
    <w:rsid w:val="001A3C02"/>
    <w:rsid w:val="001A6734"/>
    <w:rsid w:val="001B087A"/>
    <w:rsid w:val="001B08DC"/>
    <w:rsid w:val="001B0D9C"/>
    <w:rsid w:val="001B14D1"/>
    <w:rsid w:val="001B1535"/>
    <w:rsid w:val="001B1A8A"/>
    <w:rsid w:val="001B3708"/>
    <w:rsid w:val="001B44CC"/>
    <w:rsid w:val="001B6294"/>
    <w:rsid w:val="001B687D"/>
    <w:rsid w:val="001C0D2D"/>
    <w:rsid w:val="001C1363"/>
    <w:rsid w:val="001C3095"/>
    <w:rsid w:val="001C43D0"/>
    <w:rsid w:val="001C493B"/>
    <w:rsid w:val="001C530B"/>
    <w:rsid w:val="001C7818"/>
    <w:rsid w:val="001D00AA"/>
    <w:rsid w:val="001D1B27"/>
    <w:rsid w:val="001D2233"/>
    <w:rsid w:val="001D397D"/>
    <w:rsid w:val="001D5A45"/>
    <w:rsid w:val="001D7734"/>
    <w:rsid w:val="001D7C5B"/>
    <w:rsid w:val="001E0E5B"/>
    <w:rsid w:val="001E0F7A"/>
    <w:rsid w:val="001E1327"/>
    <w:rsid w:val="001E15B0"/>
    <w:rsid w:val="001E1817"/>
    <w:rsid w:val="001E2C47"/>
    <w:rsid w:val="001E477F"/>
    <w:rsid w:val="001E5822"/>
    <w:rsid w:val="001E61BC"/>
    <w:rsid w:val="001E6E34"/>
    <w:rsid w:val="001E6E7F"/>
    <w:rsid w:val="001E74EA"/>
    <w:rsid w:val="001E7A23"/>
    <w:rsid w:val="001F14FA"/>
    <w:rsid w:val="001F2349"/>
    <w:rsid w:val="001F2671"/>
    <w:rsid w:val="001F3D60"/>
    <w:rsid w:val="001F453F"/>
    <w:rsid w:val="001F4569"/>
    <w:rsid w:val="001F4E3E"/>
    <w:rsid w:val="002003EB"/>
    <w:rsid w:val="002004EB"/>
    <w:rsid w:val="002020B8"/>
    <w:rsid w:val="00202F79"/>
    <w:rsid w:val="0020326A"/>
    <w:rsid w:val="0020344B"/>
    <w:rsid w:val="002044D8"/>
    <w:rsid w:val="00204B25"/>
    <w:rsid w:val="002052DA"/>
    <w:rsid w:val="002055FD"/>
    <w:rsid w:val="00205AB5"/>
    <w:rsid w:val="00205EFC"/>
    <w:rsid w:val="00206909"/>
    <w:rsid w:val="00207832"/>
    <w:rsid w:val="002079A3"/>
    <w:rsid w:val="0021158D"/>
    <w:rsid w:val="00211E23"/>
    <w:rsid w:val="002126C0"/>
    <w:rsid w:val="00213A49"/>
    <w:rsid w:val="00214895"/>
    <w:rsid w:val="0021583A"/>
    <w:rsid w:val="00215ACD"/>
    <w:rsid w:val="00215FDB"/>
    <w:rsid w:val="00216A9B"/>
    <w:rsid w:val="00217744"/>
    <w:rsid w:val="00220387"/>
    <w:rsid w:val="002217E4"/>
    <w:rsid w:val="0022216A"/>
    <w:rsid w:val="002240FA"/>
    <w:rsid w:val="0022505B"/>
    <w:rsid w:val="0022552C"/>
    <w:rsid w:val="00225A71"/>
    <w:rsid w:val="002261BA"/>
    <w:rsid w:val="00226B6D"/>
    <w:rsid w:val="0023018B"/>
    <w:rsid w:val="002301F6"/>
    <w:rsid w:val="002302A9"/>
    <w:rsid w:val="00230314"/>
    <w:rsid w:val="00232380"/>
    <w:rsid w:val="002339C3"/>
    <w:rsid w:val="00233B3F"/>
    <w:rsid w:val="00233D1A"/>
    <w:rsid w:val="00236040"/>
    <w:rsid w:val="00236323"/>
    <w:rsid w:val="002366B5"/>
    <w:rsid w:val="00236D8D"/>
    <w:rsid w:val="002372D8"/>
    <w:rsid w:val="00237A33"/>
    <w:rsid w:val="0024296C"/>
    <w:rsid w:val="002435F2"/>
    <w:rsid w:val="00243D76"/>
    <w:rsid w:val="00244E2D"/>
    <w:rsid w:val="002455F9"/>
    <w:rsid w:val="00246167"/>
    <w:rsid w:val="00247921"/>
    <w:rsid w:val="00247970"/>
    <w:rsid w:val="00251502"/>
    <w:rsid w:val="002523BB"/>
    <w:rsid w:val="002543F7"/>
    <w:rsid w:val="00254E72"/>
    <w:rsid w:val="002556D7"/>
    <w:rsid w:val="00255714"/>
    <w:rsid w:val="00256EFE"/>
    <w:rsid w:val="002575B3"/>
    <w:rsid w:val="0025791E"/>
    <w:rsid w:val="00257A43"/>
    <w:rsid w:val="0025CE99"/>
    <w:rsid w:val="002629BE"/>
    <w:rsid w:val="00262DD8"/>
    <w:rsid w:val="00263776"/>
    <w:rsid w:val="00265863"/>
    <w:rsid w:val="00266C5B"/>
    <w:rsid w:val="00266DEA"/>
    <w:rsid w:val="00270529"/>
    <w:rsid w:val="0027256E"/>
    <w:rsid w:val="00272666"/>
    <w:rsid w:val="00275F7E"/>
    <w:rsid w:val="002761CA"/>
    <w:rsid w:val="002767B8"/>
    <w:rsid w:val="00277AD4"/>
    <w:rsid w:val="00280C07"/>
    <w:rsid w:val="00280FFA"/>
    <w:rsid w:val="00282A86"/>
    <w:rsid w:val="00282B6F"/>
    <w:rsid w:val="002844CB"/>
    <w:rsid w:val="00284546"/>
    <w:rsid w:val="00286CB4"/>
    <w:rsid w:val="00290A9F"/>
    <w:rsid w:val="00290F5C"/>
    <w:rsid w:val="002927D5"/>
    <w:rsid w:val="002930BA"/>
    <w:rsid w:val="002941D5"/>
    <w:rsid w:val="00294C92"/>
    <w:rsid w:val="002953B1"/>
    <w:rsid w:val="002957FF"/>
    <w:rsid w:val="00295813"/>
    <w:rsid w:val="00297528"/>
    <w:rsid w:val="002978B2"/>
    <w:rsid w:val="00297E4B"/>
    <w:rsid w:val="002A0557"/>
    <w:rsid w:val="002A0749"/>
    <w:rsid w:val="002A1856"/>
    <w:rsid w:val="002A3964"/>
    <w:rsid w:val="002A3C6D"/>
    <w:rsid w:val="002A4626"/>
    <w:rsid w:val="002A5230"/>
    <w:rsid w:val="002B0577"/>
    <w:rsid w:val="002B3B7E"/>
    <w:rsid w:val="002B40B5"/>
    <w:rsid w:val="002B43B3"/>
    <w:rsid w:val="002B4C5F"/>
    <w:rsid w:val="002B4C63"/>
    <w:rsid w:val="002B5770"/>
    <w:rsid w:val="002B6595"/>
    <w:rsid w:val="002B662E"/>
    <w:rsid w:val="002B7B6C"/>
    <w:rsid w:val="002C0302"/>
    <w:rsid w:val="002C0537"/>
    <w:rsid w:val="002C0DBE"/>
    <w:rsid w:val="002C0E22"/>
    <w:rsid w:val="002C1469"/>
    <w:rsid w:val="002C224A"/>
    <w:rsid w:val="002C2F4C"/>
    <w:rsid w:val="002C340B"/>
    <w:rsid w:val="002C543B"/>
    <w:rsid w:val="002C5653"/>
    <w:rsid w:val="002C609F"/>
    <w:rsid w:val="002C6AEA"/>
    <w:rsid w:val="002C724A"/>
    <w:rsid w:val="002D2907"/>
    <w:rsid w:val="002D6614"/>
    <w:rsid w:val="002E18E2"/>
    <w:rsid w:val="002E1DE3"/>
    <w:rsid w:val="002E2E38"/>
    <w:rsid w:val="002E3920"/>
    <w:rsid w:val="002E3BF7"/>
    <w:rsid w:val="002E7078"/>
    <w:rsid w:val="002E7537"/>
    <w:rsid w:val="002E7E87"/>
    <w:rsid w:val="002F00FA"/>
    <w:rsid w:val="002F17F9"/>
    <w:rsid w:val="002F307F"/>
    <w:rsid w:val="002F4FAC"/>
    <w:rsid w:val="002F5551"/>
    <w:rsid w:val="002F593F"/>
    <w:rsid w:val="002F67AB"/>
    <w:rsid w:val="002F6D8C"/>
    <w:rsid w:val="002F6EB7"/>
    <w:rsid w:val="003017E5"/>
    <w:rsid w:val="003023A4"/>
    <w:rsid w:val="003024AA"/>
    <w:rsid w:val="00302C5D"/>
    <w:rsid w:val="00302E19"/>
    <w:rsid w:val="003031B6"/>
    <w:rsid w:val="0030332C"/>
    <w:rsid w:val="00304897"/>
    <w:rsid w:val="003056D4"/>
    <w:rsid w:val="003059A8"/>
    <w:rsid w:val="00311015"/>
    <w:rsid w:val="00312008"/>
    <w:rsid w:val="00312145"/>
    <w:rsid w:val="00312762"/>
    <w:rsid w:val="00313783"/>
    <w:rsid w:val="003138CD"/>
    <w:rsid w:val="00314CFD"/>
    <w:rsid w:val="00315B81"/>
    <w:rsid w:val="0031677E"/>
    <w:rsid w:val="003171E2"/>
    <w:rsid w:val="003213DA"/>
    <w:rsid w:val="00321B22"/>
    <w:rsid w:val="00321C1B"/>
    <w:rsid w:val="00321E25"/>
    <w:rsid w:val="003226BF"/>
    <w:rsid w:val="0032292D"/>
    <w:rsid w:val="003243AC"/>
    <w:rsid w:val="00325E0F"/>
    <w:rsid w:val="00330EE9"/>
    <w:rsid w:val="0033205E"/>
    <w:rsid w:val="0033334D"/>
    <w:rsid w:val="003357BA"/>
    <w:rsid w:val="00336DCA"/>
    <w:rsid w:val="00337135"/>
    <w:rsid w:val="0033774A"/>
    <w:rsid w:val="00337772"/>
    <w:rsid w:val="0034137B"/>
    <w:rsid w:val="00341918"/>
    <w:rsid w:val="00342924"/>
    <w:rsid w:val="003432ED"/>
    <w:rsid w:val="00343984"/>
    <w:rsid w:val="00344AD9"/>
    <w:rsid w:val="0034683C"/>
    <w:rsid w:val="00346D97"/>
    <w:rsid w:val="003473E0"/>
    <w:rsid w:val="00350EE5"/>
    <w:rsid w:val="00351757"/>
    <w:rsid w:val="00352265"/>
    <w:rsid w:val="0035262E"/>
    <w:rsid w:val="00352852"/>
    <w:rsid w:val="00352B51"/>
    <w:rsid w:val="003533C2"/>
    <w:rsid w:val="00354E5E"/>
    <w:rsid w:val="00355174"/>
    <w:rsid w:val="003553AE"/>
    <w:rsid w:val="00356129"/>
    <w:rsid w:val="003569F3"/>
    <w:rsid w:val="0036341F"/>
    <w:rsid w:val="00365B57"/>
    <w:rsid w:val="003663F9"/>
    <w:rsid w:val="00367C6A"/>
    <w:rsid w:val="00370790"/>
    <w:rsid w:val="00370A23"/>
    <w:rsid w:val="00371753"/>
    <w:rsid w:val="0037427A"/>
    <w:rsid w:val="003752BE"/>
    <w:rsid w:val="00375B27"/>
    <w:rsid w:val="00377B78"/>
    <w:rsid w:val="00377D48"/>
    <w:rsid w:val="003804CE"/>
    <w:rsid w:val="00381F7C"/>
    <w:rsid w:val="003839CF"/>
    <w:rsid w:val="00384659"/>
    <w:rsid w:val="00385418"/>
    <w:rsid w:val="00385D99"/>
    <w:rsid w:val="003873C9"/>
    <w:rsid w:val="0038760D"/>
    <w:rsid w:val="00390980"/>
    <w:rsid w:val="00391364"/>
    <w:rsid w:val="00393197"/>
    <w:rsid w:val="003937BF"/>
    <w:rsid w:val="00393941"/>
    <w:rsid w:val="0039398D"/>
    <w:rsid w:val="003944E6"/>
    <w:rsid w:val="00394F68"/>
    <w:rsid w:val="00395003"/>
    <w:rsid w:val="003A0AFF"/>
    <w:rsid w:val="003A213E"/>
    <w:rsid w:val="003A2307"/>
    <w:rsid w:val="003A264D"/>
    <w:rsid w:val="003A281B"/>
    <w:rsid w:val="003A2A84"/>
    <w:rsid w:val="003A576E"/>
    <w:rsid w:val="003A6F6B"/>
    <w:rsid w:val="003A709F"/>
    <w:rsid w:val="003B13A3"/>
    <w:rsid w:val="003B21B9"/>
    <w:rsid w:val="003B2501"/>
    <w:rsid w:val="003B406A"/>
    <w:rsid w:val="003B77B1"/>
    <w:rsid w:val="003B7CF3"/>
    <w:rsid w:val="003C07BE"/>
    <w:rsid w:val="003C19EE"/>
    <w:rsid w:val="003C3DCD"/>
    <w:rsid w:val="003C41A5"/>
    <w:rsid w:val="003C447F"/>
    <w:rsid w:val="003C485B"/>
    <w:rsid w:val="003C4AEA"/>
    <w:rsid w:val="003C55E2"/>
    <w:rsid w:val="003C684B"/>
    <w:rsid w:val="003C7924"/>
    <w:rsid w:val="003C7DB7"/>
    <w:rsid w:val="003D06B8"/>
    <w:rsid w:val="003D2029"/>
    <w:rsid w:val="003D48DB"/>
    <w:rsid w:val="003D4E22"/>
    <w:rsid w:val="003D7032"/>
    <w:rsid w:val="003D7E8D"/>
    <w:rsid w:val="003E029D"/>
    <w:rsid w:val="003E0595"/>
    <w:rsid w:val="003E1A80"/>
    <w:rsid w:val="003E381A"/>
    <w:rsid w:val="003E3EEC"/>
    <w:rsid w:val="003E461D"/>
    <w:rsid w:val="003E6A03"/>
    <w:rsid w:val="003E6BEF"/>
    <w:rsid w:val="003E6DCC"/>
    <w:rsid w:val="003E6E37"/>
    <w:rsid w:val="003F0905"/>
    <w:rsid w:val="003F0D28"/>
    <w:rsid w:val="003F1103"/>
    <w:rsid w:val="003F1D03"/>
    <w:rsid w:val="003F2028"/>
    <w:rsid w:val="003F4804"/>
    <w:rsid w:val="003F62C6"/>
    <w:rsid w:val="003F634B"/>
    <w:rsid w:val="003F64C6"/>
    <w:rsid w:val="003F6CF1"/>
    <w:rsid w:val="004006E6"/>
    <w:rsid w:val="004006F5"/>
    <w:rsid w:val="004015EB"/>
    <w:rsid w:val="00403E52"/>
    <w:rsid w:val="00405CE9"/>
    <w:rsid w:val="004061EC"/>
    <w:rsid w:val="0040740C"/>
    <w:rsid w:val="0041072B"/>
    <w:rsid w:val="00412789"/>
    <w:rsid w:val="00413023"/>
    <w:rsid w:val="004131ED"/>
    <w:rsid w:val="00413518"/>
    <w:rsid w:val="0041373C"/>
    <w:rsid w:val="0041433C"/>
    <w:rsid w:val="00414674"/>
    <w:rsid w:val="00414857"/>
    <w:rsid w:val="004171E7"/>
    <w:rsid w:val="00417590"/>
    <w:rsid w:val="00420ED8"/>
    <w:rsid w:val="0042155D"/>
    <w:rsid w:val="00422A1C"/>
    <w:rsid w:val="004235BA"/>
    <w:rsid w:val="00425882"/>
    <w:rsid w:val="0042607D"/>
    <w:rsid w:val="0043011A"/>
    <w:rsid w:val="00430BC2"/>
    <w:rsid w:val="00430EAF"/>
    <w:rsid w:val="00430FFD"/>
    <w:rsid w:val="00433A24"/>
    <w:rsid w:val="00433E54"/>
    <w:rsid w:val="00434187"/>
    <w:rsid w:val="0043470C"/>
    <w:rsid w:val="0043478F"/>
    <w:rsid w:val="00440092"/>
    <w:rsid w:val="00440C38"/>
    <w:rsid w:val="0044263F"/>
    <w:rsid w:val="00443338"/>
    <w:rsid w:val="00443FD1"/>
    <w:rsid w:val="00444570"/>
    <w:rsid w:val="00445628"/>
    <w:rsid w:val="004459DD"/>
    <w:rsid w:val="00445A11"/>
    <w:rsid w:val="00446B58"/>
    <w:rsid w:val="0045014F"/>
    <w:rsid w:val="00451065"/>
    <w:rsid w:val="00452C5B"/>
    <w:rsid w:val="00452D4B"/>
    <w:rsid w:val="0045324A"/>
    <w:rsid w:val="00453524"/>
    <w:rsid w:val="00453875"/>
    <w:rsid w:val="0045437F"/>
    <w:rsid w:val="00454887"/>
    <w:rsid w:val="0045651D"/>
    <w:rsid w:val="00456629"/>
    <w:rsid w:val="00461021"/>
    <w:rsid w:val="00462188"/>
    <w:rsid w:val="00462283"/>
    <w:rsid w:val="0046394B"/>
    <w:rsid w:val="00463D0C"/>
    <w:rsid w:val="00463EBA"/>
    <w:rsid w:val="00466022"/>
    <w:rsid w:val="00466B44"/>
    <w:rsid w:val="004707AB"/>
    <w:rsid w:val="0047081A"/>
    <w:rsid w:val="00470B18"/>
    <w:rsid w:val="004724F7"/>
    <w:rsid w:val="004726FA"/>
    <w:rsid w:val="00473937"/>
    <w:rsid w:val="00473BF7"/>
    <w:rsid w:val="0047400A"/>
    <w:rsid w:val="0047450E"/>
    <w:rsid w:val="00474EE0"/>
    <w:rsid w:val="00474EF3"/>
    <w:rsid w:val="00480BDF"/>
    <w:rsid w:val="004818E6"/>
    <w:rsid w:val="0048390C"/>
    <w:rsid w:val="00484779"/>
    <w:rsid w:val="004849D6"/>
    <w:rsid w:val="004858AE"/>
    <w:rsid w:val="00486723"/>
    <w:rsid w:val="004869D6"/>
    <w:rsid w:val="0049218C"/>
    <w:rsid w:val="00493FA3"/>
    <w:rsid w:val="004943F9"/>
    <w:rsid w:val="00494FBF"/>
    <w:rsid w:val="004957A5"/>
    <w:rsid w:val="00495919"/>
    <w:rsid w:val="0049606C"/>
    <w:rsid w:val="00496246"/>
    <w:rsid w:val="00496B98"/>
    <w:rsid w:val="004A0425"/>
    <w:rsid w:val="004A0BAF"/>
    <w:rsid w:val="004A12BC"/>
    <w:rsid w:val="004A172D"/>
    <w:rsid w:val="004A2B7C"/>
    <w:rsid w:val="004A2CDD"/>
    <w:rsid w:val="004A492A"/>
    <w:rsid w:val="004A669F"/>
    <w:rsid w:val="004B091F"/>
    <w:rsid w:val="004B1C1A"/>
    <w:rsid w:val="004B2ADB"/>
    <w:rsid w:val="004B3A55"/>
    <w:rsid w:val="004B3C79"/>
    <w:rsid w:val="004B4149"/>
    <w:rsid w:val="004B501A"/>
    <w:rsid w:val="004B575C"/>
    <w:rsid w:val="004B5A7E"/>
    <w:rsid w:val="004B7269"/>
    <w:rsid w:val="004C02CE"/>
    <w:rsid w:val="004C07B6"/>
    <w:rsid w:val="004C0AA5"/>
    <w:rsid w:val="004C1048"/>
    <w:rsid w:val="004C2801"/>
    <w:rsid w:val="004C2F9F"/>
    <w:rsid w:val="004C329A"/>
    <w:rsid w:val="004C374D"/>
    <w:rsid w:val="004C5393"/>
    <w:rsid w:val="004C5401"/>
    <w:rsid w:val="004C6AF0"/>
    <w:rsid w:val="004C7238"/>
    <w:rsid w:val="004C79DF"/>
    <w:rsid w:val="004D027F"/>
    <w:rsid w:val="004D060C"/>
    <w:rsid w:val="004D1237"/>
    <w:rsid w:val="004D15E4"/>
    <w:rsid w:val="004D1632"/>
    <w:rsid w:val="004D189D"/>
    <w:rsid w:val="004D2D73"/>
    <w:rsid w:val="004D341A"/>
    <w:rsid w:val="004D3D70"/>
    <w:rsid w:val="004D3ECD"/>
    <w:rsid w:val="004D6FB6"/>
    <w:rsid w:val="004D739C"/>
    <w:rsid w:val="004D7B5A"/>
    <w:rsid w:val="004D7DB6"/>
    <w:rsid w:val="004D7EC4"/>
    <w:rsid w:val="004E203F"/>
    <w:rsid w:val="004E2C14"/>
    <w:rsid w:val="004E2EE7"/>
    <w:rsid w:val="004E30A4"/>
    <w:rsid w:val="004E65E5"/>
    <w:rsid w:val="004E6BF8"/>
    <w:rsid w:val="004E73D2"/>
    <w:rsid w:val="004F04BE"/>
    <w:rsid w:val="004F075D"/>
    <w:rsid w:val="004F0841"/>
    <w:rsid w:val="004F3CB5"/>
    <w:rsid w:val="004F402F"/>
    <w:rsid w:val="004F4A6B"/>
    <w:rsid w:val="004F4D9B"/>
    <w:rsid w:val="004F5742"/>
    <w:rsid w:val="004F5E3D"/>
    <w:rsid w:val="004F69E3"/>
    <w:rsid w:val="004F6DCD"/>
    <w:rsid w:val="004F70E8"/>
    <w:rsid w:val="004F7548"/>
    <w:rsid w:val="004F78DE"/>
    <w:rsid w:val="00500291"/>
    <w:rsid w:val="00500DC1"/>
    <w:rsid w:val="005015FA"/>
    <w:rsid w:val="005024B9"/>
    <w:rsid w:val="00502E86"/>
    <w:rsid w:val="0050407F"/>
    <w:rsid w:val="00505438"/>
    <w:rsid w:val="00505D29"/>
    <w:rsid w:val="00506255"/>
    <w:rsid w:val="005068F5"/>
    <w:rsid w:val="00506E0C"/>
    <w:rsid w:val="00507D91"/>
    <w:rsid w:val="00507E3C"/>
    <w:rsid w:val="00510105"/>
    <w:rsid w:val="0051125E"/>
    <w:rsid w:val="00511D81"/>
    <w:rsid w:val="005126D7"/>
    <w:rsid w:val="00512830"/>
    <w:rsid w:val="005133C2"/>
    <w:rsid w:val="005138EC"/>
    <w:rsid w:val="00515B0D"/>
    <w:rsid w:val="005167DE"/>
    <w:rsid w:val="0051734F"/>
    <w:rsid w:val="00517425"/>
    <w:rsid w:val="00517E16"/>
    <w:rsid w:val="00517F13"/>
    <w:rsid w:val="00523862"/>
    <w:rsid w:val="00523E5F"/>
    <w:rsid w:val="00523F24"/>
    <w:rsid w:val="00524B20"/>
    <w:rsid w:val="00524CA2"/>
    <w:rsid w:val="00530C9D"/>
    <w:rsid w:val="00531141"/>
    <w:rsid w:val="005337DE"/>
    <w:rsid w:val="00533829"/>
    <w:rsid w:val="005343A6"/>
    <w:rsid w:val="00534AFC"/>
    <w:rsid w:val="00535319"/>
    <w:rsid w:val="005353AC"/>
    <w:rsid w:val="0053546D"/>
    <w:rsid w:val="00536F4A"/>
    <w:rsid w:val="00536F53"/>
    <w:rsid w:val="00541826"/>
    <w:rsid w:val="00541E0C"/>
    <w:rsid w:val="0054215B"/>
    <w:rsid w:val="005425B1"/>
    <w:rsid w:val="00542F8A"/>
    <w:rsid w:val="00543832"/>
    <w:rsid w:val="005439BA"/>
    <w:rsid w:val="00543E2B"/>
    <w:rsid w:val="00545904"/>
    <w:rsid w:val="00552A0C"/>
    <w:rsid w:val="00552DB5"/>
    <w:rsid w:val="0055375A"/>
    <w:rsid w:val="00553ACB"/>
    <w:rsid w:val="00554429"/>
    <w:rsid w:val="005615EA"/>
    <w:rsid w:val="00561779"/>
    <w:rsid w:val="00563503"/>
    <w:rsid w:val="00563866"/>
    <w:rsid w:val="00563A56"/>
    <w:rsid w:val="00564289"/>
    <w:rsid w:val="00566479"/>
    <w:rsid w:val="00567470"/>
    <w:rsid w:val="00567884"/>
    <w:rsid w:val="00567A74"/>
    <w:rsid w:val="00567CB0"/>
    <w:rsid w:val="00570C77"/>
    <w:rsid w:val="005714E6"/>
    <w:rsid w:val="00571A7A"/>
    <w:rsid w:val="00571DD9"/>
    <w:rsid w:val="00571F98"/>
    <w:rsid w:val="00572191"/>
    <w:rsid w:val="005728F5"/>
    <w:rsid w:val="00572A29"/>
    <w:rsid w:val="00573DF1"/>
    <w:rsid w:val="005746F3"/>
    <w:rsid w:val="0057517A"/>
    <w:rsid w:val="005753D8"/>
    <w:rsid w:val="00575650"/>
    <w:rsid w:val="0057627F"/>
    <w:rsid w:val="00577239"/>
    <w:rsid w:val="005778FA"/>
    <w:rsid w:val="00580025"/>
    <w:rsid w:val="00580B41"/>
    <w:rsid w:val="00581B5D"/>
    <w:rsid w:val="0058278B"/>
    <w:rsid w:val="00582FE7"/>
    <w:rsid w:val="00584977"/>
    <w:rsid w:val="005855BE"/>
    <w:rsid w:val="00586E05"/>
    <w:rsid w:val="00587A45"/>
    <w:rsid w:val="00590FF5"/>
    <w:rsid w:val="00591074"/>
    <w:rsid w:val="005915A4"/>
    <w:rsid w:val="0059266B"/>
    <w:rsid w:val="00592A81"/>
    <w:rsid w:val="00592C34"/>
    <w:rsid w:val="00592D14"/>
    <w:rsid w:val="00592FBF"/>
    <w:rsid w:val="00593962"/>
    <w:rsid w:val="00595B2D"/>
    <w:rsid w:val="0059695E"/>
    <w:rsid w:val="00596C7E"/>
    <w:rsid w:val="00596F67"/>
    <w:rsid w:val="005A14D0"/>
    <w:rsid w:val="005A165C"/>
    <w:rsid w:val="005A1D6A"/>
    <w:rsid w:val="005A2AA7"/>
    <w:rsid w:val="005A2B60"/>
    <w:rsid w:val="005A4379"/>
    <w:rsid w:val="005A4BAF"/>
    <w:rsid w:val="005A69F6"/>
    <w:rsid w:val="005B0210"/>
    <w:rsid w:val="005B0D16"/>
    <w:rsid w:val="005B120B"/>
    <w:rsid w:val="005B1F4C"/>
    <w:rsid w:val="005B56DF"/>
    <w:rsid w:val="005B61F6"/>
    <w:rsid w:val="005B67AA"/>
    <w:rsid w:val="005B67D6"/>
    <w:rsid w:val="005B70AD"/>
    <w:rsid w:val="005B7607"/>
    <w:rsid w:val="005B787C"/>
    <w:rsid w:val="005B7C82"/>
    <w:rsid w:val="005C025B"/>
    <w:rsid w:val="005C0E99"/>
    <w:rsid w:val="005C2D10"/>
    <w:rsid w:val="005C49FF"/>
    <w:rsid w:val="005C4EF0"/>
    <w:rsid w:val="005D1569"/>
    <w:rsid w:val="005D164D"/>
    <w:rsid w:val="005D2180"/>
    <w:rsid w:val="005D27DB"/>
    <w:rsid w:val="005D38FC"/>
    <w:rsid w:val="005D3CEC"/>
    <w:rsid w:val="005D55FB"/>
    <w:rsid w:val="005D5CDF"/>
    <w:rsid w:val="005D780A"/>
    <w:rsid w:val="005D7A43"/>
    <w:rsid w:val="005E1840"/>
    <w:rsid w:val="005E1BF7"/>
    <w:rsid w:val="005E31C6"/>
    <w:rsid w:val="005E516E"/>
    <w:rsid w:val="005E6284"/>
    <w:rsid w:val="005E6973"/>
    <w:rsid w:val="005E7A8C"/>
    <w:rsid w:val="005EAA1D"/>
    <w:rsid w:val="005EE5FC"/>
    <w:rsid w:val="005F1818"/>
    <w:rsid w:val="005F2B7E"/>
    <w:rsid w:val="005F3203"/>
    <w:rsid w:val="005F3DA4"/>
    <w:rsid w:val="005F5995"/>
    <w:rsid w:val="005F5C7C"/>
    <w:rsid w:val="005F6787"/>
    <w:rsid w:val="005F6A72"/>
    <w:rsid w:val="005F6E40"/>
    <w:rsid w:val="005F719B"/>
    <w:rsid w:val="005F7CC3"/>
    <w:rsid w:val="00600668"/>
    <w:rsid w:val="006007E8"/>
    <w:rsid w:val="00600A1A"/>
    <w:rsid w:val="00600A79"/>
    <w:rsid w:val="00602C7F"/>
    <w:rsid w:val="006042CB"/>
    <w:rsid w:val="00604C76"/>
    <w:rsid w:val="006054E1"/>
    <w:rsid w:val="00607149"/>
    <w:rsid w:val="00607839"/>
    <w:rsid w:val="00607DC3"/>
    <w:rsid w:val="00607EDC"/>
    <w:rsid w:val="006108BA"/>
    <w:rsid w:val="00610FC6"/>
    <w:rsid w:val="006118A7"/>
    <w:rsid w:val="00611EB1"/>
    <w:rsid w:val="006121CD"/>
    <w:rsid w:val="00612881"/>
    <w:rsid w:val="00612B99"/>
    <w:rsid w:val="00612ED4"/>
    <w:rsid w:val="00613293"/>
    <w:rsid w:val="00614E41"/>
    <w:rsid w:val="00616C44"/>
    <w:rsid w:val="00617129"/>
    <w:rsid w:val="006179F0"/>
    <w:rsid w:val="00621544"/>
    <w:rsid w:val="0062203C"/>
    <w:rsid w:val="00622680"/>
    <w:rsid w:val="0062296D"/>
    <w:rsid w:val="0062358F"/>
    <w:rsid w:val="006243DA"/>
    <w:rsid w:val="006246F2"/>
    <w:rsid w:val="006255E7"/>
    <w:rsid w:val="00626615"/>
    <w:rsid w:val="00626B2E"/>
    <w:rsid w:val="00630B65"/>
    <w:rsid w:val="00630F44"/>
    <w:rsid w:val="00631CDF"/>
    <w:rsid w:val="0063293D"/>
    <w:rsid w:val="00632F29"/>
    <w:rsid w:val="006341D1"/>
    <w:rsid w:val="00634377"/>
    <w:rsid w:val="00635839"/>
    <w:rsid w:val="00635BE4"/>
    <w:rsid w:val="00640B07"/>
    <w:rsid w:val="00640E04"/>
    <w:rsid w:val="00641AB5"/>
    <w:rsid w:val="00642108"/>
    <w:rsid w:val="00642C53"/>
    <w:rsid w:val="00643746"/>
    <w:rsid w:val="00643FFD"/>
    <w:rsid w:val="00644E12"/>
    <w:rsid w:val="006452C9"/>
    <w:rsid w:val="00646681"/>
    <w:rsid w:val="006473C1"/>
    <w:rsid w:val="0065021C"/>
    <w:rsid w:val="006503FE"/>
    <w:rsid w:val="00650A44"/>
    <w:rsid w:val="00650E7A"/>
    <w:rsid w:val="00651291"/>
    <w:rsid w:val="006523D0"/>
    <w:rsid w:val="00653E85"/>
    <w:rsid w:val="0065471B"/>
    <w:rsid w:val="006556D7"/>
    <w:rsid w:val="00655A9D"/>
    <w:rsid w:val="006566A8"/>
    <w:rsid w:val="006567AF"/>
    <w:rsid w:val="00656D1C"/>
    <w:rsid w:val="00656E8D"/>
    <w:rsid w:val="00656EF7"/>
    <w:rsid w:val="00657815"/>
    <w:rsid w:val="0065796A"/>
    <w:rsid w:val="006600DA"/>
    <w:rsid w:val="0066188E"/>
    <w:rsid w:val="0066238B"/>
    <w:rsid w:val="0066276C"/>
    <w:rsid w:val="00662E76"/>
    <w:rsid w:val="006636F2"/>
    <w:rsid w:val="00663854"/>
    <w:rsid w:val="00664C0B"/>
    <w:rsid w:val="00665B38"/>
    <w:rsid w:val="00666423"/>
    <w:rsid w:val="0066658D"/>
    <w:rsid w:val="00667F20"/>
    <w:rsid w:val="00671799"/>
    <w:rsid w:val="00671CC3"/>
    <w:rsid w:val="00671E06"/>
    <w:rsid w:val="0067444B"/>
    <w:rsid w:val="006747DD"/>
    <w:rsid w:val="00676B32"/>
    <w:rsid w:val="00676C49"/>
    <w:rsid w:val="00676E33"/>
    <w:rsid w:val="00677087"/>
    <w:rsid w:val="006778A0"/>
    <w:rsid w:val="00681F26"/>
    <w:rsid w:val="00682281"/>
    <w:rsid w:val="00682349"/>
    <w:rsid w:val="00683072"/>
    <w:rsid w:val="00683E24"/>
    <w:rsid w:val="006840B5"/>
    <w:rsid w:val="00684485"/>
    <w:rsid w:val="00684C8B"/>
    <w:rsid w:val="00686069"/>
    <w:rsid w:val="00686284"/>
    <w:rsid w:val="0068681A"/>
    <w:rsid w:val="00686F2E"/>
    <w:rsid w:val="00690D50"/>
    <w:rsid w:val="00691CC1"/>
    <w:rsid w:val="00691F41"/>
    <w:rsid w:val="006928D8"/>
    <w:rsid w:val="0069331D"/>
    <w:rsid w:val="006940B3"/>
    <w:rsid w:val="00695947"/>
    <w:rsid w:val="00696441"/>
    <w:rsid w:val="0069747F"/>
    <w:rsid w:val="006976F8"/>
    <w:rsid w:val="006A1235"/>
    <w:rsid w:val="006A168B"/>
    <w:rsid w:val="006A252E"/>
    <w:rsid w:val="006A347F"/>
    <w:rsid w:val="006A3828"/>
    <w:rsid w:val="006A606E"/>
    <w:rsid w:val="006A7BEC"/>
    <w:rsid w:val="006B175A"/>
    <w:rsid w:val="006B3B70"/>
    <w:rsid w:val="006B572A"/>
    <w:rsid w:val="006B5B2E"/>
    <w:rsid w:val="006C0904"/>
    <w:rsid w:val="006C1A6E"/>
    <w:rsid w:val="006C32B0"/>
    <w:rsid w:val="006C3C28"/>
    <w:rsid w:val="006C656F"/>
    <w:rsid w:val="006C65D3"/>
    <w:rsid w:val="006D00E6"/>
    <w:rsid w:val="006D037F"/>
    <w:rsid w:val="006D0BBA"/>
    <w:rsid w:val="006D27C4"/>
    <w:rsid w:val="006D331A"/>
    <w:rsid w:val="006D394C"/>
    <w:rsid w:val="006D4125"/>
    <w:rsid w:val="006D5431"/>
    <w:rsid w:val="006D5D20"/>
    <w:rsid w:val="006D6CB5"/>
    <w:rsid w:val="006E0E2B"/>
    <w:rsid w:val="006E1D5E"/>
    <w:rsid w:val="006E229B"/>
    <w:rsid w:val="006E29D4"/>
    <w:rsid w:val="006E5A57"/>
    <w:rsid w:val="006E7E24"/>
    <w:rsid w:val="006F070B"/>
    <w:rsid w:val="006F186E"/>
    <w:rsid w:val="006F1D4D"/>
    <w:rsid w:val="006F20E9"/>
    <w:rsid w:val="006F257B"/>
    <w:rsid w:val="006F39A5"/>
    <w:rsid w:val="006F3F05"/>
    <w:rsid w:val="006F42A7"/>
    <w:rsid w:val="006F50F4"/>
    <w:rsid w:val="006F7508"/>
    <w:rsid w:val="007000EE"/>
    <w:rsid w:val="0070071D"/>
    <w:rsid w:val="007012F7"/>
    <w:rsid w:val="007014DB"/>
    <w:rsid w:val="00701EBF"/>
    <w:rsid w:val="0070241D"/>
    <w:rsid w:val="00703CA7"/>
    <w:rsid w:val="00704532"/>
    <w:rsid w:val="00704954"/>
    <w:rsid w:val="00704BD1"/>
    <w:rsid w:val="007057D5"/>
    <w:rsid w:val="00706E71"/>
    <w:rsid w:val="00707A4B"/>
    <w:rsid w:val="00707CE0"/>
    <w:rsid w:val="007105F6"/>
    <w:rsid w:val="007125A5"/>
    <w:rsid w:val="007139EB"/>
    <w:rsid w:val="00713BAF"/>
    <w:rsid w:val="00713E64"/>
    <w:rsid w:val="00713F5F"/>
    <w:rsid w:val="00714102"/>
    <w:rsid w:val="007157D7"/>
    <w:rsid w:val="00716ED4"/>
    <w:rsid w:val="00717B11"/>
    <w:rsid w:val="00720594"/>
    <w:rsid w:val="0072067C"/>
    <w:rsid w:val="00721AC4"/>
    <w:rsid w:val="00721D39"/>
    <w:rsid w:val="0072233A"/>
    <w:rsid w:val="00722569"/>
    <w:rsid w:val="007233B1"/>
    <w:rsid w:val="00724663"/>
    <w:rsid w:val="00724844"/>
    <w:rsid w:val="00724D33"/>
    <w:rsid w:val="00724E49"/>
    <w:rsid w:val="00725A99"/>
    <w:rsid w:val="00725AD4"/>
    <w:rsid w:val="00727908"/>
    <w:rsid w:val="007301C5"/>
    <w:rsid w:val="00730C45"/>
    <w:rsid w:val="0073145A"/>
    <w:rsid w:val="00731EE6"/>
    <w:rsid w:val="007342EC"/>
    <w:rsid w:val="0073498E"/>
    <w:rsid w:val="00735073"/>
    <w:rsid w:val="007350F5"/>
    <w:rsid w:val="007363A8"/>
    <w:rsid w:val="00736806"/>
    <w:rsid w:val="007402A9"/>
    <w:rsid w:val="007410ED"/>
    <w:rsid w:val="00741CC9"/>
    <w:rsid w:val="007422A5"/>
    <w:rsid w:val="00742604"/>
    <w:rsid w:val="00742DD8"/>
    <w:rsid w:val="0074444D"/>
    <w:rsid w:val="007470EF"/>
    <w:rsid w:val="007479BA"/>
    <w:rsid w:val="00747CB8"/>
    <w:rsid w:val="00747F6D"/>
    <w:rsid w:val="00751661"/>
    <w:rsid w:val="007530D7"/>
    <w:rsid w:val="00753BED"/>
    <w:rsid w:val="00754EE8"/>
    <w:rsid w:val="007573BD"/>
    <w:rsid w:val="00761400"/>
    <w:rsid w:val="007622BB"/>
    <w:rsid w:val="0076239D"/>
    <w:rsid w:val="007630D8"/>
    <w:rsid w:val="007633F7"/>
    <w:rsid w:val="00765434"/>
    <w:rsid w:val="007668E2"/>
    <w:rsid w:val="0076703F"/>
    <w:rsid w:val="0076B23F"/>
    <w:rsid w:val="00770376"/>
    <w:rsid w:val="00770DD2"/>
    <w:rsid w:val="00770F4C"/>
    <w:rsid w:val="00771103"/>
    <w:rsid w:val="0077202C"/>
    <w:rsid w:val="0077218E"/>
    <w:rsid w:val="007735DB"/>
    <w:rsid w:val="00775041"/>
    <w:rsid w:val="00775A8B"/>
    <w:rsid w:val="00776395"/>
    <w:rsid w:val="007768B3"/>
    <w:rsid w:val="00776F31"/>
    <w:rsid w:val="0078070B"/>
    <w:rsid w:val="00781D1D"/>
    <w:rsid w:val="00781E12"/>
    <w:rsid w:val="007820F9"/>
    <w:rsid w:val="00782642"/>
    <w:rsid w:val="00782938"/>
    <w:rsid w:val="00782DC4"/>
    <w:rsid w:val="00782DCB"/>
    <w:rsid w:val="00782F9F"/>
    <w:rsid w:val="00782FA6"/>
    <w:rsid w:val="00784103"/>
    <w:rsid w:val="00784802"/>
    <w:rsid w:val="00784CDC"/>
    <w:rsid w:val="00784D79"/>
    <w:rsid w:val="00785A16"/>
    <w:rsid w:val="0078668A"/>
    <w:rsid w:val="00786796"/>
    <w:rsid w:val="00786884"/>
    <w:rsid w:val="0078691A"/>
    <w:rsid w:val="00787416"/>
    <w:rsid w:val="007904DC"/>
    <w:rsid w:val="007910B0"/>
    <w:rsid w:val="00791FEC"/>
    <w:rsid w:val="0079237B"/>
    <w:rsid w:val="0079272F"/>
    <w:rsid w:val="007947AB"/>
    <w:rsid w:val="0079772B"/>
    <w:rsid w:val="007977C1"/>
    <w:rsid w:val="007979E8"/>
    <w:rsid w:val="00797C14"/>
    <w:rsid w:val="007A0FDD"/>
    <w:rsid w:val="007A29A4"/>
    <w:rsid w:val="007A2FAD"/>
    <w:rsid w:val="007A353A"/>
    <w:rsid w:val="007A4E17"/>
    <w:rsid w:val="007A5395"/>
    <w:rsid w:val="007A546A"/>
    <w:rsid w:val="007A57A9"/>
    <w:rsid w:val="007A5DD4"/>
    <w:rsid w:val="007A74CB"/>
    <w:rsid w:val="007B14F1"/>
    <w:rsid w:val="007B154C"/>
    <w:rsid w:val="007B1FA1"/>
    <w:rsid w:val="007B21EE"/>
    <w:rsid w:val="007B3041"/>
    <w:rsid w:val="007B33FF"/>
    <w:rsid w:val="007B46C4"/>
    <w:rsid w:val="007B495E"/>
    <w:rsid w:val="007B4F0A"/>
    <w:rsid w:val="007B50E7"/>
    <w:rsid w:val="007B5931"/>
    <w:rsid w:val="007B66F2"/>
    <w:rsid w:val="007B7855"/>
    <w:rsid w:val="007C0B7A"/>
    <w:rsid w:val="007C0E97"/>
    <w:rsid w:val="007C40A2"/>
    <w:rsid w:val="007C560E"/>
    <w:rsid w:val="007C73D7"/>
    <w:rsid w:val="007D09CD"/>
    <w:rsid w:val="007D1D83"/>
    <w:rsid w:val="007D1F2A"/>
    <w:rsid w:val="007D3799"/>
    <w:rsid w:val="007D61D1"/>
    <w:rsid w:val="007D75A4"/>
    <w:rsid w:val="007D79DB"/>
    <w:rsid w:val="007E05A4"/>
    <w:rsid w:val="007E1968"/>
    <w:rsid w:val="007E3B89"/>
    <w:rsid w:val="007E3C1F"/>
    <w:rsid w:val="007E3D00"/>
    <w:rsid w:val="007E5D7C"/>
    <w:rsid w:val="007E5DF4"/>
    <w:rsid w:val="007E67C8"/>
    <w:rsid w:val="007E6F7B"/>
    <w:rsid w:val="007F07FE"/>
    <w:rsid w:val="007F307A"/>
    <w:rsid w:val="007F3578"/>
    <w:rsid w:val="007F3F0F"/>
    <w:rsid w:val="007F6F77"/>
    <w:rsid w:val="007F7686"/>
    <w:rsid w:val="007F7DBF"/>
    <w:rsid w:val="00802233"/>
    <w:rsid w:val="00802696"/>
    <w:rsid w:val="008034D8"/>
    <w:rsid w:val="00805355"/>
    <w:rsid w:val="00805392"/>
    <w:rsid w:val="008056CA"/>
    <w:rsid w:val="008058C3"/>
    <w:rsid w:val="00811681"/>
    <w:rsid w:val="0081203F"/>
    <w:rsid w:val="008125E6"/>
    <w:rsid w:val="008126BD"/>
    <w:rsid w:val="00812A9C"/>
    <w:rsid w:val="00812B46"/>
    <w:rsid w:val="00814361"/>
    <w:rsid w:val="0081498D"/>
    <w:rsid w:val="008152E7"/>
    <w:rsid w:val="00815CC5"/>
    <w:rsid w:val="008169C1"/>
    <w:rsid w:val="00816D5B"/>
    <w:rsid w:val="0081742B"/>
    <w:rsid w:val="0082020E"/>
    <w:rsid w:val="00820489"/>
    <w:rsid w:val="00820E34"/>
    <w:rsid w:val="0082137A"/>
    <w:rsid w:val="00821869"/>
    <w:rsid w:val="00821B9A"/>
    <w:rsid w:val="00821BDC"/>
    <w:rsid w:val="00822411"/>
    <w:rsid w:val="00823390"/>
    <w:rsid w:val="00823F68"/>
    <w:rsid w:val="008244EB"/>
    <w:rsid w:val="00824E42"/>
    <w:rsid w:val="008254C8"/>
    <w:rsid w:val="00826620"/>
    <w:rsid w:val="0082740D"/>
    <w:rsid w:val="00827F1B"/>
    <w:rsid w:val="00830EAF"/>
    <w:rsid w:val="00832364"/>
    <w:rsid w:val="008338D4"/>
    <w:rsid w:val="00834AA2"/>
    <w:rsid w:val="008357CF"/>
    <w:rsid w:val="00836BF9"/>
    <w:rsid w:val="008403D2"/>
    <w:rsid w:val="00841435"/>
    <w:rsid w:val="008418EF"/>
    <w:rsid w:val="008422BE"/>
    <w:rsid w:val="00842908"/>
    <w:rsid w:val="008431CB"/>
    <w:rsid w:val="0084478D"/>
    <w:rsid w:val="008449C5"/>
    <w:rsid w:val="00844C5B"/>
    <w:rsid w:val="00844D4B"/>
    <w:rsid w:val="00845435"/>
    <w:rsid w:val="00846AD0"/>
    <w:rsid w:val="00851246"/>
    <w:rsid w:val="008514A2"/>
    <w:rsid w:val="00852F5A"/>
    <w:rsid w:val="00853571"/>
    <w:rsid w:val="00853706"/>
    <w:rsid w:val="00855725"/>
    <w:rsid w:val="00856905"/>
    <w:rsid w:val="0085741B"/>
    <w:rsid w:val="00862067"/>
    <w:rsid w:val="0086499D"/>
    <w:rsid w:val="00864A21"/>
    <w:rsid w:val="00865685"/>
    <w:rsid w:val="00865C1B"/>
    <w:rsid w:val="0086609F"/>
    <w:rsid w:val="00866517"/>
    <w:rsid w:val="0087000C"/>
    <w:rsid w:val="0087057C"/>
    <w:rsid w:val="00870FAB"/>
    <w:rsid w:val="0087176B"/>
    <w:rsid w:val="008727E8"/>
    <w:rsid w:val="00872E3D"/>
    <w:rsid w:val="008733ED"/>
    <w:rsid w:val="008734D2"/>
    <w:rsid w:val="00873A9A"/>
    <w:rsid w:val="008751F1"/>
    <w:rsid w:val="008754C1"/>
    <w:rsid w:val="00875656"/>
    <w:rsid w:val="00875B97"/>
    <w:rsid w:val="008765E8"/>
    <w:rsid w:val="0087670B"/>
    <w:rsid w:val="008773A5"/>
    <w:rsid w:val="00880A01"/>
    <w:rsid w:val="00881A6E"/>
    <w:rsid w:val="00881BAD"/>
    <w:rsid w:val="00883ED9"/>
    <w:rsid w:val="00885B2B"/>
    <w:rsid w:val="00886829"/>
    <w:rsid w:val="00890907"/>
    <w:rsid w:val="00890A0D"/>
    <w:rsid w:val="00890A21"/>
    <w:rsid w:val="00890B52"/>
    <w:rsid w:val="008910A8"/>
    <w:rsid w:val="008942DC"/>
    <w:rsid w:val="008945B6"/>
    <w:rsid w:val="00895231"/>
    <w:rsid w:val="00895469"/>
    <w:rsid w:val="00896AAE"/>
    <w:rsid w:val="00897576"/>
    <w:rsid w:val="00897939"/>
    <w:rsid w:val="00897B60"/>
    <w:rsid w:val="00897C9C"/>
    <w:rsid w:val="008A0236"/>
    <w:rsid w:val="008A3B04"/>
    <w:rsid w:val="008A3DD7"/>
    <w:rsid w:val="008A5512"/>
    <w:rsid w:val="008A5E8C"/>
    <w:rsid w:val="008A61C5"/>
    <w:rsid w:val="008A6F20"/>
    <w:rsid w:val="008A7498"/>
    <w:rsid w:val="008B0165"/>
    <w:rsid w:val="008B0305"/>
    <w:rsid w:val="008B0965"/>
    <w:rsid w:val="008B1E7A"/>
    <w:rsid w:val="008B3632"/>
    <w:rsid w:val="008B3C5D"/>
    <w:rsid w:val="008B4AFA"/>
    <w:rsid w:val="008B4D25"/>
    <w:rsid w:val="008B5767"/>
    <w:rsid w:val="008B734E"/>
    <w:rsid w:val="008B7478"/>
    <w:rsid w:val="008B7646"/>
    <w:rsid w:val="008B7837"/>
    <w:rsid w:val="008C0224"/>
    <w:rsid w:val="008C2B8E"/>
    <w:rsid w:val="008C3FF4"/>
    <w:rsid w:val="008C52D1"/>
    <w:rsid w:val="008C56A9"/>
    <w:rsid w:val="008C62CA"/>
    <w:rsid w:val="008C6BCA"/>
    <w:rsid w:val="008C6CF5"/>
    <w:rsid w:val="008C6FB5"/>
    <w:rsid w:val="008C7092"/>
    <w:rsid w:val="008C75BA"/>
    <w:rsid w:val="008C77FD"/>
    <w:rsid w:val="008C79C5"/>
    <w:rsid w:val="008D0225"/>
    <w:rsid w:val="008D1073"/>
    <w:rsid w:val="008D10F8"/>
    <w:rsid w:val="008D165A"/>
    <w:rsid w:val="008D1826"/>
    <w:rsid w:val="008D1C43"/>
    <w:rsid w:val="008D325E"/>
    <w:rsid w:val="008D45B4"/>
    <w:rsid w:val="008D58D4"/>
    <w:rsid w:val="008D5DF8"/>
    <w:rsid w:val="008D7D90"/>
    <w:rsid w:val="008E08BE"/>
    <w:rsid w:val="008E122D"/>
    <w:rsid w:val="008E1425"/>
    <w:rsid w:val="008E18DD"/>
    <w:rsid w:val="008E1F07"/>
    <w:rsid w:val="008E2D7E"/>
    <w:rsid w:val="008E468E"/>
    <w:rsid w:val="008E5161"/>
    <w:rsid w:val="008E5797"/>
    <w:rsid w:val="008E651D"/>
    <w:rsid w:val="008E75BF"/>
    <w:rsid w:val="008F0C0F"/>
    <w:rsid w:val="008F1071"/>
    <w:rsid w:val="008F113D"/>
    <w:rsid w:val="008F1A7A"/>
    <w:rsid w:val="008F1EC2"/>
    <w:rsid w:val="008F2293"/>
    <w:rsid w:val="008F277A"/>
    <w:rsid w:val="008F2CF4"/>
    <w:rsid w:val="008F314A"/>
    <w:rsid w:val="008F3535"/>
    <w:rsid w:val="008F5DC1"/>
    <w:rsid w:val="008F753C"/>
    <w:rsid w:val="008F7717"/>
    <w:rsid w:val="008F7CB4"/>
    <w:rsid w:val="00902436"/>
    <w:rsid w:val="0090295B"/>
    <w:rsid w:val="00904E30"/>
    <w:rsid w:val="00905242"/>
    <w:rsid w:val="009055D6"/>
    <w:rsid w:val="0090613F"/>
    <w:rsid w:val="00906EBA"/>
    <w:rsid w:val="00907732"/>
    <w:rsid w:val="00907B51"/>
    <w:rsid w:val="00910429"/>
    <w:rsid w:val="00911548"/>
    <w:rsid w:val="009116ED"/>
    <w:rsid w:val="00911861"/>
    <w:rsid w:val="00912081"/>
    <w:rsid w:val="009155A6"/>
    <w:rsid w:val="00915C46"/>
    <w:rsid w:val="009168CC"/>
    <w:rsid w:val="00917235"/>
    <w:rsid w:val="00920E7D"/>
    <w:rsid w:val="009231B6"/>
    <w:rsid w:val="009261A0"/>
    <w:rsid w:val="00927DE7"/>
    <w:rsid w:val="009302D1"/>
    <w:rsid w:val="00931B40"/>
    <w:rsid w:val="00931CA2"/>
    <w:rsid w:val="009326ED"/>
    <w:rsid w:val="009328F2"/>
    <w:rsid w:val="0093378D"/>
    <w:rsid w:val="00936DB0"/>
    <w:rsid w:val="00936DF1"/>
    <w:rsid w:val="00941473"/>
    <w:rsid w:val="00941A29"/>
    <w:rsid w:val="0094397D"/>
    <w:rsid w:val="00944CDF"/>
    <w:rsid w:val="009451EE"/>
    <w:rsid w:val="009457AC"/>
    <w:rsid w:val="00952B5C"/>
    <w:rsid w:val="00952C9F"/>
    <w:rsid w:val="00952E9C"/>
    <w:rsid w:val="00960A0A"/>
    <w:rsid w:val="009620A5"/>
    <w:rsid w:val="00964286"/>
    <w:rsid w:val="009651DB"/>
    <w:rsid w:val="0096745D"/>
    <w:rsid w:val="00970A48"/>
    <w:rsid w:val="00971E47"/>
    <w:rsid w:val="009750BB"/>
    <w:rsid w:val="00975DAC"/>
    <w:rsid w:val="00976010"/>
    <w:rsid w:val="00983A3F"/>
    <w:rsid w:val="00985E53"/>
    <w:rsid w:val="009944F5"/>
    <w:rsid w:val="00994E82"/>
    <w:rsid w:val="00997E32"/>
    <w:rsid w:val="009A0C58"/>
    <w:rsid w:val="009A11DB"/>
    <w:rsid w:val="009A26CC"/>
    <w:rsid w:val="009A2C24"/>
    <w:rsid w:val="009A324C"/>
    <w:rsid w:val="009A39F3"/>
    <w:rsid w:val="009A47B0"/>
    <w:rsid w:val="009A6193"/>
    <w:rsid w:val="009A6875"/>
    <w:rsid w:val="009A68F2"/>
    <w:rsid w:val="009A696B"/>
    <w:rsid w:val="009A77DC"/>
    <w:rsid w:val="009A7F2F"/>
    <w:rsid w:val="009B0BD4"/>
    <w:rsid w:val="009B2905"/>
    <w:rsid w:val="009B2DA0"/>
    <w:rsid w:val="009B42F9"/>
    <w:rsid w:val="009B4849"/>
    <w:rsid w:val="009B564C"/>
    <w:rsid w:val="009B5E13"/>
    <w:rsid w:val="009B64F9"/>
    <w:rsid w:val="009B6FD6"/>
    <w:rsid w:val="009C00B8"/>
    <w:rsid w:val="009C0D75"/>
    <w:rsid w:val="009C26B2"/>
    <w:rsid w:val="009C3291"/>
    <w:rsid w:val="009C4A3D"/>
    <w:rsid w:val="009C6144"/>
    <w:rsid w:val="009C755C"/>
    <w:rsid w:val="009C7D66"/>
    <w:rsid w:val="009D0B67"/>
    <w:rsid w:val="009D2240"/>
    <w:rsid w:val="009D29B8"/>
    <w:rsid w:val="009D2BEE"/>
    <w:rsid w:val="009D2D58"/>
    <w:rsid w:val="009D305D"/>
    <w:rsid w:val="009D3324"/>
    <w:rsid w:val="009D3A91"/>
    <w:rsid w:val="009D3B69"/>
    <w:rsid w:val="009D477D"/>
    <w:rsid w:val="009D4D48"/>
    <w:rsid w:val="009D5DAE"/>
    <w:rsid w:val="009D6F92"/>
    <w:rsid w:val="009D7551"/>
    <w:rsid w:val="009E0DC5"/>
    <w:rsid w:val="009E1C4B"/>
    <w:rsid w:val="009E2D7F"/>
    <w:rsid w:val="009E3430"/>
    <w:rsid w:val="009F2E3B"/>
    <w:rsid w:val="009F3240"/>
    <w:rsid w:val="009F54D8"/>
    <w:rsid w:val="009F58AE"/>
    <w:rsid w:val="009F75D2"/>
    <w:rsid w:val="009F7C45"/>
    <w:rsid w:val="00A01908"/>
    <w:rsid w:val="00A04E3C"/>
    <w:rsid w:val="00A060CC"/>
    <w:rsid w:val="00A0678A"/>
    <w:rsid w:val="00A0682A"/>
    <w:rsid w:val="00A07471"/>
    <w:rsid w:val="00A076CE"/>
    <w:rsid w:val="00A1340E"/>
    <w:rsid w:val="00A1380F"/>
    <w:rsid w:val="00A1398A"/>
    <w:rsid w:val="00A14636"/>
    <w:rsid w:val="00A14C1E"/>
    <w:rsid w:val="00A14F4D"/>
    <w:rsid w:val="00A17D0B"/>
    <w:rsid w:val="00A20EBE"/>
    <w:rsid w:val="00A21BE7"/>
    <w:rsid w:val="00A22D8F"/>
    <w:rsid w:val="00A2611B"/>
    <w:rsid w:val="00A26319"/>
    <w:rsid w:val="00A265BD"/>
    <w:rsid w:val="00A26A33"/>
    <w:rsid w:val="00A26D9B"/>
    <w:rsid w:val="00A27892"/>
    <w:rsid w:val="00A27FDE"/>
    <w:rsid w:val="00A30952"/>
    <w:rsid w:val="00A3156E"/>
    <w:rsid w:val="00A336FA"/>
    <w:rsid w:val="00A33BFB"/>
    <w:rsid w:val="00A3469D"/>
    <w:rsid w:val="00A37C12"/>
    <w:rsid w:val="00A37FB5"/>
    <w:rsid w:val="00A4057E"/>
    <w:rsid w:val="00A40C92"/>
    <w:rsid w:val="00A40D19"/>
    <w:rsid w:val="00A41175"/>
    <w:rsid w:val="00A41460"/>
    <w:rsid w:val="00A41E01"/>
    <w:rsid w:val="00A4255C"/>
    <w:rsid w:val="00A425FE"/>
    <w:rsid w:val="00A426DB"/>
    <w:rsid w:val="00A430D3"/>
    <w:rsid w:val="00A45426"/>
    <w:rsid w:val="00A46554"/>
    <w:rsid w:val="00A46701"/>
    <w:rsid w:val="00A46BC1"/>
    <w:rsid w:val="00A47C00"/>
    <w:rsid w:val="00A51AF4"/>
    <w:rsid w:val="00A527BD"/>
    <w:rsid w:val="00A5387C"/>
    <w:rsid w:val="00A54D2A"/>
    <w:rsid w:val="00A54F40"/>
    <w:rsid w:val="00A552CF"/>
    <w:rsid w:val="00A5551B"/>
    <w:rsid w:val="00A567AF"/>
    <w:rsid w:val="00A571EC"/>
    <w:rsid w:val="00A57F99"/>
    <w:rsid w:val="00A607E8"/>
    <w:rsid w:val="00A60EF8"/>
    <w:rsid w:val="00A6155B"/>
    <w:rsid w:val="00A620FB"/>
    <w:rsid w:val="00A62632"/>
    <w:rsid w:val="00A638AE"/>
    <w:rsid w:val="00A64AF3"/>
    <w:rsid w:val="00A651EC"/>
    <w:rsid w:val="00A6651B"/>
    <w:rsid w:val="00A66B17"/>
    <w:rsid w:val="00A6711A"/>
    <w:rsid w:val="00A67745"/>
    <w:rsid w:val="00A700C7"/>
    <w:rsid w:val="00A70857"/>
    <w:rsid w:val="00A70A3F"/>
    <w:rsid w:val="00A71607"/>
    <w:rsid w:val="00A72711"/>
    <w:rsid w:val="00A728D7"/>
    <w:rsid w:val="00A729F9"/>
    <w:rsid w:val="00A72A72"/>
    <w:rsid w:val="00A73D87"/>
    <w:rsid w:val="00A741E7"/>
    <w:rsid w:val="00A74F0A"/>
    <w:rsid w:val="00A75410"/>
    <w:rsid w:val="00A761C6"/>
    <w:rsid w:val="00A76D34"/>
    <w:rsid w:val="00A7741F"/>
    <w:rsid w:val="00A809D9"/>
    <w:rsid w:val="00A8132E"/>
    <w:rsid w:val="00A818DA"/>
    <w:rsid w:val="00A82048"/>
    <w:rsid w:val="00A8222A"/>
    <w:rsid w:val="00A825FA"/>
    <w:rsid w:val="00A850AA"/>
    <w:rsid w:val="00A85933"/>
    <w:rsid w:val="00A86451"/>
    <w:rsid w:val="00A865A2"/>
    <w:rsid w:val="00A86BAB"/>
    <w:rsid w:val="00A87409"/>
    <w:rsid w:val="00A92782"/>
    <w:rsid w:val="00A93717"/>
    <w:rsid w:val="00A94397"/>
    <w:rsid w:val="00A94CF3"/>
    <w:rsid w:val="00A94F2E"/>
    <w:rsid w:val="00A95FFF"/>
    <w:rsid w:val="00A96E10"/>
    <w:rsid w:val="00A97737"/>
    <w:rsid w:val="00A978B2"/>
    <w:rsid w:val="00AA0A1F"/>
    <w:rsid w:val="00AA1A6F"/>
    <w:rsid w:val="00AA2546"/>
    <w:rsid w:val="00AA2930"/>
    <w:rsid w:val="00AA31A8"/>
    <w:rsid w:val="00AA31BD"/>
    <w:rsid w:val="00AA36A5"/>
    <w:rsid w:val="00AA3975"/>
    <w:rsid w:val="00AA3DAB"/>
    <w:rsid w:val="00AA3F02"/>
    <w:rsid w:val="00AA4829"/>
    <w:rsid w:val="00AA4D49"/>
    <w:rsid w:val="00AA5C49"/>
    <w:rsid w:val="00AA5D86"/>
    <w:rsid w:val="00AA6CDA"/>
    <w:rsid w:val="00AB0355"/>
    <w:rsid w:val="00AB04D2"/>
    <w:rsid w:val="00AB0EFC"/>
    <w:rsid w:val="00AB2021"/>
    <w:rsid w:val="00AB2A29"/>
    <w:rsid w:val="00AB37EA"/>
    <w:rsid w:val="00AB3F4A"/>
    <w:rsid w:val="00AB4E88"/>
    <w:rsid w:val="00AB57E3"/>
    <w:rsid w:val="00AB5DFA"/>
    <w:rsid w:val="00AB6556"/>
    <w:rsid w:val="00AC025D"/>
    <w:rsid w:val="00AC1B0E"/>
    <w:rsid w:val="00AC29F9"/>
    <w:rsid w:val="00AC2F3B"/>
    <w:rsid w:val="00AC36F7"/>
    <w:rsid w:val="00AC3797"/>
    <w:rsid w:val="00AC4BE4"/>
    <w:rsid w:val="00AC55AD"/>
    <w:rsid w:val="00AC5BB9"/>
    <w:rsid w:val="00AC63FB"/>
    <w:rsid w:val="00AC76E8"/>
    <w:rsid w:val="00AC777B"/>
    <w:rsid w:val="00AD07A1"/>
    <w:rsid w:val="00AD098D"/>
    <w:rsid w:val="00AD09E6"/>
    <w:rsid w:val="00AD139D"/>
    <w:rsid w:val="00AD2067"/>
    <w:rsid w:val="00AD3B6F"/>
    <w:rsid w:val="00AD423E"/>
    <w:rsid w:val="00AD4659"/>
    <w:rsid w:val="00AD50F5"/>
    <w:rsid w:val="00AD5DD7"/>
    <w:rsid w:val="00AD6C7D"/>
    <w:rsid w:val="00AD75BC"/>
    <w:rsid w:val="00AD79B7"/>
    <w:rsid w:val="00AE03C1"/>
    <w:rsid w:val="00AE0B98"/>
    <w:rsid w:val="00AE0F59"/>
    <w:rsid w:val="00AE1300"/>
    <w:rsid w:val="00AE14D4"/>
    <w:rsid w:val="00AE17ED"/>
    <w:rsid w:val="00AE18E4"/>
    <w:rsid w:val="00AE25C3"/>
    <w:rsid w:val="00AE3A29"/>
    <w:rsid w:val="00AE5968"/>
    <w:rsid w:val="00AE6781"/>
    <w:rsid w:val="00AE68E3"/>
    <w:rsid w:val="00AE6A6F"/>
    <w:rsid w:val="00AE6B8F"/>
    <w:rsid w:val="00AE6CD9"/>
    <w:rsid w:val="00AF16B3"/>
    <w:rsid w:val="00AF23BD"/>
    <w:rsid w:val="00AF2D00"/>
    <w:rsid w:val="00AF384F"/>
    <w:rsid w:val="00AF4CCF"/>
    <w:rsid w:val="00AF66B9"/>
    <w:rsid w:val="00AF7146"/>
    <w:rsid w:val="00B0023C"/>
    <w:rsid w:val="00B00545"/>
    <w:rsid w:val="00B00B7F"/>
    <w:rsid w:val="00B0199C"/>
    <w:rsid w:val="00B0199D"/>
    <w:rsid w:val="00B0278D"/>
    <w:rsid w:val="00B04518"/>
    <w:rsid w:val="00B05CCF"/>
    <w:rsid w:val="00B073AC"/>
    <w:rsid w:val="00B10220"/>
    <w:rsid w:val="00B122C9"/>
    <w:rsid w:val="00B1314F"/>
    <w:rsid w:val="00B1445A"/>
    <w:rsid w:val="00B14790"/>
    <w:rsid w:val="00B16E9C"/>
    <w:rsid w:val="00B17358"/>
    <w:rsid w:val="00B20569"/>
    <w:rsid w:val="00B20AF3"/>
    <w:rsid w:val="00B22703"/>
    <w:rsid w:val="00B22E82"/>
    <w:rsid w:val="00B2325E"/>
    <w:rsid w:val="00B23F35"/>
    <w:rsid w:val="00B24534"/>
    <w:rsid w:val="00B24720"/>
    <w:rsid w:val="00B24D0F"/>
    <w:rsid w:val="00B2720A"/>
    <w:rsid w:val="00B307FC"/>
    <w:rsid w:val="00B30E6D"/>
    <w:rsid w:val="00B31608"/>
    <w:rsid w:val="00B320A5"/>
    <w:rsid w:val="00B328CC"/>
    <w:rsid w:val="00B329F2"/>
    <w:rsid w:val="00B33D3B"/>
    <w:rsid w:val="00B33F92"/>
    <w:rsid w:val="00B341E3"/>
    <w:rsid w:val="00B3470B"/>
    <w:rsid w:val="00B3482B"/>
    <w:rsid w:val="00B34C80"/>
    <w:rsid w:val="00B367E4"/>
    <w:rsid w:val="00B4077B"/>
    <w:rsid w:val="00B42A8A"/>
    <w:rsid w:val="00B444C0"/>
    <w:rsid w:val="00B47282"/>
    <w:rsid w:val="00B50E37"/>
    <w:rsid w:val="00B5128D"/>
    <w:rsid w:val="00B51AE9"/>
    <w:rsid w:val="00B51B60"/>
    <w:rsid w:val="00B53DC8"/>
    <w:rsid w:val="00B53DE1"/>
    <w:rsid w:val="00B5537C"/>
    <w:rsid w:val="00B55A91"/>
    <w:rsid w:val="00B5651B"/>
    <w:rsid w:val="00B56780"/>
    <w:rsid w:val="00B578FF"/>
    <w:rsid w:val="00B579B1"/>
    <w:rsid w:val="00B60C1A"/>
    <w:rsid w:val="00B6114D"/>
    <w:rsid w:val="00B61A73"/>
    <w:rsid w:val="00B62088"/>
    <w:rsid w:val="00B6211C"/>
    <w:rsid w:val="00B62411"/>
    <w:rsid w:val="00B62602"/>
    <w:rsid w:val="00B633CC"/>
    <w:rsid w:val="00B644AC"/>
    <w:rsid w:val="00B64673"/>
    <w:rsid w:val="00B64FE6"/>
    <w:rsid w:val="00B65116"/>
    <w:rsid w:val="00B657E8"/>
    <w:rsid w:val="00B659AB"/>
    <w:rsid w:val="00B6635C"/>
    <w:rsid w:val="00B66D14"/>
    <w:rsid w:val="00B67115"/>
    <w:rsid w:val="00B7052D"/>
    <w:rsid w:val="00B7076E"/>
    <w:rsid w:val="00B70962"/>
    <w:rsid w:val="00B7163F"/>
    <w:rsid w:val="00B72959"/>
    <w:rsid w:val="00B72A85"/>
    <w:rsid w:val="00B7300C"/>
    <w:rsid w:val="00B746AB"/>
    <w:rsid w:val="00B757A2"/>
    <w:rsid w:val="00B76233"/>
    <w:rsid w:val="00B76CCA"/>
    <w:rsid w:val="00B837A1"/>
    <w:rsid w:val="00B85689"/>
    <w:rsid w:val="00B856E8"/>
    <w:rsid w:val="00B86D7D"/>
    <w:rsid w:val="00B871D9"/>
    <w:rsid w:val="00B87EDE"/>
    <w:rsid w:val="00B90046"/>
    <w:rsid w:val="00B90070"/>
    <w:rsid w:val="00B91B5C"/>
    <w:rsid w:val="00B91CD8"/>
    <w:rsid w:val="00B94558"/>
    <w:rsid w:val="00B95199"/>
    <w:rsid w:val="00B96011"/>
    <w:rsid w:val="00B962B6"/>
    <w:rsid w:val="00B962B9"/>
    <w:rsid w:val="00B96D87"/>
    <w:rsid w:val="00B97406"/>
    <w:rsid w:val="00B9768E"/>
    <w:rsid w:val="00B976BA"/>
    <w:rsid w:val="00B97800"/>
    <w:rsid w:val="00BA1493"/>
    <w:rsid w:val="00BA16CD"/>
    <w:rsid w:val="00BA3155"/>
    <w:rsid w:val="00BA3444"/>
    <w:rsid w:val="00BA52E2"/>
    <w:rsid w:val="00BA7273"/>
    <w:rsid w:val="00BAD232"/>
    <w:rsid w:val="00BB0596"/>
    <w:rsid w:val="00BB1067"/>
    <w:rsid w:val="00BB1D22"/>
    <w:rsid w:val="00BB43AC"/>
    <w:rsid w:val="00BB47D1"/>
    <w:rsid w:val="00BB759C"/>
    <w:rsid w:val="00BB7FBF"/>
    <w:rsid w:val="00BC09AF"/>
    <w:rsid w:val="00BC1164"/>
    <w:rsid w:val="00BC2A19"/>
    <w:rsid w:val="00BC5673"/>
    <w:rsid w:val="00BC646F"/>
    <w:rsid w:val="00BC647E"/>
    <w:rsid w:val="00BC703C"/>
    <w:rsid w:val="00BD005C"/>
    <w:rsid w:val="00BD20CE"/>
    <w:rsid w:val="00BD3094"/>
    <w:rsid w:val="00BD3F2E"/>
    <w:rsid w:val="00BD4D0E"/>
    <w:rsid w:val="00BD5299"/>
    <w:rsid w:val="00BD559E"/>
    <w:rsid w:val="00BD6436"/>
    <w:rsid w:val="00BD7598"/>
    <w:rsid w:val="00BD7D79"/>
    <w:rsid w:val="00BE02DF"/>
    <w:rsid w:val="00BE061A"/>
    <w:rsid w:val="00BE0B35"/>
    <w:rsid w:val="00BE1703"/>
    <w:rsid w:val="00BE1D60"/>
    <w:rsid w:val="00BE3981"/>
    <w:rsid w:val="00BE3CF5"/>
    <w:rsid w:val="00BE4957"/>
    <w:rsid w:val="00BE4E58"/>
    <w:rsid w:val="00BF18FA"/>
    <w:rsid w:val="00BF1F02"/>
    <w:rsid w:val="00BF1F97"/>
    <w:rsid w:val="00BF21DA"/>
    <w:rsid w:val="00BF2643"/>
    <w:rsid w:val="00BF3127"/>
    <w:rsid w:val="00BF3237"/>
    <w:rsid w:val="00BF3790"/>
    <w:rsid w:val="00BF3B4E"/>
    <w:rsid w:val="00BF425E"/>
    <w:rsid w:val="00BF5902"/>
    <w:rsid w:val="00BF6377"/>
    <w:rsid w:val="00BF68A7"/>
    <w:rsid w:val="00BF6983"/>
    <w:rsid w:val="00BF7626"/>
    <w:rsid w:val="00BF76ED"/>
    <w:rsid w:val="00BF7936"/>
    <w:rsid w:val="00C006FB"/>
    <w:rsid w:val="00C00D07"/>
    <w:rsid w:val="00C011E3"/>
    <w:rsid w:val="00C01675"/>
    <w:rsid w:val="00C01BD6"/>
    <w:rsid w:val="00C02CF1"/>
    <w:rsid w:val="00C02D9D"/>
    <w:rsid w:val="00C02E07"/>
    <w:rsid w:val="00C047EC"/>
    <w:rsid w:val="00C04CBF"/>
    <w:rsid w:val="00C07A50"/>
    <w:rsid w:val="00C112BC"/>
    <w:rsid w:val="00C11ADA"/>
    <w:rsid w:val="00C12C1E"/>
    <w:rsid w:val="00C1321C"/>
    <w:rsid w:val="00C13917"/>
    <w:rsid w:val="00C14949"/>
    <w:rsid w:val="00C15607"/>
    <w:rsid w:val="00C15655"/>
    <w:rsid w:val="00C16877"/>
    <w:rsid w:val="00C16E16"/>
    <w:rsid w:val="00C2039B"/>
    <w:rsid w:val="00C20E33"/>
    <w:rsid w:val="00C214B8"/>
    <w:rsid w:val="00C21B31"/>
    <w:rsid w:val="00C21DB3"/>
    <w:rsid w:val="00C232E2"/>
    <w:rsid w:val="00C24D62"/>
    <w:rsid w:val="00C250E5"/>
    <w:rsid w:val="00C26B20"/>
    <w:rsid w:val="00C31371"/>
    <w:rsid w:val="00C31879"/>
    <w:rsid w:val="00C31CDA"/>
    <w:rsid w:val="00C31F38"/>
    <w:rsid w:val="00C34C79"/>
    <w:rsid w:val="00C34D76"/>
    <w:rsid w:val="00C3512F"/>
    <w:rsid w:val="00C35F7B"/>
    <w:rsid w:val="00C36273"/>
    <w:rsid w:val="00C36440"/>
    <w:rsid w:val="00C36993"/>
    <w:rsid w:val="00C372F8"/>
    <w:rsid w:val="00C408E2"/>
    <w:rsid w:val="00C41196"/>
    <w:rsid w:val="00C41398"/>
    <w:rsid w:val="00C41642"/>
    <w:rsid w:val="00C421C1"/>
    <w:rsid w:val="00C42333"/>
    <w:rsid w:val="00C426B1"/>
    <w:rsid w:val="00C43B10"/>
    <w:rsid w:val="00C45A4F"/>
    <w:rsid w:val="00C46030"/>
    <w:rsid w:val="00C47412"/>
    <w:rsid w:val="00C475B6"/>
    <w:rsid w:val="00C50256"/>
    <w:rsid w:val="00C50BD3"/>
    <w:rsid w:val="00C51E25"/>
    <w:rsid w:val="00C5515F"/>
    <w:rsid w:val="00C551F2"/>
    <w:rsid w:val="00C55855"/>
    <w:rsid w:val="00C55B00"/>
    <w:rsid w:val="00C55B26"/>
    <w:rsid w:val="00C5714F"/>
    <w:rsid w:val="00C60214"/>
    <w:rsid w:val="00C65055"/>
    <w:rsid w:val="00C6771C"/>
    <w:rsid w:val="00C67804"/>
    <w:rsid w:val="00C707CB"/>
    <w:rsid w:val="00C70BA8"/>
    <w:rsid w:val="00C716A0"/>
    <w:rsid w:val="00C72E40"/>
    <w:rsid w:val="00C73711"/>
    <w:rsid w:val="00C7392A"/>
    <w:rsid w:val="00C7539F"/>
    <w:rsid w:val="00C755CE"/>
    <w:rsid w:val="00C759B3"/>
    <w:rsid w:val="00C75F55"/>
    <w:rsid w:val="00C75FD7"/>
    <w:rsid w:val="00C804E4"/>
    <w:rsid w:val="00C824C4"/>
    <w:rsid w:val="00C8270E"/>
    <w:rsid w:val="00C85933"/>
    <w:rsid w:val="00C86F37"/>
    <w:rsid w:val="00C87D5A"/>
    <w:rsid w:val="00C87E88"/>
    <w:rsid w:val="00C9274C"/>
    <w:rsid w:val="00C92B76"/>
    <w:rsid w:val="00C92C4F"/>
    <w:rsid w:val="00C93718"/>
    <w:rsid w:val="00C937C5"/>
    <w:rsid w:val="00C94307"/>
    <w:rsid w:val="00C95A6E"/>
    <w:rsid w:val="00C95E13"/>
    <w:rsid w:val="00C967D4"/>
    <w:rsid w:val="00C969E7"/>
    <w:rsid w:val="00C96E81"/>
    <w:rsid w:val="00C96FFE"/>
    <w:rsid w:val="00C97545"/>
    <w:rsid w:val="00CA1237"/>
    <w:rsid w:val="00CA2423"/>
    <w:rsid w:val="00CA265F"/>
    <w:rsid w:val="00CA39DC"/>
    <w:rsid w:val="00CA655F"/>
    <w:rsid w:val="00CA6E74"/>
    <w:rsid w:val="00CA6F65"/>
    <w:rsid w:val="00CA7F3D"/>
    <w:rsid w:val="00CB04C0"/>
    <w:rsid w:val="00CB20EB"/>
    <w:rsid w:val="00CB5781"/>
    <w:rsid w:val="00CB63F4"/>
    <w:rsid w:val="00CC25A9"/>
    <w:rsid w:val="00CC26A8"/>
    <w:rsid w:val="00CC2847"/>
    <w:rsid w:val="00CC2A6A"/>
    <w:rsid w:val="00CC2E23"/>
    <w:rsid w:val="00CC5098"/>
    <w:rsid w:val="00CC5257"/>
    <w:rsid w:val="00CC63BF"/>
    <w:rsid w:val="00CC6537"/>
    <w:rsid w:val="00CC7726"/>
    <w:rsid w:val="00CC7905"/>
    <w:rsid w:val="00CC7EE5"/>
    <w:rsid w:val="00CD0B62"/>
    <w:rsid w:val="00CD2BAB"/>
    <w:rsid w:val="00CD3889"/>
    <w:rsid w:val="00CD46CE"/>
    <w:rsid w:val="00CD5827"/>
    <w:rsid w:val="00CD61A5"/>
    <w:rsid w:val="00CD7429"/>
    <w:rsid w:val="00CE0179"/>
    <w:rsid w:val="00CE24D1"/>
    <w:rsid w:val="00CE5A6B"/>
    <w:rsid w:val="00CE5B89"/>
    <w:rsid w:val="00CE690B"/>
    <w:rsid w:val="00CE6BBA"/>
    <w:rsid w:val="00CF11BC"/>
    <w:rsid w:val="00CF11C9"/>
    <w:rsid w:val="00CF1709"/>
    <w:rsid w:val="00CF19AA"/>
    <w:rsid w:val="00CF1D38"/>
    <w:rsid w:val="00CF348A"/>
    <w:rsid w:val="00CF5105"/>
    <w:rsid w:val="00CF6DB6"/>
    <w:rsid w:val="00CF6E5C"/>
    <w:rsid w:val="00CF7F40"/>
    <w:rsid w:val="00D015CD"/>
    <w:rsid w:val="00D01820"/>
    <w:rsid w:val="00D0257B"/>
    <w:rsid w:val="00D034C0"/>
    <w:rsid w:val="00D03B66"/>
    <w:rsid w:val="00D03CA2"/>
    <w:rsid w:val="00D044DF"/>
    <w:rsid w:val="00D06AAB"/>
    <w:rsid w:val="00D07592"/>
    <w:rsid w:val="00D07A39"/>
    <w:rsid w:val="00D105D6"/>
    <w:rsid w:val="00D10A58"/>
    <w:rsid w:val="00D12511"/>
    <w:rsid w:val="00D131F5"/>
    <w:rsid w:val="00D133B9"/>
    <w:rsid w:val="00D148F8"/>
    <w:rsid w:val="00D16F5C"/>
    <w:rsid w:val="00D17409"/>
    <w:rsid w:val="00D1790D"/>
    <w:rsid w:val="00D20477"/>
    <w:rsid w:val="00D20BB3"/>
    <w:rsid w:val="00D24837"/>
    <w:rsid w:val="00D249F6"/>
    <w:rsid w:val="00D24FAC"/>
    <w:rsid w:val="00D25018"/>
    <w:rsid w:val="00D255DC"/>
    <w:rsid w:val="00D25AF0"/>
    <w:rsid w:val="00D25C2E"/>
    <w:rsid w:val="00D3066A"/>
    <w:rsid w:val="00D30819"/>
    <w:rsid w:val="00D30844"/>
    <w:rsid w:val="00D30ABC"/>
    <w:rsid w:val="00D3212F"/>
    <w:rsid w:val="00D338B4"/>
    <w:rsid w:val="00D35307"/>
    <w:rsid w:val="00D35D2D"/>
    <w:rsid w:val="00D36796"/>
    <w:rsid w:val="00D36B59"/>
    <w:rsid w:val="00D4012F"/>
    <w:rsid w:val="00D41A9A"/>
    <w:rsid w:val="00D42416"/>
    <w:rsid w:val="00D43ACF"/>
    <w:rsid w:val="00D441E1"/>
    <w:rsid w:val="00D44670"/>
    <w:rsid w:val="00D47D91"/>
    <w:rsid w:val="00D47E5C"/>
    <w:rsid w:val="00D50DC9"/>
    <w:rsid w:val="00D50EA3"/>
    <w:rsid w:val="00D50FAD"/>
    <w:rsid w:val="00D513B7"/>
    <w:rsid w:val="00D52B9A"/>
    <w:rsid w:val="00D5336F"/>
    <w:rsid w:val="00D53912"/>
    <w:rsid w:val="00D544E2"/>
    <w:rsid w:val="00D54C91"/>
    <w:rsid w:val="00D54F35"/>
    <w:rsid w:val="00D55679"/>
    <w:rsid w:val="00D55963"/>
    <w:rsid w:val="00D55EFE"/>
    <w:rsid w:val="00D55FFD"/>
    <w:rsid w:val="00D5716E"/>
    <w:rsid w:val="00D600B8"/>
    <w:rsid w:val="00D6103E"/>
    <w:rsid w:val="00D640EF"/>
    <w:rsid w:val="00D645F9"/>
    <w:rsid w:val="00D64C8F"/>
    <w:rsid w:val="00D673A0"/>
    <w:rsid w:val="00D67F71"/>
    <w:rsid w:val="00D7005E"/>
    <w:rsid w:val="00D71177"/>
    <w:rsid w:val="00D7148E"/>
    <w:rsid w:val="00D765AD"/>
    <w:rsid w:val="00D769EF"/>
    <w:rsid w:val="00D76A86"/>
    <w:rsid w:val="00D7719B"/>
    <w:rsid w:val="00D805D4"/>
    <w:rsid w:val="00D809D4"/>
    <w:rsid w:val="00D80BBC"/>
    <w:rsid w:val="00D81AC0"/>
    <w:rsid w:val="00D82244"/>
    <w:rsid w:val="00D825B9"/>
    <w:rsid w:val="00D835F2"/>
    <w:rsid w:val="00D83A5C"/>
    <w:rsid w:val="00D84AD4"/>
    <w:rsid w:val="00D84DDE"/>
    <w:rsid w:val="00D852E3"/>
    <w:rsid w:val="00D86225"/>
    <w:rsid w:val="00D878FC"/>
    <w:rsid w:val="00D9027A"/>
    <w:rsid w:val="00D90E4C"/>
    <w:rsid w:val="00D9264B"/>
    <w:rsid w:val="00D92C2B"/>
    <w:rsid w:val="00D92C35"/>
    <w:rsid w:val="00D931C7"/>
    <w:rsid w:val="00D936B8"/>
    <w:rsid w:val="00D93B1F"/>
    <w:rsid w:val="00D94B2C"/>
    <w:rsid w:val="00D95BD0"/>
    <w:rsid w:val="00D97610"/>
    <w:rsid w:val="00DA2153"/>
    <w:rsid w:val="00DA3675"/>
    <w:rsid w:val="00DA37B4"/>
    <w:rsid w:val="00DA3E89"/>
    <w:rsid w:val="00DA3F2F"/>
    <w:rsid w:val="00DA4BB8"/>
    <w:rsid w:val="00DA5348"/>
    <w:rsid w:val="00DA61EC"/>
    <w:rsid w:val="00DA6D22"/>
    <w:rsid w:val="00DB0441"/>
    <w:rsid w:val="00DB06BA"/>
    <w:rsid w:val="00DB0972"/>
    <w:rsid w:val="00DB200E"/>
    <w:rsid w:val="00DB2EEB"/>
    <w:rsid w:val="00DB30EE"/>
    <w:rsid w:val="00DB398F"/>
    <w:rsid w:val="00DB3CCF"/>
    <w:rsid w:val="00DB4AFA"/>
    <w:rsid w:val="00DB5692"/>
    <w:rsid w:val="00DB5964"/>
    <w:rsid w:val="00DB6813"/>
    <w:rsid w:val="00DC067D"/>
    <w:rsid w:val="00DC127E"/>
    <w:rsid w:val="00DC1472"/>
    <w:rsid w:val="00DC38B8"/>
    <w:rsid w:val="00DC3D06"/>
    <w:rsid w:val="00DC404D"/>
    <w:rsid w:val="00DC4AB7"/>
    <w:rsid w:val="00DC6BC4"/>
    <w:rsid w:val="00DC6C16"/>
    <w:rsid w:val="00DD2ADA"/>
    <w:rsid w:val="00DD3481"/>
    <w:rsid w:val="00DD452B"/>
    <w:rsid w:val="00DD4577"/>
    <w:rsid w:val="00DD560A"/>
    <w:rsid w:val="00DD6C5D"/>
    <w:rsid w:val="00DD6CA1"/>
    <w:rsid w:val="00DD7DDD"/>
    <w:rsid w:val="00DE0AA7"/>
    <w:rsid w:val="00DE1D3B"/>
    <w:rsid w:val="00DE1ECA"/>
    <w:rsid w:val="00DE22A6"/>
    <w:rsid w:val="00DE312F"/>
    <w:rsid w:val="00DE4F20"/>
    <w:rsid w:val="00DE5F4A"/>
    <w:rsid w:val="00DE79B6"/>
    <w:rsid w:val="00DF1755"/>
    <w:rsid w:val="00DF17C5"/>
    <w:rsid w:val="00DF205A"/>
    <w:rsid w:val="00DF3310"/>
    <w:rsid w:val="00DF4222"/>
    <w:rsid w:val="00DF561D"/>
    <w:rsid w:val="00DF58CB"/>
    <w:rsid w:val="00E00193"/>
    <w:rsid w:val="00E01C0A"/>
    <w:rsid w:val="00E023AC"/>
    <w:rsid w:val="00E02E4F"/>
    <w:rsid w:val="00E03096"/>
    <w:rsid w:val="00E03FDE"/>
    <w:rsid w:val="00E04625"/>
    <w:rsid w:val="00E04D8C"/>
    <w:rsid w:val="00E05C0F"/>
    <w:rsid w:val="00E0675F"/>
    <w:rsid w:val="00E07A73"/>
    <w:rsid w:val="00E07C70"/>
    <w:rsid w:val="00E1067F"/>
    <w:rsid w:val="00E1080A"/>
    <w:rsid w:val="00E108BF"/>
    <w:rsid w:val="00E10BB2"/>
    <w:rsid w:val="00E10EC5"/>
    <w:rsid w:val="00E1117F"/>
    <w:rsid w:val="00E120B0"/>
    <w:rsid w:val="00E1288C"/>
    <w:rsid w:val="00E12E58"/>
    <w:rsid w:val="00E135EC"/>
    <w:rsid w:val="00E155BE"/>
    <w:rsid w:val="00E171AD"/>
    <w:rsid w:val="00E17611"/>
    <w:rsid w:val="00E17761"/>
    <w:rsid w:val="00E17E50"/>
    <w:rsid w:val="00E2046B"/>
    <w:rsid w:val="00E20B94"/>
    <w:rsid w:val="00E21300"/>
    <w:rsid w:val="00E239F4"/>
    <w:rsid w:val="00E25BBE"/>
    <w:rsid w:val="00E2648A"/>
    <w:rsid w:val="00E264F2"/>
    <w:rsid w:val="00E2750F"/>
    <w:rsid w:val="00E304F2"/>
    <w:rsid w:val="00E30678"/>
    <w:rsid w:val="00E30D2B"/>
    <w:rsid w:val="00E31F3D"/>
    <w:rsid w:val="00E324D8"/>
    <w:rsid w:val="00E32712"/>
    <w:rsid w:val="00E327A2"/>
    <w:rsid w:val="00E331B9"/>
    <w:rsid w:val="00E348DB"/>
    <w:rsid w:val="00E34B0B"/>
    <w:rsid w:val="00E34FA2"/>
    <w:rsid w:val="00E34FE9"/>
    <w:rsid w:val="00E35783"/>
    <w:rsid w:val="00E35A38"/>
    <w:rsid w:val="00E36141"/>
    <w:rsid w:val="00E361A8"/>
    <w:rsid w:val="00E365DF"/>
    <w:rsid w:val="00E373A8"/>
    <w:rsid w:val="00E37E6E"/>
    <w:rsid w:val="00E41AF1"/>
    <w:rsid w:val="00E41D90"/>
    <w:rsid w:val="00E4250E"/>
    <w:rsid w:val="00E42FBF"/>
    <w:rsid w:val="00E43318"/>
    <w:rsid w:val="00E43C49"/>
    <w:rsid w:val="00E44181"/>
    <w:rsid w:val="00E44A63"/>
    <w:rsid w:val="00E44D70"/>
    <w:rsid w:val="00E460C9"/>
    <w:rsid w:val="00E467B5"/>
    <w:rsid w:val="00E47171"/>
    <w:rsid w:val="00E471B3"/>
    <w:rsid w:val="00E472D1"/>
    <w:rsid w:val="00E511D4"/>
    <w:rsid w:val="00E51715"/>
    <w:rsid w:val="00E52E3C"/>
    <w:rsid w:val="00E53224"/>
    <w:rsid w:val="00E53F3E"/>
    <w:rsid w:val="00E543F8"/>
    <w:rsid w:val="00E54F4B"/>
    <w:rsid w:val="00E5545C"/>
    <w:rsid w:val="00E5563D"/>
    <w:rsid w:val="00E57645"/>
    <w:rsid w:val="00E61471"/>
    <w:rsid w:val="00E616C9"/>
    <w:rsid w:val="00E6193E"/>
    <w:rsid w:val="00E61BFC"/>
    <w:rsid w:val="00E63C6D"/>
    <w:rsid w:val="00E64DC3"/>
    <w:rsid w:val="00E656D0"/>
    <w:rsid w:val="00E66042"/>
    <w:rsid w:val="00E677A3"/>
    <w:rsid w:val="00E67A99"/>
    <w:rsid w:val="00E70090"/>
    <w:rsid w:val="00E708BC"/>
    <w:rsid w:val="00E70CA9"/>
    <w:rsid w:val="00E70ED9"/>
    <w:rsid w:val="00E711F9"/>
    <w:rsid w:val="00E71B66"/>
    <w:rsid w:val="00E72C46"/>
    <w:rsid w:val="00E74476"/>
    <w:rsid w:val="00E75BBA"/>
    <w:rsid w:val="00E7609B"/>
    <w:rsid w:val="00E768B1"/>
    <w:rsid w:val="00E77959"/>
    <w:rsid w:val="00E77EB6"/>
    <w:rsid w:val="00E805F5"/>
    <w:rsid w:val="00E8107C"/>
    <w:rsid w:val="00E814DE"/>
    <w:rsid w:val="00E8213C"/>
    <w:rsid w:val="00E83B66"/>
    <w:rsid w:val="00E8434F"/>
    <w:rsid w:val="00E844A2"/>
    <w:rsid w:val="00E91F23"/>
    <w:rsid w:val="00E92629"/>
    <w:rsid w:val="00E9276E"/>
    <w:rsid w:val="00E9466B"/>
    <w:rsid w:val="00E960D9"/>
    <w:rsid w:val="00E96845"/>
    <w:rsid w:val="00EA019C"/>
    <w:rsid w:val="00EA0378"/>
    <w:rsid w:val="00EA2D36"/>
    <w:rsid w:val="00EA45DC"/>
    <w:rsid w:val="00EA51B7"/>
    <w:rsid w:val="00EA55CC"/>
    <w:rsid w:val="00EA61F3"/>
    <w:rsid w:val="00EA6B44"/>
    <w:rsid w:val="00EA75ED"/>
    <w:rsid w:val="00EAC1E5"/>
    <w:rsid w:val="00EB0356"/>
    <w:rsid w:val="00EB0A0B"/>
    <w:rsid w:val="00EB2089"/>
    <w:rsid w:val="00EB2C26"/>
    <w:rsid w:val="00EB2C4D"/>
    <w:rsid w:val="00EB2FA0"/>
    <w:rsid w:val="00EB4F41"/>
    <w:rsid w:val="00EB5F38"/>
    <w:rsid w:val="00EB6373"/>
    <w:rsid w:val="00EB6DBE"/>
    <w:rsid w:val="00EB7BED"/>
    <w:rsid w:val="00EC110E"/>
    <w:rsid w:val="00EC1213"/>
    <w:rsid w:val="00EC1689"/>
    <w:rsid w:val="00EC29FB"/>
    <w:rsid w:val="00EC51C0"/>
    <w:rsid w:val="00EC5AA3"/>
    <w:rsid w:val="00EC63C8"/>
    <w:rsid w:val="00EC6B0B"/>
    <w:rsid w:val="00EC71DB"/>
    <w:rsid w:val="00ED0812"/>
    <w:rsid w:val="00ED09A3"/>
    <w:rsid w:val="00ED1082"/>
    <w:rsid w:val="00ED15BC"/>
    <w:rsid w:val="00ED24FC"/>
    <w:rsid w:val="00ED4D63"/>
    <w:rsid w:val="00ED62D1"/>
    <w:rsid w:val="00ED6C0D"/>
    <w:rsid w:val="00EE0113"/>
    <w:rsid w:val="00EE0F91"/>
    <w:rsid w:val="00EE2472"/>
    <w:rsid w:val="00EE27B1"/>
    <w:rsid w:val="00EE2E4F"/>
    <w:rsid w:val="00EE3705"/>
    <w:rsid w:val="00EE464F"/>
    <w:rsid w:val="00EE4B90"/>
    <w:rsid w:val="00EE4D2F"/>
    <w:rsid w:val="00EE5551"/>
    <w:rsid w:val="00EE57B4"/>
    <w:rsid w:val="00EE5BE8"/>
    <w:rsid w:val="00EE5D69"/>
    <w:rsid w:val="00EE73C2"/>
    <w:rsid w:val="00EE75C2"/>
    <w:rsid w:val="00EE7B04"/>
    <w:rsid w:val="00EF080D"/>
    <w:rsid w:val="00EF1E94"/>
    <w:rsid w:val="00EF33EB"/>
    <w:rsid w:val="00EF3EE2"/>
    <w:rsid w:val="00EF4EE9"/>
    <w:rsid w:val="00EF54DA"/>
    <w:rsid w:val="00EF7055"/>
    <w:rsid w:val="00EF7810"/>
    <w:rsid w:val="00F00D25"/>
    <w:rsid w:val="00F028D4"/>
    <w:rsid w:val="00F02E15"/>
    <w:rsid w:val="00F0326D"/>
    <w:rsid w:val="00F032CC"/>
    <w:rsid w:val="00F0385F"/>
    <w:rsid w:val="00F03A80"/>
    <w:rsid w:val="00F03C29"/>
    <w:rsid w:val="00F046E8"/>
    <w:rsid w:val="00F05878"/>
    <w:rsid w:val="00F0752F"/>
    <w:rsid w:val="00F0775E"/>
    <w:rsid w:val="00F078AA"/>
    <w:rsid w:val="00F10147"/>
    <w:rsid w:val="00F12FDD"/>
    <w:rsid w:val="00F13756"/>
    <w:rsid w:val="00F16680"/>
    <w:rsid w:val="00F16AD7"/>
    <w:rsid w:val="00F20129"/>
    <w:rsid w:val="00F20736"/>
    <w:rsid w:val="00F21481"/>
    <w:rsid w:val="00F226B4"/>
    <w:rsid w:val="00F22DB5"/>
    <w:rsid w:val="00F22EB2"/>
    <w:rsid w:val="00F24032"/>
    <w:rsid w:val="00F25922"/>
    <w:rsid w:val="00F25D3D"/>
    <w:rsid w:val="00F25E1D"/>
    <w:rsid w:val="00F26D2A"/>
    <w:rsid w:val="00F26E2D"/>
    <w:rsid w:val="00F26F2F"/>
    <w:rsid w:val="00F27FEF"/>
    <w:rsid w:val="00F3159C"/>
    <w:rsid w:val="00F318FA"/>
    <w:rsid w:val="00F3263E"/>
    <w:rsid w:val="00F350F6"/>
    <w:rsid w:val="00F35481"/>
    <w:rsid w:val="00F3612E"/>
    <w:rsid w:val="00F3617E"/>
    <w:rsid w:val="00F3644C"/>
    <w:rsid w:val="00F40CE6"/>
    <w:rsid w:val="00F41AB0"/>
    <w:rsid w:val="00F423AB"/>
    <w:rsid w:val="00F424CE"/>
    <w:rsid w:val="00F446FB"/>
    <w:rsid w:val="00F44C59"/>
    <w:rsid w:val="00F4532A"/>
    <w:rsid w:val="00F46316"/>
    <w:rsid w:val="00F50268"/>
    <w:rsid w:val="00F52913"/>
    <w:rsid w:val="00F52AB4"/>
    <w:rsid w:val="00F52E62"/>
    <w:rsid w:val="00F53B6D"/>
    <w:rsid w:val="00F541C6"/>
    <w:rsid w:val="00F54275"/>
    <w:rsid w:val="00F55BC7"/>
    <w:rsid w:val="00F56B8D"/>
    <w:rsid w:val="00F57BF6"/>
    <w:rsid w:val="00F57D49"/>
    <w:rsid w:val="00F610FB"/>
    <w:rsid w:val="00F61740"/>
    <w:rsid w:val="00F61BE1"/>
    <w:rsid w:val="00F620DD"/>
    <w:rsid w:val="00F6425E"/>
    <w:rsid w:val="00F647A1"/>
    <w:rsid w:val="00F64BE6"/>
    <w:rsid w:val="00F64FBC"/>
    <w:rsid w:val="00F654AB"/>
    <w:rsid w:val="00F65C2A"/>
    <w:rsid w:val="00F667B9"/>
    <w:rsid w:val="00F66F36"/>
    <w:rsid w:val="00F670CD"/>
    <w:rsid w:val="00F678A6"/>
    <w:rsid w:val="00F67BF5"/>
    <w:rsid w:val="00F67DDC"/>
    <w:rsid w:val="00F70879"/>
    <w:rsid w:val="00F7087C"/>
    <w:rsid w:val="00F7123F"/>
    <w:rsid w:val="00F71415"/>
    <w:rsid w:val="00F718D3"/>
    <w:rsid w:val="00F71C41"/>
    <w:rsid w:val="00F71E1C"/>
    <w:rsid w:val="00F7208E"/>
    <w:rsid w:val="00F7253F"/>
    <w:rsid w:val="00F7308C"/>
    <w:rsid w:val="00F74F9D"/>
    <w:rsid w:val="00F7597D"/>
    <w:rsid w:val="00F80665"/>
    <w:rsid w:val="00F80E2B"/>
    <w:rsid w:val="00F81123"/>
    <w:rsid w:val="00F813D6"/>
    <w:rsid w:val="00F8192A"/>
    <w:rsid w:val="00F8330A"/>
    <w:rsid w:val="00F83BD6"/>
    <w:rsid w:val="00F847B8"/>
    <w:rsid w:val="00F85677"/>
    <w:rsid w:val="00F86BCA"/>
    <w:rsid w:val="00F8720E"/>
    <w:rsid w:val="00F90137"/>
    <w:rsid w:val="00F91C92"/>
    <w:rsid w:val="00F92E66"/>
    <w:rsid w:val="00F93B1E"/>
    <w:rsid w:val="00F95738"/>
    <w:rsid w:val="00F9628C"/>
    <w:rsid w:val="00F971DB"/>
    <w:rsid w:val="00FA04B9"/>
    <w:rsid w:val="00FA078A"/>
    <w:rsid w:val="00FA0AFF"/>
    <w:rsid w:val="00FA0D32"/>
    <w:rsid w:val="00FA1477"/>
    <w:rsid w:val="00FA2019"/>
    <w:rsid w:val="00FA28FC"/>
    <w:rsid w:val="00FA2A39"/>
    <w:rsid w:val="00FA3010"/>
    <w:rsid w:val="00FA3FAB"/>
    <w:rsid w:val="00FA5ED8"/>
    <w:rsid w:val="00FA7EE2"/>
    <w:rsid w:val="00FB180C"/>
    <w:rsid w:val="00FB21FF"/>
    <w:rsid w:val="00FB39BF"/>
    <w:rsid w:val="00FB3A09"/>
    <w:rsid w:val="00FB3BDC"/>
    <w:rsid w:val="00FB4D5E"/>
    <w:rsid w:val="00FB551A"/>
    <w:rsid w:val="00FB6BD5"/>
    <w:rsid w:val="00FB6D16"/>
    <w:rsid w:val="00FB6DB0"/>
    <w:rsid w:val="00FB7C7B"/>
    <w:rsid w:val="00FC22B3"/>
    <w:rsid w:val="00FC2AFD"/>
    <w:rsid w:val="00FC2F94"/>
    <w:rsid w:val="00FC40D4"/>
    <w:rsid w:val="00FC5748"/>
    <w:rsid w:val="00FC5B97"/>
    <w:rsid w:val="00FC6992"/>
    <w:rsid w:val="00FC6F2D"/>
    <w:rsid w:val="00FC74BC"/>
    <w:rsid w:val="00FC77DD"/>
    <w:rsid w:val="00FC7F05"/>
    <w:rsid w:val="00FD0303"/>
    <w:rsid w:val="00FD03C0"/>
    <w:rsid w:val="00FD0C57"/>
    <w:rsid w:val="00FD108C"/>
    <w:rsid w:val="00FD11EE"/>
    <w:rsid w:val="00FD150A"/>
    <w:rsid w:val="00FD27F4"/>
    <w:rsid w:val="00FD2BA4"/>
    <w:rsid w:val="00FD3C0E"/>
    <w:rsid w:val="00FD5875"/>
    <w:rsid w:val="00FD6B23"/>
    <w:rsid w:val="00FE03A1"/>
    <w:rsid w:val="00FE1D68"/>
    <w:rsid w:val="00FE1E3F"/>
    <w:rsid w:val="00FE21D7"/>
    <w:rsid w:val="00FE22E0"/>
    <w:rsid w:val="00FE3213"/>
    <w:rsid w:val="00FE40D2"/>
    <w:rsid w:val="00FE45BD"/>
    <w:rsid w:val="00FE472C"/>
    <w:rsid w:val="00FE4AEF"/>
    <w:rsid w:val="00FE4BF5"/>
    <w:rsid w:val="00FE52F6"/>
    <w:rsid w:val="00FE5E66"/>
    <w:rsid w:val="00FE62C1"/>
    <w:rsid w:val="00FF0559"/>
    <w:rsid w:val="00FF11E9"/>
    <w:rsid w:val="00FF303A"/>
    <w:rsid w:val="00FF488A"/>
    <w:rsid w:val="00FF4CB0"/>
    <w:rsid w:val="00FF69A5"/>
    <w:rsid w:val="00FF7057"/>
    <w:rsid w:val="00FF71AF"/>
    <w:rsid w:val="00FF76E3"/>
    <w:rsid w:val="010B9D68"/>
    <w:rsid w:val="0112DD64"/>
    <w:rsid w:val="012C8902"/>
    <w:rsid w:val="01355DAA"/>
    <w:rsid w:val="014C21F6"/>
    <w:rsid w:val="0151BF11"/>
    <w:rsid w:val="016A7628"/>
    <w:rsid w:val="0170C526"/>
    <w:rsid w:val="017D96FE"/>
    <w:rsid w:val="01895A3C"/>
    <w:rsid w:val="0198276F"/>
    <w:rsid w:val="01B10AE0"/>
    <w:rsid w:val="01C1A66E"/>
    <w:rsid w:val="01E5AA41"/>
    <w:rsid w:val="01EA507B"/>
    <w:rsid w:val="01FA47AD"/>
    <w:rsid w:val="0207E2CC"/>
    <w:rsid w:val="020B2DA1"/>
    <w:rsid w:val="0218ADF4"/>
    <w:rsid w:val="02780B55"/>
    <w:rsid w:val="02ADF653"/>
    <w:rsid w:val="02B54749"/>
    <w:rsid w:val="02BB5DAE"/>
    <w:rsid w:val="02BF47AF"/>
    <w:rsid w:val="02CA294F"/>
    <w:rsid w:val="02ED8F72"/>
    <w:rsid w:val="02F5D756"/>
    <w:rsid w:val="031F814B"/>
    <w:rsid w:val="0322BCF9"/>
    <w:rsid w:val="033D9C83"/>
    <w:rsid w:val="03444F51"/>
    <w:rsid w:val="036A2ED8"/>
    <w:rsid w:val="0376D3FC"/>
    <w:rsid w:val="037BED51"/>
    <w:rsid w:val="0384F0C1"/>
    <w:rsid w:val="03A17D16"/>
    <w:rsid w:val="03A1A4B6"/>
    <w:rsid w:val="03CC32FF"/>
    <w:rsid w:val="03D21A96"/>
    <w:rsid w:val="03DCD440"/>
    <w:rsid w:val="03E37630"/>
    <w:rsid w:val="03EA3C8D"/>
    <w:rsid w:val="03FF17FF"/>
    <w:rsid w:val="0410E29D"/>
    <w:rsid w:val="0422B867"/>
    <w:rsid w:val="042461BF"/>
    <w:rsid w:val="042BF088"/>
    <w:rsid w:val="04339D7E"/>
    <w:rsid w:val="0439CF8D"/>
    <w:rsid w:val="045117AA"/>
    <w:rsid w:val="04853A44"/>
    <w:rsid w:val="0485DDCD"/>
    <w:rsid w:val="048C4DE7"/>
    <w:rsid w:val="049AC0F5"/>
    <w:rsid w:val="04C36303"/>
    <w:rsid w:val="04E74A4F"/>
    <w:rsid w:val="04EEC4F7"/>
    <w:rsid w:val="0500204E"/>
    <w:rsid w:val="050C3942"/>
    <w:rsid w:val="05253562"/>
    <w:rsid w:val="052EDFBE"/>
    <w:rsid w:val="053972F7"/>
    <w:rsid w:val="053F9F6E"/>
    <w:rsid w:val="05511159"/>
    <w:rsid w:val="05685B38"/>
    <w:rsid w:val="05709FBD"/>
    <w:rsid w:val="057F4C70"/>
    <w:rsid w:val="05C74940"/>
    <w:rsid w:val="05E3EC8A"/>
    <w:rsid w:val="05F2FE70"/>
    <w:rsid w:val="06030F6C"/>
    <w:rsid w:val="0608CD98"/>
    <w:rsid w:val="06291884"/>
    <w:rsid w:val="06487164"/>
    <w:rsid w:val="067172F3"/>
    <w:rsid w:val="067FBE93"/>
    <w:rsid w:val="0685F224"/>
    <w:rsid w:val="0689EFAC"/>
    <w:rsid w:val="0692BCAB"/>
    <w:rsid w:val="06A61340"/>
    <w:rsid w:val="06AEA495"/>
    <w:rsid w:val="06C42CF1"/>
    <w:rsid w:val="06DDD41E"/>
    <w:rsid w:val="06ED5E65"/>
    <w:rsid w:val="06FC557C"/>
    <w:rsid w:val="07154D7F"/>
    <w:rsid w:val="072E5740"/>
    <w:rsid w:val="073871A3"/>
    <w:rsid w:val="076051C5"/>
    <w:rsid w:val="076351B5"/>
    <w:rsid w:val="079DDA7B"/>
    <w:rsid w:val="07C79724"/>
    <w:rsid w:val="07D8231F"/>
    <w:rsid w:val="07EB8A14"/>
    <w:rsid w:val="07F60E38"/>
    <w:rsid w:val="0805BFBB"/>
    <w:rsid w:val="081B71E4"/>
    <w:rsid w:val="08387BFB"/>
    <w:rsid w:val="0852DD14"/>
    <w:rsid w:val="086E6BF7"/>
    <w:rsid w:val="0875BCB3"/>
    <w:rsid w:val="088C14E0"/>
    <w:rsid w:val="08B8DF91"/>
    <w:rsid w:val="08BEF325"/>
    <w:rsid w:val="08C13902"/>
    <w:rsid w:val="08D56EB1"/>
    <w:rsid w:val="08DED94A"/>
    <w:rsid w:val="08E31F73"/>
    <w:rsid w:val="08F35944"/>
    <w:rsid w:val="08F8F03E"/>
    <w:rsid w:val="09130D66"/>
    <w:rsid w:val="092C6799"/>
    <w:rsid w:val="0973F380"/>
    <w:rsid w:val="097C4E2A"/>
    <w:rsid w:val="0996A155"/>
    <w:rsid w:val="09E07E66"/>
    <w:rsid w:val="09E94746"/>
    <w:rsid w:val="09F50753"/>
    <w:rsid w:val="09F6F648"/>
    <w:rsid w:val="0A13EBC6"/>
    <w:rsid w:val="0A416DF6"/>
    <w:rsid w:val="0A55FB6F"/>
    <w:rsid w:val="0A5AEEFD"/>
    <w:rsid w:val="0A61598F"/>
    <w:rsid w:val="0A64AC9C"/>
    <w:rsid w:val="0A6E5983"/>
    <w:rsid w:val="0A7ABD08"/>
    <w:rsid w:val="0A7EFA87"/>
    <w:rsid w:val="0A7F2472"/>
    <w:rsid w:val="0A841133"/>
    <w:rsid w:val="0AA5D185"/>
    <w:rsid w:val="0AB204F5"/>
    <w:rsid w:val="0AC3ED56"/>
    <w:rsid w:val="0AC8CF72"/>
    <w:rsid w:val="0AEEF451"/>
    <w:rsid w:val="0AFB0146"/>
    <w:rsid w:val="0B054404"/>
    <w:rsid w:val="0B089762"/>
    <w:rsid w:val="0B3A3595"/>
    <w:rsid w:val="0B5C4F67"/>
    <w:rsid w:val="0B5DBCFC"/>
    <w:rsid w:val="0B723433"/>
    <w:rsid w:val="0B783615"/>
    <w:rsid w:val="0B7B7AC6"/>
    <w:rsid w:val="0BA63012"/>
    <w:rsid w:val="0BA75F1D"/>
    <w:rsid w:val="0BC412D4"/>
    <w:rsid w:val="0BC7CD5C"/>
    <w:rsid w:val="0BCF1E28"/>
    <w:rsid w:val="0BE37241"/>
    <w:rsid w:val="0BEE3349"/>
    <w:rsid w:val="0C2C12CB"/>
    <w:rsid w:val="0C46FCC7"/>
    <w:rsid w:val="0C495B3A"/>
    <w:rsid w:val="0C543893"/>
    <w:rsid w:val="0C54D899"/>
    <w:rsid w:val="0C623FF4"/>
    <w:rsid w:val="0C69035D"/>
    <w:rsid w:val="0C890D1C"/>
    <w:rsid w:val="0C8F4070"/>
    <w:rsid w:val="0CA5D2DA"/>
    <w:rsid w:val="0CA851A7"/>
    <w:rsid w:val="0CA93A98"/>
    <w:rsid w:val="0CBEFB37"/>
    <w:rsid w:val="0CCB5A02"/>
    <w:rsid w:val="0CCE7A2D"/>
    <w:rsid w:val="0CD933D7"/>
    <w:rsid w:val="0CF6FAB0"/>
    <w:rsid w:val="0CF81FC8"/>
    <w:rsid w:val="0D069795"/>
    <w:rsid w:val="0D0F3586"/>
    <w:rsid w:val="0D12D45F"/>
    <w:rsid w:val="0D423C34"/>
    <w:rsid w:val="0D457772"/>
    <w:rsid w:val="0D78C429"/>
    <w:rsid w:val="0DB2B300"/>
    <w:rsid w:val="0DC99AAD"/>
    <w:rsid w:val="0DCF33F8"/>
    <w:rsid w:val="0DD629A6"/>
    <w:rsid w:val="0DF72555"/>
    <w:rsid w:val="0DFE83C7"/>
    <w:rsid w:val="0E2EB9A0"/>
    <w:rsid w:val="0E41A33B"/>
    <w:rsid w:val="0E42B572"/>
    <w:rsid w:val="0E4441AB"/>
    <w:rsid w:val="0E50CAF0"/>
    <w:rsid w:val="0E52674E"/>
    <w:rsid w:val="0E6979E0"/>
    <w:rsid w:val="0E6BACE9"/>
    <w:rsid w:val="0E750438"/>
    <w:rsid w:val="0E7A6BFF"/>
    <w:rsid w:val="0EC1D63F"/>
    <w:rsid w:val="0F3CBE68"/>
    <w:rsid w:val="0F861A03"/>
    <w:rsid w:val="0F957746"/>
    <w:rsid w:val="0F9FB2EB"/>
    <w:rsid w:val="0FC4B1D4"/>
    <w:rsid w:val="0FCDA15B"/>
    <w:rsid w:val="0FDB1307"/>
    <w:rsid w:val="0FDC55E1"/>
    <w:rsid w:val="0FF311BC"/>
    <w:rsid w:val="0FFB2B66"/>
    <w:rsid w:val="0FFD91A7"/>
    <w:rsid w:val="1009C8BD"/>
    <w:rsid w:val="103F0D0E"/>
    <w:rsid w:val="1066AE81"/>
    <w:rsid w:val="10695EFA"/>
    <w:rsid w:val="106A744F"/>
    <w:rsid w:val="10909B00"/>
    <w:rsid w:val="10AB0DDF"/>
    <w:rsid w:val="10C70D6A"/>
    <w:rsid w:val="10D0D62F"/>
    <w:rsid w:val="10D58DA0"/>
    <w:rsid w:val="10E9D533"/>
    <w:rsid w:val="10EB6F2F"/>
    <w:rsid w:val="10F5075E"/>
    <w:rsid w:val="1100FBDA"/>
    <w:rsid w:val="11151701"/>
    <w:rsid w:val="1132EC48"/>
    <w:rsid w:val="11362489"/>
    <w:rsid w:val="115229DF"/>
    <w:rsid w:val="1165B263"/>
    <w:rsid w:val="11923A12"/>
    <w:rsid w:val="11FE1D07"/>
    <w:rsid w:val="1213927B"/>
    <w:rsid w:val="1226F458"/>
    <w:rsid w:val="122919DF"/>
    <w:rsid w:val="12293EF1"/>
    <w:rsid w:val="122D5E0B"/>
    <w:rsid w:val="1265B624"/>
    <w:rsid w:val="1274B3E3"/>
    <w:rsid w:val="12813A05"/>
    <w:rsid w:val="128A003F"/>
    <w:rsid w:val="128D97A7"/>
    <w:rsid w:val="1297593B"/>
    <w:rsid w:val="12AAAD13"/>
    <w:rsid w:val="12B8FC0A"/>
    <w:rsid w:val="12C57F19"/>
    <w:rsid w:val="130E5E77"/>
    <w:rsid w:val="132A5086"/>
    <w:rsid w:val="1348E48E"/>
    <w:rsid w:val="134C5E93"/>
    <w:rsid w:val="1376CF59"/>
    <w:rsid w:val="138119C4"/>
    <w:rsid w:val="1386A19D"/>
    <w:rsid w:val="139F6519"/>
    <w:rsid w:val="13C0EAF6"/>
    <w:rsid w:val="13E2AEBA"/>
    <w:rsid w:val="13F1C4FD"/>
    <w:rsid w:val="141EAC11"/>
    <w:rsid w:val="144E86A5"/>
    <w:rsid w:val="145912DA"/>
    <w:rsid w:val="145C3CEB"/>
    <w:rsid w:val="14600D9F"/>
    <w:rsid w:val="149232F9"/>
    <w:rsid w:val="1492D2EE"/>
    <w:rsid w:val="1497DEEC"/>
    <w:rsid w:val="14DCC7C4"/>
    <w:rsid w:val="14DDB392"/>
    <w:rsid w:val="152375EA"/>
    <w:rsid w:val="1523EA0C"/>
    <w:rsid w:val="15354839"/>
    <w:rsid w:val="153B68D9"/>
    <w:rsid w:val="154F11CF"/>
    <w:rsid w:val="155E928F"/>
    <w:rsid w:val="15602D83"/>
    <w:rsid w:val="15657781"/>
    <w:rsid w:val="1571DD9F"/>
    <w:rsid w:val="15B5401F"/>
    <w:rsid w:val="15C321DA"/>
    <w:rsid w:val="15CE6285"/>
    <w:rsid w:val="15E2BBF4"/>
    <w:rsid w:val="15E93E41"/>
    <w:rsid w:val="15F02FA8"/>
    <w:rsid w:val="15FB0D58"/>
    <w:rsid w:val="162F9813"/>
    <w:rsid w:val="1632742F"/>
    <w:rsid w:val="1635BD14"/>
    <w:rsid w:val="163756C0"/>
    <w:rsid w:val="163E42DB"/>
    <w:rsid w:val="163E9FC6"/>
    <w:rsid w:val="164D7F4A"/>
    <w:rsid w:val="1660DA1B"/>
    <w:rsid w:val="166A783C"/>
    <w:rsid w:val="16AA4E79"/>
    <w:rsid w:val="16C2B7AE"/>
    <w:rsid w:val="16DF867C"/>
    <w:rsid w:val="1729C0DD"/>
    <w:rsid w:val="17356BC8"/>
    <w:rsid w:val="173F1B94"/>
    <w:rsid w:val="17465823"/>
    <w:rsid w:val="174BA320"/>
    <w:rsid w:val="175B20AA"/>
    <w:rsid w:val="175E9CE5"/>
    <w:rsid w:val="17656B15"/>
    <w:rsid w:val="1785CE7D"/>
    <w:rsid w:val="17931CEB"/>
    <w:rsid w:val="17AC7A7F"/>
    <w:rsid w:val="17CC9C21"/>
    <w:rsid w:val="17CFDD6E"/>
    <w:rsid w:val="17DD9641"/>
    <w:rsid w:val="17E18CE6"/>
    <w:rsid w:val="17FDC1A9"/>
    <w:rsid w:val="180FD302"/>
    <w:rsid w:val="18112CD4"/>
    <w:rsid w:val="18251190"/>
    <w:rsid w:val="182C6F68"/>
    <w:rsid w:val="182FB53E"/>
    <w:rsid w:val="183328C8"/>
    <w:rsid w:val="1862CF46"/>
    <w:rsid w:val="18713F14"/>
    <w:rsid w:val="187C3411"/>
    <w:rsid w:val="1889B042"/>
    <w:rsid w:val="188F99F7"/>
    <w:rsid w:val="18933ABE"/>
    <w:rsid w:val="189BDECD"/>
    <w:rsid w:val="189F3B5B"/>
    <w:rsid w:val="18C2B7CA"/>
    <w:rsid w:val="18CEA731"/>
    <w:rsid w:val="18D13C29"/>
    <w:rsid w:val="18F68114"/>
    <w:rsid w:val="18FB04BE"/>
    <w:rsid w:val="1910EA80"/>
    <w:rsid w:val="191E3AA0"/>
    <w:rsid w:val="1920478B"/>
    <w:rsid w:val="19280CE4"/>
    <w:rsid w:val="193AB209"/>
    <w:rsid w:val="194F7FA1"/>
    <w:rsid w:val="19686C82"/>
    <w:rsid w:val="198A5D30"/>
    <w:rsid w:val="198C9726"/>
    <w:rsid w:val="1997E1C7"/>
    <w:rsid w:val="1998A979"/>
    <w:rsid w:val="19BB446C"/>
    <w:rsid w:val="19D94699"/>
    <w:rsid w:val="19E29EB8"/>
    <w:rsid w:val="1A1A7407"/>
    <w:rsid w:val="1A2CDF2E"/>
    <w:rsid w:val="1A3689A4"/>
    <w:rsid w:val="1A4405D5"/>
    <w:rsid w:val="1A4AD799"/>
    <w:rsid w:val="1A95A62F"/>
    <w:rsid w:val="1AA5056E"/>
    <w:rsid w:val="1AA81DB5"/>
    <w:rsid w:val="1AD82F8D"/>
    <w:rsid w:val="1AF60EF2"/>
    <w:rsid w:val="1B049BAB"/>
    <w:rsid w:val="1B1274B9"/>
    <w:rsid w:val="1B1FF3FB"/>
    <w:rsid w:val="1B2C32E3"/>
    <w:rsid w:val="1B3F482F"/>
    <w:rsid w:val="1B496829"/>
    <w:rsid w:val="1B6DEF5A"/>
    <w:rsid w:val="1B6E6F72"/>
    <w:rsid w:val="1B944F0F"/>
    <w:rsid w:val="1BAFA959"/>
    <w:rsid w:val="1BB2F79F"/>
    <w:rsid w:val="1BB8F981"/>
    <w:rsid w:val="1BC640B5"/>
    <w:rsid w:val="1BD7E033"/>
    <w:rsid w:val="1BDBDC1B"/>
    <w:rsid w:val="1BEB8FB9"/>
    <w:rsid w:val="1BF5AE0C"/>
    <w:rsid w:val="1BF9AFC3"/>
    <w:rsid w:val="1BFC11DD"/>
    <w:rsid w:val="1C0659A8"/>
    <w:rsid w:val="1C0C4777"/>
    <w:rsid w:val="1C0CB510"/>
    <w:rsid w:val="1C0F9AFB"/>
    <w:rsid w:val="1C165479"/>
    <w:rsid w:val="1C212076"/>
    <w:rsid w:val="1C220548"/>
    <w:rsid w:val="1C608FD0"/>
    <w:rsid w:val="1C6812D5"/>
    <w:rsid w:val="1C93AD96"/>
    <w:rsid w:val="1C9D0FF2"/>
    <w:rsid w:val="1CA41487"/>
    <w:rsid w:val="1CB9395F"/>
    <w:rsid w:val="1CCC9BF1"/>
    <w:rsid w:val="1CDC4FFD"/>
    <w:rsid w:val="1CE206E1"/>
    <w:rsid w:val="1CE81D16"/>
    <w:rsid w:val="1D03B6BA"/>
    <w:rsid w:val="1D1AE186"/>
    <w:rsid w:val="1D2518C0"/>
    <w:rsid w:val="1D28AA94"/>
    <w:rsid w:val="1D4596F9"/>
    <w:rsid w:val="1D45E9C4"/>
    <w:rsid w:val="1D54E361"/>
    <w:rsid w:val="1D59D398"/>
    <w:rsid w:val="1D6A0FAF"/>
    <w:rsid w:val="1D6C9A23"/>
    <w:rsid w:val="1D703320"/>
    <w:rsid w:val="1D809648"/>
    <w:rsid w:val="1DAC3626"/>
    <w:rsid w:val="1DB26642"/>
    <w:rsid w:val="1DBDD5A9"/>
    <w:rsid w:val="1DC40B95"/>
    <w:rsid w:val="1DD1DFBD"/>
    <w:rsid w:val="1DDFBE77"/>
    <w:rsid w:val="1E107E52"/>
    <w:rsid w:val="1E120C0A"/>
    <w:rsid w:val="1E27A797"/>
    <w:rsid w:val="1E43497F"/>
    <w:rsid w:val="1E46F3FC"/>
    <w:rsid w:val="1E5B2D5E"/>
    <w:rsid w:val="1E65E317"/>
    <w:rsid w:val="1E79651D"/>
    <w:rsid w:val="1E934F14"/>
    <w:rsid w:val="1EB9D07C"/>
    <w:rsid w:val="1EBAB3A2"/>
    <w:rsid w:val="1EBBE991"/>
    <w:rsid w:val="1EBD7BF4"/>
    <w:rsid w:val="1ED12CD8"/>
    <w:rsid w:val="1EDFF1A2"/>
    <w:rsid w:val="1F4D0A32"/>
    <w:rsid w:val="1F59A60A"/>
    <w:rsid w:val="1F62C185"/>
    <w:rsid w:val="1F669C78"/>
    <w:rsid w:val="1F7851A7"/>
    <w:rsid w:val="1F838C68"/>
    <w:rsid w:val="1F890434"/>
    <w:rsid w:val="1F99DDA8"/>
    <w:rsid w:val="2002C3D4"/>
    <w:rsid w:val="200478B7"/>
    <w:rsid w:val="20278A96"/>
    <w:rsid w:val="203517C2"/>
    <w:rsid w:val="20581ACD"/>
    <w:rsid w:val="20586526"/>
    <w:rsid w:val="2081E842"/>
    <w:rsid w:val="20B77AC6"/>
    <w:rsid w:val="20BEF4A5"/>
    <w:rsid w:val="20CA1C8A"/>
    <w:rsid w:val="20CE2113"/>
    <w:rsid w:val="20D6EE12"/>
    <w:rsid w:val="20E1BE9D"/>
    <w:rsid w:val="20E8DA93"/>
    <w:rsid w:val="210C412E"/>
    <w:rsid w:val="211B6984"/>
    <w:rsid w:val="21532482"/>
    <w:rsid w:val="21560356"/>
    <w:rsid w:val="216CF83B"/>
    <w:rsid w:val="217D67E9"/>
    <w:rsid w:val="21862CC2"/>
    <w:rsid w:val="21959427"/>
    <w:rsid w:val="21AFEAA3"/>
    <w:rsid w:val="21B22DDF"/>
    <w:rsid w:val="21C570BB"/>
    <w:rsid w:val="21F401EF"/>
    <w:rsid w:val="21FFDFBF"/>
    <w:rsid w:val="22361B8C"/>
    <w:rsid w:val="2239AEFE"/>
    <w:rsid w:val="225EA5D1"/>
    <w:rsid w:val="2269502D"/>
    <w:rsid w:val="229146CC"/>
    <w:rsid w:val="22B3128A"/>
    <w:rsid w:val="22BA74EF"/>
    <w:rsid w:val="22C74677"/>
    <w:rsid w:val="22EF1645"/>
    <w:rsid w:val="2321744C"/>
    <w:rsid w:val="232A488F"/>
    <w:rsid w:val="23306989"/>
    <w:rsid w:val="2338E317"/>
    <w:rsid w:val="236E5408"/>
    <w:rsid w:val="236F383A"/>
    <w:rsid w:val="2385B9BB"/>
    <w:rsid w:val="239C35BC"/>
    <w:rsid w:val="23DBDBA7"/>
    <w:rsid w:val="23DEBABE"/>
    <w:rsid w:val="23E9CF6F"/>
    <w:rsid w:val="23EDDF61"/>
    <w:rsid w:val="23F00B7D"/>
    <w:rsid w:val="23F6D0B5"/>
    <w:rsid w:val="23FA97AF"/>
    <w:rsid w:val="240B9426"/>
    <w:rsid w:val="243CD7EC"/>
    <w:rsid w:val="24411DE9"/>
    <w:rsid w:val="2454DC1B"/>
    <w:rsid w:val="246028A7"/>
    <w:rsid w:val="2465741E"/>
    <w:rsid w:val="2487A682"/>
    <w:rsid w:val="249BE14B"/>
    <w:rsid w:val="24B9A092"/>
    <w:rsid w:val="24BC8B39"/>
    <w:rsid w:val="24EFFB60"/>
    <w:rsid w:val="250179AD"/>
    <w:rsid w:val="250B5888"/>
    <w:rsid w:val="251453ED"/>
    <w:rsid w:val="251C10A1"/>
    <w:rsid w:val="251E88B3"/>
    <w:rsid w:val="251EAE8B"/>
    <w:rsid w:val="252DB11A"/>
    <w:rsid w:val="253857C0"/>
    <w:rsid w:val="256E8640"/>
    <w:rsid w:val="2570B848"/>
    <w:rsid w:val="2576BA2A"/>
    <w:rsid w:val="2595B221"/>
    <w:rsid w:val="25A9AE35"/>
    <w:rsid w:val="25AFBF31"/>
    <w:rsid w:val="25C81322"/>
    <w:rsid w:val="25D18AEF"/>
    <w:rsid w:val="25F07F65"/>
    <w:rsid w:val="25F7C03E"/>
    <w:rsid w:val="2608FFCE"/>
    <w:rsid w:val="26621D5B"/>
    <w:rsid w:val="269D7471"/>
    <w:rsid w:val="26BA5914"/>
    <w:rsid w:val="26CA6D4E"/>
    <w:rsid w:val="273F0C59"/>
    <w:rsid w:val="2747A3BF"/>
    <w:rsid w:val="2759C1F1"/>
    <w:rsid w:val="276C835E"/>
    <w:rsid w:val="279C7433"/>
    <w:rsid w:val="27A656FA"/>
    <w:rsid w:val="27AE3615"/>
    <w:rsid w:val="27B00A50"/>
    <w:rsid w:val="27B586BF"/>
    <w:rsid w:val="27B738FB"/>
    <w:rsid w:val="27BA119F"/>
    <w:rsid w:val="27CE54F1"/>
    <w:rsid w:val="27DE63EE"/>
    <w:rsid w:val="27EBD868"/>
    <w:rsid w:val="27F9CB50"/>
    <w:rsid w:val="27FF319C"/>
    <w:rsid w:val="280BCE94"/>
    <w:rsid w:val="28137B9C"/>
    <w:rsid w:val="2815790A"/>
    <w:rsid w:val="282F4D0D"/>
    <w:rsid w:val="283C77D1"/>
    <w:rsid w:val="283F5285"/>
    <w:rsid w:val="284EB7CB"/>
    <w:rsid w:val="28803FB5"/>
    <w:rsid w:val="288B88FE"/>
    <w:rsid w:val="2899682D"/>
    <w:rsid w:val="28B95F78"/>
    <w:rsid w:val="28F0C7BE"/>
    <w:rsid w:val="293E963C"/>
    <w:rsid w:val="29728217"/>
    <w:rsid w:val="2975AD3B"/>
    <w:rsid w:val="2980D345"/>
    <w:rsid w:val="2986F43C"/>
    <w:rsid w:val="299A041C"/>
    <w:rsid w:val="29BE998D"/>
    <w:rsid w:val="29BF2A43"/>
    <w:rsid w:val="29C8EA02"/>
    <w:rsid w:val="29CEAD4D"/>
    <w:rsid w:val="29DB22E6"/>
    <w:rsid w:val="29DD958C"/>
    <w:rsid w:val="29F6F316"/>
    <w:rsid w:val="2A170277"/>
    <w:rsid w:val="2A1C4D70"/>
    <w:rsid w:val="2A375391"/>
    <w:rsid w:val="2A4AF07E"/>
    <w:rsid w:val="2A95DCBF"/>
    <w:rsid w:val="2AB567BC"/>
    <w:rsid w:val="2B9D1BFA"/>
    <w:rsid w:val="2BA30553"/>
    <w:rsid w:val="2BA782EF"/>
    <w:rsid w:val="2BB81363"/>
    <w:rsid w:val="2BD773C5"/>
    <w:rsid w:val="2BE23595"/>
    <w:rsid w:val="2C0220A2"/>
    <w:rsid w:val="2C022899"/>
    <w:rsid w:val="2C185027"/>
    <w:rsid w:val="2C24AC94"/>
    <w:rsid w:val="2C464211"/>
    <w:rsid w:val="2C4ACB00"/>
    <w:rsid w:val="2C77B523"/>
    <w:rsid w:val="2C81681A"/>
    <w:rsid w:val="2C86E731"/>
    <w:rsid w:val="2CC77F82"/>
    <w:rsid w:val="2CE8B75C"/>
    <w:rsid w:val="2D11C78F"/>
    <w:rsid w:val="2D121237"/>
    <w:rsid w:val="2D1DB293"/>
    <w:rsid w:val="2D2363E0"/>
    <w:rsid w:val="2D26785F"/>
    <w:rsid w:val="2D28B742"/>
    <w:rsid w:val="2D2DAE4B"/>
    <w:rsid w:val="2D3585A6"/>
    <w:rsid w:val="2D43CA71"/>
    <w:rsid w:val="2D70AA02"/>
    <w:rsid w:val="2D72D80B"/>
    <w:rsid w:val="2D8F7735"/>
    <w:rsid w:val="2DAE19EC"/>
    <w:rsid w:val="2DBF240D"/>
    <w:rsid w:val="2DCD7848"/>
    <w:rsid w:val="2DCDD8A6"/>
    <w:rsid w:val="2DD55C57"/>
    <w:rsid w:val="2DDA68AF"/>
    <w:rsid w:val="2E0B996B"/>
    <w:rsid w:val="2E29C36B"/>
    <w:rsid w:val="2E3CF121"/>
    <w:rsid w:val="2E3F8FAE"/>
    <w:rsid w:val="2E494D55"/>
    <w:rsid w:val="2E8B1382"/>
    <w:rsid w:val="2EAD1C3B"/>
    <w:rsid w:val="2EAEFCE6"/>
    <w:rsid w:val="2EEFBE93"/>
    <w:rsid w:val="2F08A9B1"/>
    <w:rsid w:val="2F0AB6F5"/>
    <w:rsid w:val="2F28E893"/>
    <w:rsid w:val="2F3C273B"/>
    <w:rsid w:val="2F488565"/>
    <w:rsid w:val="2F6BF46D"/>
    <w:rsid w:val="2F70DF72"/>
    <w:rsid w:val="2F7F75AB"/>
    <w:rsid w:val="2F84C8C3"/>
    <w:rsid w:val="2F8E7DB5"/>
    <w:rsid w:val="2F983DE1"/>
    <w:rsid w:val="2FA9655B"/>
    <w:rsid w:val="2FB05528"/>
    <w:rsid w:val="2FE1B903"/>
    <w:rsid w:val="2FF627BB"/>
    <w:rsid w:val="2FFA67AE"/>
    <w:rsid w:val="300B931A"/>
    <w:rsid w:val="301A3999"/>
    <w:rsid w:val="30238690"/>
    <w:rsid w:val="3064EA66"/>
    <w:rsid w:val="30767676"/>
    <w:rsid w:val="30B45B97"/>
    <w:rsid w:val="3108B5E2"/>
    <w:rsid w:val="311B1EC6"/>
    <w:rsid w:val="3133BBA9"/>
    <w:rsid w:val="3139ACD1"/>
    <w:rsid w:val="3141BB1C"/>
    <w:rsid w:val="31431910"/>
    <w:rsid w:val="3156824A"/>
    <w:rsid w:val="31589D76"/>
    <w:rsid w:val="31596BEC"/>
    <w:rsid w:val="31704734"/>
    <w:rsid w:val="317B577E"/>
    <w:rsid w:val="3198369E"/>
    <w:rsid w:val="31A43E12"/>
    <w:rsid w:val="31AA7A77"/>
    <w:rsid w:val="31B98ABF"/>
    <w:rsid w:val="31BB24EF"/>
    <w:rsid w:val="31E634CB"/>
    <w:rsid w:val="31EAE09F"/>
    <w:rsid w:val="31EDA970"/>
    <w:rsid w:val="31FCC950"/>
    <w:rsid w:val="3223E493"/>
    <w:rsid w:val="3230BA14"/>
    <w:rsid w:val="323C14D5"/>
    <w:rsid w:val="324480C7"/>
    <w:rsid w:val="3279C74C"/>
    <w:rsid w:val="327E5A6B"/>
    <w:rsid w:val="328E4239"/>
    <w:rsid w:val="32A56D16"/>
    <w:rsid w:val="32A6387F"/>
    <w:rsid w:val="32E1CEC0"/>
    <w:rsid w:val="32F628B5"/>
    <w:rsid w:val="331BC536"/>
    <w:rsid w:val="3398DC1C"/>
    <w:rsid w:val="33A9FCEB"/>
    <w:rsid w:val="33D14BDC"/>
    <w:rsid w:val="33D252AF"/>
    <w:rsid w:val="33D8AA67"/>
    <w:rsid w:val="33DDD176"/>
    <w:rsid w:val="33EF6C67"/>
    <w:rsid w:val="34034420"/>
    <w:rsid w:val="340BBAF7"/>
    <w:rsid w:val="3416B0D1"/>
    <w:rsid w:val="3428139A"/>
    <w:rsid w:val="342A129A"/>
    <w:rsid w:val="34309B38"/>
    <w:rsid w:val="343A440F"/>
    <w:rsid w:val="345B9E61"/>
    <w:rsid w:val="3470DF05"/>
    <w:rsid w:val="34955C5B"/>
    <w:rsid w:val="34A22C97"/>
    <w:rsid w:val="34A3A8AB"/>
    <w:rsid w:val="34ADB652"/>
    <w:rsid w:val="34BC3953"/>
    <w:rsid w:val="34C59BAF"/>
    <w:rsid w:val="34C6ABC5"/>
    <w:rsid w:val="34CBF17C"/>
    <w:rsid w:val="34E66CB3"/>
    <w:rsid w:val="35043611"/>
    <w:rsid w:val="350F3B49"/>
    <w:rsid w:val="3530BF3C"/>
    <w:rsid w:val="35692424"/>
    <w:rsid w:val="3579A1D7"/>
    <w:rsid w:val="3584101F"/>
    <w:rsid w:val="358DAF98"/>
    <w:rsid w:val="35954BE5"/>
    <w:rsid w:val="3595BD58"/>
    <w:rsid w:val="359DA68F"/>
    <w:rsid w:val="35A57069"/>
    <w:rsid w:val="35FD9F3F"/>
    <w:rsid w:val="361C446B"/>
    <w:rsid w:val="36376F9E"/>
    <w:rsid w:val="363EF782"/>
    <w:rsid w:val="3643E4DB"/>
    <w:rsid w:val="365A72FC"/>
    <w:rsid w:val="3680700A"/>
    <w:rsid w:val="3692F04D"/>
    <w:rsid w:val="36B3E14B"/>
    <w:rsid w:val="36D07CDE"/>
    <w:rsid w:val="36D4312F"/>
    <w:rsid w:val="36D70673"/>
    <w:rsid w:val="36F2BF4D"/>
    <w:rsid w:val="36F654C9"/>
    <w:rsid w:val="370887F7"/>
    <w:rsid w:val="370C27F5"/>
    <w:rsid w:val="37342F67"/>
    <w:rsid w:val="374E5193"/>
    <w:rsid w:val="37846F36"/>
    <w:rsid w:val="378EE5CD"/>
    <w:rsid w:val="3795D6ED"/>
    <w:rsid w:val="3796B80D"/>
    <w:rsid w:val="379F5211"/>
    <w:rsid w:val="37F4E528"/>
    <w:rsid w:val="38189B95"/>
    <w:rsid w:val="3819B781"/>
    <w:rsid w:val="38291F13"/>
    <w:rsid w:val="3844F9A8"/>
    <w:rsid w:val="384FE382"/>
    <w:rsid w:val="387ED584"/>
    <w:rsid w:val="388235E2"/>
    <w:rsid w:val="388DD8CD"/>
    <w:rsid w:val="388FB8EA"/>
    <w:rsid w:val="38AC1B8A"/>
    <w:rsid w:val="38B3C24B"/>
    <w:rsid w:val="38C5DA81"/>
    <w:rsid w:val="38CB3215"/>
    <w:rsid w:val="38DF1ECF"/>
    <w:rsid w:val="39122004"/>
    <w:rsid w:val="3953BB78"/>
    <w:rsid w:val="395DCAF1"/>
    <w:rsid w:val="39642D71"/>
    <w:rsid w:val="397BEA81"/>
    <w:rsid w:val="39961B70"/>
    <w:rsid w:val="399E137A"/>
    <w:rsid w:val="399F629F"/>
    <w:rsid w:val="39A43F33"/>
    <w:rsid w:val="39AD0E77"/>
    <w:rsid w:val="39B5A363"/>
    <w:rsid w:val="39BF4558"/>
    <w:rsid w:val="39C4EF74"/>
    <w:rsid w:val="39C95011"/>
    <w:rsid w:val="39E4C377"/>
    <w:rsid w:val="39E50DCE"/>
    <w:rsid w:val="39FC00E6"/>
    <w:rsid w:val="3A0D344C"/>
    <w:rsid w:val="3A1E0643"/>
    <w:rsid w:val="3A200579"/>
    <w:rsid w:val="3A37CABB"/>
    <w:rsid w:val="3A3835DD"/>
    <w:rsid w:val="3A3F32A7"/>
    <w:rsid w:val="3A3F37FE"/>
    <w:rsid w:val="3A7AE86B"/>
    <w:rsid w:val="3A8265B7"/>
    <w:rsid w:val="3A859604"/>
    <w:rsid w:val="3A9C51F0"/>
    <w:rsid w:val="3AFF368E"/>
    <w:rsid w:val="3B3E897C"/>
    <w:rsid w:val="3B4A8358"/>
    <w:rsid w:val="3B5CD118"/>
    <w:rsid w:val="3B6533D5"/>
    <w:rsid w:val="3B79709B"/>
    <w:rsid w:val="3B7A7632"/>
    <w:rsid w:val="3B980D31"/>
    <w:rsid w:val="3BBC77C9"/>
    <w:rsid w:val="3BCD4EAF"/>
    <w:rsid w:val="3BE421EE"/>
    <w:rsid w:val="3BE42A2B"/>
    <w:rsid w:val="3BF8D6CF"/>
    <w:rsid w:val="3BFBD6C4"/>
    <w:rsid w:val="3C0B5FB3"/>
    <w:rsid w:val="3C0EAD80"/>
    <w:rsid w:val="3C1C047F"/>
    <w:rsid w:val="3C5EDDC3"/>
    <w:rsid w:val="3C68DD70"/>
    <w:rsid w:val="3C7C1085"/>
    <w:rsid w:val="3CB30CD7"/>
    <w:rsid w:val="3CD5AFFE"/>
    <w:rsid w:val="3CE08D56"/>
    <w:rsid w:val="3D15EA69"/>
    <w:rsid w:val="3D314A59"/>
    <w:rsid w:val="3D4D01E2"/>
    <w:rsid w:val="3D56E0FF"/>
    <w:rsid w:val="3D697AAE"/>
    <w:rsid w:val="3DAA0548"/>
    <w:rsid w:val="3DB75F5F"/>
    <w:rsid w:val="3DE4FEF4"/>
    <w:rsid w:val="3DF56B38"/>
    <w:rsid w:val="3E1E3710"/>
    <w:rsid w:val="3E27919E"/>
    <w:rsid w:val="3E379E24"/>
    <w:rsid w:val="3E3C3EA1"/>
    <w:rsid w:val="3E3C95B3"/>
    <w:rsid w:val="3E4A8CE0"/>
    <w:rsid w:val="3E549EDF"/>
    <w:rsid w:val="3E6F6861"/>
    <w:rsid w:val="3E76B9A6"/>
    <w:rsid w:val="3E81FFF0"/>
    <w:rsid w:val="3E8CC041"/>
    <w:rsid w:val="3E9546E8"/>
    <w:rsid w:val="3E9CC134"/>
    <w:rsid w:val="3EF01A2A"/>
    <w:rsid w:val="3EF5A3A5"/>
    <w:rsid w:val="3EFFF5AE"/>
    <w:rsid w:val="3F0460A2"/>
    <w:rsid w:val="3F127F15"/>
    <w:rsid w:val="3F4D6E58"/>
    <w:rsid w:val="3F5AC3D4"/>
    <w:rsid w:val="3F6AA8E6"/>
    <w:rsid w:val="3F967E85"/>
    <w:rsid w:val="3FAFFF2D"/>
    <w:rsid w:val="3FBB8360"/>
    <w:rsid w:val="3FCF421C"/>
    <w:rsid w:val="3FE07285"/>
    <w:rsid w:val="4031F9D3"/>
    <w:rsid w:val="405C6D3A"/>
    <w:rsid w:val="407913D7"/>
    <w:rsid w:val="408F697C"/>
    <w:rsid w:val="40C65C14"/>
    <w:rsid w:val="40E0D329"/>
    <w:rsid w:val="40E96DDA"/>
    <w:rsid w:val="40F07376"/>
    <w:rsid w:val="40FD215F"/>
    <w:rsid w:val="4103CD1E"/>
    <w:rsid w:val="415ECDB9"/>
    <w:rsid w:val="417A9C64"/>
    <w:rsid w:val="41AF02DF"/>
    <w:rsid w:val="41B6D8FC"/>
    <w:rsid w:val="41C1362B"/>
    <w:rsid w:val="41FF1DD4"/>
    <w:rsid w:val="423414D9"/>
    <w:rsid w:val="423AF14E"/>
    <w:rsid w:val="42417C34"/>
    <w:rsid w:val="4241B104"/>
    <w:rsid w:val="424F6006"/>
    <w:rsid w:val="425488EA"/>
    <w:rsid w:val="42979159"/>
    <w:rsid w:val="42985490"/>
    <w:rsid w:val="42A181B0"/>
    <w:rsid w:val="42A62944"/>
    <w:rsid w:val="42B8B27F"/>
    <w:rsid w:val="42BCC293"/>
    <w:rsid w:val="42C93DAE"/>
    <w:rsid w:val="42C94209"/>
    <w:rsid w:val="42DE0965"/>
    <w:rsid w:val="42E8F309"/>
    <w:rsid w:val="42FA4CA1"/>
    <w:rsid w:val="42FA62F6"/>
    <w:rsid w:val="430D4E49"/>
    <w:rsid w:val="430DA079"/>
    <w:rsid w:val="43198AEE"/>
    <w:rsid w:val="43694122"/>
    <w:rsid w:val="438F5FAA"/>
    <w:rsid w:val="439FFFCB"/>
    <w:rsid w:val="43C1FF4A"/>
    <w:rsid w:val="43FDFCD6"/>
    <w:rsid w:val="441B87E8"/>
    <w:rsid w:val="4429DE3F"/>
    <w:rsid w:val="4434C221"/>
    <w:rsid w:val="4444BD8A"/>
    <w:rsid w:val="444E4656"/>
    <w:rsid w:val="44505CC5"/>
    <w:rsid w:val="4452AB78"/>
    <w:rsid w:val="4469EFA8"/>
    <w:rsid w:val="4472ACDB"/>
    <w:rsid w:val="447E8FE1"/>
    <w:rsid w:val="4481A436"/>
    <w:rsid w:val="449265A7"/>
    <w:rsid w:val="44A5D201"/>
    <w:rsid w:val="44C33D7B"/>
    <w:rsid w:val="44ED4D05"/>
    <w:rsid w:val="44F2EDBE"/>
    <w:rsid w:val="450ED009"/>
    <w:rsid w:val="452106E6"/>
    <w:rsid w:val="45362D2E"/>
    <w:rsid w:val="455DCFAB"/>
    <w:rsid w:val="4591544F"/>
    <w:rsid w:val="45A730F5"/>
    <w:rsid w:val="45D75AE7"/>
    <w:rsid w:val="45DB274C"/>
    <w:rsid w:val="45E3F44B"/>
    <w:rsid w:val="45E504A7"/>
    <w:rsid w:val="45F151E8"/>
    <w:rsid w:val="45FF05E1"/>
    <w:rsid w:val="46050ED4"/>
    <w:rsid w:val="4615BA54"/>
    <w:rsid w:val="4640AC3C"/>
    <w:rsid w:val="464F8138"/>
    <w:rsid w:val="465F788E"/>
    <w:rsid w:val="46601CFC"/>
    <w:rsid w:val="4660BF08"/>
    <w:rsid w:val="466664DD"/>
    <w:rsid w:val="467EA9C9"/>
    <w:rsid w:val="4681CB8B"/>
    <w:rsid w:val="46871A2C"/>
    <w:rsid w:val="46891D66"/>
    <w:rsid w:val="46A0ADB7"/>
    <w:rsid w:val="46B0D964"/>
    <w:rsid w:val="46FEC178"/>
    <w:rsid w:val="47034FD8"/>
    <w:rsid w:val="471B4945"/>
    <w:rsid w:val="4726E20B"/>
    <w:rsid w:val="474DE53A"/>
    <w:rsid w:val="4752C403"/>
    <w:rsid w:val="476CD23B"/>
    <w:rsid w:val="478C2EBF"/>
    <w:rsid w:val="478EEDF3"/>
    <w:rsid w:val="47A00E3A"/>
    <w:rsid w:val="47AB53D3"/>
    <w:rsid w:val="47ADCE22"/>
    <w:rsid w:val="47BF71B1"/>
    <w:rsid w:val="47CD92C4"/>
    <w:rsid w:val="47F4A56A"/>
    <w:rsid w:val="4804EBC6"/>
    <w:rsid w:val="48133F93"/>
    <w:rsid w:val="481AA4AE"/>
    <w:rsid w:val="482030E4"/>
    <w:rsid w:val="482D1966"/>
    <w:rsid w:val="4844BE73"/>
    <w:rsid w:val="485271BC"/>
    <w:rsid w:val="4867F6FD"/>
    <w:rsid w:val="4869FB91"/>
    <w:rsid w:val="486B0C06"/>
    <w:rsid w:val="487370EE"/>
    <w:rsid w:val="487F271A"/>
    <w:rsid w:val="48C6DF9C"/>
    <w:rsid w:val="48DD26BC"/>
    <w:rsid w:val="48F6BF89"/>
    <w:rsid w:val="490D78FB"/>
    <w:rsid w:val="492C99EC"/>
    <w:rsid w:val="49304941"/>
    <w:rsid w:val="493FE4C4"/>
    <w:rsid w:val="49596598"/>
    <w:rsid w:val="4999661B"/>
    <w:rsid w:val="499B921C"/>
    <w:rsid w:val="49A44B92"/>
    <w:rsid w:val="49A61EC3"/>
    <w:rsid w:val="49B56E33"/>
    <w:rsid w:val="49E67542"/>
    <w:rsid w:val="49F75D5F"/>
    <w:rsid w:val="49F92A51"/>
    <w:rsid w:val="4A17129C"/>
    <w:rsid w:val="4A1C6969"/>
    <w:rsid w:val="4A21649F"/>
    <w:rsid w:val="4A226D14"/>
    <w:rsid w:val="4A3B792B"/>
    <w:rsid w:val="4A562899"/>
    <w:rsid w:val="4A72CC38"/>
    <w:rsid w:val="4A7646A4"/>
    <w:rsid w:val="4A86D7F5"/>
    <w:rsid w:val="4A9725FB"/>
    <w:rsid w:val="4A9D0FFB"/>
    <w:rsid w:val="4AA94E9E"/>
    <w:rsid w:val="4AAD2F40"/>
    <w:rsid w:val="4AB0244E"/>
    <w:rsid w:val="4AB6CACF"/>
    <w:rsid w:val="4AB7602C"/>
    <w:rsid w:val="4AB7656E"/>
    <w:rsid w:val="4AC334D9"/>
    <w:rsid w:val="4AC86594"/>
    <w:rsid w:val="4AF0E5BA"/>
    <w:rsid w:val="4AFC9484"/>
    <w:rsid w:val="4B0C1E21"/>
    <w:rsid w:val="4B0E171C"/>
    <w:rsid w:val="4B301453"/>
    <w:rsid w:val="4B6EE424"/>
    <w:rsid w:val="4B6F2ABA"/>
    <w:rsid w:val="4B70A8D3"/>
    <w:rsid w:val="4B9D12A9"/>
    <w:rsid w:val="4BA0281A"/>
    <w:rsid w:val="4BA1B5E3"/>
    <w:rsid w:val="4BB839CA"/>
    <w:rsid w:val="4BBF97A3"/>
    <w:rsid w:val="4BCF202B"/>
    <w:rsid w:val="4BD497C7"/>
    <w:rsid w:val="4BE4FD8C"/>
    <w:rsid w:val="4BE674C7"/>
    <w:rsid w:val="4BF9EC89"/>
    <w:rsid w:val="4C0DFFBD"/>
    <w:rsid w:val="4C1B0B6C"/>
    <w:rsid w:val="4C23A4F5"/>
    <w:rsid w:val="4C37B473"/>
    <w:rsid w:val="4C3DFBC2"/>
    <w:rsid w:val="4C4CAC2D"/>
    <w:rsid w:val="4C7612E0"/>
    <w:rsid w:val="4C7A55B4"/>
    <w:rsid w:val="4CA7BB5C"/>
    <w:rsid w:val="4CACC3C3"/>
    <w:rsid w:val="4CF8FA95"/>
    <w:rsid w:val="4CFC6F06"/>
    <w:rsid w:val="4D03E0BF"/>
    <w:rsid w:val="4D08FD1D"/>
    <w:rsid w:val="4D2394E1"/>
    <w:rsid w:val="4D540A2B"/>
    <w:rsid w:val="4D600A68"/>
    <w:rsid w:val="4D740B0A"/>
    <w:rsid w:val="4D8E748D"/>
    <w:rsid w:val="4DA97287"/>
    <w:rsid w:val="4DBA5C97"/>
    <w:rsid w:val="4DBE7A92"/>
    <w:rsid w:val="4DC25403"/>
    <w:rsid w:val="4DD7ACC0"/>
    <w:rsid w:val="4DDCDAB2"/>
    <w:rsid w:val="4DDEF94E"/>
    <w:rsid w:val="4DE02E33"/>
    <w:rsid w:val="4DE057E8"/>
    <w:rsid w:val="4E14AA7D"/>
    <w:rsid w:val="4E1A0E98"/>
    <w:rsid w:val="4E23F217"/>
    <w:rsid w:val="4E2FD5B0"/>
    <w:rsid w:val="4E30480B"/>
    <w:rsid w:val="4E71CDAA"/>
    <w:rsid w:val="4E72868C"/>
    <w:rsid w:val="4E76E05E"/>
    <w:rsid w:val="4E78B0F6"/>
    <w:rsid w:val="4E82B2FA"/>
    <w:rsid w:val="4E932CD8"/>
    <w:rsid w:val="4E942F4B"/>
    <w:rsid w:val="4E9ECB2C"/>
    <w:rsid w:val="4EC38486"/>
    <w:rsid w:val="4EC9A0C6"/>
    <w:rsid w:val="4ECFB160"/>
    <w:rsid w:val="4EE93502"/>
    <w:rsid w:val="4EF026C0"/>
    <w:rsid w:val="4F0FDB6B"/>
    <w:rsid w:val="4F11C2F4"/>
    <w:rsid w:val="4F26590F"/>
    <w:rsid w:val="4F3397F3"/>
    <w:rsid w:val="4F47A8C2"/>
    <w:rsid w:val="4F55B68C"/>
    <w:rsid w:val="4F8EE59C"/>
    <w:rsid w:val="4FB3AE7F"/>
    <w:rsid w:val="4FBA8905"/>
    <w:rsid w:val="4FDE2C7E"/>
    <w:rsid w:val="4FE6EA2C"/>
    <w:rsid w:val="50418DD4"/>
    <w:rsid w:val="5058DB4A"/>
    <w:rsid w:val="505BE09C"/>
    <w:rsid w:val="50734DB8"/>
    <w:rsid w:val="509D30A6"/>
    <w:rsid w:val="50D55432"/>
    <w:rsid w:val="50FA1CCC"/>
    <w:rsid w:val="510BB440"/>
    <w:rsid w:val="51349DAC"/>
    <w:rsid w:val="5149EC80"/>
    <w:rsid w:val="5171F193"/>
    <w:rsid w:val="517BD678"/>
    <w:rsid w:val="519233DF"/>
    <w:rsid w:val="51935732"/>
    <w:rsid w:val="5199FCE5"/>
    <w:rsid w:val="519E7783"/>
    <w:rsid w:val="51A83448"/>
    <w:rsid w:val="51A944B7"/>
    <w:rsid w:val="51CCA2DE"/>
    <w:rsid w:val="520F980C"/>
    <w:rsid w:val="52268673"/>
    <w:rsid w:val="522E58B3"/>
    <w:rsid w:val="523A4CB6"/>
    <w:rsid w:val="525CCCFC"/>
    <w:rsid w:val="525CFFCD"/>
    <w:rsid w:val="527B41F6"/>
    <w:rsid w:val="528111AB"/>
    <w:rsid w:val="5286F9F8"/>
    <w:rsid w:val="528D815A"/>
    <w:rsid w:val="529017CD"/>
    <w:rsid w:val="529F18C8"/>
    <w:rsid w:val="52AA5F52"/>
    <w:rsid w:val="52AB203C"/>
    <w:rsid w:val="52D91D90"/>
    <w:rsid w:val="52D93EA9"/>
    <w:rsid w:val="530DC370"/>
    <w:rsid w:val="5324D339"/>
    <w:rsid w:val="5333CF0A"/>
    <w:rsid w:val="53427CE7"/>
    <w:rsid w:val="53621A3D"/>
    <w:rsid w:val="538AA79C"/>
    <w:rsid w:val="53A48461"/>
    <w:rsid w:val="53A75957"/>
    <w:rsid w:val="53A8A669"/>
    <w:rsid w:val="53B0AF17"/>
    <w:rsid w:val="53B7006D"/>
    <w:rsid w:val="53F1DFC2"/>
    <w:rsid w:val="54294334"/>
    <w:rsid w:val="544F785F"/>
    <w:rsid w:val="5463A162"/>
    <w:rsid w:val="549D627D"/>
    <w:rsid w:val="54DA0CF8"/>
    <w:rsid w:val="54DD8043"/>
    <w:rsid w:val="54E2469B"/>
    <w:rsid w:val="54F8DA08"/>
    <w:rsid w:val="54FA7FEA"/>
    <w:rsid w:val="55040C7A"/>
    <w:rsid w:val="5520A972"/>
    <w:rsid w:val="55342A03"/>
    <w:rsid w:val="55549C02"/>
    <w:rsid w:val="556EABE7"/>
    <w:rsid w:val="5576FD34"/>
    <w:rsid w:val="557A7EB4"/>
    <w:rsid w:val="558D4882"/>
    <w:rsid w:val="55AFB8BE"/>
    <w:rsid w:val="55C72F92"/>
    <w:rsid w:val="55F95DD6"/>
    <w:rsid w:val="561FA732"/>
    <w:rsid w:val="563D7846"/>
    <w:rsid w:val="56441600"/>
    <w:rsid w:val="564D2803"/>
    <w:rsid w:val="5659FB73"/>
    <w:rsid w:val="567C1087"/>
    <w:rsid w:val="569B6CE2"/>
    <w:rsid w:val="56A071AF"/>
    <w:rsid w:val="56B6C1CA"/>
    <w:rsid w:val="56B9070B"/>
    <w:rsid w:val="56BB107A"/>
    <w:rsid w:val="56BBB47E"/>
    <w:rsid w:val="56C51E48"/>
    <w:rsid w:val="56CDE7DD"/>
    <w:rsid w:val="56ED6ACE"/>
    <w:rsid w:val="56F67E69"/>
    <w:rsid w:val="5701C4F3"/>
    <w:rsid w:val="5709752F"/>
    <w:rsid w:val="571CB728"/>
    <w:rsid w:val="5728B63B"/>
    <w:rsid w:val="573004CB"/>
    <w:rsid w:val="57339B5C"/>
    <w:rsid w:val="573EA9D8"/>
    <w:rsid w:val="574CC351"/>
    <w:rsid w:val="5752EBE0"/>
    <w:rsid w:val="5759F4C4"/>
    <w:rsid w:val="5763F93C"/>
    <w:rsid w:val="577C1CB6"/>
    <w:rsid w:val="577CD998"/>
    <w:rsid w:val="57BE9EC1"/>
    <w:rsid w:val="57C85EED"/>
    <w:rsid w:val="57C9586B"/>
    <w:rsid w:val="57D0DF81"/>
    <w:rsid w:val="57DF4C8E"/>
    <w:rsid w:val="57ED03D5"/>
    <w:rsid w:val="580962E9"/>
    <w:rsid w:val="58142701"/>
    <w:rsid w:val="581557CC"/>
    <w:rsid w:val="581982B6"/>
    <w:rsid w:val="582BD491"/>
    <w:rsid w:val="5833B7EC"/>
    <w:rsid w:val="583C6293"/>
    <w:rsid w:val="58488C6D"/>
    <w:rsid w:val="58584A34"/>
    <w:rsid w:val="587C9F9A"/>
    <w:rsid w:val="5884C392"/>
    <w:rsid w:val="589F924B"/>
    <w:rsid w:val="58B21F76"/>
    <w:rsid w:val="58B73C41"/>
    <w:rsid w:val="58CB21FB"/>
    <w:rsid w:val="58CF6BBD"/>
    <w:rsid w:val="58E94F76"/>
    <w:rsid w:val="58EED646"/>
    <w:rsid w:val="58FC3330"/>
    <w:rsid w:val="590DA9F4"/>
    <w:rsid w:val="5914BBA9"/>
    <w:rsid w:val="5936ACDE"/>
    <w:rsid w:val="593DC234"/>
    <w:rsid w:val="594E78F2"/>
    <w:rsid w:val="59523024"/>
    <w:rsid w:val="597B1CEF"/>
    <w:rsid w:val="597C4C1F"/>
    <w:rsid w:val="598188CE"/>
    <w:rsid w:val="59862ECD"/>
    <w:rsid w:val="59B35161"/>
    <w:rsid w:val="59C195C0"/>
    <w:rsid w:val="59C78A0D"/>
    <w:rsid w:val="59CF5D06"/>
    <w:rsid w:val="59EE3027"/>
    <w:rsid w:val="59FDB616"/>
    <w:rsid w:val="5A156EE8"/>
    <w:rsid w:val="5A28B735"/>
    <w:rsid w:val="5A4C38DC"/>
    <w:rsid w:val="5A4C8B0B"/>
    <w:rsid w:val="5A4DEFD7"/>
    <w:rsid w:val="5A54E729"/>
    <w:rsid w:val="5A616FB7"/>
    <w:rsid w:val="5A8329E1"/>
    <w:rsid w:val="5AC0C2B8"/>
    <w:rsid w:val="5AF388B9"/>
    <w:rsid w:val="5B0B6240"/>
    <w:rsid w:val="5B0EF39D"/>
    <w:rsid w:val="5B117EC6"/>
    <w:rsid w:val="5B1BFA28"/>
    <w:rsid w:val="5B21A574"/>
    <w:rsid w:val="5B5D7895"/>
    <w:rsid w:val="5B6BE9A8"/>
    <w:rsid w:val="5BBEEE91"/>
    <w:rsid w:val="5BC773CF"/>
    <w:rsid w:val="5BD106B4"/>
    <w:rsid w:val="5C0E07C8"/>
    <w:rsid w:val="5C0F28B3"/>
    <w:rsid w:val="5C11C301"/>
    <w:rsid w:val="5C167BB1"/>
    <w:rsid w:val="5C211AF2"/>
    <w:rsid w:val="5C233D5F"/>
    <w:rsid w:val="5C44BCF9"/>
    <w:rsid w:val="5C46A385"/>
    <w:rsid w:val="5C68C777"/>
    <w:rsid w:val="5C6BBBF0"/>
    <w:rsid w:val="5C8F608E"/>
    <w:rsid w:val="5CA9E3B9"/>
    <w:rsid w:val="5CB2BDB1"/>
    <w:rsid w:val="5CC816D3"/>
    <w:rsid w:val="5CDFDD6F"/>
    <w:rsid w:val="5CECCA67"/>
    <w:rsid w:val="5CF92AD7"/>
    <w:rsid w:val="5D013C8C"/>
    <w:rsid w:val="5D07361B"/>
    <w:rsid w:val="5D0BFC9D"/>
    <w:rsid w:val="5D179CF3"/>
    <w:rsid w:val="5D1B5365"/>
    <w:rsid w:val="5D1CDEE1"/>
    <w:rsid w:val="5D46B96E"/>
    <w:rsid w:val="5D56D816"/>
    <w:rsid w:val="5D5ABEF2"/>
    <w:rsid w:val="5D5CB599"/>
    <w:rsid w:val="5D5D2C3B"/>
    <w:rsid w:val="5D73036E"/>
    <w:rsid w:val="5D926A16"/>
    <w:rsid w:val="5D9E50B3"/>
    <w:rsid w:val="5DA000F0"/>
    <w:rsid w:val="5DB6C750"/>
    <w:rsid w:val="5DBB9973"/>
    <w:rsid w:val="5DBC3468"/>
    <w:rsid w:val="5DD47BBE"/>
    <w:rsid w:val="5DDD5156"/>
    <w:rsid w:val="5DDE6169"/>
    <w:rsid w:val="5DE08D5A"/>
    <w:rsid w:val="5DE184D6"/>
    <w:rsid w:val="5DEC9A95"/>
    <w:rsid w:val="5E200D7E"/>
    <w:rsid w:val="5E37A071"/>
    <w:rsid w:val="5E618D76"/>
    <w:rsid w:val="5E9C0F5C"/>
    <w:rsid w:val="5EA25043"/>
    <w:rsid w:val="5ED4F2B7"/>
    <w:rsid w:val="5ED76176"/>
    <w:rsid w:val="5EE74732"/>
    <w:rsid w:val="5EFEDE13"/>
    <w:rsid w:val="5F0C3AA4"/>
    <w:rsid w:val="5F1780D4"/>
    <w:rsid w:val="5F219D0B"/>
    <w:rsid w:val="5F40C71B"/>
    <w:rsid w:val="5F4F9E9B"/>
    <w:rsid w:val="5F5297B1"/>
    <w:rsid w:val="5F5A23B2"/>
    <w:rsid w:val="5F64D3BF"/>
    <w:rsid w:val="5F98BEFE"/>
    <w:rsid w:val="5FB995D8"/>
    <w:rsid w:val="5FC9129A"/>
    <w:rsid w:val="5FDAA211"/>
    <w:rsid w:val="5FEEE46A"/>
    <w:rsid w:val="5FF57051"/>
    <w:rsid w:val="60081AD5"/>
    <w:rsid w:val="6010BD9C"/>
    <w:rsid w:val="601E247A"/>
    <w:rsid w:val="60276769"/>
    <w:rsid w:val="603E8941"/>
    <w:rsid w:val="60436A8E"/>
    <w:rsid w:val="60509B19"/>
    <w:rsid w:val="605647FD"/>
    <w:rsid w:val="6069A4FC"/>
    <w:rsid w:val="60AA3F89"/>
    <w:rsid w:val="60BD315B"/>
    <w:rsid w:val="60C8CBFF"/>
    <w:rsid w:val="60DAAE01"/>
    <w:rsid w:val="60E864B4"/>
    <w:rsid w:val="60F2AE8F"/>
    <w:rsid w:val="61026814"/>
    <w:rsid w:val="610606D4"/>
    <w:rsid w:val="611DDC05"/>
    <w:rsid w:val="6120BE0C"/>
    <w:rsid w:val="612159B7"/>
    <w:rsid w:val="6162B7EC"/>
    <w:rsid w:val="61AB9BA8"/>
    <w:rsid w:val="61BFF6DD"/>
    <w:rsid w:val="61C96725"/>
    <w:rsid w:val="61D31F5A"/>
    <w:rsid w:val="61D9C14A"/>
    <w:rsid w:val="61E4705C"/>
    <w:rsid w:val="61F1B30A"/>
    <w:rsid w:val="61F959FF"/>
    <w:rsid w:val="62000E3B"/>
    <w:rsid w:val="62041068"/>
    <w:rsid w:val="620D2F24"/>
    <w:rsid w:val="6214D74B"/>
    <w:rsid w:val="6215AE9D"/>
    <w:rsid w:val="621875AE"/>
    <w:rsid w:val="62193698"/>
    <w:rsid w:val="621F9E2D"/>
    <w:rsid w:val="6244D16E"/>
    <w:rsid w:val="6247B9AC"/>
    <w:rsid w:val="626C0275"/>
    <w:rsid w:val="6270E76A"/>
    <w:rsid w:val="6270F346"/>
    <w:rsid w:val="62C8A7BA"/>
    <w:rsid w:val="62D3E1D1"/>
    <w:rsid w:val="62DC6134"/>
    <w:rsid w:val="6312B74B"/>
    <w:rsid w:val="631744D3"/>
    <w:rsid w:val="631BB51D"/>
    <w:rsid w:val="631E03D9"/>
    <w:rsid w:val="6321FF35"/>
    <w:rsid w:val="6387D11E"/>
    <w:rsid w:val="63A519A1"/>
    <w:rsid w:val="63B0DEF0"/>
    <w:rsid w:val="63B3C01F"/>
    <w:rsid w:val="63C6B7B9"/>
    <w:rsid w:val="63C7E9E7"/>
    <w:rsid w:val="63E83A64"/>
    <w:rsid w:val="640CC3A7"/>
    <w:rsid w:val="6437C7DC"/>
    <w:rsid w:val="646A59F3"/>
    <w:rsid w:val="648DD049"/>
    <w:rsid w:val="649E8BF9"/>
    <w:rsid w:val="64CEBD94"/>
    <w:rsid w:val="64D0CEFA"/>
    <w:rsid w:val="6502C4F0"/>
    <w:rsid w:val="6508C557"/>
    <w:rsid w:val="650F2816"/>
    <w:rsid w:val="65297724"/>
    <w:rsid w:val="652AC383"/>
    <w:rsid w:val="6537AEFD"/>
    <w:rsid w:val="6540EA02"/>
    <w:rsid w:val="6543B108"/>
    <w:rsid w:val="654C7EB1"/>
    <w:rsid w:val="65501670"/>
    <w:rsid w:val="655F1470"/>
    <w:rsid w:val="6566C73F"/>
    <w:rsid w:val="65780B3A"/>
    <w:rsid w:val="657FDBA2"/>
    <w:rsid w:val="6583A4F9"/>
    <w:rsid w:val="659D6236"/>
    <w:rsid w:val="65A5B7C2"/>
    <w:rsid w:val="65C42AFF"/>
    <w:rsid w:val="65E2F1F4"/>
    <w:rsid w:val="65E4664A"/>
    <w:rsid w:val="65ED85CB"/>
    <w:rsid w:val="6609536A"/>
    <w:rsid w:val="661AF262"/>
    <w:rsid w:val="662989F9"/>
    <w:rsid w:val="662B7CC5"/>
    <w:rsid w:val="6636E48A"/>
    <w:rsid w:val="666EB843"/>
    <w:rsid w:val="6673FCC1"/>
    <w:rsid w:val="6681F43B"/>
    <w:rsid w:val="66A0771E"/>
    <w:rsid w:val="66F2DC7F"/>
    <w:rsid w:val="66FF9222"/>
    <w:rsid w:val="6718521D"/>
    <w:rsid w:val="67399494"/>
    <w:rsid w:val="673D8AE4"/>
    <w:rsid w:val="67446469"/>
    <w:rsid w:val="6750502A"/>
    <w:rsid w:val="675FEEED"/>
    <w:rsid w:val="675FFB60"/>
    <w:rsid w:val="677B1A20"/>
    <w:rsid w:val="67876FA0"/>
    <w:rsid w:val="678B760D"/>
    <w:rsid w:val="67A3A362"/>
    <w:rsid w:val="67BA1CC2"/>
    <w:rsid w:val="67D61BA7"/>
    <w:rsid w:val="67DD3265"/>
    <w:rsid w:val="67DE9968"/>
    <w:rsid w:val="68086FBC"/>
    <w:rsid w:val="6826398C"/>
    <w:rsid w:val="6867B682"/>
    <w:rsid w:val="6895003B"/>
    <w:rsid w:val="689754CD"/>
    <w:rsid w:val="68ABD890"/>
    <w:rsid w:val="68B1FDEE"/>
    <w:rsid w:val="68F06556"/>
    <w:rsid w:val="68FD3BB3"/>
    <w:rsid w:val="68FE5ED6"/>
    <w:rsid w:val="690BFBD8"/>
    <w:rsid w:val="692F7697"/>
    <w:rsid w:val="69605A1F"/>
    <w:rsid w:val="6986CC8F"/>
    <w:rsid w:val="69C10FAF"/>
    <w:rsid w:val="69D0F545"/>
    <w:rsid w:val="69D817E0"/>
    <w:rsid w:val="69E4CD50"/>
    <w:rsid w:val="6A08E1B6"/>
    <w:rsid w:val="6A0B2020"/>
    <w:rsid w:val="6A4A8CE8"/>
    <w:rsid w:val="6A69EA49"/>
    <w:rsid w:val="6A74AAF4"/>
    <w:rsid w:val="6A8AABC6"/>
    <w:rsid w:val="6A8CADCC"/>
    <w:rsid w:val="6AAC2F1D"/>
    <w:rsid w:val="6AB6AC59"/>
    <w:rsid w:val="6ADB8EC6"/>
    <w:rsid w:val="6AE6A8D0"/>
    <w:rsid w:val="6AEE438B"/>
    <w:rsid w:val="6AFCFB1C"/>
    <w:rsid w:val="6B04BEED"/>
    <w:rsid w:val="6B157C71"/>
    <w:rsid w:val="6B2AADAD"/>
    <w:rsid w:val="6B517805"/>
    <w:rsid w:val="6B585867"/>
    <w:rsid w:val="6B6CC5A6"/>
    <w:rsid w:val="6B75F263"/>
    <w:rsid w:val="6BC8E64D"/>
    <w:rsid w:val="6C00BCBD"/>
    <w:rsid w:val="6C16D38E"/>
    <w:rsid w:val="6C3DB6EE"/>
    <w:rsid w:val="6C56B3BB"/>
    <w:rsid w:val="6C5C170E"/>
    <w:rsid w:val="6C5CC31B"/>
    <w:rsid w:val="6C69DE56"/>
    <w:rsid w:val="6C702DCD"/>
    <w:rsid w:val="6C7266C0"/>
    <w:rsid w:val="6C775F27"/>
    <w:rsid w:val="6CB19A51"/>
    <w:rsid w:val="6CB4CFCA"/>
    <w:rsid w:val="6CC79A85"/>
    <w:rsid w:val="6CD2D61E"/>
    <w:rsid w:val="6CDBE0DF"/>
    <w:rsid w:val="6CEE6C10"/>
    <w:rsid w:val="6CF117C5"/>
    <w:rsid w:val="6CF3A6F5"/>
    <w:rsid w:val="6D0FB8A2"/>
    <w:rsid w:val="6D1A6F5A"/>
    <w:rsid w:val="6D3E99D7"/>
    <w:rsid w:val="6D41A093"/>
    <w:rsid w:val="6D4BEE29"/>
    <w:rsid w:val="6D4C1DCF"/>
    <w:rsid w:val="6D4D8D49"/>
    <w:rsid w:val="6D5E6D91"/>
    <w:rsid w:val="6D7176C7"/>
    <w:rsid w:val="6D779DE5"/>
    <w:rsid w:val="6D7ED21C"/>
    <w:rsid w:val="6D8399BA"/>
    <w:rsid w:val="6D8AED87"/>
    <w:rsid w:val="6D8C6F29"/>
    <w:rsid w:val="6D9AA161"/>
    <w:rsid w:val="6DB014EC"/>
    <w:rsid w:val="6DCF3CE4"/>
    <w:rsid w:val="6E19C492"/>
    <w:rsid w:val="6E216FA0"/>
    <w:rsid w:val="6E26C2EE"/>
    <w:rsid w:val="6E375BC4"/>
    <w:rsid w:val="6E759FDA"/>
    <w:rsid w:val="6E7C1FE2"/>
    <w:rsid w:val="6E8490B7"/>
    <w:rsid w:val="6E8CE826"/>
    <w:rsid w:val="6E8FD95C"/>
    <w:rsid w:val="6E92FE8B"/>
    <w:rsid w:val="6EA903C5"/>
    <w:rsid w:val="6EBEB4AA"/>
    <w:rsid w:val="6EC8ACE9"/>
    <w:rsid w:val="6F09F26E"/>
    <w:rsid w:val="6F29B042"/>
    <w:rsid w:val="6F4D6FF5"/>
    <w:rsid w:val="6F5C919E"/>
    <w:rsid w:val="6F7FBCE6"/>
    <w:rsid w:val="6F8EDFDF"/>
    <w:rsid w:val="6F9011C9"/>
    <w:rsid w:val="6FA0E7F9"/>
    <w:rsid w:val="6FA98B10"/>
    <w:rsid w:val="6FAA4512"/>
    <w:rsid w:val="6FAB2FD6"/>
    <w:rsid w:val="6FB7EDC4"/>
    <w:rsid w:val="6FD20835"/>
    <w:rsid w:val="6FD3936D"/>
    <w:rsid w:val="6FDFC262"/>
    <w:rsid w:val="6FE008D4"/>
    <w:rsid w:val="6FE850A9"/>
    <w:rsid w:val="6FFC94FC"/>
    <w:rsid w:val="6FFE5DA6"/>
    <w:rsid w:val="700CD305"/>
    <w:rsid w:val="701B0839"/>
    <w:rsid w:val="70475964"/>
    <w:rsid w:val="70562997"/>
    <w:rsid w:val="706661ED"/>
    <w:rsid w:val="706736A9"/>
    <w:rsid w:val="707290F3"/>
    <w:rsid w:val="70A80BD2"/>
    <w:rsid w:val="70ADF4A8"/>
    <w:rsid w:val="70B130FC"/>
    <w:rsid w:val="70DFC7FE"/>
    <w:rsid w:val="70E2F9C4"/>
    <w:rsid w:val="70E8CD50"/>
    <w:rsid w:val="71010239"/>
    <w:rsid w:val="710CBDB6"/>
    <w:rsid w:val="7122A06A"/>
    <w:rsid w:val="71432B80"/>
    <w:rsid w:val="71565DB5"/>
    <w:rsid w:val="7161391D"/>
    <w:rsid w:val="71805D65"/>
    <w:rsid w:val="719138B2"/>
    <w:rsid w:val="7193E38C"/>
    <w:rsid w:val="71D439CD"/>
    <w:rsid w:val="71D8B4F5"/>
    <w:rsid w:val="71EC6FC9"/>
    <w:rsid w:val="71EFF709"/>
    <w:rsid w:val="71F8B34C"/>
    <w:rsid w:val="722CD852"/>
    <w:rsid w:val="72441333"/>
    <w:rsid w:val="72786F16"/>
    <w:rsid w:val="72822424"/>
    <w:rsid w:val="728CDDCE"/>
    <w:rsid w:val="72BCEF2B"/>
    <w:rsid w:val="72C25ADF"/>
    <w:rsid w:val="72EEF70E"/>
    <w:rsid w:val="73117754"/>
    <w:rsid w:val="7316CBAC"/>
    <w:rsid w:val="7336ECF2"/>
    <w:rsid w:val="737BC63C"/>
    <w:rsid w:val="73800B7D"/>
    <w:rsid w:val="73836BC5"/>
    <w:rsid w:val="73AFC3FC"/>
    <w:rsid w:val="73B8FC1A"/>
    <w:rsid w:val="73BB3092"/>
    <w:rsid w:val="73C4F1F0"/>
    <w:rsid w:val="73F18E7B"/>
    <w:rsid w:val="73FC187B"/>
    <w:rsid w:val="73FD3D84"/>
    <w:rsid w:val="740EF08E"/>
    <w:rsid w:val="7413474E"/>
    <w:rsid w:val="741B7AE1"/>
    <w:rsid w:val="7423B42F"/>
    <w:rsid w:val="742E8024"/>
    <w:rsid w:val="74332CC6"/>
    <w:rsid w:val="74375830"/>
    <w:rsid w:val="7439AB11"/>
    <w:rsid w:val="743A29A0"/>
    <w:rsid w:val="7444EDD1"/>
    <w:rsid w:val="74576D79"/>
    <w:rsid w:val="746728F3"/>
    <w:rsid w:val="7469DDBB"/>
    <w:rsid w:val="74956271"/>
    <w:rsid w:val="7499BDE5"/>
    <w:rsid w:val="74A628C7"/>
    <w:rsid w:val="74C3A50E"/>
    <w:rsid w:val="74C5A5C9"/>
    <w:rsid w:val="74D64A23"/>
    <w:rsid w:val="74DCE916"/>
    <w:rsid w:val="74DD9F36"/>
    <w:rsid w:val="74DEB7EC"/>
    <w:rsid w:val="74DFCCB9"/>
    <w:rsid w:val="750EB6E6"/>
    <w:rsid w:val="75259C62"/>
    <w:rsid w:val="753BC614"/>
    <w:rsid w:val="755EC90A"/>
    <w:rsid w:val="7561C2B0"/>
    <w:rsid w:val="7580207A"/>
    <w:rsid w:val="759B8F2B"/>
    <w:rsid w:val="75A166D2"/>
    <w:rsid w:val="75A697B0"/>
    <w:rsid w:val="75C18D5A"/>
    <w:rsid w:val="75DBE085"/>
    <w:rsid w:val="75E05349"/>
    <w:rsid w:val="760CA625"/>
    <w:rsid w:val="760D84BF"/>
    <w:rsid w:val="7620629A"/>
    <w:rsid w:val="76207B3E"/>
    <w:rsid w:val="76334E10"/>
    <w:rsid w:val="764ACF37"/>
    <w:rsid w:val="7669ECF7"/>
    <w:rsid w:val="7677469E"/>
    <w:rsid w:val="767BEFDB"/>
    <w:rsid w:val="76A6C84F"/>
    <w:rsid w:val="76ACF8DE"/>
    <w:rsid w:val="77001ECC"/>
    <w:rsid w:val="77409132"/>
    <w:rsid w:val="77437980"/>
    <w:rsid w:val="777474B2"/>
    <w:rsid w:val="779359A8"/>
    <w:rsid w:val="779E8925"/>
    <w:rsid w:val="77AF904B"/>
    <w:rsid w:val="77BAF2B6"/>
    <w:rsid w:val="77C64056"/>
    <w:rsid w:val="77ED8BD1"/>
    <w:rsid w:val="77F00AC0"/>
    <w:rsid w:val="77F25F98"/>
    <w:rsid w:val="7819FCD8"/>
    <w:rsid w:val="781E9386"/>
    <w:rsid w:val="782C63A5"/>
    <w:rsid w:val="785666D2"/>
    <w:rsid w:val="7857F057"/>
    <w:rsid w:val="78615F0A"/>
    <w:rsid w:val="786A5063"/>
    <w:rsid w:val="787D73B7"/>
    <w:rsid w:val="789F7328"/>
    <w:rsid w:val="78B7715F"/>
    <w:rsid w:val="78CAF3EB"/>
    <w:rsid w:val="78D29875"/>
    <w:rsid w:val="78FF2686"/>
    <w:rsid w:val="790DF7EA"/>
    <w:rsid w:val="79175C93"/>
    <w:rsid w:val="7925FD03"/>
    <w:rsid w:val="7936DDE4"/>
    <w:rsid w:val="79394EF5"/>
    <w:rsid w:val="7971BD39"/>
    <w:rsid w:val="797952DC"/>
    <w:rsid w:val="79841AD1"/>
    <w:rsid w:val="798F8E4D"/>
    <w:rsid w:val="799D99E4"/>
    <w:rsid w:val="79A78ABA"/>
    <w:rsid w:val="79D602A8"/>
    <w:rsid w:val="79D685F7"/>
    <w:rsid w:val="7A001BBB"/>
    <w:rsid w:val="7A5049B7"/>
    <w:rsid w:val="7A5FA10F"/>
    <w:rsid w:val="7A67FBB9"/>
    <w:rsid w:val="7A681B3E"/>
    <w:rsid w:val="7A68D6BC"/>
    <w:rsid w:val="7A779A7C"/>
    <w:rsid w:val="7A94FE7D"/>
    <w:rsid w:val="7AC0BD51"/>
    <w:rsid w:val="7AC6F1E8"/>
    <w:rsid w:val="7AC71844"/>
    <w:rsid w:val="7AD07DF4"/>
    <w:rsid w:val="7AF73DEF"/>
    <w:rsid w:val="7B3D0BEB"/>
    <w:rsid w:val="7B3E3272"/>
    <w:rsid w:val="7B467537"/>
    <w:rsid w:val="7B82CE96"/>
    <w:rsid w:val="7B9C3624"/>
    <w:rsid w:val="7BA81784"/>
    <w:rsid w:val="7BD259D2"/>
    <w:rsid w:val="7BD63F5F"/>
    <w:rsid w:val="7BD8CD9C"/>
    <w:rsid w:val="7BDF07A1"/>
    <w:rsid w:val="7BF7F31A"/>
    <w:rsid w:val="7BFB6CB7"/>
    <w:rsid w:val="7BFEFC67"/>
    <w:rsid w:val="7C30CEDE"/>
    <w:rsid w:val="7C32E7DF"/>
    <w:rsid w:val="7C3BAB7F"/>
    <w:rsid w:val="7C5BF839"/>
    <w:rsid w:val="7C6107CB"/>
    <w:rsid w:val="7C6A09C7"/>
    <w:rsid w:val="7C6A7184"/>
    <w:rsid w:val="7C6DA80A"/>
    <w:rsid w:val="7C6ED01F"/>
    <w:rsid w:val="7C8BA429"/>
    <w:rsid w:val="7CB575C8"/>
    <w:rsid w:val="7CC3100C"/>
    <w:rsid w:val="7CC9FD67"/>
    <w:rsid w:val="7CD869E6"/>
    <w:rsid w:val="7CDD2D44"/>
    <w:rsid w:val="7CE8454F"/>
    <w:rsid w:val="7CEEB2FD"/>
    <w:rsid w:val="7D1B1D6A"/>
    <w:rsid w:val="7D22C627"/>
    <w:rsid w:val="7D2C5A72"/>
    <w:rsid w:val="7D2F50ED"/>
    <w:rsid w:val="7D4A5E57"/>
    <w:rsid w:val="7D54CABE"/>
    <w:rsid w:val="7D5A0E14"/>
    <w:rsid w:val="7D61F6DE"/>
    <w:rsid w:val="7D7F0BA1"/>
    <w:rsid w:val="7D808382"/>
    <w:rsid w:val="7D868847"/>
    <w:rsid w:val="7D882F0F"/>
    <w:rsid w:val="7D9339F6"/>
    <w:rsid w:val="7D973D18"/>
    <w:rsid w:val="7DEBEB1F"/>
    <w:rsid w:val="7DFE92AA"/>
    <w:rsid w:val="7E1DA2DF"/>
    <w:rsid w:val="7E2B51E1"/>
    <w:rsid w:val="7E437E1F"/>
    <w:rsid w:val="7E5B0D31"/>
    <w:rsid w:val="7ED3BBFF"/>
    <w:rsid w:val="7EDAE1DD"/>
    <w:rsid w:val="7EE3BAAD"/>
    <w:rsid w:val="7EECBA7D"/>
    <w:rsid w:val="7F109EF6"/>
    <w:rsid w:val="7F1F01D0"/>
    <w:rsid w:val="7F2570EF"/>
    <w:rsid w:val="7F359A1E"/>
    <w:rsid w:val="7F3C47DF"/>
    <w:rsid w:val="7F4F4743"/>
    <w:rsid w:val="7F5BB996"/>
    <w:rsid w:val="7F74053E"/>
    <w:rsid w:val="7F858879"/>
    <w:rsid w:val="7FC58E41"/>
    <w:rsid w:val="7FDF3AA2"/>
    <w:rsid w:val="7FE8A6E5"/>
    <w:rsid w:val="7FFA28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7F57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E4F"/>
    <w:pPr>
      <w:spacing w:line="480" w:lineRule="auto"/>
    </w:pPr>
  </w:style>
  <w:style w:type="paragraph" w:styleId="Heading1">
    <w:name w:val="heading 1"/>
    <w:basedOn w:val="Normal"/>
    <w:next w:val="Normal"/>
    <w:link w:val="Heading1Char"/>
    <w:uiPriority w:val="9"/>
    <w:qFormat/>
    <w:rsid w:val="00D84AD4"/>
    <w:pPr>
      <w:keepNext/>
      <w:keepLines/>
      <w:spacing w:before="240" w:after="0"/>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84A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4A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84AD4"/>
    <w:pPr>
      <w:keepNext/>
      <w:keepLines/>
      <w:spacing w:before="40" w:after="0"/>
      <w:jc w:val="both"/>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D84AD4"/>
    <w:pPr>
      <w:keepNext/>
      <w:keepLines/>
      <w:spacing w:before="40" w:after="0"/>
      <w:jc w:val="both"/>
      <w:outlineLvl w:val="4"/>
    </w:pPr>
    <w:rPr>
      <w:rFonts w:asciiTheme="majorHAnsi" w:eastAsiaTheme="majorEastAsia" w:hAnsiTheme="majorHAnsi" w:cstheme="majorBidi"/>
      <w:color w:val="2E74B5" w:themeColor="accent1" w:themeShade="BF"/>
      <w:sz w:val="24"/>
    </w:rPr>
  </w:style>
  <w:style w:type="paragraph" w:styleId="Heading6">
    <w:name w:val="heading 6"/>
    <w:basedOn w:val="Normal"/>
    <w:next w:val="Normal"/>
    <w:link w:val="Heading6Char"/>
    <w:uiPriority w:val="9"/>
    <w:unhideWhenUsed/>
    <w:qFormat/>
    <w:rsid w:val="00D84AD4"/>
    <w:pPr>
      <w:keepNext/>
      <w:keepLines/>
      <w:spacing w:before="40" w:after="0"/>
      <w:jc w:val="both"/>
      <w:outlineLvl w:val="5"/>
    </w:pPr>
    <w:rPr>
      <w:rFonts w:ascii="Garamond" w:eastAsiaTheme="majorEastAsia" w:hAnsi="Garamond" w:cstheme="majorBidi"/>
      <w:b/>
      <w:sz w:val="24"/>
    </w:rPr>
  </w:style>
  <w:style w:type="paragraph" w:styleId="Heading8">
    <w:name w:val="heading 8"/>
    <w:basedOn w:val="Normal"/>
    <w:next w:val="Normal"/>
    <w:link w:val="Heading8Char"/>
    <w:uiPriority w:val="9"/>
    <w:unhideWhenUsed/>
    <w:qFormat/>
    <w:rsid w:val="00D84AD4"/>
    <w:pPr>
      <w:keepNext/>
      <w:keepLines/>
      <w:spacing w:before="40" w:after="0"/>
      <w:jc w:val="both"/>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AD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84AD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84AD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84AD4"/>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D84AD4"/>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D84AD4"/>
    <w:rPr>
      <w:rFonts w:ascii="Garamond" w:eastAsiaTheme="majorEastAsia" w:hAnsi="Garamond" w:cstheme="majorBidi"/>
      <w:b/>
      <w:sz w:val="24"/>
    </w:rPr>
  </w:style>
  <w:style w:type="character" w:customStyle="1" w:styleId="Heading8Char">
    <w:name w:val="Heading 8 Char"/>
    <w:basedOn w:val="DefaultParagraphFont"/>
    <w:link w:val="Heading8"/>
    <w:uiPriority w:val="9"/>
    <w:rsid w:val="00D84AD4"/>
    <w:rPr>
      <w:rFonts w:asciiTheme="majorHAnsi" w:eastAsiaTheme="majorEastAsia" w:hAnsiTheme="majorHAnsi" w:cstheme="majorBidi"/>
      <w:color w:val="272727" w:themeColor="text1" w:themeTint="D8"/>
      <w:sz w:val="21"/>
      <w:szCs w:val="21"/>
    </w:rPr>
  </w:style>
  <w:style w:type="paragraph" w:styleId="Caption">
    <w:name w:val="caption"/>
    <w:basedOn w:val="Normal"/>
    <w:next w:val="Normal"/>
    <w:uiPriority w:val="35"/>
    <w:unhideWhenUsed/>
    <w:qFormat/>
    <w:rsid w:val="00D84AD4"/>
    <w:pPr>
      <w:spacing w:after="200" w:line="240" w:lineRule="auto"/>
    </w:pPr>
    <w:rPr>
      <w:i/>
      <w:iCs/>
      <w:color w:val="44546A" w:themeColor="text2"/>
      <w:sz w:val="18"/>
      <w:szCs w:val="18"/>
    </w:rPr>
  </w:style>
  <w:style w:type="paragraph" w:styleId="NoSpacing">
    <w:name w:val="No Spacing"/>
    <w:link w:val="NoSpacingChar"/>
    <w:autoRedefine/>
    <w:uiPriority w:val="1"/>
    <w:qFormat/>
    <w:rsid w:val="00D84AD4"/>
    <w:pPr>
      <w:tabs>
        <w:tab w:val="center" w:pos="4499"/>
      </w:tabs>
      <w:spacing w:after="0" w:line="360" w:lineRule="auto"/>
      <w:contextualSpacing/>
      <w:jc w:val="both"/>
    </w:pPr>
    <w:rPr>
      <w:rFonts w:ascii="Garamond" w:eastAsia="Arial" w:hAnsi="Garamond" w:cs="Times"/>
      <w:sz w:val="24"/>
      <w:szCs w:val="24"/>
      <w:lang w:eastAsia="en-GB"/>
    </w:rPr>
  </w:style>
  <w:style w:type="character" w:customStyle="1" w:styleId="NoSpacingChar">
    <w:name w:val="No Spacing Char"/>
    <w:basedOn w:val="DefaultParagraphFont"/>
    <w:link w:val="NoSpacing"/>
    <w:uiPriority w:val="1"/>
    <w:rsid w:val="00D84AD4"/>
    <w:rPr>
      <w:rFonts w:ascii="Garamond" w:eastAsia="Arial" w:hAnsi="Garamond" w:cs="Times"/>
      <w:sz w:val="24"/>
      <w:szCs w:val="24"/>
      <w:lang w:eastAsia="en-GB"/>
    </w:rPr>
  </w:style>
  <w:style w:type="character" w:customStyle="1" w:styleId="CommentTextChar">
    <w:name w:val="Comment Text Char"/>
    <w:basedOn w:val="DefaultParagraphFont"/>
    <w:link w:val="CommentText"/>
    <w:uiPriority w:val="99"/>
    <w:rsid w:val="00D84AD4"/>
    <w:rPr>
      <w:sz w:val="20"/>
      <w:szCs w:val="20"/>
    </w:rPr>
  </w:style>
  <w:style w:type="paragraph" w:styleId="CommentText">
    <w:name w:val="annotation text"/>
    <w:basedOn w:val="Normal"/>
    <w:link w:val="CommentTextChar"/>
    <w:uiPriority w:val="99"/>
    <w:unhideWhenUsed/>
    <w:rsid w:val="00D84AD4"/>
    <w:pPr>
      <w:spacing w:before="160" w:after="0" w:line="240" w:lineRule="auto"/>
      <w:jc w:val="both"/>
    </w:pPr>
    <w:rPr>
      <w:sz w:val="20"/>
      <w:szCs w:val="20"/>
    </w:rPr>
  </w:style>
  <w:style w:type="character" w:customStyle="1" w:styleId="CommentTextChar1">
    <w:name w:val="Comment Text Char1"/>
    <w:basedOn w:val="DefaultParagraphFont"/>
    <w:uiPriority w:val="99"/>
    <w:semiHidden/>
    <w:rsid w:val="00D84AD4"/>
    <w:rPr>
      <w:sz w:val="20"/>
      <w:szCs w:val="20"/>
    </w:rPr>
  </w:style>
  <w:style w:type="character" w:customStyle="1" w:styleId="FootnoteTextChar">
    <w:name w:val="Footnote Text Char"/>
    <w:basedOn w:val="DefaultParagraphFont"/>
    <w:link w:val="FootnoteText"/>
    <w:uiPriority w:val="99"/>
    <w:rsid w:val="00D84AD4"/>
    <w:rPr>
      <w:sz w:val="20"/>
      <w:szCs w:val="20"/>
    </w:rPr>
  </w:style>
  <w:style w:type="paragraph" w:styleId="FootnoteText">
    <w:name w:val="footnote text"/>
    <w:basedOn w:val="Normal"/>
    <w:link w:val="FootnoteTextChar"/>
    <w:uiPriority w:val="99"/>
    <w:unhideWhenUsed/>
    <w:rsid w:val="00D84AD4"/>
    <w:pPr>
      <w:spacing w:before="160" w:after="0" w:line="240" w:lineRule="auto"/>
    </w:pPr>
    <w:rPr>
      <w:sz w:val="20"/>
      <w:szCs w:val="20"/>
    </w:rPr>
  </w:style>
  <w:style w:type="character" w:customStyle="1" w:styleId="FootnoteTextChar1">
    <w:name w:val="Footnote Text Char1"/>
    <w:basedOn w:val="DefaultParagraphFont"/>
    <w:uiPriority w:val="99"/>
    <w:semiHidden/>
    <w:rsid w:val="00D84AD4"/>
    <w:rPr>
      <w:sz w:val="20"/>
      <w:szCs w:val="20"/>
    </w:rPr>
  </w:style>
  <w:style w:type="character" w:customStyle="1" w:styleId="BalloonTextChar">
    <w:name w:val="Balloon Text Char"/>
    <w:basedOn w:val="DefaultParagraphFont"/>
    <w:link w:val="BalloonText"/>
    <w:uiPriority w:val="99"/>
    <w:semiHidden/>
    <w:rsid w:val="00D84AD4"/>
    <w:rPr>
      <w:rFonts w:ascii="Segoe UI" w:hAnsi="Segoe UI" w:cs="Segoe UI"/>
      <w:sz w:val="18"/>
      <w:szCs w:val="18"/>
    </w:rPr>
  </w:style>
  <w:style w:type="paragraph" w:styleId="BalloonText">
    <w:name w:val="Balloon Text"/>
    <w:basedOn w:val="Normal"/>
    <w:link w:val="BalloonTextChar"/>
    <w:uiPriority w:val="99"/>
    <w:semiHidden/>
    <w:unhideWhenUsed/>
    <w:rsid w:val="00D84AD4"/>
    <w:pPr>
      <w:spacing w:after="0" w:line="240" w:lineRule="auto"/>
      <w:jc w:val="both"/>
    </w:pPr>
    <w:rPr>
      <w:rFonts w:ascii="Segoe UI" w:hAnsi="Segoe UI" w:cs="Segoe UI"/>
      <w:sz w:val="18"/>
      <w:szCs w:val="18"/>
    </w:rPr>
  </w:style>
  <w:style w:type="character" w:customStyle="1" w:styleId="BalloonTextChar1">
    <w:name w:val="Balloon Text Char1"/>
    <w:basedOn w:val="DefaultParagraphFont"/>
    <w:uiPriority w:val="99"/>
    <w:semiHidden/>
    <w:rsid w:val="00D84AD4"/>
    <w:rPr>
      <w:rFonts w:ascii="Segoe UI" w:hAnsi="Segoe UI" w:cs="Segoe UI"/>
      <w:sz w:val="18"/>
      <w:szCs w:val="18"/>
    </w:rPr>
  </w:style>
  <w:style w:type="character" w:customStyle="1" w:styleId="SubtitleChar">
    <w:name w:val="Subtitle Char"/>
    <w:aliases w:val="Footnotes Char"/>
    <w:basedOn w:val="DefaultParagraphFont"/>
    <w:link w:val="Subtitle"/>
    <w:uiPriority w:val="11"/>
    <w:rsid w:val="000126E6"/>
    <w:rPr>
      <w:sz w:val="20"/>
      <w:szCs w:val="16"/>
      <w:vertAlign w:val="superscript"/>
    </w:rPr>
  </w:style>
  <w:style w:type="paragraph" w:styleId="Subtitle">
    <w:name w:val="Subtitle"/>
    <w:aliases w:val="Footnotes"/>
    <w:next w:val="Normal"/>
    <w:link w:val="SubtitleChar"/>
    <w:autoRedefine/>
    <w:uiPriority w:val="11"/>
    <w:qFormat/>
    <w:rsid w:val="000126E6"/>
    <w:pPr>
      <w:framePr w:hSpace="180" w:wrap="around" w:vAnchor="text" w:hAnchor="text" w:xAlign="center" w:y="1"/>
      <w:numPr>
        <w:ilvl w:val="1"/>
      </w:numPr>
      <w:spacing w:after="0" w:line="240" w:lineRule="auto"/>
      <w:suppressOverlap/>
    </w:pPr>
    <w:rPr>
      <w:sz w:val="20"/>
      <w:szCs w:val="16"/>
      <w:vertAlign w:val="superscript"/>
    </w:rPr>
  </w:style>
  <w:style w:type="character" w:customStyle="1" w:styleId="SubtitleChar1">
    <w:name w:val="Subtitle Char1"/>
    <w:basedOn w:val="DefaultParagraphFont"/>
    <w:uiPriority w:val="11"/>
    <w:rsid w:val="00D84AD4"/>
    <w:rPr>
      <w:rFonts w:eastAsiaTheme="minorEastAsia"/>
      <w:color w:val="5A5A5A" w:themeColor="text1" w:themeTint="A5"/>
      <w:spacing w:val="15"/>
    </w:rPr>
  </w:style>
  <w:style w:type="character" w:customStyle="1" w:styleId="CommentSubjectChar">
    <w:name w:val="Comment Subject Char"/>
    <w:basedOn w:val="CommentTextChar"/>
    <w:link w:val="CommentSubject"/>
    <w:uiPriority w:val="99"/>
    <w:semiHidden/>
    <w:rsid w:val="00D84AD4"/>
    <w:rPr>
      <w:rFonts w:ascii="Garamond" w:hAnsi="Garamond"/>
      <w:b/>
      <w:bCs/>
      <w:sz w:val="20"/>
      <w:szCs w:val="20"/>
    </w:rPr>
  </w:style>
  <w:style w:type="paragraph" w:styleId="CommentSubject">
    <w:name w:val="annotation subject"/>
    <w:basedOn w:val="CommentText"/>
    <w:next w:val="CommentText"/>
    <w:link w:val="CommentSubjectChar"/>
    <w:uiPriority w:val="99"/>
    <w:semiHidden/>
    <w:unhideWhenUsed/>
    <w:rsid w:val="00D84AD4"/>
    <w:pPr>
      <w:spacing w:after="160"/>
    </w:pPr>
    <w:rPr>
      <w:rFonts w:ascii="Garamond" w:hAnsi="Garamond"/>
      <w:b/>
      <w:bCs/>
    </w:rPr>
  </w:style>
  <w:style w:type="character" w:customStyle="1" w:styleId="CommentSubjectChar1">
    <w:name w:val="Comment Subject Char1"/>
    <w:basedOn w:val="CommentTextChar1"/>
    <w:uiPriority w:val="99"/>
    <w:semiHidden/>
    <w:rsid w:val="00D84AD4"/>
    <w:rPr>
      <w:b/>
      <w:bCs/>
      <w:sz w:val="20"/>
      <w:szCs w:val="20"/>
    </w:rPr>
  </w:style>
  <w:style w:type="character" w:customStyle="1" w:styleId="HeaderChar">
    <w:name w:val="Header Char"/>
    <w:basedOn w:val="DefaultParagraphFont"/>
    <w:link w:val="Header"/>
    <w:uiPriority w:val="99"/>
    <w:rsid w:val="00D84AD4"/>
    <w:rPr>
      <w:rFonts w:ascii="Garamond" w:hAnsi="Garamond"/>
      <w:sz w:val="24"/>
    </w:rPr>
  </w:style>
  <w:style w:type="paragraph" w:styleId="Header">
    <w:name w:val="header"/>
    <w:basedOn w:val="Normal"/>
    <w:link w:val="HeaderChar"/>
    <w:uiPriority w:val="99"/>
    <w:unhideWhenUsed/>
    <w:rsid w:val="00D84AD4"/>
    <w:pPr>
      <w:tabs>
        <w:tab w:val="center" w:pos="4513"/>
        <w:tab w:val="right" w:pos="9026"/>
      </w:tabs>
      <w:spacing w:after="0" w:line="240" w:lineRule="auto"/>
      <w:jc w:val="both"/>
    </w:pPr>
    <w:rPr>
      <w:rFonts w:ascii="Garamond" w:hAnsi="Garamond"/>
      <w:sz w:val="24"/>
    </w:rPr>
  </w:style>
  <w:style w:type="character" w:customStyle="1" w:styleId="HeaderChar1">
    <w:name w:val="Header Char1"/>
    <w:basedOn w:val="DefaultParagraphFont"/>
    <w:uiPriority w:val="99"/>
    <w:semiHidden/>
    <w:rsid w:val="00D84AD4"/>
  </w:style>
  <w:style w:type="character" w:customStyle="1" w:styleId="FooterChar">
    <w:name w:val="Footer Char"/>
    <w:basedOn w:val="DefaultParagraphFont"/>
    <w:link w:val="Footer"/>
    <w:uiPriority w:val="99"/>
    <w:rsid w:val="00D84AD4"/>
    <w:rPr>
      <w:rFonts w:ascii="Garamond" w:hAnsi="Garamond"/>
      <w:sz w:val="24"/>
    </w:rPr>
  </w:style>
  <w:style w:type="paragraph" w:styleId="Footer">
    <w:name w:val="footer"/>
    <w:basedOn w:val="Normal"/>
    <w:link w:val="FooterChar"/>
    <w:uiPriority w:val="99"/>
    <w:unhideWhenUsed/>
    <w:rsid w:val="00D84AD4"/>
    <w:pPr>
      <w:tabs>
        <w:tab w:val="center" w:pos="4513"/>
        <w:tab w:val="right" w:pos="9026"/>
      </w:tabs>
      <w:spacing w:after="0" w:line="240" w:lineRule="auto"/>
      <w:jc w:val="both"/>
    </w:pPr>
    <w:rPr>
      <w:rFonts w:ascii="Garamond" w:hAnsi="Garamond"/>
      <w:sz w:val="24"/>
    </w:rPr>
  </w:style>
  <w:style w:type="character" w:customStyle="1" w:styleId="FooterChar1">
    <w:name w:val="Footer Char1"/>
    <w:basedOn w:val="DefaultParagraphFont"/>
    <w:uiPriority w:val="99"/>
    <w:semiHidden/>
    <w:rsid w:val="00D84AD4"/>
  </w:style>
  <w:style w:type="paragraph" w:customStyle="1" w:styleId="EndNoteBibliographyTitle">
    <w:name w:val="EndNote Bibliography Title"/>
    <w:basedOn w:val="Normal"/>
    <w:link w:val="EndNoteBibliographyTitleChar"/>
    <w:rsid w:val="00D84AD4"/>
    <w:pPr>
      <w:spacing w:before="160" w:after="0"/>
      <w:jc w:val="center"/>
    </w:pPr>
    <w:rPr>
      <w:rFonts w:ascii="Garamond" w:hAnsi="Garamond"/>
      <w:noProof/>
      <w:sz w:val="24"/>
      <w:lang w:val="en-US"/>
    </w:rPr>
  </w:style>
  <w:style w:type="character" w:customStyle="1" w:styleId="EndNoteBibliographyTitleChar">
    <w:name w:val="EndNote Bibliography Title Char"/>
    <w:basedOn w:val="DefaultParagraphFont"/>
    <w:link w:val="EndNoteBibliographyTitle"/>
    <w:rsid w:val="00D84AD4"/>
    <w:rPr>
      <w:rFonts w:ascii="Garamond" w:hAnsi="Garamond"/>
      <w:noProof/>
      <w:sz w:val="24"/>
      <w:lang w:val="en-US"/>
    </w:rPr>
  </w:style>
  <w:style w:type="paragraph" w:customStyle="1" w:styleId="EndNoteBibliography">
    <w:name w:val="EndNote Bibliography"/>
    <w:basedOn w:val="Normal"/>
    <w:link w:val="EndNoteBibliographyChar"/>
    <w:rsid w:val="00D84AD4"/>
    <w:pPr>
      <w:spacing w:before="160" w:line="240" w:lineRule="auto"/>
      <w:jc w:val="both"/>
    </w:pPr>
    <w:rPr>
      <w:rFonts w:ascii="Garamond" w:hAnsi="Garamond"/>
      <w:noProof/>
      <w:sz w:val="24"/>
      <w:lang w:val="en-US"/>
    </w:rPr>
  </w:style>
  <w:style w:type="character" w:customStyle="1" w:styleId="EndNoteBibliographyChar">
    <w:name w:val="EndNote Bibliography Char"/>
    <w:basedOn w:val="DefaultParagraphFont"/>
    <w:link w:val="EndNoteBibliography"/>
    <w:rsid w:val="00D84AD4"/>
    <w:rPr>
      <w:rFonts w:ascii="Garamond" w:hAnsi="Garamond"/>
      <w:noProof/>
      <w:sz w:val="24"/>
      <w:lang w:val="en-US"/>
    </w:rPr>
  </w:style>
  <w:style w:type="character" w:styleId="CommentReference">
    <w:name w:val="annotation reference"/>
    <w:basedOn w:val="DefaultParagraphFont"/>
    <w:uiPriority w:val="99"/>
    <w:semiHidden/>
    <w:unhideWhenUsed/>
    <w:rsid w:val="00D84AD4"/>
    <w:rPr>
      <w:sz w:val="16"/>
      <w:szCs w:val="16"/>
    </w:rPr>
  </w:style>
  <w:style w:type="character" w:styleId="FootnoteReference">
    <w:name w:val="footnote reference"/>
    <w:basedOn w:val="DefaultParagraphFont"/>
    <w:uiPriority w:val="99"/>
    <w:unhideWhenUsed/>
    <w:rsid w:val="00D84AD4"/>
    <w:rPr>
      <w:vertAlign w:val="superscript"/>
    </w:rPr>
  </w:style>
  <w:style w:type="paragraph" w:styleId="ListParagraph">
    <w:name w:val="List Paragraph"/>
    <w:basedOn w:val="Normal"/>
    <w:uiPriority w:val="34"/>
    <w:qFormat/>
    <w:rsid w:val="00D84AD4"/>
    <w:pPr>
      <w:ind w:left="720"/>
      <w:contextualSpacing/>
    </w:pPr>
  </w:style>
  <w:style w:type="character" w:styleId="PlaceholderText">
    <w:name w:val="Placeholder Text"/>
    <w:basedOn w:val="DefaultParagraphFont"/>
    <w:uiPriority w:val="99"/>
    <w:semiHidden/>
    <w:rsid w:val="00D84AD4"/>
    <w:rPr>
      <w:color w:val="808080"/>
    </w:rPr>
  </w:style>
  <w:style w:type="character" w:styleId="Hyperlink">
    <w:name w:val="Hyperlink"/>
    <w:basedOn w:val="DefaultParagraphFont"/>
    <w:uiPriority w:val="99"/>
    <w:unhideWhenUsed/>
    <w:rsid w:val="00D84AD4"/>
    <w:rPr>
      <w:color w:val="0000FF"/>
      <w:u w:val="single"/>
    </w:rPr>
  </w:style>
  <w:style w:type="character" w:styleId="FollowedHyperlink">
    <w:name w:val="FollowedHyperlink"/>
    <w:basedOn w:val="DefaultParagraphFont"/>
    <w:uiPriority w:val="99"/>
    <w:semiHidden/>
    <w:unhideWhenUsed/>
    <w:rsid w:val="00D84AD4"/>
    <w:rPr>
      <w:color w:val="954F72" w:themeColor="followedHyperlink"/>
      <w:u w:val="single"/>
    </w:rPr>
  </w:style>
  <w:style w:type="table" w:styleId="TableGrid">
    <w:name w:val="Table Grid"/>
    <w:basedOn w:val="TableNormal"/>
    <w:uiPriority w:val="39"/>
    <w:rsid w:val="00D84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84A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D84AD4"/>
  </w:style>
  <w:style w:type="character" w:customStyle="1" w:styleId="ref-lnk">
    <w:name w:val="ref-lnk"/>
    <w:basedOn w:val="DefaultParagraphFont"/>
    <w:rsid w:val="00D84AD4"/>
  </w:style>
  <w:style w:type="character" w:customStyle="1" w:styleId="ref-overlay">
    <w:name w:val="ref-overlay"/>
    <w:basedOn w:val="DefaultParagraphFont"/>
    <w:rsid w:val="00D84AD4"/>
  </w:style>
  <w:style w:type="character" w:customStyle="1" w:styleId="hlfld-contribauthor">
    <w:name w:val="hlfld-contribauthor"/>
    <w:basedOn w:val="DefaultParagraphFont"/>
    <w:rsid w:val="00D84AD4"/>
  </w:style>
  <w:style w:type="character" w:customStyle="1" w:styleId="nlmgiven-names">
    <w:name w:val="nlm_given-names"/>
    <w:basedOn w:val="DefaultParagraphFont"/>
    <w:rsid w:val="00D84AD4"/>
  </w:style>
  <w:style w:type="character" w:customStyle="1" w:styleId="nlmyear">
    <w:name w:val="nlm_year"/>
    <w:basedOn w:val="DefaultParagraphFont"/>
    <w:rsid w:val="00D84AD4"/>
  </w:style>
  <w:style w:type="character" w:customStyle="1" w:styleId="nlmpublisher-loc">
    <w:name w:val="nlm_publisher-loc"/>
    <w:basedOn w:val="DefaultParagraphFont"/>
    <w:rsid w:val="00D84AD4"/>
  </w:style>
  <w:style w:type="character" w:customStyle="1" w:styleId="nlmpublisher-name">
    <w:name w:val="nlm_publisher-name"/>
    <w:basedOn w:val="DefaultParagraphFont"/>
    <w:rsid w:val="00D84AD4"/>
  </w:style>
  <w:style w:type="character" w:customStyle="1" w:styleId="ref-links">
    <w:name w:val="ref-links"/>
    <w:basedOn w:val="DefaultParagraphFont"/>
    <w:rsid w:val="00D84AD4"/>
  </w:style>
  <w:style w:type="character" w:customStyle="1" w:styleId="googlescholar-container">
    <w:name w:val="googlescholar-container"/>
    <w:basedOn w:val="DefaultParagraphFont"/>
    <w:rsid w:val="00D84AD4"/>
  </w:style>
  <w:style w:type="table" w:customStyle="1" w:styleId="TableGrid1">
    <w:name w:val="Table Grid1"/>
    <w:basedOn w:val="TableNormal"/>
    <w:next w:val="TableGrid"/>
    <w:uiPriority w:val="39"/>
    <w:rsid w:val="00D84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5B51"/>
    <w:pPr>
      <w:spacing w:after="0" w:line="240" w:lineRule="auto"/>
    </w:pPr>
  </w:style>
  <w:style w:type="table" w:styleId="PlainTable2">
    <w:name w:val="Plain Table 2"/>
    <w:basedOn w:val="TableNormal"/>
    <w:uiPriority w:val="42"/>
    <w:rsid w:val="00AF16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286C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4C02CE"/>
    <w:rPr>
      <w:color w:val="605E5C"/>
      <w:shd w:val="clear" w:color="auto" w:fill="E1DFDD"/>
    </w:rPr>
  </w:style>
  <w:style w:type="character" w:styleId="Emphasis">
    <w:name w:val="Emphasis"/>
    <w:basedOn w:val="DefaultParagraphFont"/>
    <w:uiPriority w:val="20"/>
    <w:qFormat/>
    <w:rsid w:val="00A728D7"/>
    <w:rPr>
      <w:i/>
      <w:iCs/>
    </w:rPr>
  </w:style>
  <w:style w:type="character" w:styleId="LineNumber">
    <w:name w:val="line number"/>
    <w:basedOn w:val="DefaultParagraphFont"/>
    <w:uiPriority w:val="99"/>
    <w:semiHidden/>
    <w:unhideWhenUsed/>
    <w:rsid w:val="00236D8D"/>
  </w:style>
  <w:style w:type="paragraph" w:styleId="TableofFigures">
    <w:name w:val="table of figures"/>
    <w:basedOn w:val="Normal"/>
    <w:next w:val="Normal"/>
    <w:uiPriority w:val="99"/>
    <w:unhideWhenUsed/>
    <w:rsid w:val="009A324C"/>
    <w:pPr>
      <w:spacing w:after="0"/>
    </w:pPr>
  </w:style>
  <w:style w:type="character" w:customStyle="1" w:styleId="s4">
    <w:name w:val="s4"/>
    <w:basedOn w:val="DefaultParagraphFont"/>
    <w:rsid w:val="00344AD9"/>
  </w:style>
  <w:style w:type="character" w:styleId="Strong">
    <w:name w:val="Strong"/>
    <w:aliases w:val="Tables"/>
    <w:basedOn w:val="DefaultParagraphFont"/>
    <w:uiPriority w:val="22"/>
    <w:qFormat/>
    <w:rsid w:val="00DB0972"/>
    <w:rPr>
      <w:rFonts w:ascii="Garamond" w:hAnsi="Garamond"/>
      <w:b w:val="0"/>
      <w:bCs/>
      <w:i w:val="0"/>
      <w:color w:val="auto"/>
      <w:sz w:val="20"/>
    </w:rPr>
  </w:style>
  <w:style w:type="character" w:styleId="PageNumber">
    <w:name w:val="page number"/>
    <w:basedOn w:val="DefaultParagraphFont"/>
    <w:uiPriority w:val="99"/>
    <w:semiHidden/>
    <w:unhideWhenUsed/>
    <w:rsid w:val="00664C0B"/>
  </w:style>
  <w:style w:type="character" w:styleId="EndnoteReference">
    <w:name w:val="endnote reference"/>
    <w:basedOn w:val="DefaultParagraphFont"/>
    <w:uiPriority w:val="99"/>
    <w:semiHidden/>
    <w:unhideWhenUsed/>
    <w:rsid w:val="003C7924"/>
    <w:rPr>
      <w:vertAlign w:val="superscript"/>
    </w:rPr>
  </w:style>
  <w:style w:type="character" w:customStyle="1" w:styleId="UnresolvedMention2">
    <w:name w:val="Unresolved Mention2"/>
    <w:basedOn w:val="DefaultParagraphFont"/>
    <w:uiPriority w:val="99"/>
    <w:semiHidden/>
    <w:unhideWhenUsed/>
    <w:rsid w:val="00B76CCA"/>
    <w:rPr>
      <w:color w:val="605E5C"/>
      <w:shd w:val="clear" w:color="auto" w:fill="E1DFDD"/>
    </w:rPr>
  </w:style>
  <w:style w:type="character" w:styleId="UnresolvedMention">
    <w:name w:val="Unresolved Mention"/>
    <w:basedOn w:val="DefaultParagraphFont"/>
    <w:uiPriority w:val="99"/>
    <w:semiHidden/>
    <w:unhideWhenUsed/>
    <w:rsid w:val="00674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215603">
      <w:bodyDiv w:val="1"/>
      <w:marLeft w:val="0"/>
      <w:marRight w:val="0"/>
      <w:marTop w:val="0"/>
      <w:marBottom w:val="0"/>
      <w:divBdr>
        <w:top w:val="none" w:sz="0" w:space="0" w:color="auto"/>
        <w:left w:val="none" w:sz="0" w:space="0" w:color="auto"/>
        <w:bottom w:val="none" w:sz="0" w:space="0" w:color="auto"/>
        <w:right w:val="none" w:sz="0" w:space="0" w:color="auto"/>
      </w:divBdr>
      <w:divsChild>
        <w:div w:id="1339649068">
          <w:marLeft w:val="0"/>
          <w:marRight w:val="0"/>
          <w:marTop w:val="0"/>
          <w:marBottom w:val="0"/>
          <w:divBdr>
            <w:top w:val="none" w:sz="0" w:space="0" w:color="auto"/>
            <w:left w:val="none" w:sz="0" w:space="0" w:color="auto"/>
            <w:bottom w:val="none" w:sz="0" w:space="0" w:color="auto"/>
            <w:right w:val="none" w:sz="0" w:space="0" w:color="auto"/>
          </w:divBdr>
          <w:divsChild>
            <w:div w:id="1479764394">
              <w:marLeft w:val="0"/>
              <w:marRight w:val="0"/>
              <w:marTop w:val="0"/>
              <w:marBottom w:val="0"/>
              <w:divBdr>
                <w:top w:val="none" w:sz="0" w:space="0" w:color="auto"/>
                <w:left w:val="none" w:sz="0" w:space="0" w:color="auto"/>
                <w:bottom w:val="none" w:sz="0" w:space="0" w:color="auto"/>
                <w:right w:val="none" w:sz="0" w:space="0" w:color="auto"/>
              </w:divBdr>
              <w:divsChild>
                <w:div w:id="92749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27119">
      <w:bodyDiv w:val="1"/>
      <w:marLeft w:val="0"/>
      <w:marRight w:val="0"/>
      <w:marTop w:val="0"/>
      <w:marBottom w:val="0"/>
      <w:divBdr>
        <w:top w:val="none" w:sz="0" w:space="0" w:color="auto"/>
        <w:left w:val="none" w:sz="0" w:space="0" w:color="auto"/>
        <w:bottom w:val="none" w:sz="0" w:space="0" w:color="auto"/>
        <w:right w:val="none" w:sz="0" w:space="0" w:color="auto"/>
      </w:divBdr>
    </w:div>
    <w:div w:id="276449946">
      <w:bodyDiv w:val="1"/>
      <w:marLeft w:val="0"/>
      <w:marRight w:val="0"/>
      <w:marTop w:val="0"/>
      <w:marBottom w:val="0"/>
      <w:divBdr>
        <w:top w:val="none" w:sz="0" w:space="0" w:color="auto"/>
        <w:left w:val="none" w:sz="0" w:space="0" w:color="auto"/>
        <w:bottom w:val="none" w:sz="0" w:space="0" w:color="auto"/>
        <w:right w:val="none" w:sz="0" w:space="0" w:color="auto"/>
      </w:divBdr>
    </w:div>
    <w:div w:id="288241751">
      <w:bodyDiv w:val="1"/>
      <w:marLeft w:val="0"/>
      <w:marRight w:val="0"/>
      <w:marTop w:val="0"/>
      <w:marBottom w:val="0"/>
      <w:divBdr>
        <w:top w:val="none" w:sz="0" w:space="0" w:color="auto"/>
        <w:left w:val="none" w:sz="0" w:space="0" w:color="auto"/>
        <w:bottom w:val="none" w:sz="0" w:space="0" w:color="auto"/>
        <w:right w:val="none" w:sz="0" w:space="0" w:color="auto"/>
      </w:divBdr>
    </w:div>
    <w:div w:id="304244602">
      <w:bodyDiv w:val="1"/>
      <w:marLeft w:val="0"/>
      <w:marRight w:val="0"/>
      <w:marTop w:val="0"/>
      <w:marBottom w:val="0"/>
      <w:divBdr>
        <w:top w:val="none" w:sz="0" w:space="0" w:color="auto"/>
        <w:left w:val="none" w:sz="0" w:space="0" w:color="auto"/>
        <w:bottom w:val="none" w:sz="0" w:space="0" w:color="auto"/>
        <w:right w:val="none" w:sz="0" w:space="0" w:color="auto"/>
      </w:divBdr>
    </w:div>
    <w:div w:id="331563900">
      <w:bodyDiv w:val="1"/>
      <w:marLeft w:val="0"/>
      <w:marRight w:val="0"/>
      <w:marTop w:val="0"/>
      <w:marBottom w:val="0"/>
      <w:divBdr>
        <w:top w:val="none" w:sz="0" w:space="0" w:color="auto"/>
        <w:left w:val="none" w:sz="0" w:space="0" w:color="auto"/>
        <w:bottom w:val="none" w:sz="0" w:space="0" w:color="auto"/>
        <w:right w:val="none" w:sz="0" w:space="0" w:color="auto"/>
      </w:divBdr>
    </w:div>
    <w:div w:id="367609486">
      <w:bodyDiv w:val="1"/>
      <w:marLeft w:val="0"/>
      <w:marRight w:val="0"/>
      <w:marTop w:val="0"/>
      <w:marBottom w:val="0"/>
      <w:divBdr>
        <w:top w:val="none" w:sz="0" w:space="0" w:color="auto"/>
        <w:left w:val="none" w:sz="0" w:space="0" w:color="auto"/>
        <w:bottom w:val="none" w:sz="0" w:space="0" w:color="auto"/>
        <w:right w:val="none" w:sz="0" w:space="0" w:color="auto"/>
      </w:divBdr>
    </w:div>
    <w:div w:id="379866404">
      <w:bodyDiv w:val="1"/>
      <w:marLeft w:val="0"/>
      <w:marRight w:val="0"/>
      <w:marTop w:val="0"/>
      <w:marBottom w:val="0"/>
      <w:divBdr>
        <w:top w:val="none" w:sz="0" w:space="0" w:color="auto"/>
        <w:left w:val="none" w:sz="0" w:space="0" w:color="auto"/>
        <w:bottom w:val="none" w:sz="0" w:space="0" w:color="auto"/>
        <w:right w:val="none" w:sz="0" w:space="0" w:color="auto"/>
      </w:divBdr>
    </w:div>
    <w:div w:id="430274940">
      <w:bodyDiv w:val="1"/>
      <w:marLeft w:val="0"/>
      <w:marRight w:val="0"/>
      <w:marTop w:val="0"/>
      <w:marBottom w:val="0"/>
      <w:divBdr>
        <w:top w:val="none" w:sz="0" w:space="0" w:color="auto"/>
        <w:left w:val="none" w:sz="0" w:space="0" w:color="auto"/>
        <w:bottom w:val="none" w:sz="0" w:space="0" w:color="auto"/>
        <w:right w:val="none" w:sz="0" w:space="0" w:color="auto"/>
      </w:divBdr>
    </w:div>
    <w:div w:id="430512905">
      <w:bodyDiv w:val="1"/>
      <w:marLeft w:val="0"/>
      <w:marRight w:val="0"/>
      <w:marTop w:val="0"/>
      <w:marBottom w:val="0"/>
      <w:divBdr>
        <w:top w:val="none" w:sz="0" w:space="0" w:color="auto"/>
        <w:left w:val="none" w:sz="0" w:space="0" w:color="auto"/>
        <w:bottom w:val="none" w:sz="0" w:space="0" w:color="auto"/>
        <w:right w:val="none" w:sz="0" w:space="0" w:color="auto"/>
      </w:divBdr>
    </w:div>
    <w:div w:id="445123988">
      <w:bodyDiv w:val="1"/>
      <w:marLeft w:val="0"/>
      <w:marRight w:val="0"/>
      <w:marTop w:val="0"/>
      <w:marBottom w:val="0"/>
      <w:divBdr>
        <w:top w:val="none" w:sz="0" w:space="0" w:color="auto"/>
        <w:left w:val="none" w:sz="0" w:space="0" w:color="auto"/>
        <w:bottom w:val="none" w:sz="0" w:space="0" w:color="auto"/>
        <w:right w:val="none" w:sz="0" w:space="0" w:color="auto"/>
      </w:divBdr>
    </w:div>
    <w:div w:id="515510316">
      <w:bodyDiv w:val="1"/>
      <w:marLeft w:val="0"/>
      <w:marRight w:val="0"/>
      <w:marTop w:val="0"/>
      <w:marBottom w:val="0"/>
      <w:divBdr>
        <w:top w:val="none" w:sz="0" w:space="0" w:color="auto"/>
        <w:left w:val="none" w:sz="0" w:space="0" w:color="auto"/>
        <w:bottom w:val="none" w:sz="0" w:space="0" w:color="auto"/>
        <w:right w:val="none" w:sz="0" w:space="0" w:color="auto"/>
      </w:divBdr>
    </w:div>
    <w:div w:id="549152445">
      <w:bodyDiv w:val="1"/>
      <w:marLeft w:val="0"/>
      <w:marRight w:val="0"/>
      <w:marTop w:val="0"/>
      <w:marBottom w:val="0"/>
      <w:divBdr>
        <w:top w:val="none" w:sz="0" w:space="0" w:color="auto"/>
        <w:left w:val="none" w:sz="0" w:space="0" w:color="auto"/>
        <w:bottom w:val="none" w:sz="0" w:space="0" w:color="auto"/>
        <w:right w:val="none" w:sz="0" w:space="0" w:color="auto"/>
      </w:divBdr>
    </w:div>
    <w:div w:id="621881890">
      <w:bodyDiv w:val="1"/>
      <w:marLeft w:val="0"/>
      <w:marRight w:val="0"/>
      <w:marTop w:val="0"/>
      <w:marBottom w:val="0"/>
      <w:divBdr>
        <w:top w:val="none" w:sz="0" w:space="0" w:color="auto"/>
        <w:left w:val="none" w:sz="0" w:space="0" w:color="auto"/>
        <w:bottom w:val="none" w:sz="0" w:space="0" w:color="auto"/>
        <w:right w:val="none" w:sz="0" w:space="0" w:color="auto"/>
      </w:divBdr>
    </w:div>
    <w:div w:id="691492055">
      <w:bodyDiv w:val="1"/>
      <w:marLeft w:val="0"/>
      <w:marRight w:val="0"/>
      <w:marTop w:val="0"/>
      <w:marBottom w:val="0"/>
      <w:divBdr>
        <w:top w:val="none" w:sz="0" w:space="0" w:color="auto"/>
        <w:left w:val="none" w:sz="0" w:space="0" w:color="auto"/>
        <w:bottom w:val="none" w:sz="0" w:space="0" w:color="auto"/>
        <w:right w:val="none" w:sz="0" w:space="0" w:color="auto"/>
      </w:divBdr>
    </w:div>
    <w:div w:id="737945099">
      <w:bodyDiv w:val="1"/>
      <w:marLeft w:val="0"/>
      <w:marRight w:val="0"/>
      <w:marTop w:val="0"/>
      <w:marBottom w:val="0"/>
      <w:divBdr>
        <w:top w:val="none" w:sz="0" w:space="0" w:color="auto"/>
        <w:left w:val="none" w:sz="0" w:space="0" w:color="auto"/>
        <w:bottom w:val="none" w:sz="0" w:space="0" w:color="auto"/>
        <w:right w:val="none" w:sz="0" w:space="0" w:color="auto"/>
      </w:divBdr>
    </w:div>
    <w:div w:id="797340107">
      <w:bodyDiv w:val="1"/>
      <w:marLeft w:val="0"/>
      <w:marRight w:val="0"/>
      <w:marTop w:val="0"/>
      <w:marBottom w:val="0"/>
      <w:divBdr>
        <w:top w:val="none" w:sz="0" w:space="0" w:color="auto"/>
        <w:left w:val="none" w:sz="0" w:space="0" w:color="auto"/>
        <w:bottom w:val="none" w:sz="0" w:space="0" w:color="auto"/>
        <w:right w:val="none" w:sz="0" w:space="0" w:color="auto"/>
      </w:divBdr>
    </w:div>
    <w:div w:id="828446519">
      <w:bodyDiv w:val="1"/>
      <w:marLeft w:val="0"/>
      <w:marRight w:val="0"/>
      <w:marTop w:val="0"/>
      <w:marBottom w:val="0"/>
      <w:divBdr>
        <w:top w:val="none" w:sz="0" w:space="0" w:color="auto"/>
        <w:left w:val="none" w:sz="0" w:space="0" w:color="auto"/>
        <w:bottom w:val="none" w:sz="0" w:space="0" w:color="auto"/>
        <w:right w:val="none" w:sz="0" w:space="0" w:color="auto"/>
      </w:divBdr>
    </w:div>
    <w:div w:id="896673085">
      <w:bodyDiv w:val="1"/>
      <w:marLeft w:val="0"/>
      <w:marRight w:val="0"/>
      <w:marTop w:val="0"/>
      <w:marBottom w:val="0"/>
      <w:divBdr>
        <w:top w:val="none" w:sz="0" w:space="0" w:color="auto"/>
        <w:left w:val="none" w:sz="0" w:space="0" w:color="auto"/>
        <w:bottom w:val="none" w:sz="0" w:space="0" w:color="auto"/>
        <w:right w:val="none" w:sz="0" w:space="0" w:color="auto"/>
      </w:divBdr>
    </w:div>
    <w:div w:id="909004420">
      <w:bodyDiv w:val="1"/>
      <w:marLeft w:val="0"/>
      <w:marRight w:val="0"/>
      <w:marTop w:val="0"/>
      <w:marBottom w:val="0"/>
      <w:divBdr>
        <w:top w:val="none" w:sz="0" w:space="0" w:color="auto"/>
        <w:left w:val="none" w:sz="0" w:space="0" w:color="auto"/>
        <w:bottom w:val="none" w:sz="0" w:space="0" w:color="auto"/>
        <w:right w:val="none" w:sz="0" w:space="0" w:color="auto"/>
      </w:divBdr>
    </w:div>
    <w:div w:id="913977149">
      <w:bodyDiv w:val="1"/>
      <w:marLeft w:val="0"/>
      <w:marRight w:val="0"/>
      <w:marTop w:val="0"/>
      <w:marBottom w:val="0"/>
      <w:divBdr>
        <w:top w:val="none" w:sz="0" w:space="0" w:color="auto"/>
        <w:left w:val="none" w:sz="0" w:space="0" w:color="auto"/>
        <w:bottom w:val="none" w:sz="0" w:space="0" w:color="auto"/>
        <w:right w:val="none" w:sz="0" w:space="0" w:color="auto"/>
      </w:divBdr>
    </w:div>
    <w:div w:id="945310130">
      <w:bodyDiv w:val="1"/>
      <w:marLeft w:val="0"/>
      <w:marRight w:val="0"/>
      <w:marTop w:val="0"/>
      <w:marBottom w:val="0"/>
      <w:divBdr>
        <w:top w:val="none" w:sz="0" w:space="0" w:color="auto"/>
        <w:left w:val="none" w:sz="0" w:space="0" w:color="auto"/>
        <w:bottom w:val="none" w:sz="0" w:space="0" w:color="auto"/>
        <w:right w:val="none" w:sz="0" w:space="0" w:color="auto"/>
      </w:divBdr>
    </w:div>
    <w:div w:id="1040742391">
      <w:bodyDiv w:val="1"/>
      <w:marLeft w:val="0"/>
      <w:marRight w:val="0"/>
      <w:marTop w:val="0"/>
      <w:marBottom w:val="0"/>
      <w:divBdr>
        <w:top w:val="none" w:sz="0" w:space="0" w:color="auto"/>
        <w:left w:val="none" w:sz="0" w:space="0" w:color="auto"/>
        <w:bottom w:val="none" w:sz="0" w:space="0" w:color="auto"/>
        <w:right w:val="none" w:sz="0" w:space="0" w:color="auto"/>
      </w:divBdr>
      <w:divsChild>
        <w:div w:id="212155548">
          <w:marLeft w:val="0"/>
          <w:marRight w:val="0"/>
          <w:marTop w:val="0"/>
          <w:marBottom w:val="0"/>
          <w:divBdr>
            <w:top w:val="none" w:sz="0" w:space="0" w:color="auto"/>
            <w:left w:val="none" w:sz="0" w:space="0" w:color="auto"/>
            <w:bottom w:val="none" w:sz="0" w:space="0" w:color="auto"/>
            <w:right w:val="none" w:sz="0" w:space="0" w:color="auto"/>
          </w:divBdr>
        </w:div>
      </w:divsChild>
    </w:div>
    <w:div w:id="1052969028">
      <w:bodyDiv w:val="1"/>
      <w:marLeft w:val="0"/>
      <w:marRight w:val="0"/>
      <w:marTop w:val="0"/>
      <w:marBottom w:val="0"/>
      <w:divBdr>
        <w:top w:val="none" w:sz="0" w:space="0" w:color="auto"/>
        <w:left w:val="none" w:sz="0" w:space="0" w:color="auto"/>
        <w:bottom w:val="none" w:sz="0" w:space="0" w:color="auto"/>
        <w:right w:val="none" w:sz="0" w:space="0" w:color="auto"/>
      </w:divBdr>
    </w:div>
    <w:div w:id="1054696882">
      <w:bodyDiv w:val="1"/>
      <w:marLeft w:val="0"/>
      <w:marRight w:val="0"/>
      <w:marTop w:val="0"/>
      <w:marBottom w:val="0"/>
      <w:divBdr>
        <w:top w:val="none" w:sz="0" w:space="0" w:color="auto"/>
        <w:left w:val="none" w:sz="0" w:space="0" w:color="auto"/>
        <w:bottom w:val="none" w:sz="0" w:space="0" w:color="auto"/>
        <w:right w:val="none" w:sz="0" w:space="0" w:color="auto"/>
      </w:divBdr>
    </w:div>
    <w:div w:id="1060055189">
      <w:bodyDiv w:val="1"/>
      <w:marLeft w:val="0"/>
      <w:marRight w:val="0"/>
      <w:marTop w:val="0"/>
      <w:marBottom w:val="0"/>
      <w:divBdr>
        <w:top w:val="none" w:sz="0" w:space="0" w:color="auto"/>
        <w:left w:val="none" w:sz="0" w:space="0" w:color="auto"/>
        <w:bottom w:val="none" w:sz="0" w:space="0" w:color="auto"/>
        <w:right w:val="none" w:sz="0" w:space="0" w:color="auto"/>
      </w:divBdr>
    </w:div>
    <w:div w:id="1100680346">
      <w:bodyDiv w:val="1"/>
      <w:marLeft w:val="0"/>
      <w:marRight w:val="0"/>
      <w:marTop w:val="0"/>
      <w:marBottom w:val="0"/>
      <w:divBdr>
        <w:top w:val="none" w:sz="0" w:space="0" w:color="auto"/>
        <w:left w:val="none" w:sz="0" w:space="0" w:color="auto"/>
        <w:bottom w:val="none" w:sz="0" w:space="0" w:color="auto"/>
        <w:right w:val="none" w:sz="0" w:space="0" w:color="auto"/>
      </w:divBdr>
    </w:div>
    <w:div w:id="1105882920">
      <w:bodyDiv w:val="1"/>
      <w:marLeft w:val="0"/>
      <w:marRight w:val="0"/>
      <w:marTop w:val="0"/>
      <w:marBottom w:val="0"/>
      <w:divBdr>
        <w:top w:val="none" w:sz="0" w:space="0" w:color="auto"/>
        <w:left w:val="none" w:sz="0" w:space="0" w:color="auto"/>
        <w:bottom w:val="none" w:sz="0" w:space="0" w:color="auto"/>
        <w:right w:val="none" w:sz="0" w:space="0" w:color="auto"/>
      </w:divBdr>
    </w:div>
    <w:div w:id="1149402303">
      <w:bodyDiv w:val="1"/>
      <w:marLeft w:val="0"/>
      <w:marRight w:val="0"/>
      <w:marTop w:val="0"/>
      <w:marBottom w:val="0"/>
      <w:divBdr>
        <w:top w:val="none" w:sz="0" w:space="0" w:color="auto"/>
        <w:left w:val="none" w:sz="0" w:space="0" w:color="auto"/>
        <w:bottom w:val="none" w:sz="0" w:space="0" w:color="auto"/>
        <w:right w:val="none" w:sz="0" w:space="0" w:color="auto"/>
      </w:divBdr>
    </w:div>
    <w:div w:id="1190147816">
      <w:bodyDiv w:val="1"/>
      <w:marLeft w:val="0"/>
      <w:marRight w:val="0"/>
      <w:marTop w:val="0"/>
      <w:marBottom w:val="0"/>
      <w:divBdr>
        <w:top w:val="none" w:sz="0" w:space="0" w:color="auto"/>
        <w:left w:val="none" w:sz="0" w:space="0" w:color="auto"/>
        <w:bottom w:val="none" w:sz="0" w:space="0" w:color="auto"/>
        <w:right w:val="none" w:sz="0" w:space="0" w:color="auto"/>
      </w:divBdr>
    </w:div>
    <w:div w:id="1289702527">
      <w:bodyDiv w:val="1"/>
      <w:marLeft w:val="0"/>
      <w:marRight w:val="0"/>
      <w:marTop w:val="0"/>
      <w:marBottom w:val="0"/>
      <w:divBdr>
        <w:top w:val="none" w:sz="0" w:space="0" w:color="auto"/>
        <w:left w:val="none" w:sz="0" w:space="0" w:color="auto"/>
        <w:bottom w:val="none" w:sz="0" w:space="0" w:color="auto"/>
        <w:right w:val="none" w:sz="0" w:space="0" w:color="auto"/>
      </w:divBdr>
    </w:div>
    <w:div w:id="1296835842">
      <w:bodyDiv w:val="1"/>
      <w:marLeft w:val="0"/>
      <w:marRight w:val="0"/>
      <w:marTop w:val="0"/>
      <w:marBottom w:val="0"/>
      <w:divBdr>
        <w:top w:val="none" w:sz="0" w:space="0" w:color="auto"/>
        <w:left w:val="none" w:sz="0" w:space="0" w:color="auto"/>
        <w:bottom w:val="none" w:sz="0" w:space="0" w:color="auto"/>
        <w:right w:val="none" w:sz="0" w:space="0" w:color="auto"/>
      </w:divBdr>
    </w:div>
    <w:div w:id="1323581391">
      <w:bodyDiv w:val="1"/>
      <w:marLeft w:val="0"/>
      <w:marRight w:val="0"/>
      <w:marTop w:val="0"/>
      <w:marBottom w:val="0"/>
      <w:divBdr>
        <w:top w:val="none" w:sz="0" w:space="0" w:color="auto"/>
        <w:left w:val="none" w:sz="0" w:space="0" w:color="auto"/>
        <w:bottom w:val="none" w:sz="0" w:space="0" w:color="auto"/>
        <w:right w:val="none" w:sz="0" w:space="0" w:color="auto"/>
      </w:divBdr>
    </w:div>
    <w:div w:id="1339504199">
      <w:bodyDiv w:val="1"/>
      <w:marLeft w:val="0"/>
      <w:marRight w:val="0"/>
      <w:marTop w:val="0"/>
      <w:marBottom w:val="0"/>
      <w:divBdr>
        <w:top w:val="none" w:sz="0" w:space="0" w:color="auto"/>
        <w:left w:val="none" w:sz="0" w:space="0" w:color="auto"/>
        <w:bottom w:val="none" w:sz="0" w:space="0" w:color="auto"/>
        <w:right w:val="none" w:sz="0" w:space="0" w:color="auto"/>
      </w:divBdr>
    </w:div>
    <w:div w:id="1379549187">
      <w:bodyDiv w:val="1"/>
      <w:marLeft w:val="0"/>
      <w:marRight w:val="0"/>
      <w:marTop w:val="0"/>
      <w:marBottom w:val="0"/>
      <w:divBdr>
        <w:top w:val="none" w:sz="0" w:space="0" w:color="auto"/>
        <w:left w:val="none" w:sz="0" w:space="0" w:color="auto"/>
        <w:bottom w:val="none" w:sz="0" w:space="0" w:color="auto"/>
        <w:right w:val="none" w:sz="0" w:space="0" w:color="auto"/>
      </w:divBdr>
    </w:div>
    <w:div w:id="1385447842">
      <w:bodyDiv w:val="1"/>
      <w:marLeft w:val="0"/>
      <w:marRight w:val="0"/>
      <w:marTop w:val="0"/>
      <w:marBottom w:val="0"/>
      <w:divBdr>
        <w:top w:val="none" w:sz="0" w:space="0" w:color="auto"/>
        <w:left w:val="none" w:sz="0" w:space="0" w:color="auto"/>
        <w:bottom w:val="none" w:sz="0" w:space="0" w:color="auto"/>
        <w:right w:val="none" w:sz="0" w:space="0" w:color="auto"/>
      </w:divBdr>
    </w:div>
    <w:div w:id="1443527257">
      <w:bodyDiv w:val="1"/>
      <w:marLeft w:val="0"/>
      <w:marRight w:val="0"/>
      <w:marTop w:val="0"/>
      <w:marBottom w:val="0"/>
      <w:divBdr>
        <w:top w:val="none" w:sz="0" w:space="0" w:color="auto"/>
        <w:left w:val="none" w:sz="0" w:space="0" w:color="auto"/>
        <w:bottom w:val="none" w:sz="0" w:space="0" w:color="auto"/>
        <w:right w:val="none" w:sz="0" w:space="0" w:color="auto"/>
      </w:divBdr>
    </w:div>
    <w:div w:id="1444305856">
      <w:bodyDiv w:val="1"/>
      <w:marLeft w:val="0"/>
      <w:marRight w:val="0"/>
      <w:marTop w:val="0"/>
      <w:marBottom w:val="0"/>
      <w:divBdr>
        <w:top w:val="none" w:sz="0" w:space="0" w:color="auto"/>
        <w:left w:val="none" w:sz="0" w:space="0" w:color="auto"/>
        <w:bottom w:val="none" w:sz="0" w:space="0" w:color="auto"/>
        <w:right w:val="none" w:sz="0" w:space="0" w:color="auto"/>
      </w:divBdr>
    </w:div>
    <w:div w:id="1447774006">
      <w:bodyDiv w:val="1"/>
      <w:marLeft w:val="0"/>
      <w:marRight w:val="0"/>
      <w:marTop w:val="0"/>
      <w:marBottom w:val="0"/>
      <w:divBdr>
        <w:top w:val="none" w:sz="0" w:space="0" w:color="auto"/>
        <w:left w:val="none" w:sz="0" w:space="0" w:color="auto"/>
        <w:bottom w:val="none" w:sz="0" w:space="0" w:color="auto"/>
        <w:right w:val="none" w:sz="0" w:space="0" w:color="auto"/>
      </w:divBdr>
      <w:divsChild>
        <w:div w:id="791099882">
          <w:marLeft w:val="0"/>
          <w:marRight w:val="0"/>
          <w:marTop w:val="0"/>
          <w:marBottom w:val="0"/>
          <w:divBdr>
            <w:top w:val="none" w:sz="0" w:space="0" w:color="auto"/>
            <w:left w:val="none" w:sz="0" w:space="0" w:color="auto"/>
            <w:bottom w:val="none" w:sz="0" w:space="0" w:color="auto"/>
            <w:right w:val="none" w:sz="0" w:space="0" w:color="auto"/>
          </w:divBdr>
          <w:divsChild>
            <w:div w:id="1327788158">
              <w:marLeft w:val="0"/>
              <w:marRight w:val="0"/>
              <w:marTop w:val="0"/>
              <w:marBottom w:val="0"/>
              <w:divBdr>
                <w:top w:val="none" w:sz="0" w:space="0" w:color="auto"/>
                <w:left w:val="none" w:sz="0" w:space="0" w:color="auto"/>
                <w:bottom w:val="none" w:sz="0" w:space="0" w:color="auto"/>
                <w:right w:val="none" w:sz="0" w:space="0" w:color="auto"/>
              </w:divBdr>
              <w:divsChild>
                <w:div w:id="10018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41918">
      <w:bodyDiv w:val="1"/>
      <w:marLeft w:val="0"/>
      <w:marRight w:val="0"/>
      <w:marTop w:val="0"/>
      <w:marBottom w:val="0"/>
      <w:divBdr>
        <w:top w:val="none" w:sz="0" w:space="0" w:color="auto"/>
        <w:left w:val="none" w:sz="0" w:space="0" w:color="auto"/>
        <w:bottom w:val="none" w:sz="0" w:space="0" w:color="auto"/>
        <w:right w:val="none" w:sz="0" w:space="0" w:color="auto"/>
      </w:divBdr>
    </w:div>
    <w:div w:id="1674994201">
      <w:bodyDiv w:val="1"/>
      <w:marLeft w:val="0"/>
      <w:marRight w:val="0"/>
      <w:marTop w:val="0"/>
      <w:marBottom w:val="0"/>
      <w:divBdr>
        <w:top w:val="none" w:sz="0" w:space="0" w:color="auto"/>
        <w:left w:val="none" w:sz="0" w:space="0" w:color="auto"/>
        <w:bottom w:val="none" w:sz="0" w:space="0" w:color="auto"/>
        <w:right w:val="none" w:sz="0" w:space="0" w:color="auto"/>
      </w:divBdr>
    </w:div>
    <w:div w:id="1887764718">
      <w:bodyDiv w:val="1"/>
      <w:marLeft w:val="0"/>
      <w:marRight w:val="0"/>
      <w:marTop w:val="0"/>
      <w:marBottom w:val="0"/>
      <w:divBdr>
        <w:top w:val="none" w:sz="0" w:space="0" w:color="auto"/>
        <w:left w:val="none" w:sz="0" w:space="0" w:color="auto"/>
        <w:bottom w:val="none" w:sz="0" w:space="0" w:color="auto"/>
        <w:right w:val="none" w:sz="0" w:space="0" w:color="auto"/>
      </w:divBdr>
    </w:div>
    <w:div w:id="1924336856">
      <w:bodyDiv w:val="1"/>
      <w:marLeft w:val="0"/>
      <w:marRight w:val="0"/>
      <w:marTop w:val="0"/>
      <w:marBottom w:val="0"/>
      <w:divBdr>
        <w:top w:val="none" w:sz="0" w:space="0" w:color="auto"/>
        <w:left w:val="none" w:sz="0" w:space="0" w:color="auto"/>
        <w:bottom w:val="none" w:sz="0" w:space="0" w:color="auto"/>
        <w:right w:val="none" w:sz="0" w:space="0" w:color="auto"/>
      </w:divBdr>
    </w:div>
    <w:div w:id="1938949818">
      <w:bodyDiv w:val="1"/>
      <w:marLeft w:val="0"/>
      <w:marRight w:val="0"/>
      <w:marTop w:val="0"/>
      <w:marBottom w:val="0"/>
      <w:divBdr>
        <w:top w:val="none" w:sz="0" w:space="0" w:color="auto"/>
        <w:left w:val="none" w:sz="0" w:space="0" w:color="auto"/>
        <w:bottom w:val="none" w:sz="0" w:space="0" w:color="auto"/>
        <w:right w:val="none" w:sz="0" w:space="0" w:color="auto"/>
      </w:divBdr>
    </w:div>
    <w:div w:id="1971471900">
      <w:bodyDiv w:val="1"/>
      <w:marLeft w:val="0"/>
      <w:marRight w:val="0"/>
      <w:marTop w:val="0"/>
      <w:marBottom w:val="0"/>
      <w:divBdr>
        <w:top w:val="none" w:sz="0" w:space="0" w:color="auto"/>
        <w:left w:val="none" w:sz="0" w:space="0" w:color="auto"/>
        <w:bottom w:val="none" w:sz="0" w:space="0" w:color="auto"/>
        <w:right w:val="none" w:sz="0" w:space="0" w:color="auto"/>
      </w:divBdr>
    </w:div>
    <w:div w:id="1982538916">
      <w:bodyDiv w:val="1"/>
      <w:marLeft w:val="0"/>
      <w:marRight w:val="0"/>
      <w:marTop w:val="0"/>
      <w:marBottom w:val="0"/>
      <w:divBdr>
        <w:top w:val="none" w:sz="0" w:space="0" w:color="auto"/>
        <w:left w:val="none" w:sz="0" w:space="0" w:color="auto"/>
        <w:bottom w:val="none" w:sz="0" w:space="0" w:color="auto"/>
        <w:right w:val="none" w:sz="0" w:space="0" w:color="auto"/>
      </w:divBdr>
    </w:div>
    <w:div w:id="2006743439">
      <w:bodyDiv w:val="1"/>
      <w:marLeft w:val="0"/>
      <w:marRight w:val="0"/>
      <w:marTop w:val="0"/>
      <w:marBottom w:val="0"/>
      <w:divBdr>
        <w:top w:val="none" w:sz="0" w:space="0" w:color="auto"/>
        <w:left w:val="none" w:sz="0" w:space="0" w:color="auto"/>
        <w:bottom w:val="none" w:sz="0" w:space="0" w:color="auto"/>
        <w:right w:val="none" w:sz="0" w:space="0" w:color="auto"/>
      </w:divBdr>
    </w:div>
    <w:div w:id="2057658498">
      <w:bodyDiv w:val="1"/>
      <w:marLeft w:val="0"/>
      <w:marRight w:val="0"/>
      <w:marTop w:val="0"/>
      <w:marBottom w:val="0"/>
      <w:divBdr>
        <w:top w:val="none" w:sz="0" w:space="0" w:color="auto"/>
        <w:left w:val="none" w:sz="0" w:space="0" w:color="auto"/>
        <w:bottom w:val="none" w:sz="0" w:space="0" w:color="auto"/>
        <w:right w:val="none" w:sz="0" w:space="0" w:color="auto"/>
      </w:divBdr>
    </w:div>
    <w:div w:id="2098284652">
      <w:bodyDiv w:val="1"/>
      <w:marLeft w:val="0"/>
      <w:marRight w:val="0"/>
      <w:marTop w:val="0"/>
      <w:marBottom w:val="0"/>
      <w:divBdr>
        <w:top w:val="none" w:sz="0" w:space="0" w:color="auto"/>
        <w:left w:val="none" w:sz="0" w:space="0" w:color="auto"/>
        <w:bottom w:val="none" w:sz="0" w:space="0" w:color="auto"/>
        <w:right w:val="none" w:sz="0" w:space="0" w:color="auto"/>
      </w:divBdr>
    </w:div>
    <w:div w:id="2120563961">
      <w:bodyDiv w:val="1"/>
      <w:marLeft w:val="0"/>
      <w:marRight w:val="0"/>
      <w:marTop w:val="0"/>
      <w:marBottom w:val="0"/>
      <w:divBdr>
        <w:top w:val="none" w:sz="0" w:space="0" w:color="auto"/>
        <w:left w:val="none" w:sz="0" w:space="0" w:color="auto"/>
        <w:bottom w:val="none" w:sz="0" w:space="0" w:color="auto"/>
        <w:right w:val="none" w:sz="0" w:space="0" w:color="auto"/>
      </w:divBdr>
    </w:div>
    <w:div w:id="212803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lvia.moler@lshtm.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E6373CF3C1654AA0FF338FEB138698" ma:contentTypeVersion="13" ma:contentTypeDescription="Create a new document." ma:contentTypeScope="" ma:versionID="55f26f0682b97008ff30f722752a397f">
  <xsd:schema xmlns:xsd="http://www.w3.org/2001/XMLSchema" xmlns:xs="http://www.w3.org/2001/XMLSchema" xmlns:p="http://schemas.microsoft.com/office/2006/metadata/properties" xmlns:ns3="3f5a2208-06f6-4e2b-affb-b1482ed7eb93" xmlns:ns4="f0361acc-fbb8-4639-83f7-daa913b02e25" targetNamespace="http://schemas.microsoft.com/office/2006/metadata/properties" ma:root="true" ma:fieldsID="aff5b6c8914a16d46d9c88a8b83dc26a" ns3:_="" ns4:_="">
    <xsd:import namespace="3f5a2208-06f6-4e2b-affb-b1482ed7eb93"/>
    <xsd:import namespace="f0361acc-fbb8-4639-83f7-daa913b02e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a2208-06f6-4e2b-affb-b1482ed7e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61acc-fbb8-4639-83f7-daa913b02e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288B5-F7D7-45E0-90D4-0A3CA3E59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a2208-06f6-4e2b-affb-b1482ed7eb93"/>
    <ds:schemaRef ds:uri="f0361acc-fbb8-4639-83f7-daa913b02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B9936-285C-4F77-86C9-F29D3D5AE5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E6EAE9-24A7-4A00-BD59-21C29D9D4645}">
  <ds:schemaRefs>
    <ds:schemaRef ds:uri="http://schemas.openxmlformats.org/officeDocument/2006/bibliography"/>
  </ds:schemaRefs>
</ds:datastoreItem>
</file>

<file path=customXml/itemProps4.xml><?xml version="1.0" encoding="utf-8"?>
<ds:datastoreItem xmlns:ds="http://schemas.openxmlformats.org/officeDocument/2006/customXml" ds:itemID="{2BA4E32B-2B82-478D-9A31-DAEFE2F9B3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32552</Words>
  <Characters>185548</Characters>
  <Application>Microsoft Office Word</Application>
  <DocSecurity>0</DocSecurity>
  <Lines>1546</Lines>
  <Paragraphs>435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217665</CharactersWithSpaces>
  <SharedDoc>false</SharedDoc>
  <HLinks>
    <vt:vector size="6" baseType="variant">
      <vt:variant>
        <vt:i4>5177441</vt:i4>
      </vt:variant>
      <vt:variant>
        <vt:i4>0</vt:i4>
      </vt:variant>
      <vt:variant>
        <vt:i4>0</vt:i4>
      </vt:variant>
      <vt:variant>
        <vt:i4>5</vt:i4>
      </vt:variant>
      <vt:variant>
        <vt:lpwstr>mailto:silvia.moler@lshtm.ac.uk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2021-11-12T15:07:00Z</cp:lastPrinted>
  <dcterms:created xsi:type="dcterms:W3CDTF">2022-07-03T20:13:00Z</dcterms:created>
  <dcterms:modified xsi:type="dcterms:W3CDTF">2022-07-18T13:37:00Z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http://www.zotero.org/styles/harvard1</vt:lpwstr>
  </property>
  <property fmtid="{D5CDD505-2E9C-101B-9397-08002B2CF9AE}" pid="5" name="Mendeley Recent Style Name 1_1">
    <vt:lpwstr>Harvard reference format 1 (deprecated)</vt:lpwstr>
  </property>
  <property fmtid="{D5CDD505-2E9C-101B-9397-08002B2CF9AE}" pid="6" name="Mendeley Recent Style Id 2_1">
    <vt:lpwstr>http://www.zotero.org/styles/ieee</vt:lpwstr>
  </property>
  <property fmtid="{D5CDD505-2E9C-101B-9397-08002B2CF9AE}" pid="7" name="Mendeley Recent Style Name 2_1">
    <vt:lpwstr>IEEE</vt:lpwstr>
  </property>
  <property fmtid="{D5CDD505-2E9C-101B-9397-08002B2CF9AE}" pid="8" name="Mendeley Recent Style Id 3_1">
    <vt:lpwstr>http://www.zotero.org/styles/journal-of-clinical-epidemiology</vt:lpwstr>
  </property>
  <property fmtid="{D5CDD505-2E9C-101B-9397-08002B2CF9AE}" pid="9" name="Mendeley Recent Style Name 3_1">
    <vt:lpwstr>Journal of Clinical Epidemiology</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http://www.zotero.org/styles/pharmacoeconomics</vt:lpwstr>
  </property>
  <property fmtid="{D5CDD505-2E9C-101B-9397-08002B2CF9AE}" pid="13" name="Mendeley Recent Style Name 5_1">
    <vt:lpwstr>PharmacoEconomics</vt:lpwstr>
  </property>
  <property fmtid="{D5CDD505-2E9C-101B-9397-08002B2CF9AE}" pid="14" name="Mendeley Recent Style Id 6_1">
    <vt:lpwstr>http://www.zotero.org/styles/sage-vancouver</vt:lpwstr>
  </property>
  <property fmtid="{D5CDD505-2E9C-101B-9397-08002B2CF9AE}" pid="15" name="Mendeley Recent Style Name 6_1">
    <vt:lpwstr>SAGE - Vancouver</vt:lpwstr>
  </property>
  <property fmtid="{D5CDD505-2E9C-101B-9397-08002B2CF9AE}" pid="16" name="Mendeley Recent Style Id 7_1">
    <vt:lpwstr>http://www.zotero.org/styles/sage-vancouver-brackets</vt:lpwstr>
  </property>
  <property fmtid="{D5CDD505-2E9C-101B-9397-08002B2CF9AE}" pid="17" name="Mendeley Recent Style Name 7_1">
    <vt:lpwstr>SAGE - Vancouver (brackets)</vt:lpwstr>
  </property>
  <property fmtid="{D5CDD505-2E9C-101B-9397-08002B2CF9AE}" pid="18" name="Mendeley Recent Style Id 8_1">
    <vt:lpwstr>http://www.zotero.org/styles/social-science-and-medicine</vt:lpwstr>
  </property>
  <property fmtid="{D5CDD505-2E9C-101B-9397-08002B2CF9AE}" pid="19" name="Mendeley Recent Style Name 8_1">
    <vt:lpwstr>Social Science &amp; Medicine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e25894d3-077e-3015-b5c3-d138be517a48</vt:lpwstr>
  </property>
  <property fmtid="{D5CDD505-2E9C-101B-9397-08002B2CF9AE}" pid="24" name="ContentTypeId">
    <vt:lpwstr>0x010100A1E6373CF3C1654AA0FF338FEB138698</vt:lpwstr>
  </property>
  <property fmtid="{D5CDD505-2E9C-101B-9397-08002B2CF9AE}" pid="25" name="Mendeley Citation Style_1">
    <vt:lpwstr>http://www.zotero.org/styles/pharmacoeconomics</vt:lpwstr>
  </property>
</Properties>
</file>