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C2F9" w14:textId="797A27D9" w:rsidR="00227FE4" w:rsidRPr="0054709B" w:rsidRDefault="00187ABC" w:rsidP="0054709B">
      <w:pPr>
        <w:rPr>
          <w:b/>
          <w:bCs/>
          <w:sz w:val="24"/>
          <w:szCs w:val="24"/>
        </w:rPr>
      </w:pPr>
      <w:r>
        <w:rPr>
          <w:b/>
          <w:bCs/>
          <w:sz w:val="24"/>
          <w:szCs w:val="24"/>
        </w:rPr>
        <w:t>Viewpoint</w:t>
      </w:r>
      <w:r w:rsidR="000C701F">
        <w:rPr>
          <w:b/>
          <w:bCs/>
          <w:sz w:val="24"/>
          <w:szCs w:val="24"/>
        </w:rPr>
        <w:t xml:space="preserve">: </w:t>
      </w:r>
      <w:r w:rsidR="003D2E08" w:rsidRPr="005D07B4">
        <w:rPr>
          <w:b/>
          <w:bCs/>
          <w:sz w:val="24"/>
          <w:szCs w:val="24"/>
        </w:rPr>
        <w:t>E</w:t>
      </w:r>
      <w:r w:rsidR="002C51D4" w:rsidRPr="005D07B4">
        <w:rPr>
          <w:b/>
          <w:bCs/>
          <w:sz w:val="24"/>
          <w:szCs w:val="24"/>
        </w:rPr>
        <w:t>nabling timely HIV</w:t>
      </w:r>
      <w:r w:rsidR="002F5DF9" w:rsidRPr="005D07B4">
        <w:rPr>
          <w:b/>
          <w:bCs/>
          <w:sz w:val="24"/>
          <w:szCs w:val="24"/>
        </w:rPr>
        <w:t xml:space="preserve"> </w:t>
      </w:r>
      <w:r w:rsidR="0017230D" w:rsidRPr="005D07B4">
        <w:rPr>
          <w:b/>
          <w:bCs/>
          <w:sz w:val="24"/>
          <w:szCs w:val="24"/>
        </w:rPr>
        <w:t>p</w:t>
      </w:r>
      <w:r w:rsidR="002F5DF9" w:rsidRPr="005D07B4">
        <w:rPr>
          <w:b/>
          <w:bCs/>
          <w:sz w:val="24"/>
          <w:szCs w:val="24"/>
        </w:rPr>
        <w:t>ost-</w:t>
      </w:r>
      <w:r w:rsidR="0017230D" w:rsidRPr="005D07B4">
        <w:rPr>
          <w:b/>
          <w:bCs/>
          <w:sz w:val="24"/>
          <w:szCs w:val="24"/>
        </w:rPr>
        <w:t>e</w:t>
      </w:r>
      <w:r w:rsidR="002F5DF9" w:rsidRPr="005D07B4">
        <w:rPr>
          <w:b/>
          <w:bCs/>
          <w:sz w:val="24"/>
          <w:szCs w:val="24"/>
        </w:rPr>
        <w:t xml:space="preserve">xposure </w:t>
      </w:r>
      <w:r w:rsidR="0017230D" w:rsidRPr="005D07B4">
        <w:rPr>
          <w:b/>
          <w:bCs/>
          <w:sz w:val="24"/>
          <w:szCs w:val="24"/>
        </w:rPr>
        <w:t>p</w:t>
      </w:r>
      <w:r w:rsidR="002F5DF9" w:rsidRPr="005D07B4">
        <w:rPr>
          <w:b/>
          <w:bCs/>
          <w:sz w:val="24"/>
          <w:szCs w:val="24"/>
        </w:rPr>
        <w:t>rophylaxis (PEP)</w:t>
      </w:r>
      <w:r w:rsidR="002C51D4" w:rsidRPr="005D07B4">
        <w:rPr>
          <w:b/>
          <w:bCs/>
          <w:sz w:val="24"/>
          <w:szCs w:val="24"/>
        </w:rPr>
        <w:t xml:space="preserve"> access</w:t>
      </w:r>
      <w:r w:rsidR="003D2E08" w:rsidRPr="005D07B4">
        <w:rPr>
          <w:b/>
          <w:bCs/>
          <w:sz w:val="24"/>
          <w:szCs w:val="24"/>
        </w:rPr>
        <w:t xml:space="preserve"> in </w:t>
      </w:r>
      <w:r w:rsidR="002C51D4" w:rsidRPr="005D07B4">
        <w:rPr>
          <w:b/>
          <w:bCs/>
          <w:sz w:val="24"/>
          <w:szCs w:val="24"/>
        </w:rPr>
        <w:t>s</w:t>
      </w:r>
      <w:r w:rsidR="003D2E08" w:rsidRPr="005D07B4">
        <w:rPr>
          <w:b/>
          <w:bCs/>
          <w:sz w:val="24"/>
          <w:szCs w:val="24"/>
        </w:rPr>
        <w:t>ub-Saharan Africa</w:t>
      </w:r>
    </w:p>
    <w:p w14:paraId="73120A81" w14:textId="05F59359" w:rsidR="00B208F2" w:rsidRPr="008D5F02" w:rsidRDefault="00B208F2" w:rsidP="00B208F2">
      <w:pPr>
        <w:pStyle w:val="xmsonormal"/>
        <w:rPr>
          <w:rFonts w:ascii="Calibri" w:hAnsi="Calibri" w:cs="Calibri"/>
          <w:sz w:val="22"/>
          <w:szCs w:val="22"/>
        </w:rPr>
      </w:pPr>
      <w:r>
        <w:rPr>
          <w:rFonts w:ascii="Calibri" w:hAnsi="Calibri" w:cs="Calibri"/>
          <w:color w:val="000000" w:themeColor="text1"/>
          <w:sz w:val="22"/>
          <w:szCs w:val="22"/>
        </w:rPr>
        <w:t xml:space="preserve">Andrew N </w:t>
      </w:r>
      <w:r w:rsidRPr="00DE1F81">
        <w:rPr>
          <w:rFonts w:ascii="Calibri" w:hAnsi="Calibri" w:cs="Calibri"/>
          <w:sz w:val="22"/>
          <w:szCs w:val="22"/>
        </w:rPr>
        <w:t>Phillips</w:t>
      </w:r>
      <w:r w:rsidR="005D07B4" w:rsidRPr="005D07B4">
        <w:rPr>
          <w:rFonts w:ascii="Calibri" w:hAnsi="Calibri" w:cs="Calibri"/>
          <w:sz w:val="22"/>
          <w:szCs w:val="22"/>
          <w:vertAlign w:val="superscript"/>
        </w:rPr>
        <w:t>$</w:t>
      </w:r>
      <w:r w:rsidRPr="00DE1F81">
        <w:rPr>
          <w:rFonts w:ascii="Calibri" w:hAnsi="Calibri" w:cs="Calibri"/>
          <w:sz w:val="22"/>
          <w:szCs w:val="22"/>
          <w:vertAlign w:val="superscript"/>
        </w:rPr>
        <w:t>1</w:t>
      </w:r>
      <w:r w:rsidRPr="00DE1F81">
        <w:rPr>
          <w:rFonts w:ascii="Calibri" w:hAnsi="Calibri" w:cs="Calibri"/>
          <w:sz w:val="22"/>
          <w:szCs w:val="22"/>
        </w:rPr>
        <w:t xml:space="preserve">, </w:t>
      </w:r>
      <w:r w:rsidRPr="006C7BB6">
        <w:rPr>
          <w:rFonts w:ascii="Calibri" w:hAnsi="Calibri" w:cs="Calibri"/>
          <w:color w:val="000000" w:themeColor="text1"/>
          <w:sz w:val="22"/>
          <w:szCs w:val="22"/>
        </w:rPr>
        <w:t>Euphemia Sibanda</w:t>
      </w:r>
      <w:r w:rsidRPr="006C7BB6">
        <w:rPr>
          <w:rFonts w:ascii="Calibri" w:hAnsi="Calibri" w:cs="Calibri"/>
          <w:color w:val="000000" w:themeColor="text1"/>
          <w:sz w:val="22"/>
          <w:szCs w:val="22"/>
          <w:vertAlign w:val="superscript"/>
        </w:rPr>
        <w:t>2</w:t>
      </w:r>
      <w:r w:rsidRPr="006C7BB6">
        <w:rPr>
          <w:rFonts w:ascii="Calibri" w:hAnsi="Calibri" w:cs="Calibri"/>
          <w:color w:val="000000" w:themeColor="text1"/>
          <w:sz w:val="22"/>
          <w:szCs w:val="22"/>
        </w:rPr>
        <w:t>, Kenly Sikwese</w:t>
      </w:r>
      <w:r w:rsidRPr="006C7BB6">
        <w:rPr>
          <w:rFonts w:ascii="Calibri" w:hAnsi="Calibri" w:cs="Calibri"/>
          <w:color w:val="000000" w:themeColor="text1"/>
          <w:sz w:val="22"/>
          <w:szCs w:val="22"/>
          <w:vertAlign w:val="superscript"/>
        </w:rPr>
        <w:t>3</w:t>
      </w:r>
      <w:r w:rsidRPr="006C7BB6">
        <w:rPr>
          <w:rFonts w:ascii="Calibri" w:hAnsi="Calibri" w:cs="Calibri"/>
          <w:color w:val="000000" w:themeColor="text1"/>
          <w:sz w:val="22"/>
          <w:szCs w:val="22"/>
        </w:rPr>
        <w:t>, Loveleen Bansi-Matharu</w:t>
      </w:r>
      <w:r w:rsidRPr="006C7BB6">
        <w:rPr>
          <w:rFonts w:ascii="Calibri" w:hAnsi="Calibri" w:cs="Calibri"/>
          <w:color w:val="000000" w:themeColor="text1"/>
          <w:sz w:val="22"/>
          <w:szCs w:val="22"/>
          <w:vertAlign w:val="superscript"/>
        </w:rPr>
        <w:t>1</w:t>
      </w:r>
      <w:r w:rsidRPr="006C7BB6">
        <w:rPr>
          <w:rFonts w:ascii="Calibri" w:hAnsi="Calibri" w:cs="Calibri"/>
          <w:color w:val="000000" w:themeColor="text1"/>
          <w:sz w:val="22"/>
          <w:szCs w:val="22"/>
        </w:rPr>
        <w:t xml:space="preserve">, Valentina </w:t>
      </w:r>
      <w:r w:rsidRPr="006C7BB6">
        <w:rPr>
          <w:rFonts w:asciiTheme="minorHAnsi" w:hAnsiTheme="minorHAnsi" w:cstheme="minorHAnsi"/>
          <w:color w:val="000000" w:themeColor="text1"/>
          <w:sz w:val="22"/>
          <w:szCs w:val="22"/>
        </w:rPr>
        <w:t>Cambiano</w:t>
      </w:r>
      <w:r w:rsidRPr="006C7BB6">
        <w:rPr>
          <w:rFonts w:asciiTheme="minorHAnsi" w:hAnsiTheme="minorHAnsi" w:cstheme="minorHAnsi"/>
          <w:color w:val="000000" w:themeColor="text1"/>
          <w:sz w:val="22"/>
          <w:szCs w:val="22"/>
          <w:vertAlign w:val="superscript"/>
        </w:rPr>
        <w:t>1</w:t>
      </w:r>
      <w:r w:rsidRPr="006C7BB6">
        <w:rPr>
          <w:rFonts w:asciiTheme="minorHAnsi" w:hAnsiTheme="minorHAnsi" w:cstheme="minorHAnsi"/>
          <w:color w:val="000000" w:themeColor="text1"/>
          <w:sz w:val="22"/>
          <w:szCs w:val="22"/>
        </w:rPr>
        <w:t>, Alison Rodger</w:t>
      </w:r>
      <w:r w:rsidRPr="006C7BB6">
        <w:rPr>
          <w:rFonts w:asciiTheme="minorHAnsi" w:hAnsiTheme="minorHAnsi" w:cstheme="minorHAnsi"/>
          <w:color w:val="000000" w:themeColor="text1"/>
          <w:sz w:val="22"/>
          <w:szCs w:val="22"/>
          <w:vertAlign w:val="superscript"/>
        </w:rPr>
        <w:t>1</w:t>
      </w:r>
      <w:r w:rsidRPr="006C7BB6">
        <w:rPr>
          <w:rFonts w:asciiTheme="minorHAnsi" w:hAnsiTheme="minorHAnsi" w:cstheme="minorHAnsi"/>
          <w:color w:val="000000" w:themeColor="text1"/>
          <w:sz w:val="22"/>
          <w:szCs w:val="22"/>
        </w:rPr>
        <w:t>, Jens Lundgren</w:t>
      </w:r>
      <w:r w:rsidRPr="006C7BB6">
        <w:rPr>
          <w:rFonts w:asciiTheme="minorHAnsi" w:hAnsiTheme="minorHAnsi" w:cstheme="minorHAnsi"/>
          <w:color w:val="000000" w:themeColor="text1"/>
          <w:sz w:val="22"/>
          <w:szCs w:val="22"/>
          <w:vertAlign w:val="superscript"/>
        </w:rPr>
        <w:t>4</w:t>
      </w:r>
      <w:r w:rsidRPr="006C7BB6">
        <w:rPr>
          <w:rFonts w:asciiTheme="minorHAnsi" w:hAnsiTheme="minorHAnsi" w:cstheme="minorHAnsi"/>
          <w:color w:val="000000" w:themeColor="text1"/>
          <w:sz w:val="22"/>
          <w:szCs w:val="22"/>
        </w:rPr>
        <w:t>,</w:t>
      </w:r>
      <w:r w:rsidR="00441CE7" w:rsidRPr="006C7BB6">
        <w:rPr>
          <w:rFonts w:asciiTheme="minorHAnsi" w:hAnsiTheme="minorHAnsi" w:cstheme="minorHAnsi"/>
          <w:color w:val="000000" w:themeColor="text1"/>
          <w:sz w:val="22"/>
          <w:szCs w:val="22"/>
        </w:rPr>
        <w:t xml:space="preserve"> </w:t>
      </w:r>
      <w:r w:rsidRPr="006C7BB6">
        <w:rPr>
          <w:rFonts w:asciiTheme="minorHAnsi" w:hAnsiTheme="minorHAnsi" w:cstheme="minorHAnsi"/>
          <w:color w:val="000000" w:themeColor="text1"/>
          <w:sz w:val="22"/>
          <w:szCs w:val="22"/>
        </w:rPr>
        <w:t>Maryam Shahmanesh</w:t>
      </w:r>
      <w:r w:rsidR="00441CE7" w:rsidRPr="006C7BB6">
        <w:rPr>
          <w:rFonts w:asciiTheme="minorHAnsi" w:hAnsiTheme="minorHAnsi" w:cstheme="minorHAnsi"/>
          <w:color w:val="000000" w:themeColor="text1"/>
          <w:sz w:val="22"/>
          <w:szCs w:val="22"/>
          <w:vertAlign w:val="superscript"/>
        </w:rPr>
        <w:t>5</w:t>
      </w:r>
      <w:r w:rsidRPr="006C7BB6">
        <w:rPr>
          <w:rFonts w:asciiTheme="minorHAnsi" w:hAnsiTheme="minorHAnsi" w:cstheme="minorHAnsi"/>
          <w:color w:val="000000" w:themeColor="text1"/>
          <w:sz w:val="22"/>
          <w:szCs w:val="22"/>
        </w:rPr>
        <w:t>, Charlie Gilks</w:t>
      </w:r>
      <w:r w:rsidR="00441CE7" w:rsidRPr="006C7BB6">
        <w:rPr>
          <w:rFonts w:asciiTheme="minorHAnsi" w:hAnsiTheme="minorHAnsi" w:cstheme="minorHAnsi"/>
          <w:color w:val="000000" w:themeColor="text1"/>
          <w:sz w:val="22"/>
          <w:szCs w:val="22"/>
          <w:vertAlign w:val="superscript"/>
        </w:rPr>
        <w:t>6</w:t>
      </w:r>
      <w:r w:rsidRPr="006C7BB6">
        <w:rPr>
          <w:rFonts w:asciiTheme="minorHAnsi" w:hAnsiTheme="minorHAnsi" w:cstheme="minorHAnsi"/>
          <w:color w:val="000000" w:themeColor="text1"/>
          <w:sz w:val="22"/>
          <w:szCs w:val="22"/>
        </w:rPr>
        <w:t>, Catherine Godfrey</w:t>
      </w:r>
      <w:r w:rsidR="00441CE7" w:rsidRPr="006C7BB6">
        <w:rPr>
          <w:rFonts w:asciiTheme="minorHAnsi" w:hAnsiTheme="minorHAnsi" w:cstheme="minorHAnsi"/>
          <w:color w:val="000000" w:themeColor="text1"/>
          <w:sz w:val="22"/>
          <w:szCs w:val="22"/>
          <w:vertAlign w:val="superscript"/>
        </w:rPr>
        <w:t>7</w:t>
      </w:r>
      <w:r w:rsidRPr="006C7BB6">
        <w:rPr>
          <w:rFonts w:asciiTheme="minorHAnsi" w:hAnsiTheme="minorHAnsi" w:cstheme="minorHAnsi"/>
          <w:color w:val="000000" w:themeColor="text1"/>
          <w:sz w:val="22"/>
          <w:szCs w:val="22"/>
        </w:rPr>
        <w:t>*, Peter</w:t>
      </w:r>
      <w:r w:rsidRPr="006C7BB6">
        <w:rPr>
          <w:rFonts w:ascii="Calibri" w:hAnsi="Calibri" w:cs="Calibri"/>
          <w:color w:val="000000" w:themeColor="text1"/>
          <w:sz w:val="22"/>
          <w:szCs w:val="22"/>
        </w:rPr>
        <w:t xml:space="preserve"> Ehrenkranz</w:t>
      </w:r>
      <w:r w:rsidR="00441CE7" w:rsidRPr="006C7BB6">
        <w:rPr>
          <w:rFonts w:ascii="Calibri" w:hAnsi="Calibri" w:cs="Calibri"/>
          <w:color w:val="000000" w:themeColor="text1"/>
          <w:vertAlign w:val="superscript"/>
        </w:rPr>
        <w:t>8</w:t>
      </w:r>
      <w:r w:rsidRPr="006C7BB6">
        <w:rPr>
          <w:rFonts w:ascii="Calibri" w:hAnsi="Calibri" w:cs="Calibri"/>
          <w:color w:val="000000" w:themeColor="text1"/>
          <w:sz w:val="22"/>
          <w:szCs w:val="22"/>
        </w:rPr>
        <w:t>, James R Hargreaves</w:t>
      </w:r>
      <w:proofErr w:type="gramStart"/>
      <w:r w:rsidR="00441CE7" w:rsidRPr="006C7BB6">
        <w:rPr>
          <w:rFonts w:ascii="Calibri" w:hAnsi="Calibri" w:cs="Calibri"/>
          <w:color w:val="000000" w:themeColor="text1"/>
          <w:sz w:val="22"/>
          <w:szCs w:val="22"/>
          <w:vertAlign w:val="superscript"/>
        </w:rPr>
        <w:t>9</w:t>
      </w:r>
      <w:r w:rsidRPr="006C7BB6">
        <w:rPr>
          <w:rFonts w:ascii="Calibri" w:hAnsi="Calibri" w:cs="Calibri"/>
          <w:color w:val="000000" w:themeColor="text1"/>
          <w:sz w:val="22"/>
          <w:szCs w:val="22"/>
          <w:vertAlign w:val="superscript"/>
        </w:rPr>
        <w:t xml:space="preserve"> </w:t>
      </w:r>
      <w:r w:rsidRPr="008D5F02">
        <w:rPr>
          <w:rFonts w:ascii="Calibri" w:hAnsi="Calibri" w:cs="Calibri"/>
          <w:sz w:val="22"/>
          <w:szCs w:val="22"/>
        </w:rPr>
        <w:t>,</w:t>
      </w:r>
      <w:proofErr w:type="gramEnd"/>
      <w:r w:rsidRPr="008D5F02">
        <w:rPr>
          <w:rFonts w:ascii="Calibri" w:hAnsi="Calibri" w:cs="Calibri"/>
          <w:sz w:val="22"/>
          <w:szCs w:val="22"/>
        </w:rPr>
        <w:t xml:space="preserve"> Paul Revill</w:t>
      </w:r>
      <w:r>
        <w:rPr>
          <w:rFonts w:ascii="Calibri" w:hAnsi="Calibri" w:cs="Calibri"/>
          <w:vertAlign w:val="superscript"/>
        </w:rPr>
        <w:t>10</w:t>
      </w:r>
      <w:r w:rsidRPr="008D5F02">
        <w:rPr>
          <w:rFonts w:ascii="Calibri" w:hAnsi="Calibri" w:cs="Calibri"/>
          <w:sz w:val="22"/>
          <w:szCs w:val="22"/>
        </w:rPr>
        <w:t>, Frances Cowan</w:t>
      </w:r>
      <w:r w:rsidRPr="008D5F02">
        <w:rPr>
          <w:rFonts w:ascii="Calibri" w:hAnsi="Calibri" w:cs="Calibri"/>
          <w:sz w:val="22"/>
          <w:szCs w:val="22"/>
          <w:vertAlign w:val="superscript"/>
        </w:rPr>
        <w:t>2</w:t>
      </w:r>
      <w:r w:rsidRPr="008D5F02">
        <w:rPr>
          <w:rFonts w:ascii="Calibri" w:hAnsi="Calibri" w:cs="Calibri"/>
          <w:sz w:val="22"/>
          <w:szCs w:val="22"/>
        </w:rPr>
        <w:t>.</w:t>
      </w:r>
    </w:p>
    <w:p w14:paraId="6198836F" w14:textId="77777777" w:rsidR="00B208F2" w:rsidRPr="00A55AD4" w:rsidRDefault="00B208F2" w:rsidP="00B208F2">
      <w:pPr>
        <w:pStyle w:val="xmsonormal"/>
        <w:rPr>
          <w:rFonts w:ascii="Calibri" w:hAnsi="Calibri" w:cs="Calibri"/>
          <w:color w:val="8EAADB" w:themeColor="accent1" w:themeTint="99"/>
          <w:sz w:val="22"/>
          <w:szCs w:val="22"/>
        </w:rPr>
      </w:pPr>
    </w:p>
    <w:p w14:paraId="32F71184" w14:textId="26A680DD" w:rsidR="00B208F2" w:rsidRPr="00A55AD4" w:rsidRDefault="00B208F2" w:rsidP="00B208F2">
      <w:pPr>
        <w:pStyle w:val="xmsonormal"/>
        <w:rPr>
          <w:rFonts w:ascii="Calibri" w:hAnsi="Calibri" w:cs="Calibri"/>
          <w:color w:val="000000" w:themeColor="text1"/>
          <w:sz w:val="22"/>
          <w:szCs w:val="22"/>
        </w:rPr>
      </w:pPr>
      <w:r w:rsidRPr="00A55AD4">
        <w:rPr>
          <w:rFonts w:ascii="Calibri" w:hAnsi="Calibri" w:cs="Calibri"/>
          <w:color w:val="000000" w:themeColor="text1"/>
          <w:sz w:val="22"/>
          <w:szCs w:val="22"/>
        </w:rPr>
        <w:t xml:space="preserve">1. </w:t>
      </w:r>
      <w:r>
        <w:rPr>
          <w:rFonts w:ascii="Calibri" w:hAnsi="Calibri" w:cs="Calibri"/>
          <w:color w:val="000000" w:themeColor="text1"/>
          <w:sz w:val="22"/>
          <w:szCs w:val="22"/>
        </w:rPr>
        <w:t xml:space="preserve">  </w:t>
      </w:r>
      <w:r w:rsidRPr="00A55AD4">
        <w:rPr>
          <w:rFonts w:ascii="Calibri" w:hAnsi="Calibri" w:cs="Calibri"/>
          <w:color w:val="000000" w:themeColor="text1"/>
          <w:sz w:val="22"/>
          <w:szCs w:val="22"/>
        </w:rPr>
        <w:t>Institute for Global Health, UCL, London</w:t>
      </w:r>
      <w:r w:rsidR="00382846">
        <w:rPr>
          <w:rFonts w:ascii="Calibri" w:hAnsi="Calibri" w:cs="Calibri"/>
          <w:color w:val="000000" w:themeColor="text1"/>
          <w:sz w:val="22"/>
          <w:szCs w:val="22"/>
        </w:rPr>
        <w:t>, UK</w:t>
      </w:r>
    </w:p>
    <w:p w14:paraId="4B67C6C6" w14:textId="77777777" w:rsidR="00B208F2" w:rsidRPr="00A55AD4" w:rsidRDefault="00B208F2" w:rsidP="00B208F2">
      <w:pPr>
        <w:pStyle w:val="xmsonormal"/>
        <w:rPr>
          <w:rFonts w:ascii="Calibri" w:hAnsi="Calibri" w:cs="Calibri"/>
          <w:color w:val="000000" w:themeColor="text1"/>
          <w:sz w:val="22"/>
          <w:szCs w:val="22"/>
        </w:rPr>
      </w:pPr>
      <w:r w:rsidRPr="00A55AD4">
        <w:rPr>
          <w:rFonts w:ascii="Calibri" w:hAnsi="Calibri" w:cs="Calibri"/>
          <w:color w:val="000000" w:themeColor="text1"/>
          <w:sz w:val="22"/>
          <w:szCs w:val="22"/>
        </w:rPr>
        <w:t xml:space="preserve">2. </w:t>
      </w:r>
      <w:r>
        <w:rPr>
          <w:rFonts w:ascii="Calibri" w:hAnsi="Calibri" w:cs="Calibri"/>
          <w:color w:val="000000" w:themeColor="text1"/>
          <w:sz w:val="22"/>
          <w:szCs w:val="22"/>
        </w:rPr>
        <w:t xml:space="preserve">  </w:t>
      </w:r>
      <w:r w:rsidRPr="00A55AD4">
        <w:rPr>
          <w:rFonts w:ascii="Calibri" w:hAnsi="Calibri" w:cs="Calibri"/>
          <w:color w:val="000000" w:themeColor="text1"/>
          <w:sz w:val="22"/>
          <w:szCs w:val="22"/>
        </w:rPr>
        <w:t>CeSHHAR, University of Liverpool, UK</w:t>
      </w:r>
      <w:r>
        <w:rPr>
          <w:rFonts w:ascii="Calibri" w:hAnsi="Calibri" w:cs="Calibri"/>
          <w:color w:val="000000" w:themeColor="text1"/>
          <w:sz w:val="22"/>
          <w:szCs w:val="22"/>
        </w:rPr>
        <w:t>, and Harare, Zimbabwe</w:t>
      </w:r>
      <w:r w:rsidRPr="00A55AD4">
        <w:rPr>
          <w:rFonts w:ascii="Calibri" w:hAnsi="Calibri" w:cs="Calibri"/>
          <w:color w:val="000000" w:themeColor="text1"/>
          <w:sz w:val="22"/>
          <w:szCs w:val="22"/>
        </w:rPr>
        <w:t>.</w:t>
      </w:r>
    </w:p>
    <w:p w14:paraId="67418141" w14:textId="5AB9D4B7" w:rsidR="00B208F2" w:rsidRPr="00A55AD4" w:rsidRDefault="00B208F2" w:rsidP="00B208F2">
      <w:pPr>
        <w:pStyle w:val="xmsonormal"/>
        <w:rPr>
          <w:rFonts w:ascii="Calibri" w:hAnsi="Calibri" w:cs="Calibri"/>
          <w:color w:val="000000" w:themeColor="text1"/>
          <w:sz w:val="22"/>
          <w:szCs w:val="22"/>
        </w:rPr>
      </w:pPr>
      <w:r w:rsidRPr="00A55AD4">
        <w:rPr>
          <w:rFonts w:ascii="Calibri" w:hAnsi="Calibri" w:cs="Calibri"/>
          <w:color w:val="000000" w:themeColor="text1"/>
          <w:sz w:val="22"/>
          <w:szCs w:val="22"/>
        </w:rPr>
        <w:t xml:space="preserve">3. </w:t>
      </w:r>
      <w:r>
        <w:rPr>
          <w:rFonts w:ascii="Calibri" w:hAnsi="Calibri" w:cs="Calibri"/>
          <w:color w:val="000000" w:themeColor="text1"/>
          <w:sz w:val="22"/>
          <w:szCs w:val="22"/>
        </w:rPr>
        <w:t xml:space="preserve">  </w:t>
      </w:r>
      <w:r w:rsidRPr="00A55AD4">
        <w:rPr>
          <w:rFonts w:ascii="Calibri" w:hAnsi="Calibri" w:cs="Calibri"/>
          <w:color w:val="000000" w:themeColor="text1"/>
          <w:sz w:val="22"/>
          <w:szCs w:val="22"/>
        </w:rPr>
        <w:t>Afr</w:t>
      </w:r>
      <w:r w:rsidR="003F29F2">
        <w:rPr>
          <w:rFonts w:ascii="Calibri" w:hAnsi="Calibri" w:cs="Calibri"/>
          <w:color w:val="000000" w:themeColor="text1"/>
          <w:sz w:val="22"/>
          <w:szCs w:val="22"/>
        </w:rPr>
        <w:t>ican Community Advisory Board (Afr</w:t>
      </w:r>
      <w:r w:rsidRPr="00A55AD4">
        <w:rPr>
          <w:rFonts w:ascii="Calibri" w:hAnsi="Calibri" w:cs="Calibri"/>
          <w:color w:val="000000" w:themeColor="text1"/>
          <w:sz w:val="22"/>
          <w:szCs w:val="22"/>
        </w:rPr>
        <w:t>oCAB</w:t>
      </w:r>
      <w:r w:rsidR="003F29F2">
        <w:rPr>
          <w:rFonts w:ascii="Calibri" w:hAnsi="Calibri" w:cs="Calibri"/>
          <w:color w:val="000000" w:themeColor="text1"/>
          <w:sz w:val="22"/>
          <w:szCs w:val="22"/>
        </w:rPr>
        <w:t>-HIV)</w:t>
      </w:r>
      <w:r w:rsidRPr="00A55AD4">
        <w:rPr>
          <w:rFonts w:ascii="Calibri" w:hAnsi="Calibri" w:cs="Calibri"/>
          <w:color w:val="000000" w:themeColor="text1"/>
          <w:sz w:val="22"/>
          <w:szCs w:val="22"/>
        </w:rPr>
        <w:t>, Lusaka, Zambia</w:t>
      </w:r>
    </w:p>
    <w:p w14:paraId="7D2E57DE" w14:textId="31D91FA9" w:rsidR="00B208F2" w:rsidRDefault="00B208F2" w:rsidP="00B208F2">
      <w:pPr>
        <w:pStyle w:val="xmsonormal"/>
        <w:rPr>
          <w:rFonts w:ascii="Calibri" w:hAnsi="Calibri" w:cs="Calibri"/>
          <w:color w:val="000000" w:themeColor="text1"/>
          <w:sz w:val="22"/>
          <w:szCs w:val="22"/>
        </w:rPr>
      </w:pPr>
      <w:r w:rsidRPr="00A55AD4">
        <w:rPr>
          <w:rFonts w:ascii="Calibri" w:hAnsi="Calibri" w:cs="Calibri"/>
          <w:color w:val="000000" w:themeColor="text1"/>
          <w:sz w:val="22"/>
          <w:szCs w:val="22"/>
        </w:rPr>
        <w:t xml:space="preserve">4. </w:t>
      </w:r>
      <w:r>
        <w:rPr>
          <w:rFonts w:ascii="Calibri" w:hAnsi="Calibri" w:cs="Calibri"/>
          <w:color w:val="000000" w:themeColor="text1"/>
          <w:sz w:val="22"/>
          <w:szCs w:val="22"/>
        </w:rPr>
        <w:t xml:space="preserve">  </w:t>
      </w:r>
      <w:r w:rsidRPr="00A55AD4">
        <w:rPr>
          <w:rFonts w:ascii="Calibri" w:hAnsi="Calibri" w:cs="Calibri"/>
          <w:color w:val="000000" w:themeColor="text1"/>
          <w:sz w:val="22"/>
          <w:szCs w:val="22"/>
        </w:rPr>
        <w:t xml:space="preserve">Rigshospitalet, University of Copenhagen, Copenhagen, Denmark </w:t>
      </w:r>
    </w:p>
    <w:p w14:paraId="75EDCAF1" w14:textId="3325928E" w:rsidR="00B208F2" w:rsidRDefault="00441CE7"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5</w:t>
      </w:r>
      <w:r w:rsidR="00B208F2">
        <w:rPr>
          <w:rFonts w:ascii="Calibri" w:hAnsi="Calibri" w:cs="Calibri"/>
          <w:color w:val="000000" w:themeColor="text1"/>
          <w:sz w:val="22"/>
          <w:szCs w:val="22"/>
        </w:rPr>
        <w:t xml:space="preserve">.   </w:t>
      </w:r>
      <w:r w:rsidR="00B208F2" w:rsidRPr="00844476">
        <w:rPr>
          <w:rFonts w:ascii="Calibri" w:hAnsi="Calibri" w:cs="Calibri"/>
          <w:color w:val="000000" w:themeColor="text1"/>
          <w:sz w:val="22"/>
          <w:szCs w:val="22"/>
        </w:rPr>
        <w:t>Africa Health Research Institute, KwaZulu-Natal, South Africa</w:t>
      </w:r>
    </w:p>
    <w:p w14:paraId="3E8F83F3" w14:textId="5A4E2ACB" w:rsidR="00B208F2" w:rsidRDefault="00441CE7"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6</w:t>
      </w:r>
      <w:r w:rsidR="00B208F2">
        <w:rPr>
          <w:rFonts w:ascii="Calibri" w:hAnsi="Calibri" w:cs="Calibri"/>
          <w:color w:val="000000" w:themeColor="text1"/>
          <w:sz w:val="22"/>
          <w:szCs w:val="22"/>
        </w:rPr>
        <w:t>.   University of Queensland, Australia</w:t>
      </w:r>
    </w:p>
    <w:p w14:paraId="22C5D99F" w14:textId="5CC745A1" w:rsidR="00B208F2" w:rsidRDefault="00441CE7"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7</w:t>
      </w:r>
      <w:r w:rsidR="00B208F2">
        <w:rPr>
          <w:rFonts w:ascii="Calibri" w:hAnsi="Calibri" w:cs="Calibri"/>
          <w:color w:val="000000" w:themeColor="text1"/>
          <w:sz w:val="22"/>
          <w:szCs w:val="22"/>
        </w:rPr>
        <w:t xml:space="preserve">.   </w:t>
      </w:r>
      <w:r w:rsidR="00B208F2" w:rsidRPr="002C51D4">
        <w:rPr>
          <w:rFonts w:ascii="Calibri" w:hAnsi="Calibri" w:cs="Calibri"/>
          <w:color w:val="000000" w:themeColor="text1"/>
          <w:sz w:val="22"/>
          <w:szCs w:val="22"/>
          <w:lang w:val="en-US"/>
        </w:rPr>
        <w:t>Office of the Global AIDS Coordinator, Department of State, USA</w:t>
      </w:r>
    </w:p>
    <w:p w14:paraId="1CB618B4" w14:textId="6AE70F30" w:rsidR="00441CE7" w:rsidRDefault="00441CE7"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8</w:t>
      </w:r>
      <w:r w:rsidR="00B208F2">
        <w:rPr>
          <w:rFonts w:ascii="Calibri" w:hAnsi="Calibri" w:cs="Calibri"/>
          <w:color w:val="000000" w:themeColor="text1"/>
          <w:sz w:val="22"/>
          <w:szCs w:val="22"/>
        </w:rPr>
        <w:t>.   Bill &amp; Melinda Gates Foundation, Seattle, USA.</w:t>
      </w:r>
    </w:p>
    <w:p w14:paraId="328B84A5" w14:textId="168831BE" w:rsidR="00441CE7" w:rsidRDefault="00441CE7"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 xml:space="preserve">9    </w:t>
      </w:r>
      <w:r w:rsidRPr="00A55AD4">
        <w:rPr>
          <w:rFonts w:ascii="Calibri" w:hAnsi="Calibri" w:cs="Calibri"/>
          <w:color w:val="000000" w:themeColor="text1"/>
          <w:sz w:val="22"/>
          <w:szCs w:val="22"/>
        </w:rPr>
        <w:t>London School of Hygiene &amp; Tropical Medicine, London, UK.</w:t>
      </w:r>
    </w:p>
    <w:p w14:paraId="29D4779E" w14:textId="77777777" w:rsidR="00B208F2" w:rsidRPr="00A55AD4" w:rsidRDefault="00B208F2"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10. Centre for Health Economics, University of York, UK.</w:t>
      </w:r>
    </w:p>
    <w:p w14:paraId="56FDAF21" w14:textId="5F7742F6" w:rsidR="00B208F2" w:rsidRDefault="00B208F2" w:rsidP="00B208F2">
      <w:pPr>
        <w:pStyle w:val="xmsonormal"/>
        <w:rPr>
          <w:rFonts w:ascii="Calibri" w:hAnsi="Calibri" w:cs="Calibri"/>
          <w:color w:val="000000" w:themeColor="text1"/>
          <w:sz w:val="22"/>
          <w:szCs w:val="22"/>
        </w:rPr>
      </w:pPr>
    </w:p>
    <w:p w14:paraId="7D50C343" w14:textId="1E5FD0C3" w:rsidR="004E0F48" w:rsidRDefault="004E0F48" w:rsidP="00B208F2">
      <w:pPr>
        <w:pStyle w:val="xmsonormal"/>
        <w:rPr>
          <w:rFonts w:ascii="Calibri" w:hAnsi="Calibri" w:cs="Calibri"/>
          <w:color w:val="000000" w:themeColor="text1"/>
          <w:sz w:val="22"/>
          <w:szCs w:val="22"/>
        </w:rPr>
      </w:pPr>
    </w:p>
    <w:p w14:paraId="5CD88036" w14:textId="4CCE4963" w:rsidR="004E0F48" w:rsidRDefault="004E0F48"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 xml:space="preserve">Running head: </w:t>
      </w:r>
      <w:r w:rsidRPr="004E0F48">
        <w:rPr>
          <w:rFonts w:ascii="Calibri" w:hAnsi="Calibri" w:cs="Calibri"/>
          <w:color w:val="000000" w:themeColor="text1"/>
          <w:sz w:val="22"/>
          <w:szCs w:val="22"/>
        </w:rPr>
        <w:t>PEP access in sub-Saharan Africa</w:t>
      </w:r>
    </w:p>
    <w:p w14:paraId="4B5277C9" w14:textId="77777777" w:rsidR="004E0F48" w:rsidRDefault="004E0F48" w:rsidP="00B208F2">
      <w:pPr>
        <w:pStyle w:val="xmsonormal"/>
        <w:rPr>
          <w:rFonts w:ascii="Calibri" w:hAnsi="Calibri" w:cs="Calibri"/>
          <w:color w:val="000000" w:themeColor="text1"/>
          <w:sz w:val="22"/>
          <w:szCs w:val="22"/>
        </w:rPr>
      </w:pPr>
    </w:p>
    <w:p w14:paraId="5D3470CF" w14:textId="64540316" w:rsidR="00B208F2" w:rsidRDefault="005D07B4"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Corresponding author:  Andrew N Phillips</w:t>
      </w:r>
    </w:p>
    <w:p w14:paraId="71412D2F" w14:textId="77777777" w:rsidR="005D07B4" w:rsidRDefault="005D07B4"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rPr>
        <w:t>Institute for Global Health</w:t>
      </w:r>
    </w:p>
    <w:p w14:paraId="10FDBEF4" w14:textId="2E5A31C7" w:rsidR="005D07B4" w:rsidRPr="00381650" w:rsidRDefault="005D07B4" w:rsidP="00B208F2">
      <w:pPr>
        <w:pStyle w:val="xmsonormal"/>
        <w:rPr>
          <w:rFonts w:ascii="Calibri" w:hAnsi="Calibri" w:cs="Calibri"/>
          <w:color w:val="000000" w:themeColor="text1"/>
          <w:sz w:val="22"/>
          <w:szCs w:val="22"/>
        </w:rPr>
      </w:pPr>
      <w:r w:rsidRPr="00381650">
        <w:rPr>
          <w:rFonts w:ascii="Calibri" w:hAnsi="Calibri" w:cs="Calibri"/>
          <w:color w:val="000000" w:themeColor="text1"/>
          <w:sz w:val="22"/>
          <w:szCs w:val="22"/>
        </w:rPr>
        <w:t>UCL</w:t>
      </w:r>
      <w:r w:rsidR="00381650" w:rsidRPr="00381650">
        <w:rPr>
          <w:rFonts w:ascii="Calibri" w:hAnsi="Calibri" w:cs="Calibri"/>
          <w:color w:val="000000" w:themeColor="text1"/>
          <w:sz w:val="22"/>
          <w:szCs w:val="22"/>
        </w:rPr>
        <w:t xml:space="preserve"> </w:t>
      </w:r>
      <w:r w:rsidR="00381650">
        <w:rPr>
          <w:rFonts w:ascii="Calibri" w:hAnsi="Calibri" w:cs="Calibri"/>
          <w:color w:val="000000" w:themeColor="text1"/>
          <w:sz w:val="22"/>
          <w:szCs w:val="22"/>
        </w:rPr>
        <w:t>–</w:t>
      </w:r>
      <w:r w:rsidR="00381650" w:rsidRPr="00381650">
        <w:rPr>
          <w:rFonts w:ascii="Calibri" w:hAnsi="Calibri" w:cs="Calibri"/>
          <w:color w:val="000000" w:themeColor="text1"/>
          <w:sz w:val="22"/>
          <w:szCs w:val="22"/>
        </w:rPr>
        <w:t xml:space="preserve"> R</w:t>
      </w:r>
      <w:r w:rsidR="00381650">
        <w:rPr>
          <w:rFonts w:ascii="Calibri" w:hAnsi="Calibri" w:cs="Calibri"/>
          <w:color w:val="000000" w:themeColor="text1"/>
          <w:sz w:val="22"/>
          <w:szCs w:val="22"/>
        </w:rPr>
        <w:t>oyal Free Campu</w:t>
      </w:r>
      <w:r w:rsidR="007003CA">
        <w:rPr>
          <w:rFonts w:ascii="Calibri" w:hAnsi="Calibri" w:cs="Calibri"/>
          <w:color w:val="000000" w:themeColor="text1"/>
          <w:sz w:val="22"/>
          <w:szCs w:val="22"/>
        </w:rPr>
        <w:t>s</w:t>
      </w:r>
    </w:p>
    <w:p w14:paraId="3AD14F99" w14:textId="1487F82B" w:rsidR="005D07B4" w:rsidRPr="00381650" w:rsidRDefault="00381650" w:rsidP="00B208F2">
      <w:pPr>
        <w:pStyle w:val="xmsonormal"/>
        <w:rPr>
          <w:rFonts w:ascii="Calibri" w:hAnsi="Calibri" w:cs="Calibri"/>
          <w:color w:val="000000" w:themeColor="text1"/>
          <w:sz w:val="22"/>
          <w:szCs w:val="22"/>
        </w:rPr>
      </w:pPr>
      <w:r w:rsidRPr="00381650">
        <w:rPr>
          <w:rFonts w:ascii="Calibri" w:hAnsi="Calibri" w:cs="Calibri"/>
          <w:color w:val="000000" w:themeColor="text1"/>
          <w:sz w:val="22"/>
          <w:szCs w:val="22"/>
        </w:rPr>
        <w:t>Rowland Hill Street</w:t>
      </w:r>
    </w:p>
    <w:p w14:paraId="6495467F" w14:textId="1BC03A8F" w:rsidR="005D07B4" w:rsidRPr="0054709B" w:rsidRDefault="005D07B4" w:rsidP="00B208F2">
      <w:pPr>
        <w:pStyle w:val="xmsonormal"/>
        <w:rPr>
          <w:rFonts w:ascii="Calibri" w:hAnsi="Calibri" w:cs="Calibri"/>
          <w:color w:val="000000" w:themeColor="text1"/>
          <w:sz w:val="22"/>
          <w:szCs w:val="22"/>
          <w:lang w:val="nl-NL"/>
        </w:rPr>
      </w:pPr>
      <w:r w:rsidRPr="0054709B">
        <w:rPr>
          <w:rFonts w:ascii="Calibri" w:hAnsi="Calibri" w:cs="Calibri"/>
          <w:color w:val="000000" w:themeColor="text1"/>
          <w:sz w:val="22"/>
          <w:szCs w:val="22"/>
          <w:lang w:val="nl-NL"/>
        </w:rPr>
        <w:t>London</w:t>
      </w:r>
      <w:r w:rsidR="00381650">
        <w:rPr>
          <w:rFonts w:ascii="Calibri" w:hAnsi="Calibri" w:cs="Calibri"/>
          <w:color w:val="000000" w:themeColor="text1"/>
          <w:sz w:val="22"/>
          <w:szCs w:val="22"/>
          <w:lang w:val="nl-NL"/>
        </w:rPr>
        <w:t xml:space="preserve"> NW3 2PF</w:t>
      </w:r>
    </w:p>
    <w:p w14:paraId="0F30A4DC" w14:textId="44875D4D" w:rsidR="005D07B4" w:rsidRPr="0054709B" w:rsidRDefault="005D07B4" w:rsidP="00B208F2">
      <w:pPr>
        <w:pStyle w:val="xmsonormal"/>
        <w:rPr>
          <w:rFonts w:ascii="Calibri" w:hAnsi="Calibri" w:cs="Calibri"/>
          <w:color w:val="000000" w:themeColor="text1"/>
          <w:sz w:val="22"/>
          <w:szCs w:val="22"/>
          <w:lang w:val="nl-NL"/>
        </w:rPr>
      </w:pPr>
      <w:r w:rsidRPr="0054709B">
        <w:rPr>
          <w:rFonts w:ascii="Calibri" w:hAnsi="Calibri" w:cs="Calibri"/>
          <w:color w:val="000000" w:themeColor="text1"/>
          <w:sz w:val="22"/>
          <w:szCs w:val="22"/>
          <w:lang w:val="nl-NL"/>
        </w:rPr>
        <w:t>UK</w:t>
      </w:r>
    </w:p>
    <w:p w14:paraId="18133A87" w14:textId="25DB8FE1" w:rsidR="005D07B4" w:rsidRPr="005D07B4" w:rsidRDefault="005D07B4" w:rsidP="00B208F2">
      <w:pPr>
        <w:pStyle w:val="xmsonormal"/>
        <w:rPr>
          <w:rFonts w:ascii="Calibri" w:hAnsi="Calibri" w:cs="Calibri"/>
          <w:color w:val="000000" w:themeColor="text1"/>
          <w:sz w:val="22"/>
          <w:szCs w:val="22"/>
          <w:lang w:val="nl-NL"/>
        </w:rPr>
      </w:pPr>
      <w:proofErr w:type="gramStart"/>
      <w:r>
        <w:rPr>
          <w:rFonts w:ascii="Calibri" w:hAnsi="Calibri" w:cs="Calibri"/>
          <w:color w:val="000000" w:themeColor="text1"/>
          <w:sz w:val="22"/>
          <w:szCs w:val="22"/>
          <w:lang w:val="nl-NL"/>
        </w:rPr>
        <w:t xml:space="preserve">Tel:  </w:t>
      </w:r>
      <w:r w:rsidRPr="005D07B4">
        <w:rPr>
          <w:rFonts w:ascii="Calibri" w:hAnsi="Calibri" w:cs="Calibri"/>
          <w:color w:val="000000" w:themeColor="text1"/>
          <w:sz w:val="22"/>
          <w:szCs w:val="22"/>
          <w:lang w:val="nl-NL"/>
        </w:rPr>
        <w:t>UK</w:t>
      </w:r>
      <w:proofErr w:type="gramEnd"/>
      <w:r w:rsidRPr="005D07B4">
        <w:rPr>
          <w:rFonts w:ascii="Calibri" w:hAnsi="Calibri" w:cs="Calibri"/>
          <w:color w:val="000000" w:themeColor="text1"/>
          <w:sz w:val="22"/>
          <w:szCs w:val="22"/>
          <w:lang w:val="nl-NL"/>
        </w:rPr>
        <w:t xml:space="preserve"> + 7</w:t>
      </w:r>
      <w:r>
        <w:rPr>
          <w:rFonts w:ascii="Calibri" w:hAnsi="Calibri" w:cs="Calibri"/>
          <w:color w:val="000000" w:themeColor="text1"/>
          <w:sz w:val="22"/>
          <w:szCs w:val="22"/>
          <w:lang w:val="nl-NL"/>
        </w:rPr>
        <w:t>8302886</w:t>
      </w:r>
    </w:p>
    <w:p w14:paraId="5B932CFD" w14:textId="690DCB29" w:rsidR="005D07B4" w:rsidRPr="005D07B4" w:rsidRDefault="005D07B4" w:rsidP="00B208F2">
      <w:pPr>
        <w:pStyle w:val="xmsonormal"/>
        <w:rPr>
          <w:rFonts w:ascii="Calibri" w:hAnsi="Calibri" w:cs="Calibri"/>
          <w:color w:val="000000" w:themeColor="text1"/>
          <w:sz w:val="22"/>
          <w:szCs w:val="22"/>
          <w:lang w:val="nl-NL"/>
        </w:rPr>
      </w:pPr>
      <w:r>
        <w:rPr>
          <w:rFonts w:ascii="Calibri" w:hAnsi="Calibri" w:cs="Calibri"/>
          <w:color w:val="000000" w:themeColor="text1"/>
          <w:sz w:val="22"/>
          <w:szCs w:val="22"/>
          <w:lang w:val="nl-NL"/>
        </w:rPr>
        <w:t xml:space="preserve">Email: </w:t>
      </w:r>
      <w:r w:rsidRPr="005D07B4">
        <w:rPr>
          <w:rFonts w:ascii="Calibri" w:hAnsi="Calibri" w:cs="Calibri"/>
          <w:color w:val="000000" w:themeColor="text1"/>
          <w:sz w:val="22"/>
          <w:szCs w:val="22"/>
          <w:lang w:val="nl-NL"/>
        </w:rPr>
        <w:t>andrew.phillips@ucl.ac.uk</w:t>
      </w:r>
    </w:p>
    <w:p w14:paraId="6A8D32B8" w14:textId="702EC1E8" w:rsidR="005D07B4" w:rsidRDefault="005D07B4" w:rsidP="00B208F2">
      <w:pPr>
        <w:pStyle w:val="xmsonormal"/>
        <w:rPr>
          <w:rFonts w:ascii="Calibri" w:hAnsi="Calibri" w:cs="Calibri"/>
          <w:color w:val="000000" w:themeColor="text1"/>
          <w:sz w:val="22"/>
          <w:szCs w:val="22"/>
          <w:lang w:val="nl-NL"/>
        </w:rPr>
      </w:pPr>
    </w:p>
    <w:p w14:paraId="4CD1D7BE" w14:textId="3531B6B2" w:rsidR="005D07B4" w:rsidRPr="0054709B" w:rsidRDefault="00E807D3" w:rsidP="00B208F2">
      <w:pPr>
        <w:pStyle w:val="xmsonormal"/>
        <w:rPr>
          <w:rFonts w:ascii="Calibri" w:hAnsi="Calibri" w:cs="Calibri"/>
          <w:color w:val="000000" w:themeColor="text1"/>
          <w:sz w:val="22"/>
          <w:szCs w:val="22"/>
          <w:lang w:val="nl-NL"/>
        </w:rPr>
      </w:pPr>
      <w:r w:rsidRPr="0054709B">
        <w:rPr>
          <w:rFonts w:ascii="Calibri" w:hAnsi="Calibri" w:cs="Calibri"/>
          <w:color w:val="000000" w:themeColor="text1"/>
          <w:sz w:val="22"/>
          <w:szCs w:val="22"/>
          <w:lang w:val="nl-NL"/>
        </w:rPr>
        <w:t xml:space="preserve">AP: </w:t>
      </w:r>
      <w:r w:rsidR="005D07B4" w:rsidRPr="0054709B">
        <w:rPr>
          <w:rFonts w:ascii="Calibri" w:hAnsi="Calibri" w:cs="Calibri"/>
          <w:color w:val="000000" w:themeColor="text1"/>
          <w:sz w:val="22"/>
          <w:szCs w:val="22"/>
          <w:lang w:val="nl-NL"/>
        </w:rPr>
        <w:t>andrew.phillips@ucl.ac.uk</w:t>
      </w:r>
    </w:p>
    <w:p w14:paraId="41DC3D51" w14:textId="3033E091" w:rsidR="005D07B4" w:rsidRPr="0054709B" w:rsidRDefault="00E807D3" w:rsidP="00B208F2">
      <w:pPr>
        <w:pStyle w:val="xmsonormal"/>
        <w:rPr>
          <w:rFonts w:ascii="Calibri" w:hAnsi="Calibri" w:cs="Calibri"/>
          <w:sz w:val="22"/>
          <w:szCs w:val="22"/>
          <w:lang w:val="nl-NL"/>
        </w:rPr>
      </w:pPr>
      <w:r w:rsidRPr="0054709B">
        <w:rPr>
          <w:rFonts w:ascii="Calibri" w:hAnsi="Calibri" w:cs="Calibri"/>
          <w:color w:val="000000" w:themeColor="text1"/>
          <w:sz w:val="22"/>
          <w:szCs w:val="22"/>
          <w:lang w:val="nl-NL"/>
        </w:rPr>
        <w:t xml:space="preserve">ES: </w:t>
      </w:r>
      <w:hyperlink r:id="rId7" w:history="1">
        <w:r w:rsidRPr="0054709B">
          <w:rPr>
            <w:rStyle w:val="Hyperlink"/>
            <w:rFonts w:ascii="Calibri" w:hAnsi="Calibri" w:cs="Calibri"/>
            <w:color w:val="auto"/>
            <w:sz w:val="22"/>
            <w:szCs w:val="22"/>
            <w:u w:val="none"/>
            <w:lang w:val="nl-NL"/>
          </w:rPr>
          <w:t>euphemia@ceshhar.co.zw</w:t>
        </w:r>
      </w:hyperlink>
    </w:p>
    <w:p w14:paraId="5942917C" w14:textId="77777777" w:rsidR="000F4B95" w:rsidRPr="0054709B" w:rsidRDefault="000F4B95" w:rsidP="000F4B95">
      <w:pPr>
        <w:pStyle w:val="xmsonormal"/>
        <w:rPr>
          <w:rFonts w:ascii="Calibri" w:hAnsi="Calibri" w:cs="Calibri"/>
          <w:color w:val="000000" w:themeColor="text1"/>
          <w:sz w:val="22"/>
          <w:szCs w:val="22"/>
          <w:lang w:val="nl-NL"/>
        </w:rPr>
      </w:pPr>
      <w:r w:rsidRPr="0054709B">
        <w:rPr>
          <w:rFonts w:ascii="Calibri" w:hAnsi="Calibri" w:cs="Calibri"/>
          <w:color w:val="000000" w:themeColor="text1"/>
          <w:sz w:val="22"/>
          <w:szCs w:val="22"/>
          <w:lang w:val="nl-NL"/>
        </w:rPr>
        <w:t>KS: ksikwese@gmail.com</w:t>
      </w:r>
    </w:p>
    <w:p w14:paraId="099D80DF" w14:textId="77777777" w:rsidR="000F4B95" w:rsidRDefault="000F4B95" w:rsidP="000F4B95">
      <w:pPr>
        <w:pStyle w:val="xmsonormal"/>
        <w:rPr>
          <w:rFonts w:ascii="Calibri" w:hAnsi="Calibri" w:cs="Calibri"/>
          <w:color w:val="000000" w:themeColor="text1"/>
          <w:sz w:val="22"/>
          <w:szCs w:val="22"/>
        </w:rPr>
      </w:pPr>
      <w:r>
        <w:rPr>
          <w:rFonts w:ascii="Calibri" w:hAnsi="Calibri" w:cs="Calibri"/>
          <w:color w:val="000000" w:themeColor="text1"/>
          <w:sz w:val="22"/>
          <w:szCs w:val="22"/>
        </w:rPr>
        <w:t xml:space="preserve">L-BM: </w:t>
      </w:r>
      <w:r w:rsidRPr="005D07B4">
        <w:rPr>
          <w:rFonts w:ascii="Calibri" w:hAnsi="Calibri" w:cs="Calibri"/>
          <w:color w:val="000000" w:themeColor="text1"/>
          <w:sz w:val="22"/>
          <w:szCs w:val="22"/>
        </w:rPr>
        <w:t>l.bansi-matharu@ucl.ac.uk</w:t>
      </w:r>
    </w:p>
    <w:p w14:paraId="2A0A75BA" w14:textId="77777777" w:rsidR="000F4B95" w:rsidRDefault="000F4B95" w:rsidP="000F4B95">
      <w:pPr>
        <w:pStyle w:val="xmsonormal"/>
        <w:rPr>
          <w:rFonts w:ascii="Calibri" w:hAnsi="Calibri" w:cs="Calibri"/>
          <w:color w:val="000000" w:themeColor="text1"/>
          <w:sz w:val="22"/>
          <w:szCs w:val="22"/>
        </w:rPr>
      </w:pPr>
      <w:r>
        <w:rPr>
          <w:rFonts w:ascii="Calibri" w:hAnsi="Calibri" w:cs="Calibri"/>
          <w:color w:val="000000" w:themeColor="text1"/>
          <w:sz w:val="22"/>
          <w:szCs w:val="22"/>
        </w:rPr>
        <w:t xml:space="preserve">VC: </w:t>
      </w:r>
      <w:r w:rsidRPr="005D07B4">
        <w:rPr>
          <w:rFonts w:ascii="Calibri" w:hAnsi="Calibri" w:cs="Calibri"/>
          <w:color w:val="000000" w:themeColor="text1"/>
          <w:sz w:val="22"/>
          <w:szCs w:val="22"/>
        </w:rPr>
        <w:t>v.cambiano@ucl.ac.uk</w:t>
      </w:r>
    </w:p>
    <w:p w14:paraId="07AFF9F2" w14:textId="77777777" w:rsidR="000F4B95" w:rsidRPr="005D07B4" w:rsidRDefault="000F4B95" w:rsidP="000F4B95">
      <w:pPr>
        <w:pStyle w:val="xmsonormal"/>
        <w:rPr>
          <w:rFonts w:ascii="Calibri" w:hAnsi="Calibri" w:cs="Calibri"/>
          <w:color w:val="000000" w:themeColor="text1"/>
          <w:sz w:val="22"/>
          <w:szCs w:val="22"/>
        </w:rPr>
      </w:pPr>
      <w:r>
        <w:rPr>
          <w:rFonts w:ascii="Calibri" w:hAnsi="Calibri" w:cs="Calibri"/>
          <w:color w:val="000000" w:themeColor="text1"/>
          <w:sz w:val="22"/>
          <w:szCs w:val="22"/>
        </w:rPr>
        <w:t xml:space="preserve">AR: </w:t>
      </w:r>
      <w:r w:rsidRPr="00E807D3">
        <w:rPr>
          <w:rFonts w:ascii="Calibri" w:hAnsi="Calibri" w:cs="Calibri"/>
          <w:color w:val="000000" w:themeColor="text1"/>
          <w:sz w:val="22"/>
          <w:szCs w:val="22"/>
        </w:rPr>
        <w:t>alison.rodger@ucl.ac.uk</w:t>
      </w:r>
    </w:p>
    <w:p w14:paraId="79C31EB0" w14:textId="77777777" w:rsidR="000F4B95" w:rsidRPr="0054709B" w:rsidRDefault="000F4B95" w:rsidP="000F4B95">
      <w:pPr>
        <w:pStyle w:val="xmsonormal"/>
        <w:rPr>
          <w:rFonts w:ascii="Calibri" w:hAnsi="Calibri" w:cs="Calibri"/>
          <w:color w:val="000000" w:themeColor="text1"/>
          <w:sz w:val="22"/>
          <w:szCs w:val="22"/>
        </w:rPr>
      </w:pPr>
      <w:r w:rsidRPr="0054709B">
        <w:rPr>
          <w:rFonts w:ascii="Calibri" w:hAnsi="Calibri" w:cs="Calibri"/>
          <w:color w:val="000000" w:themeColor="text1"/>
          <w:sz w:val="22"/>
          <w:szCs w:val="22"/>
        </w:rPr>
        <w:t xml:space="preserve">JL: jens.lundgren@regionh.dk </w:t>
      </w:r>
    </w:p>
    <w:p w14:paraId="5AFB592F" w14:textId="77777777" w:rsidR="000F4B95" w:rsidRPr="0054709B" w:rsidRDefault="000F4B95" w:rsidP="000F4B95">
      <w:pPr>
        <w:pStyle w:val="xmsonormal"/>
        <w:rPr>
          <w:rFonts w:ascii="Calibri" w:hAnsi="Calibri" w:cs="Calibri"/>
          <w:color w:val="000000" w:themeColor="text1"/>
          <w:sz w:val="22"/>
          <w:szCs w:val="22"/>
        </w:rPr>
      </w:pPr>
      <w:r w:rsidRPr="0054709B">
        <w:rPr>
          <w:rFonts w:ascii="Calibri" w:hAnsi="Calibri" w:cs="Calibri"/>
          <w:color w:val="000000" w:themeColor="text1"/>
          <w:sz w:val="22"/>
          <w:szCs w:val="22"/>
        </w:rPr>
        <w:t xml:space="preserve">MS: m.shahmanesh@ucl.ac.uk </w:t>
      </w:r>
    </w:p>
    <w:p w14:paraId="64E79126" w14:textId="56F712EF" w:rsidR="000F4B95" w:rsidRPr="000F4B95" w:rsidRDefault="000F4B95" w:rsidP="000F4B95">
      <w:pPr>
        <w:pStyle w:val="xmsonormal"/>
        <w:rPr>
          <w:rFonts w:ascii="Calibri" w:hAnsi="Calibri" w:cs="Calibri"/>
          <w:color w:val="000000" w:themeColor="text1"/>
          <w:sz w:val="22"/>
          <w:szCs w:val="22"/>
          <w:lang w:val="it-IT"/>
        </w:rPr>
      </w:pPr>
      <w:r w:rsidRPr="000F4B95">
        <w:rPr>
          <w:rFonts w:ascii="Calibri" w:hAnsi="Calibri" w:cs="Calibri"/>
          <w:color w:val="000000" w:themeColor="text1"/>
          <w:sz w:val="22"/>
          <w:szCs w:val="22"/>
          <w:lang w:val="it-IT"/>
        </w:rPr>
        <w:t xml:space="preserve">CGo: qea0@cdc.gov </w:t>
      </w:r>
    </w:p>
    <w:p w14:paraId="0483FFC0" w14:textId="5F9E3EC7" w:rsidR="000F4B95" w:rsidRPr="000F4B95" w:rsidRDefault="000F4B95" w:rsidP="000F4B95">
      <w:pPr>
        <w:pStyle w:val="xmsonormal"/>
        <w:rPr>
          <w:rFonts w:ascii="Calibri" w:hAnsi="Calibri" w:cs="Calibri"/>
          <w:color w:val="000000" w:themeColor="text1"/>
          <w:sz w:val="22"/>
          <w:szCs w:val="22"/>
          <w:lang w:val="it-IT"/>
        </w:rPr>
      </w:pPr>
      <w:r w:rsidRPr="000F4B95">
        <w:rPr>
          <w:rFonts w:ascii="Calibri" w:hAnsi="Calibri" w:cs="Calibri"/>
          <w:color w:val="000000" w:themeColor="text1"/>
          <w:sz w:val="22"/>
          <w:szCs w:val="22"/>
          <w:lang w:val="it-IT"/>
        </w:rPr>
        <w:t>CGi: c.gilks@uq.edu.au</w:t>
      </w:r>
    </w:p>
    <w:p w14:paraId="513AD678" w14:textId="6AC55E4B" w:rsidR="000F4B95" w:rsidRPr="000F4B95" w:rsidRDefault="000F4B95" w:rsidP="00B208F2">
      <w:pPr>
        <w:pStyle w:val="xmsonormal"/>
        <w:rPr>
          <w:rFonts w:ascii="Calibri" w:hAnsi="Calibri" w:cs="Calibri"/>
          <w:sz w:val="22"/>
          <w:szCs w:val="22"/>
          <w:lang w:val="it-IT"/>
        </w:rPr>
      </w:pPr>
      <w:r w:rsidRPr="00E807D3">
        <w:rPr>
          <w:rFonts w:ascii="Calibri" w:hAnsi="Calibri" w:cs="Calibri"/>
          <w:color w:val="000000" w:themeColor="text1"/>
          <w:sz w:val="22"/>
          <w:szCs w:val="22"/>
          <w:lang w:val="it-IT"/>
        </w:rPr>
        <w:t>PE: Peter.Ehrenkranz@gatesfoundation.org</w:t>
      </w:r>
    </w:p>
    <w:p w14:paraId="379CEB76" w14:textId="77777777" w:rsidR="000F4B95" w:rsidRPr="000F4B95" w:rsidRDefault="000F4B95" w:rsidP="000F4B95">
      <w:pPr>
        <w:pStyle w:val="xmsonormal"/>
        <w:rPr>
          <w:rFonts w:ascii="Calibri" w:hAnsi="Calibri" w:cs="Calibri"/>
          <w:color w:val="000000" w:themeColor="text1"/>
          <w:sz w:val="22"/>
          <w:szCs w:val="22"/>
          <w:lang w:val="it-IT"/>
        </w:rPr>
      </w:pPr>
      <w:r w:rsidRPr="000F4B95">
        <w:rPr>
          <w:rFonts w:ascii="Calibri" w:hAnsi="Calibri" w:cs="Calibri"/>
          <w:color w:val="000000" w:themeColor="text1"/>
          <w:sz w:val="22"/>
          <w:szCs w:val="22"/>
          <w:lang w:val="it-IT"/>
        </w:rPr>
        <w:t>JH: James.Hargreaves@lshtm.ac.uk</w:t>
      </w:r>
    </w:p>
    <w:p w14:paraId="4F325671" w14:textId="2260EA24" w:rsidR="000F4B95" w:rsidRPr="000F4B95" w:rsidRDefault="000F4B95" w:rsidP="00B208F2">
      <w:pPr>
        <w:pStyle w:val="xmsonormal"/>
        <w:rPr>
          <w:rFonts w:ascii="Calibri" w:hAnsi="Calibri" w:cs="Calibri"/>
          <w:color w:val="000000" w:themeColor="text1"/>
          <w:sz w:val="22"/>
          <w:szCs w:val="22"/>
          <w:lang w:val="fr-FR"/>
        </w:rPr>
      </w:pPr>
      <w:proofErr w:type="gramStart"/>
      <w:r w:rsidRPr="00E807D3">
        <w:rPr>
          <w:rFonts w:ascii="Calibri" w:hAnsi="Calibri" w:cs="Calibri"/>
          <w:color w:val="000000" w:themeColor="text1"/>
          <w:sz w:val="22"/>
          <w:szCs w:val="22"/>
          <w:lang w:val="fr-FR"/>
        </w:rPr>
        <w:t>PR:</w:t>
      </w:r>
      <w:proofErr w:type="gramEnd"/>
      <w:r w:rsidRPr="00E807D3">
        <w:rPr>
          <w:rFonts w:ascii="Calibri" w:hAnsi="Calibri" w:cs="Calibri"/>
          <w:color w:val="000000" w:themeColor="text1"/>
          <w:sz w:val="22"/>
          <w:szCs w:val="22"/>
          <w:lang w:val="fr-FR"/>
        </w:rPr>
        <w:t xml:space="preserve"> paul.revill@york.ac.uk </w:t>
      </w:r>
    </w:p>
    <w:p w14:paraId="70282155" w14:textId="42252D0A" w:rsidR="005D07B4" w:rsidRPr="000F4B95" w:rsidRDefault="00E807D3" w:rsidP="00B208F2">
      <w:pPr>
        <w:pStyle w:val="xmsonormal"/>
        <w:rPr>
          <w:rFonts w:ascii="Calibri" w:hAnsi="Calibri" w:cs="Calibri"/>
          <w:color w:val="000000" w:themeColor="text1"/>
          <w:sz w:val="22"/>
          <w:szCs w:val="22"/>
        </w:rPr>
      </w:pPr>
      <w:r w:rsidRPr="00E807D3">
        <w:rPr>
          <w:rFonts w:ascii="Calibri" w:hAnsi="Calibri" w:cs="Calibri"/>
          <w:color w:val="000000" w:themeColor="text1"/>
          <w:sz w:val="22"/>
          <w:szCs w:val="22"/>
        </w:rPr>
        <w:t xml:space="preserve">FC: </w:t>
      </w:r>
      <w:r w:rsidR="005D07B4" w:rsidRPr="00E807D3">
        <w:rPr>
          <w:rFonts w:ascii="Calibri" w:hAnsi="Calibri" w:cs="Calibri"/>
          <w:color w:val="000000" w:themeColor="text1"/>
          <w:sz w:val="22"/>
          <w:szCs w:val="22"/>
        </w:rPr>
        <w:t>Frances.Cowan@lstmed.ac.uk</w:t>
      </w:r>
    </w:p>
    <w:p w14:paraId="4A900F56" w14:textId="77777777" w:rsidR="005D07B4" w:rsidRPr="000F4B95" w:rsidRDefault="005D07B4" w:rsidP="00B208F2">
      <w:pPr>
        <w:pStyle w:val="xmsonormal"/>
        <w:rPr>
          <w:rFonts w:ascii="Calibri" w:hAnsi="Calibri" w:cs="Calibri"/>
          <w:color w:val="000000" w:themeColor="text1"/>
          <w:sz w:val="22"/>
          <w:szCs w:val="22"/>
        </w:rPr>
      </w:pPr>
    </w:p>
    <w:p w14:paraId="3FD89DA6" w14:textId="77777777" w:rsidR="00B208F2" w:rsidRDefault="00B208F2" w:rsidP="00B208F2">
      <w:pPr>
        <w:pStyle w:val="xmsonormal"/>
        <w:rPr>
          <w:rFonts w:ascii="Calibri" w:hAnsi="Calibri" w:cs="Calibri"/>
          <w:color w:val="000000" w:themeColor="text1"/>
          <w:sz w:val="22"/>
          <w:szCs w:val="22"/>
        </w:rPr>
      </w:pPr>
      <w:r>
        <w:rPr>
          <w:rFonts w:ascii="Calibri" w:hAnsi="Calibri" w:cs="Calibri"/>
          <w:color w:val="000000" w:themeColor="text1"/>
          <w:sz w:val="22"/>
          <w:szCs w:val="22"/>
          <w:lang w:val="en-US"/>
        </w:rPr>
        <w:t>*</w:t>
      </w:r>
      <w:r w:rsidRPr="002C51D4">
        <w:rPr>
          <w:rFonts w:ascii="Calibri" w:hAnsi="Calibri" w:cs="Calibri"/>
          <w:color w:val="000000" w:themeColor="text1"/>
          <w:sz w:val="22"/>
          <w:szCs w:val="22"/>
          <w:lang w:val="en-US"/>
        </w:rPr>
        <w:t>This paper was written by CG in her capacity as an USG employee, but the views expressed in this paper do not represent those of the Department of State or the Centers for Disease Control.</w:t>
      </w:r>
    </w:p>
    <w:p w14:paraId="3A2B0376" w14:textId="1FD9A810" w:rsidR="000F4B95" w:rsidRDefault="000F4B95">
      <w:pPr>
        <w:rPr>
          <w:rFonts w:ascii="Calibri" w:hAnsi="Calibri" w:cs="Calibri"/>
          <w:color w:val="000000" w:themeColor="text1"/>
          <w:lang w:eastAsia="en-GB"/>
        </w:rPr>
      </w:pPr>
    </w:p>
    <w:p w14:paraId="7C112076" w14:textId="271FD6A8" w:rsidR="0054709B" w:rsidRPr="00BC01AE" w:rsidRDefault="0054709B" w:rsidP="0054709B">
      <w:pPr>
        <w:rPr>
          <w:rFonts w:ascii="Calibri" w:hAnsi="Calibri" w:cs="Calibri"/>
          <w:color w:val="000000" w:themeColor="text1"/>
          <w:lang w:eastAsia="en-GB"/>
        </w:rPr>
      </w:pPr>
      <w:r>
        <w:rPr>
          <w:rFonts w:ascii="Calibri" w:hAnsi="Calibri" w:cs="Calibri"/>
          <w:color w:val="000000" w:themeColor="text1"/>
          <w:lang w:eastAsia="en-GB"/>
        </w:rPr>
        <w:t xml:space="preserve">Keywords: </w:t>
      </w:r>
      <w:proofErr w:type="gramStart"/>
      <w:r w:rsidRPr="0054709B">
        <w:rPr>
          <w:rFonts w:ascii="Calibri" w:hAnsi="Calibri" w:cs="Calibri"/>
          <w:color w:val="000000" w:themeColor="text1"/>
          <w:lang w:eastAsia="en-GB"/>
        </w:rPr>
        <w:t>Communit</w:t>
      </w:r>
      <w:r w:rsidRPr="00BC01AE">
        <w:rPr>
          <w:rFonts w:ascii="Calibri" w:hAnsi="Calibri" w:cs="Calibri"/>
          <w:color w:val="000000" w:themeColor="text1"/>
          <w:lang w:eastAsia="en-GB"/>
        </w:rPr>
        <w:t>y;  Drug</w:t>
      </w:r>
      <w:proofErr w:type="gramEnd"/>
      <w:r w:rsidRPr="00BC01AE">
        <w:rPr>
          <w:rFonts w:ascii="Calibri" w:hAnsi="Calibri" w:cs="Calibri"/>
          <w:color w:val="000000" w:themeColor="text1"/>
          <w:lang w:eastAsia="en-GB"/>
        </w:rPr>
        <w:t xml:space="preserve"> resistance; Health systems; HIV prevention; PrEP; Public health</w:t>
      </w:r>
    </w:p>
    <w:p w14:paraId="4A183544" w14:textId="2782E697" w:rsidR="000F4B95" w:rsidRDefault="000F4B95" w:rsidP="00227FE4">
      <w:pPr>
        <w:pStyle w:val="xmsonormal"/>
        <w:rPr>
          <w:rFonts w:ascii="Calibri" w:hAnsi="Calibri" w:cs="Calibri"/>
          <w:color w:val="000000" w:themeColor="text1"/>
          <w:sz w:val="22"/>
          <w:szCs w:val="22"/>
        </w:rPr>
      </w:pPr>
      <w:r w:rsidRPr="00BC01AE">
        <w:rPr>
          <w:rFonts w:ascii="Calibri" w:hAnsi="Calibri" w:cs="Calibri"/>
          <w:color w:val="000000" w:themeColor="text1"/>
          <w:sz w:val="22"/>
          <w:szCs w:val="22"/>
        </w:rPr>
        <w:t xml:space="preserve">Word count: </w:t>
      </w:r>
      <w:r w:rsidR="00F37324" w:rsidRPr="00BC01AE">
        <w:rPr>
          <w:rFonts w:ascii="Calibri" w:hAnsi="Calibri" w:cs="Calibri"/>
          <w:color w:val="000000" w:themeColor="text1"/>
          <w:sz w:val="22"/>
          <w:szCs w:val="22"/>
        </w:rPr>
        <w:t>1</w:t>
      </w:r>
      <w:r w:rsidR="00BC01AE" w:rsidRPr="00BC01AE">
        <w:rPr>
          <w:rFonts w:ascii="Calibri" w:hAnsi="Calibri" w:cs="Calibri"/>
          <w:color w:val="000000" w:themeColor="text1"/>
          <w:sz w:val="22"/>
          <w:szCs w:val="22"/>
        </w:rPr>
        <w:t>494</w:t>
      </w:r>
    </w:p>
    <w:p w14:paraId="0E507B6B" w14:textId="3D447445" w:rsidR="001F479E" w:rsidRPr="00D6567E" w:rsidRDefault="00642F4D" w:rsidP="00642F4D">
      <w:r w:rsidRPr="00F50A39">
        <w:rPr>
          <w:color w:val="000000" w:themeColor="text1"/>
        </w:rPr>
        <w:lastRenderedPageBreak/>
        <w:t>Post exposure prophylaxis (PEP) is a World Health Organisation-endorsed</w:t>
      </w:r>
      <w:r>
        <w:rPr>
          <w:color w:val="000000" w:themeColor="text1"/>
        </w:rPr>
        <w:t>,</w:t>
      </w:r>
      <w:r w:rsidRPr="00F50A39">
        <w:rPr>
          <w:color w:val="000000" w:themeColor="text1"/>
        </w:rPr>
        <w:t xml:space="preserve"> approach to prevent HIV acquisition from a</w:t>
      </w:r>
      <w:r>
        <w:rPr>
          <w:color w:val="000000" w:themeColor="text1"/>
        </w:rPr>
        <w:t xml:space="preserve"> recent sexual</w:t>
      </w:r>
      <w:r w:rsidRPr="00F50A39">
        <w:rPr>
          <w:color w:val="000000" w:themeColor="text1"/>
        </w:rPr>
        <w:t xml:space="preserve"> exposure by initiating an antiretroviral drug regimen</w:t>
      </w:r>
      <w:r>
        <w:rPr>
          <w:color w:val="000000" w:themeColor="text1"/>
        </w:rPr>
        <w:t>,</w:t>
      </w:r>
      <w:r w:rsidRPr="00F50A39">
        <w:rPr>
          <w:color w:val="000000" w:themeColor="text1"/>
        </w:rPr>
        <w:t xml:space="preserve"> </w:t>
      </w:r>
      <w:r w:rsidR="0043726B">
        <w:rPr>
          <w:color w:val="000000" w:themeColor="text1"/>
        </w:rPr>
        <w:t xml:space="preserve">within 72 hours </w:t>
      </w:r>
      <w:r w:rsidRPr="00F50A39">
        <w:rPr>
          <w:color w:val="000000" w:themeColor="text1"/>
        </w:rPr>
        <w:t>after the exposure</w:t>
      </w:r>
      <w:r w:rsidR="00D40713">
        <w:rPr>
          <w:color w:val="000000" w:themeColor="text1"/>
        </w:rPr>
        <w:t xml:space="preserve">, </w:t>
      </w:r>
      <w:r w:rsidR="0043726B">
        <w:rPr>
          <w:color w:val="000000" w:themeColor="text1"/>
        </w:rPr>
        <w:t>but ideally within 24 hours</w:t>
      </w:r>
      <w:r>
        <w:rPr>
          <w:color w:val="000000" w:themeColor="text1"/>
        </w:rPr>
        <w:t>,</w:t>
      </w:r>
      <w:r w:rsidRPr="00F50A39">
        <w:rPr>
          <w:color w:val="000000" w:themeColor="text1"/>
        </w:rPr>
        <w:t xml:space="preserve"> and continuing for 28 days</w:t>
      </w:r>
      <w:r>
        <w:rPr>
          <w:color w:val="000000" w:themeColor="text1"/>
        </w:rPr>
        <w:t xml:space="preserve"> (1).  </w:t>
      </w:r>
      <w:r w:rsidR="00133DCC" w:rsidRPr="00EB0763">
        <w:rPr>
          <w:color w:val="000000" w:themeColor="text1"/>
        </w:rPr>
        <w:t>Non</w:t>
      </w:r>
      <w:r w:rsidR="0021015A">
        <w:rPr>
          <w:color w:val="000000" w:themeColor="text1"/>
        </w:rPr>
        <w:t>-</w:t>
      </w:r>
      <w:r w:rsidR="00133DCC" w:rsidRPr="00EB0763">
        <w:rPr>
          <w:color w:val="000000" w:themeColor="text1"/>
        </w:rPr>
        <w:t>human primate studies suggest that PEP may reduce the risk of acquiring HIV by around 90% (</w:t>
      </w:r>
      <w:r w:rsidR="00EB0763" w:rsidRPr="00EB0763">
        <w:rPr>
          <w:color w:val="000000" w:themeColor="text1"/>
        </w:rPr>
        <w:t>2</w:t>
      </w:r>
      <w:r w:rsidR="00133DCC" w:rsidRPr="00EB0763">
        <w:rPr>
          <w:color w:val="000000" w:themeColor="text1"/>
        </w:rPr>
        <w:t>)</w:t>
      </w:r>
      <w:r w:rsidR="00A6432D">
        <w:rPr>
          <w:color w:val="000000" w:themeColor="text1"/>
        </w:rPr>
        <w:t xml:space="preserve">, with the </w:t>
      </w:r>
      <w:r w:rsidR="005A10BE">
        <w:rPr>
          <w:color w:val="000000" w:themeColor="text1"/>
        </w:rPr>
        <w:t xml:space="preserve">efficacy </w:t>
      </w:r>
      <w:r w:rsidR="00133DCC" w:rsidRPr="003668F2">
        <w:rPr>
          <w:color w:val="000000" w:themeColor="text1"/>
        </w:rPr>
        <w:t xml:space="preserve">likely to be higher the earlier </w:t>
      </w:r>
      <w:r w:rsidR="00894B1C">
        <w:rPr>
          <w:color w:val="000000" w:themeColor="text1"/>
        </w:rPr>
        <w:t xml:space="preserve">PEP is initiated </w:t>
      </w:r>
      <w:r w:rsidR="00133DCC" w:rsidRPr="003668F2">
        <w:rPr>
          <w:color w:val="000000" w:themeColor="text1"/>
        </w:rPr>
        <w:t xml:space="preserve">after </w:t>
      </w:r>
      <w:r>
        <w:rPr>
          <w:color w:val="000000" w:themeColor="text1"/>
        </w:rPr>
        <w:t xml:space="preserve">a </w:t>
      </w:r>
      <w:r w:rsidR="00133DCC" w:rsidRPr="003668F2">
        <w:rPr>
          <w:color w:val="000000" w:themeColor="text1"/>
        </w:rPr>
        <w:t xml:space="preserve">potential high risk </w:t>
      </w:r>
      <w:r>
        <w:rPr>
          <w:color w:val="000000" w:themeColor="text1"/>
        </w:rPr>
        <w:t xml:space="preserve">sexual </w:t>
      </w:r>
      <w:r w:rsidR="00133DCC" w:rsidRPr="003668F2">
        <w:rPr>
          <w:color w:val="000000" w:themeColor="text1"/>
        </w:rPr>
        <w:t xml:space="preserve">exposure. </w:t>
      </w:r>
      <w:r w:rsidR="001F479E">
        <w:rPr>
          <w:color w:val="000000" w:themeColor="text1"/>
        </w:rPr>
        <w:t xml:space="preserve"> </w:t>
      </w:r>
      <w:r w:rsidR="001F479E" w:rsidRPr="003668F2">
        <w:rPr>
          <w:color w:val="000000" w:themeColor="text1"/>
        </w:rPr>
        <w:t xml:space="preserve">The </w:t>
      </w:r>
      <w:r w:rsidR="001F479E">
        <w:rPr>
          <w:color w:val="000000" w:themeColor="text1"/>
        </w:rPr>
        <w:t xml:space="preserve">current </w:t>
      </w:r>
      <w:r w:rsidR="001F479E" w:rsidRPr="003668F2">
        <w:rPr>
          <w:color w:val="000000" w:themeColor="text1"/>
        </w:rPr>
        <w:t>recommended regimen for PEP includes TLD (</w:t>
      </w:r>
      <w:r w:rsidR="00401DEF">
        <w:rPr>
          <w:color w:val="000000" w:themeColor="text1"/>
        </w:rPr>
        <w:t>t</w:t>
      </w:r>
      <w:r w:rsidR="00F62DE2">
        <w:rPr>
          <w:color w:val="000000" w:themeColor="text1"/>
        </w:rPr>
        <w:t>enofovir</w:t>
      </w:r>
      <w:r w:rsidR="001F479E" w:rsidRPr="003668F2">
        <w:rPr>
          <w:color w:val="000000" w:themeColor="text1"/>
        </w:rPr>
        <w:t>/</w:t>
      </w:r>
      <w:r w:rsidR="00401DEF">
        <w:rPr>
          <w:color w:val="000000" w:themeColor="text1"/>
        </w:rPr>
        <w:t>l</w:t>
      </w:r>
      <w:r w:rsidR="001F479E" w:rsidRPr="003668F2">
        <w:rPr>
          <w:color w:val="000000" w:themeColor="text1"/>
        </w:rPr>
        <w:t>amivudine/</w:t>
      </w:r>
      <w:r w:rsidR="00401DEF" w:rsidRPr="00D6567E">
        <w:t>d</w:t>
      </w:r>
      <w:r w:rsidR="001F479E" w:rsidRPr="00D6567E">
        <w:t xml:space="preserve">olutegravir), the same as the recommended first line regimen for treatment of people with HIV. </w:t>
      </w:r>
      <w:r w:rsidR="00133DCC" w:rsidRPr="00D6567E">
        <w:t xml:space="preserve"> M</w:t>
      </w:r>
      <w:r w:rsidR="005A10BE" w:rsidRPr="00D6567E">
        <w:t>ost</w:t>
      </w:r>
      <w:r w:rsidR="00133DCC" w:rsidRPr="00D6567E">
        <w:t xml:space="preserve"> countries have policies to provide PEP</w:t>
      </w:r>
      <w:r w:rsidR="004458D1" w:rsidRPr="00D6567E">
        <w:t>,</w:t>
      </w:r>
      <w:r w:rsidR="00133DCC" w:rsidRPr="00D6567E">
        <w:t xml:space="preserve"> but these usually require a clinic visit and </w:t>
      </w:r>
      <w:r w:rsidR="00894B1C" w:rsidRPr="00D6567E">
        <w:t xml:space="preserve">in practice </w:t>
      </w:r>
      <w:r w:rsidR="00133DCC" w:rsidRPr="00D6567E">
        <w:t xml:space="preserve">use of PEP to prevent HIV due to a recent condomless sex exposure is </w:t>
      </w:r>
      <w:r w:rsidR="00401DEF" w:rsidRPr="00D6567E">
        <w:t>extremely</w:t>
      </w:r>
      <w:r w:rsidR="00133DCC" w:rsidRPr="00D6567E">
        <w:t xml:space="preserve"> low. </w:t>
      </w:r>
      <w:r w:rsidR="001F479E" w:rsidRPr="00D6567E">
        <w:t xml:space="preserve">  We hypothesize that </w:t>
      </w:r>
      <w:r w:rsidR="00894B1C" w:rsidRPr="00D6567E">
        <w:t xml:space="preserve">removing barriers and </w:t>
      </w:r>
      <w:r w:rsidR="001F479E" w:rsidRPr="00D6567E">
        <w:t>providing easy, local PEP</w:t>
      </w:r>
      <w:r w:rsidR="00116289" w:rsidRPr="00D6567E">
        <w:t xml:space="preserve"> </w:t>
      </w:r>
      <w:r w:rsidR="001F479E" w:rsidRPr="00D6567E">
        <w:t>access would have a beneficial effect on HIV incidence which out-weighs any harms.</w:t>
      </w:r>
    </w:p>
    <w:p w14:paraId="48ECEF87" w14:textId="1FF77800" w:rsidR="00E03898" w:rsidRPr="00D6567E" w:rsidRDefault="00E807D3" w:rsidP="00696A18">
      <w:r w:rsidRPr="00D6567E">
        <w:t>Our</w:t>
      </w:r>
      <w:r w:rsidR="00A653A4" w:rsidRPr="00D6567E">
        <w:t xml:space="preserve"> </w:t>
      </w:r>
      <w:r w:rsidR="00CD69DF" w:rsidRPr="00D6567E">
        <w:t>proposal</w:t>
      </w:r>
      <w:r w:rsidR="00A653A4" w:rsidRPr="00D6567E">
        <w:t xml:space="preserve"> </w:t>
      </w:r>
      <w:r w:rsidR="00D65EF0" w:rsidRPr="00D6567E">
        <w:t xml:space="preserve">is </w:t>
      </w:r>
      <w:r w:rsidR="00B320C2" w:rsidRPr="00D6567E">
        <w:t xml:space="preserve">to </w:t>
      </w:r>
      <w:r w:rsidR="00187ABC">
        <w:t xml:space="preserve">consider </w:t>
      </w:r>
      <w:r w:rsidR="00A653A4" w:rsidRPr="00D6567E">
        <w:t>mak</w:t>
      </w:r>
      <w:r w:rsidR="00187ABC">
        <w:t>ing</w:t>
      </w:r>
      <w:r w:rsidR="00A653A4" w:rsidRPr="00D6567E">
        <w:t xml:space="preserve"> PEP (</w:t>
      </w:r>
      <w:r w:rsidR="00D40713">
        <w:t xml:space="preserve">in the form of </w:t>
      </w:r>
      <w:r w:rsidR="00A653A4" w:rsidRPr="00D6567E">
        <w:t xml:space="preserve">TLD) widely and freely available without prescription, along with </w:t>
      </w:r>
      <w:r w:rsidR="00882F93" w:rsidRPr="00D6567E">
        <w:t xml:space="preserve">a step change in </w:t>
      </w:r>
      <w:r w:rsidR="00A653A4" w:rsidRPr="00D6567E">
        <w:t xml:space="preserve">levels </w:t>
      </w:r>
      <w:r w:rsidR="00D65EF0" w:rsidRPr="00D6567E">
        <w:t xml:space="preserve">of </w:t>
      </w:r>
      <w:r w:rsidR="00A653A4" w:rsidRPr="00D6567E">
        <w:t>community education about all aspects of HIV to increase knowledge</w:t>
      </w:r>
      <w:r w:rsidR="009A21BB" w:rsidRPr="00D6567E">
        <w:t>,</w:t>
      </w:r>
      <w:r w:rsidR="00A653A4" w:rsidRPr="00D6567E">
        <w:t xml:space="preserve"> limit stigma</w:t>
      </w:r>
      <w:r w:rsidR="005A10BE" w:rsidRPr="00D6567E">
        <w:t>,</w:t>
      </w:r>
      <w:r w:rsidR="009A21BB" w:rsidRPr="00D6567E">
        <w:t xml:space="preserve"> increase awareness of PEP and thereby increase population-level motivation to access it when needed</w:t>
      </w:r>
      <w:r w:rsidR="00A653A4" w:rsidRPr="00D6567E">
        <w:t>.    Wherever we distribute free condoms (</w:t>
      </w:r>
      <w:proofErr w:type="gramStart"/>
      <w:r w:rsidR="00A653A4" w:rsidRPr="00D6567E">
        <w:t>e.g.</w:t>
      </w:r>
      <w:proofErr w:type="gramEnd"/>
      <w:r w:rsidR="00A653A4" w:rsidRPr="00D6567E">
        <w:t xml:space="preserve"> </w:t>
      </w:r>
      <w:r w:rsidR="00D65EF0" w:rsidRPr="00D6567E">
        <w:t>free</w:t>
      </w:r>
      <w:r w:rsidR="00401DEF" w:rsidRPr="00D6567E">
        <w:t xml:space="preserve"> from</w:t>
      </w:r>
      <w:r w:rsidR="00D65EF0" w:rsidRPr="00D6567E">
        <w:t xml:space="preserve"> vending machines</w:t>
      </w:r>
      <w:r w:rsidR="000922CC" w:rsidRPr="00D6567E">
        <w:t>,</w:t>
      </w:r>
      <w:r w:rsidR="00D65EF0" w:rsidRPr="00D6567E">
        <w:t xml:space="preserve"> </w:t>
      </w:r>
      <w:r w:rsidR="00A653A4" w:rsidRPr="00D6567E">
        <w:t>toilets</w:t>
      </w:r>
      <w:r w:rsidR="000922CC" w:rsidRPr="00D6567E">
        <w:t>,</w:t>
      </w:r>
      <w:r w:rsidR="00A653A4" w:rsidRPr="00D6567E">
        <w:t xml:space="preserve"> in public places, pharmacies</w:t>
      </w:r>
      <w:r w:rsidR="005A10BE" w:rsidRPr="00D6567E">
        <w:t xml:space="preserve">, </w:t>
      </w:r>
      <w:r w:rsidR="00A653A4" w:rsidRPr="00D6567E">
        <w:t>shops, bars, workplaces</w:t>
      </w:r>
      <w:r w:rsidR="00D65EF0" w:rsidRPr="00D6567E">
        <w:t>, and through peer outreach workers</w:t>
      </w:r>
      <w:r w:rsidR="00A653A4" w:rsidRPr="00D6567E">
        <w:t xml:space="preserve">) we </w:t>
      </w:r>
      <w:r w:rsidR="005A10FF" w:rsidRPr="00D6567E">
        <w:t>w</w:t>
      </w:r>
      <w:r w:rsidR="00A653A4" w:rsidRPr="00D6567E">
        <w:t xml:space="preserve">ould have </w:t>
      </w:r>
      <w:r w:rsidR="00D65EF0" w:rsidRPr="00D6567E">
        <w:t>28-</w:t>
      </w:r>
      <w:r w:rsidR="00A653A4" w:rsidRPr="00D6567E">
        <w:t xml:space="preserve">day packs of TLD </w:t>
      </w:r>
      <w:r w:rsidR="00355218" w:rsidRPr="00D6567E">
        <w:t xml:space="preserve">PEP </w:t>
      </w:r>
      <w:r w:rsidR="00A653A4" w:rsidRPr="00D6567E">
        <w:t>available</w:t>
      </w:r>
      <w:r w:rsidR="007A7A66" w:rsidRPr="00D6567E">
        <w:t xml:space="preserve">.  </w:t>
      </w:r>
      <w:r w:rsidR="00A653A4" w:rsidRPr="00D6567E">
        <w:t xml:space="preserve">The aim would be </w:t>
      </w:r>
      <w:r w:rsidR="000922CC" w:rsidRPr="00D6567E">
        <w:t xml:space="preserve">to ensure </w:t>
      </w:r>
      <w:r w:rsidR="00A653A4" w:rsidRPr="00D6567E">
        <w:t xml:space="preserve">that everyone has </w:t>
      </w:r>
      <w:r w:rsidR="003019C1" w:rsidRPr="00D6567E">
        <w:t xml:space="preserve">the potential to </w:t>
      </w:r>
      <w:r w:rsidR="00A653A4" w:rsidRPr="00D6567E">
        <w:t xml:space="preserve">access PEP within </w:t>
      </w:r>
      <w:r w:rsidR="00642F4D" w:rsidRPr="00D6567E">
        <w:t xml:space="preserve">at most </w:t>
      </w:r>
      <w:r w:rsidR="00A653A4" w:rsidRPr="00D6567E">
        <w:t xml:space="preserve">24 hours of a sexual HIV risk. </w:t>
      </w:r>
      <w:r w:rsidR="00B60D39" w:rsidRPr="00D6567E">
        <w:t xml:space="preserve"> While adolescent girls and young women are a group for which it is particularly important to support access, there would be no intent </w:t>
      </w:r>
      <w:r w:rsidR="000922CC" w:rsidRPr="00D6567E">
        <w:t xml:space="preserve">to restrict </w:t>
      </w:r>
      <w:r w:rsidR="00B60D39" w:rsidRPr="00D6567E">
        <w:t>access by age or gender.</w:t>
      </w:r>
      <w:r w:rsidR="003668F2" w:rsidRPr="00D6567E">
        <w:t xml:space="preserve">  </w:t>
      </w:r>
      <w:r w:rsidR="00401DEF" w:rsidRPr="00D6567E">
        <w:rPr>
          <w:rFonts w:ascii="Calibri" w:hAnsi="Calibri" w:cs="Calibri"/>
        </w:rPr>
        <w:t xml:space="preserve">Oral contraceptives </w:t>
      </w:r>
      <w:r w:rsidR="00401DEF" w:rsidRPr="00D6567E">
        <w:t xml:space="preserve">and post-coital contraception </w:t>
      </w:r>
      <w:r w:rsidR="00401DEF" w:rsidRPr="00D6567E">
        <w:rPr>
          <w:rFonts w:ascii="Calibri" w:hAnsi="Calibri" w:cs="Calibri"/>
        </w:rPr>
        <w:t xml:space="preserve">for women </w:t>
      </w:r>
      <w:r w:rsidR="00894B1C" w:rsidRPr="00D6567E">
        <w:rPr>
          <w:rFonts w:ascii="Calibri" w:hAnsi="Calibri" w:cs="Calibri"/>
        </w:rPr>
        <w:t xml:space="preserve">would ideally be </w:t>
      </w:r>
      <w:r w:rsidR="00401DEF" w:rsidRPr="00D6567E">
        <w:rPr>
          <w:rFonts w:ascii="Calibri" w:hAnsi="Calibri" w:cs="Calibri"/>
        </w:rPr>
        <w:t xml:space="preserve">distributed through the same mechanisms.  </w:t>
      </w:r>
    </w:p>
    <w:p w14:paraId="117506A1" w14:textId="263592AD" w:rsidR="00033765" w:rsidRPr="00D6567E" w:rsidRDefault="00401DEF" w:rsidP="00696A18">
      <w:r w:rsidRPr="00D6567E">
        <w:t xml:space="preserve">Such an approach would require </w:t>
      </w:r>
      <w:r w:rsidR="003F4DDF" w:rsidRPr="00D6567E">
        <w:t xml:space="preserve">community ownership </w:t>
      </w:r>
      <w:r w:rsidRPr="00D6567E">
        <w:t xml:space="preserve">and </w:t>
      </w:r>
      <w:r w:rsidR="003F4DDF" w:rsidRPr="00D6567E">
        <w:t>community</w:t>
      </w:r>
      <w:r w:rsidR="00BA0731" w:rsidRPr="00D6567E">
        <w:t>-</w:t>
      </w:r>
      <w:r w:rsidR="003F4DDF" w:rsidRPr="00D6567E">
        <w:t>led education</w:t>
      </w:r>
      <w:r w:rsidR="00047899">
        <w:t xml:space="preserve">, with </w:t>
      </w:r>
      <w:r w:rsidR="003F4DDF" w:rsidRPr="00D6567E">
        <w:t xml:space="preserve">sophisticated education resources that explain potential benefits and possible risks and harms, allowing community members to be able to make informed choices.  </w:t>
      </w:r>
      <w:r w:rsidR="00F62DE2" w:rsidRPr="00D6567E">
        <w:t xml:space="preserve"> </w:t>
      </w:r>
      <w:r w:rsidR="00381650" w:rsidRPr="00D6567E">
        <w:t xml:space="preserve">This approach is not intended as a replacement for </w:t>
      </w:r>
      <w:r w:rsidR="00CB5DF2" w:rsidRPr="00D6567E">
        <w:t xml:space="preserve">existing </w:t>
      </w:r>
      <w:r w:rsidR="00381650" w:rsidRPr="00D6567E">
        <w:t xml:space="preserve">in-person clinic services, but rather a complement to those services.  PEP users who have self-accessed PEP would be advised to access online advice counsellors or visit a clinic or a pharmacist who is supporting PEP users.  This in person contact would be to provide advice over HIV testing and monitoring for any adverse </w:t>
      </w:r>
      <w:proofErr w:type="gramStart"/>
      <w:r w:rsidR="00381650" w:rsidRPr="00D6567E">
        <w:t>effects, and</w:t>
      </w:r>
      <w:proofErr w:type="gramEnd"/>
      <w:r w:rsidR="00381650" w:rsidRPr="00D6567E">
        <w:t xml:space="preserve"> would also be important for providing contraception services and help for survivors of sexual assault.   </w:t>
      </w:r>
      <w:r w:rsidR="00033765" w:rsidRPr="00D6567E">
        <w:t xml:space="preserve">The message would </w:t>
      </w:r>
      <w:r w:rsidR="00BA0731" w:rsidRPr="00D6567E">
        <w:t>in essence be as follows</w:t>
      </w:r>
      <w:r w:rsidR="00033765" w:rsidRPr="00D6567E">
        <w:t>:</w:t>
      </w:r>
      <w:r w:rsidR="00BA0731" w:rsidRPr="00D6567E">
        <w:t xml:space="preserve"> “</w:t>
      </w:r>
      <w:r w:rsidR="001A26E2" w:rsidRPr="00D6567E">
        <w:t xml:space="preserve">Condom use is the most effective means of prevention of transmission of </w:t>
      </w:r>
      <w:r w:rsidR="00C006B1" w:rsidRPr="00D6567E">
        <w:t xml:space="preserve">sexual </w:t>
      </w:r>
      <w:r w:rsidR="001A26E2" w:rsidRPr="00D6567E">
        <w:t xml:space="preserve">infections.  </w:t>
      </w:r>
      <w:r w:rsidR="00033765" w:rsidRPr="00D6567E">
        <w:t xml:space="preserve">If </w:t>
      </w:r>
      <w:r w:rsidR="00355218" w:rsidRPr="00D6567E">
        <w:t xml:space="preserve">any </w:t>
      </w:r>
      <w:r w:rsidR="00033765" w:rsidRPr="00D6567E">
        <w:t xml:space="preserve">sex </w:t>
      </w:r>
      <w:r w:rsidR="00355218" w:rsidRPr="00D6567E">
        <w:t xml:space="preserve">that you have </w:t>
      </w:r>
      <w:r w:rsidR="00047899">
        <w:t xml:space="preserve">with </w:t>
      </w:r>
      <w:r w:rsidR="00033765" w:rsidRPr="00D6567E">
        <w:t xml:space="preserve">is not protected </w:t>
      </w:r>
      <w:r w:rsidR="005A10BE" w:rsidRPr="00D6567E">
        <w:t xml:space="preserve">from HIV risk </w:t>
      </w:r>
      <w:r w:rsidR="00033765" w:rsidRPr="00D6567E">
        <w:t>by a condom</w:t>
      </w:r>
      <w:r w:rsidR="005A10BE" w:rsidRPr="00D6567E">
        <w:t xml:space="preserve"> or by you taking </w:t>
      </w:r>
      <w:r w:rsidR="008F2E1F" w:rsidRPr="00D6567E">
        <w:t xml:space="preserve">HIV </w:t>
      </w:r>
      <w:r w:rsidR="005A10BE" w:rsidRPr="00D6567E">
        <w:t>pre-exposure prophylaxis (PrEP)</w:t>
      </w:r>
      <w:r w:rsidR="00355218" w:rsidRPr="00D6567E">
        <w:t>,</w:t>
      </w:r>
      <w:r w:rsidR="00033765" w:rsidRPr="00D6567E">
        <w:t xml:space="preserve"> make sure it is protected by starting TLD </w:t>
      </w:r>
      <w:r w:rsidR="00355218" w:rsidRPr="00D6567E">
        <w:t xml:space="preserve">PEP </w:t>
      </w:r>
      <w:r w:rsidR="00033765" w:rsidRPr="00D6567E">
        <w:t>within 24 hours</w:t>
      </w:r>
      <w:r w:rsidR="00047899">
        <w:t>, unless you know the partner not to have HIV or to have HIV viral suppression</w:t>
      </w:r>
      <w:r w:rsidR="00033765" w:rsidRPr="00D6567E">
        <w:t xml:space="preserve">.  You should continue </w:t>
      </w:r>
      <w:r w:rsidR="00047899">
        <w:t xml:space="preserve">PEP </w:t>
      </w:r>
      <w:r w:rsidR="00033765" w:rsidRPr="00D6567E">
        <w:t xml:space="preserve">for a full 28 days.  You may want to consider taking TLD </w:t>
      </w:r>
      <w:r w:rsidR="00FC1F70" w:rsidRPr="00D6567E">
        <w:t xml:space="preserve">PEP </w:t>
      </w:r>
      <w:r w:rsidR="00033765" w:rsidRPr="00D6567E">
        <w:t xml:space="preserve">continuously </w:t>
      </w:r>
      <w:r w:rsidR="00E365C6">
        <w:t xml:space="preserve">afterwards </w:t>
      </w:r>
      <w:r w:rsidR="00033765" w:rsidRPr="00D6567E">
        <w:t xml:space="preserve">so you are prepared if you have </w:t>
      </w:r>
      <w:r w:rsidR="00A77D47" w:rsidRPr="00D6567E">
        <w:t>(</w:t>
      </w:r>
      <w:r w:rsidR="00033765" w:rsidRPr="00D6567E">
        <w:t>another) risk</w:t>
      </w:r>
      <w:r w:rsidR="00B14908" w:rsidRPr="00D6567E">
        <w:t>, or you may wish to enrol for PrEP</w:t>
      </w:r>
      <w:r w:rsidR="00033765" w:rsidRPr="00D6567E">
        <w:t>. </w:t>
      </w:r>
      <w:r w:rsidR="00BA0731" w:rsidRPr="00D6567E">
        <w:t xml:space="preserve"> </w:t>
      </w:r>
      <w:r w:rsidR="00A3093F" w:rsidRPr="00D6567E">
        <w:t xml:space="preserve">You are strongly advised to </w:t>
      </w:r>
      <w:r w:rsidR="005B5EEB" w:rsidRPr="00D6567E">
        <w:t xml:space="preserve">make use of our online counsellors or </w:t>
      </w:r>
      <w:r w:rsidR="00882F93" w:rsidRPr="00D6567E">
        <w:t>visit a clinic or a pharmacy to get advice</w:t>
      </w:r>
      <w:r w:rsidR="00693387" w:rsidRPr="00D6567E">
        <w:t>,</w:t>
      </w:r>
      <w:r w:rsidR="00882F93" w:rsidRPr="00D6567E">
        <w:t xml:space="preserve"> but if you cannot do this within 24 hours of your</w:t>
      </w:r>
      <w:r w:rsidR="00642F4D" w:rsidRPr="00D6567E">
        <w:t xml:space="preserve"> sexual</w:t>
      </w:r>
      <w:r w:rsidR="00882F93" w:rsidRPr="00D6567E">
        <w:t xml:space="preserve"> risk start PEP in any case and then seek advice</w:t>
      </w:r>
      <w:r w:rsidR="00A3093F" w:rsidRPr="00D6567E">
        <w:t xml:space="preserve"> thereafter</w:t>
      </w:r>
      <w:r w:rsidR="00882F93" w:rsidRPr="00D6567E">
        <w:t>.</w:t>
      </w:r>
      <w:r w:rsidR="00642F4D" w:rsidRPr="00D6567E">
        <w:t xml:space="preserve">  </w:t>
      </w:r>
      <w:r w:rsidR="00A3093F" w:rsidRPr="00D6567E">
        <w:t xml:space="preserve">This will include advice on HIV testing.  </w:t>
      </w:r>
      <w:r w:rsidR="00F772D1" w:rsidRPr="00D6567E">
        <w:t xml:space="preserve">It is important to have an HIV test to check that you did not already have HIV at the time of the sexual exposure </w:t>
      </w:r>
      <w:r w:rsidR="00642F4D" w:rsidRPr="00D6567E">
        <w:t xml:space="preserve">– </w:t>
      </w:r>
      <w:r w:rsidR="00F772D1" w:rsidRPr="00D6567E">
        <w:t>a</w:t>
      </w:r>
      <w:r w:rsidR="00642F4D" w:rsidRPr="00D6567E">
        <w:t xml:space="preserve"> negative test result while taking PEP does not mean you </w:t>
      </w:r>
      <w:r w:rsidR="00D804CE" w:rsidRPr="00D6567E">
        <w:t>d</w:t>
      </w:r>
      <w:r w:rsidR="0036745A" w:rsidRPr="00D6567E">
        <w:t>id</w:t>
      </w:r>
      <w:r w:rsidR="00D804CE" w:rsidRPr="00D6567E">
        <w:t xml:space="preserve"> not </w:t>
      </w:r>
      <w:r w:rsidR="0036745A" w:rsidRPr="00D6567E">
        <w:t xml:space="preserve">acquire </w:t>
      </w:r>
      <w:r w:rsidR="00D804CE" w:rsidRPr="00D6567E">
        <w:t>HIV</w:t>
      </w:r>
      <w:r w:rsidR="00F772D1" w:rsidRPr="00D6567E">
        <w:t xml:space="preserve"> </w:t>
      </w:r>
      <w:proofErr w:type="gramStart"/>
      <w:r w:rsidR="0036745A" w:rsidRPr="00D6567E">
        <w:t>as a result of</w:t>
      </w:r>
      <w:proofErr w:type="gramEnd"/>
      <w:r w:rsidR="0036745A" w:rsidRPr="00D6567E">
        <w:t xml:space="preserve"> </w:t>
      </w:r>
      <w:r w:rsidR="00F772D1" w:rsidRPr="00D6567E">
        <w:t>the exposure</w:t>
      </w:r>
      <w:r w:rsidR="00642F4D" w:rsidRPr="00D6567E">
        <w:t>.</w:t>
      </w:r>
      <w:r w:rsidR="00F772D1" w:rsidRPr="00D6567E">
        <w:t xml:space="preserve">  You will not know if you got HIV from this exposure until a test at about 12 weeks after</w:t>
      </w:r>
      <w:r w:rsidR="00BA0731" w:rsidRPr="00D6567E">
        <w:t>”</w:t>
      </w:r>
      <w:r w:rsidR="00773CA4" w:rsidRPr="00D6567E">
        <w:t xml:space="preserve"> </w:t>
      </w:r>
      <w:r w:rsidR="00882F93" w:rsidRPr="00D6567E">
        <w:t xml:space="preserve"> </w:t>
      </w:r>
    </w:p>
    <w:p w14:paraId="0289D238" w14:textId="0E9AE4D2" w:rsidR="00F434DC" w:rsidRPr="00D6567E" w:rsidRDefault="00D804CE" w:rsidP="00F434DC">
      <w:r w:rsidRPr="00D6567E">
        <w:t>S</w:t>
      </w:r>
      <w:r w:rsidR="00FD02BC" w:rsidRPr="00D6567E">
        <w:t xml:space="preserve">everal countries have policies to provide PrEP consisting of </w:t>
      </w:r>
      <w:r w:rsidR="001720CE" w:rsidRPr="00D6567E">
        <w:t>tenofovir</w:t>
      </w:r>
      <w:r w:rsidR="00FD02BC" w:rsidRPr="00D6567E">
        <w:t>/</w:t>
      </w:r>
      <w:r w:rsidR="001720CE" w:rsidRPr="00D6567E">
        <w:t>F</w:t>
      </w:r>
      <w:r w:rsidR="00FD02BC" w:rsidRPr="00D6567E">
        <w:t>TC to people at “substantial risk” of HIV.  This is provided by the health care system and</w:t>
      </w:r>
      <w:r w:rsidR="0092389D" w:rsidRPr="00D6567E">
        <w:t xml:space="preserve"> </w:t>
      </w:r>
      <w:r w:rsidR="00FD02BC" w:rsidRPr="00D6567E">
        <w:t xml:space="preserve">requires an HIV test before initiation.  It </w:t>
      </w:r>
      <w:r w:rsidR="003668F2" w:rsidRPr="00D6567E">
        <w:t xml:space="preserve">can be </w:t>
      </w:r>
      <w:r w:rsidR="00FD02BC" w:rsidRPr="00D6567E">
        <w:t xml:space="preserve">difficult for </w:t>
      </w:r>
      <w:r w:rsidR="003668F2" w:rsidRPr="00D6567E">
        <w:t xml:space="preserve">some people to recognise </w:t>
      </w:r>
      <w:r w:rsidRPr="00D6567E">
        <w:t xml:space="preserve">or predict </w:t>
      </w:r>
      <w:r w:rsidR="003668F2" w:rsidRPr="00D6567E">
        <w:t>their risk and, if they do, to negotiate the process of accessing PrEP, whic</w:t>
      </w:r>
      <w:r w:rsidR="003400D2" w:rsidRPr="00D6567E">
        <w:t xml:space="preserve">h may involve </w:t>
      </w:r>
      <w:r w:rsidR="001720CE" w:rsidRPr="00D6567E">
        <w:t>disclosing sexual experiences</w:t>
      </w:r>
      <w:r w:rsidR="003400D2" w:rsidRPr="00D6567E">
        <w:t xml:space="preserve">.  </w:t>
      </w:r>
      <w:r w:rsidR="00FD02BC" w:rsidRPr="00D6567E">
        <w:t xml:space="preserve"> </w:t>
      </w:r>
      <w:r w:rsidR="003400D2" w:rsidRPr="00D6567E">
        <w:t xml:space="preserve">Use of PrEP has </w:t>
      </w:r>
      <w:r w:rsidR="00642F4D" w:rsidRPr="00D6567E">
        <w:t xml:space="preserve">generally </w:t>
      </w:r>
      <w:r w:rsidR="003400D2" w:rsidRPr="00D6567E">
        <w:t xml:space="preserve">been </w:t>
      </w:r>
      <w:proofErr w:type="gramStart"/>
      <w:r w:rsidR="00642F4D" w:rsidRPr="00D6567E">
        <w:t xml:space="preserve">fairly </w:t>
      </w:r>
      <w:r w:rsidR="003400D2" w:rsidRPr="00D6567E">
        <w:t>low</w:t>
      </w:r>
      <w:proofErr w:type="gramEnd"/>
      <w:r w:rsidR="00F84D61">
        <w:t xml:space="preserve"> thus far</w:t>
      </w:r>
      <w:r w:rsidR="00642F4D" w:rsidRPr="00D6567E">
        <w:t xml:space="preserve">, particularly persistence of use </w:t>
      </w:r>
      <w:r w:rsidR="001B29DB" w:rsidRPr="00D6567E">
        <w:t>(</w:t>
      </w:r>
      <w:r w:rsidR="00EB0763" w:rsidRPr="00D6567E">
        <w:t>3, 4</w:t>
      </w:r>
      <w:r w:rsidR="001B29DB" w:rsidRPr="00D6567E">
        <w:rPr>
          <w:rFonts w:cstheme="minorHAnsi"/>
        </w:rPr>
        <w:t xml:space="preserve">). </w:t>
      </w:r>
      <w:r w:rsidR="003400D2" w:rsidRPr="00D6567E">
        <w:t xml:space="preserve">  The reasons for the lack of </w:t>
      </w:r>
      <w:r w:rsidR="003400D2" w:rsidRPr="00D6567E">
        <w:lastRenderedPageBreak/>
        <w:t xml:space="preserve">persistence of use include </w:t>
      </w:r>
      <w:r w:rsidR="00882F93" w:rsidRPr="00D6567E">
        <w:t>unpredictable nature of risk</w:t>
      </w:r>
      <w:r w:rsidR="000922CC" w:rsidRPr="00D6567E">
        <w:t xml:space="preserve">, </w:t>
      </w:r>
      <w:r w:rsidR="001720CE" w:rsidRPr="00D6567E">
        <w:t xml:space="preserve">pill size, </w:t>
      </w:r>
      <w:r w:rsidR="003400D2" w:rsidRPr="00D6567E">
        <w:t>concern over side effects as well as inability to attend clinic on a routine basis to receive an HIV test and renewed PrEP drug supply</w:t>
      </w:r>
      <w:r w:rsidR="00E41EBE" w:rsidRPr="00D6567E">
        <w:t xml:space="preserve"> </w:t>
      </w:r>
      <w:r w:rsidR="00EB0763" w:rsidRPr="00D6567E">
        <w:t>(</w:t>
      </w:r>
      <w:proofErr w:type="gramStart"/>
      <w:r w:rsidR="00DC3169" w:rsidRPr="00D6567E">
        <w:t>e.g.</w:t>
      </w:r>
      <w:proofErr w:type="gramEnd"/>
      <w:r w:rsidR="00DC3169" w:rsidRPr="00D6567E">
        <w:t xml:space="preserve"> </w:t>
      </w:r>
      <w:r w:rsidR="00EB0763" w:rsidRPr="00D6567E">
        <w:t>5</w:t>
      </w:r>
      <w:r w:rsidR="00E41EBE" w:rsidRPr="00D6567E">
        <w:t>)</w:t>
      </w:r>
      <w:r w:rsidR="003400D2" w:rsidRPr="00D6567E">
        <w:t xml:space="preserve">.   </w:t>
      </w:r>
      <w:r w:rsidR="00F434DC" w:rsidRPr="00D6567E">
        <w:t xml:space="preserve">If the proposed PEP </w:t>
      </w:r>
      <w:r w:rsidR="00CE46E8" w:rsidRPr="00D6567E">
        <w:t xml:space="preserve">approach </w:t>
      </w:r>
      <w:r w:rsidR="00F434DC" w:rsidRPr="00D6567E">
        <w:t>is implemented</w:t>
      </w:r>
      <w:r w:rsidR="00E41EBE" w:rsidRPr="00D6567E">
        <w:t>,</w:t>
      </w:r>
      <w:r w:rsidR="00F434DC" w:rsidRPr="00D6567E">
        <w:t xml:space="preserve"> this would raise the question of whether existing PrEP services </w:t>
      </w:r>
      <w:r w:rsidR="0020784B" w:rsidRPr="00D6567E">
        <w:t xml:space="preserve">(based on TDF/FTC) </w:t>
      </w:r>
      <w:r w:rsidR="00F434DC" w:rsidRPr="00D6567E">
        <w:t xml:space="preserve">might adapt to </w:t>
      </w:r>
      <w:r w:rsidR="0020784B" w:rsidRPr="00D6567E">
        <w:t xml:space="preserve">also </w:t>
      </w:r>
      <w:r w:rsidR="00642F4D" w:rsidRPr="00D6567E">
        <w:t>offer</w:t>
      </w:r>
      <w:r w:rsidR="00F434DC" w:rsidRPr="00D6567E">
        <w:t xml:space="preserve"> </w:t>
      </w:r>
      <w:r w:rsidR="00642F4D" w:rsidRPr="00D6567E">
        <w:t xml:space="preserve">continuous </w:t>
      </w:r>
      <w:r w:rsidR="00F434DC" w:rsidRPr="00D6567E">
        <w:t xml:space="preserve">TLD </w:t>
      </w:r>
      <w:r w:rsidR="00642F4D" w:rsidRPr="00D6567E">
        <w:t xml:space="preserve">PEP </w:t>
      </w:r>
      <w:r w:rsidR="00F434DC" w:rsidRPr="00D6567E">
        <w:t xml:space="preserve">as </w:t>
      </w:r>
      <w:r w:rsidRPr="00D6567E">
        <w:t xml:space="preserve">an </w:t>
      </w:r>
      <w:r w:rsidR="00CB5DF2" w:rsidRPr="00D6567E">
        <w:t xml:space="preserve">additional </w:t>
      </w:r>
      <w:r w:rsidR="00F434DC" w:rsidRPr="00D6567E">
        <w:t xml:space="preserve">PrEP </w:t>
      </w:r>
      <w:r w:rsidR="00CB5DF2" w:rsidRPr="00D6567E">
        <w:t>option</w:t>
      </w:r>
      <w:r w:rsidR="00061DFD" w:rsidRPr="00D6567E">
        <w:t xml:space="preserve"> for people with recurrent sexual exposures over time</w:t>
      </w:r>
      <w:r w:rsidR="00F434DC" w:rsidRPr="00D6567E">
        <w:t xml:space="preserve">.  </w:t>
      </w:r>
      <w:r w:rsidR="00E365C6">
        <w:t>I</w:t>
      </w:r>
      <w:r w:rsidR="0046064D" w:rsidRPr="00D6567E">
        <w:t xml:space="preserve">t would be an option </w:t>
      </w:r>
      <w:r w:rsidR="00E365C6">
        <w:t xml:space="preserve">to </w:t>
      </w:r>
      <w:r w:rsidR="0046064D" w:rsidRPr="00D6567E">
        <w:t>use TLD as PrEP</w:t>
      </w:r>
      <w:r w:rsidR="00FE39D2" w:rsidRPr="00D6567E">
        <w:t xml:space="preserve"> since it contains </w:t>
      </w:r>
      <w:r w:rsidR="001F355F">
        <w:t xml:space="preserve">drugs </w:t>
      </w:r>
      <w:r w:rsidR="00FE39D2" w:rsidRPr="00D6567E">
        <w:t>shown to be effective as PrEP</w:t>
      </w:r>
      <w:r w:rsidR="0046064D" w:rsidRPr="00D6567E">
        <w:t xml:space="preserve">.  </w:t>
      </w:r>
      <w:r w:rsidR="007927AD" w:rsidRPr="00D6567E">
        <w:t>If drugs for HIV prevention are to be widely available as we describe the critical advantage of TLD compared with tenofovir/FTC PrEP is that drug resistance risk is much lower when a person with HIV takes the drugs (</w:t>
      </w:r>
      <w:r w:rsidR="00DC3169" w:rsidRPr="00D6567E">
        <w:t>6</w:t>
      </w:r>
      <w:r w:rsidR="007927AD" w:rsidRPr="00D6567E">
        <w:t xml:space="preserve">, </w:t>
      </w:r>
      <w:r w:rsidR="00DC3169" w:rsidRPr="00D6567E">
        <w:t>7</w:t>
      </w:r>
      <w:r w:rsidR="007927AD" w:rsidRPr="00D6567E">
        <w:t xml:space="preserve">).  </w:t>
      </w:r>
      <w:r w:rsidR="00E365C6">
        <w:t>I</w:t>
      </w:r>
      <w:r w:rsidR="007927AD" w:rsidRPr="00D6567E">
        <w:t xml:space="preserve">ncreasing access to PEP could provide a relatively safe bridge to </w:t>
      </w:r>
      <w:r w:rsidR="00FA67C0" w:rsidRPr="00D6567E">
        <w:rPr>
          <w:rFonts w:cstheme="minorHAnsi"/>
        </w:rPr>
        <w:t xml:space="preserve">tenofovir/FTC </w:t>
      </w:r>
      <w:r w:rsidR="007927AD" w:rsidRPr="00D6567E">
        <w:t xml:space="preserve">PrEP for many individuals who might not consider themselves high risk until </w:t>
      </w:r>
      <w:r w:rsidR="00BC01AE">
        <w:t xml:space="preserve">a sexual exposure </w:t>
      </w:r>
      <w:r w:rsidR="007927AD" w:rsidRPr="00D6567E">
        <w:t xml:space="preserve">occurs.  </w:t>
      </w:r>
    </w:p>
    <w:p w14:paraId="7275C795" w14:textId="5587ADAE" w:rsidR="0094416B" w:rsidRPr="00D6567E" w:rsidRDefault="0026340E" w:rsidP="00696A18">
      <w:pPr>
        <w:rPr>
          <w:lang w:val="en-US"/>
        </w:rPr>
      </w:pPr>
      <w:r w:rsidRPr="00D6567E">
        <w:rPr>
          <w:lang w:val="en-US"/>
        </w:rPr>
        <w:t xml:space="preserve">Encouraging use of TLD for prevention presents challenges </w:t>
      </w:r>
      <w:r w:rsidR="00882F93" w:rsidRPr="00D6567E">
        <w:rPr>
          <w:lang w:val="en-US"/>
        </w:rPr>
        <w:t xml:space="preserve">for </w:t>
      </w:r>
      <w:r w:rsidR="00882F93" w:rsidRPr="00D6567E">
        <w:t>HIV</w:t>
      </w:r>
      <w:r w:rsidR="00A933C3" w:rsidRPr="00D6567E">
        <w:t xml:space="preserve"> testing</w:t>
      </w:r>
      <w:r w:rsidRPr="00D6567E">
        <w:rPr>
          <w:lang w:val="en-US"/>
        </w:rPr>
        <w:t xml:space="preserve">.  </w:t>
      </w:r>
      <w:r w:rsidR="001345FB" w:rsidRPr="00D6567E">
        <w:rPr>
          <w:lang w:val="en-US"/>
        </w:rPr>
        <w:t>Should</w:t>
      </w:r>
      <w:r w:rsidRPr="00D6567E">
        <w:rPr>
          <w:lang w:val="en-US"/>
        </w:rPr>
        <w:t xml:space="preserve"> dolutegravir </w:t>
      </w:r>
      <w:r w:rsidR="001345FB" w:rsidRPr="00D6567E">
        <w:rPr>
          <w:lang w:val="en-US"/>
        </w:rPr>
        <w:t xml:space="preserve">be added to a </w:t>
      </w:r>
      <w:proofErr w:type="gramStart"/>
      <w:r w:rsidR="001345FB" w:rsidRPr="00D6567E">
        <w:rPr>
          <w:lang w:val="en-US"/>
        </w:rPr>
        <w:t>PrEP</w:t>
      </w:r>
      <w:proofErr w:type="gramEnd"/>
      <w:r w:rsidR="001345FB" w:rsidRPr="00D6567E">
        <w:rPr>
          <w:lang w:val="en-US"/>
        </w:rPr>
        <w:t xml:space="preserve"> regimen </w:t>
      </w:r>
      <w:r w:rsidR="00C109A7" w:rsidRPr="00D6567E">
        <w:rPr>
          <w:lang w:val="en-US"/>
        </w:rPr>
        <w:t>of tenofovir/FTC</w:t>
      </w:r>
      <w:r w:rsidR="001345FB" w:rsidRPr="00D6567E">
        <w:rPr>
          <w:lang w:val="en-US"/>
        </w:rPr>
        <w:t>,</w:t>
      </w:r>
      <w:r w:rsidRPr="00D6567E">
        <w:rPr>
          <w:lang w:val="en-US"/>
        </w:rPr>
        <w:t xml:space="preserve"> </w:t>
      </w:r>
      <w:r w:rsidR="001345FB" w:rsidRPr="00D6567E">
        <w:rPr>
          <w:lang w:val="en-US"/>
        </w:rPr>
        <w:t xml:space="preserve">the viral load of </w:t>
      </w:r>
      <w:r w:rsidRPr="00D6567E">
        <w:rPr>
          <w:lang w:val="en-US"/>
        </w:rPr>
        <w:t>a person</w:t>
      </w:r>
      <w:r w:rsidR="001345FB" w:rsidRPr="00D6567E">
        <w:rPr>
          <w:lang w:val="en-US"/>
        </w:rPr>
        <w:t xml:space="preserve"> who</w:t>
      </w:r>
      <w:r w:rsidRPr="00D6567E">
        <w:rPr>
          <w:lang w:val="en-US"/>
        </w:rPr>
        <w:t xml:space="preserve"> becomes infected with HIV </w:t>
      </w:r>
      <w:r w:rsidR="001345FB" w:rsidRPr="00D6567E">
        <w:rPr>
          <w:lang w:val="en-US"/>
        </w:rPr>
        <w:t>may be so low</w:t>
      </w:r>
      <w:r w:rsidRPr="00D6567E">
        <w:rPr>
          <w:lang w:val="en-US"/>
        </w:rPr>
        <w:t xml:space="preserve"> that antibody levels are insufficient for </w:t>
      </w:r>
      <w:r w:rsidR="0046021B" w:rsidRPr="00D6567E">
        <w:rPr>
          <w:lang w:val="en-US"/>
        </w:rPr>
        <w:t>3</w:t>
      </w:r>
      <w:r w:rsidR="0046021B" w:rsidRPr="00D6567E">
        <w:rPr>
          <w:vertAlign w:val="superscript"/>
          <w:lang w:val="en-US"/>
        </w:rPr>
        <w:t>rd</w:t>
      </w:r>
      <w:r w:rsidR="0046021B" w:rsidRPr="00D6567E">
        <w:rPr>
          <w:lang w:val="en-US"/>
        </w:rPr>
        <w:t xml:space="preserve"> generation </w:t>
      </w:r>
      <w:r w:rsidRPr="00D6567E">
        <w:rPr>
          <w:lang w:val="en-US"/>
        </w:rPr>
        <w:t>HIV tests to be positive</w:t>
      </w:r>
      <w:r w:rsidR="00BA3555" w:rsidRPr="00D6567E">
        <w:rPr>
          <w:lang w:val="en-US"/>
        </w:rPr>
        <w:t xml:space="preserve"> (as has been seen in some cases with cabotegravir used as PrEP </w:t>
      </w:r>
      <w:r w:rsidR="00EB0763" w:rsidRPr="00D6567E">
        <w:rPr>
          <w:lang w:val="en-US"/>
        </w:rPr>
        <w:t>(</w:t>
      </w:r>
      <w:r w:rsidR="00746906" w:rsidRPr="00D6567E">
        <w:rPr>
          <w:lang w:val="en-US"/>
        </w:rPr>
        <w:t>8</w:t>
      </w:r>
      <w:r w:rsidR="00EB0763" w:rsidRPr="00D6567E">
        <w:rPr>
          <w:lang w:val="en-US"/>
        </w:rPr>
        <w:t>)</w:t>
      </w:r>
      <w:r w:rsidR="00790098" w:rsidRPr="00D6567E">
        <w:rPr>
          <w:lang w:val="en-US"/>
        </w:rPr>
        <w:t>)</w:t>
      </w:r>
      <w:r w:rsidR="00EB0763" w:rsidRPr="00D6567E">
        <w:rPr>
          <w:lang w:val="en-US"/>
        </w:rPr>
        <w:t xml:space="preserve">.  </w:t>
      </w:r>
    </w:p>
    <w:p w14:paraId="41FACFC9" w14:textId="42C6EEC2" w:rsidR="00A300D2" w:rsidRPr="00D6567E" w:rsidRDefault="008F2E1F" w:rsidP="00A300D2">
      <w:r w:rsidRPr="00D6567E">
        <w:t xml:space="preserve">The </w:t>
      </w:r>
      <w:r w:rsidR="00FA67C0" w:rsidRPr="00D6567E">
        <w:t xml:space="preserve">primary </w:t>
      </w:r>
      <w:r w:rsidRPr="00D6567E">
        <w:t>p</w:t>
      </w:r>
      <w:r w:rsidR="00A46113" w:rsidRPr="00D6567E">
        <w:t xml:space="preserve">otential </w:t>
      </w:r>
      <w:r w:rsidR="00F3536D" w:rsidRPr="00D6567E">
        <w:t>benefi</w:t>
      </w:r>
      <w:r w:rsidRPr="00D6567E">
        <w:t xml:space="preserve">t </w:t>
      </w:r>
      <w:r w:rsidR="00FD02BC" w:rsidRPr="00D6567E">
        <w:t>of th</w:t>
      </w:r>
      <w:r w:rsidR="004273A6" w:rsidRPr="00D6567E">
        <w:t xml:space="preserve">is approach </w:t>
      </w:r>
      <w:r w:rsidRPr="00D6567E">
        <w:t>is</w:t>
      </w:r>
      <w:r w:rsidR="00C24A6F" w:rsidRPr="00D6567E">
        <w:t xml:space="preserve"> that </w:t>
      </w:r>
      <w:r w:rsidR="004273A6" w:rsidRPr="00D6567E">
        <w:t>it p</w:t>
      </w:r>
      <w:r w:rsidR="00F3536D" w:rsidRPr="00D6567E">
        <w:t xml:space="preserve">rovides a </w:t>
      </w:r>
      <w:r w:rsidR="007927AD" w:rsidRPr="00D6567E">
        <w:t xml:space="preserve">realistic </w:t>
      </w:r>
      <w:r w:rsidR="00F3536D" w:rsidRPr="00D6567E">
        <w:t>means</w:t>
      </w:r>
      <w:r w:rsidR="00C220BB" w:rsidRPr="00D6567E">
        <w:t xml:space="preserve"> </w:t>
      </w:r>
      <w:r w:rsidR="00F3536D" w:rsidRPr="00D6567E">
        <w:t>f</w:t>
      </w:r>
      <w:r w:rsidR="00C220BB" w:rsidRPr="00D6567E">
        <w:t>o</w:t>
      </w:r>
      <w:r w:rsidR="00F3536D" w:rsidRPr="00D6567E">
        <w:t>r</w:t>
      </w:r>
      <w:r w:rsidR="00C220BB" w:rsidRPr="00D6567E">
        <w:t xml:space="preserve"> people </w:t>
      </w:r>
      <w:r w:rsidR="00260009" w:rsidRPr="00D6567E">
        <w:t>to</w:t>
      </w:r>
      <w:r w:rsidR="00F3536D" w:rsidRPr="00D6567E">
        <w:t xml:space="preserve"> protect themselves from HI</w:t>
      </w:r>
      <w:r w:rsidRPr="00D6567E">
        <w:t>V</w:t>
      </w:r>
      <w:r w:rsidR="00260009" w:rsidRPr="00D6567E">
        <w:t xml:space="preserve"> </w:t>
      </w:r>
      <w:r w:rsidRPr="00D6567E">
        <w:t xml:space="preserve">when a sexual risk was </w:t>
      </w:r>
      <w:proofErr w:type="gramStart"/>
      <w:r w:rsidRPr="00D6567E">
        <w:t>unanticipated</w:t>
      </w:r>
      <w:proofErr w:type="gramEnd"/>
      <w:r w:rsidR="00260009" w:rsidRPr="00D6567E">
        <w:t xml:space="preserve"> and it was not possible for them to use a condom.  </w:t>
      </w:r>
      <w:r w:rsidR="00882F93" w:rsidRPr="00D6567E">
        <w:t xml:space="preserve"> </w:t>
      </w:r>
      <w:r w:rsidR="00FA67C0" w:rsidRPr="00D6567E">
        <w:t>However, w</w:t>
      </w:r>
      <w:r w:rsidR="009F5462" w:rsidRPr="00D6567E">
        <w:t xml:space="preserve">e hypothesize that </w:t>
      </w:r>
      <w:r w:rsidR="00642F4D" w:rsidRPr="00D6567E">
        <w:t>wide TLD availability</w:t>
      </w:r>
      <w:r w:rsidR="009F5462" w:rsidRPr="00D6567E">
        <w:t xml:space="preserve"> would also be of benefit people with HIV who have difficulty accessing </w:t>
      </w:r>
      <w:proofErr w:type="gramStart"/>
      <w:r w:rsidR="009F5462" w:rsidRPr="00D6567E">
        <w:t>care</w:t>
      </w:r>
      <w:r w:rsidR="00FA67C0" w:rsidRPr="00D6567E">
        <w:t>,</w:t>
      </w:r>
      <w:r w:rsidR="009F5462" w:rsidRPr="00D6567E">
        <w:t xml:space="preserve"> and</w:t>
      </w:r>
      <w:proofErr w:type="gramEnd"/>
      <w:r w:rsidR="009F5462" w:rsidRPr="00D6567E">
        <w:t xml:space="preserve"> </w:t>
      </w:r>
      <w:r w:rsidR="00FA67C0" w:rsidRPr="00D6567E">
        <w:t xml:space="preserve">could </w:t>
      </w:r>
      <w:r w:rsidR="00DC2307" w:rsidRPr="00D6567E">
        <w:t>decrease late presentation with advanced HIV disease</w:t>
      </w:r>
      <w:r w:rsidR="009F5462" w:rsidRPr="00D6567E">
        <w:t xml:space="preserve">. </w:t>
      </w:r>
      <w:r w:rsidR="00FA67C0" w:rsidRPr="00D6567E">
        <w:t xml:space="preserve"> It would give the opportunity for people with HIV who run out of drug to have access to an emergency supply to tide them over. </w:t>
      </w:r>
      <w:r w:rsidR="009F5462" w:rsidRPr="00D6567E">
        <w:t xml:space="preserve"> </w:t>
      </w:r>
      <w:r w:rsidR="00FA67C0" w:rsidRPr="00D6567E">
        <w:t>I</w:t>
      </w:r>
      <w:r w:rsidR="009F5462" w:rsidRPr="00D6567E">
        <w:t xml:space="preserve">t </w:t>
      </w:r>
      <w:r w:rsidR="00A300D2" w:rsidRPr="00D6567E">
        <w:t>could</w:t>
      </w:r>
      <w:r w:rsidR="00C24A6F" w:rsidRPr="00D6567E">
        <w:t xml:space="preserve"> </w:t>
      </w:r>
      <w:r w:rsidR="00FA67C0" w:rsidRPr="00D6567E">
        <w:t xml:space="preserve">also </w:t>
      </w:r>
      <w:r w:rsidR="00A300D2" w:rsidRPr="00D6567E">
        <w:t>lead to some people who suspect they may have HIV</w:t>
      </w:r>
      <w:r w:rsidR="009F0F50" w:rsidRPr="00D6567E">
        <w:t>,</w:t>
      </w:r>
      <w:r w:rsidR="00A300D2" w:rsidRPr="00D6567E">
        <w:t xml:space="preserve"> but are afraid to test for it</w:t>
      </w:r>
      <w:r w:rsidR="00950DE1" w:rsidRPr="00D6567E">
        <w:t xml:space="preserve"> (</w:t>
      </w:r>
      <w:proofErr w:type="gramStart"/>
      <w:r w:rsidR="00950DE1" w:rsidRPr="00D6567E">
        <w:t>e.g.</w:t>
      </w:r>
      <w:proofErr w:type="gramEnd"/>
      <w:r w:rsidR="00950DE1" w:rsidRPr="00D6567E">
        <w:t xml:space="preserve"> </w:t>
      </w:r>
      <w:r w:rsidR="00746906" w:rsidRPr="00D6567E">
        <w:t>9</w:t>
      </w:r>
      <w:r w:rsidR="00950DE1" w:rsidRPr="00D6567E">
        <w:t>)</w:t>
      </w:r>
      <w:r w:rsidR="009F0F50" w:rsidRPr="00D6567E">
        <w:t>,</w:t>
      </w:r>
      <w:r w:rsidR="00A300D2" w:rsidRPr="00D6567E">
        <w:t xml:space="preserve"> to take TLD to treat their HIV </w:t>
      </w:r>
      <w:r w:rsidR="00DC2307" w:rsidRPr="00D6567E">
        <w:t>while avoiding the real or perceived stigma they fear with</w:t>
      </w:r>
      <w:r w:rsidR="00A300D2" w:rsidRPr="00D6567E">
        <w:t xml:space="preserve"> engaging with health care</w:t>
      </w:r>
      <w:r w:rsidR="00C24A6F" w:rsidRPr="00D6567E">
        <w:t>,</w:t>
      </w:r>
      <w:r w:rsidR="00882F93" w:rsidRPr="00D6567E">
        <w:t xml:space="preserve"> which could be of net benefit</w:t>
      </w:r>
      <w:r w:rsidR="009F5462" w:rsidRPr="00D6567E">
        <w:t>, particularly if this leads them subsequently to engage in care</w:t>
      </w:r>
      <w:r w:rsidR="00882F93" w:rsidRPr="00D6567E">
        <w:t>.</w:t>
      </w:r>
      <w:r w:rsidR="00FA67C0" w:rsidRPr="00D6567E">
        <w:t xml:space="preserve">  </w:t>
      </w:r>
    </w:p>
    <w:p w14:paraId="03E5F9F2" w14:textId="2EFB46A5" w:rsidR="0026340E" w:rsidRPr="00D6567E" w:rsidRDefault="00902658" w:rsidP="00E361F7">
      <w:r w:rsidRPr="00D6567E">
        <w:t>Alongside these potential benefits there are c</w:t>
      </w:r>
      <w:r w:rsidR="00A46113" w:rsidRPr="00D6567E">
        <w:t>oncerns and po</w:t>
      </w:r>
      <w:r w:rsidR="009852A2" w:rsidRPr="00D6567E">
        <w:t>ssible</w:t>
      </w:r>
      <w:r w:rsidR="00A46113" w:rsidRPr="00D6567E">
        <w:t xml:space="preserve"> harms</w:t>
      </w:r>
      <w:r w:rsidR="00FD02BC" w:rsidRPr="00D6567E">
        <w:t xml:space="preserve"> </w:t>
      </w:r>
      <w:r w:rsidRPr="00D6567E">
        <w:t>with the approach</w:t>
      </w:r>
      <w:r w:rsidR="009F0F50" w:rsidRPr="00D6567E">
        <w:t xml:space="preserve"> which would need to be considered </w:t>
      </w:r>
      <w:r w:rsidR="00FA67C0" w:rsidRPr="00D6567E">
        <w:t>during any</w:t>
      </w:r>
      <w:r w:rsidR="009F0F50" w:rsidRPr="00D6567E">
        <w:t xml:space="preserve"> implementation</w:t>
      </w:r>
      <w:r w:rsidRPr="00D6567E">
        <w:t xml:space="preserve">.  </w:t>
      </w:r>
      <w:r w:rsidR="007B4173" w:rsidRPr="00D6567E">
        <w:t>This approach could have the effect of reducing engagement with clinical services, including sexual and reproductive health services.  Further, w</w:t>
      </w:r>
      <w:r w:rsidR="002E4449" w:rsidRPr="00D6567E">
        <w:t>hile dolutegravir is generally a safe drug, a</w:t>
      </w:r>
      <w:r w:rsidR="00E12E6C" w:rsidRPr="00D6567E">
        <w:t xml:space="preserve">ny additional </w:t>
      </w:r>
      <w:r w:rsidR="00882F93" w:rsidRPr="00D6567E">
        <w:t xml:space="preserve">adverse effects </w:t>
      </w:r>
      <w:r w:rsidR="00E12E6C" w:rsidRPr="00D6567E">
        <w:t xml:space="preserve">due to dolutegravir might be </w:t>
      </w:r>
      <w:r w:rsidR="00882F93" w:rsidRPr="00D6567E">
        <w:t xml:space="preserve">considered </w:t>
      </w:r>
      <w:r w:rsidR="00E12E6C" w:rsidRPr="00D6567E">
        <w:t>unnecessary</w:t>
      </w:r>
      <w:r w:rsidR="00A37805" w:rsidRPr="00D6567E">
        <w:t xml:space="preserve"> if TLD is used as PrEP</w:t>
      </w:r>
      <w:r w:rsidR="00480F19" w:rsidRPr="00D6567E">
        <w:rPr>
          <w:rFonts w:cstheme="minorHAnsi"/>
        </w:rPr>
        <w:t>.</w:t>
      </w:r>
      <w:r w:rsidR="00480F19" w:rsidRPr="00D6567E">
        <w:t xml:space="preserve"> </w:t>
      </w:r>
      <w:r w:rsidR="00E361F7" w:rsidRPr="00D6567E">
        <w:t xml:space="preserve"> D</w:t>
      </w:r>
      <w:r w:rsidR="0004263E" w:rsidRPr="00D6567E">
        <w:t xml:space="preserve">olutegravir </w:t>
      </w:r>
      <w:r w:rsidR="00B36B11" w:rsidRPr="00D6567E">
        <w:t>has been associated with some neuro-psychiatric toxicity and very rare serious toxicity (hypersensitivity, liver toxicity) and is suspected of leading to weight gain</w:t>
      </w:r>
      <w:r w:rsidR="00970DF3" w:rsidRPr="00D6567E">
        <w:t xml:space="preserve"> in some people</w:t>
      </w:r>
      <w:r w:rsidR="007C0FA6" w:rsidRPr="00D6567E">
        <w:t xml:space="preserve"> (</w:t>
      </w:r>
      <w:r w:rsidR="00746906" w:rsidRPr="00D6567E">
        <w:t>7</w:t>
      </w:r>
      <w:r w:rsidR="007C0FA6" w:rsidRPr="00D6567E">
        <w:t>)</w:t>
      </w:r>
      <w:r w:rsidR="00B36B11" w:rsidRPr="00D6567E">
        <w:t xml:space="preserve">.  </w:t>
      </w:r>
      <w:r w:rsidR="006F7C39" w:rsidRPr="00D6567E">
        <w:t>It is possible there is a very small increased risk of neural tube defects in babies of women becoming pregnant while taking dolutegravir</w:t>
      </w:r>
      <w:r w:rsidR="00F62DE2" w:rsidRPr="00D6567E">
        <w:t xml:space="preserve"> (</w:t>
      </w:r>
      <w:r w:rsidR="00746906" w:rsidRPr="00D6567E">
        <w:t>10</w:t>
      </w:r>
      <w:r w:rsidR="00F62DE2" w:rsidRPr="00D6567E">
        <w:t>)</w:t>
      </w:r>
      <w:r w:rsidR="006F7C39" w:rsidRPr="00D6567E">
        <w:t>.</w:t>
      </w:r>
      <w:r w:rsidR="00480F19" w:rsidRPr="00D6567E">
        <w:t xml:space="preserve">  That said, cabotegravir</w:t>
      </w:r>
      <w:r w:rsidR="00447F23" w:rsidRPr="00D6567E">
        <w:t xml:space="preserve">, </w:t>
      </w:r>
      <w:r w:rsidR="00480F19" w:rsidRPr="00D6567E">
        <w:t xml:space="preserve">has been </w:t>
      </w:r>
      <w:r w:rsidR="00F62DE2" w:rsidRPr="00D6567E">
        <w:t xml:space="preserve">approved for use </w:t>
      </w:r>
      <w:r w:rsidR="00E361F7" w:rsidRPr="00D6567E">
        <w:t xml:space="preserve">in HIV negative people </w:t>
      </w:r>
      <w:r w:rsidR="00480F19" w:rsidRPr="00D6567E">
        <w:t xml:space="preserve">as PrEP </w:t>
      </w:r>
      <w:r w:rsidR="00EB0763" w:rsidRPr="00D6567E">
        <w:rPr>
          <w:lang w:val="en-US"/>
        </w:rPr>
        <w:t>(</w:t>
      </w:r>
      <w:r w:rsidR="00447F23" w:rsidRPr="00D6567E">
        <w:rPr>
          <w:lang w:val="en-US"/>
        </w:rPr>
        <w:t xml:space="preserve">11, </w:t>
      </w:r>
      <w:r w:rsidR="00EB0763" w:rsidRPr="00D6567E">
        <w:rPr>
          <w:lang w:val="en-US"/>
        </w:rPr>
        <w:t>1</w:t>
      </w:r>
      <w:r w:rsidR="003A1E4A" w:rsidRPr="00D6567E">
        <w:rPr>
          <w:lang w:val="en-US"/>
        </w:rPr>
        <w:t>2</w:t>
      </w:r>
      <w:r w:rsidR="00F62DE2" w:rsidRPr="00D6567E">
        <w:t>)</w:t>
      </w:r>
      <w:r w:rsidR="00480F19" w:rsidRPr="00D6567E">
        <w:t xml:space="preserve">. </w:t>
      </w:r>
      <w:r w:rsidR="008318DC" w:rsidRPr="00D6567E">
        <w:t xml:space="preserve"> </w:t>
      </w:r>
      <w:r w:rsidR="00E361F7" w:rsidRPr="00D6567E">
        <w:t xml:space="preserve"> </w:t>
      </w:r>
      <w:r w:rsidR="00642F4D" w:rsidRPr="00D6567E">
        <w:t xml:space="preserve">There would also be a risk that some people with HIV who have been under care may default from that care as they know they can access their antiretroviral drugs locally and easily; </w:t>
      </w:r>
      <w:proofErr w:type="gramStart"/>
      <w:r w:rsidR="00642F4D" w:rsidRPr="00D6567E">
        <w:t>thus</w:t>
      </w:r>
      <w:proofErr w:type="gramEnd"/>
      <w:r w:rsidR="00642F4D" w:rsidRPr="00D6567E">
        <w:t xml:space="preserve"> they would be unmonitored.  </w:t>
      </w:r>
      <w:r w:rsidR="00A37805" w:rsidRPr="00D6567E">
        <w:t xml:space="preserve">Lastly, if the approach is introduced in one area and not others there is the possibility of a black market for drugs arising.  </w:t>
      </w:r>
    </w:p>
    <w:p w14:paraId="76A173D1" w14:textId="5C14293B" w:rsidR="000B1556" w:rsidRPr="00D6567E" w:rsidRDefault="009F5462" w:rsidP="006E0BF0">
      <w:pPr>
        <w:spacing w:line="276" w:lineRule="auto"/>
      </w:pPr>
      <w:r w:rsidRPr="00D6567E">
        <w:t>We</w:t>
      </w:r>
      <w:r w:rsidR="006A541F" w:rsidRPr="00D6567E">
        <w:t xml:space="preserve"> hypothesize that</w:t>
      </w:r>
      <w:r w:rsidR="00474379" w:rsidRPr="00D6567E">
        <w:t xml:space="preserve"> the benefits of the approach </w:t>
      </w:r>
      <w:r w:rsidRPr="00D6567E">
        <w:t xml:space="preserve">would </w:t>
      </w:r>
      <w:r w:rsidR="00474379" w:rsidRPr="00D6567E">
        <w:t>outweigh the risks and harms</w:t>
      </w:r>
      <w:r w:rsidRPr="00D6567E">
        <w:t>,</w:t>
      </w:r>
      <w:r w:rsidR="006A541F" w:rsidRPr="00D6567E">
        <w:t xml:space="preserve"> but </w:t>
      </w:r>
      <w:r w:rsidR="002B0B06" w:rsidRPr="00D6567E">
        <w:t xml:space="preserve">its impact and cost-effectiveness </w:t>
      </w:r>
      <w:r w:rsidR="006A541F" w:rsidRPr="00D6567E">
        <w:t>should be studied</w:t>
      </w:r>
      <w:r w:rsidR="00474379" w:rsidRPr="00D6567E">
        <w:t xml:space="preserve">.  </w:t>
      </w:r>
      <w:r w:rsidRPr="00D6567E">
        <w:t xml:space="preserve">Net benefits are most likely </w:t>
      </w:r>
      <w:r w:rsidR="00474379" w:rsidRPr="00D6567E">
        <w:t>in settings where the population prevalence of unsuppressed HIV is highest.</w:t>
      </w:r>
      <w:r w:rsidR="00E361F7" w:rsidRPr="00D6567E">
        <w:t xml:space="preserve">  </w:t>
      </w:r>
      <w:r w:rsidR="00322313" w:rsidRPr="00D6567E">
        <w:t xml:space="preserve">One </w:t>
      </w:r>
      <w:r w:rsidR="009852A2" w:rsidRPr="00D6567E">
        <w:t>way</w:t>
      </w:r>
      <w:r w:rsidR="00322313" w:rsidRPr="00D6567E">
        <w:t xml:space="preserve"> to study the effect of the </w:t>
      </w:r>
      <w:r w:rsidR="00CE46E8" w:rsidRPr="00D6567E">
        <w:t>approach</w:t>
      </w:r>
      <w:r w:rsidR="00322313" w:rsidRPr="00D6567E">
        <w:t xml:space="preserve"> would be to select one or more </w:t>
      </w:r>
      <w:r w:rsidR="00A46113" w:rsidRPr="00D6567E">
        <w:t>relatively self-contained communit</w:t>
      </w:r>
      <w:r w:rsidR="00322313" w:rsidRPr="00D6567E">
        <w:t>ies</w:t>
      </w:r>
      <w:r w:rsidR="00A46113" w:rsidRPr="00D6567E">
        <w:t xml:space="preserve"> with high HIV incidence</w:t>
      </w:r>
      <w:r w:rsidR="00474379" w:rsidRPr="00D6567E">
        <w:t xml:space="preserve"> and with a</w:t>
      </w:r>
      <w:r w:rsidR="00BC01AE">
        <w:t xml:space="preserve">n </w:t>
      </w:r>
      <w:r w:rsidR="00474379" w:rsidRPr="00D6567E">
        <w:t xml:space="preserve">inclusive community leadership who are motivated to pilot the </w:t>
      </w:r>
      <w:r w:rsidR="00CE46E8" w:rsidRPr="00D6567E">
        <w:t>approach</w:t>
      </w:r>
      <w:r w:rsidR="00A46113" w:rsidRPr="00D6567E">
        <w:t xml:space="preserve">. </w:t>
      </w:r>
      <w:r w:rsidR="00322313" w:rsidRPr="00D6567E">
        <w:t xml:space="preserve"> A r</w:t>
      </w:r>
      <w:r w:rsidR="00A46113" w:rsidRPr="00D6567E">
        <w:t xml:space="preserve">andom sample survey </w:t>
      </w:r>
      <w:r w:rsidR="00322313" w:rsidRPr="00D6567E">
        <w:t xml:space="preserve">would be conducted </w:t>
      </w:r>
      <w:r w:rsidR="00A46113" w:rsidRPr="00D6567E">
        <w:t>at baseline</w:t>
      </w:r>
      <w:r w:rsidR="00322313" w:rsidRPr="00D6567E">
        <w:t xml:space="preserve"> (along the lines of the PHIA surveys)</w:t>
      </w:r>
      <w:r w:rsidR="00552569" w:rsidRPr="00D6567E">
        <w:t xml:space="preserve"> (</w:t>
      </w:r>
      <w:r w:rsidR="00604C11" w:rsidRPr="00D6567E">
        <w:t>1</w:t>
      </w:r>
      <w:r w:rsidR="003A1E4A" w:rsidRPr="00D6567E">
        <w:t>3</w:t>
      </w:r>
      <w:r w:rsidR="00552569" w:rsidRPr="00D6567E">
        <w:t>)</w:t>
      </w:r>
      <w:r w:rsidR="00A46113" w:rsidRPr="00D6567E">
        <w:t xml:space="preserve">. </w:t>
      </w:r>
      <w:r w:rsidR="00322313" w:rsidRPr="00D6567E">
        <w:t xml:space="preserve">  The </w:t>
      </w:r>
      <w:r w:rsidR="00CE46E8" w:rsidRPr="00D6567E">
        <w:t>approach</w:t>
      </w:r>
      <w:r w:rsidR="00322313" w:rsidRPr="00D6567E">
        <w:t xml:space="preserve"> would then be introduced. </w:t>
      </w:r>
      <w:r w:rsidR="00B36B11" w:rsidRPr="00D6567E">
        <w:t xml:space="preserve">  </w:t>
      </w:r>
      <w:r w:rsidR="000B1556" w:rsidRPr="00D6567E">
        <w:t xml:space="preserve">Active surveillance for </w:t>
      </w:r>
      <w:r w:rsidR="001876AB" w:rsidRPr="00D6567E">
        <w:t xml:space="preserve">incidence of </w:t>
      </w:r>
      <w:r w:rsidR="002C599D">
        <w:t>drug toxicity</w:t>
      </w:r>
      <w:r w:rsidR="00476703" w:rsidRPr="00D6567E">
        <w:t>.</w:t>
      </w:r>
      <w:r w:rsidR="00322313" w:rsidRPr="00D6567E">
        <w:t xml:space="preserve">  There would follow a second independent (</w:t>
      </w:r>
      <w:proofErr w:type="gramStart"/>
      <w:r w:rsidR="00322313" w:rsidRPr="00D6567E">
        <w:t>i.e.</w:t>
      </w:r>
      <w:proofErr w:type="gramEnd"/>
      <w:r w:rsidR="00322313" w:rsidRPr="00D6567E">
        <w:t xml:space="preserve"> a new sample) r</w:t>
      </w:r>
      <w:r w:rsidR="00A46113" w:rsidRPr="00D6567E">
        <w:t xml:space="preserve">andom sample survey after </w:t>
      </w:r>
      <w:r w:rsidR="00D53856" w:rsidRPr="00D6567E">
        <w:t xml:space="preserve">a period of time </w:t>
      </w:r>
      <w:r w:rsidR="00322313" w:rsidRPr="00D6567E">
        <w:t xml:space="preserve">to study differences from baseline in </w:t>
      </w:r>
      <w:r w:rsidR="00D53856" w:rsidRPr="00D6567E">
        <w:t xml:space="preserve">PEP, PrEP and ART use, viral suppression levels, HIV diagnosis coverage, </w:t>
      </w:r>
      <w:r w:rsidR="00D53856" w:rsidRPr="00D6567E">
        <w:lastRenderedPageBreak/>
        <w:t>and other key measures</w:t>
      </w:r>
      <w:r w:rsidR="00A46113" w:rsidRPr="00D6567E">
        <w:t>.</w:t>
      </w:r>
      <w:r w:rsidR="00322313" w:rsidRPr="00D6567E">
        <w:t xml:space="preserve">  </w:t>
      </w:r>
      <w:r w:rsidR="003020DE" w:rsidRPr="00D6567E">
        <w:t xml:space="preserve">Any evaluation would need to be accompanied by extensive process evaluation work to monitor acceptability, accessibility, </w:t>
      </w:r>
      <w:proofErr w:type="gramStart"/>
      <w:r w:rsidR="003020DE" w:rsidRPr="00D6567E">
        <w:t>feasibility</w:t>
      </w:r>
      <w:proofErr w:type="gramEnd"/>
      <w:r w:rsidR="003020DE" w:rsidRPr="00D6567E">
        <w:t xml:space="preserve"> and unintended consequences of the programme.</w:t>
      </w:r>
    </w:p>
    <w:p w14:paraId="4A639176" w14:textId="5EA8398C" w:rsidR="00642F4D" w:rsidRPr="00D6567E" w:rsidRDefault="00292CB8" w:rsidP="00D53856">
      <w:pPr>
        <w:spacing w:line="276" w:lineRule="auto"/>
      </w:pPr>
      <w:r w:rsidRPr="00D6567E">
        <w:t>The nature of PEP means that to be useful it must be very easily</w:t>
      </w:r>
      <w:r w:rsidR="00642F4D" w:rsidRPr="00D6567E">
        <w:t xml:space="preserve"> and locally </w:t>
      </w:r>
      <w:r w:rsidRPr="00D6567E">
        <w:t>available</w:t>
      </w:r>
      <w:r w:rsidR="00935794" w:rsidRPr="00D6567E">
        <w:t>.</w:t>
      </w:r>
      <w:r w:rsidR="00642F4D" w:rsidRPr="00D6567E">
        <w:t xml:space="preserve">  We propose an approach to enable this.</w:t>
      </w:r>
    </w:p>
    <w:p w14:paraId="3D5A3BE3" w14:textId="77777777" w:rsidR="00132DC4" w:rsidRDefault="00132DC4" w:rsidP="006E0BF0">
      <w:pPr>
        <w:spacing w:line="240" w:lineRule="auto"/>
      </w:pPr>
    </w:p>
    <w:p w14:paraId="486E991F" w14:textId="77777777" w:rsidR="00C742B4" w:rsidRDefault="00C742B4">
      <w:pPr>
        <w:rPr>
          <w:b/>
          <w:bCs/>
        </w:rPr>
      </w:pPr>
    </w:p>
    <w:p w14:paraId="534EAF3B" w14:textId="77777777" w:rsidR="00C742B4" w:rsidRDefault="00C742B4">
      <w:pPr>
        <w:rPr>
          <w:b/>
          <w:bCs/>
        </w:rPr>
      </w:pPr>
      <w:r>
        <w:rPr>
          <w:b/>
          <w:bCs/>
        </w:rPr>
        <w:t>Competing Interests</w:t>
      </w:r>
    </w:p>
    <w:p w14:paraId="712A3C58" w14:textId="222C2151" w:rsidR="00C742B4" w:rsidRPr="00C742B4" w:rsidRDefault="00C742B4">
      <w:r w:rsidRPr="00C742B4">
        <w:t>Authors declare no conflicts of interest.</w:t>
      </w:r>
    </w:p>
    <w:p w14:paraId="08C37603" w14:textId="77777777" w:rsidR="00C742B4" w:rsidRDefault="00C742B4">
      <w:pPr>
        <w:rPr>
          <w:b/>
          <w:bCs/>
        </w:rPr>
      </w:pPr>
    </w:p>
    <w:p w14:paraId="6C28FDAF" w14:textId="77777777" w:rsidR="00C742B4" w:rsidRDefault="00C742B4">
      <w:pPr>
        <w:rPr>
          <w:b/>
          <w:bCs/>
        </w:rPr>
      </w:pPr>
      <w:r>
        <w:rPr>
          <w:b/>
          <w:bCs/>
        </w:rPr>
        <w:t>Author Contributions</w:t>
      </w:r>
    </w:p>
    <w:p w14:paraId="656368A9" w14:textId="2D3671A3" w:rsidR="00B67156" w:rsidRDefault="00C742B4">
      <w:r w:rsidRPr="00C742B4">
        <w:t xml:space="preserve">AP </w:t>
      </w:r>
      <w:r w:rsidR="00187ABC">
        <w:t>wrote</w:t>
      </w:r>
      <w:r w:rsidRPr="00C742B4">
        <w:t xml:space="preserve"> the first draft.  All authors contributed with ideas and suggestions. </w:t>
      </w:r>
    </w:p>
    <w:p w14:paraId="69A7E32A" w14:textId="77777777" w:rsidR="00B67156" w:rsidRPr="00B67156" w:rsidRDefault="00B67156">
      <w:pPr>
        <w:rPr>
          <w:b/>
          <w:bCs/>
        </w:rPr>
      </w:pPr>
      <w:r w:rsidRPr="00B67156">
        <w:rPr>
          <w:b/>
          <w:bCs/>
        </w:rPr>
        <w:t>Acknowledgements</w:t>
      </w:r>
    </w:p>
    <w:p w14:paraId="303D5A11" w14:textId="6B4EBC46" w:rsidR="00C742B4" w:rsidRPr="00C742B4" w:rsidRDefault="00B67156">
      <w:r>
        <w:t>None.</w:t>
      </w:r>
    </w:p>
    <w:p w14:paraId="0F2D9733" w14:textId="77777777" w:rsidR="00B67156" w:rsidRDefault="00B67156">
      <w:pPr>
        <w:rPr>
          <w:b/>
          <w:bCs/>
        </w:rPr>
      </w:pPr>
      <w:r>
        <w:rPr>
          <w:b/>
          <w:bCs/>
        </w:rPr>
        <w:br w:type="page"/>
      </w:r>
    </w:p>
    <w:p w14:paraId="309B23D0" w14:textId="12B39A27" w:rsidR="003E435B" w:rsidRPr="003E435B" w:rsidRDefault="003E435B" w:rsidP="006E0BF0">
      <w:pPr>
        <w:spacing w:line="240" w:lineRule="auto"/>
        <w:rPr>
          <w:b/>
          <w:bCs/>
        </w:rPr>
      </w:pPr>
      <w:r w:rsidRPr="003E435B">
        <w:rPr>
          <w:b/>
          <w:bCs/>
        </w:rPr>
        <w:lastRenderedPageBreak/>
        <w:t>References</w:t>
      </w:r>
    </w:p>
    <w:p w14:paraId="70EA1E30" w14:textId="49D44ED7" w:rsidR="00EB0763" w:rsidRPr="00EB0763" w:rsidRDefault="00EB0763" w:rsidP="006E0BF0">
      <w:pPr>
        <w:pStyle w:val="ListParagraph"/>
        <w:numPr>
          <w:ilvl w:val="0"/>
          <w:numId w:val="5"/>
        </w:numPr>
        <w:contextualSpacing/>
      </w:pPr>
      <w:r w:rsidRPr="00EB0763">
        <w:t>Consolidated guidelines on HIV prevention, testing, treatment, service delivery and monitoring: recommendations for a public health approach</w:t>
      </w:r>
      <w:r>
        <w:t xml:space="preserve">.   </w:t>
      </w:r>
      <w:hyperlink r:id="rId8" w:history="1">
        <w:r w:rsidRPr="00712D17">
          <w:rPr>
            <w:rStyle w:val="Hyperlink"/>
          </w:rPr>
          <w:t>https://www.who.int/publications/i/item/9789240031593</w:t>
        </w:r>
      </w:hyperlink>
    </w:p>
    <w:p w14:paraId="08193A06" w14:textId="77777777" w:rsidR="00EB0763" w:rsidRPr="00EB0763" w:rsidRDefault="00EB0763" w:rsidP="00EB0763">
      <w:pPr>
        <w:pStyle w:val="ListParagraph"/>
        <w:ind w:left="360"/>
        <w:contextualSpacing/>
      </w:pPr>
    </w:p>
    <w:p w14:paraId="2CF72B03" w14:textId="77777777" w:rsidR="00EB0763" w:rsidRDefault="003E435B" w:rsidP="006E0BF0">
      <w:pPr>
        <w:pStyle w:val="ListParagraph"/>
        <w:numPr>
          <w:ilvl w:val="0"/>
          <w:numId w:val="5"/>
        </w:numPr>
        <w:contextualSpacing/>
      </w:pPr>
      <w:r w:rsidRPr="003E435B">
        <w:t xml:space="preserve">Irvine C, Egan KJ, Shubber Z, Van Rompay KK, Beanland RL, Ford N. Efficacy of HIV Postexposure Prophylaxis: Systematic Review and Meta-analysis of Nonhuman Primate Studies. Clin Infect Dis. 2015 Jun 1;60 </w:t>
      </w:r>
      <w:proofErr w:type="spellStart"/>
      <w:r w:rsidRPr="003E435B">
        <w:t>Suppl</w:t>
      </w:r>
      <w:proofErr w:type="spellEnd"/>
      <w:r w:rsidRPr="003E435B">
        <w:t xml:space="preserve"> </w:t>
      </w:r>
      <w:proofErr w:type="gramStart"/>
      <w:r w:rsidRPr="003E435B">
        <w:t>3:S</w:t>
      </w:r>
      <w:proofErr w:type="gramEnd"/>
      <w:r w:rsidRPr="003E435B">
        <w:t xml:space="preserve">165-9. </w:t>
      </w:r>
      <w:proofErr w:type="spellStart"/>
      <w:r w:rsidRPr="003E435B">
        <w:t>doi</w:t>
      </w:r>
      <w:proofErr w:type="spellEnd"/>
      <w:r w:rsidRPr="003E435B">
        <w:t>: 10.1093/</w:t>
      </w:r>
      <w:proofErr w:type="spellStart"/>
      <w:r w:rsidRPr="003E435B">
        <w:t>cid</w:t>
      </w:r>
      <w:proofErr w:type="spellEnd"/>
      <w:r w:rsidRPr="003E435B">
        <w:t>/civ069. PMID: 25972498.</w:t>
      </w:r>
      <w:r w:rsidR="001B29DB">
        <w:t xml:space="preserve">  </w:t>
      </w:r>
    </w:p>
    <w:p w14:paraId="2139D5FA" w14:textId="77777777" w:rsidR="00EB0763" w:rsidRPr="00EB0763" w:rsidRDefault="00EB0763" w:rsidP="00EB0763">
      <w:pPr>
        <w:pStyle w:val="ListParagraph"/>
        <w:rPr>
          <w:rFonts w:cstheme="minorHAnsi"/>
          <w:color w:val="000000" w:themeColor="text1"/>
        </w:rPr>
      </w:pPr>
    </w:p>
    <w:p w14:paraId="372C3C44" w14:textId="77777777" w:rsidR="00EB0763" w:rsidRPr="00EB0763" w:rsidRDefault="001B29DB" w:rsidP="006E0BF0">
      <w:pPr>
        <w:pStyle w:val="ListParagraph"/>
        <w:numPr>
          <w:ilvl w:val="0"/>
          <w:numId w:val="5"/>
        </w:numPr>
        <w:contextualSpacing/>
      </w:pPr>
      <w:r w:rsidRPr="00EB0763">
        <w:rPr>
          <w:rFonts w:cstheme="minorHAnsi"/>
          <w:color w:val="000000" w:themeColor="text1"/>
        </w:rPr>
        <w:t xml:space="preserve">Stankevitz, Kayla; Grant, Hannah; Lloyd, Josie; Gomez, Gabriela B; Kripke, Katharine; Torjesen, Kristine; Ong, Jason J; </w:t>
      </w:r>
      <w:hyperlink r:id="rId9" w:history="1">
        <w:r w:rsidRPr="00EB0763">
          <w:rPr>
            <w:rStyle w:val="Hyperlink"/>
            <w:rFonts w:cstheme="minorHAnsi"/>
            <w:color w:val="000000" w:themeColor="text1"/>
            <w:u w:val="none"/>
          </w:rPr>
          <w:t>Terris-Prestholt, Fern</w:t>
        </w:r>
      </w:hyperlink>
      <w:r w:rsidRPr="00EB0763">
        <w:rPr>
          <w:rFonts w:cstheme="minorHAnsi"/>
          <w:color w:val="000000" w:themeColor="text1"/>
        </w:rPr>
        <w:t xml:space="preserve">; (2020) </w:t>
      </w:r>
      <w:hyperlink r:id="rId10" w:history="1">
        <w:r w:rsidRPr="00EB0763">
          <w:rPr>
            <w:rStyle w:val="Hyperlink"/>
            <w:rFonts w:cstheme="minorHAnsi"/>
            <w:color w:val="000000" w:themeColor="text1"/>
            <w:u w:val="none"/>
          </w:rPr>
          <w:t>Oral preexposure prophylaxis continuation, measurement and reporting.</w:t>
        </w:r>
      </w:hyperlink>
      <w:r w:rsidRPr="00EB0763">
        <w:rPr>
          <w:rFonts w:cstheme="minorHAnsi"/>
          <w:color w:val="000000" w:themeColor="text1"/>
        </w:rPr>
        <w:t xml:space="preserve"> AIDS, 34 (12). pp. 1801-1811. ISSN 0269-9370 DOI: </w:t>
      </w:r>
      <w:hyperlink r:id="rId11" w:history="1">
        <w:r w:rsidRPr="00EB0763">
          <w:rPr>
            <w:rStyle w:val="Hyperlink"/>
            <w:rFonts w:cstheme="minorHAnsi"/>
            <w:color w:val="000000" w:themeColor="text1"/>
            <w:u w:val="none"/>
          </w:rPr>
          <w:t>https://doi.org/10.1097/QAD.0000000000002598</w:t>
        </w:r>
      </w:hyperlink>
      <w:r w:rsidRPr="00EB0763">
        <w:rPr>
          <w:rFonts w:cstheme="minorHAnsi"/>
          <w:color w:val="000000" w:themeColor="text1"/>
        </w:rPr>
        <w:t xml:space="preserve"> </w:t>
      </w:r>
    </w:p>
    <w:p w14:paraId="3710D9B1" w14:textId="77777777" w:rsidR="00EB0763" w:rsidRPr="00EB0763" w:rsidRDefault="00EB0763" w:rsidP="00EB0763">
      <w:pPr>
        <w:pStyle w:val="ListParagraph"/>
        <w:rPr>
          <w:lang w:val="fr-FR"/>
        </w:rPr>
      </w:pPr>
    </w:p>
    <w:p w14:paraId="6B6EC618" w14:textId="77777777" w:rsidR="00EB0763" w:rsidRDefault="001B29DB" w:rsidP="006E0BF0">
      <w:pPr>
        <w:pStyle w:val="ListParagraph"/>
        <w:numPr>
          <w:ilvl w:val="0"/>
          <w:numId w:val="5"/>
        </w:numPr>
        <w:contextualSpacing/>
      </w:pPr>
      <w:r w:rsidRPr="00EB0763">
        <w:rPr>
          <w:lang w:val="fr-FR"/>
        </w:rPr>
        <w:t xml:space="preserve">Heffron R, Ngure K, Odoyo J et al. </w:t>
      </w:r>
      <w:r>
        <w:t xml:space="preserve">Pre-exposure prophylaxis for HIV-negative persons with partners living with HIV: uptake, use, and effectiveness in an open-label demonstration project in East Africa [version 2; peer review: 2 approved] Gates Open Research 2018, 1:3   </w:t>
      </w:r>
      <w:hyperlink r:id="rId12" w:history="1">
        <w:r w:rsidRPr="00712D17">
          <w:rPr>
            <w:rStyle w:val="Hyperlink"/>
          </w:rPr>
          <w:t>https://doi.org/10.12688/gatesopenres.12752.2</w:t>
        </w:r>
      </w:hyperlink>
    </w:p>
    <w:p w14:paraId="13B2898C" w14:textId="77777777" w:rsidR="00EB0763" w:rsidRDefault="00EB0763" w:rsidP="00EB0763">
      <w:pPr>
        <w:pStyle w:val="ListParagraph"/>
      </w:pPr>
    </w:p>
    <w:p w14:paraId="66A29121" w14:textId="72A8564A" w:rsidR="00DC3169" w:rsidRPr="00746906" w:rsidRDefault="00EB0763" w:rsidP="00746906">
      <w:pPr>
        <w:pStyle w:val="ListParagraph"/>
        <w:numPr>
          <w:ilvl w:val="0"/>
          <w:numId w:val="5"/>
        </w:numPr>
        <w:contextualSpacing/>
        <w:rPr>
          <w:rStyle w:val="Hyperlink"/>
          <w:color w:val="auto"/>
          <w:u w:val="none"/>
        </w:rPr>
      </w:pPr>
      <w:r>
        <w:t xml:space="preserve">Muhumuza R, Sentoogo Ssemata A, Kakande A, Ahmed N, </w:t>
      </w:r>
      <w:proofErr w:type="spellStart"/>
      <w:r>
        <w:t>Atujuna</w:t>
      </w:r>
      <w:proofErr w:type="spellEnd"/>
      <w:r>
        <w:t xml:space="preserve"> M, </w:t>
      </w:r>
      <w:proofErr w:type="spellStart"/>
      <w:r>
        <w:t>Nomvuyo</w:t>
      </w:r>
      <w:proofErr w:type="spellEnd"/>
      <w:r>
        <w:t xml:space="preserve"> </w:t>
      </w:r>
      <w:proofErr w:type="gramStart"/>
      <w:r>
        <w:t>M  et al.</w:t>
      </w:r>
      <w:proofErr w:type="gramEnd"/>
      <w:r>
        <w:t xml:space="preserve">  Exploring Perceived Barriers and Facilitators of PrEP Uptake among Young People in Uganda, Zimbabwe, and South Africa.  Archives of Sexual Behavior (2021) 50:1729–1742</w:t>
      </w:r>
    </w:p>
    <w:p w14:paraId="3ABC58AC" w14:textId="77777777" w:rsidR="00DC3169" w:rsidRPr="00DC3169" w:rsidRDefault="00DC3169" w:rsidP="00DC3169">
      <w:pPr>
        <w:pStyle w:val="ListParagraph"/>
        <w:ind w:left="360"/>
        <w:contextualSpacing/>
        <w:rPr>
          <w:rStyle w:val="Hyperlink"/>
          <w:color w:val="auto"/>
          <w:u w:val="none"/>
        </w:rPr>
      </w:pPr>
    </w:p>
    <w:p w14:paraId="5F80ED4F" w14:textId="6CA17195" w:rsidR="003A1E4A" w:rsidRDefault="003A1E4A" w:rsidP="003A1E4A">
      <w:pPr>
        <w:pStyle w:val="ListParagraph"/>
        <w:numPr>
          <w:ilvl w:val="0"/>
          <w:numId w:val="5"/>
        </w:numPr>
        <w:spacing w:after="160" w:line="259" w:lineRule="auto"/>
        <w:contextualSpacing/>
      </w:pPr>
      <w:r w:rsidRPr="00AE53BF">
        <w:t xml:space="preserve">Lehman </w:t>
      </w:r>
      <w:proofErr w:type="gramStart"/>
      <w:r w:rsidRPr="00AE53BF">
        <w:t xml:space="preserve">DA,  </w:t>
      </w:r>
      <w:proofErr w:type="spellStart"/>
      <w:r w:rsidRPr="00AE53BF">
        <w:t>Baeten</w:t>
      </w:r>
      <w:proofErr w:type="spellEnd"/>
      <w:proofErr w:type="gramEnd"/>
      <w:r w:rsidRPr="00AE53BF">
        <w:t xml:space="preserve"> JM, McCoy CO, Weis JF,  Peterson D,  </w:t>
      </w:r>
      <w:proofErr w:type="spellStart"/>
      <w:r w:rsidRPr="00AE53BF">
        <w:t>Mbara</w:t>
      </w:r>
      <w:proofErr w:type="spellEnd"/>
      <w:r w:rsidRPr="00AE53BF">
        <w:t xml:space="preserve"> G et al.   </w:t>
      </w:r>
      <w:r w:rsidRPr="00FF1D22">
        <w:t xml:space="preserve">Risk of Drug Resistance Among Persons Acquiring HIV Within a Randomized Clinical Trial of Single- or Dual-Agent Preexposure Prophylaxis.   J Infect Dis 2015; 211, 8, 15: 1211–1218.  </w:t>
      </w:r>
      <w:hyperlink r:id="rId13" w:history="1">
        <w:r w:rsidRPr="00FF1D22">
          <w:rPr>
            <w:rStyle w:val="Hyperlink"/>
          </w:rPr>
          <w:t>https://doi.org/10.1093/infdis/jiu677</w:t>
        </w:r>
      </w:hyperlink>
      <w:r w:rsidRPr="00FF1D22">
        <w:t xml:space="preserve"> </w:t>
      </w:r>
    </w:p>
    <w:p w14:paraId="7DB8A117" w14:textId="77777777" w:rsidR="00DC3169" w:rsidRDefault="00DC3169" w:rsidP="00DC3169">
      <w:pPr>
        <w:pStyle w:val="ListParagraph"/>
      </w:pPr>
    </w:p>
    <w:p w14:paraId="51DFB616" w14:textId="1BA92F00" w:rsidR="00746906" w:rsidRPr="00746906" w:rsidRDefault="00DC3169" w:rsidP="00746906">
      <w:pPr>
        <w:pStyle w:val="ListParagraph"/>
        <w:numPr>
          <w:ilvl w:val="0"/>
          <w:numId w:val="5"/>
        </w:numPr>
        <w:contextualSpacing/>
        <w:rPr>
          <w:rStyle w:val="Hyperlink"/>
          <w:color w:val="auto"/>
          <w:u w:val="none"/>
        </w:rPr>
      </w:pPr>
      <w:r w:rsidRPr="00EB0763">
        <w:rPr>
          <w:lang w:val="nl-NL"/>
        </w:rPr>
        <w:t xml:space="preserve">Venter WDF, Moorhouse M, Sokhela S, et al. </w:t>
      </w:r>
      <w:r>
        <w:t xml:space="preserve">Dolutegravir plus two different prodrugs of tenofovir to treat HIV. N Engl J Med 2019; 381: 803–15.   </w:t>
      </w:r>
      <w:hyperlink r:id="rId14" w:history="1">
        <w:r w:rsidRPr="00712D17">
          <w:rPr>
            <w:rStyle w:val="Hyperlink"/>
          </w:rPr>
          <w:t>https://doi.org/10.1007/s10508-020-01880-y</w:t>
        </w:r>
      </w:hyperlink>
    </w:p>
    <w:p w14:paraId="03FEEF2A" w14:textId="77777777" w:rsidR="00746906" w:rsidRDefault="00746906" w:rsidP="00746906">
      <w:pPr>
        <w:pStyle w:val="ListParagraph"/>
      </w:pPr>
    </w:p>
    <w:p w14:paraId="447CD4DD" w14:textId="77777777" w:rsidR="00746906" w:rsidRDefault="00746906" w:rsidP="00746906">
      <w:pPr>
        <w:pStyle w:val="ListParagraph"/>
        <w:ind w:left="360"/>
        <w:contextualSpacing/>
      </w:pPr>
    </w:p>
    <w:p w14:paraId="39AF5A51" w14:textId="77777777" w:rsidR="00DC3169" w:rsidRPr="003A1E4A" w:rsidRDefault="00000000" w:rsidP="00DC3169">
      <w:pPr>
        <w:pStyle w:val="ListParagraph"/>
        <w:numPr>
          <w:ilvl w:val="0"/>
          <w:numId w:val="5"/>
        </w:numPr>
        <w:contextualSpacing/>
        <w:rPr>
          <w:rStyle w:val="Hyperlink"/>
          <w:color w:val="auto"/>
          <w:u w:val="none"/>
        </w:rPr>
      </w:pPr>
      <w:hyperlink r:id="rId15" w:history="1">
        <w:r w:rsidR="00DC3169" w:rsidRPr="00EB0763">
          <w:rPr>
            <w:rStyle w:val="Hyperlink"/>
            <w:lang w:val="en-US"/>
          </w:rPr>
          <w:t>https://www.nature.com/articles/d41586-021-00618-7</w:t>
        </w:r>
      </w:hyperlink>
    </w:p>
    <w:p w14:paraId="584446A6" w14:textId="77777777" w:rsidR="007927AD" w:rsidRDefault="007927AD" w:rsidP="007927AD">
      <w:pPr>
        <w:contextualSpacing/>
      </w:pPr>
    </w:p>
    <w:p w14:paraId="52EA61D2" w14:textId="37AF74D4" w:rsidR="003A1E4A" w:rsidRDefault="00950DE1" w:rsidP="003A1E4A">
      <w:pPr>
        <w:pStyle w:val="ListParagraph"/>
        <w:numPr>
          <w:ilvl w:val="0"/>
          <w:numId w:val="5"/>
        </w:numPr>
        <w:contextualSpacing/>
      </w:pPr>
      <w:r w:rsidRPr="00950DE1">
        <w:rPr>
          <w:lang w:val="it-IT"/>
        </w:rPr>
        <w:t xml:space="preserve">Kazuma-Matululu Thokozani, Nyondo-Mipando Alinane Linda.  </w:t>
      </w:r>
      <w:r>
        <w:t xml:space="preserve">“Men Are Scared That Others Will Know and Will Discriminate Against Them So They Would Rather Not Start Treatment.” Perceptions of Heterosexual Men on HIV-Related Stigma in HIV Services in Blantyre, Malawi.  Journal of the International Association of Providers of AIDS Care, 20: 1-10   </w:t>
      </w:r>
      <w:r w:rsidRPr="00BE26EE">
        <w:t>DOI: 10.1177/23259582211059921</w:t>
      </w:r>
    </w:p>
    <w:p w14:paraId="7D20159F" w14:textId="77777777" w:rsidR="003A1E4A" w:rsidRDefault="003A1E4A" w:rsidP="003A1E4A">
      <w:pPr>
        <w:pStyle w:val="ListParagraph"/>
        <w:ind w:left="360"/>
        <w:contextualSpacing/>
      </w:pPr>
    </w:p>
    <w:p w14:paraId="514716B0" w14:textId="2D8DD902" w:rsidR="00EB0763" w:rsidRPr="007927AD" w:rsidRDefault="001E769E" w:rsidP="001E769E">
      <w:pPr>
        <w:pStyle w:val="ListParagraph"/>
        <w:numPr>
          <w:ilvl w:val="0"/>
          <w:numId w:val="5"/>
        </w:numPr>
        <w:contextualSpacing/>
        <w:rPr>
          <w:rStyle w:val="Hyperlink"/>
          <w:color w:val="auto"/>
          <w:u w:val="none"/>
        </w:rPr>
      </w:pPr>
      <w:proofErr w:type="spellStart"/>
      <w:r>
        <w:t>Zash</w:t>
      </w:r>
      <w:proofErr w:type="spellEnd"/>
      <w:r>
        <w:t xml:space="preserve"> R et al. Update on neural tube defects with antiretroviral exposure in the Tsepamo Study, Botswana. AIDS 2020 virtual. 6–10 July 2020. Oral late breaker abstract OAXLB0102. </w:t>
      </w:r>
      <w:hyperlink r:id="rId16" w:history="1">
        <w:r w:rsidR="00F60948" w:rsidRPr="00EB0763">
          <w:rPr>
            <w:rStyle w:val="Hyperlink"/>
          </w:rPr>
          <w:t>https://cattendee.abstractsonline.com/meeting/9289/presentation/3500</w:t>
        </w:r>
      </w:hyperlink>
    </w:p>
    <w:p w14:paraId="2EEDC2E1" w14:textId="4E761A27" w:rsidR="00EB0763" w:rsidRDefault="00EB0763" w:rsidP="00DC3169">
      <w:pPr>
        <w:contextualSpacing/>
      </w:pPr>
    </w:p>
    <w:p w14:paraId="6C1E70A4" w14:textId="77777777" w:rsidR="00746906" w:rsidRDefault="00746906" w:rsidP="00746906">
      <w:pPr>
        <w:pStyle w:val="ListParagraph"/>
        <w:numPr>
          <w:ilvl w:val="0"/>
          <w:numId w:val="5"/>
        </w:numPr>
        <w:contextualSpacing/>
      </w:pPr>
      <w:r w:rsidRPr="001E769E">
        <w:t>Delany-Moretlwe S et al. Long acting injectable cabotegravir is safe and effective in preventing HIV infection in cisgender women: interim results from HPTN 084. HIV Research for Prevention (HIVR4P) virtual conference, abstract HY01.02, 2021.</w:t>
      </w:r>
    </w:p>
    <w:p w14:paraId="40C05E48" w14:textId="76431017" w:rsidR="00EB0763" w:rsidRPr="00EB0763" w:rsidRDefault="00EB0763" w:rsidP="001E769E">
      <w:pPr>
        <w:pStyle w:val="ListParagraph"/>
        <w:numPr>
          <w:ilvl w:val="0"/>
          <w:numId w:val="5"/>
        </w:numPr>
        <w:contextualSpacing/>
      </w:pPr>
      <w:r w:rsidRPr="00EB0763">
        <w:lastRenderedPageBreak/>
        <w:t>(</w:t>
      </w:r>
      <w:hyperlink r:id="rId17" w:tooltip="https://www.fda.gov/news-events/press-announcements/fda-approves-first-injectable-treatment-hiv-pre-exposure-prevention" w:history="1">
        <w:r w:rsidRPr="00EB0763">
          <w:rPr>
            <w:rStyle w:val="Hyperlink"/>
            <w:lang w:val="en-US"/>
          </w:rPr>
          <w:t>https://www.fda.gov/news-events/press-announcements/fda-approves-first-injectable-treatment-hiv-pre-exposure-prevention</w:t>
        </w:r>
      </w:hyperlink>
      <w:r w:rsidRPr="00EB0763">
        <w:rPr>
          <w:color w:val="000000"/>
          <w:lang w:val="en-US"/>
        </w:rPr>
        <w:t>.</w:t>
      </w:r>
    </w:p>
    <w:p w14:paraId="2F3E3528" w14:textId="77777777" w:rsidR="00EB0763" w:rsidRDefault="00EB0763" w:rsidP="00EB0763">
      <w:pPr>
        <w:pStyle w:val="ListParagraph"/>
      </w:pPr>
    </w:p>
    <w:p w14:paraId="67D7F31D" w14:textId="7D155BEC" w:rsidR="0046064D" w:rsidRPr="0046064D" w:rsidRDefault="00F60948" w:rsidP="0046064D">
      <w:pPr>
        <w:pStyle w:val="ListParagraph"/>
        <w:numPr>
          <w:ilvl w:val="0"/>
          <w:numId w:val="5"/>
        </w:numPr>
        <w:contextualSpacing/>
        <w:rPr>
          <w:rStyle w:val="Hyperlink"/>
          <w:color w:val="auto"/>
          <w:u w:val="none"/>
        </w:rPr>
      </w:pPr>
      <w:r>
        <w:t xml:space="preserve">PHIA </w:t>
      </w:r>
      <w:hyperlink r:id="rId18" w:history="1">
        <w:r w:rsidR="00BE26EE" w:rsidRPr="00712D17">
          <w:rPr>
            <w:rStyle w:val="Hyperlink"/>
          </w:rPr>
          <w:t>https://phia.icap.columbia.edu/</w:t>
        </w:r>
      </w:hyperlink>
    </w:p>
    <w:p w14:paraId="061720DF" w14:textId="77777777" w:rsidR="0046064D" w:rsidRDefault="0046064D" w:rsidP="0046064D">
      <w:pPr>
        <w:pStyle w:val="ListParagraph"/>
      </w:pPr>
    </w:p>
    <w:p w14:paraId="7B830402" w14:textId="77777777" w:rsidR="0046064D" w:rsidRDefault="0046064D" w:rsidP="0046064D">
      <w:pPr>
        <w:pStyle w:val="ListParagraph"/>
        <w:spacing w:after="160" w:line="259" w:lineRule="auto"/>
        <w:ind w:left="360"/>
        <w:contextualSpacing/>
      </w:pPr>
    </w:p>
    <w:p w14:paraId="37745CC1" w14:textId="77777777" w:rsidR="0046064D" w:rsidRDefault="0046064D" w:rsidP="0046064D">
      <w:pPr>
        <w:pStyle w:val="ListParagraph"/>
        <w:ind w:left="360"/>
        <w:contextualSpacing/>
      </w:pPr>
    </w:p>
    <w:p w14:paraId="05BF141D" w14:textId="15F22704" w:rsidR="00BE26EE" w:rsidRDefault="00BE26EE" w:rsidP="00BE26EE">
      <w:pPr>
        <w:contextualSpacing/>
      </w:pPr>
    </w:p>
    <w:p w14:paraId="05CF704A" w14:textId="02138454" w:rsidR="00BE26EE" w:rsidRDefault="00BE26EE" w:rsidP="00BE26EE">
      <w:pPr>
        <w:contextualSpacing/>
      </w:pPr>
    </w:p>
    <w:sectPr w:rsidR="00BE26EE">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97E9" w14:textId="77777777" w:rsidR="00FC0765" w:rsidRDefault="00FC0765" w:rsidP="005D5063">
      <w:pPr>
        <w:spacing w:after="0" w:line="240" w:lineRule="auto"/>
      </w:pPr>
      <w:r>
        <w:separator/>
      </w:r>
    </w:p>
  </w:endnote>
  <w:endnote w:type="continuationSeparator" w:id="0">
    <w:p w14:paraId="15BE0989" w14:textId="77777777" w:rsidR="00FC0765" w:rsidRDefault="00FC0765" w:rsidP="005D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09112"/>
      <w:docPartObj>
        <w:docPartGallery w:val="Page Numbers (Bottom of Page)"/>
        <w:docPartUnique/>
      </w:docPartObj>
    </w:sdtPr>
    <w:sdtEndPr>
      <w:rPr>
        <w:noProof/>
      </w:rPr>
    </w:sdtEndPr>
    <w:sdtContent>
      <w:p w14:paraId="180A1BA0" w14:textId="68867DA0" w:rsidR="005D5063" w:rsidRDefault="005D50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498A3C" w14:textId="77777777" w:rsidR="005D5063" w:rsidRDefault="005D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A6B3" w14:textId="77777777" w:rsidR="00FC0765" w:rsidRDefault="00FC0765" w:rsidP="005D5063">
      <w:pPr>
        <w:spacing w:after="0" w:line="240" w:lineRule="auto"/>
      </w:pPr>
      <w:r>
        <w:separator/>
      </w:r>
    </w:p>
  </w:footnote>
  <w:footnote w:type="continuationSeparator" w:id="0">
    <w:p w14:paraId="36223A3A" w14:textId="77777777" w:rsidR="00FC0765" w:rsidRDefault="00FC0765" w:rsidP="005D5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7D4"/>
    <w:multiLevelType w:val="hybridMultilevel"/>
    <w:tmpl w:val="ABEC2D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AC0A5E"/>
    <w:multiLevelType w:val="hybridMultilevel"/>
    <w:tmpl w:val="73C49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93F1D0C"/>
    <w:multiLevelType w:val="hybridMultilevel"/>
    <w:tmpl w:val="B0DA3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EDC7A88"/>
    <w:multiLevelType w:val="hybridMultilevel"/>
    <w:tmpl w:val="DDD01A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C62B3D"/>
    <w:multiLevelType w:val="hybridMultilevel"/>
    <w:tmpl w:val="37842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E72797"/>
    <w:multiLevelType w:val="hybridMultilevel"/>
    <w:tmpl w:val="2DF46C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7277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41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27929">
    <w:abstractNumId w:val="4"/>
  </w:num>
  <w:num w:numId="4" w16cid:durableId="702751355">
    <w:abstractNumId w:val="5"/>
  </w:num>
  <w:num w:numId="5" w16cid:durableId="1443644455">
    <w:abstractNumId w:val="3"/>
  </w:num>
  <w:num w:numId="6" w16cid:durableId="1569534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18"/>
    <w:rsid w:val="00000F10"/>
    <w:rsid w:val="00033765"/>
    <w:rsid w:val="00036929"/>
    <w:rsid w:val="00042342"/>
    <w:rsid w:val="0004263E"/>
    <w:rsid w:val="00047899"/>
    <w:rsid w:val="000503C8"/>
    <w:rsid w:val="00061DFD"/>
    <w:rsid w:val="00091B20"/>
    <w:rsid w:val="000922CC"/>
    <w:rsid w:val="000949B5"/>
    <w:rsid w:val="000951F6"/>
    <w:rsid w:val="00097529"/>
    <w:rsid w:val="000A205F"/>
    <w:rsid w:val="000A46EB"/>
    <w:rsid w:val="000A47B4"/>
    <w:rsid w:val="000B1108"/>
    <w:rsid w:val="000B1556"/>
    <w:rsid w:val="000B2B55"/>
    <w:rsid w:val="000C119F"/>
    <w:rsid w:val="000C701F"/>
    <w:rsid w:val="000D528E"/>
    <w:rsid w:val="000D7EF2"/>
    <w:rsid w:val="000F3F7D"/>
    <w:rsid w:val="000F4B95"/>
    <w:rsid w:val="000F5C32"/>
    <w:rsid w:val="00101E0F"/>
    <w:rsid w:val="00107BE1"/>
    <w:rsid w:val="00116289"/>
    <w:rsid w:val="00132DC4"/>
    <w:rsid w:val="00133DCC"/>
    <w:rsid w:val="001345FB"/>
    <w:rsid w:val="0013646D"/>
    <w:rsid w:val="00161D53"/>
    <w:rsid w:val="001720CE"/>
    <w:rsid w:val="0017230D"/>
    <w:rsid w:val="001817F9"/>
    <w:rsid w:val="001876AB"/>
    <w:rsid w:val="00187ABC"/>
    <w:rsid w:val="0019542B"/>
    <w:rsid w:val="001A26E2"/>
    <w:rsid w:val="001B29DB"/>
    <w:rsid w:val="001B2E7D"/>
    <w:rsid w:val="001B7A71"/>
    <w:rsid w:val="001D192E"/>
    <w:rsid w:val="001E34E1"/>
    <w:rsid w:val="001E3562"/>
    <w:rsid w:val="001E769E"/>
    <w:rsid w:val="001F355F"/>
    <w:rsid w:val="001F479E"/>
    <w:rsid w:val="0020784B"/>
    <w:rsid w:val="0021015A"/>
    <w:rsid w:val="00210A0D"/>
    <w:rsid w:val="00220C63"/>
    <w:rsid w:val="00227FE4"/>
    <w:rsid w:val="00230C3C"/>
    <w:rsid w:val="00237A5C"/>
    <w:rsid w:val="00247EF0"/>
    <w:rsid w:val="00260009"/>
    <w:rsid w:val="0026340E"/>
    <w:rsid w:val="00286451"/>
    <w:rsid w:val="00292CB8"/>
    <w:rsid w:val="002A4FA5"/>
    <w:rsid w:val="002B0B06"/>
    <w:rsid w:val="002B2A85"/>
    <w:rsid w:val="002B7BDC"/>
    <w:rsid w:val="002C51D4"/>
    <w:rsid w:val="002C599D"/>
    <w:rsid w:val="002E0058"/>
    <w:rsid w:val="002E0FC0"/>
    <w:rsid w:val="002E140D"/>
    <w:rsid w:val="002E4449"/>
    <w:rsid w:val="002F5DF9"/>
    <w:rsid w:val="003019C1"/>
    <w:rsid w:val="003020DE"/>
    <w:rsid w:val="00320088"/>
    <w:rsid w:val="00322313"/>
    <w:rsid w:val="003400D2"/>
    <w:rsid w:val="003464AD"/>
    <w:rsid w:val="00355218"/>
    <w:rsid w:val="003668F2"/>
    <w:rsid w:val="0036745A"/>
    <w:rsid w:val="00381650"/>
    <w:rsid w:val="00382846"/>
    <w:rsid w:val="0038624F"/>
    <w:rsid w:val="0039751E"/>
    <w:rsid w:val="003A0715"/>
    <w:rsid w:val="003A1E4A"/>
    <w:rsid w:val="003A3DB1"/>
    <w:rsid w:val="003A652D"/>
    <w:rsid w:val="003C2BC4"/>
    <w:rsid w:val="003D2E08"/>
    <w:rsid w:val="003E435B"/>
    <w:rsid w:val="003F29F2"/>
    <w:rsid w:val="003F4DDF"/>
    <w:rsid w:val="00401DEF"/>
    <w:rsid w:val="00401F04"/>
    <w:rsid w:val="00406146"/>
    <w:rsid w:val="00410010"/>
    <w:rsid w:val="00423B44"/>
    <w:rsid w:val="004273A6"/>
    <w:rsid w:val="00430D4C"/>
    <w:rsid w:val="00435653"/>
    <w:rsid w:val="0043726B"/>
    <w:rsid w:val="004402CF"/>
    <w:rsid w:val="00441CE7"/>
    <w:rsid w:val="004458D1"/>
    <w:rsid w:val="00447F23"/>
    <w:rsid w:val="00454781"/>
    <w:rsid w:val="0046021B"/>
    <w:rsid w:val="0046064D"/>
    <w:rsid w:val="00474379"/>
    <w:rsid w:val="00474CC1"/>
    <w:rsid w:val="00476703"/>
    <w:rsid w:val="00480F19"/>
    <w:rsid w:val="00481383"/>
    <w:rsid w:val="004A594D"/>
    <w:rsid w:val="004B56C7"/>
    <w:rsid w:val="004E0F48"/>
    <w:rsid w:val="004E32FE"/>
    <w:rsid w:val="00507D15"/>
    <w:rsid w:val="005333B7"/>
    <w:rsid w:val="0054317F"/>
    <w:rsid w:val="0054709B"/>
    <w:rsid w:val="00547BBB"/>
    <w:rsid w:val="00551280"/>
    <w:rsid w:val="00552569"/>
    <w:rsid w:val="005549C8"/>
    <w:rsid w:val="005672BB"/>
    <w:rsid w:val="005717D8"/>
    <w:rsid w:val="00575427"/>
    <w:rsid w:val="00590E10"/>
    <w:rsid w:val="00595F6A"/>
    <w:rsid w:val="00597528"/>
    <w:rsid w:val="005A0E67"/>
    <w:rsid w:val="005A10BE"/>
    <w:rsid w:val="005A10FF"/>
    <w:rsid w:val="005A42FB"/>
    <w:rsid w:val="005A725C"/>
    <w:rsid w:val="005B5EEB"/>
    <w:rsid w:val="005C1796"/>
    <w:rsid w:val="005D07B4"/>
    <w:rsid w:val="005D5063"/>
    <w:rsid w:val="005D70C9"/>
    <w:rsid w:val="005F693A"/>
    <w:rsid w:val="00604C11"/>
    <w:rsid w:val="0061729D"/>
    <w:rsid w:val="00626791"/>
    <w:rsid w:val="006415AD"/>
    <w:rsid w:val="00642F4D"/>
    <w:rsid w:val="00651013"/>
    <w:rsid w:val="00655981"/>
    <w:rsid w:val="00655B31"/>
    <w:rsid w:val="0066113D"/>
    <w:rsid w:val="00662070"/>
    <w:rsid w:val="00693387"/>
    <w:rsid w:val="00696A18"/>
    <w:rsid w:val="006A000B"/>
    <w:rsid w:val="006A2622"/>
    <w:rsid w:val="006A280D"/>
    <w:rsid w:val="006A2C0C"/>
    <w:rsid w:val="006A3180"/>
    <w:rsid w:val="006A541F"/>
    <w:rsid w:val="006C7BB6"/>
    <w:rsid w:val="006D0B09"/>
    <w:rsid w:val="006D349D"/>
    <w:rsid w:val="006D39E6"/>
    <w:rsid w:val="006E0BF0"/>
    <w:rsid w:val="006F230F"/>
    <w:rsid w:val="006F7C39"/>
    <w:rsid w:val="007003CA"/>
    <w:rsid w:val="00731C2C"/>
    <w:rsid w:val="007427F9"/>
    <w:rsid w:val="00746906"/>
    <w:rsid w:val="00750854"/>
    <w:rsid w:val="00750F78"/>
    <w:rsid w:val="00773CA4"/>
    <w:rsid w:val="007772A2"/>
    <w:rsid w:val="00790098"/>
    <w:rsid w:val="007927AD"/>
    <w:rsid w:val="007A2F82"/>
    <w:rsid w:val="007A7A66"/>
    <w:rsid w:val="007B10CB"/>
    <w:rsid w:val="007B4173"/>
    <w:rsid w:val="007C0FA6"/>
    <w:rsid w:val="007D4903"/>
    <w:rsid w:val="007D5FBD"/>
    <w:rsid w:val="007E5B6D"/>
    <w:rsid w:val="007F406D"/>
    <w:rsid w:val="00800C8F"/>
    <w:rsid w:val="00803E13"/>
    <w:rsid w:val="00806087"/>
    <w:rsid w:val="00814596"/>
    <w:rsid w:val="008318DC"/>
    <w:rsid w:val="00845D24"/>
    <w:rsid w:val="00852855"/>
    <w:rsid w:val="00853362"/>
    <w:rsid w:val="00856DA9"/>
    <w:rsid w:val="008721BB"/>
    <w:rsid w:val="00882F93"/>
    <w:rsid w:val="00886880"/>
    <w:rsid w:val="00894B1C"/>
    <w:rsid w:val="00895715"/>
    <w:rsid w:val="008A3D94"/>
    <w:rsid w:val="008B28C6"/>
    <w:rsid w:val="008C494A"/>
    <w:rsid w:val="008D5F02"/>
    <w:rsid w:val="008D6007"/>
    <w:rsid w:val="008E0DC4"/>
    <w:rsid w:val="008F2E1F"/>
    <w:rsid w:val="00902658"/>
    <w:rsid w:val="0092389D"/>
    <w:rsid w:val="00935794"/>
    <w:rsid w:val="0094416B"/>
    <w:rsid w:val="00950383"/>
    <w:rsid w:val="00950DE1"/>
    <w:rsid w:val="00964332"/>
    <w:rsid w:val="00970DF3"/>
    <w:rsid w:val="009742AA"/>
    <w:rsid w:val="009852A2"/>
    <w:rsid w:val="009A21BB"/>
    <w:rsid w:val="009C4E6D"/>
    <w:rsid w:val="009E7E55"/>
    <w:rsid w:val="009F0F50"/>
    <w:rsid w:val="009F5462"/>
    <w:rsid w:val="009F576F"/>
    <w:rsid w:val="009F5F91"/>
    <w:rsid w:val="00A117B4"/>
    <w:rsid w:val="00A245D5"/>
    <w:rsid w:val="00A24FA5"/>
    <w:rsid w:val="00A300D2"/>
    <w:rsid w:val="00A3093F"/>
    <w:rsid w:val="00A37805"/>
    <w:rsid w:val="00A46113"/>
    <w:rsid w:val="00A6432D"/>
    <w:rsid w:val="00A653A4"/>
    <w:rsid w:val="00A77D47"/>
    <w:rsid w:val="00A91F73"/>
    <w:rsid w:val="00A933C3"/>
    <w:rsid w:val="00AA082C"/>
    <w:rsid w:val="00AC4321"/>
    <w:rsid w:val="00AC74E7"/>
    <w:rsid w:val="00AD0AAE"/>
    <w:rsid w:val="00AF56F6"/>
    <w:rsid w:val="00B0310D"/>
    <w:rsid w:val="00B13C8D"/>
    <w:rsid w:val="00B14908"/>
    <w:rsid w:val="00B208F2"/>
    <w:rsid w:val="00B320C2"/>
    <w:rsid w:val="00B36B11"/>
    <w:rsid w:val="00B42894"/>
    <w:rsid w:val="00B57918"/>
    <w:rsid w:val="00B60D39"/>
    <w:rsid w:val="00B66AB7"/>
    <w:rsid w:val="00B67156"/>
    <w:rsid w:val="00B93C8D"/>
    <w:rsid w:val="00B9668F"/>
    <w:rsid w:val="00BA0731"/>
    <w:rsid w:val="00BA3555"/>
    <w:rsid w:val="00BC01AE"/>
    <w:rsid w:val="00BE26EE"/>
    <w:rsid w:val="00BF18FD"/>
    <w:rsid w:val="00C006B1"/>
    <w:rsid w:val="00C02AD1"/>
    <w:rsid w:val="00C109A7"/>
    <w:rsid w:val="00C15BE6"/>
    <w:rsid w:val="00C17CE1"/>
    <w:rsid w:val="00C220BB"/>
    <w:rsid w:val="00C24A6F"/>
    <w:rsid w:val="00C316E9"/>
    <w:rsid w:val="00C4392A"/>
    <w:rsid w:val="00C50285"/>
    <w:rsid w:val="00C56F13"/>
    <w:rsid w:val="00C5706B"/>
    <w:rsid w:val="00C620DA"/>
    <w:rsid w:val="00C62455"/>
    <w:rsid w:val="00C742B4"/>
    <w:rsid w:val="00C76108"/>
    <w:rsid w:val="00C95DAD"/>
    <w:rsid w:val="00CA13F2"/>
    <w:rsid w:val="00CA79A1"/>
    <w:rsid w:val="00CB5A17"/>
    <w:rsid w:val="00CB5DF2"/>
    <w:rsid w:val="00CD177F"/>
    <w:rsid w:val="00CD69DF"/>
    <w:rsid w:val="00CE0C34"/>
    <w:rsid w:val="00CE46E8"/>
    <w:rsid w:val="00D00143"/>
    <w:rsid w:val="00D17EC4"/>
    <w:rsid w:val="00D20383"/>
    <w:rsid w:val="00D40713"/>
    <w:rsid w:val="00D4229B"/>
    <w:rsid w:val="00D53856"/>
    <w:rsid w:val="00D6567E"/>
    <w:rsid w:val="00D65EF0"/>
    <w:rsid w:val="00D804CE"/>
    <w:rsid w:val="00D8253D"/>
    <w:rsid w:val="00D954A2"/>
    <w:rsid w:val="00DA3BB3"/>
    <w:rsid w:val="00DB25F8"/>
    <w:rsid w:val="00DC2307"/>
    <w:rsid w:val="00DC3169"/>
    <w:rsid w:val="00DC3C1B"/>
    <w:rsid w:val="00DC5DA5"/>
    <w:rsid w:val="00DC6C22"/>
    <w:rsid w:val="00DE1F81"/>
    <w:rsid w:val="00E03898"/>
    <w:rsid w:val="00E12E6C"/>
    <w:rsid w:val="00E311B1"/>
    <w:rsid w:val="00E361F7"/>
    <w:rsid w:val="00E365C6"/>
    <w:rsid w:val="00E3684B"/>
    <w:rsid w:val="00E41EBE"/>
    <w:rsid w:val="00E60463"/>
    <w:rsid w:val="00E807D3"/>
    <w:rsid w:val="00EA77D1"/>
    <w:rsid w:val="00EB0763"/>
    <w:rsid w:val="00EB32C7"/>
    <w:rsid w:val="00EF283E"/>
    <w:rsid w:val="00F04B2C"/>
    <w:rsid w:val="00F24034"/>
    <w:rsid w:val="00F3536D"/>
    <w:rsid w:val="00F37324"/>
    <w:rsid w:val="00F434DC"/>
    <w:rsid w:val="00F46A03"/>
    <w:rsid w:val="00F50A39"/>
    <w:rsid w:val="00F60948"/>
    <w:rsid w:val="00F62DE2"/>
    <w:rsid w:val="00F725AF"/>
    <w:rsid w:val="00F772D1"/>
    <w:rsid w:val="00F80E11"/>
    <w:rsid w:val="00F84D61"/>
    <w:rsid w:val="00F84F2D"/>
    <w:rsid w:val="00F93056"/>
    <w:rsid w:val="00FA67C0"/>
    <w:rsid w:val="00FA7737"/>
    <w:rsid w:val="00FB17AE"/>
    <w:rsid w:val="00FB34D6"/>
    <w:rsid w:val="00FB5DDB"/>
    <w:rsid w:val="00FB7BD3"/>
    <w:rsid w:val="00FC0765"/>
    <w:rsid w:val="00FC1F70"/>
    <w:rsid w:val="00FC6383"/>
    <w:rsid w:val="00FD02BC"/>
    <w:rsid w:val="00FE39D2"/>
    <w:rsid w:val="00FE7B73"/>
    <w:rsid w:val="00FF2D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0582"/>
  <w15:chartTrackingRefBased/>
  <w15:docId w15:val="{D5BEA7FB-6AE6-415D-85D4-232E0C1E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A18"/>
    <w:pPr>
      <w:spacing w:after="0" w:line="240" w:lineRule="auto"/>
      <w:ind w:left="720"/>
    </w:pPr>
    <w:rPr>
      <w:rFonts w:ascii="Calibri" w:hAnsi="Calibri" w:cs="Calibri"/>
      <w:lang w:eastAsia="en-GB"/>
    </w:rPr>
  </w:style>
  <w:style w:type="character" w:styleId="CommentReference">
    <w:name w:val="annotation reference"/>
    <w:basedOn w:val="DefaultParagraphFont"/>
    <w:uiPriority w:val="99"/>
    <w:semiHidden/>
    <w:unhideWhenUsed/>
    <w:rsid w:val="00F434DC"/>
    <w:rPr>
      <w:sz w:val="16"/>
      <w:szCs w:val="16"/>
    </w:rPr>
  </w:style>
  <w:style w:type="paragraph" w:styleId="CommentText">
    <w:name w:val="annotation text"/>
    <w:basedOn w:val="Normal"/>
    <w:link w:val="CommentTextChar"/>
    <w:uiPriority w:val="99"/>
    <w:unhideWhenUsed/>
    <w:rsid w:val="00F434DC"/>
    <w:pPr>
      <w:spacing w:line="240" w:lineRule="auto"/>
    </w:pPr>
    <w:rPr>
      <w:sz w:val="20"/>
      <w:szCs w:val="20"/>
    </w:rPr>
  </w:style>
  <w:style w:type="character" w:customStyle="1" w:styleId="CommentTextChar">
    <w:name w:val="Comment Text Char"/>
    <w:basedOn w:val="DefaultParagraphFont"/>
    <w:link w:val="CommentText"/>
    <w:uiPriority w:val="99"/>
    <w:rsid w:val="00F434DC"/>
    <w:rPr>
      <w:sz w:val="20"/>
      <w:szCs w:val="20"/>
    </w:rPr>
  </w:style>
  <w:style w:type="paragraph" w:styleId="CommentSubject">
    <w:name w:val="annotation subject"/>
    <w:basedOn w:val="CommentText"/>
    <w:next w:val="CommentText"/>
    <w:link w:val="CommentSubjectChar"/>
    <w:uiPriority w:val="99"/>
    <w:semiHidden/>
    <w:unhideWhenUsed/>
    <w:rsid w:val="000922CC"/>
    <w:rPr>
      <w:b/>
      <w:bCs/>
    </w:rPr>
  </w:style>
  <w:style w:type="character" w:customStyle="1" w:styleId="CommentSubjectChar">
    <w:name w:val="Comment Subject Char"/>
    <w:basedOn w:val="CommentTextChar"/>
    <w:link w:val="CommentSubject"/>
    <w:uiPriority w:val="99"/>
    <w:semiHidden/>
    <w:rsid w:val="000922CC"/>
    <w:rPr>
      <w:b/>
      <w:bCs/>
      <w:sz w:val="20"/>
      <w:szCs w:val="20"/>
    </w:rPr>
  </w:style>
  <w:style w:type="paragraph" w:customStyle="1" w:styleId="xmsonormal">
    <w:name w:val="x_msonormal"/>
    <w:basedOn w:val="Normal"/>
    <w:rsid w:val="00227FE4"/>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1B29DB"/>
    <w:rPr>
      <w:color w:val="0000FF"/>
      <w:u w:val="single"/>
    </w:rPr>
  </w:style>
  <w:style w:type="character" w:customStyle="1" w:styleId="UnresolvedMention1">
    <w:name w:val="Unresolved Mention1"/>
    <w:basedOn w:val="DefaultParagraphFont"/>
    <w:uiPriority w:val="99"/>
    <w:semiHidden/>
    <w:unhideWhenUsed/>
    <w:rsid w:val="001B29DB"/>
    <w:rPr>
      <w:color w:val="605E5C"/>
      <w:shd w:val="clear" w:color="auto" w:fill="E1DFDD"/>
    </w:rPr>
  </w:style>
  <w:style w:type="character" w:styleId="Emphasis">
    <w:name w:val="Emphasis"/>
    <w:basedOn w:val="DefaultParagraphFont"/>
    <w:uiPriority w:val="20"/>
    <w:qFormat/>
    <w:rsid w:val="00C50285"/>
    <w:rPr>
      <w:i/>
      <w:iCs/>
    </w:rPr>
  </w:style>
  <w:style w:type="character" w:styleId="FollowedHyperlink">
    <w:name w:val="FollowedHyperlink"/>
    <w:basedOn w:val="DefaultParagraphFont"/>
    <w:uiPriority w:val="99"/>
    <w:semiHidden/>
    <w:unhideWhenUsed/>
    <w:rsid w:val="00EB0763"/>
    <w:rPr>
      <w:color w:val="954F72" w:themeColor="followedHyperlink"/>
      <w:u w:val="single"/>
    </w:rPr>
  </w:style>
  <w:style w:type="paragraph" w:styleId="BalloonText">
    <w:name w:val="Balloon Text"/>
    <w:basedOn w:val="Normal"/>
    <w:link w:val="BalloonTextChar"/>
    <w:uiPriority w:val="99"/>
    <w:semiHidden/>
    <w:unhideWhenUsed/>
    <w:rsid w:val="00B9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8F"/>
    <w:rPr>
      <w:rFonts w:ascii="Segoe UI" w:hAnsi="Segoe UI" w:cs="Segoe UI"/>
      <w:sz w:val="18"/>
      <w:szCs w:val="18"/>
    </w:rPr>
  </w:style>
  <w:style w:type="paragraph" w:styleId="Revision">
    <w:name w:val="Revision"/>
    <w:hidden/>
    <w:uiPriority w:val="99"/>
    <w:semiHidden/>
    <w:rsid w:val="00355218"/>
    <w:pPr>
      <w:spacing w:after="0" w:line="240" w:lineRule="auto"/>
    </w:pPr>
  </w:style>
  <w:style w:type="character" w:customStyle="1" w:styleId="apple-converted-space">
    <w:name w:val="apple-converted-space"/>
    <w:basedOn w:val="DefaultParagraphFont"/>
    <w:rsid w:val="000A46EB"/>
  </w:style>
  <w:style w:type="paragraph" w:styleId="NormalWeb">
    <w:name w:val="Normal (Web)"/>
    <w:basedOn w:val="Normal"/>
    <w:uiPriority w:val="99"/>
    <w:semiHidden/>
    <w:unhideWhenUsed/>
    <w:rsid w:val="002A4FA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E26EE"/>
    <w:rPr>
      <w:color w:val="605E5C"/>
      <w:shd w:val="clear" w:color="auto" w:fill="E1DFDD"/>
    </w:rPr>
  </w:style>
  <w:style w:type="character" w:styleId="Strong">
    <w:name w:val="Strong"/>
    <w:basedOn w:val="DefaultParagraphFont"/>
    <w:uiPriority w:val="22"/>
    <w:qFormat/>
    <w:rsid w:val="006A2622"/>
    <w:rPr>
      <w:b/>
      <w:bCs/>
    </w:rPr>
  </w:style>
  <w:style w:type="paragraph" w:styleId="Header">
    <w:name w:val="header"/>
    <w:basedOn w:val="Normal"/>
    <w:link w:val="HeaderChar"/>
    <w:uiPriority w:val="99"/>
    <w:unhideWhenUsed/>
    <w:rsid w:val="005D5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063"/>
  </w:style>
  <w:style w:type="paragraph" w:styleId="Footer">
    <w:name w:val="footer"/>
    <w:basedOn w:val="Normal"/>
    <w:link w:val="FooterChar"/>
    <w:uiPriority w:val="99"/>
    <w:unhideWhenUsed/>
    <w:rsid w:val="005D5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063"/>
  </w:style>
  <w:style w:type="paragraph" w:styleId="PlainText">
    <w:name w:val="Plain Text"/>
    <w:basedOn w:val="Normal"/>
    <w:link w:val="PlainTextChar"/>
    <w:uiPriority w:val="99"/>
    <w:semiHidden/>
    <w:unhideWhenUsed/>
    <w:rsid w:val="000951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51F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888">
      <w:bodyDiv w:val="1"/>
      <w:marLeft w:val="0"/>
      <w:marRight w:val="0"/>
      <w:marTop w:val="0"/>
      <w:marBottom w:val="0"/>
      <w:divBdr>
        <w:top w:val="none" w:sz="0" w:space="0" w:color="auto"/>
        <w:left w:val="none" w:sz="0" w:space="0" w:color="auto"/>
        <w:bottom w:val="none" w:sz="0" w:space="0" w:color="auto"/>
        <w:right w:val="none" w:sz="0" w:space="0" w:color="auto"/>
      </w:divBdr>
    </w:div>
    <w:div w:id="58020195">
      <w:bodyDiv w:val="1"/>
      <w:marLeft w:val="0"/>
      <w:marRight w:val="0"/>
      <w:marTop w:val="0"/>
      <w:marBottom w:val="0"/>
      <w:divBdr>
        <w:top w:val="none" w:sz="0" w:space="0" w:color="auto"/>
        <w:left w:val="none" w:sz="0" w:space="0" w:color="auto"/>
        <w:bottom w:val="none" w:sz="0" w:space="0" w:color="auto"/>
        <w:right w:val="none" w:sz="0" w:space="0" w:color="auto"/>
      </w:divBdr>
    </w:div>
    <w:div w:id="140275065">
      <w:bodyDiv w:val="1"/>
      <w:marLeft w:val="0"/>
      <w:marRight w:val="0"/>
      <w:marTop w:val="0"/>
      <w:marBottom w:val="0"/>
      <w:divBdr>
        <w:top w:val="none" w:sz="0" w:space="0" w:color="auto"/>
        <w:left w:val="none" w:sz="0" w:space="0" w:color="auto"/>
        <w:bottom w:val="none" w:sz="0" w:space="0" w:color="auto"/>
        <w:right w:val="none" w:sz="0" w:space="0" w:color="auto"/>
      </w:divBdr>
    </w:div>
    <w:div w:id="158693125">
      <w:bodyDiv w:val="1"/>
      <w:marLeft w:val="0"/>
      <w:marRight w:val="0"/>
      <w:marTop w:val="0"/>
      <w:marBottom w:val="0"/>
      <w:divBdr>
        <w:top w:val="none" w:sz="0" w:space="0" w:color="auto"/>
        <w:left w:val="none" w:sz="0" w:space="0" w:color="auto"/>
        <w:bottom w:val="none" w:sz="0" w:space="0" w:color="auto"/>
        <w:right w:val="none" w:sz="0" w:space="0" w:color="auto"/>
      </w:divBdr>
    </w:div>
    <w:div w:id="200630536">
      <w:bodyDiv w:val="1"/>
      <w:marLeft w:val="0"/>
      <w:marRight w:val="0"/>
      <w:marTop w:val="0"/>
      <w:marBottom w:val="0"/>
      <w:divBdr>
        <w:top w:val="none" w:sz="0" w:space="0" w:color="auto"/>
        <w:left w:val="none" w:sz="0" w:space="0" w:color="auto"/>
        <w:bottom w:val="none" w:sz="0" w:space="0" w:color="auto"/>
        <w:right w:val="none" w:sz="0" w:space="0" w:color="auto"/>
      </w:divBdr>
    </w:div>
    <w:div w:id="227544413">
      <w:bodyDiv w:val="1"/>
      <w:marLeft w:val="0"/>
      <w:marRight w:val="0"/>
      <w:marTop w:val="0"/>
      <w:marBottom w:val="0"/>
      <w:divBdr>
        <w:top w:val="none" w:sz="0" w:space="0" w:color="auto"/>
        <w:left w:val="none" w:sz="0" w:space="0" w:color="auto"/>
        <w:bottom w:val="none" w:sz="0" w:space="0" w:color="auto"/>
        <w:right w:val="none" w:sz="0" w:space="0" w:color="auto"/>
      </w:divBdr>
    </w:div>
    <w:div w:id="303854821">
      <w:bodyDiv w:val="1"/>
      <w:marLeft w:val="0"/>
      <w:marRight w:val="0"/>
      <w:marTop w:val="0"/>
      <w:marBottom w:val="0"/>
      <w:divBdr>
        <w:top w:val="none" w:sz="0" w:space="0" w:color="auto"/>
        <w:left w:val="none" w:sz="0" w:space="0" w:color="auto"/>
        <w:bottom w:val="none" w:sz="0" w:space="0" w:color="auto"/>
        <w:right w:val="none" w:sz="0" w:space="0" w:color="auto"/>
      </w:divBdr>
    </w:div>
    <w:div w:id="339894367">
      <w:bodyDiv w:val="1"/>
      <w:marLeft w:val="0"/>
      <w:marRight w:val="0"/>
      <w:marTop w:val="0"/>
      <w:marBottom w:val="0"/>
      <w:divBdr>
        <w:top w:val="none" w:sz="0" w:space="0" w:color="auto"/>
        <w:left w:val="none" w:sz="0" w:space="0" w:color="auto"/>
        <w:bottom w:val="none" w:sz="0" w:space="0" w:color="auto"/>
        <w:right w:val="none" w:sz="0" w:space="0" w:color="auto"/>
      </w:divBdr>
    </w:div>
    <w:div w:id="343169893">
      <w:bodyDiv w:val="1"/>
      <w:marLeft w:val="0"/>
      <w:marRight w:val="0"/>
      <w:marTop w:val="0"/>
      <w:marBottom w:val="0"/>
      <w:divBdr>
        <w:top w:val="none" w:sz="0" w:space="0" w:color="auto"/>
        <w:left w:val="none" w:sz="0" w:space="0" w:color="auto"/>
        <w:bottom w:val="none" w:sz="0" w:space="0" w:color="auto"/>
        <w:right w:val="none" w:sz="0" w:space="0" w:color="auto"/>
      </w:divBdr>
    </w:div>
    <w:div w:id="374426095">
      <w:bodyDiv w:val="1"/>
      <w:marLeft w:val="0"/>
      <w:marRight w:val="0"/>
      <w:marTop w:val="0"/>
      <w:marBottom w:val="0"/>
      <w:divBdr>
        <w:top w:val="none" w:sz="0" w:space="0" w:color="auto"/>
        <w:left w:val="none" w:sz="0" w:space="0" w:color="auto"/>
        <w:bottom w:val="none" w:sz="0" w:space="0" w:color="auto"/>
        <w:right w:val="none" w:sz="0" w:space="0" w:color="auto"/>
      </w:divBdr>
    </w:div>
    <w:div w:id="414210128">
      <w:bodyDiv w:val="1"/>
      <w:marLeft w:val="0"/>
      <w:marRight w:val="0"/>
      <w:marTop w:val="0"/>
      <w:marBottom w:val="0"/>
      <w:divBdr>
        <w:top w:val="none" w:sz="0" w:space="0" w:color="auto"/>
        <w:left w:val="none" w:sz="0" w:space="0" w:color="auto"/>
        <w:bottom w:val="none" w:sz="0" w:space="0" w:color="auto"/>
        <w:right w:val="none" w:sz="0" w:space="0" w:color="auto"/>
      </w:divBdr>
    </w:div>
    <w:div w:id="617177636">
      <w:bodyDiv w:val="1"/>
      <w:marLeft w:val="0"/>
      <w:marRight w:val="0"/>
      <w:marTop w:val="0"/>
      <w:marBottom w:val="0"/>
      <w:divBdr>
        <w:top w:val="none" w:sz="0" w:space="0" w:color="auto"/>
        <w:left w:val="none" w:sz="0" w:space="0" w:color="auto"/>
        <w:bottom w:val="none" w:sz="0" w:space="0" w:color="auto"/>
        <w:right w:val="none" w:sz="0" w:space="0" w:color="auto"/>
      </w:divBdr>
    </w:div>
    <w:div w:id="677073949">
      <w:bodyDiv w:val="1"/>
      <w:marLeft w:val="0"/>
      <w:marRight w:val="0"/>
      <w:marTop w:val="0"/>
      <w:marBottom w:val="0"/>
      <w:divBdr>
        <w:top w:val="none" w:sz="0" w:space="0" w:color="auto"/>
        <w:left w:val="none" w:sz="0" w:space="0" w:color="auto"/>
        <w:bottom w:val="none" w:sz="0" w:space="0" w:color="auto"/>
        <w:right w:val="none" w:sz="0" w:space="0" w:color="auto"/>
      </w:divBdr>
    </w:div>
    <w:div w:id="891767939">
      <w:bodyDiv w:val="1"/>
      <w:marLeft w:val="0"/>
      <w:marRight w:val="0"/>
      <w:marTop w:val="0"/>
      <w:marBottom w:val="0"/>
      <w:divBdr>
        <w:top w:val="none" w:sz="0" w:space="0" w:color="auto"/>
        <w:left w:val="none" w:sz="0" w:space="0" w:color="auto"/>
        <w:bottom w:val="none" w:sz="0" w:space="0" w:color="auto"/>
        <w:right w:val="none" w:sz="0" w:space="0" w:color="auto"/>
      </w:divBdr>
    </w:div>
    <w:div w:id="898591496">
      <w:bodyDiv w:val="1"/>
      <w:marLeft w:val="0"/>
      <w:marRight w:val="0"/>
      <w:marTop w:val="0"/>
      <w:marBottom w:val="0"/>
      <w:divBdr>
        <w:top w:val="none" w:sz="0" w:space="0" w:color="auto"/>
        <w:left w:val="none" w:sz="0" w:space="0" w:color="auto"/>
        <w:bottom w:val="none" w:sz="0" w:space="0" w:color="auto"/>
        <w:right w:val="none" w:sz="0" w:space="0" w:color="auto"/>
      </w:divBdr>
    </w:div>
    <w:div w:id="1024280963">
      <w:bodyDiv w:val="1"/>
      <w:marLeft w:val="0"/>
      <w:marRight w:val="0"/>
      <w:marTop w:val="0"/>
      <w:marBottom w:val="0"/>
      <w:divBdr>
        <w:top w:val="none" w:sz="0" w:space="0" w:color="auto"/>
        <w:left w:val="none" w:sz="0" w:space="0" w:color="auto"/>
        <w:bottom w:val="none" w:sz="0" w:space="0" w:color="auto"/>
        <w:right w:val="none" w:sz="0" w:space="0" w:color="auto"/>
      </w:divBdr>
    </w:div>
    <w:div w:id="1370953809">
      <w:bodyDiv w:val="1"/>
      <w:marLeft w:val="0"/>
      <w:marRight w:val="0"/>
      <w:marTop w:val="0"/>
      <w:marBottom w:val="0"/>
      <w:divBdr>
        <w:top w:val="none" w:sz="0" w:space="0" w:color="auto"/>
        <w:left w:val="none" w:sz="0" w:space="0" w:color="auto"/>
        <w:bottom w:val="none" w:sz="0" w:space="0" w:color="auto"/>
        <w:right w:val="none" w:sz="0" w:space="0" w:color="auto"/>
      </w:divBdr>
    </w:div>
    <w:div w:id="1522745285">
      <w:bodyDiv w:val="1"/>
      <w:marLeft w:val="0"/>
      <w:marRight w:val="0"/>
      <w:marTop w:val="0"/>
      <w:marBottom w:val="0"/>
      <w:divBdr>
        <w:top w:val="none" w:sz="0" w:space="0" w:color="auto"/>
        <w:left w:val="none" w:sz="0" w:space="0" w:color="auto"/>
        <w:bottom w:val="none" w:sz="0" w:space="0" w:color="auto"/>
        <w:right w:val="none" w:sz="0" w:space="0" w:color="auto"/>
      </w:divBdr>
    </w:div>
    <w:div w:id="1714571755">
      <w:bodyDiv w:val="1"/>
      <w:marLeft w:val="0"/>
      <w:marRight w:val="0"/>
      <w:marTop w:val="0"/>
      <w:marBottom w:val="0"/>
      <w:divBdr>
        <w:top w:val="none" w:sz="0" w:space="0" w:color="auto"/>
        <w:left w:val="none" w:sz="0" w:space="0" w:color="auto"/>
        <w:bottom w:val="none" w:sz="0" w:space="0" w:color="auto"/>
        <w:right w:val="none" w:sz="0" w:space="0" w:color="auto"/>
      </w:divBdr>
    </w:div>
    <w:div w:id="174922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publications/i/item/9789240031593" TargetMode="External"/><Relationship Id="rId13" Type="http://schemas.openxmlformats.org/officeDocument/2006/relationships/hyperlink" Target="https://doi.org/10.1093/infdis/jiu677" TargetMode="External"/><Relationship Id="rId18" Type="http://schemas.openxmlformats.org/officeDocument/2006/relationships/hyperlink" Target="https://phia.icap.columbia.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uphemia@ceshhar.co.zw" TargetMode="External"/><Relationship Id="rId12" Type="http://schemas.openxmlformats.org/officeDocument/2006/relationships/hyperlink" Target="https://doi.org/10.12688/gatesopenres.12752.2" TargetMode="External"/><Relationship Id="rId17" Type="http://schemas.openxmlformats.org/officeDocument/2006/relationships/hyperlink" Target="https://eur01.safelinks.protection.outlook.com/?url=https%3A%2F%2Fwww.fda.gov%2Fnews-events%2Fpress-announcements%2Ffda-approves-first-injectable-treatment-hiv-pre-exposure-prevention&amp;data=04%7C01%7Candrew.phillips%40ucl.ac.uk%7C455a6df10f8a4a51585608d9c4067517%7C1faf88fea9984c5b93c9210a11d9a5c2%7C0%7C0%7C637756355134402904%7CUnknown%7CTWFpbGZsb3d8eyJWIjoiMC4wLjAwMDAiLCJQIjoiV2luMzIiLCJBTiI6Ik1haWwiLCJXVCI6Mn0%3D%7C2000&amp;sdata=fvdN3YAj2jXYUn9Iy3j6dxDUsSFS4mtCD1GJdn5vyss%3D&amp;reserved=0" TargetMode="External"/><Relationship Id="rId2" Type="http://schemas.openxmlformats.org/officeDocument/2006/relationships/styles" Target="styles.xml"/><Relationship Id="rId16" Type="http://schemas.openxmlformats.org/officeDocument/2006/relationships/hyperlink" Target="https://cattendee.abstractsonline.com/meeting/9289/presentation/35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7/QAD.0000000000002598" TargetMode="External"/><Relationship Id="rId5" Type="http://schemas.openxmlformats.org/officeDocument/2006/relationships/footnotes" Target="footnotes.xml"/><Relationship Id="rId15" Type="http://schemas.openxmlformats.org/officeDocument/2006/relationships/hyperlink" Target="https://www.nature.com/articles/d41586-021-00618-7" TargetMode="External"/><Relationship Id="rId10" Type="http://schemas.openxmlformats.org/officeDocument/2006/relationships/hyperlink" Target="https://researchonline.lshtm.ac.uk/id/eprint/465699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esearchonline.lshtm.ac.uk/view/creators/phpufter.html" TargetMode="External"/><Relationship Id="rId14" Type="http://schemas.openxmlformats.org/officeDocument/2006/relationships/hyperlink" Target="https://doi.org/10.1007/s10508-020-0188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Andrew</dc:creator>
  <cp:keywords/>
  <dc:description/>
  <cp:lastModifiedBy>Paul Revill</cp:lastModifiedBy>
  <cp:revision>2</cp:revision>
  <dcterms:created xsi:type="dcterms:W3CDTF">2022-08-02T18:21:00Z</dcterms:created>
  <dcterms:modified xsi:type="dcterms:W3CDTF">2022-08-02T18:21:00Z</dcterms:modified>
</cp:coreProperties>
</file>