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D0D1CA5" w:rsidR="00510F8F" w:rsidRPr="00E030F1" w:rsidRDefault="007F0F85" w:rsidP="006E411F">
      <w:pPr>
        <w:spacing w:line="480" w:lineRule="auto"/>
        <w:rPr>
          <w:color w:val="000000" w:themeColor="text1"/>
        </w:rPr>
      </w:pPr>
      <w:r w:rsidRPr="00E030F1">
        <w:rPr>
          <w:b/>
          <w:color w:val="000000" w:themeColor="text1"/>
        </w:rPr>
        <w:t>Title</w:t>
      </w:r>
      <w:r w:rsidRPr="00E030F1">
        <w:rPr>
          <w:color w:val="000000" w:themeColor="text1"/>
        </w:rPr>
        <w:t xml:space="preserve">: </w:t>
      </w:r>
      <w:r w:rsidR="009127D3" w:rsidRPr="00E030F1">
        <w:rPr>
          <w:color w:val="000000" w:themeColor="text1"/>
        </w:rPr>
        <w:t xml:space="preserve">The </w:t>
      </w:r>
      <w:r w:rsidR="00DC0857" w:rsidRPr="00E030F1">
        <w:rPr>
          <w:color w:val="000000" w:themeColor="text1"/>
        </w:rPr>
        <w:t xml:space="preserve">putative </w:t>
      </w:r>
      <w:r w:rsidR="00C81A73" w:rsidRPr="00E030F1">
        <w:rPr>
          <w:i/>
          <w:color w:val="000000" w:themeColor="text1"/>
        </w:rPr>
        <w:t>Drosophila</w:t>
      </w:r>
      <w:r w:rsidR="009127D3" w:rsidRPr="00E030F1">
        <w:rPr>
          <w:color w:val="000000" w:themeColor="text1"/>
        </w:rPr>
        <w:t xml:space="preserve"> TMEM184</w:t>
      </w:r>
      <w:r w:rsidR="00D53324" w:rsidRPr="00E030F1">
        <w:rPr>
          <w:color w:val="000000" w:themeColor="text1"/>
        </w:rPr>
        <w:t>B</w:t>
      </w:r>
      <w:r w:rsidR="009127D3" w:rsidRPr="00E030F1">
        <w:rPr>
          <w:color w:val="000000" w:themeColor="text1"/>
        </w:rPr>
        <w:t xml:space="preserve"> ortholog </w:t>
      </w:r>
      <w:proofErr w:type="spellStart"/>
      <w:r w:rsidR="009127D3" w:rsidRPr="00E030F1">
        <w:rPr>
          <w:color w:val="000000" w:themeColor="text1"/>
        </w:rPr>
        <w:t>Tmep</w:t>
      </w:r>
      <w:proofErr w:type="spellEnd"/>
      <w:r w:rsidRPr="00E030F1">
        <w:rPr>
          <w:color w:val="000000" w:themeColor="text1"/>
        </w:rPr>
        <w:t xml:space="preserve"> </w:t>
      </w:r>
      <w:r w:rsidR="009127D3" w:rsidRPr="00E030F1">
        <w:rPr>
          <w:color w:val="000000" w:themeColor="text1"/>
        </w:rPr>
        <w:t>ensures proper</w:t>
      </w:r>
      <w:r w:rsidRPr="00E030F1">
        <w:rPr>
          <w:color w:val="000000" w:themeColor="text1"/>
        </w:rPr>
        <w:t xml:space="preserve"> locomotion </w:t>
      </w:r>
      <w:r w:rsidR="006D41FD" w:rsidRPr="00E030F1">
        <w:rPr>
          <w:color w:val="000000" w:themeColor="text1"/>
        </w:rPr>
        <w:t>by restraining ectopic firing at the neuromuscular junction</w:t>
      </w:r>
    </w:p>
    <w:p w14:paraId="3263B1C1" w14:textId="77777777" w:rsidR="006D41FD" w:rsidRPr="00E030F1" w:rsidRDefault="006D41FD" w:rsidP="006E411F">
      <w:pPr>
        <w:spacing w:line="480" w:lineRule="auto"/>
        <w:rPr>
          <w:b/>
          <w:color w:val="000000" w:themeColor="text1"/>
        </w:rPr>
      </w:pPr>
    </w:p>
    <w:p w14:paraId="00000002" w14:textId="066FC211" w:rsidR="00510F8F" w:rsidRPr="00E030F1" w:rsidRDefault="007F0F85" w:rsidP="006E411F">
      <w:pPr>
        <w:spacing w:line="480" w:lineRule="auto"/>
        <w:rPr>
          <w:color w:val="000000" w:themeColor="text1"/>
        </w:rPr>
      </w:pPr>
      <w:r w:rsidRPr="00E030F1">
        <w:rPr>
          <w:b/>
          <w:color w:val="000000" w:themeColor="text1"/>
        </w:rPr>
        <w:t>Authors</w:t>
      </w:r>
      <w:r w:rsidRPr="00E030F1">
        <w:rPr>
          <w:color w:val="000000" w:themeColor="text1"/>
        </w:rPr>
        <w:t xml:space="preserve">: Tiffany </w:t>
      </w:r>
      <w:r w:rsidR="00845960" w:rsidRPr="00E030F1">
        <w:rPr>
          <w:color w:val="000000" w:themeColor="text1"/>
        </w:rPr>
        <w:t xml:space="preserve">S. </w:t>
      </w:r>
      <w:r w:rsidRPr="00E030F1">
        <w:rPr>
          <w:color w:val="000000" w:themeColor="text1"/>
        </w:rPr>
        <w:t>Cho*</w:t>
      </w:r>
      <w:r w:rsidR="009127D3" w:rsidRPr="00E030F1">
        <w:rPr>
          <w:color w:val="000000" w:themeColor="text1"/>
          <w:vertAlign w:val="superscript"/>
        </w:rPr>
        <w:t>1</w:t>
      </w:r>
      <w:r w:rsidRPr="00E030F1">
        <w:rPr>
          <w:color w:val="000000" w:themeColor="text1"/>
        </w:rPr>
        <w:t xml:space="preserve">, </w:t>
      </w:r>
      <w:proofErr w:type="spellStart"/>
      <w:r w:rsidRPr="00E030F1">
        <w:rPr>
          <w:color w:val="000000" w:themeColor="text1"/>
        </w:rPr>
        <w:t>Eglė</w:t>
      </w:r>
      <w:proofErr w:type="spellEnd"/>
      <w:r w:rsidRPr="00E030F1">
        <w:rPr>
          <w:color w:val="000000" w:themeColor="text1"/>
        </w:rPr>
        <w:t xml:space="preserve"> </w:t>
      </w:r>
      <w:proofErr w:type="spellStart"/>
      <w:r w:rsidRPr="00E030F1">
        <w:rPr>
          <w:color w:val="000000" w:themeColor="text1"/>
        </w:rPr>
        <w:t>Beigaitė</w:t>
      </w:r>
      <w:proofErr w:type="spellEnd"/>
      <w:r w:rsidRPr="00E030F1">
        <w:rPr>
          <w:color w:val="000000" w:themeColor="text1"/>
        </w:rPr>
        <w:t>*</w:t>
      </w:r>
      <w:r w:rsidR="009127D3" w:rsidRPr="00E030F1">
        <w:rPr>
          <w:color w:val="000000" w:themeColor="text1"/>
          <w:vertAlign w:val="superscript"/>
        </w:rPr>
        <w:t>2</w:t>
      </w:r>
      <w:r w:rsidRPr="00E030F1">
        <w:rPr>
          <w:color w:val="000000" w:themeColor="text1"/>
        </w:rPr>
        <w:t>, Nat</w:t>
      </w:r>
      <w:r w:rsidR="00845960" w:rsidRPr="00E030F1">
        <w:rPr>
          <w:color w:val="000000" w:themeColor="text1"/>
        </w:rPr>
        <w:t>haniel E.</w:t>
      </w:r>
      <w:r w:rsidRPr="00E030F1">
        <w:rPr>
          <w:color w:val="000000" w:themeColor="text1"/>
        </w:rPr>
        <w:t xml:space="preserve"> Klein*</w:t>
      </w:r>
      <w:r w:rsidR="009127D3" w:rsidRPr="00E030F1">
        <w:rPr>
          <w:color w:val="000000" w:themeColor="text1"/>
          <w:vertAlign w:val="superscript"/>
        </w:rPr>
        <w:t>1</w:t>
      </w:r>
      <w:r w:rsidRPr="00E030F1">
        <w:rPr>
          <w:color w:val="000000" w:themeColor="text1"/>
        </w:rPr>
        <w:t xml:space="preserve">, Sean </w:t>
      </w:r>
      <w:r w:rsidR="0049054B" w:rsidRPr="00E030F1">
        <w:rPr>
          <w:color w:val="000000" w:themeColor="text1"/>
        </w:rPr>
        <w:t xml:space="preserve">T. </w:t>
      </w:r>
      <w:r w:rsidRPr="00E030F1">
        <w:rPr>
          <w:color w:val="000000" w:themeColor="text1"/>
        </w:rPr>
        <w:t>Sweeney</w:t>
      </w:r>
      <w:r w:rsidR="009127D3" w:rsidRPr="00E030F1">
        <w:rPr>
          <w:color w:val="000000" w:themeColor="text1"/>
          <w:vertAlign w:val="superscript"/>
        </w:rPr>
        <w:t>2</w:t>
      </w:r>
      <w:r w:rsidRPr="00E030F1">
        <w:rPr>
          <w:color w:val="000000" w:themeColor="text1"/>
        </w:rPr>
        <w:t xml:space="preserve">, Martha </w:t>
      </w:r>
      <w:r w:rsidR="006C3F22" w:rsidRPr="00E030F1">
        <w:rPr>
          <w:color w:val="000000" w:themeColor="text1"/>
        </w:rPr>
        <w:t xml:space="preserve">R.C. </w:t>
      </w:r>
      <w:r w:rsidRPr="00E030F1">
        <w:rPr>
          <w:color w:val="000000" w:themeColor="text1"/>
        </w:rPr>
        <w:t>Bhattacharya</w:t>
      </w:r>
      <w:r w:rsidR="009127D3" w:rsidRPr="00E030F1">
        <w:rPr>
          <w:color w:val="000000" w:themeColor="text1"/>
          <w:vertAlign w:val="superscript"/>
        </w:rPr>
        <w:t>1</w:t>
      </w:r>
      <w:r w:rsidR="006C3F22" w:rsidRPr="00E030F1">
        <w:rPr>
          <w:color w:val="000000" w:themeColor="text1"/>
          <w:vertAlign w:val="superscript"/>
        </w:rPr>
        <w:t>#</w:t>
      </w:r>
    </w:p>
    <w:p w14:paraId="64839856" w14:textId="77777777" w:rsidR="006D41FD" w:rsidRPr="00E030F1" w:rsidRDefault="006D41FD" w:rsidP="006E411F">
      <w:pPr>
        <w:spacing w:line="480" w:lineRule="auto"/>
        <w:rPr>
          <w:b/>
          <w:color w:val="000000" w:themeColor="text1"/>
        </w:rPr>
      </w:pPr>
    </w:p>
    <w:p w14:paraId="00000003" w14:textId="35A70BFC" w:rsidR="00510F8F" w:rsidRPr="00E030F1" w:rsidRDefault="007F0F85" w:rsidP="006E411F">
      <w:pPr>
        <w:spacing w:line="480" w:lineRule="auto"/>
        <w:rPr>
          <w:color w:val="000000" w:themeColor="text1"/>
        </w:rPr>
      </w:pPr>
      <w:r w:rsidRPr="00E030F1">
        <w:rPr>
          <w:b/>
          <w:color w:val="000000" w:themeColor="text1"/>
        </w:rPr>
        <w:t>Affiliations</w:t>
      </w:r>
      <w:r w:rsidRPr="00E030F1">
        <w:rPr>
          <w:color w:val="000000" w:themeColor="text1"/>
        </w:rPr>
        <w:t xml:space="preserve">: </w:t>
      </w:r>
    </w:p>
    <w:p w14:paraId="61783775" w14:textId="5822F97A" w:rsidR="009127D3" w:rsidRPr="00E030F1" w:rsidRDefault="009127D3" w:rsidP="00FE548F">
      <w:pPr>
        <w:spacing w:line="480" w:lineRule="auto"/>
        <w:rPr>
          <w:bCs/>
          <w:color w:val="000000" w:themeColor="text1"/>
        </w:rPr>
      </w:pPr>
      <w:r w:rsidRPr="00E030F1">
        <w:rPr>
          <w:bCs/>
          <w:color w:val="000000" w:themeColor="text1"/>
          <w:vertAlign w:val="superscript"/>
        </w:rPr>
        <w:t>1</w:t>
      </w:r>
      <w:r w:rsidRPr="00E030F1">
        <w:rPr>
          <w:bCs/>
          <w:color w:val="000000" w:themeColor="text1"/>
        </w:rPr>
        <w:t xml:space="preserve"> Department of Neuroscience, University of Arizona, 1040 E 4</w:t>
      </w:r>
      <w:r w:rsidRPr="00E030F1">
        <w:rPr>
          <w:bCs/>
          <w:color w:val="000000" w:themeColor="text1"/>
          <w:vertAlign w:val="superscript"/>
        </w:rPr>
        <w:t>th</w:t>
      </w:r>
      <w:r w:rsidRPr="00E030F1">
        <w:rPr>
          <w:bCs/>
          <w:color w:val="000000" w:themeColor="text1"/>
        </w:rPr>
        <w:t xml:space="preserve"> Street, Tucson AZ 85721, USA</w:t>
      </w:r>
    </w:p>
    <w:p w14:paraId="50C9AA91" w14:textId="77777777" w:rsidR="009127D3" w:rsidRPr="00E030F1" w:rsidRDefault="009127D3" w:rsidP="00FE548F">
      <w:pPr>
        <w:spacing w:line="480" w:lineRule="auto"/>
        <w:rPr>
          <w:bCs/>
          <w:color w:val="000000" w:themeColor="text1"/>
        </w:rPr>
      </w:pPr>
    </w:p>
    <w:p w14:paraId="4AD5B1CF" w14:textId="58DB577B" w:rsidR="009127D3" w:rsidRPr="00E030F1" w:rsidRDefault="009127D3" w:rsidP="00FE548F">
      <w:pPr>
        <w:spacing w:line="480" w:lineRule="auto"/>
        <w:rPr>
          <w:color w:val="000000" w:themeColor="text1"/>
        </w:rPr>
      </w:pPr>
      <w:r w:rsidRPr="00E030F1">
        <w:rPr>
          <w:bCs/>
          <w:color w:val="000000" w:themeColor="text1"/>
          <w:vertAlign w:val="superscript"/>
        </w:rPr>
        <w:t>2</w:t>
      </w:r>
      <w:r w:rsidRPr="00E030F1">
        <w:rPr>
          <w:bCs/>
          <w:color w:val="000000" w:themeColor="text1"/>
        </w:rPr>
        <w:t xml:space="preserve"> </w:t>
      </w:r>
      <w:r w:rsidRPr="00E030F1">
        <w:rPr>
          <w:color w:val="000000" w:themeColor="text1"/>
        </w:rPr>
        <w:t>Department of Biology, University of York, York, YO10 5DD, UK; York Biomedical Research Institute, University of York, York, YO10 5DD, UK</w:t>
      </w:r>
    </w:p>
    <w:p w14:paraId="71B7FD4C" w14:textId="3A7D30DD" w:rsidR="00770C90" w:rsidRPr="00E030F1" w:rsidRDefault="00770C90" w:rsidP="00FE548F">
      <w:pPr>
        <w:spacing w:line="480" w:lineRule="auto"/>
        <w:rPr>
          <w:color w:val="000000" w:themeColor="text1"/>
        </w:rPr>
      </w:pPr>
    </w:p>
    <w:p w14:paraId="4D5E9947" w14:textId="3919F75A" w:rsidR="006C3F22" w:rsidRPr="00E030F1" w:rsidRDefault="00770C90" w:rsidP="00FE548F">
      <w:pPr>
        <w:spacing w:line="480" w:lineRule="auto"/>
        <w:rPr>
          <w:color w:val="000000" w:themeColor="text1"/>
        </w:rPr>
      </w:pPr>
      <w:r w:rsidRPr="00E030F1">
        <w:rPr>
          <w:color w:val="000000" w:themeColor="text1"/>
        </w:rPr>
        <w:t>*These authors contributed equally</w:t>
      </w:r>
      <w:r w:rsidR="006C3F22" w:rsidRPr="00E030F1">
        <w:rPr>
          <w:color w:val="000000" w:themeColor="text1"/>
        </w:rPr>
        <w:t>.</w:t>
      </w:r>
    </w:p>
    <w:p w14:paraId="6EC04732" w14:textId="0F6FE5DE" w:rsidR="009127D3" w:rsidRPr="00E030F1" w:rsidRDefault="006C3F22" w:rsidP="00FE548F">
      <w:pPr>
        <w:spacing w:line="480" w:lineRule="auto"/>
        <w:rPr>
          <w:rStyle w:val="Hyperlink"/>
          <w:bCs/>
          <w:color w:val="000000" w:themeColor="text1"/>
        </w:rPr>
      </w:pPr>
      <w:r w:rsidRPr="00E030F1">
        <w:rPr>
          <w:bCs/>
          <w:color w:val="000000" w:themeColor="text1"/>
        </w:rPr>
        <w:t>#</w:t>
      </w:r>
      <w:r w:rsidR="009127D3" w:rsidRPr="00E030F1">
        <w:rPr>
          <w:bCs/>
          <w:color w:val="000000" w:themeColor="text1"/>
        </w:rPr>
        <w:t xml:space="preserve">Correspondence: </w:t>
      </w:r>
      <w:hyperlink r:id="rId7" w:history="1">
        <w:r w:rsidR="009254C2" w:rsidRPr="00E030F1">
          <w:rPr>
            <w:rStyle w:val="Hyperlink"/>
            <w:bCs/>
            <w:color w:val="000000" w:themeColor="text1"/>
          </w:rPr>
          <w:t>marthab1@email.arizona.edu</w:t>
        </w:r>
      </w:hyperlink>
    </w:p>
    <w:p w14:paraId="761B77BD" w14:textId="77777777" w:rsidR="009127D3" w:rsidRPr="00E030F1" w:rsidRDefault="009127D3" w:rsidP="00FE548F">
      <w:pPr>
        <w:spacing w:line="480" w:lineRule="auto"/>
        <w:rPr>
          <w:bCs/>
          <w:color w:val="000000" w:themeColor="text1"/>
          <w:u w:val="single"/>
        </w:rPr>
      </w:pPr>
    </w:p>
    <w:p w14:paraId="43A56299" w14:textId="342027C8" w:rsidR="006D41FD" w:rsidRPr="00E030F1" w:rsidRDefault="006C3F22" w:rsidP="006E411F">
      <w:pPr>
        <w:spacing w:line="480" w:lineRule="auto"/>
        <w:rPr>
          <w:b/>
          <w:color w:val="000000" w:themeColor="text1"/>
        </w:rPr>
      </w:pPr>
      <w:r w:rsidRPr="00E030F1">
        <w:rPr>
          <w:b/>
          <w:color w:val="000000" w:themeColor="text1"/>
        </w:rPr>
        <w:t xml:space="preserve">ORCID IDs: </w:t>
      </w:r>
      <w:r w:rsidR="002505C0" w:rsidRPr="00E030F1">
        <w:rPr>
          <w:rStyle w:val="Strong"/>
          <w:rFonts w:eastAsia="Times New Roman"/>
          <w:b w:val="0"/>
          <w:bCs w:val="0"/>
          <w:color w:val="000000" w:themeColor="text1"/>
          <w:spacing w:val="8"/>
        </w:rPr>
        <w:t>0000-0002-0993-2010</w:t>
      </w:r>
      <w:r w:rsidR="002505C0" w:rsidRPr="00E030F1">
        <w:rPr>
          <w:color w:val="000000" w:themeColor="text1"/>
        </w:rPr>
        <w:t xml:space="preserve"> (T.S.C.), 0000-0001-6659-4524 (E.B.), </w:t>
      </w:r>
      <w:hyperlink r:id="rId8" w:history="1">
        <w:r w:rsidRPr="00E030F1">
          <w:rPr>
            <w:rStyle w:val="Hyperlink"/>
            <w:color w:val="000000" w:themeColor="text1"/>
          </w:rPr>
          <w:t>0000-0003-2673-9578</w:t>
        </w:r>
      </w:hyperlink>
      <w:r w:rsidRPr="00E030F1">
        <w:rPr>
          <w:color w:val="000000" w:themeColor="text1"/>
        </w:rPr>
        <w:t xml:space="preserve"> (S.T.S.), </w:t>
      </w:r>
      <w:r w:rsidRPr="00E030F1">
        <w:rPr>
          <w:rStyle w:val="orcid-id-https"/>
          <w:color w:val="000000" w:themeColor="text1"/>
        </w:rPr>
        <w:t>0000-0001-7130-0885 (M.R.C.B.)</w:t>
      </w:r>
    </w:p>
    <w:p w14:paraId="00000004" w14:textId="3C3F0E12" w:rsidR="00510F8F" w:rsidRPr="00E030F1" w:rsidRDefault="007F0F85" w:rsidP="00D37A30">
      <w:pPr>
        <w:spacing w:line="480" w:lineRule="auto"/>
        <w:rPr>
          <w:color w:val="000000" w:themeColor="text1"/>
        </w:rPr>
      </w:pPr>
      <w:r w:rsidRPr="00E030F1">
        <w:rPr>
          <w:b/>
          <w:color w:val="000000" w:themeColor="text1"/>
        </w:rPr>
        <w:t>Keywords</w:t>
      </w:r>
      <w:r w:rsidRPr="00E030F1">
        <w:rPr>
          <w:color w:val="000000" w:themeColor="text1"/>
        </w:rPr>
        <w:t>:</w:t>
      </w:r>
      <w:r w:rsidR="009127D3" w:rsidRPr="00E030F1">
        <w:rPr>
          <w:color w:val="000000" w:themeColor="text1"/>
        </w:rPr>
        <w:t xml:space="preserve"> TMEM184</w:t>
      </w:r>
      <w:r w:rsidR="00D7117D" w:rsidRPr="00E030F1">
        <w:rPr>
          <w:color w:val="000000" w:themeColor="text1"/>
        </w:rPr>
        <w:t>B</w:t>
      </w:r>
      <w:r w:rsidR="009127D3" w:rsidRPr="00E030F1">
        <w:rPr>
          <w:color w:val="000000" w:themeColor="text1"/>
        </w:rPr>
        <w:t>, neuromuscular junction, excitability, synapse, epilepsy</w:t>
      </w:r>
      <w:r w:rsidR="00F34DC1" w:rsidRPr="00E030F1">
        <w:rPr>
          <w:color w:val="000000" w:themeColor="text1"/>
        </w:rPr>
        <w:t>, calcium</w:t>
      </w:r>
    </w:p>
    <w:p w14:paraId="61FB853B" w14:textId="77777777" w:rsidR="006E411F" w:rsidRPr="00E030F1" w:rsidRDefault="006E411F" w:rsidP="00FE548F">
      <w:pPr>
        <w:spacing w:line="480" w:lineRule="auto"/>
        <w:rPr>
          <w:b/>
          <w:color w:val="000000" w:themeColor="text1"/>
        </w:rPr>
      </w:pPr>
    </w:p>
    <w:p w14:paraId="4AADCD18" w14:textId="7C690075" w:rsidR="006D41FD" w:rsidRPr="00E030F1" w:rsidRDefault="006E411F" w:rsidP="00FE548F">
      <w:pPr>
        <w:spacing w:line="480" w:lineRule="auto"/>
        <w:rPr>
          <w:b/>
          <w:color w:val="000000" w:themeColor="text1"/>
        </w:rPr>
      </w:pPr>
      <w:r w:rsidRPr="00E030F1">
        <w:rPr>
          <w:b/>
          <w:color w:val="000000" w:themeColor="text1"/>
        </w:rPr>
        <w:t xml:space="preserve">Acknowledgements. </w:t>
      </w:r>
      <w:r w:rsidRPr="00E030F1">
        <w:rPr>
          <w:bCs/>
          <w:color w:val="000000" w:themeColor="text1"/>
        </w:rPr>
        <w:t xml:space="preserve">The authors </w:t>
      </w:r>
      <w:r w:rsidR="00D53324" w:rsidRPr="00E030F1">
        <w:rPr>
          <w:bCs/>
          <w:color w:val="000000" w:themeColor="text1"/>
        </w:rPr>
        <w:t>would like to thank</w:t>
      </w:r>
      <w:r w:rsidRPr="00E030F1">
        <w:rPr>
          <w:bCs/>
          <w:color w:val="000000" w:themeColor="text1"/>
        </w:rPr>
        <w:t xml:space="preserve"> all members of the Bhattacharya lab for thoughtful comments on the manuscript. We also </w:t>
      </w:r>
      <w:r w:rsidR="00D53324" w:rsidRPr="00E030F1">
        <w:rPr>
          <w:bCs/>
          <w:color w:val="000000" w:themeColor="text1"/>
        </w:rPr>
        <w:t>thank</w:t>
      </w:r>
      <w:r w:rsidRPr="00E030F1">
        <w:rPr>
          <w:bCs/>
          <w:color w:val="000000" w:themeColor="text1"/>
        </w:rPr>
        <w:t xml:space="preserve"> Dr. Konrad Zinsmaier for sharing his electrophysiology equipment as well as his expertise for our work.</w:t>
      </w:r>
      <w:r w:rsidR="00D53324" w:rsidRPr="00E030F1">
        <w:rPr>
          <w:bCs/>
          <w:color w:val="000000" w:themeColor="text1"/>
        </w:rPr>
        <w:t xml:space="preserve"> We thank Dr</w:t>
      </w:r>
      <w:r w:rsidR="00C34BF8" w:rsidRPr="00E030F1">
        <w:rPr>
          <w:bCs/>
          <w:color w:val="000000" w:themeColor="text1"/>
        </w:rPr>
        <w:t>s</w:t>
      </w:r>
      <w:r w:rsidR="00983F05" w:rsidRPr="00E030F1">
        <w:rPr>
          <w:bCs/>
          <w:color w:val="000000" w:themeColor="text1"/>
        </w:rPr>
        <w:t>.</w:t>
      </w:r>
      <w:r w:rsidR="00D53324" w:rsidRPr="00E030F1">
        <w:rPr>
          <w:bCs/>
          <w:color w:val="000000" w:themeColor="text1"/>
        </w:rPr>
        <w:t xml:space="preserve"> Kimberly Chapman </w:t>
      </w:r>
      <w:r w:rsidR="00C34BF8" w:rsidRPr="00E030F1">
        <w:rPr>
          <w:bCs/>
          <w:color w:val="000000" w:themeColor="text1"/>
        </w:rPr>
        <w:t xml:space="preserve">and </w:t>
      </w:r>
      <w:r w:rsidR="00D53324" w:rsidRPr="00E030F1">
        <w:rPr>
          <w:bCs/>
          <w:color w:val="000000" w:themeColor="text1"/>
        </w:rPr>
        <w:t xml:space="preserve">Seth Berger </w:t>
      </w:r>
      <w:r w:rsidR="00C34BF8" w:rsidRPr="00E030F1">
        <w:rPr>
          <w:bCs/>
          <w:color w:val="000000" w:themeColor="text1"/>
        </w:rPr>
        <w:t xml:space="preserve">at Children’s National Medical Center </w:t>
      </w:r>
      <w:r w:rsidR="00D53324" w:rsidRPr="00E030F1">
        <w:rPr>
          <w:bCs/>
          <w:color w:val="000000" w:themeColor="text1"/>
        </w:rPr>
        <w:t>for communicating unpublished information.</w:t>
      </w:r>
      <w:r w:rsidRPr="00E030F1">
        <w:rPr>
          <w:bCs/>
          <w:color w:val="000000" w:themeColor="text1"/>
        </w:rPr>
        <w:t xml:space="preserve"> We thank the York Protein Production Facility</w:t>
      </w:r>
      <w:r w:rsidR="00BC3703" w:rsidRPr="00E030F1">
        <w:rPr>
          <w:bCs/>
          <w:color w:val="000000" w:themeColor="text1"/>
        </w:rPr>
        <w:t xml:space="preserve">, the </w:t>
      </w:r>
      <w:r w:rsidRPr="00E030F1">
        <w:rPr>
          <w:bCs/>
          <w:color w:val="000000" w:themeColor="text1"/>
        </w:rPr>
        <w:t>York Imaging and Cytometry Facility</w:t>
      </w:r>
      <w:r w:rsidR="00BC3703" w:rsidRPr="00E030F1">
        <w:rPr>
          <w:bCs/>
          <w:color w:val="000000" w:themeColor="text1"/>
        </w:rPr>
        <w:t>, and the University of Arizona Marley Microscopy Core Facility</w:t>
      </w:r>
      <w:r w:rsidRPr="00E030F1">
        <w:rPr>
          <w:bCs/>
          <w:color w:val="000000" w:themeColor="text1"/>
        </w:rPr>
        <w:t xml:space="preserve"> for their assistance. </w:t>
      </w:r>
      <w:r w:rsidR="006D41FD" w:rsidRPr="00E030F1">
        <w:rPr>
          <w:bCs/>
          <w:color w:val="000000" w:themeColor="text1"/>
        </w:rPr>
        <w:br w:type="page"/>
      </w:r>
    </w:p>
    <w:p w14:paraId="00000007" w14:textId="008D6023" w:rsidR="00510F8F" w:rsidRPr="00E030F1" w:rsidRDefault="007F0F85" w:rsidP="000D4897">
      <w:pPr>
        <w:spacing w:line="480" w:lineRule="auto"/>
        <w:rPr>
          <w:b/>
          <w:color w:val="000000" w:themeColor="text1"/>
        </w:rPr>
      </w:pPr>
      <w:r w:rsidRPr="00E030F1">
        <w:rPr>
          <w:b/>
          <w:color w:val="000000" w:themeColor="text1"/>
        </w:rPr>
        <w:lastRenderedPageBreak/>
        <w:t>Abstract</w:t>
      </w:r>
    </w:p>
    <w:p w14:paraId="0FA77CAA" w14:textId="0DF663A2" w:rsidR="003C7E08" w:rsidRPr="00E030F1" w:rsidRDefault="003C7E08" w:rsidP="003C7E08">
      <w:pPr>
        <w:spacing w:line="480" w:lineRule="auto"/>
        <w:ind w:firstLine="720"/>
        <w:rPr>
          <w:rFonts w:eastAsia="Times New Roman"/>
          <w:color w:val="000000" w:themeColor="text1"/>
        </w:rPr>
      </w:pPr>
      <w:r w:rsidRPr="00E030F1">
        <w:rPr>
          <w:rFonts w:eastAsia="Times New Roman"/>
          <w:color w:val="000000" w:themeColor="text1"/>
        </w:rPr>
        <w:t xml:space="preserve">TMEM184B is a putative seven-pass membrane protein that promotes axon degeneration after injury. </w:t>
      </w:r>
      <w:r w:rsidRPr="00E030F1">
        <w:rPr>
          <w:rFonts w:eastAsia="Times New Roman"/>
          <w:i/>
          <w:iCs/>
          <w:color w:val="000000" w:themeColor="text1"/>
        </w:rPr>
        <w:t>TMEM184B</w:t>
      </w:r>
      <w:r w:rsidRPr="00E030F1">
        <w:rPr>
          <w:rFonts w:eastAsia="Times New Roman"/>
          <w:color w:val="000000" w:themeColor="text1"/>
        </w:rPr>
        <w:t xml:space="preserve"> mutation causes aberrant neuromuscular architecture and sensory and motor behavioral defects in mice. The mechanism through which TMEM184B causes neuromuscular defects is unknown. We employed </w:t>
      </w:r>
      <w:r w:rsidRPr="00E030F1">
        <w:rPr>
          <w:rFonts w:eastAsia="Times New Roman"/>
          <w:i/>
          <w:iCs/>
          <w:color w:val="000000" w:themeColor="text1"/>
        </w:rPr>
        <w:t>Drosophila melanogaster</w:t>
      </w:r>
      <w:r w:rsidRPr="00E030F1">
        <w:rPr>
          <w:rFonts w:eastAsia="Times New Roman"/>
          <w:color w:val="000000" w:themeColor="text1"/>
        </w:rPr>
        <w:t xml:space="preserve"> to investigate the function of the</w:t>
      </w:r>
      <w:r w:rsidR="00366311" w:rsidRPr="00E030F1">
        <w:rPr>
          <w:rFonts w:eastAsia="Times New Roman"/>
          <w:color w:val="000000" w:themeColor="text1"/>
        </w:rPr>
        <w:t xml:space="preserve"> closely related</w:t>
      </w:r>
      <w:r w:rsidRPr="00E030F1">
        <w:rPr>
          <w:rFonts w:eastAsia="Times New Roman"/>
          <w:color w:val="000000" w:themeColor="text1"/>
        </w:rPr>
        <w:t xml:space="preserve"> </w:t>
      </w:r>
      <w:r w:rsidR="00366311" w:rsidRPr="00E030F1">
        <w:rPr>
          <w:rFonts w:eastAsia="Times New Roman"/>
          <w:color w:val="000000" w:themeColor="text1"/>
        </w:rPr>
        <w:t>gene</w:t>
      </w:r>
      <w:r w:rsidRPr="00E030F1">
        <w:rPr>
          <w:rFonts w:eastAsia="Times New Roman"/>
          <w:color w:val="000000" w:themeColor="text1"/>
        </w:rPr>
        <w:t xml:space="preserve">, </w:t>
      </w:r>
      <w:proofErr w:type="spellStart"/>
      <w:r w:rsidRPr="00E030F1">
        <w:rPr>
          <w:rFonts w:eastAsia="Times New Roman"/>
          <w:i/>
          <w:iCs/>
          <w:color w:val="000000" w:themeColor="text1"/>
        </w:rPr>
        <w:t>Tmep</w:t>
      </w:r>
      <w:proofErr w:type="spellEnd"/>
      <w:r w:rsidRPr="00E030F1">
        <w:rPr>
          <w:rFonts w:eastAsia="Times New Roman"/>
          <w:color w:val="000000" w:themeColor="text1"/>
        </w:rPr>
        <w:t xml:space="preserve"> (CG12004)</w:t>
      </w:r>
      <w:r w:rsidR="00366311" w:rsidRPr="00E030F1">
        <w:rPr>
          <w:rFonts w:eastAsia="Times New Roman"/>
          <w:color w:val="000000" w:themeColor="text1"/>
        </w:rPr>
        <w:t>,</w:t>
      </w:r>
      <w:r w:rsidRPr="00E030F1">
        <w:rPr>
          <w:rFonts w:eastAsia="Times New Roman"/>
          <w:color w:val="000000" w:themeColor="text1"/>
        </w:rPr>
        <w:t xml:space="preserve"> at the neuromuscular junction. We show that </w:t>
      </w:r>
      <w:proofErr w:type="spellStart"/>
      <w:r w:rsidRPr="00E030F1">
        <w:rPr>
          <w:rFonts w:eastAsia="Times New Roman"/>
          <w:color w:val="000000" w:themeColor="text1"/>
        </w:rPr>
        <w:t>Tmep</w:t>
      </w:r>
      <w:proofErr w:type="spellEnd"/>
      <w:r w:rsidRPr="00E030F1">
        <w:rPr>
          <w:rFonts w:eastAsia="Times New Roman"/>
          <w:color w:val="000000" w:themeColor="text1"/>
        </w:rPr>
        <w:t xml:space="preserve"> is required for full adult viability and efficient larval locomotion. </w:t>
      </w:r>
      <w:proofErr w:type="spellStart"/>
      <w:r w:rsidRPr="00E030F1">
        <w:rPr>
          <w:rFonts w:eastAsia="Times New Roman"/>
          <w:i/>
          <w:iCs/>
          <w:color w:val="000000" w:themeColor="text1"/>
        </w:rPr>
        <w:t>Tmep</w:t>
      </w:r>
      <w:proofErr w:type="spellEnd"/>
      <w:r w:rsidRPr="00E030F1">
        <w:rPr>
          <w:rFonts w:eastAsia="Times New Roman"/>
          <w:color w:val="000000" w:themeColor="text1"/>
        </w:rPr>
        <w:t xml:space="preserve"> mutant larvae have a reduced body contraction rate compared to controls, with stronger deficits in females. In recordings from body wall muscles, </w:t>
      </w:r>
      <w:proofErr w:type="spellStart"/>
      <w:r w:rsidRPr="00E030F1">
        <w:rPr>
          <w:rFonts w:eastAsia="Times New Roman"/>
          <w:i/>
          <w:iCs/>
          <w:color w:val="000000" w:themeColor="text1"/>
        </w:rPr>
        <w:t>Tmep</w:t>
      </w:r>
      <w:proofErr w:type="spellEnd"/>
      <w:r w:rsidRPr="00E030F1">
        <w:rPr>
          <w:rFonts w:eastAsia="Times New Roman"/>
          <w:color w:val="000000" w:themeColor="text1"/>
        </w:rPr>
        <w:t xml:space="preserve"> mutants show substantial hyperexcitability, with many post-synaptic potentials fired in response to a single stimulation, consistent with a role for </w:t>
      </w:r>
      <w:proofErr w:type="spellStart"/>
      <w:r w:rsidRPr="00E030F1">
        <w:rPr>
          <w:rFonts w:eastAsia="Times New Roman"/>
          <w:color w:val="000000" w:themeColor="text1"/>
        </w:rPr>
        <w:t>Tmep</w:t>
      </w:r>
      <w:proofErr w:type="spellEnd"/>
      <w:r w:rsidRPr="00E030F1">
        <w:rPr>
          <w:rFonts w:eastAsia="Times New Roman"/>
          <w:color w:val="000000" w:themeColor="text1"/>
        </w:rPr>
        <w:t xml:space="preserve"> in restraining synaptic excitability. Additional branches and satellite boutons at </w:t>
      </w:r>
      <w:proofErr w:type="spellStart"/>
      <w:r w:rsidRPr="00E030F1">
        <w:rPr>
          <w:rFonts w:eastAsia="Times New Roman"/>
          <w:i/>
          <w:iCs/>
          <w:color w:val="000000" w:themeColor="text1"/>
        </w:rPr>
        <w:t>Tmep</w:t>
      </w:r>
      <w:proofErr w:type="spellEnd"/>
      <w:r w:rsidRPr="00E030F1">
        <w:rPr>
          <w:rFonts w:eastAsia="Times New Roman"/>
          <w:color w:val="000000" w:themeColor="text1"/>
        </w:rPr>
        <w:t xml:space="preserve"> mutant neuromuscular junctions are consistent with an activity-dependent synaptic overgrowth. </w:t>
      </w:r>
      <w:proofErr w:type="spellStart"/>
      <w:r w:rsidRPr="00E030F1">
        <w:rPr>
          <w:rFonts w:eastAsia="Times New Roman"/>
          <w:color w:val="000000" w:themeColor="text1"/>
        </w:rPr>
        <w:t>Tmep</w:t>
      </w:r>
      <w:proofErr w:type="spellEnd"/>
      <w:r w:rsidRPr="00E030F1">
        <w:rPr>
          <w:rFonts w:eastAsia="Times New Roman"/>
          <w:color w:val="000000" w:themeColor="text1"/>
        </w:rPr>
        <w:t xml:space="preserve"> is expressed in endosomes and synaptic vesicles within motor neurons, suggesting a possible role in synaptic membrane trafficking. Using RNAi knockdown, we show that </w:t>
      </w:r>
      <w:proofErr w:type="spellStart"/>
      <w:r w:rsidRPr="00E030F1">
        <w:rPr>
          <w:rFonts w:eastAsia="Times New Roman"/>
          <w:color w:val="000000" w:themeColor="text1"/>
        </w:rPr>
        <w:t>Tmep</w:t>
      </w:r>
      <w:proofErr w:type="spellEnd"/>
      <w:r w:rsidRPr="00E030F1">
        <w:rPr>
          <w:rFonts w:eastAsia="Times New Roman"/>
          <w:color w:val="000000" w:themeColor="text1"/>
        </w:rPr>
        <w:t xml:space="preserve"> is required in motor neurons for proper larval locomotion and excitability, and that its reduction increases levels of presynaptic calcium. Locomotor defects can be rescued by presynaptic knock-down of endoplasmic reticulum calcium channels or by reducing evoked release probability, further suggesting that excess synaptic activity drives behavioral deficiencies. Our work establishes a critical function for </w:t>
      </w:r>
      <w:proofErr w:type="spellStart"/>
      <w:r w:rsidR="00366311" w:rsidRPr="00E030F1">
        <w:rPr>
          <w:rFonts w:eastAsia="Times New Roman"/>
          <w:i/>
          <w:iCs/>
          <w:color w:val="000000" w:themeColor="text1"/>
        </w:rPr>
        <w:t>Tmep</w:t>
      </w:r>
      <w:proofErr w:type="spellEnd"/>
      <w:r w:rsidR="00366311" w:rsidRPr="00E030F1">
        <w:rPr>
          <w:rFonts w:eastAsia="Times New Roman"/>
          <w:color w:val="000000" w:themeColor="text1"/>
        </w:rPr>
        <w:t xml:space="preserve"> </w:t>
      </w:r>
      <w:r w:rsidRPr="00E030F1">
        <w:rPr>
          <w:rFonts w:eastAsia="Times New Roman"/>
          <w:color w:val="000000" w:themeColor="text1"/>
        </w:rPr>
        <w:t>in the regulation of synaptic transmission and locomotor behavior.</w:t>
      </w:r>
    </w:p>
    <w:p w14:paraId="0000000B" w14:textId="77777777" w:rsidR="00510F8F" w:rsidRPr="00E030F1" w:rsidRDefault="00510F8F" w:rsidP="000D4897">
      <w:pPr>
        <w:spacing w:line="480" w:lineRule="auto"/>
        <w:rPr>
          <w:color w:val="000000" w:themeColor="text1"/>
        </w:rPr>
      </w:pPr>
    </w:p>
    <w:p w14:paraId="0000000C" w14:textId="77777777" w:rsidR="00510F8F" w:rsidRPr="00E030F1" w:rsidRDefault="00510F8F" w:rsidP="000D4897">
      <w:pPr>
        <w:spacing w:line="480" w:lineRule="auto"/>
        <w:rPr>
          <w:color w:val="000000" w:themeColor="text1"/>
        </w:rPr>
      </w:pPr>
    </w:p>
    <w:p w14:paraId="4957AD3F" w14:textId="77777777" w:rsidR="006D41FD" w:rsidRPr="00E030F1" w:rsidRDefault="006D41FD">
      <w:pPr>
        <w:rPr>
          <w:b/>
          <w:color w:val="000000" w:themeColor="text1"/>
        </w:rPr>
      </w:pPr>
      <w:r w:rsidRPr="00E030F1">
        <w:rPr>
          <w:b/>
          <w:color w:val="000000" w:themeColor="text1"/>
        </w:rPr>
        <w:br w:type="page"/>
      </w:r>
    </w:p>
    <w:p w14:paraId="0000000E" w14:textId="08A1FC46" w:rsidR="00510F8F" w:rsidRPr="00E030F1" w:rsidRDefault="007F0F85" w:rsidP="000D4897">
      <w:pPr>
        <w:spacing w:line="480" w:lineRule="auto"/>
        <w:rPr>
          <w:b/>
          <w:color w:val="000000" w:themeColor="text1"/>
        </w:rPr>
      </w:pPr>
      <w:r w:rsidRPr="00E030F1">
        <w:rPr>
          <w:b/>
          <w:color w:val="000000" w:themeColor="text1"/>
        </w:rPr>
        <w:lastRenderedPageBreak/>
        <w:t>Introduction</w:t>
      </w:r>
    </w:p>
    <w:p w14:paraId="7B95D754" w14:textId="751EFDF5" w:rsidR="00237C8D" w:rsidRPr="00E030F1" w:rsidRDefault="000A38A6" w:rsidP="00FD73F4">
      <w:pPr>
        <w:spacing w:line="480" w:lineRule="auto"/>
        <w:ind w:firstLine="720"/>
        <w:rPr>
          <w:color w:val="000000" w:themeColor="text1"/>
        </w:rPr>
      </w:pPr>
      <w:r w:rsidRPr="00E030F1">
        <w:rPr>
          <w:color w:val="000000" w:themeColor="text1"/>
        </w:rPr>
        <w:t>Synaptic transmission at the neuromuscular junction</w:t>
      </w:r>
      <w:r w:rsidR="00133086" w:rsidRPr="00E030F1">
        <w:rPr>
          <w:color w:val="000000" w:themeColor="text1"/>
        </w:rPr>
        <w:t xml:space="preserve"> (NMJ)</w:t>
      </w:r>
      <w:r w:rsidRPr="00E030F1">
        <w:rPr>
          <w:color w:val="000000" w:themeColor="text1"/>
        </w:rPr>
        <w:t xml:space="preserve"> requires precisely controlled anatomical and functional coordination between motor neuron terminals and their postsynaptic muscle partners. When action potentials arrive at synaptic terminals, calcium rise in the presyn</w:t>
      </w:r>
      <w:r w:rsidR="00B16D94" w:rsidRPr="00E030F1">
        <w:rPr>
          <w:color w:val="000000" w:themeColor="text1"/>
        </w:rPr>
        <w:t>ap</w:t>
      </w:r>
      <w:r w:rsidRPr="00E030F1">
        <w:rPr>
          <w:color w:val="000000" w:themeColor="text1"/>
        </w:rPr>
        <w:t xml:space="preserve">tic terminal evokes the fusion of neurotransmitter-filled vesicles with the </w:t>
      </w:r>
      <w:r w:rsidR="00B16D94" w:rsidRPr="00E030F1">
        <w:rPr>
          <w:color w:val="000000" w:themeColor="text1"/>
        </w:rPr>
        <w:t xml:space="preserve">plasma </w:t>
      </w:r>
      <w:r w:rsidRPr="00E030F1">
        <w:rPr>
          <w:color w:val="000000" w:themeColor="text1"/>
        </w:rPr>
        <w:t>membrane, triggering depolarization of muscle fibers.</w:t>
      </w:r>
      <w:r w:rsidR="00B16D94" w:rsidRPr="00E030F1">
        <w:rPr>
          <w:color w:val="000000" w:themeColor="text1"/>
        </w:rPr>
        <w:t xml:space="preserve"> </w:t>
      </w:r>
      <w:r w:rsidR="00E37221" w:rsidRPr="00E030F1">
        <w:rPr>
          <w:color w:val="000000" w:themeColor="text1"/>
        </w:rPr>
        <w:t>To fire a single action potential, the synaptic terminal must be able to restore ion levels to pre-stimulus levels quickly</w:t>
      </w:r>
      <w:r w:rsidR="004079D7" w:rsidRPr="00E030F1">
        <w:rPr>
          <w:color w:val="000000" w:themeColor="text1"/>
        </w:rPr>
        <w:t xml:space="preserve"> </w:t>
      </w:r>
      <w:r w:rsidR="004079D7" w:rsidRPr="00E030F1">
        <w:rPr>
          <w:color w:val="000000" w:themeColor="text1"/>
        </w:rPr>
        <w:fldChar w:fldCharType="begin" w:fldLock="1"/>
      </w:r>
      <w:r w:rsidR="00606EF6" w:rsidRPr="00E030F1">
        <w:rPr>
          <w:color w:val="000000" w:themeColor="text1"/>
        </w:rPr>
        <w:instrText>ADDIN CSL_CITATION {"citationItems":[{"id":"ITEM-1","itemData":{"DOI":"10.1016/j.conb.2005.05.006","ISSN":"09594388","PMID":"15919191","abstract":"Vesicle fusion and transmitter release at synapses is driven by a highly localized Ca2+ signal that rapidly builds up around open Ca 2+-channels at and near presynaptic active zones. It has been difficult to estimate the amplitude and the kinetics of this 'microdomain' signal by direct Ca2+-imaging approaches. Recently, Ca2+ uncaging at large CNS synapses, among them the calyx of Held, has shown that the intrinsic cooperativity of Ca2+ in inducing vesicle fusion is high, with 4-5 Ca2+ ions needed to trigger vesicle fusion. Given the Ca2+-sensitivity of vesicle fusion as determined by Ca 2+-uncaging, it was found that a surprisingly small (10-25 μM) and brief (&lt; 1 ms) local Ca2+ signal is sufficient to achieve the amount, and the kinetics of the physiological transmitter release. The high cooperativity of Ca2+ in inducing vesicle fusion and the non-saturation of the Ca2+-sensor for vesicle fusion renders small changes of the local Ca2+-signal highly effective in changing the release probability; an insight that is important for our understanding of short-term modulation of synaptic strength. © 2005 Elsevier Ltd. All rights reserved.","author":[{"dropping-particle":"","family":"Schneggenburger","given":"Ralf","non-dropping-particle":"","parse-names":false,"suffix":""},{"dropping-particle":"","family":"Neher","given":"Erwin","non-dropping-particle":"","parse-names":false,"suffix":""}],"container-title":"Current Opinion in Neurobiology","id":"ITEM-1","issue":"3 SPEC. ISS.","issued":{"date-parts":[["2005"]]},"page":"266-274","publisher":"Curr Opin Neurobiol","title":"Presynaptic calcium and control of vesicle fusion","type":"article","volume":"15"},"uris":["http://www.mendeley.com/documents/?uuid=0c747ac8-6813-3749-95b5-2a814f9adab0","http://www.mendeley.com/documents/?uuid=c5eec5ad-f22c-4c45-a05d-3f9f66ff2d13"]}],"mendeley":{"formattedCitation":"[1]","plainTextFormattedCitation":"[1]","previouslyFormattedCitation":"[1]"},"properties":{"noteIndex":0},"schema":"https://github.com/citation-style-language/schema/raw/master/csl-citation.json"}</w:instrText>
      </w:r>
      <w:r w:rsidR="004079D7" w:rsidRPr="00E030F1">
        <w:rPr>
          <w:color w:val="000000" w:themeColor="text1"/>
        </w:rPr>
        <w:fldChar w:fldCharType="separate"/>
      </w:r>
      <w:r w:rsidR="00D4585F" w:rsidRPr="00E030F1">
        <w:rPr>
          <w:noProof/>
          <w:color w:val="000000" w:themeColor="text1"/>
        </w:rPr>
        <w:t>[1]</w:t>
      </w:r>
      <w:r w:rsidR="004079D7" w:rsidRPr="00E030F1">
        <w:rPr>
          <w:color w:val="000000" w:themeColor="text1"/>
        </w:rPr>
        <w:fldChar w:fldCharType="end"/>
      </w:r>
      <w:r w:rsidR="00E37221" w:rsidRPr="00E030F1">
        <w:rPr>
          <w:color w:val="000000" w:themeColor="text1"/>
        </w:rPr>
        <w:t>. Mutations that fail in clearance of synaptic calcium</w:t>
      </w:r>
      <w:r w:rsidR="004079D7" w:rsidRPr="00E030F1">
        <w:rPr>
          <w:color w:val="000000" w:themeColor="text1"/>
        </w:rPr>
        <w:t xml:space="preserve"> </w:t>
      </w:r>
      <w:r w:rsidR="004079D7" w:rsidRPr="00E030F1">
        <w:rPr>
          <w:color w:val="000000" w:themeColor="text1"/>
        </w:rPr>
        <w:fldChar w:fldCharType="begin" w:fldLock="1"/>
      </w:r>
      <w:r w:rsidR="00606EF6" w:rsidRPr="00E030F1">
        <w:rPr>
          <w:color w:val="000000" w:themeColor="text1"/>
        </w:rPr>
        <w:instrText>ADDIN CSL_CITATION {"citationItems":[{"id":"ITEM-1","itemData":{"DOI":"10.1371/journal.pbio.1002516","ISSN":"15457885","PMID":"27429220","abstract":"Individual synapses vary significantly in their neurotransmitter release properties, which underlie complex information processing in neural circuits. Presynaptic Ca2+ homeostasis plays a critical role in specifying neurotransmitter release properties, but the mechanisms regulating synapse-specific Ca2+ homeostasis in the mammalian brain are still poorly understood. Using electrophysiology and genetically encoded Ca2+ sensors targeted to the mitochondrial matrix or to presynaptic boutons of cortical pyramidal neurons, we demonstrate that the presence or absence of mitochondria at presynaptic boutons dictates neurotransmitter release properties through Mitochondrial Calcium Uniporter (MCU)-dependent Ca2+ clearance. We demonstrate that the serine/threonine kinase LKB1 regulates MCU expression, mitochondria-dependent Ca2+ clearance, and thereby, presynaptic release properties. Re-establishment of MCU-dependent mitochondrial Ca2+ uptake at glutamatergic synapses rescues the altered neurotransmitter release properties characterizing LKB1-null cortical axons. Our results provide novel insights into the cellular and molecular mechanisms whereby mitochondria control neurotransmitter release properties in a bouton-specific way through presynaptic Ca2+ clearance.","author":[{"dropping-particle":"","family":"Kwon","given":"Seok Kyu","non-dropping-particle":"","parse-names":false,"suffix":""},{"dropping-particle":"","family":"Sando","given":"Richard","non-dropping-particle":"","parse-names":false,"suffix":""},{"dropping-particle":"","family":"Lewis","given":"Tommy L.","non-dropping-particle":"","parse-names":false,"suffix":""},{"dropping-particle":"","family":"Hirabayashi","given":"Yusuke","non-dropping-particle":"","parse-names":false,"suffix":""},{"dropping-particle":"","family":"Maximov","given":"Anton","non-dropping-particle":"","parse-names":false,"suffix":""},{"dropping-particle":"","family":"Polleux","given":"Franck","non-dropping-particle":"","parse-names":false,"suffix":""}],"container-title":"PLoS Biology","id":"ITEM-1","issue":"7","issued":{"date-parts":[["2016","7","18"]]},"publisher":"PLoS Biol","title":"LKB1 Regulates Mitochondria-Dependent Presynaptic Calcium Clearance and Neurotransmitter Release Properties at Excitatory Synapses along Cortical Axons","type":"article-journal","volume":"14"},"uris":["http://www.mendeley.com/documents/?uuid=ea996025-064e-3584-a37e-54cc6641b869"]}],"mendeley":{"formattedCitation":"[2]","plainTextFormattedCitation":"[2]","previouslyFormattedCitation":"[2]"},"properties":{"noteIndex":0},"schema":"https://github.com/citation-style-language/schema/raw/master/csl-citation.json"}</w:instrText>
      </w:r>
      <w:r w:rsidR="004079D7" w:rsidRPr="00E030F1">
        <w:rPr>
          <w:color w:val="000000" w:themeColor="text1"/>
        </w:rPr>
        <w:fldChar w:fldCharType="separate"/>
      </w:r>
      <w:r w:rsidR="00D4585F" w:rsidRPr="00E030F1">
        <w:rPr>
          <w:noProof/>
          <w:color w:val="000000" w:themeColor="text1"/>
        </w:rPr>
        <w:t>[2]</w:t>
      </w:r>
      <w:r w:rsidR="004079D7" w:rsidRPr="00E030F1">
        <w:rPr>
          <w:color w:val="000000" w:themeColor="text1"/>
        </w:rPr>
        <w:fldChar w:fldCharType="end"/>
      </w:r>
      <w:r w:rsidR="00FD5CD1" w:rsidRPr="00E030F1">
        <w:rPr>
          <w:color w:val="000000" w:themeColor="text1"/>
        </w:rPr>
        <w:t xml:space="preserve"> </w:t>
      </w:r>
      <w:r w:rsidR="00E37221" w:rsidRPr="00E030F1">
        <w:rPr>
          <w:color w:val="000000" w:themeColor="text1"/>
        </w:rPr>
        <w:t xml:space="preserve">, </w:t>
      </w:r>
      <w:r w:rsidR="00FD5CD1" w:rsidRPr="00E030F1">
        <w:rPr>
          <w:color w:val="000000" w:themeColor="text1"/>
        </w:rPr>
        <w:t xml:space="preserve">cause gain of function of calcium channels </w:t>
      </w:r>
      <w:r w:rsidR="00FD5CD1" w:rsidRPr="00E030F1">
        <w:rPr>
          <w:color w:val="000000" w:themeColor="text1"/>
        </w:rPr>
        <w:fldChar w:fldCharType="begin" w:fldLock="1"/>
      </w:r>
      <w:r w:rsidR="00606EF6" w:rsidRPr="00E030F1">
        <w:rPr>
          <w:color w:val="000000" w:themeColor="text1"/>
        </w:rPr>
        <w:instrText>ADDIN CSL_CITATION {"citationItems":[{"id":"ITEM-1","itemData":{"DOI":"10.1371/journal.pgen.1007577","ISSN":"15537404","PMID":"30080864","abstract":"Gain-of-function mutations in the human CaV2.1 gene CACNA1A cause familial hemiplegic migraine type 1 (FHM1). To characterize cellular problems potentially triggered by CaV2.1 gains of function, we engineered mutations encoding FHM1 amino-acid substitutions S218L (SL) and R192Q (RQ) into transgenes of Drosophila melanogaster CaV2/cacophony. We expressed the transgenes pan-neuronally. Phenotypes were mild for RQ-expressing animals. By contrast, single mutant SL- and complex allele RQ,SL-expressing animals showed overt phenotypes, including sharply decreased viability. By electrophysiology, SL- and RQ,SL-expressing neuromuscular junctions (NMJs) exhibited enhanced evoked discharges, supernumerary discharges, and an increase in the amplitudes and frequencies of spontaneous events. Some spontaneous events were gigantic (10–40 mV), multi-quantal events. Gigantic spontaneous events were eliminated by application of TTX–or by lowered or chelated Ca2+–suggesting that gigantic events were elicited by spontaneous nerve firing. A follow-up genetic approach revealed that some neuronal hyperexcitability phenotypes were reversed after knockdown or mutation of Drosophila homologs of phospholipase Cβ (PLCβ), IP3receptor, or ryanodine receptor (RyR)–all factors known to mediate Ca2+release from intracellular stores. Pharmacological inhibitors of intracellular Ca2+store release produced similar effects. Interestingly, however, the decreased viability phenotype was not reversed by genetic impairment of intracellular Ca2+release factors. On a cellular level, our data suggest inhibition of signaling that triggers intracellular Ca2+release could counteract hyperexcitability induced by gains of CaV2.1 function.","author":[{"dropping-particle":"","family":"Brusich","given":"Douglas J.","non-dropping-particle":"","parse-names":false,"suffix":""},{"dropping-particle":"","family":"Spring","given":"Ashlyn M.","non-dropping-particle":"","parse-names":false,"suffix":""},{"dropping-particle":"","family":"James","given":"Thomas D.","non-dropping-particle":"","parse-names":false,"suffix":""},{"dropping-particle":"","family":"Yeates","given":"Catherine J.","non-dropping-particle":"","parse-names":false,"suffix":""},{"dropping-particle":"","family":"Helms","given":"Timothy H.","non-dropping-particle":"","parse-names":false,"suffix":""},{"dropping-particle":"","family":"Frank","given":"C. Andrew","non-dropping-particle":"","parse-names":false,"suffix":""}],"container-title":"PLoS Genetics","id":"ITEM-1","issue":"8","issued":{"date-parts":[["2018","8","1"]]},"publisher":"PLoS Genet","title":"Drosophila CaV2 channels harboring human migraine mutations cause synapse hyperexcitability that can be suppressed by inhibition of a Ca2+store release pathway","type":"article-journal","volume":"14"},"uris":["http://www.mendeley.com/documents/?uuid=e6084b22-e945-381a-bda4-82eb61c8d38e","http://www.mendeley.com/documents/?uuid=b70c6372-3f72-45b7-9884-84796e3ea71d"]}],"mendeley":{"formattedCitation":"[3]","plainTextFormattedCitation":"[3]","previouslyFormattedCitation":"[3]"},"properties":{"noteIndex":0},"schema":"https://github.com/citation-style-language/schema/raw/master/csl-citation.json"}</w:instrText>
      </w:r>
      <w:r w:rsidR="00FD5CD1" w:rsidRPr="00E030F1">
        <w:rPr>
          <w:color w:val="000000" w:themeColor="text1"/>
        </w:rPr>
        <w:fldChar w:fldCharType="separate"/>
      </w:r>
      <w:r w:rsidR="00D4585F" w:rsidRPr="00E030F1">
        <w:rPr>
          <w:noProof/>
          <w:color w:val="000000" w:themeColor="text1"/>
        </w:rPr>
        <w:t>[3]</w:t>
      </w:r>
      <w:r w:rsidR="00FD5CD1" w:rsidRPr="00E030F1">
        <w:rPr>
          <w:color w:val="000000" w:themeColor="text1"/>
        </w:rPr>
        <w:fldChar w:fldCharType="end"/>
      </w:r>
      <w:r w:rsidR="00FD5CD1" w:rsidRPr="00E030F1">
        <w:rPr>
          <w:color w:val="000000" w:themeColor="text1"/>
        </w:rPr>
        <w:t xml:space="preserve">, </w:t>
      </w:r>
      <w:r w:rsidR="00E37221" w:rsidRPr="00E030F1">
        <w:rPr>
          <w:color w:val="000000" w:themeColor="text1"/>
        </w:rPr>
        <w:t>or cause loss of the repolarizing function of potassium channels</w:t>
      </w:r>
      <w:r w:rsidR="0005095A" w:rsidRPr="00E030F1">
        <w:rPr>
          <w:color w:val="000000" w:themeColor="text1"/>
        </w:rPr>
        <w:t xml:space="preserve"> </w:t>
      </w:r>
      <w:r w:rsidR="0005095A" w:rsidRPr="00E030F1">
        <w:rPr>
          <w:color w:val="000000" w:themeColor="text1"/>
        </w:rPr>
        <w:fldChar w:fldCharType="begin" w:fldLock="1"/>
      </w:r>
      <w:r w:rsidR="0088147B" w:rsidRPr="00E030F1">
        <w:rPr>
          <w:color w:val="000000" w:themeColor="text1"/>
        </w:rPr>
        <w:instrText>ADDIN CSL_CITATION {"citationItems":[{"id":"ITEM-1","itemData":{"DOI":"10.3109/01677068909066209","ISSN":"01677063","PMID":"2553904","abstract":"Synaptic transmission in Drosophilia can be altered by mutations in specific genes. For example, mutations in the Shaker (Sh) gene, which encodes the rapidly inactivating A-type potassium channel, cause repetitive nerve firing and prolonged transmitter release at the neuromuscular junction. Here we show that mutations in the Hyperkinetic (Hk) gene also affect the properties of synaptic transmission at the neuromuscular junction. In particular, we find that whereas single or low frequency nerve stimulation evokes a wild type postsynaptic response, at higher frequencies of nerve stimulation, each stimulus results in repetitive nerve firing and increased postsynaptic response, which is similar to that observed in Sh mutants. Various experiments suggest that this increased postsynaptic response results from prolonged depolarization of the nerve terminal, leading to increased transmitter release at the neuromuscular junction. The similarity in phenotypes between Sh and Hk mutants, along with the observation that Sh is epistatic to Hk in its effects on synaptic transmission, suggest that Hk acts on synaptic transmission by an effect on A-type potassium channels. © 1989 Informa UK Ltd All rights reserved: reproduction in whole or part not permitted.","author":[{"dropping-particle":"","family":"Stern","given":"Michael","non-dropping-particle":"","parse-names":false,"suffix":""},{"dropping-particle":"","family":"Ganetzky","given":"Barry","non-dropping-particle":"","parse-names":false,"suffix":""}],"container-title":"Journal of Neurogenetics","id":"ITEM-1","issue":"4","issued":{"date-parts":[["1989"]]},"page":"215-228","publisher":"Taylor &amp; Francis","title":"Altered synaptic transmission in drosophila hyperkinetic mutants","type":"article-journal","volume":"5"},"uris":["http://www.mendeley.com/documents/?uuid=8e7df7da-d9d7-3b9d-9ab2-d56ce07b91bc","http://www.mendeley.com/documents/?uuid=eb230c21-bd13-453a-a354-9842acfde560"]}],"mendeley":{"formattedCitation":"[4]","plainTextFormattedCitation":"[4]","previouslyFormattedCitation":"[4]"},"properties":{"noteIndex":0},"schema":"https://github.com/citation-style-language/schema/raw/master/csl-citation.json"}</w:instrText>
      </w:r>
      <w:r w:rsidR="0005095A" w:rsidRPr="00E030F1">
        <w:rPr>
          <w:color w:val="000000" w:themeColor="text1"/>
        </w:rPr>
        <w:fldChar w:fldCharType="separate"/>
      </w:r>
      <w:r w:rsidR="00D4585F" w:rsidRPr="00E030F1">
        <w:rPr>
          <w:noProof/>
          <w:color w:val="000000" w:themeColor="text1"/>
        </w:rPr>
        <w:t>[4]</w:t>
      </w:r>
      <w:r w:rsidR="0005095A" w:rsidRPr="00E030F1">
        <w:rPr>
          <w:color w:val="000000" w:themeColor="text1"/>
        </w:rPr>
        <w:fldChar w:fldCharType="end"/>
      </w:r>
      <w:r w:rsidR="00E37221" w:rsidRPr="00E030F1">
        <w:rPr>
          <w:color w:val="000000" w:themeColor="text1"/>
        </w:rPr>
        <w:t xml:space="preserve">, show ectopic firing of synapses. This has deleterious effects on neural circuits and their resulting behavioral outputs. </w:t>
      </w:r>
    </w:p>
    <w:p w14:paraId="09CA9B18" w14:textId="282F36E5" w:rsidR="004F61A3" w:rsidRPr="00E030F1" w:rsidRDefault="00E50E3C" w:rsidP="00FD73F4">
      <w:pPr>
        <w:spacing w:line="480" w:lineRule="auto"/>
        <w:ind w:firstLine="720"/>
        <w:rPr>
          <w:color w:val="000000" w:themeColor="text1"/>
        </w:rPr>
      </w:pPr>
      <w:r w:rsidRPr="00E030F1">
        <w:rPr>
          <w:color w:val="000000" w:themeColor="text1"/>
        </w:rPr>
        <w:t xml:space="preserve">The trafficking of </w:t>
      </w:r>
      <w:r w:rsidR="002475B6" w:rsidRPr="00E030F1">
        <w:rPr>
          <w:color w:val="000000" w:themeColor="text1"/>
        </w:rPr>
        <w:t>pre</w:t>
      </w:r>
      <w:r w:rsidRPr="00E030F1">
        <w:rPr>
          <w:color w:val="000000" w:themeColor="text1"/>
        </w:rPr>
        <w:t xml:space="preserve">synaptic membrane proteins to their proper locations underlies the efficiency of synaptic transmission. Mutations that impair endocytic recycling of </w:t>
      </w:r>
      <w:r w:rsidR="002475B6" w:rsidRPr="00E030F1">
        <w:rPr>
          <w:color w:val="000000" w:themeColor="text1"/>
        </w:rPr>
        <w:t>proteins leave presynaptic terminals ill prepared for repetitive firing events</w:t>
      </w:r>
      <w:r w:rsidR="005B089E" w:rsidRPr="00E030F1">
        <w:rPr>
          <w:color w:val="000000" w:themeColor="text1"/>
        </w:rPr>
        <w:t xml:space="preserve"> </w:t>
      </w:r>
      <w:r w:rsidR="005B089E" w:rsidRPr="00E030F1">
        <w:rPr>
          <w:color w:val="000000" w:themeColor="text1"/>
        </w:rPr>
        <w:fldChar w:fldCharType="begin" w:fldLock="1"/>
      </w:r>
      <w:r w:rsidR="00606EF6" w:rsidRPr="00E030F1">
        <w:rPr>
          <w:color w:val="000000" w:themeColor="text1"/>
        </w:rPr>
        <w:instrText>ADDIN CSL_CITATION {"citationItems":[{"id":"ITEM-1","itemData":{"DOI":"10.1016/j.cell.2011.02.039","ISSN":"00928674","PMID":"21458671","abstract":"Exchange of proteins at sorting endosomes is not only critical to numerous signaling pathways but also to receptor-mediated signaling and to pathogen entry into cells; however, how this process is regulated in synaptic vesicle cycling remains unexplored. In this work, we present evidence that loss of function of a single neuronally expressed GTPase activating protein (GAP), Skywalker (Sky) facilitates endosomal trafficking of synaptic vesicles at Drosophila neuromuscular junction boutons, chiefly by controlling Rab35 GTPase activity. Analyses of genetic interactions with the ESCRT machinery as well as chimeric ubiquitinated synaptic vesicle proteins indicate that endosomal trafficking facilitates the replacement of dysfunctional synaptic vesicle components. Consequently, sky mutants harbor a larger readily releasable pool of synaptic vesicles and show a dramatic increase in basal neurotransmitter release. Thus, the trafficking of vesicles via endosomes uncovered using sky mutants provides an elegant mechanism by which neurons may regulate synaptic vesicle rejuvenation and neurotransmitter release. © 2011 Elsevier Inc.","author":[{"dropping-particle":"","family":"Uytterhoeven","given":"Valerie","non-dropping-particle":"","parse-names":false,"suffix":""},{"dropping-particle":"","family":"Kuenen","given":"Sabine","non-dropping-particle":"","parse-names":false,"suffix":""},{"dropping-particle":"","family":"Kasprowicz","given":"Jaroslaw","non-dropping-particle":"","parse-names":false,"suffix":""},{"dropping-particle":"","family":"Miskiewicz","given":"Katarzyna","non-dropping-particle":"","parse-names":false,"suffix":""},{"dropping-particle":"","family":"Verstreken","given":"Patrik","non-dropping-particle":"","parse-names":false,"suffix":""}],"container-title":"Cell","id":"ITEM-1","issue":"1","issued":{"date-parts":[["2011","4","1"]]},"page":"117-132","publisher":"Cell","title":"Loss of Skywalker reveals synaptic endosomes as sorting stations for synaptic vesicle proteins","type":"article-journal","volume":"145"},"uris":["http://www.mendeley.com/documents/?uuid=e44f9a6e-d8e7-32c1-b90b-5ea8a7e201da"]},{"id":"ITEM-2","itemData":{"DOI":"10.1083/JCB.201406026","abstract":"Synaptic demise and accumulation of dysfunctional proteins are thought of as common features in neurodegeneration. However, the mechanisms by which synaptic proteins turn over remain elusive. In this paper, we study Drosophila melanogaster lacking active TBC1D24/Skywalker (Sky), a protein that in humans causes severe neurodegeneration, epilepsy, and DOOR (deafness, onychdystrophy, osteodystrophy, and mental retardation) syndrome, and identify endosome-to-lysosome trafficking as a mechanism for degradation of synaptic vesicle-associated proteins. In fly sky mutants, synaptic vesicles traveled excessively to endosomes. Using chimeric fluorescent timers, we show that synaptic vesicle-associated proteins were younger on average, suggesting that older proteins are more efficiently degraded. Using a genetic screen, we find that reducing endosomal-to-lysosomal trafficking, controlled by the homotypic fusion and vacuole protein sorting (HOPS) complex, rescued the neurotransmission and neurodegeneration defects in sky mutants. Consistently, synaptic vesicle proteins were older in HOPS complex mutants, and these mutants also showed reduced neurotransmission. Our findings define a mechanism in which synaptic transmission is facilitated by efficient protein turnover at lysosomes and identify a potential strategy to suppress defects arising from TBC1D24 mutations in humans.","author":[{"dropping-particle":"","family":"Fernandes","given":"Ana Clara","non-dropping-particle":"","parse-names":false,"suffix":""},{"dropping-particle":"","family":"Uytterhoeven","given":"Valerie","non-dropping-particle":"","parse-names":false,"suffix":""},{"dropping-particle":"","family":"Kuenen","given":"Sabine","non-dropping-particle":"","parse-names":false,"suffix":""},{"dropping-particle":"","family":"Wang","given":"Yu Chun","non-dropping-particle":"","parse-names":false,"suffix":""},{"dropping-particle":"","family":"Slabbaert","given":"Jan R.","non-dropping-particle":"","parse-names":false,"suffix":""},{"dropping-particle":"","family":"Swerts","given":"Jef","non-dropping-particle":"","parse-names":false,"suffix":""},{"dropping-particle":"","family":"Kasprowicz","given":"Jaroslaw","non-dropping-particle":"","parse-names":false,"suffix":""},{"dropping-particle":"","family":"Aerts","given":"Stein","non-dropping-particle":"","parse-names":false,"suffix":""},{"dropping-particle":"","family":"Verstreken","given":"Patrik","non-dropping-particle":"","parse-names":false,"suffix":""}],"container-title":"Journal of Cell Biology","id":"ITEM-2","issue":"4","issued":{"date-parts":[["2014"]]},"page":"453-462","publisher":"Rockefeller University Press","title":"Reduced synaptic vesicle protein degradation at lysosomes curbs TBC1D24/sky-induced neurodegeneration","type":"article-journal","volume":"207"},"uris":["http://www.mendeley.com/documents/?uuid=db4af273-6ae2-3512-b55f-d3d3647bdeed"]},{"id":"ITEM-3","itemData":{"DOI":"10.1038/nsmb.3297","ISSN":"15459985","PMID":"27669036","abstract":"Mutations in TBC1D24 cause severe epilepsy and DOORS syndrome, but the molecular mechanisms underlying these pathologies are unresolved. We solved the crystal structure of the TBC domain of the Drosophila ortholog Skywalker, revealing an unanticipated cationic pocket conserved among TBC1D24 homologs. Cocrystallization and biochemistry showed that this pocket binds phosphoinositides phosphorylated at the 4 and 5 positions. The most prevalent patient mutations affect the phosphoinositide-binding pocket and inhibit lipid binding. Using in vivo photobleaching of Skywalker-GFP mutants, including pathogenic mutants, we showed that membrane binding via this pocket restricts Skywalker diffusion in presynaptic terminals. Additionally, the pathogenic mutations cause severe neurological defects in flies, including impaired synaptic-vesicle trafficking and seizures, and these defects are reversed by genetically increasing synaptic PI(4,5)P 2 concentrations through synaptojanin mutations. Hence, we discovered that a TBC domain affected by clinical mutations directly binds phosphoinositides through a cationic pocket and that phosphoinositide binding is critical for presynaptic function.","author":[{"dropping-particle":"","family":"Fischer","given":"Baptiste","non-dropping-particle":"","parse-names":false,"suffix":""},{"dropping-particle":"","family":"Lüthy","given":"Kevin","non-dropping-particle":"","parse-names":false,"suffix":""},{"dropping-particle":"","family":"Paesmans","given":"Jone","non-dropping-particle":"","parse-names":false,"suffix":""},{"dropping-particle":"","family":"Koninck","given":"Charlotte","non-dropping-particle":"De","parse-names":false,"suffix":""},{"dropping-particle":"","family":"Maes","given":"Ine","non-dropping-particle":"","parse-names":false,"suffix":""},{"dropping-particle":"","family":"Swerts","given":"Jef","non-dropping-particle":"","parse-names":false,"suffix":""},{"dropping-particle":"","family":"Kuenen","given":"Sabine","non-dropping-particle":"","parse-names":false,"suffix":""},{"dropping-particle":"","family":"Uytterhoeven","given":"Valerie","non-dropping-particle":"","parse-names":false,"suffix":""},{"dropping-particle":"","family":"Verstreken","given":"Patrik","non-dropping-particle":"","parse-names":false,"suffix":""},{"dropping-particle":"","family":"Versées","given":"Wim","non-dropping-particle":"","parse-names":false,"suffix":""}],"container-title":"Nature Structural and Molecular Biology","id":"ITEM-3","issue":"11","issued":{"date-parts":[["2016","11","1"]]},"page":"965-973","publisher":"Nat Struct Mol Biol","title":"Skywalker-TBC1D24 has a lipid-binding pocket mutated in epilepsy and required for synaptic function","type":"article-journal","volume":"23"},"uris":["http://www.mendeley.com/documents/?uuid=b0677157-e1ab-3c5a-8b61-3b171821aa52"]},{"id":"ITEM-4","itemData":{"DOI":"10.1083/jcb.200701030","ISSN":"00219525","PMID":"17620409","abstract":"Epidermal growth factor receptor pathway substrate clone 15 (Eps15) is a protein implicated in endocytosis, endosomal protein sorting, and cytoskeletal organization. Its role is, however, still unclear, because of reasons including limitations of dominant-negative experiments and apparent redundancy with other endocytic proteins. We generated Drosophila eps15-null mutants and show that Eps15 is required for proper synaptic bouton development and normal levels of synaptic vesicle (SV) endocytosis. Consistent with a role in SV endocytosis, Eps15 moves from the center of synaptic boutons to the periphery in response to synaptic activity. The endocytic protein, Dap160/intersectin, is a major binding partner of Eps15, and eps15 mutants phenotypically resemble dap160 mutants. Analyses of eps15 dap160 double mutants suggest that Eps15 functions in concert with Dap160 during SV endocytosis. Based on these data, we hypothesize that Eps15 and Dap160 promote the efficiency of endocytosis from the plasma membrane by maintaining high concentrations of multiple endocytic proteins, including dynamin, at synapses. © The Rockefeller University Press.","author":[{"dropping-particle":"","family":"Koh","given":"Tong Wey","non-dropping-particle":"","parse-names":false,"suffix":""},{"dropping-particle":"","family":"Korolchuk","given":"Viktor I.","non-dropping-particle":"","parse-names":false,"suffix":""},{"dropping-particle":"","family":"Wairkar","given":"Yogesh P.","non-dropping-particle":"","parse-names":false,"suffix":""},{"dropping-particle":"","family":"Jiao","given":"Wei","non-dropping-particle":"","parse-names":false,"suffix":""},{"dropping-particle":"","family":"Evergren","given":"Emma","non-dropping-particle":"","parse-names":false,"suffix":""},{"dropping-particle":"","family":"Pan","given":"Hongling","non-dropping-particle":"","parse-names":false,"suffix":""},{"dropping-particle":"","family":"Zhou","given":"Yi","non-dropping-particle":"","parse-names":false,"suffix":""},{"dropping-particle":"","family":"Venken","given":"Koen J.T.","non-dropping-particle":"","parse-names":false,"suffix":""},{"dropping-particle":"","family":"Shupliakov","given":"Oleg","non-dropping-particle":"","parse-names":false,"suffix":""},{"dropping-particle":"","family":"Robinson","given":"Iain M.","non-dropping-particle":"","parse-names":false,"suffix":""},{"dropping-particle":"","family":"O'Kane","given":"Cahir J.","non-dropping-particle":"","parse-names":false,"suffix":""},{"dropping-particle":"","family":"Bellen","given":"Hugo J.","non-dropping-particle":"","parse-names":false,"suffix":""}],"container-title":"Journal of Cell Biology","id":"ITEM-4","issue":"2","issued":{"date-parts":[["2007","7","16"]]},"page":"309-322","publisher":"J Cell Biol","title":"Eps15 and Dap160 control synaptic vesicle membrane retrieval and synapse development","type":"article-journal","volume":"178"},"uris":["http://www.mendeley.com/documents/?uuid=6467eec7-ef2f-326d-ba28-6ba55f7c6b4d"]},{"id":"ITEM-5","itemData":{"DOI":"10.1073/pnas.1014511108","ISSN":"00278424","PMID":"21987827","abstract":"Synaptic terminals are known to expand and contract throughout an animal's life. The physiological constraints and demands that regulate appropriate synaptic growth and connectivity are currently poorly understood. In previous work, we identified a Drosophila model of lysosomal storage disease (LSD), spinster (spin), with larval neuromuscular synapse overgrowth. Here we identify a reactive oxygen species (ROS) burden in spin that may be attributable to previously identified lipofuscin deposition and lysosomal dysfunction, a cellular hallmark of LSD. Reducing ROS in spin mutants rescues synaptic overgrowth and electrophysiological deficits. Synapse overgrowth was also observed in mutants defective for protection from ROS and animals subjected to excessive ROS. ROS are known to stimulate JNK and fos signaling. Furthermore, JNK and fos in turn are known potent activators of synapse growth and function. Inhibiting JNK and fos activity in spin rescues synapse overgrowth and electrophysiological deficits. Similarly, inhibiting JNK, fos, and jun activity in animals with excessive oxidative stress rescues the overgrowth phenotype. These data suggest that ROS, via activation of the JNK signaling pathway, are a major regulator of synapse overgrowth. In LSD, increased autophagy contributes to lysosomal storage and, presumably, elevated levels of oxidative stress. In support of this suggestion, we report here that impaired autophagy function reverses synaptic overgrowth in spin. Our data describe a previously unexplored link between oxidative stress and synapse overgrowth via the JNK signaling pathway.","author":[{"dropping-particle":"","family":"Milton","given":"Valerie J.","non-dropping-particle":"","parse-names":false,"suffix":""},{"dropping-particle":"","family":"Jarrett","given":"Helen E.","non-dropping-particle":"","parse-names":false,"suffix":""},{"dropping-particle":"","family":"Gowers","given":"Kate","non-dropping-particle":"","parse-names":false,"suffix":""},{"dropping-particle":"","family":"Chalak","given":"Salma","non-dropping-particle":"","parse-names":false,"suffix":""},{"dropping-particle":"","family":"Briggs","given":"Laura","non-dropping-particle":"","parse-names":false,"suffix":""},{"dropping-particle":"","family":"Robinson","given":"Iain M.","non-dropping-particle":"","parse-names":false,"suffix":""},{"dropping-particle":"","family":"Sweeney","given":"Sean T.","non-dropping-particle":"","parse-names":false,"suffix":""}],"container-title":"Proceedings of the National Academy of Sciences of the United States of America","id":"ITEM-5","issue":"42","issued":{"date-parts":[["2011","10","18"]]},"page":"17521-17526","publisher":"Proc Natl Acad Sci U S A","title":"Oxidative stress induces overgrowth of the Drosophila neuromuscular junction","type":"article-journal","volume":"108"},"uris":["http://www.mendeley.com/documents/?uuid=f231e133-734e-3fde-8251-c4b10a9fd2dd"]}],"mendeley":{"formattedCitation":"[5–9]","plainTextFormattedCitation":"[5–9]","previouslyFormattedCitation":"[5–9]"},"properties":{"noteIndex":0},"schema":"https://github.com/citation-style-language/schema/raw/master/csl-citation.json"}</w:instrText>
      </w:r>
      <w:r w:rsidR="005B089E" w:rsidRPr="00E030F1">
        <w:rPr>
          <w:color w:val="000000" w:themeColor="text1"/>
        </w:rPr>
        <w:fldChar w:fldCharType="separate"/>
      </w:r>
      <w:r w:rsidR="00D4585F" w:rsidRPr="00E030F1">
        <w:rPr>
          <w:noProof/>
          <w:color w:val="000000" w:themeColor="text1"/>
        </w:rPr>
        <w:t>[5–9]</w:t>
      </w:r>
      <w:r w:rsidR="005B089E" w:rsidRPr="00E030F1">
        <w:rPr>
          <w:color w:val="000000" w:themeColor="text1"/>
        </w:rPr>
        <w:fldChar w:fldCharType="end"/>
      </w:r>
      <w:r w:rsidR="002475B6" w:rsidRPr="00E030F1">
        <w:rPr>
          <w:color w:val="000000" w:themeColor="text1"/>
        </w:rPr>
        <w:t>.</w:t>
      </w:r>
      <w:r w:rsidR="00E16B00" w:rsidRPr="00E030F1">
        <w:rPr>
          <w:color w:val="000000" w:themeColor="text1"/>
        </w:rPr>
        <w:t xml:space="preserve"> In addition, lipid dynamics at the synapse contribute to proper firing patterns </w:t>
      </w:r>
      <w:r w:rsidR="00E303BD" w:rsidRPr="00E030F1">
        <w:rPr>
          <w:color w:val="000000" w:themeColor="text1"/>
        </w:rPr>
        <w:fldChar w:fldCharType="begin" w:fldLock="1"/>
      </w:r>
      <w:r w:rsidR="00606EF6" w:rsidRPr="00E030F1">
        <w:rPr>
          <w:color w:val="000000" w:themeColor="text1"/>
        </w:rPr>
        <w:instrText xml:space="preserve">ADDIN CSL_CITATION {"citationItems":[{"id":"ITEM-1","itemData":{"DOI":"10.1002/CNE.24466","PMID":"29761896","abstract":"Sphingolipids are found in abundance at synapses and have been implicated in regulation of synapse structure, function, and degeneration. Their precise role in these processes, however, remains obscure. Serine Palmitoyl-transferase (SPT) is the first enzymatic step for synthesis of sphingolipids. Analysis of the Drosophila larval neuromuscular junction (NMJ) revealed mutations in the SPT enzyme subunit, lace/SPTLC2 resulted in deficits in synaptic structure and function. Although NMJ length is normal in lace mutants, the number of boutons per NMJ is reduced to </w:instrText>
      </w:r>
      <w:r w:rsidR="00606EF6" w:rsidRPr="00E030F1">
        <w:rPr>
          <w:rFonts w:ascii="Cambria Math" w:hAnsi="Cambria Math" w:cs="Cambria Math"/>
          <w:color w:val="000000" w:themeColor="text1"/>
        </w:rPr>
        <w:instrText>∼</w:instrText>
      </w:r>
      <w:r w:rsidR="00606EF6" w:rsidRPr="00E030F1">
        <w:rPr>
          <w:color w:val="000000" w:themeColor="text1"/>
        </w:rPr>
        <w:instrText>50% of the wild type number. Synaptic boutons in lace mutants are much larger but show little perturbation to the general ultrastructure. Electrophysiological analysis of lace mutant synapses revealed strong synaptic transmission coupled with predominance of depression over facilitation. The structural and functional phenotypes of lace mirrored aspects of Basigin (Bsg), a small Ig-domain adhesion molecule also known to regulate synaptic structure and function. Mutant combinations of lace and Bsg generated large synaptic boutons, while lace mutants showed abnormal accumulation of Bsg at synapses, suggesting that Bsg requires sphingolipid to regulate structure of the synapse. In support of this, we found Bsg to be enriched in lipid rafts. Our data points to a role for sphingolipids in the regulation and fine-tuning of synaptic structure and function while sphingolipid regulation of synaptic structure may be mediated via the activity of Bsg.","author":[{"dropping-particle":"","family":"West","given":"Ryan J. H.","non-dropping-particle":"","parse-names":false,"suffix":""},{"dropping-particle":"","family":"Briggs","given":"Laura","non-dropping-particle":"","parse-names":false,"suffix":""},{"dropping-particle":"","family":"Fjeldstad","given":"Maria Perona","non-dropping-particle":"","parse-names":false,"suffix":""},{"dropping-particle":"","family":"Ribchester","given":"Richard R.","non-dropping-particle":"","parse-names":false,"suffix":""},{"dropping-particle":"","family":"Sweeney","given":"Sean T.","non-dropping-particle":"","parse-names":false,"suffix":""}],"container-title":"The Journal of Comparative Neurology","id":"ITEM-1","issue":"13","issued":{"date-parts":[["2018","9","1"]]},"page":"1995","publisher":"Wiley-Blackwell","title":"Sphingolipids regulate neuromuscular synapse structure and function in Drosophila","type":"article-journal","volume":"526"},"uris":["http://www.mendeley.com/documents/?uuid=e52adfec-9190-3e35-86b9-46bceaa029dd","http://www.mendeley.com/documents/?uuid=b07027b3-f6da-4d8e-8d5e-0b27e575eb7e"]},{"id":"ITEM-2","itemData":{"DOI":"10.1016/j.nbd.2016.11.012","ISSN":"1095953X","PMID":"27913291","abstract":"Saposin deficiency is a childhood neurodegenerative lysosomal storage disorder (LSD) that can cause premature death within three months of life. Saposins are activator proteins that promote the function of lysosomal hydrolases that mediate the degradation of sphingolipids. There are four saposin proteins in humans, which are encoded by the prosaposin gene. Mutations causing an absence or impaired function of individual saposins or the whole prosaposin gene lead to distinct LSDs due to the storage of different classes of sphingolipids. The pathological events leading to neuronal dysfunction induced by lysosomal storage of sphingolipids are as yet poorly defined. We have generated and characterised a Drosophila model of saposin deficiency that shows striking similarities to the human diseases. Drosophila saposin-related (dSap-r) mutants show a reduced longevity, progressive neurodegeneration, lysosomal storage, dramatic swelling of neuronal soma, perturbations in sphingolipid catabolism, and sensory physiological deterioration. Our data suggests a genetic interaction with a calcium exchanger (Calx) pointing to a possible calcium homeostasis deficit in dSap-r mutants. Together these findings support the use of dSap-r mutants in advancing our understanding of the cellular pathology implicated in saposin deficiency and related LSDs.","author":[{"dropping-particle":"","family":"Hindle","given":"Samantha J.","non-dropping-particle":"","parse-names":false,"suffix":""},{"dropping-particle":"","family":"Hebbar","given":"Sarita","non-dropping-particle":"","parse-names":false,"suffix":""},{"dropping-particle":"","family":"Schwudke","given":"Dominik","non-dropping-particle":"","parse-names":false,"suffix":""},{"dropping-particle":"","family":"Elliott","given":"Christopher J.H.","non-dropping-particle":"","parse-names":false,"suffix":""},{"dropping-particle":"","family":"Sweeney","given":"Sean T.","non-dropping-particle":"","parse-names":false,"suffix":""}],"container-title":"Neurobiology of Disease","id":"ITEM-2","issued":{"date-parts":[["2017","2","1"]]},"page":"77-87","publisher":"Neurobiol Dis","title":"A saposin deficiency model in Drosophila: Lysosomal storage, progressive neurodegeneration and sensory physiological decline","type":"article-journal","volume":"98"},"uris":["http://www.mendeley.com/documents/?uuid=5147503c-7b19-30c8-8ad8-1f7775e7329a","http://www.mendeley.com/documents/?uuid=a00fbd8c-d158-42bb-a83a-ff0227112571"]},{"id":"ITEM-3","itemData":{"DOI":"10.1016/J.CELREP.2019.04.099","PMID":"31141688","abstract":"There is increasing evidence that the lysosome is involved in the pathogenesis of a variety of neurodegenerative disorders. Thus, mechanisms that link lysosome dysfunction to the disruption of neuronal homeostasis offer opportunities to understand the molecular underpinnings of neurodegeneration and potentially identify specific therapeutic targets. Here, using a monogenic neurodegenerative disorder, NPC1 disease, we demonstrate that reduced cholesterol efflux from lysosomes aberrantly modifies neuronal firing patterns. The molecular mechanism linking alterations in lysosomal cholesterol egress to intrinsic tuning of neuronal excitability is a transcriptionally mediated upregulation of the ABCA1 transporter, whose PtdIns(4,5)P2-floppase activity decreases plasma membrane PtdIns(4,5)P2. The consequence of reduced PtdIns(4,5)P2 is a parallel decrease in a key regulator of neuronal excitability, the voltage-gated KCNQ2/3 potassium channel, which leads to hyperexcitability in NPC1 disease neurons. Thus, cholesterol efflux from lysosomes regulates PtdIns(4,5)P2 to shape the electrical and functional identity of the plasma membrane of neurons in health and disease.","author":[{"dropping-particle":"","family":"Vivas","given":"Oscar","non-dropping-particle":"","parse-names":false,"suffix":""},{"dropping-particle":"","family":"Tiscione","given":"Scott A.","non-dropping-particle":"","parse-names":false,"suffix":""},{"dropping-particle":"","family":"Dixon","given":"Rose E.","non-dropping-particle":"","parse-names":false,"suffix":""},{"dropping-particle":"","family":"Ory","given":"Daniel S.","non-dropping-particle":"","parse-names":false,"suffix":""},{"dropping-particle":"","family":"Dickson","given":"Eamonn J.","non-dropping-particle":"","parse-names":false,"suffix":""}],"container-title":"Cell reports","id":"ITEM-3","issue":"9","issued":{"date-parts":[["2019","5","28"]]},"page":"2636","publisher":"NIH Public Access","title":"Niemann-Pick Type C Disease Reveals a Link between Lysosomal Cholesterol and PtdIns(4,5)P2 That Regulates Neuronal Excitability","type":"article-journal","volume":"27"},"uris":["http://www.mendeley.com/documents/?uuid=6c2c5f9d-6ff5-3b88-9b0b-02174be31659","http://www.mendeley.com/documents/?uuid=b0fe2934-b841-4eb0-8493-8423e74493c6"]}],"mendeley":{"formattedCitation":"[10–12]","plainTextFormattedCitation":"[10–12]","previouslyFormattedCitation":"[10–12]"},"properties":{"noteIndex":0},"schema":"https://github.com/citation-style-language/schema/raw/master/csl-citation.json"}</w:instrText>
      </w:r>
      <w:r w:rsidR="00E303BD" w:rsidRPr="00E030F1">
        <w:rPr>
          <w:color w:val="000000" w:themeColor="text1"/>
        </w:rPr>
        <w:fldChar w:fldCharType="separate"/>
      </w:r>
      <w:r w:rsidR="00D4585F" w:rsidRPr="00E030F1">
        <w:rPr>
          <w:noProof/>
          <w:color w:val="000000" w:themeColor="text1"/>
        </w:rPr>
        <w:t>[10–12]</w:t>
      </w:r>
      <w:r w:rsidR="00E303BD" w:rsidRPr="00E030F1">
        <w:rPr>
          <w:color w:val="000000" w:themeColor="text1"/>
        </w:rPr>
        <w:fldChar w:fldCharType="end"/>
      </w:r>
      <w:r w:rsidR="00E16B00" w:rsidRPr="00E030F1">
        <w:rPr>
          <w:color w:val="000000" w:themeColor="text1"/>
        </w:rPr>
        <w:t>.</w:t>
      </w:r>
      <w:r w:rsidR="002475B6" w:rsidRPr="00E030F1">
        <w:rPr>
          <w:color w:val="000000" w:themeColor="text1"/>
        </w:rPr>
        <w:t xml:space="preserve"> Endosomes serve as sorting stations at the synapse and participate in the synaptic vesicle recycling process</w:t>
      </w:r>
      <w:r w:rsidR="00344192" w:rsidRPr="00E030F1">
        <w:rPr>
          <w:color w:val="000000" w:themeColor="text1"/>
        </w:rPr>
        <w:t xml:space="preserve"> across species</w:t>
      </w:r>
      <w:r w:rsidR="00E303BD" w:rsidRPr="00E030F1">
        <w:rPr>
          <w:color w:val="000000" w:themeColor="text1"/>
        </w:rPr>
        <w:t xml:space="preserve"> </w:t>
      </w:r>
      <w:r w:rsidR="00E303BD" w:rsidRPr="00E030F1">
        <w:rPr>
          <w:color w:val="000000" w:themeColor="text1"/>
        </w:rPr>
        <w:fldChar w:fldCharType="begin" w:fldLock="1"/>
      </w:r>
      <w:r w:rsidR="00606EF6" w:rsidRPr="00E030F1">
        <w:rPr>
          <w:color w:val="000000" w:themeColor="text1"/>
        </w:rPr>
        <w:instrText>ADDIN CSL_CITATION {"citationItems":[{"id":"ITEM-1","itemData":{"DOI":"10.1083/jcb.200211087","ISSN":"00219525","PMID":"12743108","abstract":"During constitutive endocytosis, internalized membrane traffics through endosomal compartments. At synapses, endocytosis of vesicular membrane is temporally coupled to action potential-induced exocytosis of synaptic vesicles. Endocytosed membrane may immediately be reused for a new round of neurotransmitter release without trafficking through an endosomal compartment. Using GFP-tagged endosomal markers, we monitored an endosomal compartment in Drosophila neuromuscular synapses. We showed that in conditions in which the synaptic vesicles pool is depleted, the endosome is also drastically reduced and only recovers from membrane derived by dynamin-mediated endocytosis. This suggests that membrane exchange takes place between the vesicle pool and the synaptic endosome. We demonstrate that the small GTPase Rab5 is required for endosome integrity in the presynaptic terminal. Impaired Rab5 function affects endo- and exocytosis rates and decreases the evoked neurotransmitter release probability. Conversely, Rab5 overexpression increases the release efficacy. Therefore, the Rab5-dependent trafficking pathway plays an important role for synaptic performance.","author":[{"dropping-particle":"","family":"Wucherpfennig","given":"Tanja","non-dropping-particle":"","parse-names":false,"suffix":""},{"dropping-particle":"","family":"Wilsch-Bräuninger","given":"Michaela","non-dropping-particle":"","parse-names":false,"suffix":""},{"dropping-particle":"","family":"González-Gaitán","given":"Marcos","non-dropping-particle":"","parse-names":false,"suffix":""}],"container-title":"Journal of Cell Biology","id":"ITEM-1","issue":"3","issued":{"date-parts":[["2003","5","12"]]},"page":"609-624","publisher":"J Cell Biol","title":"Role of Drosophila Rab5 during endosomal trafficking at the synapse and evoked neurotransmitter release","type":"article-journal","volume":"161"},"uris":["http://www.mendeley.com/documents/?uuid=622be64d-3271-3b70-ab6f-ace95ca36b90","http://www.mendeley.com/documents/?uuid=fb341830-2068-4415-b31a-5768a8e8cdcf"]},{"id":"ITEM-2","itemData":{"DOI":"10.7554/eLife.46629","ISSN":"2050084X","PMID":"31074746","abstract":"Loss of function of the active zone protein Piccolo has recently been linked to a disease, Pontocerebellar Hypoplasia type 3, which causes brain atrophy. Here, we address how Piccolo inactivation in rat neurons adversely affects synaptic function and thus may contribute to neuronal loss. Our analysis shows that Piccolo is critical for the recycling and maintenance of synaptic vesicles. We find that boutons lacking Piccolo have deficits in the Rab5/EEA1 dependent formation of early endosomes and thus the recycling of SVs. Mechanistically, impaired Rab5 function was caused by reduced synaptic recruitment of Pra1, known to interact selectively with the zinc finger domains of Piccolo. Importantly, over-expression of GTPase deficient Rab5 or the Znf1 domain of Piccolo restores the size and recycling of SV pools. These data provide a molecular link between the active zone and endosome sorting at synapses providing hints to how Piccolo contributes to developmental and psychiatric disorders.","author":[{"dropping-particle":"","family":"Ackermann","given":"Frauke","non-dropping-particle":"","parse-names":false,"suffix":""},{"dropping-particle":"","family":"Schink","given":"Kay Oliver","non-dropping-particle":"","parse-names":false,"suffix":""},{"dropping-particle":"","family":"Bruns","given":"Christine","non-dropping-particle":"","parse-names":false,"suffix":""},{"dropping-particle":"","family":"Izsvák","given":"Zsuzsanna","non-dropping-particle":"","parse-names":false,"suffix":""},{"dropping-particle":"","family":"Hamra","given":"F. Kent","non-dropping-particle":"","parse-names":false,"suffix":""},{"dropping-particle":"","family":"Rosenmund","given":"Christian","non-dropping-particle":"","parse-names":false,"suffix":""},{"dropping-particle":"","family":"Garner","given":"Craig Curtis","non-dropping-particle":"","parse-names":false,"suffix":""}],"container-title":"eLife","id":"ITEM-2","issued":{"date-parts":[["2019","5","1"]]},"publisher":"Elife","title":"Critical role for piccolo in synaptic vesicle retrieval","type":"article-journal","volume":"8"},"uris":["http://www.mendeley.com/documents/?uuid=aac9e5e7-c293-3ad4-ab80-ad50f42c4b6b"]},{"id":"ITEM-3","itemData":{"DOI":"10.1038/s41598-020-74694-6","ISSN":"20452322","PMID":"33106523","abstract":"Sorting nexin 4 (SNX4) is an evolutionary conserved protein that mediates recycling from endosomes back to the plasma membrane in yeast and mammalian cells. SNX4 is expressed in the brain. Altered protein levels are associated with Alzheimer’s disease, but the neuronal localization and function of SNX4 have not been addressed. Using a new antibody, endogenous neuronal SNX4 co-localized with both early and recycling endosome markers, similar to the reported localization of SNX4 in non-neuronal cells. Neuronal SNX4 accumulated specifically in synaptic areas, with a predominant localization to presynaptic terminals. Acute depletion of neuronal SNX4 using independent short hairpin RNAs did not affect the levels of the transferrin receptor, a canonical SNX4 cargo. Quantitative mass spectrometry revealed that upon SNX4 knockdown the class of proteins involved in neurotransmission was the most dysregulated. This included integral membrane proteins at both the presynaptic and postsynaptic side of the synapse that participate in diverse synaptic processes such as synapse assembly, neurotransmission and the synaptic vesicle cycle. These data suggest that SNX4 is implicated in a variety of synaptic processes.","author":[{"dropping-particle":"","family":"Vazquez-Sanchez","given":"Sonia","non-dropping-particle":"","parse-names":false,"suffix":""},{"dropping-particle":"","family":"Gonzalez-Lozano","given":"Miguel A.","non-dropping-particle":"","parse-names":false,"suffix":""},{"dropping-particle":"","family":"Walfenzao","given":"Alexarae","non-dropping-particle":"","parse-names":false,"suffix":""},{"dropping-particle":"","family":"Li","given":"Ka Wan","non-dropping-particle":"","parse-names":false,"suffix":""},{"dropping-particle":"","family":"Weering","given":"Jan R.T.","non-dropping-particle":"van","parse-names":false,"suffix":""}],"container-title":"Scientific Reports","id":"ITEM-3","issue":"1","issued":{"date-parts":[["2020","12","1"]]},"publisher":"Sci Rep","title":"The endosomal protein sorting nexin 4 is a synaptic protein","type":"article-journal","volume":"10"},"uris":["http://www.mendeley.com/documents/?uuid=07ad5a56-a647-3e2f-a338-8016d97c0993"]},{"id":"ITEM-4","itemData":{"DOI":"10.1016/j.cell.2011.02.039","ISSN":"00928674","PMID":"21458671","abstract":"Exchange of proteins at sorting endosomes is not only critical to numerous signaling pathways but also to receptor-mediated signaling and to pathogen entry into cells; however, how this process is regulated in synaptic vesicle cycling remains unexplored. In this work, we present evidence that loss of function of a single neuronally expressed GTPase activating protein (GAP), Skywalker (Sky) facilitates endosomal trafficking of synaptic vesicles at Drosophila neuromuscular junction boutons, chiefly by controlling Rab35 GTPase activity. Analyses of genetic interactions with the ESCRT machinery as well as chimeric ubiquitinated synaptic vesicle proteins indicate that endosomal trafficking facilitates the replacement of dysfunctional synaptic vesicle components. Consequently, sky mutants harbor a larger readily releasable pool of synaptic vesicles and show a dramatic increase in basal neurotransmitter release. Thus, the trafficking of vesicles via endosomes uncovered using sky mutants provides an elegant mechanism by which neurons may regulate synaptic vesicle rejuvenation and neurotransmitter release. © 2011 Elsevier Inc.","author":[{"dropping-particle":"","family":"Uytterhoeven","given":"Valerie","non-dropping-particle":"","parse-names":false,"suffix":""},{"dropping-particle":"","family":"Kuenen","given":"Sabine","non-dropping-particle":"","parse-names":false,"suffix":""},{"dropping-particle":"","family":"Kasprowicz","given":"Jaroslaw","non-dropping-particle":"","parse-names":false,"suffix":""},{"dropping-particle":"","family":"Miskiewicz","given":"Katarzyna","non-dropping-particle":"","parse-names":false,"suffix":""},{"dropping-particle":"","family":"Verstreken","given":"Patrik","non-dropping-particle":"","parse-names":false,"suffix":""}],"container-title":"Cell","id":"ITEM-4","issue":"1","issued":{"date-parts":[["2011","4","1"]]},"page":"117-132","publisher":"Cell","title":"Loss of Skywalker reveals synaptic endosomes as sorting stations for synaptic vesicle proteins","type":"article-journal","volume":"145"},"uris":["http://www.mendeley.com/documents/?uuid=e44f9a6e-d8e7-32c1-b90b-5ea8a7e201da"]}],"mendeley":{"formattedCitation":"[5, 13–15]","plainTextFormattedCitation":"[5, 13–15]","previouslyFormattedCitation":"[5, 13–15]"},"properties":{"noteIndex":0},"schema":"https://github.com/citation-style-language/schema/raw/master/csl-citation.json"}</w:instrText>
      </w:r>
      <w:r w:rsidR="00E303BD" w:rsidRPr="00E030F1">
        <w:rPr>
          <w:color w:val="000000" w:themeColor="text1"/>
        </w:rPr>
        <w:fldChar w:fldCharType="separate"/>
      </w:r>
      <w:r w:rsidR="00D4585F" w:rsidRPr="00E030F1">
        <w:rPr>
          <w:noProof/>
          <w:color w:val="000000" w:themeColor="text1"/>
        </w:rPr>
        <w:t>[5, 13–15]</w:t>
      </w:r>
      <w:r w:rsidR="00E303BD" w:rsidRPr="00E030F1">
        <w:rPr>
          <w:color w:val="000000" w:themeColor="text1"/>
        </w:rPr>
        <w:fldChar w:fldCharType="end"/>
      </w:r>
      <w:r w:rsidR="00E303BD" w:rsidRPr="00E030F1">
        <w:rPr>
          <w:color w:val="000000" w:themeColor="text1"/>
        </w:rPr>
        <w:t xml:space="preserve">. The perturbation of vesicle recycling via the manipulation of membrane trafficking has been suggested as a therapeutic strategy for synaptic disorders </w:t>
      </w:r>
      <w:r w:rsidR="00E303BD" w:rsidRPr="00E030F1">
        <w:rPr>
          <w:color w:val="000000" w:themeColor="text1"/>
        </w:rPr>
        <w:fldChar w:fldCharType="begin" w:fldLock="1"/>
      </w:r>
      <w:r w:rsidR="00606EF6" w:rsidRPr="00E030F1">
        <w:rPr>
          <w:color w:val="000000" w:themeColor="text1"/>
        </w:rPr>
        <w:instrText>ADDIN CSL_CITATION {"citationItems":[{"id":"ITEM-1","itemData":{"DOI":"10.1124/pr.116.013342","ISSN":"15210081","PMID":"28265000","abstract":"Presynaptic nerve terminals are highly specialized vesicle-trafficking machines. Neurotransmitter release from these terminals is sustained by constant local recycling of synaptic vesicles independent from the neuronal cell body. This independence places significant constraints on maintenance of synaptic protein complexes and scaffolds. Key events during the synaptic vesicle cycle—such as exocytosis and endocytosis—require formation and disassembly of protein complexes. This extremely dynamic environment poses unique challenges for proteostasis at synaptic terminals. Therefore, it is not surprising that subtle alterations in synaptic vesicle cycleassociated proteins directly or indirectly contribute to pathophysiology seen in several neurologic and psychiatric diseases. In contrast to the increasing number of examples in which presynaptic dysfunction causes neurologic symptoms or cognitive deficits associated with multiple brain disorders, synaptic vesicle-recycling machinery remains an underexplored drug target. In addition, irrespective of the involvement of presynaptic function in the disease process, presynaptic machinery may also prove to be a viable therapeutic target because subtle alterations in the neurotransmitter releasemaycounter diseasemechanisms, correct, or compensate for synaptic communication deficits without the need to interfere with postsynaptic receptor signaling. In this article, we will overview critical properties of presynaptic release machinery to help elucidate novel presynaptic avenues for the development of therapeutic strategies against neurologic and neuropsychiatric disorders.","author":[{"dropping-particle":"","family":"Li","given":"Ying C.","non-dropping-particle":"","parse-names":false,"suffix":""},{"dropping-particle":"","family":"Kavalali","given":"Ege T.","non-dropping-particle":"","parse-names":false,"suffix":""}],"container-title":"Pharmacological Reviews","id":"ITEM-1","issue":"2","issued":{"date-parts":[["2017","4","1"]]},"page":"141-160","publisher":"Pharmacol Rev","title":"Synaptic vesicle-recycling machinery components as potential therapeutic targets","type":"article","volume":"69"},"uris":["http://www.mendeley.com/documents/?uuid=c69006ad-7ebf-39f2-898f-35c26cc21ed2","http://www.mendeley.com/documents/?uuid=8dc9802b-1193-4440-b029-2e9607f184ff"]}],"mendeley":{"formattedCitation":"[16]","plainTextFormattedCitation":"[16]","previouslyFormattedCitation":"[16]"},"properties":{"noteIndex":0},"schema":"https://github.com/citation-style-language/schema/raw/master/csl-citation.json"}</w:instrText>
      </w:r>
      <w:r w:rsidR="00E303BD" w:rsidRPr="00E030F1">
        <w:rPr>
          <w:color w:val="000000" w:themeColor="text1"/>
        </w:rPr>
        <w:fldChar w:fldCharType="separate"/>
      </w:r>
      <w:r w:rsidR="00D4585F" w:rsidRPr="00E030F1">
        <w:rPr>
          <w:noProof/>
          <w:color w:val="000000" w:themeColor="text1"/>
        </w:rPr>
        <w:t>[16]</w:t>
      </w:r>
      <w:r w:rsidR="00E303BD" w:rsidRPr="00E030F1">
        <w:rPr>
          <w:color w:val="000000" w:themeColor="text1"/>
        </w:rPr>
        <w:fldChar w:fldCharType="end"/>
      </w:r>
      <w:r w:rsidR="00E303BD" w:rsidRPr="00E030F1">
        <w:rPr>
          <w:color w:val="000000" w:themeColor="text1"/>
        </w:rPr>
        <w:t>.</w:t>
      </w:r>
      <w:r w:rsidR="002475B6" w:rsidRPr="00E030F1">
        <w:rPr>
          <w:color w:val="000000" w:themeColor="text1"/>
        </w:rPr>
        <w:t xml:space="preserve"> </w:t>
      </w:r>
      <w:r w:rsidRPr="00E030F1">
        <w:rPr>
          <w:color w:val="000000" w:themeColor="text1"/>
        </w:rPr>
        <w:t xml:space="preserve"> </w:t>
      </w:r>
    </w:p>
    <w:p w14:paraId="1BE90DFD" w14:textId="5A5CE1D1" w:rsidR="00E37221" w:rsidRPr="00E030F1" w:rsidRDefault="00E37221" w:rsidP="00453BBB">
      <w:pPr>
        <w:spacing w:line="480" w:lineRule="auto"/>
        <w:rPr>
          <w:color w:val="000000" w:themeColor="text1"/>
        </w:rPr>
      </w:pPr>
      <w:r w:rsidRPr="00E030F1">
        <w:rPr>
          <w:color w:val="000000" w:themeColor="text1"/>
        </w:rPr>
        <w:tab/>
        <w:t xml:space="preserve">The </w:t>
      </w:r>
      <w:r w:rsidRPr="00E030F1">
        <w:rPr>
          <w:i/>
          <w:iCs/>
          <w:color w:val="000000" w:themeColor="text1"/>
        </w:rPr>
        <w:t>TMEM184B</w:t>
      </w:r>
      <w:r w:rsidRPr="00E030F1">
        <w:rPr>
          <w:color w:val="000000" w:themeColor="text1"/>
        </w:rPr>
        <w:t xml:space="preserve"> gene is a predicted 7-pass transmembrane protein</w:t>
      </w:r>
      <w:r w:rsidR="00E303BD" w:rsidRPr="00E030F1">
        <w:rPr>
          <w:color w:val="000000" w:themeColor="text1"/>
        </w:rPr>
        <w:t xml:space="preserve"> that</w:t>
      </w:r>
      <w:r w:rsidRPr="00E030F1">
        <w:rPr>
          <w:color w:val="000000" w:themeColor="text1"/>
        </w:rPr>
        <w:t xml:space="preserve"> </w:t>
      </w:r>
      <w:r w:rsidR="00E303BD" w:rsidRPr="00E030F1">
        <w:rPr>
          <w:color w:val="000000" w:themeColor="text1"/>
        </w:rPr>
        <w:t>localizes to endosomal compartments, suggesting a possible role in int</w:t>
      </w:r>
      <w:r w:rsidR="00780D58" w:rsidRPr="00E030F1">
        <w:rPr>
          <w:color w:val="000000" w:themeColor="text1"/>
        </w:rPr>
        <w:t>ra</w:t>
      </w:r>
      <w:r w:rsidR="00E303BD" w:rsidRPr="00E030F1">
        <w:rPr>
          <w:color w:val="000000" w:themeColor="text1"/>
        </w:rPr>
        <w:t xml:space="preserve">cellular membrane trafficking </w:t>
      </w:r>
      <w:r w:rsidR="00E303BD"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mendeley":{"formattedCitation":"[17]","plainTextFormattedCitation":"[17]","previouslyFormattedCitation":"[17]"},"properties":{"noteIndex":0},"schema":"https://github.com/citation-style-language/schema/raw/master/csl-citation.json"}</w:instrText>
      </w:r>
      <w:r w:rsidR="00E303BD" w:rsidRPr="00E030F1">
        <w:rPr>
          <w:color w:val="000000" w:themeColor="text1"/>
        </w:rPr>
        <w:fldChar w:fldCharType="separate"/>
      </w:r>
      <w:r w:rsidR="00D4585F" w:rsidRPr="00E030F1">
        <w:rPr>
          <w:noProof/>
          <w:color w:val="000000" w:themeColor="text1"/>
        </w:rPr>
        <w:t>[17]</w:t>
      </w:r>
      <w:r w:rsidR="00E303BD" w:rsidRPr="00E030F1">
        <w:rPr>
          <w:color w:val="000000" w:themeColor="text1"/>
        </w:rPr>
        <w:fldChar w:fldCharType="end"/>
      </w:r>
      <w:r w:rsidR="00E303BD" w:rsidRPr="00E030F1">
        <w:rPr>
          <w:color w:val="000000" w:themeColor="text1"/>
        </w:rPr>
        <w:t>. TMEM184b</w:t>
      </w:r>
      <w:r w:rsidRPr="00E030F1">
        <w:rPr>
          <w:color w:val="000000" w:themeColor="text1"/>
        </w:rPr>
        <w:t xml:space="preserve"> promot</w:t>
      </w:r>
      <w:r w:rsidR="00E303BD" w:rsidRPr="00E030F1">
        <w:rPr>
          <w:color w:val="000000" w:themeColor="text1"/>
        </w:rPr>
        <w:t>es</w:t>
      </w:r>
      <w:r w:rsidRPr="00E030F1">
        <w:rPr>
          <w:color w:val="000000" w:themeColor="text1"/>
        </w:rPr>
        <w:t xml:space="preserve"> efficient axon degeneration following nerve injury</w:t>
      </w:r>
      <w:r w:rsidR="004079D7" w:rsidRPr="00E030F1">
        <w:rPr>
          <w:color w:val="000000" w:themeColor="text1"/>
        </w:rPr>
        <w:t xml:space="preserve"> </w:t>
      </w:r>
      <w:r w:rsidR="004079D7"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mendeley":{"formattedCitation":"[17]","plainTextFormattedCitation":"[17]","previouslyFormattedCitation":"[17]"},"properties":{"noteIndex":0},"schema":"https://github.com/citation-style-language/schema/raw/master/csl-citation.json"}</w:instrText>
      </w:r>
      <w:r w:rsidR="004079D7" w:rsidRPr="00E030F1">
        <w:rPr>
          <w:color w:val="000000" w:themeColor="text1"/>
        </w:rPr>
        <w:fldChar w:fldCharType="separate"/>
      </w:r>
      <w:r w:rsidR="00D4585F" w:rsidRPr="00E030F1">
        <w:rPr>
          <w:noProof/>
          <w:color w:val="000000" w:themeColor="text1"/>
        </w:rPr>
        <w:t>[17]</w:t>
      </w:r>
      <w:r w:rsidR="004079D7" w:rsidRPr="00E030F1">
        <w:rPr>
          <w:color w:val="000000" w:themeColor="text1"/>
        </w:rPr>
        <w:fldChar w:fldCharType="end"/>
      </w:r>
      <w:r w:rsidRPr="00E030F1">
        <w:rPr>
          <w:color w:val="000000" w:themeColor="text1"/>
        </w:rPr>
        <w:t xml:space="preserve">. Paradoxically, </w:t>
      </w:r>
      <w:r w:rsidR="001A1BA8" w:rsidRPr="00E030F1">
        <w:rPr>
          <w:i/>
          <w:iCs/>
          <w:color w:val="000000" w:themeColor="text1"/>
        </w:rPr>
        <w:t>TMEM184B</w:t>
      </w:r>
      <w:r w:rsidR="00E303BD" w:rsidRPr="00E030F1">
        <w:rPr>
          <w:color w:val="000000" w:themeColor="text1"/>
        </w:rPr>
        <w:t xml:space="preserve"> mutations</w:t>
      </w:r>
      <w:r w:rsidRPr="00E030F1">
        <w:rPr>
          <w:color w:val="000000" w:themeColor="text1"/>
        </w:rPr>
        <w:t xml:space="preserve"> also cause substantially swollen nerve terminals, including at the </w:t>
      </w:r>
      <w:r w:rsidR="00133086" w:rsidRPr="00E030F1">
        <w:rPr>
          <w:color w:val="000000" w:themeColor="text1"/>
        </w:rPr>
        <w:t>NMJ</w:t>
      </w:r>
      <w:r w:rsidRPr="00E030F1">
        <w:rPr>
          <w:color w:val="000000" w:themeColor="text1"/>
        </w:rPr>
        <w:t xml:space="preserve">. </w:t>
      </w:r>
      <w:r w:rsidR="009F049D" w:rsidRPr="00E030F1">
        <w:rPr>
          <w:color w:val="000000" w:themeColor="text1"/>
        </w:rPr>
        <w:t xml:space="preserve">Mice deficient in TMEM184b show both sensory and coordination defects, indicating an important contribution to neuron function even in the absence of injury </w:t>
      </w:r>
      <w:r w:rsidR="009F049D" w:rsidRPr="00E030F1">
        <w:rPr>
          <w:color w:val="000000" w:themeColor="text1"/>
        </w:rPr>
        <w:fldChar w:fldCharType="begin" w:fldLock="1"/>
      </w:r>
      <w:r w:rsidR="00606EF6" w:rsidRPr="00E030F1">
        <w:rPr>
          <w:color w:val="000000" w:themeColor="text1"/>
        </w:rPr>
        <w:instrText>ADDIN CSL_CITATION {"citationItems":[{"id":"ITEM-1","itemData":{"DOI":"10.1101/2020.01.25.919902","abstract":"Nociceptive and pruriceptive neurons in the dorsal root ganglia (DRG) convey sensations of pain and itch to the spinal cord, respectively. A sub-population of these neurons, marked by Somatostatin (Sst) expression, is responsible for detecting the cytokine IL-31, a mediator of acute itch and atopic dermatitis. The mechanisms responsible for specifying this population are largely unknown. Here we show that Tmem184b, a gene with known roles in axon degeneration and nerve terminal maintenance, is required for the expression of a substantial cohort of receptors, including IL31RA, that mediate acute itch. Mice lacking Tmem184b fail to respond to IL-31, but maintain normal responses to pain and mechanical force, suggesting a specific defect in pruriception. The number of Sst+ neurons is reduced in Tmem184b-mutant mice, indicating a likely defect in neuron subtype specification. Rescue experiments in adults versus embryonic neurons support a primary role for TMEM184B during development. We evaluated DRG gene expression across embryonic and early postnatal development and found that levels of Wnt signaling components are significantly reduced in embryonic DRG from Tmem184b-mutants and restored upon re-expression of Tmem184b. In summary, we have identified a mechanism controlled by TMEM184B that gates proper specification of pruriceptive neurons in the DRG through control of Wnt signaling. TMEM184B is thus critical for proper pruriceptive development and adult somatosensation.","author":[{"dropping-particle":"","family":"Larsen","given":"E.G.","non-dropping-particle":"","parse-names":false,"suffix":""},{"dropping-particle":"","family":"Cho","given":"T.S.","non-dropping-particle":"","parse-names":false,"suffix":""},{"dropping-particle":"","family":"McBride","given":"M.L.","non-dropping-particle":"","parse-names":false,"suffix":""},{"dropping-particle":"","family":"Feng","given":"J.","non-dropping-particle":"","parse-names":false,"suffix":""},{"dropping-particle":"","family":"Manivannan","given":"B.","non-dropping-particle":"","parse-names":false,"suffix":""},{"dropping-particle":"","family":"Madura","given":"C.","non-dropping-particle":"","parse-names":false,"suffix":""},{"dropping-particle":"","family":"Klein","given":"N.E.","non-dropping-particle":"","parse-names":false,"suffix":""},{"dropping-particle":"","family":"Wright","given":"E.B.","non-dropping-particle":"","parse-names":false,"suffix":""},{"dropping-particle":"","family":"Wickstead","given":"E.S.","non-dropping-particle":"","parse-names":false,"suffix":""},{"dropping-particle":"","family":"Garcia-Verdugo","given":"H.D.","non-dropping-particle":"","parse-names":false,"suffix":""},{"dropping-particle":"","family":"Jarvis","given":"C.","non-dropping-particle":"","parse-names":false,"suffix":""},{"dropping-particle":"","family":"Khanna","given":"R.","non-dropping-particle":"","parse-names":false,"suffix":""},{"dropping-particle":"","family":"Hu","given":"H.","non-dropping-particle":"","parse-names":false,"suffix":""},{"dropping-particle":"","family":"Largent-Milnes","given":"T.M.","non-dropping-particle":"","parse-names":false,"suffix":""},{"dropping-particle":"","family":"Bhattacharya","given":"M.R.C.","non-dropping-particle":"","parse-names":false,"suffix":""}],"container-title":"PAIN (in press)","id":"ITEM-1","issued":{"date-parts":[["0"]]},"title":"TMEM184B is necessary for IL-31-induced itch","type":"article-journal"},"uris":["http://www.mendeley.com/documents/?uuid=c4367242-e306-364d-91ee-ee69bd3c2a91","http://www.mendeley.com/documents/?uuid=94e620ad-5226-423a-aa67-762b716db023"]},{"id":"ITEM-2","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Neuroscience","id":"ITEM-2","issue":"17","issued":{"date-parts":[["2016"]]},"page":"4681-4689","title":"TMEM184b promotes axon degeneration and neuromuscular junction maintenance","type":"article-journal","volume":"36"},"uris":["http://www.mendeley.com/documents/?uuid=d9297b0c-278f-3bb6-9ac6-5cfa9d00dfb9"]}],"mendeley":{"formattedCitation":"[17, 18]","plainTextFormattedCitation":"[17, 18]","previouslyFormattedCitation":"[17, 18]"},"properties":{"noteIndex":0},"schema":"https://github.com/citation-style-language/schema/raw/master/csl-citation.json"}</w:instrText>
      </w:r>
      <w:r w:rsidR="009F049D" w:rsidRPr="00E030F1">
        <w:rPr>
          <w:color w:val="000000" w:themeColor="text1"/>
        </w:rPr>
        <w:fldChar w:fldCharType="separate"/>
      </w:r>
      <w:r w:rsidR="00D4585F" w:rsidRPr="00E030F1">
        <w:rPr>
          <w:noProof/>
          <w:color w:val="000000" w:themeColor="text1"/>
        </w:rPr>
        <w:t>[17, 18]</w:t>
      </w:r>
      <w:r w:rsidR="009F049D" w:rsidRPr="00E030F1">
        <w:rPr>
          <w:color w:val="000000" w:themeColor="text1"/>
        </w:rPr>
        <w:fldChar w:fldCharType="end"/>
      </w:r>
      <w:r w:rsidR="009F049D" w:rsidRPr="00E030F1">
        <w:rPr>
          <w:color w:val="000000" w:themeColor="text1"/>
        </w:rPr>
        <w:t xml:space="preserve">. </w:t>
      </w:r>
      <w:r w:rsidR="00B317DA" w:rsidRPr="00E030F1">
        <w:rPr>
          <w:color w:val="000000" w:themeColor="text1"/>
        </w:rPr>
        <w:t>Despite its clear contribution to synaptic architecture and behavior, its function at the synapse is not understood.</w:t>
      </w:r>
      <w:r w:rsidR="00623CB6" w:rsidRPr="00E030F1">
        <w:rPr>
          <w:color w:val="000000" w:themeColor="text1"/>
        </w:rPr>
        <w:t xml:space="preserve"> </w:t>
      </w:r>
      <w:r w:rsidRPr="00E030F1">
        <w:rPr>
          <w:color w:val="000000" w:themeColor="text1"/>
        </w:rPr>
        <w:tab/>
      </w:r>
    </w:p>
    <w:p w14:paraId="38BEE58B" w14:textId="0BA5D24B" w:rsidR="00623CB6" w:rsidRPr="00E030F1" w:rsidRDefault="00623CB6" w:rsidP="00623CB6">
      <w:pPr>
        <w:spacing w:line="480" w:lineRule="auto"/>
        <w:ind w:firstLine="720"/>
        <w:rPr>
          <w:color w:val="000000" w:themeColor="text1"/>
        </w:rPr>
      </w:pPr>
      <w:r w:rsidRPr="00E030F1">
        <w:rPr>
          <w:color w:val="000000" w:themeColor="text1"/>
        </w:rPr>
        <w:t>We sought to learn how TMEM184</w:t>
      </w:r>
      <w:r w:rsidR="001A1BA8" w:rsidRPr="00E030F1">
        <w:rPr>
          <w:color w:val="000000" w:themeColor="text1"/>
        </w:rPr>
        <w:t>B</w:t>
      </w:r>
      <w:r w:rsidRPr="00E030F1">
        <w:rPr>
          <w:color w:val="000000" w:themeColor="text1"/>
        </w:rPr>
        <w:t xml:space="preserve"> influences synaptic structure and function using</w:t>
      </w:r>
      <w:r w:rsidR="00E37221" w:rsidRPr="00E030F1">
        <w:rPr>
          <w:color w:val="000000" w:themeColor="text1"/>
        </w:rPr>
        <w:t xml:space="preserve"> the </w:t>
      </w:r>
      <w:r w:rsidR="00C81A73" w:rsidRPr="00E030F1">
        <w:rPr>
          <w:i/>
          <w:color w:val="000000" w:themeColor="text1"/>
        </w:rPr>
        <w:t>Drosophila</w:t>
      </w:r>
      <w:r w:rsidR="00E37221" w:rsidRPr="00E030F1">
        <w:rPr>
          <w:color w:val="000000" w:themeColor="text1"/>
        </w:rPr>
        <w:t xml:space="preserve"> neuromuscular junction, a model glutamatergic synapse</w:t>
      </w:r>
      <w:r w:rsidR="00B317DA" w:rsidRPr="00E030F1">
        <w:rPr>
          <w:color w:val="000000" w:themeColor="text1"/>
        </w:rPr>
        <w:t xml:space="preserve"> in an easily accessible </w:t>
      </w:r>
      <w:r w:rsidR="00B317DA" w:rsidRPr="00E030F1">
        <w:rPr>
          <w:color w:val="000000" w:themeColor="text1"/>
        </w:rPr>
        <w:lastRenderedPageBreak/>
        <w:t>system for structural, functional, and behavioral analysis</w:t>
      </w:r>
      <w:r w:rsidRPr="00E030F1">
        <w:rPr>
          <w:color w:val="000000" w:themeColor="text1"/>
        </w:rPr>
        <w:t xml:space="preserve">. We have </w:t>
      </w:r>
      <w:r w:rsidR="00A87F73" w:rsidRPr="00E030F1">
        <w:rPr>
          <w:color w:val="000000" w:themeColor="text1"/>
        </w:rPr>
        <w:t>thus investigated the function of the predicted</w:t>
      </w:r>
      <w:r w:rsidRPr="00E030F1">
        <w:rPr>
          <w:color w:val="000000" w:themeColor="text1"/>
        </w:rPr>
        <w:t xml:space="preserve"> </w:t>
      </w:r>
      <w:r w:rsidR="00C81A73" w:rsidRPr="00E030F1">
        <w:rPr>
          <w:i/>
          <w:color w:val="000000" w:themeColor="text1"/>
        </w:rPr>
        <w:t>Drosophila</w:t>
      </w:r>
      <w:r w:rsidRPr="00E030F1">
        <w:rPr>
          <w:color w:val="000000" w:themeColor="text1"/>
        </w:rPr>
        <w:t xml:space="preserve"> ortholog of </w:t>
      </w:r>
      <w:r w:rsidRPr="00E030F1">
        <w:rPr>
          <w:i/>
          <w:iCs/>
          <w:color w:val="000000" w:themeColor="text1"/>
        </w:rPr>
        <w:t>TMEM184</w:t>
      </w:r>
      <w:r w:rsidR="001A1BA8" w:rsidRPr="00E030F1">
        <w:rPr>
          <w:i/>
          <w:iCs/>
          <w:color w:val="000000" w:themeColor="text1"/>
        </w:rPr>
        <w:t>B</w:t>
      </w:r>
      <w:r w:rsidRPr="00E030F1">
        <w:rPr>
          <w:color w:val="000000" w:themeColor="text1"/>
        </w:rPr>
        <w:t xml:space="preserve">, </w:t>
      </w:r>
      <w:r w:rsidR="00567012" w:rsidRPr="00E030F1">
        <w:rPr>
          <w:i/>
          <w:iCs/>
          <w:color w:val="000000" w:themeColor="text1"/>
        </w:rPr>
        <w:t>CG12004</w:t>
      </w:r>
      <w:r w:rsidR="00567012" w:rsidRPr="00E030F1">
        <w:rPr>
          <w:color w:val="000000" w:themeColor="text1"/>
        </w:rPr>
        <w:t xml:space="preserve">, </w:t>
      </w:r>
      <w:r w:rsidRPr="00E030F1">
        <w:rPr>
          <w:color w:val="000000" w:themeColor="text1"/>
        </w:rPr>
        <w:t xml:space="preserve">which we </w:t>
      </w:r>
      <w:r w:rsidR="00567012" w:rsidRPr="00E030F1">
        <w:rPr>
          <w:color w:val="000000" w:themeColor="text1"/>
        </w:rPr>
        <w:t>named</w:t>
      </w:r>
      <w:r w:rsidRPr="00E030F1">
        <w:rPr>
          <w:color w:val="000000" w:themeColor="text1"/>
        </w:rPr>
        <w:t xml:space="preserve"> </w:t>
      </w:r>
      <w:proofErr w:type="spellStart"/>
      <w:r w:rsidRPr="00E030F1">
        <w:rPr>
          <w:i/>
          <w:iCs/>
          <w:color w:val="000000" w:themeColor="text1"/>
        </w:rPr>
        <w:t>Tmep</w:t>
      </w:r>
      <w:proofErr w:type="spellEnd"/>
      <w:r w:rsidRPr="00E030F1">
        <w:rPr>
          <w:color w:val="000000" w:themeColor="text1"/>
        </w:rPr>
        <w:t xml:space="preserve"> (</w:t>
      </w:r>
      <w:r w:rsidRPr="00E030F1">
        <w:rPr>
          <w:color w:val="000000" w:themeColor="text1"/>
          <w:u w:val="single"/>
        </w:rPr>
        <w:t>t</w:t>
      </w:r>
      <w:r w:rsidRPr="00E030F1">
        <w:rPr>
          <w:color w:val="000000" w:themeColor="text1"/>
        </w:rPr>
        <w:t>rans</w:t>
      </w:r>
      <w:r w:rsidRPr="00E030F1">
        <w:rPr>
          <w:color w:val="000000" w:themeColor="text1"/>
          <w:u w:val="single"/>
        </w:rPr>
        <w:t>m</w:t>
      </w:r>
      <w:r w:rsidRPr="00E030F1">
        <w:rPr>
          <w:color w:val="000000" w:themeColor="text1"/>
        </w:rPr>
        <w:t xml:space="preserve">embrane </w:t>
      </w:r>
      <w:r w:rsidRPr="00E030F1">
        <w:rPr>
          <w:color w:val="000000" w:themeColor="text1"/>
          <w:u w:val="single"/>
        </w:rPr>
        <w:t>e</w:t>
      </w:r>
      <w:r w:rsidRPr="00E030F1">
        <w:rPr>
          <w:color w:val="000000" w:themeColor="text1"/>
        </w:rPr>
        <w:t xml:space="preserve">ndosomal </w:t>
      </w:r>
      <w:r w:rsidRPr="00E030F1">
        <w:rPr>
          <w:color w:val="000000" w:themeColor="text1"/>
          <w:u w:val="single"/>
        </w:rPr>
        <w:t>p</w:t>
      </w:r>
      <w:r w:rsidRPr="00E030F1">
        <w:rPr>
          <w:color w:val="000000" w:themeColor="text1"/>
        </w:rPr>
        <w:t xml:space="preserve">rotein). Here we show that </w:t>
      </w:r>
      <w:r w:rsidR="00780D58" w:rsidRPr="00E030F1">
        <w:rPr>
          <w:color w:val="000000" w:themeColor="text1"/>
        </w:rPr>
        <w:t xml:space="preserve">loss of </w:t>
      </w:r>
      <w:proofErr w:type="spellStart"/>
      <w:r w:rsidRPr="00E030F1">
        <w:rPr>
          <w:color w:val="000000" w:themeColor="text1"/>
        </w:rPr>
        <w:t>Tmep</w:t>
      </w:r>
      <w:proofErr w:type="spellEnd"/>
      <w:r w:rsidRPr="00E030F1">
        <w:rPr>
          <w:color w:val="000000" w:themeColor="text1"/>
        </w:rPr>
        <w:t>, like TMEM184</w:t>
      </w:r>
      <w:r w:rsidR="001A1BA8" w:rsidRPr="00E030F1">
        <w:rPr>
          <w:color w:val="000000" w:themeColor="text1"/>
        </w:rPr>
        <w:t>B</w:t>
      </w:r>
      <w:r w:rsidRPr="00E030F1">
        <w:rPr>
          <w:color w:val="000000" w:themeColor="text1"/>
        </w:rPr>
        <w:t>, causes structural defects at the NMJ</w:t>
      </w:r>
      <w:r w:rsidR="00567012" w:rsidRPr="00E030F1">
        <w:rPr>
          <w:color w:val="000000" w:themeColor="text1"/>
        </w:rPr>
        <w:t xml:space="preserve"> and impairs </w:t>
      </w:r>
      <w:r w:rsidR="00A87F73" w:rsidRPr="00E030F1">
        <w:rPr>
          <w:color w:val="000000" w:themeColor="text1"/>
        </w:rPr>
        <w:t>locomotion</w:t>
      </w:r>
      <w:r w:rsidRPr="00E030F1">
        <w:rPr>
          <w:color w:val="000000" w:themeColor="text1"/>
        </w:rPr>
        <w:t xml:space="preserve">. </w:t>
      </w:r>
      <w:r w:rsidR="00567012" w:rsidRPr="00E030F1">
        <w:rPr>
          <w:color w:val="000000" w:themeColor="text1"/>
        </w:rPr>
        <w:t>Flies</w:t>
      </w:r>
      <w:r w:rsidRPr="00E030F1">
        <w:rPr>
          <w:color w:val="000000" w:themeColor="text1"/>
        </w:rPr>
        <w:t xml:space="preserve"> deficient in </w:t>
      </w:r>
      <w:proofErr w:type="spellStart"/>
      <w:r w:rsidRPr="00E030F1">
        <w:rPr>
          <w:color w:val="000000" w:themeColor="text1"/>
        </w:rPr>
        <w:t>Tmep</w:t>
      </w:r>
      <w:proofErr w:type="spellEnd"/>
      <w:r w:rsidRPr="00E030F1">
        <w:rPr>
          <w:color w:val="000000" w:themeColor="text1"/>
        </w:rPr>
        <w:t xml:space="preserve"> show striking hyperexcitability</w:t>
      </w:r>
      <w:r w:rsidR="00567012" w:rsidRPr="00E030F1">
        <w:rPr>
          <w:color w:val="000000" w:themeColor="text1"/>
        </w:rPr>
        <w:t xml:space="preserve"> at the NMJ</w:t>
      </w:r>
      <w:r w:rsidRPr="00E030F1">
        <w:rPr>
          <w:color w:val="000000" w:themeColor="text1"/>
        </w:rPr>
        <w:t xml:space="preserve">, with many ectopic responses to a single stimulus. </w:t>
      </w:r>
      <w:r w:rsidR="00B317DA" w:rsidRPr="00E030F1">
        <w:rPr>
          <w:color w:val="000000" w:themeColor="text1"/>
        </w:rPr>
        <w:t xml:space="preserve">Despite broad expression, </w:t>
      </w:r>
      <w:proofErr w:type="spellStart"/>
      <w:r w:rsidR="00B317DA" w:rsidRPr="00E030F1">
        <w:rPr>
          <w:color w:val="000000" w:themeColor="text1"/>
        </w:rPr>
        <w:t>Tmep</w:t>
      </w:r>
      <w:proofErr w:type="spellEnd"/>
      <w:r w:rsidR="00B317DA" w:rsidRPr="00E030F1">
        <w:rPr>
          <w:color w:val="000000" w:themeColor="text1"/>
        </w:rPr>
        <w:t xml:space="preserve"> seems to control behavioral output via its motor neuron activity. </w:t>
      </w:r>
      <w:proofErr w:type="spellStart"/>
      <w:r w:rsidR="008E6029" w:rsidRPr="00E030F1">
        <w:rPr>
          <w:color w:val="000000" w:themeColor="text1"/>
        </w:rPr>
        <w:t>Tmep</w:t>
      </w:r>
      <w:proofErr w:type="spellEnd"/>
      <w:r w:rsidR="008E6029" w:rsidRPr="00E030F1">
        <w:rPr>
          <w:color w:val="000000" w:themeColor="text1"/>
        </w:rPr>
        <w:t xml:space="preserve"> reduction results in a higher density of presynaptic active zones and elevated baseline synaptic calcium</w:t>
      </w:r>
      <w:r w:rsidR="00A87F73" w:rsidRPr="00E030F1">
        <w:rPr>
          <w:color w:val="000000" w:themeColor="text1"/>
        </w:rPr>
        <w:t>.</w:t>
      </w:r>
      <w:r w:rsidR="008E6029" w:rsidRPr="00E030F1">
        <w:rPr>
          <w:color w:val="000000" w:themeColor="text1"/>
        </w:rPr>
        <w:t xml:space="preserve"> </w:t>
      </w:r>
      <w:r w:rsidR="00A87F73" w:rsidRPr="00E030F1">
        <w:rPr>
          <w:color w:val="000000" w:themeColor="text1"/>
        </w:rPr>
        <w:t>C</w:t>
      </w:r>
      <w:r w:rsidR="008E6029" w:rsidRPr="00E030F1">
        <w:rPr>
          <w:color w:val="000000" w:themeColor="text1"/>
        </w:rPr>
        <w:t>orrespondingly, b</w:t>
      </w:r>
      <w:r w:rsidR="00B317DA" w:rsidRPr="00E030F1">
        <w:rPr>
          <w:color w:val="000000" w:themeColor="text1"/>
        </w:rPr>
        <w:t xml:space="preserve">ehavioral deficits caused by </w:t>
      </w:r>
      <w:proofErr w:type="spellStart"/>
      <w:r w:rsidR="00B317DA" w:rsidRPr="00E030F1">
        <w:rPr>
          <w:color w:val="000000" w:themeColor="text1"/>
        </w:rPr>
        <w:t>Tmep</w:t>
      </w:r>
      <w:proofErr w:type="spellEnd"/>
      <w:r w:rsidR="00B317DA" w:rsidRPr="00E030F1">
        <w:rPr>
          <w:color w:val="000000" w:themeColor="text1"/>
        </w:rPr>
        <w:t xml:space="preserve"> reduction can be rescued by </w:t>
      </w:r>
      <w:r w:rsidR="008377EB" w:rsidRPr="00E030F1">
        <w:rPr>
          <w:color w:val="000000" w:themeColor="text1"/>
        </w:rPr>
        <w:t>depression of synaptic</w:t>
      </w:r>
      <w:r w:rsidR="00F40995" w:rsidRPr="00E030F1">
        <w:rPr>
          <w:color w:val="000000" w:themeColor="text1"/>
        </w:rPr>
        <w:t xml:space="preserve"> excitability</w:t>
      </w:r>
      <w:r w:rsidR="008377EB" w:rsidRPr="00E030F1">
        <w:rPr>
          <w:color w:val="000000" w:themeColor="text1"/>
        </w:rPr>
        <w:t xml:space="preserve"> through multiple mechanisms. </w:t>
      </w:r>
      <w:r w:rsidRPr="00E030F1">
        <w:rPr>
          <w:color w:val="000000" w:themeColor="text1"/>
        </w:rPr>
        <w:t>Our data supports a presynaptic contribution of the TMEM184</w:t>
      </w:r>
      <w:r w:rsidR="001A1BA8" w:rsidRPr="00E030F1">
        <w:rPr>
          <w:color w:val="000000" w:themeColor="text1"/>
        </w:rPr>
        <w:t>B</w:t>
      </w:r>
      <w:r w:rsidRPr="00E030F1">
        <w:rPr>
          <w:color w:val="000000" w:themeColor="text1"/>
        </w:rPr>
        <w:t xml:space="preserve"> ortholog </w:t>
      </w:r>
      <w:proofErr w:type="spellStart"/>
      <w:r w:rsidRPr="00E030F1">
        <w:rPr>
          <w:color w:val="000000" w:themeColor="text1"/>
        </w:rPr>
        <w:t>Tmep</w:t>
      </w:r>
      <w:proofErr w:type="spellEnd"/>
      <w:r w:rsidRPr="00E030F1">
        <w:rPr>
          <w:color w:val="000000" w:themeColor="text1"/>
        </w:rPr>
        <w:t xml:space="preserve"> in regulation of synaptic function and motor behavior.</w:t>
      </w:r>
      <w:r w:rsidRPr="00E030F1">
        <w:rPr>
          <w:color w:val="000000" w:themeColor="text1"/>
        </w:rPr>
        <w:br/>
      </w:r>
    </w:p>
    <w:p w14:paraId="00000010" w14:textId="72E43B2B" w:rsidR="00510F8F" w:rsidRPr="00E030F1" w:rsidRDefault="007F0F85" w:rsidP="00623CB6">
      <w:pPr>
        <w:spacing w:line="480" w:lineRule="auto"/>
        <w:rPr>
          <w:color w:val="000000" w:themeColor="text1"/>
        </w:rPr>
      </w:pPr>
      <w:r w:rsidRPr="00E030F1">
        <w:rPr>
          <w:b/>
          <w:color w:val="000000" w:themeColor="text1"/>
        </w:rPr>
        <w:t>Results</w:t>
      </w:r>
    </w:p>
    <w:p w14:paraId="25237568" w14:textId="027E2D30" w:rsidR="00EB1B27" w:rsidRPr="00E030F1" w:rsidRDefault="00EB1B27" w:rsidP="00EB1B27">
      <w:pPr>
        <w:spacing w:line="480" w:lineRule="auto"/>
        <w:rPr>
          <w:color w:val="000000" w:themeColor="text1"/>
        </w:rPr>
      </w:pPr>
      <w:r w:rsidRPr="00E030F1">
        <w:rPr>
          <w:b/>
          <w:bCs/>
          <w:color w:val="000000" w:themeColor="text1"/>
        </w:rPr>
        <w:t>CG12004 (</w:t>
      </w:r>
      <w:proofErr w:type="spellStart"/>
      <w:r w:rsidRPr="00E030F1">
        <w:rPr>
          <w:b/>
          <w:bCs/>
          <w:color w:val="000000" w:themeColor="text1"/>
        </w:rPr>
        <w:t>Tmep</w:t>
      </w:r>
      <w:proofErr w:type="spellEnd"/>
      <w:r w:rsidRPr="00E030F1">
        <w:rPr>
          <w:b/>
          <w:bCs/>
          <w:color w:val="000000" w:themeColor="text1"/>
        </w:rPr>
        <w:t xml:space="preserve">), the </w:t>
      </w:r>
      <w:r w:rsidR="00A87F73" w:rsidRPr="00E030F1">
        <w:rPr>
          <w:b/>
          <w:bCs/>
          <w:color w:val="000000" w:themeColor="text1"/>
        </w:rPr>
        <w:t xml:space="preserve">predicted </w:t>
      </w:r>
      <w:r w:rsidR="00C81A73" w:rsidRPr="00E030F1">
        <w:rPr>
          <w:b/>
          <w:bCs/>
          <w:i/>
          <w:color w:val="000000" w:themeColor="text1"/>
        </w:rPr>
        <w:t>Drosophila</w:t>
      </w:r>
      <w:r w:rsidRPr="00E030F1">
        <w:rPr>
          <w:b/>
          <w:bCs/>
          <w:color w:val="000000" w:themeColor="text1"/>
        </w:rPr>
        <w:t xml:space="preserve"> ortholog of TMEM184b, is needed for full viability and locomotor function</w:t>
      </w:r>
      <w:r w:rsidRPr="00E030F1">
        <w:rPr>
          <w:color w:val="000000" w:themeColor="text1"/>
        </w:rPr>
        <w:t xml:space="preserve"> </w:t>
      </w:r>
    </w:p>
    <w:p w14:paraId="7137EDA7" w14:textId="4346816C" w:rsidR="008C55AB" w:rsidRPr="00E030F1" w:rsidRDefault="00507AB5" w:rsidP="00EB1B27">
      <w:pPr>
        <w:spacing w:line="480" w:lineRule="auto"/>
        <w:rPr>
          <w:color w:val="000000" w:themeColor="text1"/>
        </w:rPr>
      </w:pPr>
      <w:r w:rsidRPr="00E030F1">
        <w:rPr>
          <w:color w:val="000000" w:themeColor="text1"/>
        </w:rPr>
        <w:t xml:space="preserve">To identify the closest ortholog to mouse and human TMEM184B, we used NCBI BLAST to select the most similar proteins in </w:t>
      </w:r>
      <w:r w:rsidR="00C81A73" w:rsidRPr="00E030F1">
        <w:rPr>
          <w:i/>
          <w:iCs/>
          <w:color w:val="000000" w:themeColor="text1"/>
        </w:rPr>
        <w:t>Drosophila</w:t>
      </w:r>
      <w:r w:rsidRPr="00E030F1">
        <w:rPr>
          <w:color w:val="000000" w:themeColor="text1"/>
        </w:rPr>
        <w:t>. The CG12004 gene is 5</w:t>
      </w:r>
      <w:r w:rsidR="00AF0A92" w:rsidRPr="00E030F1">
        <w:rPr>
          <w:color w:val="000000" w:themeColor="text1"/>
        </w:rPr>
        <w:t>6</w:t>
      </w:r>
      <w:r w:rsidRPr="00E030F1">
        <w:rPr>
          <w:color w:val="000000" w:themeColor="text1"/>
        </w:rPr>
        <w:t>% identical</w:t>
      </w:r>
      <w:r w:rsidR="00AF0A92" w:rsidRPr="00E030F1">
        <w:rPr>
          <w:color w:val="000000" w:themeColor="text1"/>
        </w:rPr>
        <w:t xml:space="preserve"> and 65% similar</w:t>
      </w:r>
      <w:r w:rsidRPr="00E030F1">
        <w:rPr>
          <w:color w:val="000000" w:themeColor="text1"/>
        </w:rPr>
        <w:t xml:space="preserve"> at the protein level to human TMEM184B, and reverse blast of CG12004 identifies TMEM184B as its closest relative</w:t>
      </w:r>
      <w:r w:rsidR="00AF0A92" w:rsidRPr="00E030F1">
        <w:rPr>
          <w:color w:val="000000" w:themeColor="text1"/>
        </w:rPr>
        <w:t xml:space="preserve"> (96% query coverage, E value 7e</w:t>
      </w:r>
      <w:r w:rsidR="00AF0A92" w:rsidRPr="00E030F1">
        <w:rPr>
          <w:color w:val="000000" w:themeColor="text1"/>
          <w:vertAlign w:val="superscript"/>
        </w:rPr>
        <w:t>-168</w:t>
      </w:r>
      <w:r w:rsidR="00AF0A92" w:rsidRPr="00E030F1">
        <w:rPr>
          <w:color w:val="000000" w:themeColor="text1"/>
        </w:rPr>
        <w:t>)</w:t>
      </w:r>
      <w:r w:rsidRPr="00E030F1">
        <w:rPr>
          <w:color w:val="000000" w:themeColor="text1"/>
        </w:rPr>
        <w:t xml:space="preserve">. </w:t>
      </w:r>
      <w:r w:rsidR="00A87F73" w:rsidRPr="00E030F1">
        <w:rPr>
          <w:color w:val="000000" w:themeColor="text1"/>
        </w:rPr>
        <w:t xml:space="preserve">This is consistent with predictions using NCBI </w:t>
      </w:r>
      <w:proofErr w:type="spellStart"/>
      <w:r w:rsidR="00A87F73" w:rsidRPr="00E030F1">
        <w:rPr>
          <w:color w:val="000000" w:themeColor="text1"/>
        </w:rPr>
        <w:t>Homologene</w:t>
      </w:r>
      <w:proofErr w:type="spellEnd"/>
      <w:r w:rsidR="00A87F73" w:rsidRPr="00E030F1">
        <w:rPr>
          <w:color w:val="000000" w:themeColor="text1"/>
        </w:rPr>
        <w:t xml:space="preserve">, indicating that CG12004 and TMEM184B are homologs (not shown). </w:t>
      </w:r>
      <w:r w:rsidRPr="00E030F1">
        <w:rPr>
          <w:color w:val="000000" w:themeColor="text1"/>
        </w:rPr>
        <w:t xml:space="preserve">To understand which domains are most </w:t>
      </w:r>
      <w:r w:rsidR="009E5A84" w:rsidRPr="00E030F1">
        <w:rPr>
          <w:color w:val="000000" w:themeColor="text1"/>
        </w:rPr>
        <w:t>conserved</w:t>
      </w:r>
      <w:r w:rsidRPr="00E030F1">
        <w:rPr>
          <w:color w:val="000000" w:themeColor="text1"/>
        </w:rPr>
        <w:t xml:space="preserve">, we mapped the aligned sequences onto the predicted transmembrane structure of CG12004. </w:t>
      </w:r>
      <w:r w:rsidR="00BC3703" w:rsidRPr="00E030F1">
        <w:rPr>
          <w:color w:val="000000" w:themeColor="text1"/>
        </w:rPr>
        <w:t xml:space="preserve">Two isoforms of CG12004 are predicted which differ only at their C-terminal (Fig 1a-b). </w:t>
      </w:r>
      <w:r w:rsidR="008C55AB" w:rsidRPr="00E030F1">
        <w:rPr>
          <w:color w:val="000000" w:themeColor="text1"/>
        </w:rPr>
        <w:t xml:space="preserve">The 7-pass transmembrane region, which has distant similarity to bile acid transporters, shows </w:t>
      </w:r>
      <w:r w:rsidR="00AF0A92" w:rsidRPr="00E030F1">
        <w:rPr>
          <w:color w:val="000000" w:themeColor="text1"/>
        </w:rPr>
        <w:t>71%</w:t>
      </w:r>
      <w:r w:rsidR="008C55AB" w:rsidRPr="00E030F1">
        <w:rPr>
          <w:color w:val="000000" w:themeColor="text1"/>
        </w:rPr>
        <w:t xml:space="preserve"> amino acid identity </w:t>
      </w:r>
      <w:r w:rsidR="00AF0A92" w:rsidRPr="00E030F1">
        <w:rPr>
          <w:color w:val="000000" w:themeColor="text1"/>
        </w:rPr>
        <w:t>and 82% similarity between fly CG12004 and human TMEM184B</w:t>
      </w:r>
      <w:r w:rsidR="008C55AB" w:rsidRPr="00E030F1">
        <w:rPr>
          <w:color w:val="000000" w:themeColor="text1"/>
        </w:rPr>
        <w:t>, indicating strong evolutionary conservation (Fig 1</w:t>
      </w:r>
      <w:r w:rsidR="00A76844" w:rsidRPr="00E030F1">
        <w:rPr>
          <w:color w:val="000000" w:themeColor="text1"/>
        </w:rPr>
        <w:t>a</w:t>
      </w:r>
      <w:r w:rsidR="008C55AB" w:rsidRPr="00E030F1">
        <w:rPr>
          <w:color w:val="000000" w:themeColor="text1"/>
        </w:rPr>
        <w:t xml:space="preserve">). </w:t>
      </w:r>
      <w:r w:rsidR="00497D55" w:rsidRPr="00E030F1">
        <w:rPr>
          <w:color w:val="000000" w:themeColor="text1"/>
        </w:rPr>
        <w:t>The third transmembrane domain is less strongly predicted than others</w:t>
      </w:r>
      <w:r w:rsidR="00EB2558" w:rsidRPr="00E030F1">
        <w:rPr>
          <w:color w:val="000000" w:themeColor="text1"/>
        </w:rPr>
        <w:t xml:space="preserve"> </w:t>
      </w:r>
      <w:r w:rsidR="00EB2558" w:rsidRPr="00E030F1">
        <w:rPr>
          <w:color w:val="000000" w:themeColor="text1"/>
        </w:rPr>
        <w:lastRenderedPageBreak/>
        <w:t>(TM3 shows 70% probability, while all others show 95% probability or greater, based on TMMHM-2.0 Server analysis)</w:t>
      </w:r>
      <w:r w:rsidR="00497D55" w:rsidRPr="00E030F1">
        <w:rPr>
          <w:color w:val="000000" w:themeColor="text1"/>
        </w:rPr>
        <w:t xml:space="preserve"> but appears as a hydrophobic peak in all </w:t>
      </w:r>
      <w:r w:rsidR="00DA75AE" w:rsidRPr="00E030F1">
        <w:rPr>
          <w:color w:val="000000" w:themeColor="text1"/>
        </w:rPr>
        <w:t>orthologs</w:t>
      </w:r>
      <w:r w:rsidR="00497D55" w:rsidRPr="00E030F1">
        <w:rPr>
          <w:color w:val="000000" w:themeColor="text1"/>
        </w:rPr>
        <w:t xml:space="preserve">. </w:t>
      </w:r>
      <w:r w:rsidR="00BC3703" w:rsidRPr="00E030F1">
        <w:rPr>
          <w:color w:val="000000" w:themeColor="text1"/>
        </w:rPr>
        <w:t>Domains outside of the membrane</w:t>
      </w:r>
      <w:r w:rsidR="008C55AB" w:rsidRPr="00E030F1">
        <w:rPr>
          <w:color w:val="000000" w:themeColor="text1"/>
        </w:rPr>
        <w:t xml:space="preserve"> are less well conserved</w:t>
      </w:r>
      <w:r w:rsidR="00497D55" w:rsidRPr="00E030F1">
        <w:rPr>
          <w:color w:val="000000" w:themeColor="text1"/>
        </w:rPr>
        <w:t>, but a stretch of the membrane-proximal C-terminal shows high homology (</w:t>
      </w:r>
      <w:r w:rsidR="004829E6" w:rsidRPr="00E030F1">
        <w:rPr>
          <w:color w:val="000000" w:themeColor="text1"/>
        </w:rPr>
        <w:t xml:space="preserve">67%, or 36 of 54 </w:t>
      </w:r>
      <w:r w:rsidR="00497D55" w:rsidRPr="00E030F1">
        <w:rPr>
          <w:color w:val="000000" w:themeColor="text1"/>
        </w:rPr>
        <w:t>amino acids</w:t>
      </w:r>
      <w:r w:rsidR="004829E6" w:rsidRPr="00E030F1">
        <w:rPr>
          <w:color w:val="000000" w:themeColor="text1"/>
        </w:rPr>
        <w:t xml:space="preserve"> identical across all species)</w:t>
      </w:r>
      <w:r w:rsidR="008C55AB" w:rsidRPr="00E030F1">
        <w:rPr>
          <w:color w:val="000000" w:themeColor="text1"/>
        </w:rPr>
        <w:t>, while the N-terminal is only 26% identical.</w:t>
      </w:r>
      <w:r w:rsidRPr="00E030F1">
        <w:rPr>
          <w:color w:val="000000" w:themeColor="text1"/>
        </w:rPr>
        <w:t xml:space="preserve">  </w:t>
      </w:r>
      <w:r w:rsidR="008C55AB" w:rsidRPr="00E030F1">
        <w:rPr>
          <w:color w:val="000000" w:themeColor="text1"/>
        </w:rPr>
        <w:t xml:space="preserve">Based on this analysis, CG12004 is </w:t>
      </w:r>
      <w:r w:rsidR="00AF50DD" w:rsidRPr="00E030F1">
        <w:rPr>
          <w:color w:val="000000" w:themeColor="text1"/>
        </w:rPr>
        <w:t>likely to be the</w:t>
      </w:r>
      <w:r w:rsidR="008C55AB" w:rsidRPr="00E030F1">
        <w:rPr>
          <w:color w:val="000000" w:themeColor="text1"/>
        </w:rPr>
        <w:t xml:space="preserve"> ortholog of </w:t>
      </w:r>
      <w:r w:rsidR="001A1BA8" w:rsidRPr="00E030F1">
        <w:rPr>
          <w:color w:val="000000" w:themeColor="text1"/>
        </w:rPr>
        <w:t>mouse</w:t>
      </w:r>
      <w:r w:rsidR="008C55AB" w:rsidRPr="00E030F1">
        <w:rPr>
          <w:color w:val="000000" w:themeColor="text1"/>
        </w:rPr>
        <w:t xml:space="preserve"> and human TMEM184B. </w:t>
      </w:r>
      <w:r w:rsidR="00E8427A" w:rsidRPr="00E030F1">
        <w:rPr>
          <w:color w:val="000000" w:themeColor="text1"/>
        </w:rPr>
        <w:t xml:space="preserve">Because </w:t>
      </w:r>
      <w:r w:rsidR="008C55AB" w:rsidRPr="00E030F1">
        <w:rPr>
          <w:color w:val="000000" w:themeColor="text1"/>
        </w:rPr>
        <w:t>TMEM184B localizes to endosomal compartments in cultured mammalian neurons</w:t>
      </w:r>
      <w:r w:rsidR="001A7E12" w:rsidRPr="00E030F1">
        <w:rPr>
          <w:color w:val="000000" w:themeColor="text1"/>
        </w:rPr>
        <w:t xml:space="preserve"> </w:t>
      </w:r>
      <w:r w:rsidR="001A7E12"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http://www.mendeley.com/documents/?uuid=b0b34750-4be4-4cbe-b115-6be512744900"]}],"mendeley":{"formattedCitation":"[17]","plainTextFormattedCitation":"[17]","previouslyFormattedCitation":"[17]"},"properties":{"noteIndex":0},"schema":"https://github.com/citation-style-language/schema/raw/master/csl-citation.json"}</w:instrText>
      </w:r>
      <w:r w:rsidR="001A7E12" w:rsidRPr="00E030F1">
        <w:rPr>
          <w:color w:val="000000" w:themeColor="text1"/>
        </w:rPr>
        <w:fldChar w:fldCharType="separate"/>
      </w:r>
      <w:r w:rsidR="00D4585F" w:rsidRPr="00E030F1">
        <w:rPr>
          <w:noProof/>
          <w:color w:val="000000" w:themeColor="text1"/>
        </w:rPr>
        <w:t>[17]</w:t>
      </w:r>
      <w:r w:rsidR="001A7E12" w:rsidRPr="00E030F1">
        <w:rPr>
          <w:color w:val="000000" w:themeColor="text1"/>
        </w:rPr>
        <w:fldChar w:fldCharType="end"/>
      </w:r>
      <w:r w:rsidR="008C55AB" w:rsidRPr="00E030F1">
        <w:rPr>
          <w:color w:val="000000" w:themeColor="text1"/>
        </w:rPr>
        <w:t xml:space="preserve">, we have named the </w:t>
      </w:r>
      <w:r w:rsidR="00C81A73" w:rsidRPr="00E030F1">
        <w:rPr>
          <w:i/>
          <w:iCs/>
          <w:color w:val="000000" w:themeColor="text1"/>
        </w:rPr>
        <w:t>Drosophila</w:t>
      </w:r>
      <w:r w:rsidR="008C55AB" w:rsidRPr="00E030F1">
        <w:rPr>
          <w:color w:val="000000" w:themeColor="text1"/>
        </w:rPr>
        <w:t xml:space="preserve"> isoform </w:t>
      </w:r>
      <w:proofErr w:type="spellStart"/>
      <w:r w:rsidR="008C55AB" w:rsidRPr="00E030F1">
        <w:rPr>
          <w:color w:val="000000" w:themeColor="text1"/>
        </w:rPr>
        <w:t>Tmep</w:t>
      </w:r>
      <w:proofErr w:type="spellEnd"/>
      <w:r w:rsidR="008C55AB" w:rsidRPr="00E030F1">
        <w:rPr>
          <w:color w:val="000000" w:themeColor="text1"/>
        </w:rPr>
        <w:t xml:space="preserve"> (</w:t>
      </w:r>
      <w:r w:rsidR="008C55AB" w:rsidRPr="00E030F1">
        <w:rPr>
          <w:color w:val="000000" w:themeColor="text1"/>
          <w:u w:val="single"/>
        </w:rPr>
        <w:t>T</w:t>
      </w:r>
      <w:r w:rsidR="008C55AB" w:rsidRPr="00E030F1">
        <w:rPr>
          <w:color w:val="000000" w:themeColor="text1"/>
        </w:rPr>
        <w:t>rans</w:t>
      </w:r>
      <w:r w:rsidR="008C55AB" w:rsidRPr="00E030F1">
        <w:rPr>
          <w:color w:val="000000" w:themeColor="text1"/>
          <w:u w:val="single"/>
        </w:rPr>
        <w:t>m</w:t>
      </w:r>
      <w:r w:rsidR="008C55AB" w:rsidRPr="00E030F1">
        <w:rPr>
          <w:color w:val="000000" w:themeColor="text1"/>
        </w:rPr>
        <w:t xml:space="preserve">embrane </w:t>
      </w:r>
      <w:r w:rsidR="008C55AB" w:rsidRPr="00E030F1">
        <w:rPr>
          <w:color w:val="000000" w:themeColor="text1"/>
          <w:u w:val="single"/>
        </w:rPr>
        <w:t>e</w:t>
      </w:r>
      <w:r w:rsidR="008C55AB" w:rsidRPr="00E030F1">
        <w:rPr>
          <w:color w:val="000000" w:themeColor="text1"/>
        </w:rPr>
        <w:t xml:space="preserve">ndosomal </w:t>
      </w:r>
      <w:r w:rsidR="008C55AB" w:rsidRPr="00E030F1">
        <w:rPr>
          <w:color w:val="000000" w:themeColor="text1"/>
          <w:u w:val="single"/>
        </w:rPr>
        <w:t>p</w:t>
      </w:r>
      <w:r w:rsidR="008C55AB" w:rsidRPr="00E030F1">
        <w:rPr>
          <w:color w:val="000000" w:themeColor="text1"/>
        </w:rPr>
        <w:t>rotein).</w:t>
      </w:r>
    </w:p>
    <w:p w14:paraId="60DB5B15" w14:textId="7CA0070A" w:rsidR="00C1670D" w:rsidRPr="00E030F1" w:rsidRDefault="003C7989" w:rsidP="00626981">
      <w:pPr>
        <w:spacing w:line="480" w:lineRule="auto"/>
        <w:ind w:firstLine="720"/>
        <w:rPr>
          <w:color w:val="000000" w:themeColor="text1"/>
        </w:rPr>
      </w:pPr>
      <w:r w:rsidRPr="00E030F1">
        <w:rPr>
          <w:color w:val="000000" w:themeColor="text1"/>
        </w:rPr>
        <w:t>We</w:t>
      </w:r>
      <w:r w:rsidR="00997373" w:rsidRPr="00E030F1">
        <w:rPr>
          <w:color w:val="000000" w:themeColor="text1"/>
        </w:rPr>
        <w:t xml:space="preserve"> used homologous recombination to create a </w:t>
      </w:r>
      <w:proofErr w:type="spellStart"/>
      <w:r w:rsidR="00997373" w:rsidRPr="00E030F1">
        <w:rPr>
          <w:color w:val="000000" w:themeColor="text1"/>
        </w:rPr>
        <w:t>Tmep</w:t>
      </w:r>
      <w:proofErr w:type="spellEnd"/>
      <w:r w:rsidR="00997373" w:rsidRPr="00E030F1">
        <w:rPr>
          <w:color w:val="000000" w:themeColor="text1"/>
        </w:rPr>
        <w:t xml:space="preserve"> mutant allele, </w:t>
      </w:r>
      <w:proofErr w:type="spellStart"/>
      <w:r w:rsidR="00997373" w:rsidRPr="00E030F1">
        <w:rPr>
          <w:i/>
          <w:iCs/>
          <w:color w:val="000000" w:themeColor="text1"/>
        </w:rPr>
        <w:t>Tmep</w:t>
      </w:r>
      <w:r w:rsidR="009F3573" w:rsidRPr="00E030F1">
        <w:rPr>
          <w:i/>
          <w:iCs/>
          <w:color w:val="000000" w:themeColor="text1"/>
          <w:vertAlign w:val="superscript"/>
        </w:rPr>
        <w:t>Ex</w:t>
      </w:r>
      <w:proofErr w:type="spellEnd"/>
      <w:r w:rsidR="00997373" w:rsidRPr="00E030F1">
        <w:rPr>
          <w:color w:val="000000" w:themeColor="text1"/>
        </w:rPr>
        <w:t>, with a 16-base excision (base</w:t>
      </w:r>
      <w:r w:rsidR="00F56809" w:rsidRPr="00E030F1">
        <w:rPr>
          <w:color w:val="000000" w:themeColor="text1"/>
        </w:rPr>
        <w:t>s</w:t>
      </w:r>
      <w:r w:rsidR="00997373" w:rsidRPr="00E030F1">
        <w:rPr>
          <w:color w:val="000000" w:themeColor="text1"/>
        </w:rPr>
        <w:t xml:space="preserve"> 20-35 in the open reading frame) that is predicted to create a nonsense mutation 7 amino acids </w:t>
      </w:r>
      <w:r w:rsidR="00DD313E" w:rsidRPr="00E030F1">
        <w:rPr>
          <w:color w:val="000000" w:themeColor="text1"/>
        </w:rPr>
        <w:t>from the N-terminal</w:t>
      </w:r>
      <w:r w:rsidR="00556121" w:rsidRPr="00E030F1">
        <w:rPr>
          <w:color w:val="000000" w:themeColor="text1"/>
        </w:rPr>
        <w:t xml:space="preserve">, affecting both the short and long </w:t>
      </w:r>
      <w:proofErr w:type="spellStart"/>
      <w:r w:rsidR="00556121" w:rsidRPr="00E030F1">
        <w:rPr>
          <w:color w:val="000000" w:themeColor="text1"/>
        </w:rPr>
        <w:t>Tmep</w:t>
      </w:r>
      <w:proofErr w:type="spellEnd"/>
      <w:r w:rsidR="00556121" w:rsidRPr="00E030F1">
        <w:rPr>
          <w:color w:val="000000" w:themeColor="text1"/>
        </w:rPr>
        <w:t xml:space="preserve"> isoforms</w:t>
      </w:r>
      <w:r w:rsidR="00586826" w:rsidRPr="00E030F1">
        <w:rPr>
          <w:color w:val="000000" w:themeColor="text1"/>
        </w:rPr>
        <w:t xml:space="preserve"> (Fig 1</w:t>
      </w:r>
      <w:r w:rsidR="00A76844" w:rsidRPr="00E030F1">
        <w:rPr>
          <w:color w:val="000000" w:themeColor="text1"/>
        </w:rPr>
        <w:t>b</w:t>
      </w:r>
      <w:r w:rsidR="00B9313A" w:rsidRPr="00E030F1">
        <w:rPr>
          <w:color w:val="000000" w:themeColor="text1"/>
        </w:rPr>
        <w:t>)</w:t>
      </w:r>
      <w:r w:rsidR="00997373" w:rsidRPr="00E030F1">
        <w:rPr>
          <w:color w:val="000000" w:themeColor="text1"/>
        </w:rPr>
        <w:t xml:space="preserve">. </w:t>
      </w:r>
      <w:r w:rsidRPr="00E030F1">
        <w:rPr>
          <w:color w:val="000000" w:themeColor="text1"/>
        </w:rPr>
        <w:t>We also</w:t>
      </w:r>
      <w:r w:rsidR="00997373" w:rsidRPr="00E030F1">
        <w:rPr>
          <w:color w:val="000000" w:themeColor="text1"/>
        </w:rPr>
        <w:t xml:space="preserve"> obtained</w:t>
      </w:r>
      <w:r w:rsidR="00C6393F" w:rsidRPr="00E030F1">
        <w:rPr>
          <w:color w:val="000000" w:themeColor="text1"/>
        </w:rPr>
        <w:t xml:space="preserve"> a </w:t>
      </w:r>
      <w:r w:rsidR="00997373" w:rsidRPr="00E030F1">
        <w:rPr>
          <w:color w:val="000000" w:themeColor="text1"/>
        </w:rPr>
        <w:t>s</w:t>
      </w:r>
      <w:r w:rsidRPr="00E030F1">
        <w:rPr>
          <w:color w:val="000000" w:themeColor="text1"/>
        </w:rPr>
        <w:t>econd</w:t>
      </w:r>
      <w:r w:rsidR="00C6393F" w:rsidRPr="00E030F1">
        <w:rPr>
          <w:color w:val="000000" w:themeColor="text1"/>
        </w:rPr>
        <w:t xml:space="preserve"> allele</w:t>
      </w:r>
      <w:r w:rsidR="002F6441" w:rsidRPr="00E030F1">
        <w:rPr>
          <w:color w:val="000000" w:themeColor="text1"/>
        </w:rPr>
        <w:t xml:space="preserve"> (</w:t>
      </w:r>
      <w:proofErr w:type="spellStart"/>
      <w:r w:rsidR="002F6441" w:rsidRPr="00E030F1">
        <w:rPr>
          <w:i/>
          <w:iCs/>
          <w:color w:val="000000" w:themeColor="text1"/>
        </w:rPr>
        <w:t>Tmep</w:t>
      </w:r>
      <w:r w:rsidR="002F6441" w:rsidRPr="00E030F1">
        <w:rPr>
          <w:i/>
          <w:iCs/>
          <w:color w:val="000000" w:themeColor="text1"/>
          <w:vertAlign w:val="superscript"/>
        </w:rPr>
        <w:t>Cri</w:t>
      </w:r>
      <w:proofErr w:type="spellEnd"/>
      <w:r w:rsidR="002F6441" w:rsidRPr="00E030F1">
        <w:rPr>
          <w:color w:val="000000" w:themeColor="text1"/>
        </w:rPr>
        <w:t xml:space="preserve"> )</w:t>
      </w:r>
      <w:r w:rsidR="00C6393F" w:rsidRPr="00E030F1">
        <w:rPr>
          <w:color w:val="000000" w:themeColor="text1"/>
        </w:rPr>
        <w:t xml:space="preserve"> </w:t>
      </w:r>
      <w:r w:rsidR="00997373" w:rsidRPr="00E030F1">
        <w:rPr>
          <w:color w:val="000000" w:themeColor="text1"/>
        </w:rPr>
        <w:t xml:space="preserve">in which </w:t>
      </w:r>
      <w:proofErr w:type="spellStart"/>
      <w:r w:rsidR="00997373" w:rsidRPr="00E030F1">
        <w:rPr>
          <w:color w:val="000000" w:themeColor="text1"/>
        </w:rPr>
        <w:t>Tmep</w:t>
      </w:r>
      <w:proofErr w:type="spellEnd"/>
      <w:r w:rsidR="00997373" w:rsidRPr="00E030F1">
        <w:rPr>
          <w:color w:val="000000" w:themeColor="text1"/>
        </w:rPr>
        <w:t xml:space="preserve"> </w:t>
      </w:r>
      <w:r w:rsidR="00C6393F" w:rsidRPr="00E030F1">
        <w:rPr>
          <w:color w:val="000000" w:themeColor="text1"/>
        </w:rPr>
        <w:t xml:space="preserve">was </w:t>
      </w:r>
      <w:r w:rsidR="00997373" w:rsidRPr="00E030F1">
        <w:rPr>
          <w:color w:val="000000" w:themeColor="text1"/>
        </w:rPr>
        <w:t>disrupted by</w:t>
      </w:r>
      <w:r w:rsidR="00C6393F" w:rsidRPr="00E030F1">
        <w:rPr>
          <w:color w:val="000000" w:themeColor="text1"/>
        </w:rPr>
        <w:t xml:space="preserve"> </w:t>
      </w:r>
      <w:r w:rsidR="00997373" w:rsidRPr="00E030F1">
        <w:rPr>
          <w:color w:val="000000" w:themeColor="text1"/>
        </w:rPr>
        <w:t xml:space="preserve">a </w:t>
      </w:r>
      <w:r w:rsidR="00C6393F" w:rsidRPr="00E030F1">
        <w:rPr>
          <w:color w:val="000000" w:themeColor="text1"/>
        </w:rPr>
        <w:t xml:space="preserve">CRISPR-Mediated Integration Cassette (CRIMIC) </w:t>
      </w:r>
      <w:r w:rsidR="00997373" w:rsidRPr="00E030F1">
        <w:rPr>
          <w:color w:val="000000" w:themeColor="text1"/>
        </w:rPr>
        <w:t>cassette containing a splice acceptor,</w:t>
      </w:r>
      <w:r w:rsidR="00C6393F" w:rsidRPr="00E030F1">
        <w:rPr>
          <w:color w:val="000000" w:themeColor="text1"/>
        </w:rPr>
        <w:t xml:space="preserve"> </w:t>
      </w:r>
      <w:r w:rsidR="00C81A73" w:rsidRPr="00E030F1">
        <w:rPr>
          <w:i/>
          <w:color w:val="000000" w:themeColor="text1"/>
        </w:rPr>
        <w:t>GAL4</w:t>
      </w:r>
      <w:r w:rsidR="00C6393F" w:rsidRPr="00E030F1">
        <w:rPr>
          <w:color w:val="000000" w:themeColor="text1"/>
        </w:rPr>
        <w:t xml:space="preserve"> sequence</w:t>
      </w:r>
      <w:r w:rsidR="00997373" w:rsidRPr="00E030F1">
        <w:rPr>
          <w:color w:val="000000" w:themeColor="text1"/>
        </w:rPr>
        <w:t>,</w:t>
      </w:r>
      <w:r w:rsidR="00C6393F" w:rsidRPr="00E030F1">
        <w:rPr>
          <w:color w:val="000000" w:themeColor="text1"/>
        </w:rPr>
        <w:t xml:space="preserve"> </w:t>
      </w:r>
      <w:r w:rsidR="00997373" w:rsidRPr="00E030F1">
        <w:rPr>
          <w:color w:val="000000" w:themeColor="text1"/>
        </w:rPr>
        <w:t>and</w:t>
      </w:r>
      <w:r w:rsidR="00C6393F" w:rsidRPr="00E030F1">
        <w:rPr>
          <w:color w:val="000000" w:themeColor="text1"/>
        </w:rPr>
        <w:t xml:space="preserve"> a “stop” signal</w:t>
      </w:r>
      <w:r w:rsidR="00875D76" w:rsidRPr="00E030F1">
        <w:rPr>
          <w:color w:val="000000" w:themeColor="text1"/>
        </w:rPr>
        <w:t xml:space="preserve"> </w:t>
      </w:r>
      <w:r w:rsidR="00997373" w:rsidRPr="00E030F1">
        <w:rPr>
          <w:color w:val="000000" w:themeColor="text1"/>
        </w:rPr>
        <w:fldChar w:fldCharType="begin" w:fldLock="1"/>
      </w:r>
      <w:r w:rsidR="00606EF6" w:rsidRPr="00E030F1">
        <w:rPr>
          <w:color w:val="000000" w:themeColor="text1"/>
        </w:rPr>
        <w:instrText>ADDIN CSL_CITATION {"citationItems":[{"id":"ITEM-1","itemData":{"DOI":"10.7554/eLife.35574","ISSN":"2050084X","abstract":"We generated a library of ~1000 Drosophila stocks in which we inserted a construct in the intron of genes allowing expression of GAL4 under control of endogenous promoters while arresting transcription with a polyadenylation signal 3’ of the GAL4. This allows numerous applications. First, ~90% of insertions in essential genes cause a severe loss-of-function phenotype, an effective way to mutagenize genes. Interestingly, 12/14 chromosomes engineered through CRISPR do not carry second-site lethal mutations. Second, 26/36 (70%) of lethal insertions tested are rescued with a single UAS-cDNA construct. Third, loss-of-function phenotypes associated with many GAL4 insertions can be reverted by excision with UAS-flippase. Fourth, GAL4 driven UAS-GFP/RFP reports tissue and cell-type specificity of gene expression with high sensitivity. We report the expression of hundreds of genes not previously reported. Finally, inserted cassettes can be replaced with GFP or any DNA. These stocks comprise a powerful resource for assessing gene function.","author":[{"dropping-particle":"","family":"Lee","given":"Pei Tseng","non-dropping-particle":"","parse-names":false,"suffix":""},{"dropping-particle":"","family":"Zirin","given":"Jonathan","non-dropping-particle":"","parse-names":false,"suffix":""},{"dropping-particle":"","family":"Kanca","given":"Oguz","non-dropping-particle":"","parse-names":false,"suffix":""},{"dropping-particle":"","family":"Lin","given":"Wen Wen","non-dropping-particle":"","parse-names":false,"suffix":""},{"dropping-particle":"","family":"Schulze","given":"Karen L.","non-dropping-particle":"","parse-names":false,"suffix":""},{"dropping-particle":"","family":"Li-Kroeger","given":"David","non-dropping-particle":"","parse-names":false,"suffix":""},{"dropping-particle":"","family":"Tao","given":"Rong","non-dropping-particle":"","parse-names":false,"suffix":""},{"dropping-particle":"","family":"Devereaux","given":"Colby","non-dropping-particle":"","parse-names":false,"suffix":""},{"dropping-particle":"","family":"Hu","given":"Yanhui","non-dropping-particle":"","parse-names":false,"suffix":""},{"dropping-particle":"","family":"Chung","given":"Verena","non-dropping-particle":"","parse-names":false,"suffix":""},{"dropping-particle":"","family":"Fang","given":"Ying","non-dropping-particle":"","parse-names":false,"suffix":""},{"dropping-particle":"","family":"He","given":"Yuchun","non-dropping-particle":"","parse-names":false,"suffix":""},{"dropping-particle":"","family":"Pan","given":"Hongling","non-dropping-particle":"","parse-names":false,"suffix":""},{"dropping-particle":"","family":"Ge","given":"Ming","non-dropping-particle":"","parse-names":false,"suffix":""},{"dropping-particle":"","family":"Zuo","given":"Zhongyuan","non-dropping-particle":"","parse-names":false,"suffix":""},{"dropping-particle":"","family":"Housden","given":"Benjamin E.","non-dropping-particle":"","parse-names":false,"suffix":""},{"dropping-particle":"","family":"Mohr","given":"Stephanie E.","non-dropping-particle":"","parse-names":false,"suffix":""},{"dropping-particle":"","family":"Yamamoto","given":"Shinya","non-dropping-particle":"","parse-names":false,"suffix":""},{"dropping-particle":"","family":"Levis","given":"Robert W.","non-dropping-particle":"","parse-names":false,"suffix":""},{"dropping-particle":"","family":"Spradling","given":"Allan C.","non-dropping-particle":"","parse-names":false,"suffix":""},{"dropping-particle":"","family":"Perrimon","given":"Norbert","non-dropping-particle":"","parse-names":false,"suffix":""},{"dropping-particle":"","family":"Bellen","given":"Hugo J.","non-dropping-particle":"","parse-names":false,"suffix":""}],"container-title":"eLife","id":"ITEM-1","issue":"1993","issued":{"date-parts":[["2018","3","22"]]},"page":"4","publisher":"eLife Sciences Publications Ltd","title":"A gene-specific T2A-GAL4 library for drosophila","type":"article-journal","volume":"7"},"uris":["http://www.mendeley.com/documents/?uuid=a11abcf9-5c67-3be9-84cb-2557f213e365"]}],"mendeley":{"formattedCitation":"[19]","plainTextFormattedCitation":"[19]","previouslyFormattedCitation":"[19]"},"properties":{"noteIndex":0},"schema":"https://github.com/citation-style-language/schema/raw/master/csl-citation.json"}</w:instrText>
      </w:r>
      <w:r w:rsidR="00997373" w:rsidRPr="00E030F1">
        <w:rPr>
          <w:color w:val="000000" w:themeColor="text1"/>
        </w:rPr>
        <w:fldChar w:fldCharType="separate"/>
      </w:r>
      <w:r w:rsidR="00D4585F" w:rsidRPr="00E030F1">
        <w:rPr>
          <w:noProof/>
          <w:color w:val="000000" w:themeColor="text1"/>
        </w:rPr>
        <w:t>[19]</w:t>
      </w:r>
      <w:r w:rsidR="00997373" w:rsidRPr="00E030F1">
        <w:rPr>
          <w:color w:val="000000" w:themeColor="text1"/>
        </w:rPr>
        <w:fldChar w:fldCharType="end"/>
      </w:r>
      <w:r w:rsidR="00875D76" w:rsidRPr="00E030F1">
        <w:rPr>
          <w:color w:val="000000" w:themeColor="text1"/>
        </w:rPr>
        <w:t>.</w:t>
      </w:r>
      <w:r w:rsidR="00C6393F" w:rsidRPr="00E030F1">
        <w:rPr>
          <w:color w:val="000000" w:themeColor="text1"/>
        </w:rPr>
        <w:t xml:space="preserve"> </w:t>
      </w:r>
      <w:r w:rsidR="00997373" w:rsidRPr="00E030F1">
        <w:rPr>
          <w:color w:val="000000" w:themeColor="text1"/>
        </w:rPr>
        <w:t>Both</w:t>
      </w:r>
      <w:r w:rsidR="00347D54" w:rsidRPr="00E030F1">
        <w:rPr>
          <w:color w:val="000000" w:themeColor="text1"/>
        </w:rPr>
        <w:t xml:space="preserve"> </w:t>
      </w:r>
      <w:proofErr w:type="spellStart"/>
      <w:r w:rsidR="00347D54" w:rsidRPr="00E030F1">
        <w:rPr>
          <w:i/>
          <w:iCs/>
          <w:color w:val="000000" w:themeColor="text1"/>
        </w:rPr>
        <w:t>Tmep</w:t>
      </w:r>
      <w:r w:rsidR="009F3573" w:rsidRPr="00E030F1">
        <w:rPr>
          <w:i/>
          <w:iCs/>
          <w:color w:val="000000" w:themeColor="text1"/>
          <w:vertAlign w:val="superscript"/>
        </w:rPr>
        <w:t>Ex</w:t>
      </w:r>
      <w:proofErr w:type="spellEnd"/>
      <w:r w:rsidR="00347D54" w:rsidRPr="00E030F1">
        <w:rPr>
          <w:color w:val="000000" w:themeColor="text1"/>
        </w:rPr>
        <w:t xml:space="preserve"> </w:t>
      </w:r>
      <w:r w:rsidR="00997373" w:rsidRPr="00E030F1">
        <w:rPr>
          <w:color w:val="000000" w:themeColor="text1"/>
        </w:rPr>
        <w:t xml:space="preserve">and </w:t>
      </w:r>
      <w:proofErr w:type="spellStart"/>
      <w:r w:rsidR="00997373" w:rsidRPr="00E030F1">
        <w:rPr>
          <w:i/>
          <w:iCs/>
          <w:color w:val="000000" w:themeColor="text1"/>
        </w:rPr>
        <w:t>Tmep</w:t>
      </w:r>
      <w:r w:rsidR="00997373" w:rsidRPr="00E030F1">
        <w:rPr>
          <w:i/>
          <w:iCs/>
          <w:color w:val="000000" w:themeColor="text1"/>
          <w:vertAlign w:val="superscript"/>
        </w:rPr>
        <w:t>Cri</w:t>
      </w:r>
      <w:proofErr w:type="spellEnd"/>
      <w:r w:rsidR="00997373" w:rsidRPr="00E030F1">
        <w:rPr>
          <w:i/>
          <w:iCs/>
          <w:color w:val="000000" w:themeColor="text1"/>
        </w:rPr>
        <w:t xml:space="preserve"> </w:t>
      </w:r>
      <w:r w:rsidRPr="00E030F1">
        <w:rPr>
          <w:color w:val="000000" w:themeColor="text1"/>
        </w:rPr>
        <w:t>disrupt</w:t>
      </w:r>
      <w:r w:rsidR="00347D54" w:rsidRPr="00E030F1">
        <w:rPr>
          <w:color w:val="000000" w:themeColor="text1"/>
        </w:rPr>
        <w:t xml:space="preserve"> all four predicted</w:t>
      </w:r>
      <w:r w:rsidR="00347D54" w:rsidRPr="00E030F1">
        <w:rPr>
          <w:i/>
          <w:iCs/>
          <w:color w:val="000000" w:themeColor="text1"/>
        </w:rPr>
        <w:t xml:space="preserve"> </w:t>
      </w:r>
      <w:proofErr w:type="spellStart"/>
      <w:r w:rsidR="00347D54" w:rsidRPr="00E030F1">
        <w:rPr>
          <w:i/>
          <w:iCs/>
          <w:color w:val="000000" w:themeColor="text1"/>
        </w:rPr>
        <w:t>Tmep</w:t>
      </w:r>
      <w:proofErr w:type="spellEnd"/>
      <w:r w:rsidR="00347D54" w:rsidRPr="00E030F1">
        <w:rPr>
          <w:color w:val="000000" w:themeColor="text1"/>
        </w:rPr>
        <w:t xml:space="preserve"> transcripts. </w:t>
      </w:r>
      <w:r w:rsidR="00586826" w:rsidRPr="00E030F1">
        <w:rPr>
          <w:color w:val="000000" w:themeColor="text1"/>
        </w:rPr>
        <w:t>We used these two alleles</w:t>
      </w:r>
      <w:r w:rsidR="005C71AC" w:rsidRPr="00E030F1">
        <w:rPr>
          <w:color w:val="000000" w:themeColor="text1"/>
        </w:rPr>
        <w:t xml:space="preserve"> in </w:t>
      </w:r>
      <w:proofErr w:type="spellStart"/>
      <w:r w:rsidR="005C71AC" w:rsidRPr="00E030F1">
        <w:rPr>
          <w:color w:val="000000" w:themeColor="text1"/>
        </w:rPr>
        <w:t>transhetero</w:t>
      </w:r>
      <w:r w:rsidR="00DB1305" w:rsidRPr="00E030F1">
        <w:rPr>
          <w:color w:val="000000" w:themeColor="text1"/>
        </w:rPr>
        <w:t>zygous</w:t>
      </w:r>
      <w:proofErr w:type="spellEnd"/>
      <w:r w:rsidR="00DB1305" w:rsidRPr="00E030F1">
        <w:rPr>
          <w:color w:val="000000" w:themeColor="text1"/>
        </w:rPr>
        <w:t xml:space="preserve"> combination with a deficiency, </w:t>
      </w:r>
      <w:r w:rsidR="00DB1305" w:rsidRPr="00E030F1">
        <w:rPr>
          <w:i/>
          <w:iCs/>
          <w:color w:val="000000" w:themeColor="text1"/>
        </w:rPr>
        <w:t>Df(3L)Exel6087</w:t>
      </w:r>
      <w:r w:rsidR="00DB1305" w:rsidRPr="00E030F1">
        <w:rPr>
          <w:color w:val="000000" w:themeColor="text1"/>
        </w:rPr>
        <w:t xml:space="preserve">, that uncovered the </w:t>
      </w:r>
      <w:proofErr w:type="spellStart"/>
      <w:r w:rsidR="00DB1305" w:rsidRPr="00E030F1">
        <w:rPr>
          <w:i/>
          <w:iCs/>
          <w:color w:val="000000" w:themeColor="text1"/>
        </w:rPr>
        <w:t>Tmep</w:t>
      </w:r>
      <w:proofErr w:type="spellEnd"/>
      <w:r w:rsidR="00DB1305" w:rsidRPr="00E030F1">
        <w:rPr>
          <w:color w:val="000000" w:themeColor="text1"/>
        </w:rPr>
        <w:t xml:space="preserve"> locus</w:t>
      </w:r>
      <w:r w:rsidR="00586826" w:rsidRPr="00E030F1">
        <w:rPr>
          <w:color w:val="000000" w:themeColor="text1"/>
        </w:rPr>
        <w:t>, as well as two RNAi constructs targeting different conserved sequences</w:t>
      </w:r>
      <w:r w:rsidR="00F56809" w:rsidRPr="00E030F1">
        <w:rPr>
          <w:color w:val="000000" w:themeColor="text1"/>
        </w:rPr>
        <w:t xml:space="preserve"> (Fig 1</w:t>
      </w:r>
      <w:r w:rsidR="00A76844" w:rsidRPr="00E030F1">
        <w:rPr>
          <w:color w:val="000000" w:themeColor="text1"/>
        </w:rPr>
        <w:t>b</w:t>
      </w:r>
      <w:r w:rsidR="00F56809" w:rsidRPr="00E030F1">
        <w:rPr>
          <w:color w:val="000000" w:themeColor="text1"/>
        </w:rPr>
        <w:t>)</w:t>
      </w:r>
      <w:r w:rsidR="00586826" w:rsidRPr="00E030F1">
        <w:rPr>
          <w:color w:val="000000" w:themeColor="text1"/>
        </w:rPr>
        <w:t xml:space="preserve">, in our subsequent studies. </w:t>
      </w:r>
    </w:p>
    <w:p w14:paraId="435A37EA" w14:textId="63745017" w:rsidR="00417442" w:rsidRPr="00E030F1" w:rsidRDefault="001B5D64" w:rsidP="001B5D64">
      <w:pPr>
        <w:spacing w:line="480" w:lineRule="auto"/>
        <w:ind w:firstLine="720"/>
        <w:rPr>
          <w:color w:val="000000" w:themeColor="text1"/>
        </w:rPr>
      </w:pPr>
      <w:r w:rsidRPr="00E030F1">
        <w:rPr>
          <w:color w:val="000000" w:themeColor="text1"/>
        </w:rPr>
        <w:t xml:space="preserve">When </w:t>
      </w:r>
      <w:r w:rsidR="00F56809" w:rsidRPr="00E030F1">
        <w:rPr>
          <w:color w:val="000000" w:themeColor="text1"/>
        </w:rPr>
        <w:t xml:space="preserve">setting up </w:t>
      </w:r>
      <w:proofErr w:type="spellStart"/>
      <w:r w:rsidR="00A54DFD" w:rsidRPr="00E030F1">
        <w:rPr>
          <w:color w:val="000000" w:themeColor="text1"/>
        </w:rPr>
        <w:t>trans</w:t>
      </w:r>
      <w:r w:rsidR="00F56809" w:rsidRPr="00E030F1">
        <w:rPr>
          <w:color w:val="000000" w:themeColor="text1"/>
        </w:rPr>
        <w:t>heterozygous</w:t>
      </w:r>
      <w:proofErr w:type="spellEnd"/>
      <w:r w:rsidR="00F56809" w:rsidRPr="00E030F1">
        <w:rPr>
          <w:color w:val="000000" w:themeColor="text1"/>
        </w:rPr>
        <w:t xml:space="preserve"> crosses to study </w:t>
      </w:r>
      <w:proofErr w:type="spellStart"/>
      <w:r w:rsidR="00F56809" w:rsidRPr="00E030F1">
        <w:rPr>
          <w:i/>
          <w:iCs/>
          <w:color w:val="000000" w:themeColor="text1"/>
        </w:rPr>
        <w:t>Tmep</w:t>
      </w:r>
      <w:proofErr w:type="spellEnd"/>
      <w:r w:rsidR="00F56809" w:rsidRPr="00E030F1">
        <w:rPr>
          <w:color w:val="000000" w:themeColor="text1"/>
        </w:rPr>
        <w:t xml:space="preserve"> mutant flies</w:t>
      </w:r>
      <w:r w:rsidRPr="00E030F1">
        <w:rPr>
          <w:color w:val="000000" w:themeColor="text1"/>
        </w:rPr>
        <w:t>, we observed</w:t>
      </w:r>
      <w:r w:rsidR="003E5B79" w:rsidRPr="00E030F1">
        <w:rPr>
          <w:color w:val="000000" w:themeColor="text1"/>
        </w:rPr>
        <w:t xml:space="preserve"> </w:t>
      </w:r>
      <w:r w:rsidR="00B9313A" w:rsidRPr="00E030F1">
        <w:rPr>
          <w:color w:val="000000" w:themeColor="text1"/>
        </w:rPr>
        <w:t>that</w:t>
      </w:r>
      <w:r w:rsidRPr="00E030F1">
        <w:rPr>
          <w:color w:val="000000" w:themeColor="text1"/>
        </w:rPr>
        <w:t xml:space="preserve"> </w:t>
      </w:r>
      <w:proofErr w:type="spellStart"/>
      <w:r w:rsidR="00EB63E8" w:rsidRPr="00E030F1">
        <w:rPr>
          <w:i/>
          <w:iCs/>
          <w:color w:val="000000" w:themeColor="text1"/>
        </w:rPr>
        <w:t>Tmep</w:t>
      </w:r>
      <w:r w:rsidR="00EB63E8" w:rsidRPr="00E030F1">
        <w:rPr>
          <w:i/>
          <w:iCs/>
          <w:color w:val="000000" w:themeColor="text1"/>
          <w:vertAlign w:val="superscript"/>
        </w:rPr>
        <w:t>Cri</w:t>
      </w:r>
      <w:proofErr w:type="spellEnd"/>
      <w:r w:rsidR="002D2C69" w:rsidRPr="00E030F1">
        <w:rPr>
          <w:color w:val="000000" w:themeColor="text1"/>
        </w:rPr>
        <w:t xml:space="preserve">/Df flies had </w:t>
      </w:r>
      <w:r w:rsidR="00B9313A" w:rsidRPr="00E030F1">
        <w:rPr>
          <w:color w:val="000000" w:themeColor="text1"/>
        </w:rPr>
        <w:t xml:space="preserve">severely </w:t>
      </w:r>
      <w:r w:rsidR="00903612" w:rsidRPr="00E030F1">
        <w:rPr>
          <w:color w:val="000000" w:themeColor="text1"/>
        </w:rPr>
        <w:t>impaired</w:t>
      </w:r>
      <w:r w:rsidR="00C6393F" w:rsidRPr="00E030F1">
        <w:rPr>
          <w:color w:val="000000" w:themeColor="text1"/>
        </w:rPr>
        <w:t xml:space="preserve"> rates of </w:t>
      </w:r>
      <w:proofErr w:type="spellStart"/>
      <w:r w:rsidR="00903612" w:rsidRPr="00E030F1">
        <w:rPr>
          <w:color w:val="000000" w:themeColor="text1"/>
        </w:rPr>
        <w:t>eclosion</w:t>
      </w:r>
      <w:proofErr w:type="spellEnd"/>
      <w:r w:rsidR="00F56809" w:rsidRPr="00E030F1">
        <w:rPr>
          <w:color w:val="000000" w:themeColor="text1"/>
        </w:rPr>
        <w:t xml:space="preserve"> compared to non-mutants in the same vial</w:t>
      </w:r>
      <w:r w:rsidR="00C6393F" w:rsidRPr="00E030F1">
        <w:rPr>
          <w:color w:val="000000" w:themeColor="text1"/>
        </w:rPr>
        <w:t xml:space="preserve"> </w:t>
      </w:r>
      <w:r w:rsidR="00F3589F" w:rsidRPr="00E030F1">
        <w:rPr>
          <w:color w:val="000000" w:themeColor="text1"/>
        </w:rPr>
        <w:t>(</w:t>
      </w:r>
      <w:r w:rsidR="002C36FB" w:rsidRPr="00E030F1">
        <w:rPr>
          <w:color w:val="000000" w:themeColor="text1"/>
        </w:rPr>
        <w:t>0.057</w:t>
      </w:r>
      <w:r w:rsidR="00F3589F" w:rsidRPr="00E030F1">
        <w:rPr>
          <w:color w:val="000000" w:themeColor="text1"/>
        </w:rPr>
        <w:t xml:space="preserve">+/- </w:t>
      </w:r>
      <w:r w:rsidR="002C36FB" w:rsidRPr="00E030F1">
        <w:rPr>
          <w:color w:val="000000" w:themeColor="text1"/>
        </w:rPr>
        <w:t>0.</w:t>
      </w:r>
      <w:r w:rsidR="00F3589F" w:rsidRPr="00E030F1">
        <w:rPr>
          <w:color w:val="000000" w:themeColor="text1"/>
        </w:rPr>
        <w:t xml:space="preserve">10 (mean, SD) of expected ratio in females, </w:t>
      </w:r>
      <w:r w:rsidR="002C36FB" w:rsidRPr="00E030F1">
        <w:rPr>
          <w:color w:val="000000" w:themeColor="text1"/>
        </w:rPr>
        <w:t>0.</w:t>
      </w:r>
      <w:r w:rsidR="00F3589F" w:rsidRPr="00E030F1">
        <w:rPr>
          <w:color w:val="000000" w:themeColor="text1"/>
        </w:rPr>
        <w:t xml:space="preserve">67 +/- </w:t>
      </w:r>
      <w:r w:rsidR="002C36FB" w:rsidRPr="00E030F1">
        <w:rPr>
          <w:color w:val="000000" w:themeColor="text1"/>
        </w:rPr>
        <w:t>0.</w:t>
      </w:r>
      <w:r w:rsidR="00F3589F" w:rsidRPr="00E030F1">
        <w:rPr>
          <w:color w:val="000000" w:themeColor="text1"/>
        </w:rPr>
        <w:t xml:space="preserve">27 of expected in males) </w:t>
      </w:r>
      <w:r w:rsidR="00FD228D" w:rsidRPr="00E030F1">
        <w:rPr>
          <w:color w:val="000000" w:themeColor="text1"/>
        </w:rPr>
        <w:t xml:space="preserve">(Fig. </w:t>
      </w:r>
      <w:r w:rsidR="00DA097B" w:rsidRPr="00E030F1">
        <w:rPr>
          <w:color w:val="000000" w:themeColor="text1"/>
        </w:rPr>
        <w:t>1</w:t>
      </w:r>
      <w:r w:rsidR="00A76844" w:rsidRPr="00E030F1">
        <w:rPr>
          <w:color w:val="000000" w:themeColor="text1"/>
        </w:rPr>
        <w:t>c</w:t>
      </w:r>
      <w:r w:rsidR="00FD228D" w:rsidRPr="00E030F1">
        <w:rPr>
          <w:color w:val="000000" w:themeColor="text1"/>
        </w:rPr>
        <w:t>)</w:t>
      </w:r>
      <w:r w:rsidR="00F3589F" w:rsidRPr="00E030F1">
        <w:rPr>
          <w:color w:val="000000" w:themeColor="text1"/>
        </w:rPr>
        <w:t xml:space="preserve"> </w:t>
      </w:r>
      <w:r w:rsidR="00FD228D" w:rsidRPr="00E030F1">
        <w:rPr>
          <w:color w:val="000000" w:themeColor="text1"/>
        </w:rPr>
        <w:t>.</w:t>
      </w:r>
      <w:r w:rsidR="003B698B" w:rsidRPr="00E030F1">
        <w:rPr>
          <w:color w:val="000000" w:themeColor="text1"/>
        </w:rPr>
        <w:t xml:space="preserve"> </w:t>
      </w:r>
      <w:proofErr w:type="spellStart"/>
      <w:r w:rsidR="00003888" w:rsidRPr="00E030F1">
        <w:rPr>
          <w:i/>
          <w:iCs/>
          <w:color w:val="000000" w:themeColor="text1"/>
        </w:rPr>
        <w:t>Tmep</w:t>
      </w:r>
      <w:proofErr w:type="spellEnd"/>
      <w:r w:rsidR="00003888" w:rsidRPr="00E030F1">
        <w:rPr>
          <w:color w:val="000000" w:themeColor="text1"/>
        </w:rPr>
        <w:t xml:space="preserve">-associated lethality was greater in females than in males. </w:t>
      </w:r>
      <w:r w:rsidR="00DD313E" w:rsidRPr="00E030F1">
        <w:rPr>
          <w:color w:val="000000" w:themeColor="text1"/>
        </w:rPr>
        <w:t xml:space="preserve">This lethality </w:t>
      </w:r>
      <w:r w:rsidR="00243EF5" w:rsidRPr="00E030F1">
        <w:rPr>
          <w:color w:val="000000" w:themeColor="text1"/>
        </w:rPr>
        <w:t>is often observed</w:t>
      </w:r>
      <w:r w:rsidR="00DD313E" w:rsidRPr="00E030F1">
        <w:rPr>
          <w:color w:val="000000" w:themeColor="text1"/>
        </w:rPr>
        <w:t xml:space="preserve"> prior to wandering third-instar stage, as relatively few mutant larvae</w:t>
      </w:r>
      <w:r w:rsidR="001A1BA8" w:rsidRPr="00E030F1">
        <w:rPr>
          <w:color w:val="000000" w:themeColor="text1"/>
        </w:rPr>
        <w:t xml:space="preserve"> with this allele combination</w:t>
      </w:r>
      <w:r w:rsidR="00DD313E" w:rsidRPr="00E030F1">
        <w:rPr>
          <w:color w:val="000000" w:themeColor="text1"/>
        </w:rPr>
        <w:t xml:space="preserve"> </w:t>
      </w:r>
      <w:r w:rsidR="00243EF5" w:rsidRPr="00E030F1">
        <w:rPr>
          <w:color w:val="000000" w:themeColor="text1"/>
        </w:rPr>
        <w:t>can be found</w:t>
      </w:r>
      <w:r w:rsidR="001A1BA8" w:rsidRPr="00E030F1">
        <w:rPr>
          <w:color w:val="000000" w:themeColor="text1"/>
        </w:rPr>
        <w:t xml:space="preserve"> (not shown)</w:t>
      </w:r>
      <w:r w:rsidR="00DD313E" w:rsidRPr="00E030F1">
        <w:rPr>
          <w:color w:val="000000" w:themeColor="text1"/>
        </w:rPr>
        <w:t xml:space="preserve">. </w:t>
      </w:r>
      <w:r w:rsidR="00003888" w:rsidRPr="00E030F1">
        <w:rPr>
          <w:color w:val="000000" w:themeColor="text1"/>
        </w:rPr>
        <w:t xml:space="preserve">In both sexes, </w:t>
      </w:r>
      <w:proofErr w:type="spellStart"/>
      <w:r w:rsidR="00C6393F" w:rsidRPr="00E030F1">
        <w:rPr>
          <w:color w:val="000000" w:themeColor="text1"/>
        </w:rPr>
        <w:t>Tmep</w:t>
      </w:r>
      <w:proofErr w:type="spellEnd"/>
      <w:r w:rsidR="002F035C" w:rsidRPr="00E030F1">
        <w:rPr>
          <w:i/>
          <w:iCs/>
          <w:color w:val="000000" w:themeColor="text1"/>
        </w:rPr>
        <w:t xml:space="preserve"> </w:t>
      </w:r>
      <w:r w:rsidR="002F035C" w:rsidRPr="00E030F1">
        <w:rPr>
          <w:color w:val="000000" w:themeColor="text1"/>
        </w:rPr>
        <w:t xml:space="preserve">re-expression driven by </w:t>
      </w:r>
      <w:r w:rsidR="00B9313A" w:rsidRPr="00E030F1">
        <w:rPr>
          <w:color w:val="000000" w:themeColor="text1"/>
        </w:rPr>
        <w:t xml:space="preserve">the </w:t>
      </w:r>
      <w:r w:rsidR="002F035C" w:rsidRPr="00E030F1">
        <w:rPr>
          <w:i/>
          <w:iCs/>
          <w:color w:val="000000" w:themeColor="text1"/>
        </w:rPr>
        <w:t>CRIMIC-</w:t>
      </w:r>
      <w:r w:rsidR="00C81A73" w:rsidRPr="00E030F1">
        <w:rPr>
          <w:i/>
          <w:color w:val="000000" w:themeColor="text1"/>
        </w:rPr>
        <w:t>GAL4</w:t>
      </w:r>
      <w:r w:rsidR="00B9313A" w:rsidRPr="00E030F1">
        <w:rPr>
          <w:color w:val="000000" w:themeColor="text1"/>
        </w:rPr>
        <w:t xml:space="preserve"> (here used as both a mutant allele and a rescue driver in the </w:t>
      </w:r>
      <w:proofErr w:type="spellStart"/>
      <w:r w:rsidR="00B9313A" w:rsidRPr="00E030F1">
        <w:rPr>
          <w:color w:val="000000" w:themeColor="text1"/>
        </w:rPr>
        <w:t>Tmep</w:t>
      </w:r>
      <w:proofErr w:type="spellEnd"/>
      <w:r w:rsidR="00B9313A" w:rsidRPr="00E030F1">
        <w:rPr>
          <w:color w:val="000000" w:themeColor="text1"/>
        </w:rPr>
        <w:t xml:space="preserve"> expression pattern)</w:t>
      </w:r>
      <w:r w:rsidR="003B698B" w:rsidRPr="00E030F1">
        <w:rPr>
          <w:color w:val="000000" w:themeColor="text1"/>
        </w:rPr>
        <w:t xml:space="preserve"> </w:t>
      </w:r>
      <w:r w:rsidR="00C6393F" w:rsidRPr="00E030F1">
        <w:rPr>
          <w:color w:val="000000" w:themeColor="text1"/>
        </w:rPr>
        <w:t>was sufficient to</w:t>
      </w:r>
      <w:r w:rsidR="003B698B" w:rsidRPr="00E030F1">
        <w:rPr>
          <w:color w:val="000000" w:themeColor="text1"/>
        </w:rPr>
        <w:t xml:space="preserve"> rescue </w:t>
      </w:r>
      <w:proofErr w:type="spellStart"/>
      <w:r w:rsidR="003B698B" w:rsidRPr="00E030F1">
        <w:rPr>
          <w:color w:val="000000" w:themeColor="text1"/>
        </w:rPr>
        <w:t>eclosion</w:t>
      </w:r>
      <w:proofErr w:type="spellEnd"/>
      <w:r w:rsidR="003B698B" w:rsidRPr="00E030F1">
        <w:rPr>
          <w:color w:val="000000" w:themeColor="text1"/>
        </w:rPr>
        <w:t xml:space="preserve"> rates</w:t>
      </w:r>
      <w:r w:rsidR="009B0766" w:rsidRPr="00E030F1">
        <w:rPr>
          <w:color w:val="000000" w:themeColor="text1"/>
        </w:rPr>
        <w:t xml:space="preserve"> to </w:t>
      </w:r>
      <w:r w:rsidR="003B698B" w:rsidRPr="00E030F1">
        <w:rPr>
          <w:color w:val="000000" w:themeColor="text1"/>
        </w:rPr>
        <w:t xml:space="preserve">wild type </w:t>
      </w:r>
      <w:r w:rsidR="00577418" w:rsidRPr="00E030F1">
        <w:rPr>
          <w:color w:val="000000" w:themeColor="text1"/>
        </w:rPr>
        <w:t>levels</w:t>
      </w:r>
      <w:r w:rsidR="00243F89" w:rsidRPr="00E030F1">
        <w:rPr>
          <w:color w:val="000000" w:themeColor="text1"/>
        </w:rPr>
        <w:t xml:space="preserve"> (</w:t>
      </w:r>
      <w:r w:rsidR="002C36FB" w:rsidRPr="00E030F1">
        <w:rPr>
          <w:color w:val="000000" w:themeColor="text1"/>
        </w:rPr>
        <w:t>0.</w:t>
      </w:r>
      <w:r w:rsidR="00A951C5" w:rsidRPr="00E030F1">
        <w:rPr>
          <w:color w:val="000000" w:themeColor="text1"/>
        </w:rPr>
        <w:t xml:space="preserve">90 +/- </w:t>
      </w:r>
      <w:r w:rsidR="002C36FB" w:rsidRPr="00E030F1">
        <w:rPr>
          <w:color w:val="000000" w:themeColor="text1"/>
        </w:rPr>
        <w:t>0.099</w:t>
      </w:r>
      <w:r w:rsidR="00243F89" w:rsidRPr="00E030F1">
        <w:rPr>
          <w:color w:val="000000" w:themeColor="text1"/>
        </w:rPr>
        <w:t xml:space="preserve"> (mean, SD) of </w:t>
      </w:r>
      <w:r w:rsidR="00243F89" w:rsidRPr="00E030F1">
        <w:rPr>
          <w:color w:val="000000" w:themeColor="text1"/>
        </w:rPr>
        <w:lastRenderedPageBreak/>
        <w:t xml:space="preserve">expected ratio in females, </w:t>
      </w:r>
      <w:r w:rsidR="00A951C5" w:rsidRPr="00E030F1">
        <w:rPr>
          <w:color w:val="000000" w:themeColor="text1"/>
        </w:rPr>
        <w:t>1</w:t>
      </w:r>
      <w:r w:rsidR="002C36FB" w:rsidRPr="00E030F1">
        <w:rPr>
          <w:color w:val="000000" w:themeColor="text1"/>
        </w:rPr>
        <w:t>.</w:t>
      </w:r>
      <w:r w:rsidR="00A951C5" w:rsidRPr="00E030F1">
        <w:rPr>
          <w:color w:val="000000" w:themeColor="text1"/>
        </w:rPr>
        <w:t xml:space="preserve">16 +/- </w:t>
      </w:r>
      <w:r w:rsidR="002C36FB" w:rsidRPr="00E030F1">
        <w:rPr>
          <w:color w:val="000000" w:themeColor="text1"/>
        </w:rPr>
        <w:t>0.</w:t>
      </w:r>
      <w:r w:rsidR="00A951C5" w:rsidRPr="00E030F1">
        <w:rPr>
          <w:color w:val="000000" w:themeColor="text1"/>
        </w:rPr>
        <w:t>23</w:t>
      </w:r>
      <w:r w:rsidR="00243F89" w:rsidRPr="00E030F1">
        <w:rPr>
          <w:color w:val="000000" w:themeColor="text1"/>
        </w:rPr>
        <w:t xml:space="preserve"> of expected in males)</w:t>
      </w:r>
      <w:r w:rsidR="00FF7E15" w:rsidRPr="00E030F1">
        <w:rPr>
          <w:color w:val="000000" w:themeColor="text1"/>
        </w:rPr>
        <w:t xml:space="preserve"> (Fig. </w:t>
      </w:r>
      <w:r w:rsidR="00DA097B" w:rsidRPr="00E030F1">
        <w:rPr>
          <w:color w:val="000000" w:themeColor="text1"/>
        </w:rPr>
        <w:t>1</w:t>
      </w:r>
      <w:r w:rsidR="00A76844" w:rsidRPr="00E030F1">
        <w:rPr>
          <w:color w:val="000000" w:themeColor="text1"/>
        </w:rPr>
        <w:t>c</w:t>
      </w:r>
      <w:r w:rsidR="00FF7E15" w:rsidRPr="00E030F1">
        <w:rPr>
          <w:color w:val="000000" w:themeColor="text1"/>
        </w:rPr>
        <w:t>)</w:t>
      </w:r>
      <w:r w:rsidR="003B698B" w:rsidRPr="00E030F1">
        <w:rPr>
          <w:color w:val="000000" w:themeColor="text1"/>
        </w:rPr>
        <w:t>.</w:t>
      </w:r>
      <w:r w:rsidR="00417442" w:rsidRPr="00E030F1">
        <w:rPr>
          <w:color w:val="000000" w:themeColor="text1"/>
        </w:rPr>
        <w:t xml:space="preserve"> </w:t>
      </w:r>
      <w:r w:rsidR="00243EF5" w:rsidRPr="00E030F1">
        <w:rPr>
          <w:color w:val="000000" w:themeColor="text1"/>
        </w:rPr>
        <w:t xml:space="preserve">Due to the severe lethality of </w:t>
      </w:r>
      <w:proofErr w:type="spellStart"/>
      <w:r w:rsidR="00243EF5" w:rsidRPr="00E030F1">
        <w:rPr>
          <w:i/>
          <w:iCs/>
          <w:color w:val="000000" w:themeColor="text1"/>
        </w:rPr>
        <w:t>Tmep</w:t>
      </w:r>
      <w:r w:rsidR="00243EF5" w:rsidRPr="00E030F1">
        <w:rPr>
          <w:i/>
          <w:iCs/>
          <w:color w:val="000000" w:themeColor="text1"/>
          <w:vertAlign w:val="superscript"/>
        </w:rPr>
        <w:t>Cri</w:t>
      </w:r>
      <w:proofErr w:type="spellEnd"/>
      <w:r w:rsidR="00243EF5" w:rsidRPr="00E030F1">
        <w:rPr>
          <w:color w:val="000000" w:themeColor="text1"/>
        </w:rPr>
        <w:t xml:space="preserve">/Df, we analyzed </w:t>
      </w:r>
      <w:proofErr w:type="spellStart"/>
      <w:r w:rsidR="00243EF5" w:rsidRPr="00E030F1">
        <w:rPr>
          <w:i/>
          <w:iCs/>
          <w:color w:val="000000" w:themeColor="text1"/>
        </w:rPr>
        <w:t>Tmep</w:t>
      </w:r>
      <w:r w:rsidR="005C4E62" w:rsidRPr="00E030F1">
        <w:rPr>
          <w:i/>
          <w:iCs/>
          <w:color w:val="000000" w:themeColor="text1"/>
          <w:vertAlign w:val="superscript"/>
        </w:rPr>
        <w:t>Ex</w:t>
      </w:r>
      <w:proofErr w:type="spellEnd"/>
      <w:r w:rsidR="005C4E62" w:rsidRPr="00E030F1">
        <w:rPr>
          <w:i/>
          <w:iCs/>
          <w:color w:val="000000" w:themeColor="text1"/>
        </w:rPr>
        <w:t>/Df</w:t>
      </w:r>
      <w:r w:rsidR="00243EF5" w:rsidRPr="00E030F1">
        <w:rPr>
          <w:color w:val="000000" w:themeColor="text1"/>
        </w:rPr>
        <w:t xml:space="preserve"> in subsequent experiments.</w:t>
      </w:r>
    </w:p>
    <w:p w14:paraId="5D1B9C34" w14:textId="291FAE82" w:rsidR="007170DA" w:rsidRPr="00E030F1" w:rsidRDefault="00F56809" w:rsidP="008D5EDD">
      <w:pPr>
        <w:spacing w:line="480" w:lineRule="auto"/>
        <w:ind w:firstLine="720"/>
        <w:rPr>
          <w:color w:val="000000" w:themeColor="text1"/>
        </w:rPr>
      </w:pPr>
      <w:r w:rsidRPr="00E030F1">
        <w:rPr>
          <w:color w:val="000000" w:themeColor="text1"/>
        </w:rPr>
        <w:t xml:space="preserve">Because </w:t>
      </w:r>
      <w:r w:rsidRPr="00E030F1">
        <w:rPr>
          <w:i/>
          <w:iCs/>
          <w:color w:val="000000" w:themeColor="text1"/>
        </w:rPr>
        <w:t>Tmem184b</w:t>
      </w:r>
      <w:r w:rsidRPr="00E030F1">
        <w:rPr>
          <w:color w:val="000000" w:themeColor="text1"/>
        </w:rPr>
        <w:t xml:space="preserve"> mutant mice show sensory and motor defects </w:t>
      </w:r>
      <w:r w:rsidRPr="00E030F1">
        <w:rPr>
          <w:color w:val="000000" w:themeColor="text1"/>
        </w:rPr>
        <w:fldChar w:fldCharType="begin" w:fldLock="1"/>
      </w:r>
      <w:r w:rsidR="00606EF6" w:rsidRPr="00E030F1">
        <w:rPr>
          <w:color w:val="000000" w:themeColor="text1"/>
        </w:rPr>
        <w:instrText>ADDIN CSL_CITATION {"citationItems":[{"id":"ITEM-1","itemData":{"DOI":"10.1101/2020.01.25.919902","abstract":"Nociceptive and pruriceptive neurons in the dorsal root ganglia (DRG) convey sensations of pain and itch to the spinal cord, respectively. A sub-population of these neurons, marked by Somatostatin (Sst) expression, is responsible for detecting the cytokine IL-31, a mediator of acute itch and atopic dermatitis. The mechanisms responsible for specifying this population are largely unknown. Here we show that Tmem184b, a gene with known roles in axon degeneration and nerve terminal maintenance, is required for the expression of a substantial cohort of receptors, including IL31RA, that mediate acute itch. Mice lacking Tmem184b fail to respond to IL-31, but maintain normal responses to pain and mechanical force, suggesting a specific defect in pruriception. The number of Sst+ neurons is reduced in Tmem184b-mutant mice, indicating a likely defect in neuron subtype specification. Rescue experiments in adults versus embryonic neurons support a primary role for TMEM184B during development. We evaluated DRG gene expression across embryonic and early postnatal development and found that levels of Wnt signaling components are significantly reduced in embryonic DRG from Tmem184b-mutants and restored upon re-expression of Tmem184b. In summary, we have identified a mechanism controlled by TMEM184B that gates proper specification of pruriceptive neurons in the DRG through control of Wnt signaling. TMEM184B is thus critical for proper pruriceptive development and adult somatosensation.","author":[{"dropping-particle":"","family":"Larsen","given":"E.G.","non-dropping-particle":"","parse-names":false,"suffix":""},{"dropping-particle":"","family":"Cho","given":"T.S.","non-dropping-particle":"","parse-names":false,"suffix":""},{"dropping-particle":"","family":"McBride","given":"M.L.","non-dropping-particle":"","parse-names":false,"suffix":""},{"dropping-particle":"","family":"Feng","given":"J.","non-dropping-particle":"","parse-names":false,"suffix":""},{"dropping-particle":"","family":"Manivannan","given":"B.","non-dropping-particle":"","parse-names":false,"suffix":""},{"dropping-particle":"","family":"Madura","given":"C.","non-dropping-particle":"","parse-names":false,"suffix":""},{"dropping-particle":"","family":"Klein","given":"N.E.","non-dropping-particle":"","parse-names":false,"suffix":""},{"dropping-particle":"","family":"Wright","given":"E.B.","non-dropping-particle":"","parse-names":false,"suffix":""},{"dropping-particle":"","family":"Wickstead","given":"E.S.","non-dropping-particle":"","parse-names":false,"suffix":""},{"dropping-particle":"","family":"Garcia-Verdugo","given":"H.D.","non-dropping-particle":"","parse-names":false,"suffix":""},{"dropping-particle":"","family":"Jarvis","given":"C.","non-dropping-particle":"","parse-names":false,"suffix":""},{"dropping-particle":"","family":"Khanna","given":"R.","non-dropping-particle":"","parse-names":false,"suffix":""},{"dropping-particle":"","family":"Hu","given":"H.","non-dropping-particle":"","parse-names":false,"suffix":""},{"dropping-particle":"","family":"Largent-Milnes","given":"T.M.","non-dropping-particle":"","parse-names":false,"suffix":""},{"dropping-particle":"","family":"Bhattacharya","given":"M.R.C.","non-dropping-particle":"","parse-names":false,"suffix":""}],"container-title":"PAIN (in press)","id":"ITEM-1","issued":{"date-parts":[["0"]]},"title":"TMEM184B is necessary for IL-31-induced itch","type":"article-journal"},"uris":["http://www.mendeley.com/documents/?uuid=94e620ad-5226-423a-aa67-762b716db023","http://www.mendeley.com/documents/?uuid=c4367242-e306-364d-91ee-ee69bd3c2a91","http://www.mendeley.com/documents/?uuid=e9c294e3-6572-4ec1-be1a-27000995b09d"]},{"id":"ITEM-2","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Neuroscience","id":"ITEM-2","issue":"17","issued":{"date-parts":[["2016"]]},"page":"4681-4689","title":"TMEM184b promotes axon degeneration and neuromuscular junction maintenance","type":"article-journal","volume":"36"},"uris":["http://www.mendeley.com/documents/?uuid=d9297b0c-278f-3bb6-9ac6-5cfa9d00dfb9"]}],"mendeley":{"formattedCitation":"[17, 18]","plainTextFormattedCitation":"[17, 18]","previouslyFormattedCitation":"[17, 18]"},"properties":{"noteIndex":0},"schema":"https://github.com/citation-style-language/schema/raw/master/csl-citation.json"}</w:instrText>
      </w:r>
      <w:r w:rsidRPr="00E030F1">
        <w:rPr>
          <w:color w:val="000000" w:themeColor="text1"/>
        </w:rPr>
        <w:fldChar w:fldCharType="separate"/>
      </w:r>
      <w:r w:rsidR="00D4585F" w:rsidRPr="00E030F1">
        <w:rPr>
          <w:noProof/>
          <w:color w:val="000000" w:themeColor="text1"/>
        </w:rPr>
        <w:t>[17, 18]</w:t>
      </w:r>
      <w:r w:rsidRPr="00E030F1">
        <w:rPr>
          <w:color w:val="000000" w:themeColor="text1"/>
        </w:rPr>
        <w:fldChar w:fldCharType="end"/>
      </w:r>
      <w:r w:rsidRPr="00E030F1">
        <w:rPr>
          <w:color w:val="000000" w:themeColor="text1"/>
        </w:rPr>
        <w:t xml:space="preserve">, we wanted to know if </w:t>
      </w:r>
      <w:proofErr w:type="spellStart"/>
      <w:r w:rsidRPr="00E030F1">
        <w:rPr>
          <w:i/>
          <w:iCs/>
          <w:color w:val="000000" w:themeColor="text1"/>
        </w:rPr>
        <w:t>Tmep</w:t>
      </w:r>
      <w:proofErr w:type="spellEnd"/>
      <w:r w:rsidRPr="00E030F1">
        <w:rPr>
          <w:color w:val="000000" w:themeColor="text1"/>
        </w:rPr>
        <w:t xml:space="preserve"> mutant flies would show similar phenotypes. </w:t>
      </w:r>
      <w:r w:rsidR="00A76844" w:rsidRPr="00E030F1">
        <w:rPr>
          <w:color w:val="000000" w:themeColor="text1"/>
        </w:rPr>
        <w:t xml:space="preserve">First, we evaluated if </w:t>
      </w:r>
      <w:r w:rsidR="008E6029" w:rsidRPr="00E030F1">
        <w:rPr>
          <w:color w:val="000000" w:themeColor="text1"/>
        </w:rPr>
        <w:t xml:space="preserve">adult </w:t>
      </w:r>
      <w:r w:rsidR="00A76844" w:rsidRPr="00E030F1">
        <w:rPr>
          <w:color w:val="000000" w:themeColor="text1"/>
        </w:rPr>
        <w:t xml:space="preserve">flies showed </w:t>
      </w:r>
      <w:r w:rsidR="00256C5B" w:rsidRPr="00E030F1">
        <w:rPr>
          <w:color w:val="000000" w:themeColor="text1"/>
        </w:rPr>
        <w:t>impaired motor function.</w:t>
      </w:r>
      <w:r w:rsidR="00A76844" w:rsidRPr="00E030F1">
        <w:rPr>
          <w:color w:val="000000" w:themeColor="text1"/>
        </w:rPr>
        <w:t xml:space="preserve"> </w:t>
      </w:r>
      <w:r w:rsidR="00256C5B" w:rsidRPr="00E030F1">
        <w:rPr>
          <w:color w:val="000000" w:themeColor="text1"/>
        </w:rPr>
        <w:t xml:space="preserve">In a climbing assay, </w:t>
      </w:r>
      <w:proofErr w:type="spellStart"/>
      <w:r w:rsidR="00A76844" w:rsidRPr="00E030F1">
        <w:rPr>
          <w:i/>
          <w:iCs/>
          <w:color w:val="000000" w:themeColor="text1"/>
        </w:rPr>
        <w:t>Tmep</w:t>
      </w:r>
      <w:proofErr w:type="spellEnd"/>
      <w:r w:rsidR="00A76844" w:rsidRPr="00E030F1">
        <w:rPr>
          <w:color w:val="000000" w:themeColor="text1"/>
        </w:rPr>
        <w:t xml:space="preserve"> mutant females showed slower climbing time </w:t>
      </w:r>
      <w:r w:rsidR="00745F32" w:rsidRPr="00E030F1">
        <w:rPr>
          <w:color w:val="000000" w:themeColor="text1"/>
        </w:rPr>
        <w:t xml:space="preserve">after disorientation </w:t>
      </w:r>
      <w:r w:rsidR="00A76844" w:rsidRPr="00E030F1">
        <w:rPr>
          <w:color w:val="000000" w:themeColor="text1"/>
        </w:rPr>
        <w:t>,</w:t>
      </w:r>
      <w:r w:rsidR="00CF429C" w:rsidRPr="00E030F1">
        <w:rPr>
          <w:color w:val="000000" w:themeColor="text1"/>
        </w:rPr>
        <w:t xml:space="preserve"> </w:t>
      </w:r>
      <w:r w:rsidR="00A76844" w:rsidRPr="00E030F1">
        <w:rPr>
          <w:color w:val="000000" w:themeColor="text1"/>
        </w:rPr>
        <w:t>while males were not affected (Fig 1d). In larvae, we</w:t>
      </w:r>
      <w:r w:rsidR="00CB4A71" w:rsidRPr="00E030F1">
        <w:rPr>
          <w:color w:val="000000" w:themeColor="text1"/>
        </w:rPr>
        <w:t xml:space="preserve"> assess</w:t>
      </w:r>
      <w:r w:rsidR="00C30543" w:rsidRPr="00E030F1">
        <w:rPr>
          <w:color w:val="000000" w:themeColor="text1"/>
        </w:rPr>
        <w:t>ed</w:t>
      </w:r>
      <w:r w:rsidR="00CB4A71" w:rsidRPr="00E030F1">
        <w:rPr>
          <w:color w:val="000000" w:themeColor="text1"/>
        </w:rPr>
        <w:t xml:space="preserve"> </w:t>
      </w:r>
      <w:r w:rsidR="00417442" w:rsidRPr="00E030F1">
        <w:rPr>
          <w:color w:val="000000" w:themeColor="text1"/>
        </w:rPr>
        <w:t>how</w:t>
      </w:r>
      <w:r w:rsidR="00C30543" w:rsidRPr="00E030F1">
        <w:rPr>
          <w:color w:val="000000" w:themeColor="text1"/>
        </w:rPr>
        <w:t xml:space="preserve"> </w:t>
      </w:r>
      <w:proofErr w:type="spellStart"/>
      <w:r w:rsidR="00C30543" w:rsidRPr="00E030F1">
        <w:rPr>
          <w:i/>
          <w:iCs/>
          <w:color w:val="000000" w:themeColor="text1"/>
        </w:rPr>
        <w:t>Tmep</w:t>
      </w:r>
      <w:proofErr w:type="spellEnd"/>
      <w:r w:rsidR="00C30543" w:rsidRPr="00E030F1">
        <w:rPr>
          <w:i/>
          <w:iCs/>
          <w:color w:val="000000" w:themeColor="text1"/>
        </w:rPr>
        <w:t xml:space="preserve"> </w:t>
      </w:r>
      <w:r w:rsidR="00417442" w:rsidRPr="00E030F1">
        <w:rPr>
          <w:color w:val="000000" w:themeColor="text1"/>
        </w:rPr>
        <w:t>reduction</w:t>
      </w:r>
      <w:r w:rsidR="00C30543" w:rsidRPr="00E030F1">
        <w:rPr>
          <w:color w:val="000000" w:themeColor="text1"/>
        </w:rPr>
        <w:t xml:space="preserve"> </w:t>
      </w:r>
      <w:r w:rsidR="00417442" w:rsidRPr="00E030F1">
        <w:rPr>
          <w:color w:val="000000" w:themeColor="text1"/>
        </w:rPr>
        <w:t>impacted</w:t>
      </w:r>
      <w:r w:rsidR="00C30543" w:rsidRPr="00E030F1">
        <w:rPr>
          <w:color w:val="000000" w:themeColor="text1"/>
        </w:rPr>
        <w:t xml:space="preserve"> </w:t>
      </w:r>
      <w:r w:rsidR="00CB4A71" w:rsidRPr="00E030F1">
        <w:rPr>
          <w:color w:val="000000" w:themeColor="text1"/>
        </w:rPr>
        <w:t>locomotor behavior</w:t>
      </w:r>
      <w:r w:rsidR="00417442" w:rsidRPr="00E030F1">
        <w:rPr>
          <w:color w:val="000000" w:themeColor="text1"/>
        </w:rPr>
        <w:t xml:space="preserve"> using a simple crawling assay</w:t>
      </w:r>
      <w:r w:rsidR="00CB4A71" w:rsidRPr="00E030F1">
        <w:rPr>
          <w:color w:val="000000" w:themeColor="text1"/>
        </w:rPr>
        <w:t>.</w:t>
      </w:r>
      <w:r w:rsidR="009B0766" w:rsidRPr="00E030F1">
        <w:rPr>
          <w:color w:val="000000" w:themeColor="text1"/>
        </w:rPr>
        <w:t xml:space="preserve"> </w:t>
      </w:r>
      <w:r w:rsidR="00417442" w:rsidRPr="00E030F1">
        <w:rPr>
          <w:color w:val="000000" w:themeColor="text1"/>
        </w:rPr>
        <w:t>In females, b</w:t>
      </w:r>
      <w:r w:rsidR="009B0766" w:rsidRPr="00E030F1">
        <w:rPr>
          <w:color w:val="000000" w:themeColor="text1"/>
        </w:rPr>
        <w:t xml:space="preserve">oth </w:t>
      </w:r>
      <w:proofErr w:type="spellStart"/>
      <w:r w:rsidR="00417442" w:rsidRPr="00E030F1">
        <w:rPr>
          <w:i/>
          <w:iCs/>
          <w:color w:val="000000" w:themeColor="text1"/>
        </w:rPr>
        <w:t>Tmep</w:t>
      </w:r>
      <w:r w:rsidR="00417442" w:rsidRPr="00E030F1">
        <w:rPr>
          <w:i/>
          <w:iCs/>
          <w:color w:val="000000" w:themeColor="text1"/>
          <w:vertAlign w:val="superscript"/>
        </w:rPr>
        <w:t>Ex</w:t>
      </w:r>
      <w:proofErr w:type="spellEnd"/>
      <w:r w:rsidR="00417442" w:rsidRPr="00E030F1">
        <w:rPr>
          <w:color w:val="000000" w:themeColor="text1"/>
        </w:rPr>
        <w:t xml:space="preserve"> and </w:t>
      </w:r>
      <w:proofErr w:type="spellStart"/>
      <w:r w:rsidR="00A76844" w:rsidRPr="00E030F1">
        <w:rPr>
          <w:i/>
          <w:iCs/>
          <w:color w:val="000000" w:themeColor="text1"/>
        </w:rPr>
        <w:t>Tmep</w:t>
      </w:r>
      <w:r w:rsidR="00A76844" w:rsidRPr="00E030F1">
        <w:rPr>
          <w:i/>
          <w:iCs/>
          <w:color w:val="000000" w:themeColor="text1"/>
          <w:vertAlign w:val="superscript"/>
        </w:rPr>
        <w:t>Cri</w:t>
      </w:r>
      <w:proofErr w:type="spellEnd"/>
      <w:r w:rsidR="00A76844" w:rsidRPr="00E030F1">
        <w:rPr>
          <w:i/>
          <w:iCs/>
          <w:color w:val="000000" w:themeColor="text1"/>
        </w:rPr>
        <w:t>,</w:t>
      </w:r>
      <w:r w:rsidR="00417442" w:rsidRPr="00E030F1">
        <w:rPr>
          <w:color w:val="000000" w:themeColor="text1"/>
        </w:rPr>
        <w:t xml:space="preserve"> </w:t>
      </w:r>
      <w:r w:rsidR="00DD313E" w:rsidRPr="00E030F1">
        <w:rPr>
          <w:color w:val="000000" w:themeColor="text1"/>
        </w:rPr>
        <w:t xml:space="preserve">in trans to a </w:t>
      </w:r>
      <w:r w:rsidR="00417442" w:rsidRPr="00E030F1">
        <w:rPr>
          <w:color w:val="000000" w:themeColor="text1"/>
        </w:rPr>
        <w:t>deficiency,</w:t>
      </w:r>
      <w:r w:rsidR="009B0766" w:rsidRPr="00E030F1">
        <w:rPr>
          <w:color w:val="000000" w:themeColor="text1"/>
        </w:rPr>
        <w:t xml:space="preserve"> showed </w:t>
      </w:r>
      <w:r w:rsidR="00B9313A" w:rsidRPr="00E030F1">
        <w:rPr>
          <w:color w:val="000000" w:themeColor="text1"/>
        </w:rPr>
        <w:t xml:space="preserve">reduced </w:t>
      </w:r>
      <w:r w:rsidR="00F056D1" w:rsidRPr="00E030F1">
        <w:rPr>
          <w:color w:val="000000" w:themeColor="text1"/>
        </w:rPr>
        <w:t xml:space="preserve">body </w:t>
      </w:r>
      <w:r w:rsidR="00B9313A" w:rsidRPr="00E030F1">
        <w:rPr>
          <w:color w:val="000000" w:themeColor="text1"/>
        </w:rPr>
        <w:t>contraction</w:t>
      </w:r>
      <w:r w:rsidR="00057DEF" w:rsidRPr="00E030F1">
        <w:rPr>
          <w:color w:val="000000" w:themeColor="text1"/>
        </w:rPr>
        <w:t xml:space="preserve"> (crawling)</w:t>
      </w:r>
      <w:r w:rsidR="00B9313A" w:rsidRPr="00E030F1">
        <w:rPr>
          <w:color w:val="000000" w:themeColor="text1"/>
        </w:rPr>
        <w:t xml:space="preserve"> rates</w:t>
      </w:r>
      <w:r w:rsidR="009B0766" w:rsidRPr="00E030F1">
        <w:rPr>
          <w:color w:val="000000" w:themeColor="text1"/>
        </w:rPr>
        <w:t xml:space="preserve"> </w:t>
      </w:r>
      <w:r w:rsidR="00A76844" w:rsidRPr="00E030F1">
        <w:rPr>
          <w:color w:val="000000" w:themeColor="text1"/>
        </w:rPr>
        <w:t>compared</w:t>
      </w:r>
      <w:r w:rsidR="009B0766" w:rsidRPr="00E030F1">
        <w:rPr>
          <w:color w:val="000000" w:themeColor="text1"/>
        </w:rPr>
        <w:t xml:space="preserve"> to </w:t>
      </w:r>
      <w:r w:rsidR="00A76844" w:rsidRPr="00E030F1">
        <w:rPr>
          <w:color w:val="000000" w:themeColor="text1"/>
        </w:rPr>
        <w:t>controls</w:t>
      </w:r>
      <w:r w:rsidR="00DA097B" w:rsidRPr="00E030F1">
        <w:rPr>
          <w:color w:val="000000" w:themeColor="text1"/>
        </w:rPr>
        <w:t xml:space="preserve"> (Fig. 1</w:t>
      </w:r>
      <w:r w:rsidR="00A76844" w:rsidRPr="00E030F1">
        <w:rPr>
          <w:color w:val="000000" w:themeColor="text1"/>
        </w:rPr>
        <w:t>e</w:t>
      </w:r>
      <w:r w:rsidR="00DA097B" w:rsidRPr="00E030F1">
        <w:rPr>
          <w:color w:val="000000" w:themeColor="text1"/>
        </w:rPr>
        <w:t>)</w:t>
      </w:r>
      <w:r w:rsidR="00417442" w:rsidRPr="00E030F1">
        <w:rPr>
          <w:color w:val="000000" w:themeColor="text1"/>
        </w:rPr>
        <w:t xml:space="preserve">, with </w:t>
      </w:r>
      <w:proofErr w:type="spellStart"/>
      <w:r w:rsidR="00417442" w:rsidRPr="00E030F1">
        <w:rPr>
          <w:i/>
          <w:iCs/>
          <w:color w:val="000000" w:themeColor="text1"/>
        </w:rPr>
        <w:t>Tmep</w:t>
      </w:r>
      <w:r w:rsidR="00417442" w:rsidRPr="00E030F1">
        <w:rPr>
          <w:i/>
          <w:iCs/>
          <w:color w:val="000000" w:themeColor="text1"/>
          <w:vertAlign w:val="superscript"/>
        </w:rPr>
        <w:t>Cri</w:t>
      </w:r>
      <w:proofErr w:type="spellEnd"/>
      <w:r w:rsidR="00417442" w:rsidRPr="00E030F1">
        <w:rPr>
          <w:i/>
          <w:iCs/>
          <w:color w:val="000000" w:themeColor="text1"/>
        </w:rPr>
        <w:t xml:space="preserve"> </w:t>
      </w:r>
      <w:r w:rsidR="00417442" w:rsidRPr="00E030F1">
        <w:rPr>
          <w:color w:val="000000" w:themeColor="text1"/>
        </w:rPr>
        <w:t>having stronger effects</w:t>
      </w:r>
      <w:r w:rsidR="00FF647B" w:rsidRPr="00E030F1">
        <w:rPr>
          <w:color w:val="000000" w:themeColor="text1"/>
        </w:rPr>
        <w:t xml:space="preserve"> (for </w:t>
      </w:r>
      <w:proofErr w:type="spellStart"/>
      <w:r w:rsidR="00FF647B" w:rsidRPr="00E030F1">
        <w:rPr>
          <w:color w:val="000000" w:themeColor="text1"/>
        </w:rPr>
        <w:t>Tmep</w:t>
      </w:r>
      <w:r w:rsidR="00FF647B" w:rsidRPr="00E030F1">
        <w:rPr>
          <w:color w:val="000000" w:themeColor="text1"/>
          <w:vertAlign w:val="superscript"/>
        </w:rPr>
        <w:t>Ex</w:t>
      </w:r>
      <w:proofErr w:type="spellEnd"/>
      <w:r w:rsidR="00FF647B" w:rsidRPr="00E030F1">
        <w:rPr>
          <w:color w:val="000000" w:themeColor="text1"/>
        </w:rPr>
        <w:t>/Df, 33.5 +/- 3.4 (S</w:t>
      </w:r>
      <w:r w:rsidR="002C36FB" w:rsidRPr="00E030F1">
        <w:rPr>
          <w:color w:val="000000" w:themeColor="text1"/>
        </w:rPr>
        <w:t>D</w:t>
      </w:r>
      <w:r w:rsidR="00FF647B" w:rsidRPr="00E030F1">
        <w:rPr>
          <w:color w:val="000000" w:themeColor="text1"/>
        </w:rPr>
        <w:t>)</w:t>
      </w:r>
      <w:r w:rsidR="005471D0" w:rsidRPr="00E030F1">
        <w:rPr>
          <w:color w:val="000000" w:themeColor="text1"/>
        </w:rPr>
        <w:t xml:space="preserve"> contractions/min</w:t>
      </w:r>
      <w:r w:rsidR="00FF647B" w:rsidRPr="00E030F1">
        <w:rPr>
          <w:color w:val="000000" w:themeColor="text1"/>
        </w:rPr>
        <w:t xml:space="preserve">; for </w:t>
      </w:r>
      <w:bookmarkStart w:id="0" w:name="OLE_LINK1"/>
      <w:proofErr w:type="spellStart"/>
      <w:r w:rsidR="00FF647B" w:rsidRPr="00E030F1">
        <w:rPr>
          <w:color w:val="000000" w:themeColor="text1"/>
        </w:rPr>
        <w:t>Tmep</w:t>
      </w:r>
      <w:r w:rsidR="00FF647B" w:rsidRPr="00E030F1">
        <w:rPr>
          <w:color w:val="000000" w:themeColor="text1"/>
          <w:vertAlign w:val="superscript"/>
        </w:rPr>
        <w:t>Cri</w:t>
      </w:r>
      <w:proofErr w:type="spellEnd"/>
      <w:r w:rsidR="00FF647B" w:rsidRPr="00E030F1">
        <w:rPr>
          <w:color w:val="000000" w:themeColor="text1"/>
        </w:rPr>
        <w:t>/Df</w:t>
      </w:r>
      <w:bookmarkEnd w:id="0"/>
      <w:r w:rsidR="00FF647B" w:rsidRPr="00E030F1">
        <w:rPr>
          <w:color w:val="000000" w:themeColor="text1"/>
        </w:rPr>
        <w:t>, 21.6 +/-</w:t>
      </w:r>
      <w:r w:rsidR="002C36FB" w:rsidRPr="00E030F1">
        <w:rPr>
          <w:color w:val="000000" w:themeColor="text1"/>
        </w:rPr>
        <w:t xml:space="preserve"> 14.4 (SD)</w:t>
      </w:r>
      <w:r w:rsidR="005471D0" w:rsidRPr="00E030F1">
        <w:rPr>
          <w:color w:val="000000" w:themeColor="text1"/>
        </w:rPr>
        <w:t>)</w:t>
      </w:r>
      <w:r w:rsidR="009B0766" w:rsidRPr="00E030F1">
        <w:rPr>
          <w:color w:val="000000" w:themeColor="text1"/>
        </w:rPr>
        <w:t>.</w:t>
      </w:r>
      <w:r w:rsidR="004F7ECC" w:rsidRPr="00E030F1">
        <w:rPr>
          <w:color w:val="000000" w:themeColor="text1"/>
        </w:rPr>
        <w:t xml:space="preserve"> </w:t>
      </w:r>
      <w:r w:rsidR="00417442" w:rsidRPr="00E030F1">
        <w:rPr>
          <w:color w:val="000000" w:themeColor="text1"/>
        </w:rPr>
        <w:t xml:space="preserve">Re-expression of </w:t>
      </w:r>
      <w:proofErr w:type="spellStart"/>
      <w:r w:rsidR="00417442" w:rsidRPr="00E030F1">
        <w:rPr>
          <w:i/>
          <w:iCs/>
          <w:color w:val="000000" w:themeColor="text1"/>
        </w:rPr>
        <w:t>Tmep</w:t>
      </w:r>
      <w:proofErr w:type="spellEnd"/>
      <w:r w:rsidR="00417442" w:rsidRPr="00E030F1">
        <w:rPr>
          <w:i/>
          <w:iCs/>
          <w:color w:val="000000" w:themeColor="text1"/>
        </w:rPr>
        <w:t xml:space="preserve"> </w:t>
      </w:r>
      <w:r w:rsidR="00417442" w:rsidRPr="00E030F1">
        <w:rPr>
          <w:color w:val="000000" w:themeColor="text1"/>
        </w:rPr>
        <w:t xml:space="preserve">driven by </w:t>
      </w:r>
      <w:r w:rsidR="00417442" w:rsidRPr="00E030F1">
        <w:rPr>
          <w:i/>
          <w:iCs/>
          <w:color w:val="000000" w:themeColor="text1"/>
        </w:rPr>
        <w:t>CRIMIC-</w:t>
      </w:r>
      <w:r w:rsidR="00C81A73" w:rsidRPr="00E030F1">
        <w:rPr>
          <w:i/>
          <w:color w:val="000000" w:themeColor="text1"/>
        </w:rPr>
        <w:t>GAL4</w:t>
      </w:r>
      <w:r w:rsidR="00417442" w:rsidRPr="00E030F1">
        <w:rPr>
          <w:color w:val="000000" w:themeColor="text1"/>
        </w:rPr>
        <w:t xml:space="preserve"> was sufficient to rescue crawling behavior in females</w:t>
      </w:r>
      <w:r w:rsidR="002C36FB" w:rsidRPr="00E030F1">
        <w:rPr>
          <w:color w:val="000000" w:themeColor="text1"/>
        </w:rPr>
        <w:t xml:space="preserve"> (47.7</w:t>
      </w:r>
      <w:r w:rsidR="005471D0" w:rsidRPr="00E030F1">
        <w:rPr>
          <w:color w:val="000000" w:themeColor="text1"/>
        </w:rPr>
        <w:t xml:space="preserve"> +/- 9.5 (SD) contractions/min)</w:t>
      </w:r>
      <w:r w:rsidR="00417442" w:rsidRPr="00E030F1">
        <w:rPr>
          <w:color w:val="000000" w:themeColor="text1"/>
        </w:rPr>
        <w:t xml:space="preserve"> (Fig. 1</w:t>
      </w:r>
      <w:r w:rsidR="00A76844" w:rsidRPr="00E030F1">
        <w:rPr>
          <w:color w:val="000000" w:themeColor="text1"/>
        </w:rPr>
        <w:t>e</w:t>
      </w:r>
      <w:r w:rsidR="00417442" w:rsidRPr="00E030F1">
        <w:rPr>
          <w:color w:val="000000" w:themeColor="text1"/>
        </w:rPr>
        <w:t xml:space="preserve">). In males, while behaviors trended similarly to females, none of the </w:t>
      </w:r>
      <w:proofErr w:type="spellStart"/>
      <w:r w:rsidR="00C007B0" w:rsidRPr="00E030F1">
        <w:rPr>
          <w:i/>
          <w:iCs/>
          <w:color w:val="000000" w:themeColor="text1"/>
        </w:rPr>
        <w:t>Tmep</w:t>
      </w:r>
      <w:proofErr w:type="spellEnd"/>
      <w:r w:rsidR="00C007B0" w:rsidRPr="00E030F1">
        <w:rPr>
          <w:color w:val="000000" w:themeColor="text1"/>
        </w:rPr>
        <w:t xml:space="preserve"> mutant </w:t>
      </w:r>
      <w:r w:rsidR="00417442" w:rsidRPr="00E030F1">
        <w:rPr>
          <w:color w:val="000000" w:themeColor="text1"/>
        </w:rPr>
        <w:t>genotypes were significantly different</w:t>
      </w:r>
      <w:r w:rsidR="00C007B0" w:rsidRPr="00E030F1">
        <w:rPr>
          <w:color w:val="000000" w:themeColor="text1"/>
        </w:rPr>
        <w:t xml:space="preserve"> from wild type</w:t>
      </w:r>
      <w:r w:rsidR="005471D0" w:rsidRPr="00E030F1">
        <w:rPr>
          <w:color w:val="000000" w:themeColor="text1"/>
        </w:rPr>
        <w:t xml:space="preserve"> (</w:t>
      </w:r>
      <w:proofErr w:type="spellStart"/>
      <w:r w:rsidR="005471D0" w:rsidRPr="00E030F1">
        <w:rPr>
          <w:color w:val="000000" w:themeColor="text1"/>
        </w:rPr>
        <w:t>Tmep</w:t>
      </w:r>
      <w:r w:rsidR="005471D0" w:rsidRPr="00E030F1">
        <w:rPr>
          <w:color w:val="000000" w:themeColor="text1"/>
          <w:vertAlign w:val="superscript"/>
        </w:rPr>
        <w:t>Ex</w:t>
      </w:r>
      <w:proofErr w:type="spellEnd"/>
      <w:r w:rsidR="005471D0" w:rsidRPr="00E030F1">
        <w:rPr>
          <w:color w:val="000000" w:themeColor="text1"/>
        </w:rPr>
        <w:t xml:space="preserve">/Df , 37.4 +/- 3.3 (SD) contractions/min; </w:t>
      </w:r>
      <w:proofErr w:type="spellStart"/>
      <w:r w:rsidR="005471D0" w:rsidRPr="00E030F1">
        <w:rPr>
          <w:color w:val="000000" w:themeColor="text1"/>
        </w:rPr>
        <w:t>Tmep</w:t>
      </w:r>
      <w:r w:rsidR="005471D0" w:rsidRPr="00E030F1">
        <w:rPr>
          <w:color w:val="000000" w:themeColor="text1"/>
          <w:vertAlign w:val="superscript"/>
        </w:rPr>
        <w:t>Cri</w:t>
      </w:r>
      <w:proofErr w:type="spellEnd"/>
      <w:r w:rsidR="005471D0" w:rsidRPr="00E030F1">
        <w:rPr>
          <w:color w:val="000000" w:themeColor="text1"/>
        </w:rPr>
        <w:t xml:space="preserve">/Df 42.0 +/- 9.7 (SD); rescue, 48.3 +/- 11.3(SD)) </w:t>
      </w:r>
      <w:r w:rsidR="00417442" w:rsidRPr="00E030F1">
        <w:rPr>
          <w:color w:val="000000" w:themeColor="text1"/>
        </w:rPr>
        <w:t>(Fig 1</w:t>
      </w:r>
      <w:r w:rsidR="00A76844" w:rsidRPr="00E030F1">
        <w:rPr>
          <w:color w:val="000000" w:themeColor="text1"/>
        </w:rPr>
        <w:t>f</w:t>
      </w:r>
      <w:r w:rsidR="00417442" w:rsidRPr="00E030F1">
        <w:rPr>
          <w:color w:val="000000" w:themeColor="text1"/>
        </w:rPr>
        <w:t xml:space="preserve">). Taken together, </w:t>
      </w:r>
      <w:r w:rsidR="00A76844" w:rsidRPr="00E030F1">
        <w:rPr>
          <w:color w:val="000000" w:themeColor="text1"/>
        </w:rPr>
        <w:t xml:space="preserve">our data show that </w:t>
      </w:r>
      <w:proofErr w:type="spellStart"/>
      <w:r w:rsidR="00A76844" w:rsidRPr="00E030F1">
        <w:rPr>
          <w:color w:val="000000" w:themeColor="text1"/>
        </w:rPr>
        <w:t>Tmep</w:t>
      </w:r>
      <w:proofErr w:type="spellEnd"/>
      <w:r w:rsidR="00A76844" w:rsidRPr="00E030F1">
        <w:rPr>
          <w:color w:val="000000" w:themeColor="text1"/>
        </w:rPr>
        <w:t xml:space="preserve"> expression is critical for viability and behavior, with </w:t>
      </w:r>
      <w:r w:rsidR="00417442" w:rsidRPr="00E030F1">
        <w:rPr>
          <w:color w:val="000000" w:themeColor="text1"/>
        </w:rPr>
        <w:t xml:space="preserve">effects of </w:t>
      </w:r>
      <w:proofErr w:type="spellStart"/>
      <w:r w:rsidR="00417442" w:rsidRPr="00E030F1">
        <w:rPr>
          <w:color w:val="000000" w:themeColor="text1"/>
        </w:rPr>
        <w:t>Tmep</w:t>
      </w:r>
      <w:proofErr w:type="spellEnd"/>
      <w:r w:rsidR="00417442" w:rsidRPr="00E030F1">
        <w:rPr>
          <w:color w:val="000000" w:themeColor="text1"/>
        </w:rPr>
        <w:t xml:space="preserve"> reduction </w:t>
      </w:r>
      <w:r w:rsidR="00003888" w:rsidRPr="00E030F1">
        <w:rPr>
          <w:color w:val="000000" w:themeColor="text1"/>
        </w:rPr>
        <w:t>more deleterious in females.</w:t>
      </w:r>
      <w:r w:rsidR="007A6DEE" w:rsidRPr="00E030F1">
        <w:rPr>
          <w:color w:val="000000" w:themeColor="text1"/>
        </w:rPr>
        <w:t xml:space="preserve"> We do not yet know the basis for the sexual dimorphism in </w:t>
      </w:r>
      <w:proofErr w:type="spellStart"/>
      <w:r w:rsidR="007A6DEE" w:rsidRPr="00E030F1">
        <w:rPr>
          <w:i/>
          <w:iCs/>
          <w:color w:val="000000" w:themeColor="text1"/>
        </w:rPr>
        <w:t>Tmep</w:t>
      </w:r>
      <w:proofErr w:type="spellEnd"/>
      <w:r w:rsidR="007A6DEE" w:rsidRPr="00E030F1">
        <w:rPr>
          <w:color w:val="000000" w:themeColor="text1"/>
        </w:rPr>
        <w:t xml:space="preserve"> mutants.</w:t>
      </w:r>
      <w:r w:rsidR="00930ED4" w:rsidRPr="00E030F1">
        <w:rPr>
          <w:color w:val="000000" w:themeColor="text1"/>
        </w:rPr>
        <w:t xml:space="preserve"> In subsequent experiments, we separated </w:t>
      </w:r>
      <w:r w:rsidR="007A6DEE" w:rsidRPr="00E030F1">
        <w:rPr>
          <w:color w:val="000000" w:themeColor="text1"/>
        </w:rPr>
        <w:t>animals</w:t>
      </w:r>
      <w:r w:rsidR="00930ED4" w:rsidRPr="00E030F1">
        <w:rPr>
          <w:color w:val="000000" w:themeColor="text1"/>
        </w:rPr>
        <w:t xml:space="preserve"> by sex</w:t>
      </w:r>
      <w:r w:rsidR="007A6DEE" w:rsidRPr="00E030F1">
        <w:rPr>
          <w:color w:val="000000" w:themeColor="text1"/>
        </w:rPr>
        <w:t xml:space="preserve"> to fully capture the phenotypes caused by </w:t>
      </w:r>
      <w:proofErr w:type="spellStart"/>
      <w:r w:rsidR="007A6DEE" w:rsidRPr="00E030F1">
        <w:rPr>
          <w:color w:val="000000" w:themeColor="text1"/>
        </w:rPr>
        <w:t>Tmep</w:t>
      </w:r>
      <w:proofErr w:type="spellEnd"/>
      <w:r w:rsidR="007A6DEE" w:rsidRPr="00E030F1">
        <w:rPr>
          <w:color w:val="000000" w:themeColor="text1"/>
        </w:rPr>
        <w:t xml:space="preserve"> reduction</w:t>
      </w:r>
      <w:r w:rsidR="00930ED4" w:rsidRPr="00E030F1">
        <w:rPr>
          <w:color w:val="000000" w:themeColor="text1"/>
        </w:rPr>
        <w:t xml:space="preserve">. </w:t>
      </w:r>
      <w:r w:rsidR="00003888" w:rsidRPr="00E030F1">
        <w:rPr>
          <w:color w:val="000000" w:themeColor="text1"/>
        </w:rPr>
        <w:t xml:space="preserve"> </w:t>
      </w:r>
    </w:p>
    <w:p w14:paraId="721F8FFF" w14:textId="77777777" w:rsidR="00081295" w:rsidRPr="00E030F1" w:rsidRDefault="00081295" w:rsidP="000D4897">
      <w:pPr>
        <w:spacing w:line="480" w:lineRule="auto"/>
        <w:rPr>
          <w:b/>
          <w:bCs/>
          <w:iCs/>
          <w:color w:val="000000" w:themeColor="text1"/>
        </w:rPr>
      </w:pPr>
    </w:p>
    <w:p w14:paraId="00000013" w14:textId="584A62F2" w:rsidR="00510F8F" w:rsidRPr="00E030F1" w:rsidRDefault="00055F28" w:rsidP="000D4897">
      <w:pPr>
        <w:spacing w:line="480" w:lineRule="auto"/>
        <w:rPr>
          <w:b/>
          <w:bCs/>
          <w:iCs/>
          <w:color w:val="000000" w:themeColor="text1"/>
          <w:vertAlign w:val="subscript"/>
        </w:rPr>
      </w:pPr>
      <w:proofErr w:type="spellStart"/>
      <w:r w:rsidRPr="00E030F1">
        <w:rPr>
          <w:b/>
          <w:bCs/>
          <w:iCs/>
          <w:color w:val="000000" w:themeColor="text1"/>
        </w:rPr>
        <w:t>Tmep</w:t>
      </w:r>
      <w:proofErr w:type="spellEnd"/>
      <w:r w:rsidR="007F0F85" w:rsidRPr="00E030F1">
        <w:rPr>
          <w:b/>
          <w:bCs/>
          <w:iCs/>
          <w:color w:val="000000" w:themeColor="text1"/>
        </w:rPr>
        <w:t xml:space="preserve"> </w:t>
      </w:r>
      <w:r w:rsidR="001A1BA8" w:rsidRPr="00E030F1">
        <w:rPr>
          <w:b/>
          <w:bCs/>
          <w:iCs/>
          <w:color w:val="000000" w:themeColor="text1"/>
        </w:rPr>
        <w:t>localizes to endosomes and synaptic vesicles in motor neurons</w:t>
      </w:r>
    </w:p>
    <w:p w14:paraId="53C1FCC4" w14:textId="7D9C7ED9" w:rsidR="00897339" w:rsidRPr="00E030F1" w:rsidRDefault="0052450A" w:rsidP="00A65947">
      <w:pPr>
        <w:widowControl w:val="0"/>
        <w:spacing w:line="480" w:lineRule="auto"/>
        <w:rPr>
          <w:color w:val="000000" w:themeColor="text1"/>
        </w:rPr>
      </w:pPr>
      <w:r w:rsidRPr="00E030F1">
        <w:rPr>
          <w:color w:val="000000" w:themeColor="text1"/>
        </w:rPr>
        <w:tab/>
      </w:r>
      <w:r w:rsidR="001A1BA8" w:rsidRPr="00E030F1">
        <w:rPr>
          <w:color w:val="000000" w:themeColor="text1"/>
        </w:rPr>
        <w:t>TMEM184B</w:t>
      </w:r>
      <w:r w:rsidR="0049610C" w:rsidRPr="00E030F1">
        <w:rPr>
          <w:color w:val="000000" w:themeColor="text1"/>
        </w:rPr>
        <w:t xml:space="preserve"> is expressed in motor and sensory</w:t>
      </w:r>
      <w:r w:rsidR="001D0E0D" w:rsidRPr="00E030F1">
        <w:rPr>
          <w:color w:val="000000" w:themeColor="text1"/>
        </w:rPr>
        <w:t xml:space="preserve"> neurons</w:t>
      </w:r>
      <w:r w:rsidR="0049610C" w:rsidRPr="00E030F1">
        <w:rPr>
          <w:color w:val="000000" w:themeColor="text1"/>
        </w:rPr>
        <w:t xml:space="preserve"> as well as in the </w:t>
      </w:r>
      <w:r w:rsidR="001D0E0D" w:rsidRPr="00E030F1">
        <w:rPr>
          <w:color w:val="000000" w:themeColor="text1"/>
        </w:rPr>
        <w:t>brain</w:t>
      </w:r>
      <w:r w:rsidR="0049610C" w:rsidRPr="00E030F1">
        <w:rPr>
          <w:color w:val="000000" w:themeColor="text1"/>
        </w:rPr>
        <w:t xml:space="preserve"> in </w:t>
      </w:r>
      <w:r w:rsidR="001D0E0D" w:rsidRPr="00E030F1">
        <w:rPr>
          <w:color w:val="000000" w:themeColor="text1"/>
        </w:rPr>
        <w:t>mice</w:t>
      </w:r>
      <w:r w:rsidR="0049610C" w:rsidRPr="00E030F1">
        <w:rPr>
          <w:color w:val="000000" w:themeColor="text1"/>
        </w:rPr>
        <w:t xml:space="preserve">, starting from early development </w:t>
      </w:r>
      <w:r w:rsidR="0049610C" w:rsidRPr="00E030F1">
        <w:rPr>
          <w:color w:val="000000" w:themeColor="text1"/>
        </w:rPr>
        <w:fldChar w:fldCharType="begin" w:fldLock="1"/>
      </w:r>
      <w:r w:rsidR="00606EF6" w:rsidRPr="00E030F1">
        <w:rPr>
          <w:color w:val="000000" w:themeColor="text1"/>
        </w:rPr>
        <w:instrText>ADDIN CSL_CITATION {"citationItems":[{"id":"ITEM-1","itemData":{"DOI":"10.1101/2020.01.25.919902","abstract":"Nociceptive and pruriceptive neurons in the dorsal root ganglia (DRG) convey sensations of pain and itch to the spinal cord, respectively. A sub-population of these neurons, marked by Somatostatin (Sst) expression, is responsible for detecting the cytokine IL-31, a mediator of acute itch and atopic dermatitis. The mechanisms responsible for specifying this population are largely unknown. Here we show that Tmem184b, a gene with known roles in axon degeneration and nerve terminal maintenance, is required for the expression of a substantial cohort of receptors, including IL31RA, that mediate acute itch. Mice lacking Tmem184b fail to respond to IL-31, but maintain normal responses to pain and mechanical force, suggesting a specific defect in pruriception. The number of Sst+ neurons is reduced in Tmem184b-mutant mice, indicating a likely defect in neuron subtype specification. Rescue experiments in adults versus embryonic neurons support a primary role for TMEM184B during development. We evaluated DRG gene expression across embryonic and early postnatal development and found that levels of Wnt signaling components are significantly reduced in embryonic DRG from Tmem184b-mutants and restored upon re-expression of Tmem184b. In summary, we have identified a mechanism controlled by TMEM184B that gates proper specification of pruriceptive neurons in the DRG through control of Wnt signaling. TMEM184B is thus critical for proper pruriceptive development and adult somatosensation.","author":[{"dropping-particle":"","family":"Larsen","given":"E.G.","non-dropping-particle":"","parse-names":false,"suffix":""},{"dropping-particle":"","family":"Cho","given":"T.S.","non-dropping-particle":"","parse-names":false,"suffix":""},{"dropping-particle":"","family":"McBride","given":"M.L.","non-dropping-particle":"","parse-names":false,"suffix":""},{"dropping-particle":"","family":"Feng","given":"J.","non-dropping-particle":"","parse-names":false,"suffix":""},{"dropping-particle":"","family":"Manivannan","given":"B.","non-dropping-particle":"","parse-names":false,"suffix":""},{"dropping-particle":"","family":"Madura","given":"C.","non-dropping-particle":"","parse-names":false,"suffix":""},{"dropping-particle":"","family":"Klein","given":"N.E.","non-dropping-particle":"","parse-names":false,"suffix":""},{"dropping-particle":"","family":"Wright","given":"E.B.","non-dropping-particle":"","parse-names":false,"suffix":""},{"dropping-particle":"","family":"Wickstead","given":"E.S.","non-dropping-particle":"","parse-names":false,"suffix":""},{"dropping-particle":"","family":"Garcia-Verdugo","given":"H.D.","non-dropping-particle":"","parse-names":false,"suffix":""},{"dropping-particle":"","family":"Jarvis","given":"C.","non-dropping-particle":"","parse-names":false,"suffix":""},{"dropping-particle":"","family":"Khanna","given":"R.","non-dropping-particle":"","parse-names":false,"suffix":""},{"dropping-particle":"","family":"Hu","given":"H.","non-dropping-particle":"","parse-names":false,"suffix":""},{"dropping-particle":"","family":"Largent-Milnes","given":"T.M.","non-dropping-particle":"","parse-names":false,"suffix":""},{"dropping-particle":"","family":"Bhattacharya","given":"M.R.C.","non-dropping-particle":"","parse-names":false,"suffix":""}],"container-title":"PAIN (in press)","id":"ITEM-1","issued":{"date-parts":[["0"]]},"title":"TMEM184B is necessary for IL-31-induced itch","type":"article-journal"},"uris":["http://www.mendeley.com/documents/?uuid=94e620ad-5226-423a-aa67-762b716db023","http://www.mendeley.com/documents/?uuid=c4367242-e306-364d-91ee-ee69bd3c2a91"]}],"mendeley":{"formattedCitation":"[18]","plainTextFormattedCitation":"[18]","previouslyFormattedCitation":"[18]"},"properties":{"noteIndex":0},"schema":"https://github.com/citation-style-language/schema/raw/master/csl-citation.json"}</w:instrText>
      </w:r>
      <w:r w:rsidR="0049610C" w:rsidRPr="00E030F1">
        <w:rPr>
          <w:color w:val="000000" w:themeColor="text1"/>
        </w:rPr>
        <w:fldChar w:fldCharType="separate"/>
      </w:r>
      <w:r w:rsidR="00D4585F" w:rsidRPr="00E030F1">
        <w:rPr>
          <w:noProof/>
          <w:color w:val="000000" w:themeColor="text1"/>
        </w:rPr>
        <w:t>[18]</w:t>
      </w:r>
      <w:r w:rsidR="0049610C" w:rsidRPr="00E030F1">
        <w:rPr>
          <w:color w:val="000000" w:themeColor="text1"/>
        </w:rPr>
        <w:fldChar w:fldCharType="end"/>
      </w:r>
      <w:r w:rsidR="0049610C" w:rsidRPr="00E030F1">
        <w:rPr>
          <w:color w:val="000000" w:themeColor="text1"/>
        </w:rPr>
        <w:t xml:space="preserve">. To understand why </w:t>
      </w:r>
      <w:proofErr w:type="spellStart"/>
      <w:r w:rsidR="0049610C" w:rsidRPr="00E030F1">
        <w:rPr>
          <w:i/>
          <w:iCs/>
          <w:color w:val="000000" w:themeColor="text1"/>
        </w:rPr>
        <w:t>Tmep</w:t>
      </w:r>
      <w:proofErr w:type="spellEnd"/>
      <w:r w:rsidR="0049610C" w:rsidRPr="00E030F1">
        <w:rPr>
          <w:color w:val="000000" w:themeColor="text1"/>
        </w:rPr>
        <w:t xml:space="preserve"> mutant larvae show hyperexcitability, we first wanted to establish its </w:t>
      </w:r>
      <w:r w:rsidR="002623FF" w:rsidRPr="00E030F1">
        <w:rPr>
          <w:color w:val="000000" w:themeColor="text1"/>
        </w:rPr>
        <w:t xml:space="preserve">overall </w:t>
      </w:r>
      <w:r w:rsidR="0049610C" w:rsidRPr="00E030F1">
        <w:rPr>
          <w:color w:val="000000" w:themeColor="text1"/>
        </w:rPr>
        <w:t>expression pattern at the larval stage. We</w:t>
      </w:r>
      <w:r w:rsidR="005C1B98" w:rsidRPr="00E030F1">
        <w:rPr>
          <w:color w:val="000000" w:themeColor="text1"/>
        </w:rPr>
        <w:t xml:space="preserve"> developed </w:t>
      </w:r>
      <w:r w:rsidR="00930ED4" w:rsidRPr="00E030F1">
        <w:rPr>
          <w:color w:val="000000" w:themeColor="text1"/>
        </w:rPr>
        <w:t xml:space="preserve">a polyclonal antibody to </w:t>
      </w:r>
      <w:r w:rsidR="00C81A73" w:rsidRPr="00E030F1">
        <w:rPr>
          <w:i/>
          <w:iCs/>
          <w:color w:val="000000" w:themeColor="text1"/>
        </w:rPr>
        <w:t>Drosophila</w:t>
      </w:r>
      <w:r w:rsidR="00930ED4" w:rsidRPr="00E030F1">
        <w:rPr>
          <w:color w:val="000000" w:themeColor="text1"/>
        </w:rPr>
        <w:t xml:space="preserve"> </w:t>
      </w:r>
      <w:proofErr w:type="spellStart"/>
      <w:r w:rsidR="00930ED4" w:rsidRPr="00E030F1">
        <w:rPr>
          <w:color w:val="000000" w:themeColor="text1"/>
        </w:rPr>
        <w:t>Tmep</w:t>
      </w:r>
      <w:proofErr w:type="spellEnd"/>
      <w:r w:rsidR="005C1B98" w:rsidRPr="00E030F1">
        <w:rPr>
          <w:color w:val="000000" w:themeColor="text1"/>
        </w:rPr>
        <w:t xml:space="preserve"> (</w:t>
      </w:r>
      <w:r w:rsidR="00F734D8" w:rsidRPr="00E030F1">
        <w:rPr>
          <w:color w:val="000000" w:themeColor="text1"/>
        </w:rPr>
        <w:t>regions</w:t>
      </w:r>
      <w:r w:rsidR="00F056D1" w:rsidRPr="00E030F1">
        <w:rPr>
          <w:color w:val="000000" w:themeColor="text1"/>
        </w:rPr>
        <w:t xml:space="preserve"> used as antigens</w:t>
      </w:r>
      <w:r w:rsidR="00F734D8" w:rsidRPr="00E030F1">
        <w:rPr>
          <w:color w:val="000000" w:themeColor="text1"/>
        </w:rPr>
        <w:t xml:space="preserve"> shown by red lines in Fig 1</w:t>
      </w:r>
      <w:r w:rsidR="007A6DEE" w:rsidRPr="00E030F1">
        <w:rPr>
          <w:color w:val="000000" w:themeColor="text1"/>
        </w:rPr>
        <w:t>a</w:t>
      </w:r>
      <w:r w:rsidR="005C1B98" w:rsidRPr="00E030F1">
        <w:rPr>
          <w:color w:val="000000" w:themeColor="text1"/>
        </w:rPr>
        <w:t xml:space="preserve">). </w:t>
      </w:r>
      <w:proofErr w:type="spellStart"/>
      <w:r w:rsidR="00B80FDD" w:rsidRPr="00E030F1">
        <w:rPr>
          <w:color w:val="000000" w:themeColor="text1"/>
        </w:rPr>
        <w:t>Tmep</w:t>
      </w:r>
      <w:proofErr w:type="spellEnd"/>
      <w:r w:rsidR="00B80FDD" w:rsidRPr="00E030F1">
        <w:rPr>
          <w:color w:val="000000" w:themeColor="text1"/>
        </w:rPr>
        <w:t xml:space="preserve"> is expressed in a punctate pattern in the neurons of the ventral nerve cord (Fig. </w:t>
      </w:r>
      <w:r w:rsidR="00F355A1" w:rsidRPr="00E030F1">
        <w:rPr>
          <w:color w:val="000000" w:themeColor="text1"/>
        </w:rPr>
        <w:t>2</w:t>
      </w:r>
      <w:r w:rsidR="0049610C" w:rsidRPr="00E030F1">
        <w:rPr>
          <w:color w:val="000000" w:themeColor="text1"/>
        </w:rPr>
        <w:t>a</w:t>
      </w:r>
      <w:r w:rsidR="00B80FDD" w:rsidRPr="00E030F1">
        <w:rPr>
          <w:color w:val="000000" w:themeColor="text1"/>
        </w:rPr>
        <w:t xml:space="preserve">). Importantly, we see very low signal in </w:t>
      </w:r>
      <w:proofErr w:type="spellStart"/>
      <w:r w:rsidR="00E91022" w:rsidRPr="00E030F1">
        <w:rPr>
          <w:i/>
          <w:iCs/>
          <w:color w:val="000000" w:themeColor="text1"/>
        </w:rPr>
        <w:t>Tmep</w:t>
      </w:r>
      <w:r w:rsidR="005C4E62" w:rsidRPr="00E030F1">
        <w:rPr>
          <w:i/>
          <w:iCs/>
          <w:color w:val="000000" w:themeColor="text1"/>
          <w:vertAlign w:val="superscript"/>
        </w:rPr>
        <w:t>Ex</w:t>
      </w:r>
      <w:proofErr w:type="spellEnd"/>
      <w:r w:rsidR="005C4E62" w:rsidRPr="00E030F1">
        <w:rPr>
          <w:i/>
          <w:iCs/>
          <w:color w:val="000000" w:themeColor="text1"/>
        </w:rPr>
        <w:t>/Df</w:t>
      </w:r>
      <w:r w:rsidR="00B80FDD" w:rsidRPr="00E030F1">
        <w:rPr>
          <w:color w:val="000000" w:themeColor="text1"/>
        </w:rPr>
        <w:t xml:space="preserve"> larvae, indicating that our </w:t>
      </w:r>
      <w:r w:rsidR="00B80FDD" w:rsidRPr="00E030F1">
        <w:rPr>
          <w:color w:val="000000" w:themeColor="text1"/>
        </w:rPr>
        <w:lastRenderedPageBreak/>
        <w:t>antibody is specific.</w:t>
      </w:r>
      <w:r w:rsidR="007F45E3" w:rsidRPr="00E030F1">
        <w:rPr>
          <w:color w:val="000000" w:themeColor="text1"/>
        </w:rPr>
        <w:t xml:space="preserve"> </w:t>
      </w:r>
      <w:proofErr w:type="spellStart"/>
      <w:r w:rsidR="007F45E3" w:rsidRPr="00E030F1">
        <w:rPr>
          <w:color w:val="000000" w:themeColor="text1"/>
        </w:rPr>
        <w:t>Tmep</w:t>
      </w:r>
      <w:proofErr w:type="spellEnd"/>
      <w:r w:rsidR="007F45E3" w:rsidRPr="00E030F1">
        <w:rPr>
          <w:color w:val="000000" w:themeColor="text1"/>
        </w:rPr>
        <w:t xml:space="preserve"> </w:t>
      </w:r>
      <w:r w:rsidR="00396D35" w:rsidRPr="00E030F1">
        <w:rPr>
          <w:color w:val="000000" w:themeColor="text1"/>
        </w:rPr>
        <w:t xml:space="preserve">protein </w:t>
      </w:r>
      <w:r w:rsidR="007F45E3" w:rsidRPr="00E030F1">
        <w:rPr>
          <w:color w:val="000000" w:themeColor="text1"/>
        </w:rPr>
        <w:t xml:space="preserve">is also found at low levels at the NMJ (Fig. </w:t>
      </w:r>
      <w:r w:rsidR="00F355A1" w:rsidRPr="00E030F1">
        <w:rPr>
          <w:color w:val="000000" w:themeColor="text1"/>
        </w:rPr>
        <w:t>2</w:t>
      </w:r>
      <w:r w:rsidR="00905A9D" w:rsidRPr="00E030F1">
        <w:rPr>
          <w:color w:val="000000" w:themeColor="text1"/>
        </w:rPr>
        <w:t>b</w:t>
      </w:r>
      <w:r w:rsidR="007F45E3" w:rsidRPr="00E030F1">
        <w:rPr>
          <w:color w:val="000000" w:themeColor="text1"/>
        </w:rPr>
        <w:t xml:space="preserve">). </w:t>
      </w:r>
    </w:p>
    <w:p w14:paraId="73322AC0" w14:textId="7D7D4150" w:rsidR="00636790" w:rsidRPr="00E030F1" w:rsidRDefault="00636790" w:rsidP="00A65947">
      <w:pPr>
        <w:widowControl w:val="0"/>
        <w:spacing w:line="480" w:lineRule="auto"/>
        <w:rPr>
          <w:color w:val="000000" w:themeColor="text1"/>
        </w:rPr>
      </w:pPr>
      <w:r w:rsidRPr="00E030F1">
        <w:rPr>
          <w:color w:val="000000" w:themeColor="text1"/>
        </w:rPr>
        <w:tab/>
        <w:t xml:space="preserve">We wanted to evaluate if, as in mice, </w:t>
      </w:r>
      <w:proofErr w:type="spellStart"/>
      <w:r w:rsidRPr="00E030F1">
        <w:rPr>
          <w:color w:val="000000" w:themeColor="text1"/>
        </w:rPr>
        <w:t>Tmep</w:t>
      </w:r>
      <w:proofErr w:type="spellEnd"/>
      <w:r w:rsidRPr="00E030F1">
        <w:rPr>
          <w:color w:val="000000" w:themeColor="text1"/>
        </w:rPr>
        <w:t xml:space="preserve"> is found on Rab11-positive recycling endosomes. Using an </w:t>
      </w:r>
      <w:proofErr w:type="spellStart"/>
      <w:r w:rsidRPr="00E030F1">
        <w:rPr>
          <w:color w:val="000000" w:themeColor="text1"/>
        </w:rPr>
        <w:t>mKate</w:t>
      </w:r>
      <w:proofErr w:type="spellEnd"/>
      <w:r w:rsidRPr="00E030F1">
        <w:rPr>
          <w:color w:val="000000" w:themeColor="text1"/>
        </w:rPr>
        <w:t xml:space="preserve">-tagged </w:t>
      </w:r>
      <w:proofErr w:type="spellStart"/>
      <w:r w:rsidRPr="00E030F1">
        <w:rPr>
          <w:color w:val="000000" w:themeColor="text1"/>
        </w:rPr>
        <w:t>Tmep</w:t>
      </w:r>
      <w:proofErr w:type="spellEnd"/>
      <w:r w:rsidR="00396D35" w:rsidRPr="00E030F1">
        <w:rPr>
          <w:color w:val="000000" w:themeColor="text1"/>
        </w:rPr>
        <w:t xml:space="preserve"> transgene</w:t>
      </w:r>
      <w:r w:rsidRPr="00E030F1">
        <w:rPr>
          <w:color w:val="000000" w:themeColor="text1"/>
        </w:rPr>
        <w:t xml:space="preserve">, we found a similar punctate, vesicular pattern as seen with the </w:t>
      </w:r>
      <w:proofErr w:type="spellStart"/>
      <w:r w:rsidRPr="00E030F1">
        <w:rPr>
          <w:color w:val="000000" w:themeColor="text1"/>
        </w:rPr>
        <w:t>Tmep</w:t>
      </w:r>
      <w:proofErr w:type="spellEnd"/>
      <w:r w:rsidRPr="00E030F1">
        <w:rPr>
          <w:color w:val="000000" w:themeColor="text1"/>
        </w:rPr>
        <w:t xml:space="preserve"> antibody. These </w:t>
      </w:r>
      <w:r w:rsidR="001847CB" w:rsidRPr="00E030F1">
        <w:rPr>
          <w:color w:val="000000" w:themeColor="text1"/>
        </w:rPr>
        <w:t xml:space="preserve">small </w:t>
      </w:r>
      <w:proofErr w:type="spellStart"/>
      <w:r w:rsidR="001847CB" w:rsidRPr="00E030F1">
        <w:rPr>
          <w:color w:val="000000" w:themeColor="text1"/>
        </w:rPr>
        <w:t>Tmep</w:t>
      </w:r>
      <w:proofErr w:type="spellEnd"/>
      <w:r w:rsidR="001847CB" w:rsidRPr="00E030F1">
        <w:rPr>
          <w:color w:val="000000" w:themeColor="text1"/>
        </w:rPr>
        <w:t xml:space="preserve">-positive </w:t>
      </w:r>
      <w:r w:rsidRPr="00E030F1">
        <w:rPr>
          <w:color w:val="000000" w:themeColor="text1"/>
        </w:rPr>
        <w:t>puncta showed partial overlap with larger, Rab11-positive areas in motor neuron cell bodies</w:t>
      </w:r>
      <w:r w:rsidR="00F3579D" w:rsidRPr="00E030F1">
        <w:rPr>
          <w:color w:val="000000" w:themeColor="text1"/>
        </w:rPr>
        <w:t xml:space="preserve"> </w:t>
      </w:r>
      <w:r w:rsidR="001836D2" w:rsidRPr="00E030F1">
        <w:rPr>
          <w:color w:val="000000" w:themeColor="text1"/>
        </w:rPr>
        <w:t xml:space="preserve">(28 +/- 8% (SD) of </w:t>
      </w:r>
      <w:proofErr w:type="spellStart"/>
      <w:r w:rsidR="001836D2" w:rsidRPr="00E030F1">
        <w:rPr>
          <w:color w:val="000000" w:themeColor="text1"/>
        </w:rPr>
        <w:t>Tmep</w:t>
      </w:r>
      <w:proofErr w:type="spellEnd"/>
      <w:r w:rsidR="001836D2" w:rsidRPr="00E030F1">
        <w:rPr>
          <w:color w:val="000000" w:themeColor="text1"/>
        </w:rPr>
        <w:t xml:space="preserve"> is found colocalized with Rab11+ areas, calculated by </w:t>
      </w:r>
      <w:proofErr w:type="spellStart"/>
      <w:r w:rsidR="001836D2" w:rsidRPr="00E030F1">
        <w:rPr>
          <w:color w:val="000000" w:themeColor="text1"/>
        </w:rPr>
        <w:t>Manders</w:t>
      </w:r>
      <w:proofErr w:type="spellEnd"/>
      <w:r w:rsidR="001836D2" w:rsidRPr="00E030F1">
        <w:rPr>
          <w:color w:val="000000" w:themeColor="text1"/>
        </w:rPr>
        <w:t xml:space="preserve"> correlation coefficient) </w:t>
      </w:r>
      <w:r w:rsidR="00F3579D" w:rsidRPr="00E030F1">
        <w:rPr>
          <w:color w:val="000000" w:themeColor="text1"/>
        </w:rPr>
        <w:t>(Fig 3c)</w:t>
      </w:r>
      <w:r w:rsidRPr="00E030F1">
        <w:rPr>
          <w:color w:val="000000" w:themeColor="text1"/>
        </w:rPr>
        <w:t xml:space="preserve">. In addition to direct overlap, </w:t>
      </w:r>
      <w:proofErr w:type="spellStart"/>
      <w:r w:rsidRPr="00E030F1">
        <w:rPr>
          <w:color w:val="000000" w:themeColor="text1"/>
        </w:rPr>
        <w:t>Tmep</w:t>
      </w:r>
      <w:proofErr w:type="spellEnd"/>
      <w:r w:rsidRPr="00E030F1">
        <w:rPr>
          <w:color w:val="000000" w:themeColor="text1"/>
        </w:rPr>
        <w:t xml:space="preserve"> puncta </w:t>
      </w:r>
      <w:r w:rsidR="00F3579D" w:rsidRPr="00E030F1">
        <w:rPr>
          <w:color w:val="000000" w:themeColor="text1"/>
        </w:rPr>
        <w:t xml:space="preserve">were often </w:t>
      </w:r>
      <w:r w:rsidRPr="00E030F1">
        <w:rPr>
          <w:color w:val="000000" w:themeColor="text1"/>
        </w:rPr>
        <w:t xml:space="preserve">adjacent to Rab11-positive puncta, suggesting that </w:t>
      </w:r>
      <w:proofErr w:type="spellStart"/>
      <w:r w:rsidRPr="00E030F1">
        <w:rPr>
          <w:color w:val="000000" w:themeColor="text1"/>
        </w:rPr>
        <w:t>Tmep</w:t>
      </w:r>
      <w:proofErr w:type="spellEnd"/>
      <w:r w:rsidRPr="00E030F1">
        <w:rPr>
          <w:color w:val="000000" w:themeColor="text1"/>
        </w:rPr>
        <w:t>-positive compartments may at least transiently intersect with Rab11-positive endosomes</w:t>
      </w:r>
      <w:r w:rsidR="001836D2" w:rsidRPr="00E030F1">
        <w:rPr>
          <w:color w:val="000000" w:themeColor="text1"/>
        </w:rPr>
        <w:t xml:space="preserve"> (Fig 3c’)</w:t>
      </w:r>
      <w:r w:rsidRPr="00E030F1">
        <w:rPr>
          <w:color w:val="000000" w:themeColor="text1"/>
        </w:rPr>
        <w:t xml:space="preserve">. </w:t>
      </w:r>
      <w:r w:rsidR="00057DEF" w:rsidRPr="00E030F1">
        <w:rPr>
          <w:color w:val="000000" w:themeColor="text1"/>
        </w:rPr>
        <w:t>We also observed substantia</w:t>
      </w:r>
      <w:r w:rsidR="00BC67A8" w:rsidRPr="00E030F1">
        <w:rPr>
          <w:color w:val="000000" w:themeColor="text1"/>
        </w:rPr>
        <w:t>l</w:t>
      </w:r>
      <w:r w:rsidR="00057DEF" w:rsidRPr="00E030F1">
        <w:rPr>
          <w:color w:val="000000" w:themeColor="text1"/>
        </w:rPr>
        <w:t xml:space="preserve"> overlap</w:t>
      </w:r>
      <w:r w:rsidR="00BC67A8" w:rsidRPr="00E030F1">
        <w:rPr>
          <w:color w:val="000000" w:themeColor="text1"/>
        </w:rPr>
        <w:t xml:space="preserve"> between </w:t>
      </w:r>
      <w:proofErr w:type="spellStart"/>
      <w:r w:rsidR="00BC67A8" w:rsidRPr="00E030F1">
        <w:rPr>
          <w:color w:val="000000" w:themeColor="text1"/>
        </w:rPr>
        <w:t>mKate-Tmep</w:t>
      </w:r>
      <w:proofErr w:type="spellEnd"/>
      <w:r w:rsidR="00BC67A8" w:rsidRPr="00E030F1">
        <w:rPr>
          <w:color w:val="000000" w:themeColor="text1"/>
        </w:rPr>
        <w:t xml:space="preserve"> and</w:t>
      </w:r>
      <w:r w:rsidR="00057DEF" w:rsidRPr="00E030F1">
        <w:rPr>
          <w:color w:val="000000" w:themeColor="text1"/>
        </w:rPr>
        <w:t xml:space="preserve"> </w:t>
      </w:r>
      <w:r w:rsidR="00BC67A8" w:rsidRPr="00E030F1">
        <w:rPr>
          <w:color w:val="000000" w:themeColor="text1"/>
        </w:rPr>
        <w:t>GFP-tagged</w:t>
      </w:r>
      <w:r w:rsidR="00057DEF" w:rsidRPr="00E030F1">
        <w:rPr>
          <w:color w:val="000000" w:themeColor="text1"/>
        </w:rPr>
        <w:t xml:space="preserve"> neuronal </w:t>
      </w:r>
      <w:proofErr w:type="spellStart"/>
      <w:r w:rsidR="00057DEF" w:rsidRPr="00E030F1">
        <w:rPr>
          <w:color w:val="000000" w:themeColor="text1"/>
        </w:rPr>
        <w:t>Synaptobrevin</w:t>
      </w:r>
      <w:proofErr w:type="spellEnd"/>
      <w:r w:rsidR="00057DEF" w:rsidRPr="00E030F1">
        <w:rPr>
          <w:color w:val="000000" w:themeColor="text1"/>
        </w:rPr>
        <w:t xml:space="preserve"> (n</w:t>
      </w:r>
      <w:r w:rsidR="00D53324" w:rsidRPr="00E030F1">
        <w:rPr>
          <w:color w:val="000000" w:themeColor="text1"/>
        </w:rPr>
        <w:t>-</w:t>
      </w:r>
      <w:proofErr w:type="spellStart"/>
      <w:r w:rsidR="00057DEF" w:rsidRPr="00E030F1">
        <w:rPr>
          <w:color w:val="000000" w:themeColor="text1"/>
        </w:rPr>
        <w:t>Syb</w:t>
      </w:r>
      <w:proofErr w:type="spellEnd"/>
      <w:r w:rsidR="00057DEF" w:rsidRPr="00E030F1">
        <w:rPr>
          <w:color w:val="000000" w:themeColor="text1"/>
        </w:rPr>
        <w:t>)</w:t>
      </w:r>
      <w:r w:rsidR="001847CB" w:rsidRPr="00E030F1">
        <w:rPr>
          <w:color w:val="000000" w:themeColor="text1"/>
        </w:rPr>
        <w:t xml:space="preserve"> </w:t>
      </w:r>
      <w:r w:rsidR="001836D2" w:rsidRPr="00E030F1">
        <w:rPr>
          <w:color w:val="000000" w:themeColor="text1"/>
        </w:rPr>
        <w:t xml:space="preserve">(43 +/- 20% (SD) overlap, </w:t>
      </w:r>
      <w:proofErr w:type="spellStart"/>
      <w:r w:rsidR="001836D2" w:rsidRPr="00E030F1">
        <w:rPr>
          <w:color w:val="000000" w:themeColor="text1"/>
        </w:rPr>
        <w:t>Mander’s</w:t>
      </w:r>
      <w:proofErr w:type="spellEnd"/>
      <w:r w:rsidR="001836D2" w:rsidRPr="00E030F1">
        <w:rPr>
          <w:color w:val="000000" w:themeColor="text1"/>
        </w:rPr>
        <w:t xml:space="preserve"> coefficient) </w:t>
      </w:r>
      <w:r w:rsidR="001847CB" w:rsidRPr="00E030F1">
        <w:rPr>
          <w:color w:val="000000" w:themeColor="text1"/>
        </w:rPr>
        <w:t>(Fig 3d</w:t>
      </w:r>
      <w:r w:rsidR="001836D2" w:rsidRPr="00E030F1">
        <w:rPr>
          <w:color w:val="000000" w:themeColor="text1"/>
        </w:rPr>
        <w:t>-d’</w:t>
      </w:r>
      <w:r w:rsidR="001847CB" w:rsidRPr="00E030F1">
        <w:rPr>
          <w:color w:val="000000" w:themeColor="text1"/>
        </w:rPr>
        <w:t>)</w:t>
      </w:r>
      <w:r w:rsidR="00BC67A8" w:rsidRPr="00E030F1">
        <w:rPr>
          <w:color w:val="000000" w:themeColor="text1"/>
        </w:rPr>
        <w:t xml:space="preserve">, which is </w:t>
      </w:r>
      <w:r w:rsidR="00D53324" w:rsidRPr="00E030F1">
        <w:rPr>
          <w:color w:val="000000" w:themeColor="text1"/>
        </w:rPr>
        <w:t>localized</w:t>
      </w:r>
      <w:r w:rsidR="00BC67A8" w:rsidRPr="00E030F1">
        <w:rPr>
          <w:color w:val="000000" w:themeColor="text1"/>
        </w:rPr>
        <w:t xml:space="preserve"> to synaptic vesicles </w:t>
      </w:r>
      <w:r w:rsidR="00D53324" w:rsidRPr="00E030F1">
        <w:rPr>
          <w:color w:val="000000" w:themeColor="text1"/>
        </w:rPr>
        <w:t>as well as</w:t>
      </w:r>
      <w:r w:rsidR="00BC67A8" w:rsidRPr="00E030F1">
        <w:rPr>
          <w:color w:val="000000" w:themeColor="text1"/>
        </w:rPr>
        <w:t xml:space="preserve"> synaptic endosomal compartments </w:t>
      </w:r>
      <w:r w:rsidR="00BC67A8" w:rsidRPr="00E030F1">
        <w:rPr>
          <w:color w:val="000000" w:themeColor="text1"/>
        </w:rPr>
        <w:fldChar w:fldCharType="begin" w:fldLock="1"/>
      </w:r>
      <w:r w:rsidR="00695052" w:rsidRPr="00E030F1">
        <w:rPr>
          <w:color w:val="000000" w:themeColor="text1"/>
        </w:rPr>
        <w:instrText>ADDIN CSL_CITATION {"citationItems":[{"id":"ITEM-1","itemData":{"DOI":"10.1083/jcb.201108088","ISSN":"00219525","PMID":"22270918","abstract":"Soluble NSF attachment protein receptors (SNAREs) are the core proteins in membrane fusion. The neuron-specific synaptic v-SNARE n-syb (neuronal Synaptobrevin) plays a key role during synaptic vesicle exocytosis. In this paper, we report that loss of n-syb caused slow neurodegeneration independent of its role in neurotransmitter release in adult Drosophila melanogaster photoreceptor neurons. In addition to synaptic vesicles, n-Syb localized to endosomal vesicles. Loss of n-syb lead to endosomal accumulations, transmembrane protein degradation defects, and a secondary increase in autophagy. Our evidence suggests a primary defect of impaired delivery of vesicles that contain degradation proteins, including the acidification-activated Cathepsin proteases and the neuron-specific proton pump and V0 adenosine triphosphatase component V100. Overexpressing V100 partially rescued n-syb-dependent degeneration through an acidification-independent endosomal sorting mechanism. Collectively, these findings reveal a role for n-Syb in a neuron-specific sortand- degrade mechanism that protects neurons from degeneration. Our findings further shed light on which intraneuronal compartments exhibit increased or decreased neurotoxicity. © 2012 Haberman et al.","author":[{"dropping-particle":"","family":"Haberman","given":"Adam","non-dropping-particle":"","parse-names":false,"suffix":""},{"dropping-particle":"","family":"Williamson","given":"W. Ryan","non-dropping-particle":"","parse-names":false,"suffix":""},{"dropping-particle":"","family":"Epstein","given":"Daniel","non-dropping-particle":"","parse-names":false,"suffix":""},{"dropping-particle":"","family":"Wang","given":"Dong","non-dropping-particle":"","parse-names":false,"suffix":""},{"dropping-particle":"","family":"Rina","given":"Srisha","non-dropping-particle":"","parse-names":false,"suffix":""},{"dropping-particle":"","family":"Meinertzhagen","given":"Ian A.","non-dropping-particle":"","parse-names":false,"suffix":""},{"dropping-particle":"","family":"Hiesinger","given":"P. Robin","non-dropping-particle":"","parse-names":false,"suffix":""}],"container-title":"Journal of Cell Biology","id":"ITEM-1","issue":"2","issued":{"date-parts":[["2012","1"]]},"page":"261-276","publisher":"J Cell Biol","title":"The synaptic vesicle SNARE neuronal synaptobrevin promotes endolysosomal degradation and prevents neurodegeneration","type":"article-journal","volume":"196"},"uris":["http://www.mendeley.com/documents/?uuid=2a9740be-ef46-31a9-bea5-f6ac82ef96aa"]}],"mendeley":{"formattedCitation":"[20]","plainTextFormattedCitation":"[20]","previouslyFormattedCitation":"[20]"},"properties":{"noteIndex":0},"schema":"https://github.com/citation-style-language/schema/raw/master/csl-citation.json"}</w:instrText>
      </w:r>
      <w:r w:rsidR="00BC67A8" w:rsidRPr="00E030F1">
        <w:rPr>
          <w:color w:val="000000" w:themeColor="text1"/>
        </w:rPr>
        <w:fldChar w:fldCharType="separate"/>
      </w:r>
      <w:r w:rsidR="008A4689" w:rsidRPr="00E030F1">
        <w:rPr>
          <w:noProof/>
          <w:color w:val="000000" w:themeColor="text1"/>
        </w:rPr>
        <w:t>[20]</w:t>
      </w:r>
      <w:r w:rsidR="00BC67A8" w:rsidRPr="00E030F1">
        <w:rPr>
          <w:color w:val="000000" w:themeColor="text1"/>
        </w:rPr>
        <w:fldChar w:fldCharType="end"/>
      </w:r>
      <w:r w:rsidR="00057DEF" w:rsidRPr="00E030F1">
        <w:rPr>
          <w:color w:val="000000" w:themeColor="text1"/>
        </w:rPr>
        <w:t>. Taken together</w:t>
      </w:r>
      <w:r w:rsidR="001847CB" w:rsidRPr="00E030F1">
        <w:rPr>
          <w:color w:val="000000" w:themeColor="text1"/>
        </w:rPr>
        <w:t xml:space="preserve">, our data indicate that </w:t>
      </w:r>
      <w:proofErr w:type="spellStart"/>
      <w:r w:rsidR="001847CB" w:rsidRPr="00E030F1">
        <w:rPr>
          <w:color w:val="000000" w:themeColor="text1"/>
        </w:rPr>
        <w:t>Tmep</w:t>
      </w:r>
      <w:proofErr w:type="spellEnd"/>
      <w:r w:rsidR="001847CB" w:rsidRPr="00E030F1">
        <w:rPr>
          <w:color w:val="000000" w:themeColor="text1"/>
        </w:rPr>
        <w:t xml:space="preserve"> is primarily expressed on intracellular memb</w:t>
      </w:r>
      <w:r w:rsidR="00D53324" w:rsidRPr="00E030F1">
        <w:rPr>
          <w:color w:val="000000" w:themeColor="text1"/>
        </w:rPr>
        <w:t>r</w:t>
      </w:r>
      <w:r w:rsidR="001847CB" w:rsidRPr="00E030F1">
        <w:rPr>
          <w:color w:val="000000" w:themeColor="text1"/>
        </w:rPr>
        <w:t xml:space="preserve">anes, including </w:t>
      </w:r>
      <w:r w:rsidR="001836D2" w:rsidRPr="00E030F1">
        <w:rPr>
          <w:color w:val="000000" w:themeColor="text1"/>
        </w:rPr>
        <w:t xml:space="preserve">partial localization to </w:t>
      </w:r>
      <w:r w:rsidR="001847CB" w:rsidRPr="00E030F1">
        <w:rPr>
          <w:color w:val="000000" w:themeColor="text1"/>
        </w:rPr>
        <w:t xml:space="preserve">endosomes and synaptic vesicles. This localization is consistent with a role in </w:t>
      </w:r>
      <w:r w:rsidR="00F355A1" w:rsidRPr="00E030F1">
        <w:rPr>
          <w:color w:val="000000" w:themeColor="text1"/>
        </w:rPr>
        <w:t>endomembrane function in neurons</w:t>
      </w:r>
      <w:r w:rsidR="001847CB" w:rsidRPr="00E030F1">
        <w:rPr>
          <w:color w:val="000000" w:themeColor="text1"/>
        </w:rPr>
        <w:t>.</w:t>
      </w:r>
    </w:p>
    <w:p w14:paraId="3B5AE724" w14:textId="754F5592" w:rsidR="004118BF" w:rsidRPr="00E030F1" w:rsidRDefault="00E662E2" w:rsidP="00897339">
      <w:pPr>
        <w:widowControl w:val="0"/>
        <w:spacing w:line="480" w:lineRule="auto"/>
        <w:ind w:firstLine="720"/>
        <w:rPr>
          <w:color w:val="000000" w:themeColor="text1"/>
        </w:rPr>
      </w:pPr>
      <w:r w:rsidRPr="00E030F1">
        <w:rPr>
          <w:color w:val="000000" w:themeColor="text1"/>
        </w:rPr>
        <w:t xml:space="preserve">We </w:t>
      </w:r>
      <w:r w:rsidR="00897339" w:rsidRPr="00E030F1">
        <w:rPr>
          <w:color w:val="000000" w:themeColor="text1"/>
        </w:rPr>
        <w:t xml:space="preserve">also </w:t>
      </w:r>
      <w:r w:rsidRPr="00E030F1">
        <w:rPr>
          <w:color w:val="000000" w:themeColor="text1"/>
        </w:rPr>
        <w:t xml:space="preserve">took advantage of the </w:t>
      </w:r>
      <w:r w:rsidR="00F355A1" w:rsidRPr="00E030F1">
        <w:rPr>
          <w:color w:val="000000" w:themeColor="text1"/>
        </w:rPr>
        <w:t>Tmep-</w:t>
      </w:r>
      <w:r w:rsidRPr="00E030F1">
        <w:rPr>
          <w:i/>
          <w:iCs/>
          <w:color w:val="000000" w:themeColor="text1"/>
        </w:rPr>
        <w:t>CRIMIC</w:t>
      </w:r>
      <w:r w:rsidR="004B77AA" w:rsidRPr="00E030F1">
        <w:rPr>
          <w:i/>
          <w:iCs/>
          <w:color w:val="000000" w:themeColor="text1"/>
        </w:rPr>
        <w:t>-</w:t>
      </w:r>
      <w:r w:rsidR="00C81A73" w:rsidRPr="00E030F1">
        <w:rPr>
          <w:i/>
          <w:color w:val="000000" w:themeColor="text1"/>
        </w:rPr>
        <w:t>GAL4</w:t>
      </w:r>
      <w:r w:rsidRPr="00E030F1">
        <w:rPr>
          <w:color w:val="000000" w:themeColor="text1"/>
        </w:rPr>
        <w:t xml:space="preserve"> insertion to express nuclear</w:t>
      </w:r>
      <w:r w:rsidR="00054254" w:rsidRPr="00E030F1">
        <w:rPr>
          <w:color w:val="000000" w:themeColor="text1"/>
        </w:rPr>
        <w:t>-</w:t>
      </w:r>
      <w:r w:rsidRPr="00E030F1">
        <w:rPr>
          <w:color w:val="000000" w:themeColor="text1"/>
        </w:rPr>
        <w:t>localized RFP</w:t>
      </w:r>
      <w:r w:rsidR="00CA3931" w:rsidRPr="00E030F1">
        <w:rPr>
          <w:color w:val="000000" w:themeColor="text1"/>
        </w:rPr>
        <w:t xml:space="preserve"> in </w:t>
      </w:r>
      <w:r w:rsidR="00F734D8" w:rsidRPr="00E030F1">
        <w:rPr>
          <w:color w:val="000000" w:themeColor="text1"/>
        </w:rPr>
        <w:t>cells expressing</w:t>
      </w:r>
      <w:r w:rsidR="00CA3931" w:rsidRPr="00E030F1">
        <w:rPr>
          <w:color w:val="000000" w:themeColor="text1"/>
        </w:rPr>
        <w:t xml:space="preserve"> endogenous </w:t>
      </w:r>
      <w:proofErr w:type="spellStart"/>
      <w:r w:rsidR="00CA3931" w:rsidRPr="00E030F1">
        <w:rPr>
          <w:color w:val="000000" w:themeColor="text1"/>
        </w:rPr>
        <w:t>Tmep</w:t>
      </w:r>
      <w:proofErr w:type="spellEnd"/>
      <w:r w:rsidRPr="00E030F1">
        <w:rPr>
          <w:color w:val="000000" w:themeColor="text1"/>
        </w:rPr>
        <w:t>.</w:t>
      </w:r>
      <w:r w:rsidR="00B80FDD" w:rsidRPr="00E030F1">
        <w:rPr>
          <w:color w:val="000000" w:themeColor="text1"/>
        </w:rPr>
        <w:t xml:space="preserve"> </w:t>
      </w:r>
      <w:proofErr w:type="spellStart"/>
      <w:r w:rsidR="007761DE" w:rsidRPr="00E030F1">
        <w:rPr>
          <w:color w:val="000000" w:themeColor="text1"/>
        </w:rPr>
        <w:t>Tmep</w:t>
      </w:r>
      <w:proofErr w:type="spellEnd"/>
      <w:r w:rsidR="002623FF" w:rsidRPr="00E030F1">
        <w:rPr>
          <w:color w:val="000000" w:themeColor="text1"/>
        </w:rPr>
        <w:t xml:space="preserve"> </w:t>
      </w:r>
      <w:r w:rsidR="007761DE" w:rsidRPr="00E030F1">
        <w:rPr>
          <w:color w:val="000000" w:themeColor="text1"/>
        </w:rPr>
        <w:t>is expressed in muscle and motor neurons, but not in glia in the larval brain</w:t>
      </w:r>
      <w:r w:rsidR="00617A2A" w:rsidRPr="00E030F1">
        <w:rPr>
          <w:color w:val="000000" w:themeColor="text1"/>
        </w:rPr>
        <w:t xml:space="preserve"> (</w:t>
      </w:r>
      <w:r w:rsidR="00057DEF" w:rsidRPr="00E030F1">
        <w:rPr>
          <w:color w:val="000000" w:themeColor="text1"/>
        </w:rPr>
        <w:t>Online Resource</w:t>
      </w:r>
      <w:r w:rsidR="00897339" w:rsidRPr="00E030F1">
        <w:rPr>
          <w:color w:val="000000" w:themeColor="text1"/>
        </w:rPr>
        <w:t xml:space="preserve"> 1a-b</w:t>
      </w:r>
      <w:r w:rsidR="00617A2A" w:rsidRPr="00E030F1">
        <w:rPr>
          <w:color w:val="000000" w:themeColor="text1"/>
        </w:rPr>
        <w:t>)</w:t>
      </w:r>
      <w:r w:rsidR="007761DE" w:rsidRPr="00E030F1">
        <w:rPr>
          <w:color w:val="000000" w:themeColor="text1"/>
        </w:rPr>
        <w:t xml:space="preserve">. We also observe </w:t>
      </w:r>
      <w:proofErr w:type="spellStart"/>
      <w:r w:rsidR="007761DE" w:rsidRPr="00E030F1">
        <w:rPr>
          <w:color w:val="000000" w:themeColor="text1"/>
        </w:rPr>
        <w:t>Tmep</w:t>
      </w:r>
      <w:proofErr w:type="spellEnd"/>
      <w:r w:rsidR="007761DE" w:rsidRPr="00E030F1">
        <w:rPr>
          <w:color w:val="000000" w:themeColor="text1"/>
        </w:rPr>
        <w:t xml:space="preserve"> expression in the gut and fat bodies</w:t>
      </w:r>
      <w:r w:rsidR="00617A2A" w:rsidRPr="00E030F1">
        <w:rPr>
          <w:color w:val="000000" w:themeColor="text1"/>
        </w:rPr>
        <w:t xml:space="preserve"> (</w:t>
      </w:r>
      <w:r w:rsidR="001847CB" w:rsidRPr="00E030F1">
        <w:rPr>
          <w:color w:val="000000" w:themeColor="text1"/>
        </w:rPr>
        <w:t>Online Resource</w:t>
      </w:r>
      <w:r w:rsidR="00897339" w:rsidRPr="00E030F1">
        <w:rPr>
          <w:color w:val="000000" w:themeColor="text1"/>
        </w:rPr>
        <w:t xml:space="preserve"> 1c-d</w:t>
      </w:r>
      <w:r w:rsidR="00617A2A" w:rsidRPr="00E030F1">
        <w:rPr>
          <w:color w:val="000000" w:themeColor="text1"/>
        </w:rPr>
        <w:t>)</w:t>
      </w:r>
      <w:r w:rsidR="007761DE" w:rsidRPr="00E030F1">
        <w:rPr>
          <w:color w:val="000000" w:themeColor="text1"/>
        </w:rPr>
        <w:t xml:space="preserve">. </w:t>
      </w:r>
      <w:r w:rsidR="00DD313E" w:rsidRPr="00E030F1">
        <w:rPr>
          <w:color w:val="000000" w:themeColor="text1"/>
        </w:rPr>
        <w:t>Th</w:t>
      </w:r>
      <w:r w:rsidR="0038255F" w:rsidRPr="00E030F1">
        <w:rPr>
          <w:color w:val="000000" w:themeColor="text1"/>
        </w:rPr>
        <w:t>ese</w:t>
      </w:r>
      <w:r w:rsidR="00DD313E" w:rsidRPr="00E030F1">
        <w:rPr>
          <w:color w:val="000000" w:themeColor="text1"/>
        </w:rPr>
        <w:t xml:space="preserve"> data indicate that </w:t>
      </w:r>
      <w:proofErr w:type="spellStart"/>
      <w:r w:rsidR="00DD313E" w:rsidRPr="00E030F1">
        <w:rPr>
          <w:color w:val="000000" w:themeColor="text1"/>
        </w:rPr>
        <w:t>Tmep</w:t>
      </w:r>
      <w:proofErr w:type="spellEnd"/>
      <w:r w:rsidR="00DD313E" w:rsidRPr="00E030F1">
        <w:rPr>
          <w:color w:val="000000" w:themeColor="text1"/>
        </w:rPr>
        <w:t xml:space="preserve"> is broadly expressed in </w:t>
      </w:r>
      <w:r w:rsidR="00C81A73" w:rsidRPr="00E030F1">
        <w:rPr>
          <w:i/>
          <w:iCs/>
          <w:color w:val="000000" w:themeColor="text1"/>
        </w:rPr>
        <w:t>Drosophila</w:t>
      </w:r>
      <w:r w:rsidR="00DD313E" w:rsidRPr="00E030F1">
        <w:rPr>
          <w:color w:val="000000" w:themeColor="text1"/>
        </w:rPr>
        <w:t xml:space="preserve"> larvae.</w:t>
      </w:r>
      <w:r w:rsidR="0049610C" w:rsidRPr="00E030F1">
        <w:rPr>
          <w:color w:val="000000" w:themeColor="text1"/>
        </w:rPr>
        <w:t xml:space="preserve"> </w:t>
      </w:r>
    </w:p>
    <w:p w14:paraId="3E126D26" w14:textId="5F934AE9" w:rsidR="00A65947" w:rsidRPr="00E030F1" w:rsidRDefault="00A65947" w:rsidP="00A65947">
      <w:pPr>
        <w:widowControl w:val="0"/>
        <w:spacing w:line="480" w:lineRule="auto"/>
        <w:rPr>
          <w:color w:val="000000" w:themeColor="text1"/>
        </w:rPr>
      </w:pPr>
    </w:p>
    <w:p w14:paraId="6C311944" w14:textId="77777777" w:rsidR="00A65442" w:rsidRPr="00E030F1" w:rsidRDefault="00A65442" w:rsidP="000D4897">
      <w:pPr>
        <w:spacing w:line="480" w:lineRule="auto"/>
        <w:rPr>
          <w:b/>
          <w:bCs/>
          <w:iCs/>
          <w:color w:val="000000" w:themeColor="text1"/>
        </w:rPr>
      </w:pPr>
    </w:p>
    <w:p w14:paraId="00000018" w14:textId="1B5021E5" w:rsidR="00510F8F" w:rsidRPr="00E030F1" w:rsidRDefault="007F0F85" w:rsidP="000D4897">
      <w:pPr>
        <w:spacing w:line="480" w:lineRule="auto"/>
        <w:rPr>
          <w:b/>
          <w:bCs/>
          <w:iCs/>
          <w:color w:val="000000" w:themeColor="text1"/>
        </w:rPr>
      </w:pPr>
      <w:proofErr w:type="spellStart"/>
      <w:r w:rsidRPr="00E030F1">
        <w:rPr>
          <w:b/>
          <w:bCs/>
          <w:iCs/>
          <w:color w:val="000000" w:themeColor="text1"/>
        </w:rPr>
        <w:t>Tmep</w:t>
      </w:r>
      <w:proofErr w:type="spellEnd"/>
      <w:r w:rsidRPr="00E030F1">
        <w:rPr>
          <w:b/>
          <w:bCs/>
          <w:iCs/>
          <w:color w:val="000000" w:themeColor="text1"/>
        </w:rPr>
        <w:t xml:space="preserve"> mutant larvae show morphological defects at the neuromuscular junction</w:t>
      </w:r>
    </w:p>
    <w:p w14:paraId="15EEF985" w14:textId="434CE1FE" w:rsidR="00A540CB" w:rsidRPr="00E030F1" w:rsidRDefault="002623FF" w:rsidP="00081295">
      <w:pPr>
        <w:spacing w:line="480" w:lineRule="auto"/>
        <w:ind w:firstLine="720"/>
        <w:rPr>
          <w:color w:val="000000" w:themeColor="text1"/>
        </w:rPr>
      </w:pPr>
      <w:proofErr w:type="spellStart"/>
      <w:r w:rsidRPr="00E030F1">
        <w:rPr>
          <w:i/>
          <w:iCs/>
          <w:color w:val="000000" w:themeColor="text1"/>
        </w:rPr>
        <w:t>Tmep</w:t>
      </w:r>
      <w:proofErr w:type="spellEnd"/>
      <w:r w:rsidRPr="00E030F1">
        <w:rPr>
          <w:color w:val="000000" w:themeColor="text1"/>
        </w:rPr>
        <w:t xml:space="preserve"> locomotor phenotypes in </w:t>
      </w:r>
      <w:r w:rsidR="00C81A73" w:rsidRPr="00E030F1">
        <w:rPr>
          <w:i/>
          <w:color w:val="000000" w:themeColor="text1"/>
        </w:rPr>
        <w:t>Drosophila</w:t>
      </w:r>
      <w:r w:rsidRPr="00E030F1">
        <w:rPr>
          <w:color w:val="000000" w:themeColor="text1"/>
        </w:rPr>
        <w:t xml:space="preserve"> larvae could be caused by morphological changes at the synapse, alterations in synaptic signaling pathways, </w:t>
      </w:r>
      <w:r w:rsidR="00F355A1" w:rsidRPr="00E030F1">
        <w:rPr>
          <w:color w:val="000000" w:themeColor="text1"/>
        </w:rPr>
        <w:t xml:space="preserve">impaired excitability, </w:t>
      </w:r>
      <w:r w:rsidRPr="00E030F1">
        <w:rPr>
          <w:color w:val="000000" w:themeColor="text1"/>
        </w:rPr>
        <w:t xml:space="preserve">or a combination. </w:t>
      </w:r>
      <w:r w:rsidR="00567012" w:rsidRPr="00E030F1">
        <w:rPr>
          <w:color w:val="000000" w:themeColor="text1"/>
        </w:rPr>
        <w:t xml:space="preserve">To investigate if changes in NMJ morphology could contribute to phenotypes, we examined terminal morphology with immunohistochemistry. </w:t>
      </w:r>
      <w:r w:rsidR="00A65947" w:rsidRPr="00E030F1">
        <w:rPr>
          <w:color w:val="000000" w:themeColor="text1"/>
        </w:rPr>
        <w:t xml:space="preserve">In mice, disruption of </w:t>
      </w:r>
      <w:r w:rsidR="00CC41CA" w:rsidRPr="00E030F1">
        <w:rPr>
          <w:color w:val="000000" w:themeColor="text1"/>
        </w:rPr>
        <w:t>TMEM184B</w:t>
      </w:r>
      <w:r w:rsidR="00381941" w:rsidRPr="00E030F1">
        <w:rPr>
          <w:color w:val="000000" w:themeColor="text1"/>
        </w:rPr>
        <w:t xml:space="preserve"> </w:t>
      </w:r>
      <w:r w:rsidR="00A65947" w:rsidRPr="00E030F1">
        <w:rPr>
          <w:color w:val="000000" w:themeColor="text1"/>
        </w:rPr>
        <w:lastRenderedPageBreak/>
        <w:t xml:space="preserve">expression causes swellings in the </w:t>
      </w:r>
      <w:r w:rsidR="00AD140D" w:rsidRPr="00E030F1">
        <w:rPr>
          <w:color w:val="000000" w:themeColor="text1"/>
        </w:rPr>
        <w:t>NMJ</w:t>
      </w:r>
      <w:r w:rsidR="00897339" w:rsidRPr="00E030F1">
        <w:rPr>
          <w:color w:val="000000" w:themeColor="text1"/>
        </w:rPr>
        <w:t xml:space="preserve"> </w:t>
      </w:r>
      <w:r w:rsidR="00897339"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b0b34750-4be4-4cbe-b115-6be512744900","http://www.mendeley.com/documents/?uuid=d9297b0c-278f-3bb6-9ac6-5cfa9d00dfb9"]}],"mendeley":{"formattedCitation":"[17]","plainTextFormattedCitation":"[17]","previouslyFormattedCitation":"[17]"},"properties":{"noteIndex":0},"schema":"https://github.com/citation-style-language/schema/raw/master/csl-citation.json"}</w:instrText>
      </w:r>
      <w:r w:rsidR="00897339" w:rsidRPr="00E030F1">
        <w:rPr>
          <w:color w:val="000000" w:themeColor="text1"/>
        </w:rPr>
        <w:fldChar w:fldCharType="separate"/>
      </w:r>
      <w:r w:rsidR="00D4585F" w:rsidRPr="00E030F1">
        <w:rPr>
          <w:noProof/>
          <w:color w:val="000000" w:themeColor="text1"/>
        </w:rPr>
        <w:t>[17]</w:t>
      </w:r>
      <w:r w:rsidR="00897339" w:rsidRPr="00E030F1">
        <w:rPr>
          <w:color w:val="000000" w:themeColor="text1"/>
        </w:rPr>
        <w:fldChar w:fldCharType="end"/>
      </w:r>
      <w:r w:rsidR="008C55AB" w:rsidRPr="00E030F1">
        <w:rPr>
          <w:color w:val="000000" w:themeColor="text1"/>
        </w:rPr>
        <w:t>.</w:t>
      </w:r>
      <w:r w:rsidR="00A65947" w:rsidRPr="00E030F1">
        <w:rPr>
          <w:color w:val="000000" w:themeColor="text1"/>
        </w:rPr>
        <w:t xml:space="preserve"> </w:t>
      </w:r>
      <w:r w:rsidR="00F355A1" w:rsidRPr="00E030F1">
        <w:rPr>
          <w:color w:val="000000" w:themeColor="text1"/>
        </w:rPr>
        <w:t xml:space="preserve">In </w:t>
      </w:r>
      <w:r w:rsidR="00F355A1" w:rsidRPr="00E030F1">
        <w:rPr>
          <w:i/>
          <w:iCs/>
          <w:color w:val="000000" w:themeColor="text1"/>
        </w:rPr>
        <w:t>Drosophila</w:t>
      </w:r>
      <w:r w:rsidR="00F355A1" w:rsidRPr="00E030F1">
        <w:rPr>
          <w:color w:val="000000" w:themeColor="text1"/>
        </w:rPr>
        <w:t>, we</w:t>
      </w:r>
      <w:r w:rsidR="0046111D" w:rsidRPr="00E030F1">
        <w:rPr>
          <w:color w:val="000000" w:themeColor="text1"/>
        </w:rPr>
        <w:t xml:space="preserve"> observed statistically significant increase in nerve terminal branching in </w:t>
      </w:r>
      <w:proofErr w:type="spellStart"/>
      <w:r w:rsidR="0046111D" w:rsidRPr="00E030F1">
        <w:rPr>
          <w:i/>
          <w:iCs/>
          <w:color w:val="000000" w:themeColor="text1"/>
        </w:rPr>
        <w:t>Tmep</w:t>
      </w:r>
      <w:proofErr w:type="spellEnd"/>
      <w:r w:rsidR="0046111D" w:rsidRPr="00E030F1">
        <w:rPr>
          <w:color w:val="000000" w:themeColor="text1"/>
        </w:rPr>
        <w:t xml:space="preserve"> mutant</w:t>
      </w:r>
      <w:r w:rsidR="00587F3B" w:rsidRPr="00E030F1">
        <w:rPr>
          <w:color w:val="000000" w:themeColor="text1"/>
        </w:rPr>
        <w:t xml:space="preserve"> female</w:t>
      </w:r>
      <w:r w:rsidR="0046111D" w:rsidRPr="00E030F1">
        <w:rPr>
          <w:color w:val="000000" w:themeColor="text1"/>
        </w:rPr>
        <w:t xml:space="preserve"> larvae (Fig </w:t>
      </w:r>
      <w:r w:rsidR="00B2772E" w:rsidRPr="00E030F1">
        <w:rPr>
          <w:color w:val="000000" w:themeColor="text1"/>
        </w:rPr>
        <w:t>3</w:t>
      </w:r>
      <w:r w:rsidR="00E303BD" w:rsidRPr="00E030F1">
        <w:rPr>
          <w:color w:val="000000" w:themeColor="text1"/>
        </w:rPr>
        <w:t>a-b</w:t>
      </w:r>
      <w:r w:rsidR="0046111D" w:rsidRPr="00E030F1">
        <w:rPr>
          <w:color w:val="000000" w:themeColor="text1"/>
        </w:rPr>
        <w:t xml:space="preserve">). </w:t>
      </w:r>
      <w:r w:rsidR="00A67C78" w:rsidRPr="00E030F1">
        <w:rPr>
          <w:color w:val="000000" w:themeColor="text1"/>
        </w:rPr>
        <w:t>Satellite or fragmented bouton architecture is observed at the</w:t>
      </w:r>
      <w:r w:rsidR="00441FCD" w:rsidRPr="00E030F1">
        <w:rPr>
          <w:color w:val="000000" w:themeColor="text1"/>
        </w:rPr>
        <w:t xml:space="preserve"> ultrastructural level (Fig </w:t>
      </w:r>
      <w:r w:rsidR="00B2772E" w:rsidRPr="00E030F1">
        <w:rPr>
          <w:color w:val="000000" w:themeColor="text1"/>
        </w:rPr>
        <w:t>3c</w:t>
      </w:r>
      <w:r w:rsidR="00441FCD" w:rsidRPr="00E030F1">
        <w:rPr>
          <w:color w:val="000000" w:themeColor="text1"/>
        </w:rPr>
        <w:t>)</w:t>
      </w:r>
      <w:r w:rsidR="00B2772E" w:rsidRPr="00E030F1">
        <w:rPr>
          <w:color w:val="000000" w:themeColor="text1"/>
        </w:rPr>
        <w:t xml:space="preserve"> in addition to the light level (Fig 3d-e)</w:t>
      </w:r>
      <w:r w:rsidR="00587F3B" w:rsidRPr="00E030F1">
        <w:rPr>
          <w:color w:val="000000" w:themeColor="text1"/>
        </w:rPr>
        <w:t xml:space="preserve">. </w:t>
      </w:r>
      <w:r w:rsidR="00B2772E" w:rsidRPr="00E030F1">
        <w:rPr>
          <w:color w:val="000000" w:themeColor="text1"/>
        </w:rPr>
        <w:t xml:space="preserve">The presence of satellite boutons has been previously linked to greater active zone density </w:t>
      </w:r>
      <w:r w:rsidR="008A4689" w:rsidRPr="00E030F1">
        <w:rPr>
          <w:color w:val="000000" w:themeColor="text1"/>
        </w:rPr>
        <w:fldChar w:fldCharType="begin" w:fldLock="1"/>
      </w:r>
      <w:r w:rsidR="00695052" w:rsidRPr="00E030F1">
        <w:rPr>
          <w:color w:val="000000" w:themeColor="text1"/>
        </w:rPr>
        <w:instrText>ADDIN CSL_CITATION {"citationItems":[{"id":"ITEM-1","itemData":{"DOI":"10.1016/J.CUB.2006.02.058","ISSN":"0960-9822","PMID":"16546084","abstract":"Many types of synapses have highly characteristic shapes and tightly regulated distributions of active zones, parameters that are important to the function of neuronal circuits. The development of terminal arborizations must therefore include mechanisms to regulate the spacing of terminals, the frequency of branching, and the distribution and density of release sites. At present, however, the mechanisms that control these features remain obscure. Here, we report the development of supernumerary or \"satellite\" boutons in a variety of endocytic mutants at the Drosophila neuromuscular junction. Mutants in endophilin, synaptojanin, dynamin, AP180, and synaptotagmin all show increases in supernumerary bouton structures. These satellite boutons contain releasable vesicles and normal complements of synaptic proteins that are correctly localized within terminals. Interestingly, however, synaptojanin terminals have more active zones per unit of surface area and more dense bodies (T-bars) within these active zones, which may in part compensate for reduced transmission per active zone. The altered structural development of the synapse is selectively encountered in endocytosis mutants and is not observed when synaptic transmission is reduced by mutations in glutamate receptors or when synaptic transmission is blocked by tetanus toxin. We propose that endocytosis plays a critical role in sculpting the structure of synapses, perhaps through the endocytosis of unknown regulatory signals that organize morphogenesis at synaptic terminals. ©2006 Elsevier Ltd All rights reserved.","author":[{"dropping-particle":"","family":"Dickman","given":"Dion K.","non-dropping-particle":"","parse-names":false,"suffix":""},{"dropping-particle":"","family":"Lu","given":"Zhiyuan","non-dropping-particle":"","parse-names":false,"suffix":""},{"dropping-particle":"","family":"Meinertzhagen","given":"Ian A.","non-dropping-particle":"","parse-names":false,"suffix":""},{"dropping-particle":"","family":"Schwarz","given":"Thomas L.","non-dropping-particle":"","parse-names":false,"suffix":""}],"container-title":"Current biology : CB","id":"ITEM-1","issue":"6","issued":{"date-parts":[["2006","3","21"]]},"page":"591-598","publisher":"Curr Biol","title":"Altered synaptic development and active zone spacing in endocytosis mutants","type":"article-journal","volume":"16"},"uris":["http://www.mendeley.com/documents/?uuid=343dc32b-0b04-349b-9c51-ffc8990782ab"]}],"mendeley":{"formattedCitation":"[21]","plainTextFormattedCitation":"[21]","previouslyFormattedCitation":"[21]"},"properties":{"noteIndex":0},"schema":"https://github.com/citation-style-language/schema/raw/master/csl-citation.json"}</w:instrText>
      </w:r>
      <w:r w:rsidR="008A4689" w:rsidRPr="00E030F1">
        <w:rPr>
          <w:color w:val="000000" w:themeColor="text1"/>
        </w:rPr>
        <w:fldChar w:fldCharType="separate"/>
      </w:r>
      <w:r w:rsidR="008A4689" w:rsidRPr="00E030F1">
        <w:rPr>
          <w:noProof/>
          <w:color w:val="000000" w:themeColor="text1"/>
        </w:rPr>
        <w:t>[21]</w:t>
      </w:r>
      <w:r w:rsidR="008A4689" w:rsidRPr="00E030F1">
        <w:rPr>
          <w:color w:val="000000" w:themeColor="text1"/>
        </w:rPr>
        <w:fldChar w:fldCharType="end"/>
      </w:r>
      <w:r w:rsidR="00B2772E" w:rsidRPr="00E030F1">
        <w:rPr>
          <w:color w:val="000000" w:themeColor="text1"/>
        </w:rPr>
        <w:t xml:space="preserve">, so we quantified active zones using an antibody to </w:t>
      </w:r>
      <w:proofErr w:type="spellStart"/>
      <w:r w:rsidR="00B2772E" w:rsidRPr="00E030F1">
        <w:rPr>
          <w:color w:val="000000" w:themeColor="text1"/>
        </w:rPr>
        <w:t>Bruchpilot</w:t>
      </w:r>
      <w:proofErr w:type="spellEnd"/>
      <w:r w:rsidR="00B2772E" w:rsidRPr="00E030F1">
        <w:rPr>
          <w:color w:val="000000" w:themeColor="text1"/>
        </w:rPr>
        <w:t>, an active zone protein.</w:t>
      </w:r>
      <w:r w:rsidR="008A4689" w:rsidRPr="00E030F1">
        <w:rPr>
          <w:color w:val="000000" w:themeColor="text1"/>
        </w:rPr>
        <w:t xml:space="preserve"> We identified a </w:t>
      </w:r>
      <w:r w:rsidR="00396D35" w:rsidRPr="00E030F1">
        <w:rPr>
          <w:color w:val="000000" w:themeColor="text1"/>
        </w:rPr>
        <w:t>significant</w:t>
      </w:r>
      <w:r w:rsidR="008A4689" w:rsidRPr="00E030F1">
        <w:rPr>
          <w:color w:val="000000" w:themeColor="text1"/>
        </w:rPr>
        <w:t xml:space="preserve"> increase in active zones in the boutons of </w:t>
      </w:r>
      <w:proofErr w:type="spellStart"/>
      <w:r w:rsidR="008A4689" w:rsidRPr="00E030F1">
        <w:rPr>
          <w:color w:val="000000" w:themeColor="text1"/>
        </w:rPr>
        <w:t>Tmep</w:t>
      </w:r>
      <w:proofErr w:type="spellEnd"/>
      <w:r w:rsidR="008A4689" w:rsidRPr="00E030F1">
        <w:rPr>
          <w:color w:val="000000" w:themeColor="text1"/>
        </w:rPr>
        <w:t xml:space="preserve"> mutant females (Fig 3f-g). Taken together, </w:t>
      </w:r>
      <w:r w:rsidR="00CA2756" w:rsidRPr="00E030F1">
        <w:rPr>
          <w:color w:val="000000" w:themeColor="text1"/>
        </w:rPr>
        <w:t>our results</w:t>
      </w:r>
      <w:r w:rsidR="008A4689" w:rsidRPr="00E030F1">
        <w:rPr>
          <w:color w:val="000000" w:themeColor="text1"/>
        </w:rPr>
        <w:t xml:space="preserve"> </w:t>
      </w:r>
      <w:r w:rsidR="00CA2756" w:rsidRPr="00E030F1">
        <w:rPr>
          <w:color w:val="000000" w:themeColor="text1"/>
        </w:rPr>
        <w:t xml:space="preserve">indicate that </w:t>
      </w:r>
      <w:proofErr w:type="spellStart"/>
      <w:r w:rsidR="00CA2756" w:rsidRPr="00E030F1">
        <w:rPr>
          <w:color w:val="000000" w:themeColor="text1"/>
        </w:rPr>
        <w:t>Tmep</w:t>
      </w:r>
      <w:proofErr w:type="spellEnd"/>
      <w:r w:rsidR="00CA2756" w:rsidRPr="00E030F1">
        <w:rPr>
          <w:color w:val="000000" w:themeColor="text1"/>
        </w:rPr>
        <w:t xml:space="preserve"> is required for NMJ structure (a result </w:t>
      </w:r>
      <w:r w:rsidR="0046111D" w:rsidRPr="00E030F1">
        <w:rPr>
          <w:color w:val="000000" w:themeColor="text1"/>
        </w:rPr>
        <w:t xml:space="preserve">consistent </w:t>
      </w:r>
      <w:r w:rsidR="00CA2756" w:rsidRPr="00E030F1">
        <w:rPr>
          <w:color w:val="000000" w:themeColor="text1"/>
        </w:rPr>
        <w:t>with observations</w:t>
      </w:r>
      <w:r w:rsidR="0046111D" w:rsidRPr="00E030F1">
        <w:rPr>
          <w:color w:val="000000" w:themeColor="text1"/>
        </w:rPr>
        <w:t xml:space="preserve"> made at the mouse </w:t>
      </w:r>
      <w:r w:rsidR="00133086" w:rsidRPr="00E030F1">
        <w:rPr>
          <w:color w:val="000000" w:themeColor="text1"/>
        </w:rPr>
        <w:t>NMJ</w:t>
      </w:r>
      <w:r w:rsidR="00CA2756" w:rsidRPr="00E030F1">
        <w:rPr>
          <w:color w:val="000000" w:themeColor="text1"/>
        </w:rPr>
        <w:t>)</w:t>
      </w:r>
      <w:r w:rsidR="00081295" w:rsidRPr="00E030F1">
        <w:rPr>
          <w:color w:val="000000" w:themeColor="text1"/>
        </w:rPr>
        <w:t xml:space="preserve"> and suggest that morphological changes could contribute to </w:t>
      </w:r>
      <w:proofErr w:type="spellStart"/>
      <w:r w:rsidR="00081295" w:rsidRPr="00E030F1">
        <w:rPr>
          <w:i/>
          <w:iCs/>
          <w:color w:val="000000" w:themeColor="text1"/>
        </w:rPr>
        <w:t>Tmep</w:t>
      </w:r>
      <w:proofErr w:type="spellEnd"/>
      <w:r w:rsidR="00081295" w:rsidRPr="00E030F1">
        <w:rPr>
          <w:color w:val="000000" w:themeColor="text1"/>
        </w:rPr>
        <w:t xml:space="preserve"> phenotypes</w:t>
      </w:r>
      <w:r w:rsidR="00E303BD" w:rsidRPr="00E030F1">
        <w:rPr>
          <w:color w:val="000000" w:themeColor="text1"/>
        </w:rPr>
        <w:t xml:space="preserve"> </w:t>
      </w:r>
      <w:r w:rsidR="00E303BD"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mendeley":{"formattedCitation":"[17]","plainTextFormattedCitation":"[17]","previouslyFormattedCitation":"[17]"},"properties":{"noteIndex":0},"schema":"https://github.com/citation-style-language/schema/raw/master/csl-citation.json"}</w:instrText>
      </w:r>
      <w:r w:rsidR="00E303BD" w:rsidRPr="00E030F1">
        <w:rPr>
          <w:color w:val="000000" w:themeColor="text1"/>
        </w:rPr>
        <w:fldChar w:fldCharType="separate"/>
      </w:r>
      <w:r w:rsidR="00D4585F" w:rsidRPr="00E030F1">
        <w:rPr>
          <w:noProof/>
          <w:color w:val="000000" w:themeColor="text1"/>
        </w:rPr>
        <w:t>[17]</w:t>
      </w:r>
      <w:r w:rsidR="00E303BD" w:rsidRPr="00E030F1">
        <w:rPr>
          <w:color w:val="000000" w:themeColor="text1"/>
        </w:rPr>
        <w:fldChar w:fldCharType="end"/>
      </w:r>
      <w:r w:rsidR="0046111D" w:rsidRPr="00E030F1">
        <w:rPr>
          <w:color w:val="000000" w:themeColor="text1"/>
        </w:rPr>
        <w:t>.</w:t>
      </w:r>
      <w:r w:rsidR="00E303BD" w:rsidRPr="00E030F1">
        <w:rPr>
          <w:color w:val="000000" w:themeColor="text1"/>
        </w:rPr>
        <w:t xml:space="preserve"> </w:t>
      </w:r>
    </w:p>
    <w:p w14:paraId="64DA4418" w14:textId="77777777" w:rsidR="002A1B8E" w:rsidRPr="00E030F1" w:rsidRDefault="002A1B8E" w:rsidP="002A1B8E">
      <w:pPr>
        <w:spacing w:line="480" w:lineRule="auto"/>
        <w:rPr>
          <w:color w:val="000000" w:themeColor="text1"/>
        </w:rPr>
      </w:pPr>
    </w:p>
    <w:p w14:paraId="5BB548E6" w14:textId="77777777" w:rsidR="004D3121" w:rsidRPr="00E030F1" w:rsidRDefault="004D3121" w:rsidP="004D3121">
      <w:pPr>
        <w:spacing w:line="480" w:lineRule="auto"/>
        <w:rPr>
          <w:b/>
          <w:bCs/>
          <w:iCs/>
          <w:color w:val="000000" w:themeColor="text1"/>
        </w:rPr>
      </w:pPr>
      <w:proofErr w:type="spellStart"/>
      <w:r w:rsidRPr="00E030F1">
        <w:rPr>
          <w:b/>
          <w:bCs/>
          <w:iCs/>
          <w:color w:val="000000" w:themeColor="text1"/>
        </w:rPr>
        <w:t>Tmep</w:t>
      </w:r>
      <w:proofErr w:type="spellEnd"/>
      <w:r w:rsidRPr="00E030F1">
        <w:rPr>
          <w:b/>
          <w:bCs/>
          <w:iCs/>
          <w:color w:val="000000" w:themeColor="text1"/>
        </w:rPr>
        <w:t xml:space="preserve"> restrains ectopic firing at neuromuscular junctions</w:t>
      </w:r>
    </w:p>
    <w:p w14:paraId="12C6F2BC" w14:textId="7786B3EC" w:rsidR="004D3121" w:rsidRPr="00E030F1" w:rsidRDefault="008A4689" w:rsidP="00606C19">
      <w:pPr>
        <w:spacing w:line="480" w:lineRule="auto"/>
        <w:ind w:firstLine="720"/>
        <w:rPr>
          <w:color w:val="000000" w:themeColor="text1"/>
        </w:rPr>
      </w:pPr>
      <w:r w:rsidRPr="00E030F1">
        <w:rPr>
          <w:color w:val="000000" w:themeColor="text1"/>
        </w:rPr>
        <w:t xml:space="preserve">The presence of increased active zones as well as the behavioral impairments led us to wonder whether synaptic transmission at the neuromuscular junction is altered by the lack of </w:t>
      </w:r>
      <w:proofErr w:type="spellStart"/>
      <w:r w:rsidRPr="00E030F1">
        <w:rPr>
          <w:color w:val="000000" w:themeColor="text1"/>
        </w:rPr>
        <w:t>Tmep</w:t>
      </w:r>
      <w:proofErr w:type="spellEnd"/>
      <w:r w:rsidRPr="00E030F1">
        <w:rPr>
          <w:color w:val="000000" w:themeColor="text1"/>
        </w:rPr>
        <w:t xml:space="preserve">. </w:t>
      </w:r>
      <w:r w:rsidR="004D3121" w:rsidRPr="00E030F1">
        <w:rPr>
          <w:color w:val="000000" w:themeColor="text1"/>
        </w:rPr>
        <w:t>Impaired locomotion</w:t>
      </w:r>
      <w:r w:rsidR="00CF429C" w:rsidRPr="00E030F1">
        <w:rPr>
          <w:rStyle w:val="CommentReference"/>
          <w:color w:val="000000" w:themeColor="text1"/>
        </w:rPr>
        <w:t xml:space="preserve"> </w:t>
      </w:r>
      <w:r w:rsidR="00C34BF8" w:rsidRPr="00E030F1">
        <w:rPr>
          <w:rStyle w:val="CommentReference"/>
          <w:color w:val="000000" w:themeColor="text1"/>
          <w:sz w:val="22"/>
          <w:szCs w:val="22"/>
        </w:rPr>
        <w:t>c</w:t>
      </w:r>
      <w:r w:rsidR="004D3121" w:rsidRPr="00E030F1">
        <w:rPr>
          <w:color w:val="000000" w:themeColor="text1"/>
        </w:rPr>
        <w:t xml:space="preserve">an be caused by mutations in ion channels and other pathways that affect synaptic transmission and nerve excitability </w:t>
      </w:r>
      <w:r w:rsidR="004D3121" w:rsidRPr="00E030F1">
        <w:rPr>
          <w:color w:val="000000" w:themeColor="text1"/>
        </w:rPr>
        <w:fldChar w:fldCharType="begin" w:fldLock="1"/>
      </w:r>
      <w:r w:rsidR="00695052" w:rsidRPr="00E030F1">
        <w:rPr>
          <w:color w:val="000000" w:themeColor="text1"/>
        </w:rPr>
        <w:instrText>ADDIN CSL_CITATION {"citationItems":[{"id":"ITEM-1","itemData":{"DOI":"10.3109/01677063.2012.690011","PMID":"22716921","abstract":"\"Bang-sensitive\" mutants of Drosophila display characteristic repertoires of distinct seizure-and-paralysis behaviors upon mechanical shock (Ganetzky &amp; Wu, 1982, Genetics, 100, 597-614). The authors found that each of the bang-sensitive mutants described in this paper (bas, bss, eas, and tko) also displayed similar behavioral repertoires upon exposure to either high or low temperature. These repertoires are composed of interspersed periods of seizure and paralysis, and appear to have interesting parallels with vertebrate epileptiform behavior. Analysis of gynandromorph mosaics of these bang-sensitive mutant flies indicated that anatomical foci required for these two types of behaviors do not totally overlap, as they were separable among mosaic flies. Observations on mosaic and decapitated flies demonstrated an all-or-none expression of the seizure-and-paralysis behaviors, indicating global activity and long-range interactions in the nervous system. Therefore, the diverse collection of currently available Drosophila bang-sensitive mutants may serve as a rich source for mutational and cellular analysis to identify interacting molecular networks that are responsible for seizure phenotypes. Copyright © 2012 Informa Healthcare USA, Inc.","author":[{"dropping-particle":"","family":"Burg","given":"Martin G.","non-dropping-particle":"","parse-names":false,"suffix":""},{"dropping-particle":"","family":"Wu","given":"Chun-Fang","non-dropping-particle":"","parse-names":false,"suffix":""}],"container-title":"Journal of Neurogenetics","id":"ITEM-1","issue":"2","issued":{"date-parts":[["2012","6"]]},"page":"189","publisher":"NIH Public Access","title":"Mechanical and temperature stressors-induced seizure-and-paralysis behaviors in Drosophila bang-sensitive mutants","type":"article-journal","volume":"26"},"uris":["http://www.mendeley.com/documents/?uuid=47cc79ff-ca4e-4920-b5f6-b953d76a9333","http://www.mendeley.com/documents/?uuid=039e9418-0baf-34a8-9754-5e6e076a253b"]}],"mendeley":{"formattedCitation":"[22]","plainTextFormattedCitation":"[22]","previouslyFormattedCitation":"[22]"},"properties":{"noteIndex":0},"schema":"https://github.com/citation-style-language/schema/raw/master/csl-citation.json"}</w:instrText>
      </w:r>
      <w:r w:rsidR="004D3121" w:rsidRPr="00E030F1">
        <w:rPr>
          <w:color w:val="000000" w:themeColor="text1"/>
        </w:rPr>
        <w:fldChar w:fldCharType="separate"/>
      </w:r>
      <w:r w:rsidRPr="00E030F1">
        <w:rPr>
          <w:noProof/>
          <w:color w:val="000000" w:themeColor="text1"/>
        </w:rPr>
        <w:t>[22]</w:t>
      </w:r>
      <w:r w:rsidR="004D3121" w:rsidRPr="00E030F1">
        <w:rPr>
          <w:color w:val="000000" w:themeColor="text1"/>
        </w:rPr>
        <w:fldChar w:fldCharType="end"/>
      </w:r>
      <w:r w:rsidR="004D3121" w:rsidRPr="00E030F1">
        <w:rPr>
          <w:color w:val="000000" w:themeColor="text1"/>
        </w:rPr>
        <w:t xml:space="preserve">. In mice, </w:t>
      </w:r>
      <w:r w:rsidR="004D3121" w:rsidRPr="00E030F1">
        <w:rPr>
          <w:i/>
          <w:iCs/>
          <w:color w:val="000000" w:themeColor="text1"/>
        </w:rPr>
        <w:t>Tmem184b</w:t>
      </w:r>
      <w:r w:rsidR="004D3121" w:rsidRPr="00E030F1">
        <w:rPr>
          <w:color w:val="000000" w:themeColor="text1"/>
        </w:rPr>
        <w:t xml:space="preserve"> mutation affects performance on broad sensorimotor tests, but does not alter conduction velocity or action potential amplitude in sensory or motor nerves </w:t>
      </w:r>
      <w:r w:rsidR="004D3121" w:rsidRPr="00E030F1">
        <w:rPr>
          <w:color w:val="000000" w:themeColor="text1"/>
        </w:rPr>
        <w:fldChar w:fldCharType="begin" w:fldLock="1"/>
      </w:r>
      <w:r w:rsidR="004D3121"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mendeley":{"formattedCitation":"[17]","plainTextFormattedCitation":"[17]","previouslyFormattedCitation":"[17]"},"properties":{"noteIndex":0},"schema":"https://github.com/citation-style-language/schema/raw/master/csl-citation.json"}</w:instrText>
      </w:r>
      <w:r w:rsidR="004D3121" w:rsidRPr="00E030F1">
        <w:rPr>
          <w:color w:val="000000" w:themeColor="text1"/>
        </w:rPr>
        <w:fldChar w:fldCharType="separate"/>
      </w:r>
      <w:r w:rsidR="004D3121" w:rsidRPr="00E030F1">
        <w:rPr>
          <w:noProof/>
          <w:color w:val="000000" w:themeColor="text1"/>
        </w:rPr>
        <w:t>[17]</w:t>
      </w:r>
      <w:r w:rsidR="004D3121" w:rsidRPr="00E030F1">
        <w:rPr>
          <w:color w:val="000000" w:themeColor="text1"/>
        </w:rPr>
        <w:fldChar w:fldCharType="end"/>
      </w:r>
      <w:r w:rsidR="004D3121" w:rsidRPr="00E030F1">
        <w:rPr>
          <w:color w:val="000000" w:themeColor="text1"/>
        </w:rPr>
        <w:t xml:space="preserve">. Therefore, we hypothesized that </w:t>
      </w:r>
      <w:proofErr w:type="spellStart"/>
      <w:r w:rsidR="004D3121" w:rsidRPr="00E030F1">
        <w:rPr>
          <w:color w:val="000000" w:themeColor="text1"/>
        </w:rPr>
        <w:t>Tmep</w:t>
      </w:r>
      <w:proofErr w:type="spellEnd"/>
      <w:r w:rsidR="004D3121" w:rsidRPr="00E030F1">
        <w:rPr>
          <w:color w:val="000000" w:themeColor="text1"/>
        </w:rPr>
        <w:t xml:space="preserve"> loss may impact synaptic transmission rather than action potential propagation, leading to behavioral defects. To investigate whether </w:t>
      </w:r>
      <w:proofErr w:type="spellStart"/>
      <w:r w:rsidR="004D3121" w:rsidRPr="00E030F1">
        <w:rPr>
          <w:color w:val="000000" w:themeColor="text1"/>
        </w:rPr>
        <w:t>Tmep</w:t>
      </w:r>
      <w:proofErr w:type="spellEnd"/>
      <w:r w:rsidR="004D3121" w:rsidRPr="00E030F1">
        <w:rPr>
          <w:color w:val="000000" w:themeColor="text1"/>
        </w:rPr>
        <w:t xml:space="preserve"> is required for proper synaptic transmission, we recorded both spontaneous (mini excitatory junctional potential, </w:t>
      </w:r>
      <w:proofErr w:type="spellStart"/>
      <w:r w:rsidR="004D3121" w:rsidRPr="00E030F1">
        <w:rPr>
          <w:color w:val="000000" w:themeColor="text1"/>
        </w:rPr>
        <w:t>mEJP</w:t>
      </w:r>
      <w:proofErr w:type="spellEnd"/>
      <w:r w:rsidR="004D3121" w:rsidRPr="00E030F1">
        <w:rPr>
          <w:color w:val="000000" w:themeColor="text1"/>
        </w:rPr>
        <w:t>) and evoked (EJP) activity in 3</w:t>
      </w:r>
      <w:r w:rsidR="004D3121" w:rsidRPr="00E030F1">
        <w:rPr>
          <w:color w:val="000000" w:themeColor="text1"/>
          <w:vertAlign w:val="superscript"/>
        </w:rPr>
        <w:t>rd</w:t>
      </w:r>
      <w:r w:rsidR="004D3121" w:rsidRPr="00E030F1">
        <w:rPr>
          <w:color w:val="000000" w:themeColor="text1"/>
        </w:rPr>
        <w:t xml:space="preserve"> instar larvae. In wild type larvae, a single evoked action potential triggers a single EJP spike. However, when action potentials were triggered in </w:t>
      </w:r>
      <w:proofErr w:type="spellStart"/>
      <w:r w:rsidR="004D3121" w:rsidRPr="00E030F1">
        <w:rPr>
          <w:i/>
          <w:iCs/>
          <w:color w:val="000000" w:themeColor="text1"/>
        </w:rPr>
        <w:t>Tmep</w:t>
      </w:r>
      <w:r w:rsidR="004D3121" w:rsidRPr="00E030F1">
        <w:rPr>
          <w:i/>
          <w:iCs/>
          <w:color w:val="000000" w:themeColor="text1"/>
          <w:vertAlign w:val="superscript"/>
        </w:rPr>
        <w:t>Ex</w:t>
      </w:r>
      <w:proofErr w:type="spellEnd"/>
      <w:r w:rsidR="004D3121" w:rsidRPr="00E030F1">
        <w:rPr>
          <w:color w:val="000000" w:themeColor="text1"/>
        </w:rPr>
        <w:t xml:space="preserve">/Df larvae, we saw a striking hyperexcitability phenotype (Fig 4a). Both males and females commonly responded more than once to a stimulus, and occasionally a single stimulus induced over 20 EJPs over the 5 second post-stimulus period (Fig 4b). While the first EJP did not vary in amplitude between wild type and mutants (Fig 4c), all second (ectopic) EJPs had significantly reduced amplitudes in </w:t>
      </w:r>
      <w:r w:rsidR="004D3121" w:rsidRPr="00E030F1">
        <w:rPr>
          <w:color w:val="000000" w:themeColor="text1"/>
        </w:rPr>
        <w:lastRenderedPageBreak/>
        <w:t>comparison to the first response (Fig 4d-e). Ectopic EJPs occurred relatively rapidly after the stimulus, with spacing between ectopic responses lengthening slightly by the 5</w:t>
      </w:r>
      <w:r w:rsidR="004D3121" w:rsidRPr="00E030F1">
        <w:rPr>
          <w:color w:val="000000" w:themeColor="text1"/>
          <w:vertAlign w:val="superscript"/>
        </w:rPr>
        <w:t>th</w:t>
      </w:r>
      <w:r w:rsidR="004D3121" w:rsidRPr="00E030F1">
        <w:rPr>
          <w:color w:val="000000" w:themeColor="text1"/>
        </w:rPr>
        <w:t xml:space="preserve"> response (Fig 4f). When examining spontaneous events (</w:t>
      </w:r>
      <w:proofErr w:type="spellStart"/>
      <w:r w:rsidR="004D3121" w:rsidRPr="00E030F1">
        <w:rPr>
          <w:color w:val="000000" w:themeColor="text1"/>
        </w:rPr>
        <w:t>mEJPs</w:t>
      </w:r>
      <w:proofErr w:type="spellEnd"/>
      <w:r w:rsidR="004D3121" w:rsidRPr="00E030F1">
        <w:rPr>
          <w:color w:val="000000" w:themeColor="text1"/>
        </w:rPr>
        <w:t xml:space="preserve">), we found a reduction in the amplitudes of </w:t>
      </w:r>
      <w:proofErr w:type="spellStart"/>
      <w:r w:rsidR="004D3121" w:rsidRPr="00E030F1">
        <w:rPr>
          <w:color w:val="000000" w:themeColor="text1"/>
        </w:rPr>
        <w:t>mEJPs</w:t>
      </w:r>
      <w:proofErr w:type="spellEnd"/>
      <w:r w:rsidR="004D3121" w:rsidRPr="00E030F1">
        <w:rPr>
          <w:color w:val="000000" w:themeColor="text1"/>
        </w:rPr>
        <w:t xml:space="preserve"> in female, but not male, </w:t>
      </w:r>
      <w:proofErr w:type="spellStart"/>
      <w:r w:rsidR="004D3121" w:rsidRPr="00E030F1">
        <w:rPr>
          <w:i/>
          <w:iCs/>
          <w:color w:val="000000" w:themeColor="text1"/>
        </w:rPr>
        <w:t>Tmep</w:t>
      </w:r>
      <w:proofErr w:type="spellEnd"/>
      <w:r w:rsidR="004D3121" w:rsidRPr="00E030F1">
        <w:rPr>
          <w:color w:val="000000" w:themeColor="text1"/>
        </w:rPr>
        <w:t xml:space="preserve"> mutants (Fig 4g).</w:t>
      </w:r>
      <w:r w:rsidR="00606C19" w:rsidRPr="00E030F1">
        <w:rPr>
          <w:color w:val="000000" w:themeColor="text1"/>
        </w:rPr>
        <w:t xml:space="preserve"> </w:t>
      </w:r>
      <w:r w:rsidR="004D3121" w:rsidRPr="00E030F1">
        <w:rPr>
          <w:color w:val="000000" w:themeColor="text1"/>
        </w:rPr>
        <w:t xml:space="preserve">These data show that </w:t>
      </w:r>
      <w:proofErr w:type="spellStart"/>
      <w:r w:rsidR="004D3121" w:rsidRPr="00E030F1">
        <w:rPr>
          <w:color w:val="000000" w:themeColor="text1"/>
        </w:rPr>
        <w:t>Tmep</w:t>
      </w:r>
      <w:proofErr w:type="spellEnd"/>
      <w:r w:rsidR="004D3121" w:rsidRPr="00E030F1">
        <w:rPr>
          <w:color w:val="000000" w:themeColor="text1"/>
        </w:rPr>
        <w:t xml:space="preserve"> normally restrains evoked synaptic responses. Taken together with the behavioral data, our recordings support a model where, in the absence of </w:t>
      </w:r>
      <w:proofErr w:type="spellStart"/>
      <w:r w:rsidR="004D3121" w:rsidRPr="00E030F1">
        <w:rPr>
          <w:color w:val="000000" w:themeColor="text1"/>
        </w:rPr>
        <w:t>Tmep</w:t>
      </w:r>
      <w:proofErr w:type="spellEnd"/>
      <w:r w:rsidR="004D3121" w:rsidRPr="00E030F1">
        <w:rPr>
          <w:color w:val="000000" w:themeColor="text1"/>
        </w:rPr>
        <w:t xml:space="preserve">, excessive firing at NMJs impairs locomotor ability. </w:t>
      </w:r>
    </w:p>
    <w:p w14:paraId="056FE61B" w14:textId="77777777" w:rsidR="004D3121" w:rsidRPr="00E030F1" w:rsidRDefault="004D3121" w:rsidP="004D3121">
      <w:pPr>
        <w:spacing w:line="480" w:lineRule="auto"/>
        <w:ind w:firstLine="720"/>
        <w:rPr>
          <w:color w:val="000000" w:themeColor="text1"/>
        </w:rPr>
      </w:pPr>
    </w:p>
    <w:p w14:paraId="557B223F" w14:textId="77777777" w:rsidR="004D3121" w:rsidRPr="00E030F1" w:rsidRDefault="004D3121" w:rsidP="004D3121">
      <w:pPr>
        <w:widowControl w:val="0"/>
        <w:spacing w:line="480" w:lineRule="auto"/>
        <w:rPr>
          <w:b/>
          <w:bCs/>
          <w:iCs/>
          <w:color w:val="000000" w:themeColor="text1"/>
        </w:rPr>
      </w:pPr>
      <w:proofErr w:type="spellStart"/>
      <w:r w:rsidRPr="00E030F1">
        <w:rPr>
          <w:b/>
          <w:bCs/>
          <w:iCs/>
          <w:color w:val="000000" w:themeColor="text1"/>
        </w:rPr>
        <w:t>Tmep</w:t>
      </w:r>
      <w:proofErr w:type="spellEnd"/>
      <w:r w:rsidRPr="00E030F1">
        <w:rPr>
          <w:b/>
          <w:bCs/>
          <w:iCs/>
          <w:color w:val="000000" w:themeColor="text1"/>
        </w:rPr>
        <w:t xml:space="preserve"> is required </w:t>
      </w:r>
      <w:proofErr w:type="spellStart"/>
      <w:r w:rsidRPr="00E030F1">
        <w:rPr>
          <w:b/>
          <w:bCs/>
          <w:iCs/>
          <w:color w:val="000000" w:themeColor="text1"/>
        </w:rPr>
        <w:t>presynaptically</w:t>
      </w:r>
      <w:proofErr w:type="spellEnd"/>
      <w:r w:rsidRPr="00E030F1">
        <w:rPr>
          <w:b/>
          <w:bCs/>
          <w:iCs/>
          <w:color w:val="000000" w:themeColor="text1"/>
        </w:rPr>
        <w:t xml:space="preserve"> for neuromuscular phenotypes</w:t>
      </w:r>
    </w:p>
    <w:p w14:paraId="6FDDAC84" w14:textId="05B15F19" w:rsidR="004D3121" w:rsidRPr="00E030F1" w:rsidRDefault="004D3121" w:rsidP="004D3121">
      <w:pPr>
        <w:spacing w:line="480" w:lineRule="auto"/>
        <w:ind w:firstLine="720"/>
        <w:rPr>
          <w:color w:val="000000" w:themeColor="text1"/>
        </w:rPr>
      </w:pPr>
      <w:proofErr w:type="spellStart"/>
      <w:r w:rsidRPr="00E030F1">
        <w:rPr>
          <w:color w:val="000000" w:themeColor="text1"/>
        </w:rPr>
        <w:t>Tmep</w:t>
      </w:r>
      <w:proofErr w:type="spellEnd"/>
      <w:r w:rsidRPr="00E030F1">
        <w:rPr>
          <w:color w:val="000000" w:themeColor="text1"/>
        </w:rPr>
        <w:t xml:space="preserve"> is expressed both by motor neurons and muscle. To establish where it contributes to locomotor function and physiology, we used tissue-specific RNA interference. When we recorded EJPs from larvae with presynaptic </w:t>
      </w:r>
      <w:proofErr w:type="spellStart"/>
      <w:r w:rsidRPr="00E030F1">
        <w:rPr>
          <w:color w:val="000000" w:themeColor="text1"/>
        </w:rPr>
        <w:t>Tmep</w:t>
      </w:r>
      <w:proofErr w:type="spellEnd"/>
      <w:r w:rsidRPr="00E030F1">
        <w:rPr>
          <w:color w:val="000000" w:themeColor="text1"/>
        </w:rPr>
        <w:t xml:space="preserve"> knockdown, we observed a subtle but persistent multi-peak EJP in response to the majority of evoked stimuli (Fig 4h). Ectopic EJPs fully independent of evoked stimuli were rare but did occur in some larvae. We also evaluated the effect of </w:t>
      </w:r>
      <w:proofErr w:type="spellStart"/>
      <w:r w:rsidRPr="00E030F1">
        <w:rPr>
          <w:color w:val="000000" w:themeColor="text1"/>
        </w:rPr>
        <w:t>Tmep</w:t>
      </w:r>
      <w:proofErr w:type="spellEnd"/>
      <w:r w:rsidRPr="00E030F1">
        <w:rPr>
          <w:color w:val="000000" w:themeColor="text1"/>
        </w:rPr>
        <w:t xml:space="preserve"> knockdown on larval behavior. </w:t>
      </w:r>
      <w:r w:rsidR="00C02D2F" w:rsidRPr="00E030F1">
        <w:rPr>
          <w:color w:val="000000" w:themeColor="text1"/>
        </w:rPr>
        <w:t>Consistent with the electrophysiological effects, we</w:t>
      </w:r>
      <w:r w:rsidRPr="00E030F1">
        <w:rPr>
          <w:color w:val="000000" w:themeColor="text1"/>
        </w:rPr>
        <w:t xml:space="preserve"> observed a reduction in larval crawling rate when </w:t>
      </w:r>
      <w:proofErr w:type="spellStart"/>
      <w:r w:rsidR="00C02D2F" w:rsidRPr="00E030F1">
        <w:rPr>
          <w:color w:val="000000" w:themeColor="text1"/>
        </w:rPr>
        <w:t>Tmep</w:t>
      </w:r>
      <w:proofErr w:type="spellEnd"/>
      <w:r w:rsidR="00C02D2F" w:rsidRPr="00E030F1">
        <w:rPr>
          <w:color w:val="000000" w:themeColor="text1"/>
        </w:rPr>
        <w:t xml:space="preserve"> is knocked down pre-</w:t>
      </w:r>
      <w:proofErr w:type="spellStart"/>
      <w:r w:rsidR="00C02D2F" w:rsidRPr="00E030F1">
        <w:rPr>
          <w:color w:val="000000" w:themeColor="text1"/>
        </w:rPr>
        <w:t>synaptically</w:t>
      </w:r>
      <w:proofErr w:type="spellEnd"/>
      <w:r w:rsidR="00C02D2F" w:rsidRPr="00E030F1">
        <w:rPr>
          <w:color w:val="000000" w:themeColor="text1"/>
        </w:rPr>
        <w:t xml:space="preserve"> (</w:t>
      </w:r>
      <w:r w:rsidR="00C02D2F" w:rsidRPr="00E030F1">
        <w:rPr>
          <w:i/>
          <w:iCs/>
          <w:color w:val="000000" w:themeColor="text1"/>
        </w:rPr>
        <w:t>Vglut-</w:t>
      </w:r>
      <w:r w:rsidR="00C02D2F" w:rsidRPr="00E030F1">
        <w:rPr>
          <w:i/>
          <w:color w:val="000000" w:themeColor="text1"/>
        </w:rPr>
        <w:t>GAL4</w:t>
      </w:r>
      <w:r w:rsidR="00C02D2F" w:rsidRPr="00E030F1">
        <w:rPr>
          <w:color w:val="000000" w:themeColor="text1"/>
        </w:rPr>
        <w:t xml:space="preserve">) </w:t>
      </w:r>
      <w:r w:rsidRPr="00E030F1">
        <w:rPr>
          <w:color w:val="000000" w:themeColor="text1"/>
        </w:rPr>
        <w:t xml:space="preserve">using two independent </w:t>
      </w:r>
      <w:proofErr w:type="spellStart"/>
      <w:r w:rsidRPr="00E030F1">
        <w:rPr>
          <w:color w:val="000000" w:themeColor="text1"/>
        </w:rPr>
        <w:t>Tmep</w:t>
      </w:r>
      <w:proofErr w:type="spellEnd"/>
      <w:r w:rsidRPr="00E030F1">
        <w:rPr>
          <w:color w:val="000000" w:themeColor="text1"/>
        </w:rPr>
        <w:t xml:space="preserve"> RNAi transgenes</w:t>
      </w:r>
      <w:r w:rsidR="00C02D2F" w:rsidRPr="00E030F1">
        <w:rPr>
          <w:color w:val="000000" w:themeColor="text1"/>
        </w:rPr>
        <w:t xml:space="preserve"> (Fig 4i)</w:t>
      </w:r>
      <w:r w:rsidRPr="00E030F1">
        <w:rPr>
          <w:color w:val="000000" w:themeColor="text1"/>
        </w:rPr>
        <w:t xml:space="preserve">. </w:t>
      </w:r>
      <w:r w:rsidR="00C02D2F" w:rsidRPr="00E030F1">
        <w:rPr>
          <w:color w:val="000000" w:themeColor="text1"/>
        </w:rPr>
        <w:t>The behavioral impairment is similar to what we measured in genetic mutants (Fig 1e)</w:t>
      </w:r>
      <w:r w:rsidR="00396D35" w:rsidRPr="00E030F1">
        <w:rPr>
          <w:color w:val="000000" w:themeColor="text1"/>
        </w:rPr>
        <w:t>.</w:t>
      </w:r>
      <w:r w:rsidR="00C02D2F" w:rsidRPr="00E030F1">
        <w:rPr>
          <w:color w:val="000000" w:themeColor="text1"/>
        </w:rPr>
        <w:t xml:space="preserve"> </w:t>
      </w:r>
      <w:r w:rsidRPr="00E030F1">
        <w:rPr>
          <w:color w:val="000000" w:themeColor="text1"/>
        </w:rPr>
        <w:t xml:space="preserve">The effect of knockdown is observed in both male and female larvae. Knockdown of </w:t>
      </w:r>
      <w:proofErr w:type="spellStart"/>
      <w:r w:rsidRPr="00E030F1">
        <w:rPr>
          <w:color w:val="000000" w:themeColor="text1"/>
        </w:rPr>
        <w:t>Tmep</w:t>
      </w:r>
      <w:proofErr w:type="spellEnd"/>
      <w:r w:rsidRPr="00E030F1">
        <w:rPr>
          <w:color w:val="000000" w:themeColor="text1"/>
        </w:rPr>
        <w:t xml:space="preserve"> in muscle (using </w:t>
      </w:r>
      <w:r w:rsidRPr="00E030F1">
        <w:rPr>
          <w:i/>
          <w:iCs/>
          <w:color w:val="000000" w:themeColor="text1"/>
        </w:rPr>
        <w:t>MHC-GAL4</w:t>
      </w:r>
      <w:r w:rsidRPr="00E030F1">
        <w:rPr>
          <w:color w:val="000000" w:themeColor="text1"/>
        </w:rPr>
        <w:t xml:space="preserve">) does not impair crawling; surprisingly, it increases contraction rate, indicating a possible feedback mechanism at play (Fig </w:t>
      </w:r>
      <w:r w:rsidR="00CA2756" w:rsidRPr="00E030F1">
        <w:rPr>
          <w:color w:val="000000" w:themeColor="text1"/>
        </w:rPr>
        <w:t>4i</w:t>
      </w:r>
      <w:r w:rsidRPr="00E030F1">
        <w:rPr>
          <w:color w:val="000000" w:themeColor="text1"/>
        </w:rPr>
        <w:t xml:space="preserve">). These data support a primarily presynaptic function for </w:t>
      </w:r>
      <w:proofErr w:type="spellStart"/>
      <w:r w:rsidRPr="00E030F1">
        <w:rPr>
          <w:color w:val="000000" w:themeColor="text1"/>
        </w:rPr>
        <w:t>Tmep</w:t>
      </w:r>
      <w:proofErr w:type="spellEnd"/>
      <w:r w:rsidRPr="00E030F1">
        <w:rPr>
          <w:color w:val="000000" w:themeColor="text1"/>
        </w:rPr>
        <w:t xml:space="preserve"> in controlling synaptic transmission and motor function. </w:t>
      </w:r>
    </w:p>
    <w:p w14:paraId="55CDFB59" w14:textId="77777777" w:rsidR="004D3121" w:rsidRPr="00E030F1" w:rsidRDefault="004D3121" w:rsidP="004D3121">
      <w:pPr>
        <w:spacing w:line="480" w:lineRule="auto"/>
        <w:ind w:firstLine="720"/>
        <w:rPr>
          <w:color w:val="000000" w:themeColor="text1"/>
        </w:rPr>
      </w:pPr>
    </w:p>
    <w:p w14:paraId="0000001B" w14:textId="7EA87E11" w:rsidR="00510F8F" w:rsidRPr="00E030F1" w:rsidRDefault="007F0F85" w:rsidP="000D4897">
      <w:pPr>
        <w:spacing w:line="480" w:lineRule="auto"/>
        <w:rPr>
          <w:b/>
          <w:bCs/>
          <w:iCs/>
          <w:color w:val="000000" w:themeColor="text1"/>
        </w:rPr>
      </w:pPr>
      <w:r w:rsidRPr="00E030F1">
        <w:rPr>
          <w:b/>
          <w:bCs/>
          <w:iCs/>
          <w:color w:val="000000" w:themeColor="text1"/>
        </w:rPr>
        <w:t>Larval crawling deficiencies are restored by reduction of</w:t>
      </w:r>
      <w:r w:rsidR="00C75FC1" w:rsidRPr="00E030F1">
        <w:rPr>
          <w:b/>
          <w:bCs/>
          <w:iCs/>
          <w:color w:val="000000" w:themeColor="text1"/>
        </w:rPr>
        <w:t xml:space="preserve"> presynaptic excitability</w:t>
      </w:r>
      <w:r w:rsidRPr="00E030F1">
        <w:rPr>
          <w:b/>
          <w:bCs/>
          <w:iCs/>
          <w:color w:val="000000" w:themeColor="text1"/>
        </w:rPr>
        <w:t xml:space="preserve"> </w:t>
      </w:r>
    </w:p>
    <w:p w14:paraId="6E9E4A26" w14:textId="58C97C36" w:rsidR="002A1B8E" w:rsidRPr="00E030F1" w:rsidRDefault="002A1B8E" w:rsidP="00FE548F">
      <w:pPr>
        <w:spacing w:line="480" w:lineRule="auto"/>
        <w:ind w:firstLine="720"/>
        <w:rPr>
          <w:b/>
          <w:color w:val="000000" w:themeColor="text1"/>
        </w:rPr>
      </w:pPr>
      <w:r w:rsidRPr="00E030F1">
        <w:rPr>
          <w:color w:val="000000" w:themeColor="text1"/>
        </w:rPr>
        <w:t xml:space="preserve">Ectopic EJPs are seen in </w:t>
      </w:r>
      <w:r w:rsidR="00C81A73" w:rsidRPr="00E030F1">
        <w:rPr>
          <w:i/>
          <w:color w:val="000000" w:themeColor="text1"/>
        </w:rPr>
        <w:t>Drosophila</w:t>
      </w:r>
      <w:r w:rsidRPr="00E030F1">
        <w:rPr>
          <w:color w:val="000000" w:themeColor="text1"/>
        </w:rPr>
        <w:t xml:space="preserve"> mutants that impair the </w:t>
      </w:r>
      <w:r w:rsidR="00EC135C" w:rsidRPr="00E030F1">
        <w:rPr>
          <w:color w:val="000000" w:themeColor="text1"/>
        </w:rPr>
        <w:t xml:space="preserve">clearance of calcium from presynaptic terminals </w:t>
      </w:r>
      <w:r w:rsidR="00B7524A" w:rsidRPr="00E030F1">
        <w:rPr>
          <w:color w:val="000000" w:themeColor="text1"/>
        </w:rPr>
        <w:fldChar w:fldCharType="begin" w:fldLock="1"/>
      </w:r>
      <w:r w:rsidR="00606EF6" w:rsidRPr="00E030F1">
        <w:rPr>
          <w:color w:val="000000" w:themeColor="text1"/>
        </w:rPr>
        <w:instrText>ADDIN CSL_CITATION {"citationItems":[{"id":"ITEM-1","itemData":{"DOI":"10.1371/journal.pbio.1002516","ISSN":"15457885","PMID":"27429220","abstract":"Individual synapses vary significantly in their neurotransmitter release properties, which underlie complex information processing in neural circuits. Presynaptic Ca2+ homeostasis plays a critical role in specifying neurotransmitter release properties, but the mechanisms regulating synapse-specific Ca2+ homeostasis in the mammalian brain are still poorly understood. Using electrophysiology and genetically encoded Ca2+ sensors targeted to the mitochondrial matrix or to presynaptic boutons of cortical pyramidal neurons, we demonstrate that the presence or absence of mitochondria at presynaptic boutons dictates neurotransmitter release properties through Mitochondrial Calcium Uniporter (MCU)-dependent Ca2+ clearance. We demonstrate that the serine/threonine kinase LKB1 regulates MCU expression, mitochondria-dependent Ca2+ clearance, and thereby, presynaptic release properties. Re-establishment of MCU-dependent mitochondrial Ca2+ uptake at glutamatergic synapses rescues the altered neurotransmitter release properties characterizing LKB1-null cortical axons. Our results provide novel insights into the cellular and molecular mechanisms whereby mitochondria control neurotransmitter release properties in a bouton-specific way through presynaptic Ca2+ clearance.","author":[{"dropping-particle":"","family":"Kwon","given":"Seok Kyu","non-dropping-particle":"","parse-names":false,"suffix":""},{"dropping-particle":"","family":"Sando","given":"Richard","non-dropping-particle":"","parse-names":false,"suffix":""},{"dropping-particle":"","family":"Lewis","given":"Tommy L.","non-dropping-particle":"","parse-names":false,"suffix":""},{"dropping-particle":"","family":"Hirabayashi","given":"Yusuke","non-dropping-particle":"","parse-names":false,"suffix":""},{"dropping-particle":"","family":"Maximov","given":"Anton","non-dropping-particle":"","parse-names":false,"suffix":""},{"dropping-particle":"","family":"Polleux","given":"Franck","non-dropping-particle":"","parse-names":false,"suffix":""}],"container-title":"PLoS Biology","id":"ITEM-1","issue":"7","issued":{"date-parts":[["2016","7","18"]]},"publisher":"PLoS Biol","title":"LKB1 Regulates Mitochondria-Dependent Presynaptic Calcium Clearance and Neurotransmitter Release Properties at Excitatory Synapses along Cortical Axons","type":"article-journal","volume":"14"},"uris":["http://www.mendeley.com/documents/?uuid=ea996025-064e-3584-a37e-54cc6641b869"]},{"id":"ITEM-2","itemData":{"DOI":"10.1371/journal.pgen.1007577","ISSN":"15537404","PMID":"30080864","abstract":"Gain-of-function mutations in the human CaV2.1 gene CACNA1A cause familial hemiplegic migraine type 1 (FHM1). To characterize cellular problems potentially triggered by CaV2.1 gains of function, we engineered mutations encoding FHM1 amino-acid substitutions S218L (SL) and R192Q (RQ) into transgenes of Drosophila melanogaster CaV2/cacophony. We expressed the transgenes pan-neuronally. Phenotypes were mild for RQ-expressing animals. By contrast, single mutant SL- and complex allele RQ,SL-expressing animals showed overt phenotypes, including sharply decreased viability. By electrophysiology, SL- and RQ,SL-expressing neuromuscular junctions (NMJs) exhibited enhanced evoked discharges, supernumerary discharges, and an increase in the amplitudes and frequencies of spontaneous events. Some spontaneous events were gigantic (10–40 mV), multi-quantal events. Gigantic spontaneous events were eliminated by application of TTX–or by lowered or chelated Ca2+–suggesting that gigantic events were elicited by spontaneous nerve firing. A follow-up genetic approach revealed that some neuronal hyperexcitability phenotypes were reversed after knockdown or mutation of Drosophila homologs of phospholipase Cβ (PLCβ), IP3receptor, or ryanodine receptor (RyR)–all factors known to mediate Ca2+release from intracellular stores. Pharmacological inhibitors of intracellular Ca2+store release produced similar effects. Interestingly, however, the decreased viability phenotype was not reversed by genetic impairment of intracellular Ca2+release factors. On a cellular level, our data suggest inhibition of signaling that triggers intracellular Ca2+release could counteract hyperexcitability induced by gains of CaV2.1 function.","author":[{"dropping-particle":"","family":"Brusich","given":"Douglas J.","non-dropping-particle":"","parse-names":false,"suffix":""},{"dropping-particle":"","family":"Spring","given":"Ashlyn M.","non-dropping-particle":"","parse-names":false,"suffix":""},{"dropping-particle":"","family":"James","given":"Thomas D.","non-dropping-particle":"","parse-names":false,"suffix":""},{"dropping-particle":"","family":"Yeates","given":"Catherine J.","non-dropping-particle":"","parse-names":false,"suffix":""},{"dropping-particle":"","family":"Helms","given":"Timothy H.","non-dropping-particle":"","parse-names":false,"suffix":""},{"dropping-particle":"","family":"Frank","given":"C. Andrew","non-dropping-particle":"","parse-names":false,"suffix":""}],"container-title":"PLoS Genetics","id":"ITEM-2","issue":"8","issued":{"date-parts":[["2018","8","1"]]},"publisher":"PLoS Genet","title":"Drosophila CaV2 channels harboring human migraine mutations cause synapse hyperexcitability that can be suppressed by inhibition of a Ca2+store release pathway","type":"article-journal","volume":"14"},"uris":["http://www.mendeley.com/documents/?uuid=b70c6372-3f72-45b7-9884-84796e3ea71d","http://www.mendeley.com/documents/?uuid=e6084b22-e945-381a-bda4-82eb61c8d38e","http://www.mendeley.com/documents/?uuid=fccf5816-b209-4680-8a93-537bbc6691fa"]}],"mendeley":{"formattedCitation":"[2, 3]","plainTextFormattedCitation":"[2, 3]","previouslyFormattedCitation":"[2, 3]"},"properties":{"noteIndex":0},"schema":"https://github.com/citation-style-language/schema/raw/master/csl-citation.json"}</w:instrText>
      </w:r>
      <w:r w:rsidR="00B7524A" w:rsidRPr="00E030F1">
        <w:rPr>
          <w:color w:val="000000" w:themeColor="text1"/>
        </w:rPr>
        <w:fldChar w:fldCharType="separate"/>
      </w:r>
      <w:r w:rsidR="00D4585F" w:rsidRPr="00E030F1">
        <w:rPr>
          <w:noProof/>
          <w:color w:val="000000" w:themeColor="text1"/>
        </w:rPr>
        <w:t>[2, 3]</w:t>
      </w:r>
      <w:r w:rsidR="00B7524A" w:rsidRPr="00E030F1">
        <w:rPr>
          <w:color w:val="000000" w:themeColor="text1"/>
        </w:rPr>
        <w:fldChar w:fldCharType="end"/>
      </w:r>
      <w:r w:rsidR="00B7524A" w:rsidRPr="00E030F1">
        <w:rPr>
          <w:color w:val="000000" w:themeColor="text1"/>
        </w:rPr>
        <w:t>.</w:t>
      </w:r>
      <w:r w:rsidR="00EC135C" w:rsidRPr="00E030F1">
        <w:rPr>
          <w:color w:val="000000" w:themeColor="text1"/>
        </w:rPr>
        <w:t xml:space="preserve"> </w:t>
      </w:r>
      <w:r w:rsidR="00CA2756" w:rsidRPr="00E030F1">
        <w:rPr>
          <w:color w:val="000000" w:themeColor="text1"/>
        </w:rPr>
        <w:t xml:space="preserve">To evaluate calcium levels in presynaptic terminals, we expressed </w:t>
      </w:r>
      <w:r w:rsidR="00BF7A6D" w:rsidRPr="00E030F1">
        <w:rPr>
          <w:color w:val="000000" w:themeColor="text1"/>
        </w:rPr>
        <w:lastRenderedPageBreak/>
        <w:t>the calcium sensor G</w:t>
      </w:r>
      <w:r w:rsidR="00396D35" w:rsidRPr="00E030F1">
        <w:rPr>
          <w:color w:val="000000" w:themeColor="text1"/>
        </w:rPr>
        <w:t>C</w:t>
      </w:r>
      <w:r w:rsidR="00BF7A6D" w:rsidRPr="00E030F1">
        <w:rPr>
          <w:color w:val="000000" w:themeColor="text1"/>
        </w:rPr>
        <w:t xml:space="preserve">aMP5G along with </w:t>
      </w:r>
      <w:proofErr w:type="spellStart"/>
      <w:r w:rsidR="00BF7A6D" w:rsidRPr="00E030F1">
        <w:rPr>
          <w:color w:val="000000" w:themeColor="text1"/>
        </w:rPr>
        <w:t>tdTomato</w:t>
      </w:r>
      <w:proofErr w:type="spellEnd"/>
      <w:r w:rsidR="00BF7A6D" w:rsidRPr="00E030F1">
        <w:rPr>
          <w:color w:val="000000" w:themeColor="text1"/>
        </w:rPr>
        <w:t xml:space="preserve"> (which fills the terminal) in motor neurons.</w:t>
      </w:r>
      <w:r w:rsidR="00396D35" w:rsidRPr="00E030F1">
        <w:rPr>
          <w:color w:val="000000" w:themeColor="text1"/>
        </w:rPr>
        <w:t xml:space="preserve"> This transgene (UAS-GCaMP5G-T2A-tdTomato) allows </w:t>
      </w:r>
      <w:proofErr w:type="spellStart"/>
      <w:r w:rsidR="00396D35" w:rsidRPr="00E030F1">
        <w:rPr>
          <w:color w:val="000000" w:themeColor="text1"/>
        </w:rPr>
        <w:t>ratiometric</w:t>
      </w:r>
      <w:proofErr w:type="spellEnd"/>
      <w:r w:rsidR="00396D35" w:rsidRPr="00E030F1">
        <w:rPr>
          <w:color w:val="000000" w:themeColor="text1"/>
        </w:rPr>
        <w:t xml:space="preserve"> calculations, minimizing focal artifacts</w:t>
      </w:r>
      <w:r w:rsidR="00F8756B" w:rsidRPr="00E030F1">
        <w:rPr>
          <w:color w:val="000000" w:themeColor="text1"/>
        </w:rPr>
        <w:t xml:space="preserve"> </w:t>
      </w:r>
      <w:r w:rsidR="00F8756B" w:rsidRPr="00E030F1">
        <w:rPr>
          <w:color w:val="000000" w:themeColor="text1"/>
        </w:rPr>
        <w:fldChar w:fldCharType="begin" w:fldLock="1"/>
      </w:r>
      <w:r w:rsidR="00F8756B" w:rsidRPr="00E030F1">
        <w:rPr>
          <w:color w:val="000000" w:themeColor="text1"/>
        </w:rPr>
        <w:instrText>ADDIN CSL_CITATION {"citationItems":[{"id":"ITEM-1","itemData":{"DOI":"10.1371/JOURNAL.PONE.0100637","ISSN":"1932-6203","PMID":"24945148","abstract":"Expression of multiple reporter or effector transgenes in the same cell from a single construct is increasingly necessary in various experimental paradigms. The discovery of short, virus-derived peptide sequences that mediate a ribosome-skipping event enables generation of multiple separate peptide products from one mRNA. Here we describe methods and vectors to facilitate easy production of polycistronic-like sequences utilizing these 2A peptides tailored for expression in Drosophila both in vitro and in vivo. We tested the separation efficiency of different viral 2A peptides in cultured Drosophila cells and in vivo and found that the 2A peptides from porcine teschovirus-1 (P2A) and Thosea asigna virus (T2A) worked best. To demonstrate the utility of this approach, we used the P2A peptide to co-express the red fluorescent protein tdTomato and the genetically-encoded calcium indicator GCaMP5G in larval motorneurons. This technique enabled ratiometric calcium imaging with motion correction allowing us to record synaptic activity at the neuromuscular junction in an intact larval preparation through the cuticle. The tools presented here should greatly facilitate the generation of 2A peptide-mediated expression of multiple transgenes in Drosophila.","author":[{"dropping-particle":"","family":"Daniels","given":"Richard W.","non-dropping-particle":"","parse-names":false,"suffix":""},{"dropping-particle":"","family":"Rossano","given":"Adam J.","non-dropping-particle":"","parse-names":false,"suffix":""},{"dropping-particle":"","family":"Macleod","given":"Gregory T.","non-dropping-particle":"","parse-names":false,"suffix":""},{"dropping-particle":"","family":"Ganetzky","given":"Barry","non-dropping-particle":"","parse-names":false,"suffix":""}],"container-title":"PLOS ONE","id":"ITEM-1","issue":"6","issued":{"date-parts":[["2014","6","19"]]},"page":"e100637","publisher":"Public Library of Science","title":"Expression of Multiple Transgenes from a Single Construct Using Viral 2A Peptides in Drosophila","type":"article-journal","volume":"9"},"uris":["http://www.mendeley.com/documents/?uuid=e111b573-9e08-3dbc-9408-4213dea78bd8"]}],"mendeley":{"formattedCitation":"[23]","plainTextFormattedCitation":"[23]"},"properties":{"noteIndex":0},"schema":"https://github.com/citation-style-language/schema/raw/master/csl-citation.json"}</w:instrText>
      </w:r>
      <w:r w:rsidR="00F8756B" w:rsidRPr="00E030F1">
        <w:rPr>
          <w:color w:val="000000" w:themeColor="text1"/>
        </w:rPr>
        <w:fldChar w:fldCharType="separate"/>
      </w:r>
      <w:r w:rsidR="00F8756B" w:rsidRPr="00E030F1">
        <w:rPr>
          <w:noProof/>
          <w:color w:val="000000" w:themeColor="text1"/>
        </w:rPr>
        <w:t>[23]</w:t>
      </w:r>
      <w:r w:rsidR="00F8756B" w:rsidRPr="00E030F1">
        <w:rPr>
          <w:color w:val="000000" w:themeColor="text1"/>
        </w:rPr>
        <w:fldChar w:fldCharType="end"/>
      </w:r>
      <w:r w:rsidR="00396D35" w:rsidRPr="00E030F1">
        <w:rPr>
          <w:color w:val="000000" w:themeColor="text1"/>
        </w:rPr>
        <w:t>.</w:t>
      </w:r>
      <w:r w:rsidR="00BF7A6D" w:rsidRPr="00E030F1">
        <w:rPr>
          <w:color w:val="000000" w:themeColor="text1"/>
        </w:rPr>
        <w:t xml:space="preserve"> When </w:t>
      </w:r>
      <w:proofErr w:type="spellStart"/>
      <w:r w:rsidR="00BF7A6D" w:rsidRPr="00E030F1">
        <w:rPr>
          <w:color w:val="000000" w:themeColor="text1"/>
        </w:rPr>
        <w:t>Tmep</w:t>
      </w:r>
      <w:proofErr w:type="spellEnd"/>
      <w:r w:rsidR="00BF7A6D" w:rsidRPr="00E030F1">
        <w:rPr>
          <w:color w:val="000000" w:themeColor="text1"/>
        </w:rPr>
        <w:t xml:space="preserve"> was knocked down, larvae had elevated presynaptic calcium compared to GAL4 only controls (Fig 5a-b). This result is consistent with the electrophysiological data and suggests that high levels of presynaptic calcium are contributing to our phenotypes. To test whether this is the case, </w:t>
      </w:r>
      <w:r w:rsidR="00EF5E3B" w:rsidRPr="00E030F1">
        <w:rPr>
          <w:color w:val="000000" w:themeColor="text1"/>
        </w:rPr>
        <w:t xml:space="preserve">we asked if </w:t>
      </w:r>
      <w:r w:rsidR="00F40995" w:rsidRPr="00E030F1">
        <w:rPr>
          <w:color w:val="000000" w:themeColor="text1"/>
        </w:rPr>
        <w:t>reducing</w:t>
      </w:r>
      <w:r w:rsidR="00246A76" w:rsidRPr="00E030F1">
        <w:rPr>
          <w:color w:val="000000" w:themeColor="text1"/>
        </w:rPr>
        <w:t xml:space="preserve"> </w:t>
      </w:r>
      <w:r w:rsidR="00251D26" w:rsidRPr="00E030F1">
        <w:rPr>
          <w:color w:val="000000" w:themeColor="text1"/>
        </w:rPr>
        <w:t xml:space="preserve">cytoplasmic </w:t>
      </w:r>
      <w:r w:rsidR="00246A76" w:rsidRPr="00E030F1">
        <w:rPr>
          <w:color w:val="000000" w:themeColor="text1"/>
        </w:rPr>
        <w:t>calcium levels</w:t>
      </w:r>
      <w:r w:rsidR="00BF7A6D" w:rsidRPr="00E030F1">
        <w:rPr>
          <w:color w:val="000000" w:themeColor="text1"/>
        </w:rPr>
        <w:t xml:space="preserve"> specifically</w:t>
      </w:r>
      <w:r w:rsidR="00246A76" w:rsidRPr="00E030F1">
        <w:rPr>
          <w:color w:val="000000" w:themeColor="text1"/>
        </w:rPr>
        <w:t xml:space="preserve"> in motor neurons could improve </w:t>
      </w:r>
      <w:proofErr w:type="spellStart"/>
      <w:r w:rsidR="00617FA9" w:rsidRPr="00E030F1">
        <w:rPr>
          <w:color w:val="000000" w:themeColor="text1"/>
        </w:rPr>
        <w:t>Tmep</w:t>
      </w:r>
      <w:proofErr w:type="spellEnd"/>
      <w:r w:rsidR="00617FA9" w:rsidRPr="00E030F1">
        <w:rPr>
          <w:color w:val="000000" w:themeColor="text1"/>
        </w:rPr>
        <w:t xml:space="preserve">-knockdown </w:t>
      </w:r>
      <w:r w:rsidR="00246A76" w:rsidRPr="00E030F1">
        <w:rPr>
          <w:color w:val="000000" w:themeColor="text1"/>
        </w:rPr>
        <w:t>locomotor behavior</w:t>
      </w:r>
      <w:r w:rsidR="002B41C7" w:rsidRPr="00E030F1">
        <w:rPr>
          <w:color w:val="000000" w:themeColor="text1"/>
        </w:rPr>
        <w:t>.</w:t>
      </w:r>
      <w:r w:rsidR="00FC0408" w:rsidRPr="00E030F1">
        <w:rPr>
          <w:color w:val="000000" w:themeColor="text1"/>
        </w:rPr>
        <w:t xml:space="preserve"> </w:t>
      </w:r>
      <w:r w:rsidR="00BF7A6D" w:rsidRPr="00E030F1">
        <w:rPr>
          <w:color w:val="000000" w:themeColor="text1"/>
        </w:rPr>
        <w:t xml:space="preserve">The endoplasmic reticulum and its stored calcium positively influence synaptic transmission </w:t>
      </w:r>
      <w:r w:rsidR="00BF7A6D" w:rsidRPr="00E030F1">
        <w:rPr>
          <w:color w:val="000000" w:themeColor="text1"/>
        </w:rPr>
        <w:fldChar w:fldCharType="begin" w:fldLock="1"/>
      </w:r>
      <w:r w:rsidR="00F8756B" w:rsidRPr="00E030F1">
        <w:rPr>
          <w:color w:val="000000" w:themeColor="text1"/>
        </w:rPr>
        <w:instrText>ADDIN CSL_CITATION {"citationItems":[{"id":"ITEM-1","itemData":{"DOI":"10.1113/JPHYSIOL.2002.022103","ISSN":"1469-7793","abstract":"Loading slices of rat barrel cortex with 50 μM BAPTA-AM while recording from pyramidal cells in layer II induces a marked reduction in both the frequency and amplitudes of mEPSCs. These changes are due to a presynaptic action. Blocking the refilling of Ca2+ stores with 20 μM cyclopiazonic acid (CPA), a SERCA pump inhibitor, in conjunction with neuronal depolarisation to activate Ca2+ stores, results in a similar reduction of mEPSCs to that observed with BAPTA-AM, indicating that the source for intracellular Ca2+ is the endoplasmic reticulum. Block or activation of ryanodine receptors by 20 μM ryanodine or 10 mM caffeine, respectively, shows that a significant proportion of mEPSCs are caused by Ca2+ release from ryanodine stores. Blocking IP3 receptors with 14 μM 2-aminoethoxydiphenylborane (2APB) also reduces the frequency and amplitude of mEPSCs, indicating the involvement of IP3 stores in the generation of mEPSCs. Activation of group I metabotropic receptors with 20 μM (RS)-3,5-dihydroxyphenylglycine (DHPG) results in a significant increase in the frequency of mEPSCs, further supporting the role of IP3 receptors and indicating a role of group I metabotropic receptors in causing transmitter release. Statistical evidence is presented for Ca2+-induced Ca2+ release (CICR) from ryanodine stores after the spontaneous opening of IP3 stores.","author":[{"dropping-particle":"","family":"Simkus","given":"Christopher R. L.","non-dropping-particle":"","parse-names":false,"suffix":""},{"dropping-particle":"","family":"Stricker","given":"Christian","non-dropping-particle":"","parse-names":false,"suffix":""}],"container-title":"The Journal of Physiology","id":"ITEM-1","issue":"2","issued":{"date-parts":[["2002","12","1"]]},"page":"521-535","publisher":"John Wiley &amp; Sons, Ltd","title":"The contribution of intracellular calcium stores to mEPSCs recorded in layer II neurones of rat barrel cortex","type":"article-journal","volume":"545"},"uris":["http://www.mendeley.com/documents/?uuid=3cd86539-ec06-34ca-867d-b8114fffb70c"]},{"id":"ITEM-2","itemData":{"DOI":"10.1016/j.neuron.2014.09.030","ISSN":"10974199","PMID":"25451193","abstract":"Presynaptic resting Ca2+ influences synaptic vesicle (SV) release probability. Here, we report that a TRPV channel, Inactive (Iav), maintains presynaptic resting [Ca2+] by promoting Ca2+ release from the endoplasmic reticulum in Drosophila motor neurons, and is required for both synapse development and neurotransmission. We find that Iav activates the Ca2+/calmodulin-dependent protein phosphatase calcineurin, which is essential for presynaptic microtubule stabilization at the neuromuscular junction. Thus, loss of Iav induces destabilization of presynaptic microtubules, resulting in diminished synaptic growth. Interestingly, expression of human TRPV1 in Iav-deficient motor neurons rescues these defects. We also show that the absence of Iav causes lower SV release probability and diminished synaptic transmission, whereas Iav overexpression elevates these synaptic parameters. Together, our findings indicate that Iav acts as a key regulator of synaptic development and function by influencing presynaptic resting [Ca2+].","author":[{"dropping-particle":"","family":"Wong","given":"Ching On","non-dropping-particle":"","parse-names":false,"suffix":""},{"dropping-particle":"","family":"Chen","given":"Kuchuan","non-dropping-particle":"","parse-names":false,"suffix":""},{"dropping-particle":"","family":"Lin","given":"Yong Qi","non-dropping-particle":"","parse-names":false,"suffix":""},{"dropping-particle":"","family":"Chao","given":"Yufang","non-dropping-particle":"","parse-names":false,"suffix":""},{"dropping-particle":"","family":"Duraine","given":"Lita","non-dropping-particle":"","parse-names":false,"suffix":""},{"dropping-particle":"","family":"Lu","given":"Zhongmin","non-dropping-particle":"","parse-names":false,"suffix":""},{"dropping-particle":"","family":"Yoon","given":"Wan Hee","non-dropping-particle":"","parse-names":false,"suffix":""},{"dropping-particle":"","family":"Sullivan","given":"Jeremy M.","non-dropping-particle":"","parse-names":false,"suffix":""},{"dropping-particle":"","family":"Broadhead","given":"Geoffrey T.","non-dropping-particle":"","parse-names":false,"suffix":""},{"dropping-particle":"","family":"Sumner","given":"Charlotte J.","non-dropping-particle":"","parse-names":false,"suffix":""},{"dropping-particle":"","family":"Lloyd","given":"Thomas E.","non-dropping-particle":"","parse-names":false,"suffix":""},{"dropping-particle":"","family":"Macleod","given":"Gregory T.","non-dropping-particle":"","parse-names":false,"suffix":""},{"dropping-particle":"","family":"Bellen","given":"Hugo J.","non-dropping-particle":"","parse-names":false,"suffix":""},{"dropping-particle":"","family":"Venkatachalam","given":"Kartik","non-dropping-particle":"","parse-names":false,"suffix":""}],"container-title":"Neuron","id":"ITEM-2","issue":"4","issued":{"date-parts":[["2014","11","19"]]},"page":"764-777","publisher":"Neuron","title":"A TRPV channel in drosophila motor neurons regulates presynaptic resting Ca2+ levels, synapse growth, and synaptic transmission","type":"article-journal","volume":"84"},"uris":["http://www.mendeley.com/documents/?uuid=4ca854c5-e5b0-3d37-a990-5e333c173ae9"]}],"mendeley":{"formattedCitation":"[24, 25]","plainTextFormattedCitation":"[24, 25]","previouslyFormattedCitation":"[23, 24]"},"properties":{"noteIndex":0},"schema":"https://github.com/citation-style-language/schema/raw/master/csl-citation.json"}</w:instrText>
      </w:r>
      <w:r w:rsidR="00BF7A6D" w:rsidRPr="00E030F1">
        <w:rPr>
          <w:color w:val="000000" w:themeColor="text1"/>
        </w:rPr>
        <w:fldChar w:fldCharType="separate"/>
      </w:r>
      <w:r w:rsidR="00F8756B" w:rsidRPr="00E030F1">
        <w:rPr>
          <w:noProof/>
          <w:color w:val="000000" w:themeColor="text1"/>
        </w:rPr>
        <w:t>[24, 25]</w:t>
      </w:r>
      <w:r w:rsidR="00BF7A6D" w:rsidRPr="00E030F1">
        <w:rPr>
          <w:color w:val="000000" w:themeColor="text1"/>
        </w:rPr>
        <w:fldChar w:fldCharType="end"/>
      </w:r>
      <w:r w:rsidR="00BF7A6D" w:rsidRPr="00E030F1">
        <w:rPr>
          <w:color w:val="000000" w:themeColor="text1"/>
        </w:rPr>
        <w:t xml:space="preserve">.  </w:t>
      </w:r>
      <w:r w:rsidR="00246A76" w:rsidRPr="00E030F1">
        <w:rPr>
          <w:color w:val="000000" w:themeColor="text1"/>
        </w:rPr>
        <w:t xml:space="preserve">We </w:t>
      </w:r>
      <w:r w:rsidR="00B7524A" w:rsidRPr="00E030F1">
        <w:rPr>
          <w:color w:val="000000" w:themeColor="text1"/>
        </w:rPr>
        <w:t xml:space="preserve">first </w:t>
      </w:r>
      <w:r w:rsidR="00246A76" w:rsidRPr="00E030F1">
        <w:rPr>
          <w:color w:val="000000" w:themeColor="text1"/>
        </w:rPr>
        <w:t>blocked store-</w:t>
      </w:r>
      <w:r w:rsidR="004F2BA3" w:rsidRPr="00E030F1">
        <w:rPr>
          <w:color w:val="000000" w:themeColor="text1"/>
        </w:rPr>
        <w:t xml:space="preserve">operated calcium release </w:t>
      </w:r>
      <w:r w:rsidR="00B7524A" w:rsidRPr="00E030F1">
        <w:rPr>
          <w:color w:val="000000" w:themeColor="text1"/>
        </w:rPr>
        <w:t xml:space="preserve">in two ways, </w:t>
      </w:r>
      <w:r w:rsidR="004F2BA3" w:rsidRPr="00E030F1">
        <w:rPr>
          <w:color w:val="000000" w:themeColor="text1"/>
        </w:rPr>
        <w:t xml:space="preserve">using </w:t>
      </w:r>
      <w:r w:rsidR="005A7D91" w:rsidRPr="00E030F1">
        <w:rPr>
          <w:color w:val="000000" w:themeColor="text1"/>
        </w:rPr>
        <w:t xml:space="preserve">neuron-specific </w:t>
      </w:r>
      <w:r w:rsidR="004F2BA3" w:rsidRPr="00E030F1">
        <w:rPr>
          <w:color w:val="000000" w:themeColor="text1"/>
        </w:rPr>
        <w:t>RNAi to either the inositol triphosphate (IP</w:t>
      </w:r>
      <w:r w:rsidR="004F2BA3" w:rsidRPr="00E030F1">
        <w:rPr>
          <w:color w:val="000000" w:themeColor="text1"/>
          <w:vertAlign w:val="subscript"/>
        </w:rPr>
        <w:t>3</w:t>
      </w:r>
      <w:r w:rsidR="004F2BA3" w:rsidRPr="00E030F1">
        <w:rPr>
          <w:color w:val="000000" w:themeColor="text1"/>
        </w:rPr>
        <w:t>) receptor (ITPR) or the ryanodine receptor (</w:t>
      </w:r>
      <w:proofErr w:type="spellStart"/>
      <w:r w:rsidR="004F2BA3" w:rsidRPr="00E030F1">
        <w:rPr>
          <w:color w:val="000000" w:themeColor="text1"/>
        </w:rPr>
        <w:t>R</w:t>
      </w:r>
      <w:r w:rsidR="00C82511" w:rsidRPr="00E030F1">
        <w:rPr>
          <w:color w:val="000000" w:themeColor="text1"/>
        </w:rPr>
        <w:t>yR</w:t>
      </w:r>
      <w:proofErr w:type="spellEnd"/>
      <w:r w:rsidR="004F2BA3" w:rsidRPr="00E030F1">
        <w:rPr>
          <w:color w:val="000000" w:themeColor="text1"/>
        </w:rPr>
        <w:t xml:space="preserve">). While the individual RNAi’s to each receptor did not change baseline locomotion, both ITPR and </w:t>
      </w:r>
      <w:proofErr w:type="spellStart"/>
      <w:r w:rsidR="004F2BA3" w:rsidRPr="00E030F1">
        <w:rPr>
          <w:color w:val="000000" w:themeColor="text1"/>
        </w:rPr>
        <w:t>R</w:t>
      </w:r>
      <w:r w:rsidR="00C82511" w:rsidRPr="00E030F1">
        <w:rPr>
          <w:color w:val="000000" w:themeColor="text1"/>
        </w:rPr>
        <w:t>y</w:t>
      </w:r>
      <w:r w:rsidR="004F2BA3" w:rsidRPr="00E030F1">
        <w:rPr>
          <w:color w:val="000000" w:themeColor="text1"/>
        </w:rPr>
        <w:t>R</w:t>
      </w:r>
      <w:proofErr w:type="spellEnd"/>
      <w:r w:rsidR="004F2BA3" w:rsidRPr="00E030F1">
        <w:rPr>
          <w:color w:val="000000" w:themeColor="text1"/>
        </w:rPr>
        <w:t xml:space="preserve"> knockdown</w:t>
      </w:r>
      <w:r w:rsidR="00251D26" w:rsidRPr="00E030F1">
        <w:rPr>
          <w:color w:val="000000" w:themeColor="text1"/>
        </w:rPr>
        <w:t xml:space="preserve"> </w:t>
      </w:r>
      <w:r w:rsidR="004F2BA3" w:rsidRPr="00E030F1">
        <w:rPr>
          <w:color w:val="000000" w:themeColor="text1"/>
        </w:rPr>
        <w:t xml:space="preserve">were able to restore normal locomotor activity in the background of </w:t>
      </w:r>
      <w:proofErr w:type="spellStart"/>
      <w:r w:rsidR="004F2BA3" w:rsidRPr="00E030F1">
        <w:rPr>
          <w:i/>
          <w:iCs/>
          <w:color w:val="000000" w:themeColor="text1"/>
        </w:rPr>
        <w:t>Tmep</w:t>
      </w:r>
      <w:proofErr w:type="spellEnd"/>
      <w:r w:rsidR="004F2BA3" w:rsidRPr="00E030F1">
        <w:rPr>
          <w:color w:val="000000" w:themeColor="text1"/>
        </w:rPr>
        <w:t xml:space="preserve"> RNAi</w:t>
      </w:r>
      <w:r w:rsidR="00B7524A" w:rsidRPr="00E030F1">
        <w:rPr>
          <w:color w:val="000000" w:themeColor="text1"/>
        </w:rPr>
        <w:t xml:space="preserve"> (Fig 5</w:t>
      </w:r>
      <w:r w:rsidR="00D11101" w:rsidRPr="00E030F1">
        <w:rPr>
          <w:color w:val="000000" w:themeColor="text1"/>
        </w:rPr>
        <w:t>c</w:t>
      </w:r>
      <w:r w:rsidR="00251D26" w:rsidRPr="00E030F1">
        <w:rPr>
          <w:color w:val="000000" w:themeColor="text1"/>
        </w:rPr>
        <w:t>-</w:t>
      </w:r>
      <w:r w:rsidR="00D11101" w:rsidRPr="00E030F1">
        <w:rPr>
          <w:color w:val="000000" w:themeColor="text1"/>
        </w:rPr>
        <w:t>d</w:t>
      </w:r>
      <w:r w:rsidR="00B7524A" w:rsidRPr="00E030F1">
        <w:rPr>
          <w:color w:val="000000" w:themeColor="text1"/>
        </w:rPr>
        <w:t>)</w:t>
      </w:r>
      <w:r w:rsidR="004F2BA3" w:rsidRPr="00E030F1">
        <w:rPr>
          <w:color w:val="000000" w:themeColor="text1"/>
        </w:rPr>
        <w:t xml:space="preserve">. </w:t>
      </w:r>
      <w:r w:rsidR="00B7524A" w:rsidRPr="00E030F1">
        <w:rPr>
          <w:color w:val="000000" w:themeColor="text1"/>
        </w:rPr>
        <w:t>This fits with the emerging roles for presynaptic ER signaling in the regulation of synaptic transmission</w:t>
      </w:r>
      <w:r w:rsidR="00FD5BB0" w:rsidRPr="00E030F1">
        <w:rPr>
          <w:color w:val="000000" w:themeColor="text1"/>
        </w:rPr>
        <w:t xml:space="preserve"> </w:t>
      </w:r>
      <w:r w:rsidR="00B7524A" w:rsidRPr="00E030F1">
        <w:rPr>
          <w:color w:val="000000" w:themeColor="text1"/>
        </w:rPr>
        <w:fldChar w:fldCharType="begin" w:fldLock="1"/>
      </w:r>
      <w:r w:rsidR="00F8756B" w:rsidRPr="00E030F1">
        <w:rPr>
          <w:color w:val="000000" w:themeColor="text1"/>
        </w:rPr>
        <w:instrText>ADDIN CSL_CITATION {"citationItems":[{"id":"ITEM-1","itemData":{"DOI":"10.1016/j.neuron.2017.01.010","ISSN":"10974199","PMID":"28162809","abstract":"Although the endoplasmic reticulum (ER) extends throughout axons and axonal ER dysfunction is implicated in numerous neurological diseases, its role at nerve terminals is poorly understood. We developed novel genetically encoded ER-targeted low-affinity Ca2+ indicators optimized for examining axonal ER Ca2+. Our experiments revealed that presynaptic function is tightly controlled by ER Ca2+ content. We found that neuronal activity drives net Ca2+ uptake into presynaptic ER although this activity does not contribute significantly to shaping cytosolic Ca2+ except during prolonged repetitive firing. In contrast, we found that axonal ER acts as an actuator of plasma membrane (PM) function: [Ca2+]ER controls STIM1 activation in presynaptic terminals, which results in the local modulation of presynaptic function, impacting activity-driven Ca2+ entry and release probability. These experiments reveal a critical role of presynaptic ER in the control of neurotransmitter release and will help frame future investigations into the molecular basis of ER-driven neuronal disease states.","author":[{"dropping-particle":"","family":"Juan-Sanz","given":"Jaime","non-dropping-particle":"de","parse-names":false,"suffix":""},{"dropping-particle":"","family":"Holt","given":"Graham T.","non-dropping-particle":"","parse-names":false,"suffix":""},{"dropping-particle":"","family":"Schreiter","given":"Eric R.","non-dropping-particle":"","parse-names":false,"suffix":""},{"dropping-particle":"","family":"Juan","given":"Fernando","non-dropping-particle":"de","parse-names":false,"suffix":""},{"dropping-particle":"","family":"Kim","given":"Douglas S.","non-dropping-particle":"","parse-names":false,"suffix":""},{"dropping-particle":"","family":"Ryan","given":"Timothy A.","non-dropping-particle":"","parse-names":false,"suffix":""}],"container-title":"Neuron","id":"ITEM-1","issue":"4","issued":{"date-parts":[["2017","2","22"]]},"page":"867-881.e6","publisher":"Neuron","title":"Axonal Endoplasmic Reticulum Ca2+ Content Controls Release Probability in CNS Nerve Terminals","type":"article-journal","volume":"93"},"uris":["http://www.mendeley.com/documents/?uuid=bd957271-d0ed-341b-a0a4-b9146a464700","http://www.mendeley.com/documents/?uuid=a183c84f-457d-4ec2-8e1a-49453043635c"]},{"id":"ITEM-2","itemData":{"DOI":"10.1016/J.CECA.2019.102133","ISSN":"0143-4160","abstract":"Synaptic transmission relies on rapid calcium (Ca2+) influx into presynaptic terminal via voltage-gated Ca2+ channels. However, smooth ER is present in presynaptic terminals and accumulating evidence indicate that ER Ca2+ signaling may play a modulatory role in synaptic transmission. Most recent publication by Lindhout and colleagues (EMBO J, 38 (2019) e101345) suggested that the fragmentation state of the ER affects synaptic vesicle release. Here we discuss these results as well as several key publications that addressed a connection between ER Ca2+ signaling and synaptic transmission.","author":[{"dropping-particle":"","family":"Bezprozvanny","given":"Ilya","non-dropping-particle":"","parse-names":false,"suffix":""},{"dropping-particle":"","family":"Kavalali","given":"Ege T.","non-dropping-particle":"","parse-names":false,"suffix":""}],"container-title":"Cell Calcium","id":"ITEM-2","issued":{"date-parts":[["2020","1","1"]]},"page":"102133","publisher":"Churchill Livingstone","title":"Presynaptic endoplasmic reticulum and neurotransmission","type":"article-journal","volume":"85"},"uris":["http://www.mendeley.com/documents/?uuid=aba691f4-418a-3d0e-8966-3ac9b7778331","http://www.mendeley.com/documents/?uuid=34322c65-6aaa-4d42-abbf-d4e25d657058"]},{"id":"ITEM-3","itemData":{"DOI":"10.1016/J.NEURON.2021.02.023","abstract":"Store-operated calcium entry (SOCE) is activated by depletion of Ca2+ from the endoplasmic reticulum (ER) and mediated by stromal interaction molecule (STIM) proteins. Here, we show that in rat and mouse hippocampal neurons, acute ER Ca2+ depletion increases presynaptic Ca2+ levels and glutamate release through a pathway dependent on STIM2 and the synaptic Ca2+ sensor synaptotagmin-7 (syt7). In contrast, synaptotagmin-1 (syt1) can suppress SOCE-mediated spontaneous release, and STIM2 is required for the increase in spontaneous release seen during syt1 loss of function. We also demonstrate that chronic ER stress activates the same pathway leading to syt7-dependent potentiation of spontaneous glutamate release. During ER stress, inhibition of SOCE or syt7-driven fusion partially restored basal neurotransmission and decreased expression of pro-apoptotic markers, indicating that these processes participate in the amplification of ER-stress-related damage. Taken together, we propose that presynaptic SOCE links ER stress and augmented spontaneous neurotransmission, which may, in turn, facilitate neurodegeneration.","author":[{"dropping-particle":"","family":"Chanaday","given":"Natali L.","non-dropping-particle":"","parse-names":false,"suffix":""},{"dropping-particle":"","family":"Nosyreva","given":"Elena","non-dropping-particle":"","parse-names":false,"suffix":""},{"dropping-particle":"","family":"Shin","given":"Ok Ho","non-dropping-particle":"","parse-names":false,"suffix":""},{"dropping-particle":"","family":"Zhang","given":"Hua","non-dropping-particle":"","parse-names":false,"suffix":""},{"dropping-particle":"","family":"Aklan","given":"Iltan","non-dropping-particle":"","parse-names":false,"suffix":""},{"dropping-particle":"","family":"Atasoy","given":"Deniz","non-dropping-particle":"","parse-names":false,"suffix":""},{"dropping-particle":"","family":"Bezprozvanny","given":"Ilya","non-dropping-particle":"","parse-names":false,"suffix":""},{"dropping-particle":"","family":"Kavalali","given":"Ege T.","non-dropping-particle":"","parse-names":false,"suffix":""}],"container-title":"Neuron","id":"ITEM-3","issue":"8","issued":{"date-parts":[["2021","4","21"]]},"page":"1314-1332.e5","publisher":"Cell Press","title":"Presynaptic store-operated Ca2+ entry drives excitatory spontaneous neurotransmission and augments endoplasmic reticulum stress","type":"article-journal","volume":"109"},"uris":["http://www.mendeley.com/documents/?uuid=0ffd9c69-9f2e-3c24-a87f-f3d66adbfefd","http://www.mendeley.com/documents/?uuid=fcc8d439-eab5-4b00-bd09-5c70f6eb1bdd"]}],"mendeley":{"formattedCitation":"[26–28]","plainTextFormattedCitation":"[26–28]","previouslyFormattedCitation":"[25–27]"},"properties":{"noteIndex":0},"schema":"https://github.com/citation-style-language/schema/raw/master/csl-citation.json"}</w:instrText>
      </w:r>
      <w:r w:rsidR="00B7524A" w:rsidRPr="00E030F1">
        <w:rPr>
          <w:color w:val="000000" w:themeColor="text1"/>
        </w:rPr>
        <w:fldChar w:fldCharType="separate"/>
      </w:r>
      <w:r w:rsidR="00F8756B" w:rsidRPr="00E030F1">
        <w:rPr>
          <w:noProof/>
          <w:color w:val="000000" w:themeColor="text1"/>
        </w:rPr>
        <w:t>[26–28]</w:t>
      </w:r>
      <w:r w:rsidR="00B7524A" w:rsidRPr="00E030F1">
        <w:rPr>
          <w:color w:val="000000" w:themeColor="text1"/>
        </w:rPr>
        <w:fldChar w:fldCharType="end"/>
      </w:r>
      <w:r w:rsidR="00FD5BB0" w:rsidRPr="00E030F1">
        <w:rPr>
          <w:color w:val="000000" w:themeColor="text1"/>
        </w:rPr>
        <w:t>.</w:t>
      </w:r>
    </w:p>
    <w:p w14:paraId="3DEAFD99" w14:textId="6D252146" w:rsidR="004F2BA3" w:rsidRPr="00E030F1" w:rsidRDefault="004F2BA3" w:rsidP="002A1B8E">
      <w:pPr>
        <w:widowControl w:val="0"/>
        <w:spacing w:line="480" w:lineRule="auto"/>
        <w:rPr>
          <w:color w:val="000000" w:themeColor="text1"/>
        </w:rPr>
      </w:pPr>
      <w:r w:rsidRPr="00E030F1">
        <w:rPr>
          <w:color w:val="000000" w:themeColor="text1"/>
        </w:rPr>
        <w:tab/>
        <w:t>We also dampened presyn</w:t>
      </w:r>
      <w:r w:rsidR="00251D26" w:rsidRPr="00E030F1">
        <w:rPr>
          <w:color w:val="000000" w:themeColor="text1"/>
        </w:rPr>
        <w:t>ap</w:t>
      </w:r>
      <w:r w:rsidRPr="00E030F1">
        <w:rPr>
          <w:color w:val="000000" w:themeColor="text1"/>
        </w:rPr>
        <w:t>tic activity using an orthogonal strategy. The NAD+ synthetic enzyme NMNAT restrains</w:t>
      </w:r>
      <w:r w:rsidR="00F40995" w:rsidRPr="00E030F1">
        <w:rPr>
          <w:color w:val="000000" w:themeColor="text1"/>
        </w:rPr>
        <w:t xml:space="preserve"> evoked</w:t>
      </w:r>
      <w:r w:rsidR="00B7524A" w:rsidRPr="00E030F1">
        <w:rPr>
          <w:color w:val="000000" w:themeColor="text1"/>
        </w:rPr>
        <w:t xml:space="preserve"> synaptic transmission</w:t>
      </w:r>
      <w:r w:rsidRPr="00E030F1">
        <w:rPr>
          <w:color w:val="000000" w:themeColor="text1"/>
        </w:rPr>
        <w:t xml:space="preserve"> in mutants where synaptic activity is enhanced, such as </w:t>
      </w:r>
      <w:r w:rsidRPr="00E030F1">
        <w:rPr>
          <w:i/>
          <w:iCs/>
          <w:color w:val="000000" w:themeColor="text1"/>
        </w:rPr>
        <w:t>highwire</w:t>
      </w:r>
      <w:r w:rsidRPr="00E030F1">
        <w:rPr>
          <w:color w:val="000000" w:themeColor="text1"/>
        </w:rPr>
        <w:t xml:space="preserve"> (</w:t>
      </w:r>
      <w:proofErr w:type="spellStart"/>
      <w:r w:rsidRPr="00E030F1">
        <w:rPr>
          <w:i/>
          <w:iCs/>
          <w:color w:val="000000" w:themeColor="text1"/>
        </w:rPr>
        <w:t>hiw</w:t>
      </w:r>
      <w:proofErr w:type="spellEnd"/>
      <w:r w:rsidRPr="00E030F1">
        <w:rPr>
          <w:color w:val="000000" w:themeColor="text1"/>
        </w:rPr>
        <w:t>)</w:t>
      </w:r>
      <w:r w:rsidR="00B7524A" w:rsidRPr="00E030F1">
        <w:rPr>
          <w:color w:val="000000" w:themeColor="text1"/>
        </w:rPr>
        <w:t xml:space="preserve"> </w:t>
      </w:r>
      <w:r w:rsidR="00B7524A" w:rsidRPr="00E030F1">
        <w:rPr>
          <w:color w:val="000000" w:themeColor="text1"/>
        </w:rPr>
        <w:fldChar w:fldCharType="begin" w:fldLock="1"/>
      </w:r>
      <w:r w:rsidR="00F8756B" w:rsidRPr="00E030F1">
        <w:rPr>
          <w:color w:val="000000" w:themeColor="text1"/>
        </w:rPr>
        <w:instrText>ADDIN CSL_CITATION {"citationItems":[{"id":"ITEM-1","itemData":{"DOI":"10.15252/EMBR.201846975","ISSN":"1469-3178","abstract":"© 2019 The Authors  The ubiquitin ligase Highwire restrains synaptic growth and promotes evoked neurotransmission at NMJ synapses in Drosophila. Highwire regulates synaptic morphology by downregulating the MAP3K Wallenda, but excess Wallenda signaling does not account for the decreased presynaptic release observed in highwire mutants. Hence, Highwire likely has a second substrate that inhibits neurotransmission. Highwire targets the NAD + biosynthetic and axoprotective enzyme dNmnat to regulate axonal injury responses. dNmnat localizes to synapses and interacts with the active zone protein Bruchpilot, leading us to hypothesize that Highwire promotes evoked release by downregulating dNmnat. Here, we show that excess dNmnat is necessary in highwire mutants and sufficient in wild-type larvae to reduce quantal content, likely via disruption of active zone ultrastructure. Catalytically active dNmnat is required to drive defects in evoked release, and depletion of a second NAD + synthesizing enzyme is sufficient to suppress these defects in highwire mutants, suggesting that excess NAD + biosynthesis is the mechanism inhibiting neurotransmission. Thus, Highwire downregulates dNmnat to promote evoked synaptic release, suggesting that Highwire balances the axoprotective and synapse-inhibitory functions of dNmnat.","author":[{"dropping-particle":"","family":"Russo","given":"Alexandra","non-dropping-particle":"","parse-names":false,"suffix":""},{"dropping-particle":"","family":"Goel","given":"Pragya","non-dropping-particle":"","parse-names":false,"suffix":""},{"dropping-particle":"","family":"Brace","given":"EJ","non-dropping-particle":"","parse-names":false,"suffix":""},{"dropping-particle":"","family":"Buser","given":"Chris","non-dropping-particle":"","parse-names":false,"suffix":""},{"dropping-particle":"","family":"Dickman","given":"Dion","non-dropping-particle":"","parse-names":false,"suffix":""},{"dropping-particle":"","family":"DiAntonio","given":"Aaron","non-dropping-particle":"","parse-names":false,"suffix":""}],"container-title":"EMBO reports","id":"ITEM-1","issue":"3","issued":{"date-parts":[["2019","3","1"]]},"page":"e46975","publisher":"John Wiley &amp; Sons, Ltd","title":"The E3 ligase Highwire promotes synaptic transmission by targeting the NAD-synthesizing enzyme dNmnat","type":"article-journal","volume":"20"},"uris":["http://www.mendeley.com/documents/?uuid=422a9404-3004-3622-8ee4-f10a8f82d186","http://www.mendeley.com/documents/?uuid=1226aeca-3bec-4102-a59b-8e2ae83dc64a"]}],"mendeley":{"formattedCitation":"[29]","plainTextFormattedCitation":"[29]","previouslyFormattedCitation":"[28]"},"properties":{"noteIndex":0},"schema":"https://github.com/citation-style-language/schema/raw/master/csl-citation.json"}</w:instrText>
      </w:r>
      <w:r w:rsidR="00B7524A" w:rsidRPr="00E030F1">
        <w:rPr>
          <w:color w:val="000000" w:themeColor="text1"/>
        </w:rPr>
        <w:fldChar w:fldCharType="separate"/>
      </w:r>
      <w:r w:rsidR="00F8756B" w:rsidRPr="00E030F1">
        <w:rPr>
          <w:noProof/>
          <w:color w:val="000000" w:themeColor="text1"/>
        </w:rPr>
        <w:t>[29]</w:t>
      </w:r>
      <w:r w:rsidR="00B7524A" w:rsidRPr="00E030F1">
        <w:rPr>
          <w:color w:val="000000" w:themeColor="text1"/>
        </w:rPr>
        <w:fldChar w:fldCharType="end"/>
      </w:r>
      <w:r w:rsidRPr="00E030F1">
        <w:rPr>
          <w:color w:val="000000" w:themeColor="text1"/>
        </w:rPr>
        <w:t xml:space="preserve">. </w:t>
      </w:r>
      <w:r w:rsidR="00B7524A" w:rsidRPr="00E030F1">
        <w:rPr>
          <w:color w:val="000000" w:themeColor="text1"/>
        </w:rPr>
        <w:t>In addition, o</w:t>
      </w:r>
      <w:r w:rsidRPr="00E030F1">
        <w:rPr>
          <w:color w:val="000000" w:themeColor="text1"/>
        </w:rPr>
        <w:t>ver-expression of NMNAT in</w:t>
      </w:r>
      <w:r w:rsidR="00B7524A" w:rsidRPr="00E030F1">
        <w:rPr>
          <w:color w:val="000000" w:themeColor="text1"/>
        </w:rPr>
        <w:t xml:space="preserve"> a wild type background</w:t>
      </w:r>
      <w:r w:rsidRPr="00E030F1">
        <w:rPr>
          <w:color w:val="000000" w:themeColor="text1"/>
        </w:rPr>
        <w:t xml:space="preserve"> </w:t>
      </w:r>
      <w:r w:rsidR="00B7524A" w:rsidRPr="00E030F1">
        <w:rPr>
          <w:color w:val="000000" w:themeColor="text1"/>
        </w:rPr>
        <w:t xml:space="preserve">dampens evoked release from motor neurons </w:t>
      </w:r>
      <w:r w:rsidR="00B7524A" w:rsidRPr="00E030F1">
        <w:rPr>
          <w:color w:val="000000" w:themeColor="text1"/>
        </w:rPr>
        <w:fldChar w:fldCharType="begin" w:fldLock="1"/>
      </w:r>
      <w:r w:rsidR="00F8756B" w:rsidRPr="00E030F1">
        <w:rPr>
          <w:color w:val="000000" w:themeColor="text1"/>
        </w:rPr>
        <w:instrText>ADDIN CSL_CITATION {"citationItems":[{"id":"ITEM-1","itemData":{"DOI":"10.15252/EMBR.201846975","ISSN":"1469-3178","abstract":"© 2019 The Authors  The ubiquitin ligase Highwire restrains synaptic growth and promotes evoked neurotransmission at NMJ synapses in Drosophila. Highwire regulates synaptic morphology by downregulating the MAP3K Wallenda, but excess Wallenda signaling does not account for the decreased presynaptic release observed in highwire mutants. Hence, Highwire likely has a second substrate that inhibits neurotransmission. Highwire targets the NAD + biosynthetic and axoprotective enzyme dNmnat to regulate axonal injury responses. dNmnat localizes to synapses and interacts with the active zone protein Bruchpilot, leading us to hypothesize that Highwire promotes evoked release by downregulating dNmnat. Here, we show that excess dNmnat is necessary in highwire mutants and sufficient in wild-type larvae to reduce quantal content, likely via disruption of active zone ultrastructure. Catalytically active dNmnat is required to drive defects in evoked release, and depletion of a second NAD + synthesizing enzyme is sufficient to suppress these defects in highwire mutants, suggesting that excess NAD + biosynthesis is the mechanism inhibiting neurotransmission. Thus, Highwire downregulates dNmnat to promote evoked synaptic release, suggesting that Highwire balances the axoprotective and synapse-inhibitory functions of dNmnat.","author":[{"dropping-particle":"","family":"Russo","given":"Alexandra","non-dropping-particle":"","parse-names":false,"suffix":""},{"dropping-particle":"","family":"Goel","given":"Pragya","non-dropping-particle":"","parse-names":false,"suffix":""},{"dropping-particle":"","family":"Brace","given":"EJ","non-dropping-particle":"","parse-names":false,"suffix":""},{"dropping-particle":"","family":"Buser","given":"Chris","non-dropping-particle":"","parse-names":false,"suffix":""},{"dropping-particle":"","family":"Dickman","given":"Dion","non-dropping-particle":"","parse-names":false,"suffix":""},{"dropping-particle":"","family":"DiAntonio","given":"Aaron","non-dropping-particle":"","parse-names":false,"suffix":""}],"container-title":"EMBO reports","id":"ITEM-1","issue":"3","issued":{"date-parts":[["2019","3","1"]]},"page":"e46975","publisher":"John Wiley &amp; Sons, Ltd","title":"The E3 ligase Highwire promotes synaptic transmission by targeting the NAD-synthesizing enzyme dNmnat","type":"article-journal","volume":"20"},"uris":["http://www.mendeley.com/documents/?uuid=1226aeca-3bec-4102-a59b-8e2ae83dc64a","http://www.mendeley.com/documents/?uuid=422a9404-3004-3622-8ee4-f10a8f82d186"]}],"mendeley":{"formattedCitation":"[29]","plainTextFormattedCitation":"[29]","previouslyFormattedCitation":"[28]"},"properties":{"noteIndex":0},"schema":"https://github.com/citation-style-language/schema/raw/master/csl-citation.json"}</w:instrText>
      </w:r>
      <w:r w:rsidR="00B7524A" w:rsidRPr="00E030F1">
        <w:rPr>
          <w:color w:val="000000" w:themeColor="text1"/>
        </w:rPr>
        <w:fldChar w:fldCharType="separate"/>
      </w:r>
      <w:r w:rsidR="00F8756B" w:rsidRPr="00E030F1">
        <w:rPr>
          <w:noProof/>
          <w:color w:val="000000" w:themeColor="text1"/>
        </w:rPr>
        <w:t>[29]</w:t>
      </w:r>
      <w:r w:rsidR="00B7524A" w:rsidRPr="00E030F1">
        <w:rPr>
          <w:color w:val="000000" w:themeColor="text1"/>
        </w:rPr>
        <w:fldChar w:fldCharType="end"/>
      </w:r>
      <w:r w:rsidRPr="00E030F1">
        <w:rPr>
          <w:color w:val="000000" w:themeColor="text1"/>
        </w:rPr>
        <w:t xml:space="preserve">. Indeed, we found that by driving additional NMNAT expression in motor neurons in a </w:t>
      </w:r>
      <w:proofErr w:type="spellStart"/>
      <w:r w:rsidRPr="00E030F1">
        <w:rPr>
          <w:color w:val="000000" w:themeColor="text1"/>
        </w:rPr>
        <w:t>Tmep</w:t>
      </w:r>
      <w:proofErr w:type="spellEnd"/>
      <w:r w:rsidRPr="00E030F1">
        <w:rPr>
          <w:color w:val="000000" w:themeColor="text1"/>
        </w:rPr>
        <w:t xml:space="preserve"> RNAi background, crawling behavior was restored to control levels</w:t>
      </w:r>
      <w:r w:rsidR="00E303BD" w:rsidRPr="00E030F1">
        <w:rPr>
          <w:color w:val="000000" w:themeColor="text1"/>
        </w:rPr>
        <w:t xml:space="preserve"> (Fig 5</w:t>
      </w:r>
      <w:r w:rsidR="00D11101" w:rsidRPr="00E030F1">
        <w:rPr>
          <w:color w:val="000000" w:themeColor="text1"/>
        </w:rPr>
        <w:t>c-d</w:t>
      </w:r>
      <w:r w:rsidR="00E303BD" w:rsidRPr="00E030F1">
        <w:rPr>
          <w:color w:val="000000" w:themeColor="text1"/>
        </w:rPr>
        <w:t>)</w:t>
      </w:r>
      <w:r w:rsidRPr="00E030F1">
        <w:rPr>
          <w:color w:val="000000" w:themeColor="text1"/>
        </w:rPr>
        <w:t xml:space="preserve">. While </w:t>
      </w:r>
      <w:r w:rsidR="00B7524A" w:rsidRPr="00E030F1">
        <w:rPr>
          <w:color w:val="000000" w:themeColor="text1"/>
        </w:rPr>
        <w:t>our data</w:t>
      </w:r>
      <w:r w:rsidRPr="00E030F1">
        <w:rPr>
          <w:color w:val="000000" w:themeColor="text1"/>
        </w:rPr>
        <w:t xml:space="preserve"> does not </w:t>
      </w:r>
      <w:r w:rsidR="00B7524A" w:rsidRPr="00E030F1">
        <w:rPr>
          <w:color w:val="000000" w:themeColor="text1"/>
        </w:rPr>
        <w:t xml:space="preserve">definitively </w:t>
      </w:r>
      <w:r w:rsidRPr="00E030F1">
        <w:rPr>
          <w:color w:val="000000" w:themeColor="text1"/>
        </w:rPr>
        <w:t xml:space="preserve">prove that NMNAT is directly regulated by </w:t>
      </w:r>
      <w:proofErr w:type="spellStart"/>
      <w:r w:rsidRPr="00E030F1">
        <w:rPr>
          <w:color w:val="000000" w:themeColor="text1"/>
        </w:rPr>
        <w:t>Tmep</w:t>
      </w:r>
      <w:proofErr w:type="spellEnd"/>
      <w:r w:rsidRPr="00E030F1">
        <w:rPr>
          <w:color w:val="000000" w:themeColor="text1"/>
        </w:rPr>
        <w:t xml:space="preserve"> (and indeed, NMNAT has many functions including </w:t>
      </w:r>
      <w:r w:rsidR="006802FB" w:rsidRPr="00E030F1">
        <w:rPr>
          <w:color w:val="000000" w:themeColor="text1"/>
        </w:rPr>
        <w:t>maint</w:t>
      </w:r>
      <w:r w:rsidR="00525ADB" w:rsidRPr="00E030F1">
        <w:rPr>
          <w:color w:val="000000" w:themeColor="text1"/>
        </w:rPr>
        <w:t>e</w:t>
      </w:r>
      <w:r w:rsidR="006802FB" w:rsidRPr="00E030F1">
        <w:rPr>
          <w:color w:val="000000" w:themeColor="text1"/>
        </w:rPr>
        <w:t>nance of</w:t>
      </w:r>
      <w:r w:rsidRPr="00E030F1">
        <w:rPr>
          <w:color w:val="000000" w:themeColor="text1"/>
        </w:rPr>
        <w:t xml:space="preserve"> axon viability</w:t>
      </w:r>
      <w:r w:rsidR="00525ADB" w:rsidRPr="00E030F1">
        <w:rPr>
          <w:color w:val="000000" w:themeColor="text1"/>
        </w:rPr>
        <w:t xml:space="preserve"> </w:t>
      </w:r>
      <w:r w:rsidR="00525ADB" w:rsidRPr="00E030F1">
        <w:rPr>
          <w:color w:val="000000" w:themeColor="text1"/>
        </w:rPr>
        <w:fldChar w:fldCharType="begin" w:fldLock="1"/>
      </w:r>
      <w:r w:rsidR="00F8756B" w:rsidRPr="00E030F1">
        <w:rPr>
          <w:color w:val="000000" w:themeColor="text1"/>
        </w:rPr>
        <w:instrText>ADDIN CSL_CITATION {"citationItems":[{"id":"ITEM-1","itemData":{"DOI":"10.1038/nn770","ISSN":"10976256","PMID":"11770485","abstract":"Axons and their synapses distal to an injury undergo rapid Wallerian degeneration, but axons in the C57BL/WldS mouse are protected. The degenerative and protective mechanisms are unknown. We identified the protective gene, which encodes an N-terminal fragment of ubiquitination factor E4B (Ube4b) fused to nicotinamide mononucleotide adenylyltransferase (Nmnat), and showed that it confers a dose-dependent block of Wallerian degeneration. Transected distal axons survived for two weeks, and neuromuscular junctions were also protected. Surprisingly, the Wld protein was located predominantly in the nucleus, indicating an indirect protective mechanism. Nmnat enzyme activity, but not NAD+ content, was increased fourfold in WldS tissues. Thus, axon protection is likely to be mediated by altered ubiquitination or pyridine nucleotide metabolism.","author":[{"dropping-particle":"","family":"Mack","given":"Till G.A.","non-dropping-particle":"","parse-names":false,"suffix":""},{"dropping-particle":"","family":"Reiner","given":"Michael","non-dropping-particle":"","parse-names":false,"suffix":""},{"dropping-particle":"","family":"Beirowski","given":"Bogdan","non-dropping-particle":"","parse-names":false,"suffix":""},{"dropping-particle":"","family":"Mi","given":"Weiqian","non-dropping-particle":"","parse-names":false,"suffix":""},{"dropping-particle":"","family":"Emanuelli","given":"Monica","non-dropping-particle":"","parse-names":false,"suffix":""},{"dropping-particle":"","family":"Wagner","given":"Diana","non-dropping-particle":"","parse-names":false,"suffix":""},{"dropping-particle":"","family":"Thomson","given":"Derek","non-dropping-particle":"","parse-names":false,"suffix":""},{"dropping-particle":"","family":"Gillingwater","given":"Tom","non-dropping-particle":"","parse-names":false,"suffix":""},{"dropping-particle":"","family":"Court","given":"Felipe","non-dropping-particle":"","parse-names":false,"suffix":""},{"dropping-particle":"","family":"Conforti","given":"Laura","non-dropping-particle":"","parse-names":false,"suffix":""},{"dropping-particle":"","family":"Fernando","given":"F. Shama","non-dropping-particle":"","parse-names":false,"suffix":""},{"dropping-particle":"","family":"Tarlton","given":"Andrea","non-dropping-particle":"","parse-names":false,"suffix":""},{"dropping-particle":"","family":"Andressen","given":"Christian","non-dropping-particle":"","parse-names":false,"suffix":""},{"dropping-particle":"","family":"Addicks","given":"Klaus","non-dropping-particle":"","parse-names":false,"suffix":""},{"dropping-particle":"","family":"Magni","given":"Giulio","non-dropping-particle":"","parse-names":false,"suffix":""},{"dropping-particle":"","family":"Ribchester","given":"Richard R.","non-dropping-particle":"","parse-names":false,"suffix":""},{"dropping-particle":"","family":"Perry","given":"V. Hugh","non-dropping-particle":"","parse-names":false,"suffix":""},{"dropping-particle":"","family":"Coleman","given":"Michael P.","non-dropping-particle":"","parse-names":false,"suffix":""}],"container-title":"Nature Neuroscience","id":"ITEM-1","issue":"12","issued":{"date-parts":[["2001","12","1"]]},"page":"1199-1206","title":"Wallerian degeneration of injured axons and synapses is delayed by a Ube4b/Nmnat chimeric gene.","type":"article-journal","volume":"4"},"uris":["http://www.mendeley.com/documents/?uuid=1a9d0d97-991f-39d5-8248-947867424f90"]},{"id":"ITEM-2","itemData":{"DOI":"10.1523/JNEUROSCI.1429-09.2009","abstract":"Axonal degeneration is a key component of a variety of neurological diseases. Studies using wld s mutant mice have demonstrated that delaying axonal degeneration slows disease course and prolongs survival in neurodegenerative disease models. The Wld s protein is normally localized to the nucleus, and contains the N terminus of ubiquitination factor Ube4b fused to full-length Nmnatl, an NAD biosynthetic enzyme. While Nmnat enzymatic activity is necessary for Wld s-mediated axonal protection, several important questions remain including whether the Ube4b component of WIl s also plays a role, and in which cellular compartment (nucleus vs cytosol) the axonal protective effects of Nmnat activity are mediated. While Nmnat alone is clearly sufficient to delay axonal degeneration in cultured neurons, we sought to determine whether it was also sufficient to promote axonal protection in vivo. Using cytNmnatl, an engineered mutant of Nmnatl localized only to the cytoplasm and axon, that provides more potent axonal protection than that afforded by WId8 or Nmnatl, we generated transgenic mice using the prion protein promoter (PrP). The sciatic nerve of these cytNmnatl transgenic mice was transected, and microscopic analysis of the distal nerve segment 7 d later revealed no evidence of axonal loss or myelin debris, indicating that Nmnat alone, without any other Wld s sequences, is all that is required to delay axonal degeneration in vivo. These results highlight the importance of understanding the mechanism of Nmnat-mediated axonal protection for the development of new treatment strategies for neurological disorders. Copyright © 2009 Society for Neuroscience.","author":[{"dropping-particle":"","family":"Sasaki","given":"Yo","non-dropping-particle":"","parse-names":false,"suffix":""},{"dropping-particle":"","family":"Vohra","given":"Bhupinder P.S.","non-dropping-particle":"","parse-names":false,"suffix":""},{"dropping-particle":"","family":"Baloh","given":"Robert H.","non-dropping-particle":"","parse-names":false,"suffix":""},{"dropping-particle":"","family":"Milbrandt","given":"Jeffrey","non-dropping-particle":"","parse-names":false,"suffix":""}],"container-title":"Journal of Neuroscience","id":"ITEM-2","issue":"20","issued":{"date-parts":[["2009","5","20"]]},"page":"6526-6534","title":"Transgenic mice expressing the nmnatl protein manifest robust delay in axonal degeneration in vivo","type":"article-journal","volume":"29"},"uris":["http://www.mendeley.com/documents/?uuid=efd0fa56-e081-3e60-b476-5cdb2ebd6a32"]},{"id":"ITEM-3","itemData":{"DOI":"10.1074/JBC.C110.193904","abstract":"Axonal degeneration is an early and important component of many neurological disorders. Overexpression of nicotinamide mononucleotide adenylyltransferase (Nmnat), a component of the slow Wallerian degeneration (Wlds) protein, protects axons from a variety of insults. We found that transduction of Nmnat protein into severed axons via virus-like particles prevented axonal degeneration. The post-injury efficacy of Nmnat indicates that its protective effects occur locally within the axon and provides an opportunity to develop novel agents to treat axonal damage. © 2010 by The American Society for Biochemistry and Molecular Biology, Inc.","author":[{"dropping-particle":"","family":"Sasaki","given":"Yo","non-dropping-particle":"","parse-names":false,"suffix":""},{"dropping-particle":"","family":"Milbrandt","given":"Jeffrey","non-dropping-particle":"","parse-names":false,"suffix":""}],"container-title":"Journal of Biological Chemistry","id":"ITEM-3","issue":"53","issued":{"date-parts":[["2010","12","31"]]},"page":"41211-41215","title":"Axonal degeneration is blocked by nicotinamide mononucleotide adenylyltransferase (Nmnat) protein transduction into transected axons","type":"article-journal","volume":"285"},"uris":["http://www.mendeley.com/documents/?uuid=86dc2489-6e6b-3ef3-9eb6-236cf1deaca5"]}],"mendeley":{"formattedCitation":"[30–32]","plainTextFormattedCitation":"[30–32]","previouslyFormattedCitation":"[29–31]"},"properties":{"noteIndex":0},"schema":"https://github.com/citation-style-language/schema/raw/master/csl-citation.json"}</w:instrText>
      </w:r>
      <w:r w:rsidR="00525ADB" w:rsidRPr="00E030F1">
        <w:rPr>
          <w:color w:val="000000" w:themeColor="text1"/>
        </w:rPr>
        <w:fldChar w:fldCharType="separate"/>
      </w:r>
      <w:r w:rsidR="00F8756B" w:rsidRPr="00E030F1">
        <w:rPr>
          <w:noProof/>
          <w:color w:val="000000" w:themeColor="text1"/>
        </w:rPr>
        <w:t>[30–32]</w:t>
      </w:r>
      <w:r w:rsidR="00525ADB" w:rsidRPr="00E030F1">
        <w:rPr>
          <w:color w:val="000000" w:themeColor="text1"/>
        </w:rPr>
        <w:fldChar w:fldCharType="end"/>
      </w:r>
      <w:r w:rsidRPr="00E030F1">
        <w:rPr>
          <w:color w:val="000000" w:themeColor="text1"/>
        </w:rPr>
        <w:t xml:space="preserve">), it supports the hypothesis that presynaptic hyperexcitability is the cause of crawling deficiencies in </w:t>
      </w:r>
      <w:proofErr w:type="spellStart"/>
      <w:r w:rsidRPr="00E030F1">
        <w:rPr>
          <w:color w:val="000000" w:themeColor="text1"/>
        </w:rPr>
        <w:t>Tmep</w:t>
      </w:r>
      <w:proofErr w:type="spellEnd"/>
      <w:r w:rsidRPr="00E030F1">
        <w:rPr>
          <w:color w:val="000000" w:themeColor="text1"/>
        </w:rPr>
        <w:t xml:space="preserve"> mutant and knockdown larvae.</w:t>
      </w:r>
      <w:r w:rsidR="00251D26" w:rsidRPr="00E030F1">
        <w:rPr>
          <w:color w:val="000000" w:themeColor="text1"/>
        </w:rPr>
        <w:t xml:space="preserve"> </w:t>
      </w:r>
    </w:p>
    <w:p w14:paraId="0608D73D" w14:textId="4613EDA7" w:rsidR="00251D26" w:rsidRPr="00E030F1" w:rsidRDefault="00251D26" w:rsidP="002A1B8E">
      <w:pPr>
        <w:widowControl w:val="0"/>
        <w:spacing w:line="480" w:lineRule="auto"/>
        <w:rPr>
          <w:color w:val="000000" w:themeColor="text1"/>
        </w:rPr>
      </w:pPr>
      <w:r w:rsidRPr="00E030F1">
        <w:rPr>
          <w:color w:val="000000" w:themeColor="text1"/>
        </w:rPr>
        <w:tab/>
        <w:t xml:space="preserve">Our data support a model in which </w:t>
      </w:r>
      <w:proofErr w:type="spellStart"/>
      <w:r w:rsidRPr="00E030F1">
        <w:rPr>
          <w:color w:val="000000" w:themeColor="text1"/>
        </w:rPr>
        <w:t>Tmep</w:t>
      </w:r>
      <w:proofErr w:type="spellEnd"/>
      <w:r w:rsidRPr="00E030F1">
        <w:rPr>
          <w:color w:val="000000" w:themeColor="text1"/>
        </w:rPr>
        <w:t xml:space="preserve">, working </w:t>
      </w:r>
      <w:r w:rsidR="00F50D4E" w:rsidRPr="00E030F1">
        <w:rPr>
          <w:color w:val="000000" w:themeColor="text1"/>
        </w:rPr>
        <w:t xml:space="preserve">in an </w:t>
      </w:r>
      <w:r w:rsidR="00FC0408" w:rsidRPr="00E030F1">
        <w:rPr>
          <w:color w:val="000000" w:themeColor="text1"/>
        </w:rPr>
        <w:t>endosom</w:t>
      </w:r>
      <w:r w:rsidR="00F50D4E" w:rsidRPr="00E030F1">
        <w:rPr>
          <w:color w:val="000000" w:themeColor="text1"/>
        </w:rPr>
        <w:t>al</w:t>
      </w:r>
      <w:r w:rsidR="00FC0408" w:rsidRPr="00E030F1">
        <w:rPr>
          <w:color w:val="000000" w:themeColor="text1"/>
        </w:rPr>
        <w:t xml:space="preserve"> or </w:t>
      </w:r>
      <w:r w:rsidR="00F50D4E" w:rsidRPr="00E030F1">
        <w:rPr>
          <w:color w:val="000000" w:themeColor="text1"/>
        </w:rPr>
        <w:t>vesicular compartment</w:t>
      </w:r>
      <w:r w:rsidRPr="00E030F1">
        <w:rPr>
          <w:color w:val="000000" w:themeColor="text1"/>
        </w:rPr>
        <w:t>, influences</w:t>
      </w:r>
      <w:r w:rsidR="00FB3F03" w:rsidRPr="00E030F1">
        <w:rPr>
          <w:color w:val="000000" w:themeColor="text1"/>
        </w:rPr>
        <w:t xml:space="preserve"> excitability through the regulation of calcium levels at presynaptic terminals. While </w:t>
      </w:r>
      <w:r w:rsidR="005A7D91" w:rsidRPr="00E030F1">
        <w:rPr>
          <w:color w:val="000000" w:themeColor="text1"/>
        </w:rPr>
        <w:t xml:space="preserve">the </w:t>
      </w:r>
      <w:r w:rsidR="00FB3F03" w:rsidRPr="00E030F1">
        <w:rPr>
          <w:color w:val="000000" w:themeColor="text1"/>
        </w:rPr>
        <w:t xml:space="preserve">source of the additional calcium is unknown, additional active zones per </w:t>
      </w:r>
      <w:r w:rsidR="00FB3F03" w:rsidRPr="00E030F1">
        <w:rPr>
          <w:color w:val="000000" w:themeColor="text1"/>
        </w:rPr>
        <w:lastRenderedPageBreak/>
        <w:t xml:space="preserve">bouton may contribute to this phenotype. In </w:t>
      </w:r>
      <w:proofErr w:type="spellStart"/>
      <w:r w:rsidR="00FB3F03" w:rsidRPr="00E030F1">
        <w:rPr>
          <w:color w:val="000000" w:themeColor="text1"/>
        </w:rPr>
        <w:t>Tmep</w:t>
      </w:r>
      <w:proofErr w:type="spellEnd"/>
      <w:r w:rsidR="00FB3F03" w:rsidRPr="00E030F1">
        <w:rPr>
          <w:color w:val="000000" w:themeColor="text1"/>
        </w:rPr>
        <w:t xml:space="preserve"> mutants, excess calcium and the resulting ectopic firing </w:t>
      </w:r>
      <w:r w:rsidR="002E0D55" w:rsidRPr="00E030F1">
        <w:rPr>
          <w:color w:val="000000" w:themeColor="text1"/>
        </w:rPr>
        <w:t>may cause activity-dependent synaptic overgrowth, which results in the</w:t>
      </w:r>
      <w:r w:rsidR="00FB3F03" w:rsidRPr="00E030F1">
        <w:rPr>
          <w:color w:val="000000" w:themeColor="text1"/>
        </w:rPr>
        <w:t xml:space="preserve"> appearance of additional boutons and </w:t>
      </w:r>
      <w:r w:rsidR="002E0D55" w:rsidRPr="00E030F1">
        <w:rPr>
          <w:color w:val="000000" w:themeColor="text1"/>
        </w:rPr>
        <w:t xml:space="preserve">branches. Together, these impairments reduce the coordination of muscle contractions necessary for larval locomotion </w:t>
      </w:r>
      <w:r w:rsidR="00770C90" w:rsidRPr="00E030F1">
        <w:rPr>
          <w:color w:val="000000" w:themeColor="text1"/>
        </w:rPr>
        <w:t>(Fig 5</w:t>
      </w:r>
      <w:r w:rsidR="00D11101" w:rsidRPr="00E030F1">
        <w:rPr>
          <w:color w:val="000000" w:themeColor="text1"/>
        </w:rPr>
        <w:t>e</w:t>
      </w:r>
      <w:r w:rsidR="00770C90" w:rsidRPr="00E030F1">
        <w:rPr>
          <w:color w:val="000000" w:themeColor="text1"/>
        </w:rPr>
        <w:t>)</w:t>
      </w:r>
      <w:r w:rsidRPr="00E030F1">
        <w:rPr>
          <w:color w:val="000000" w:themeColor="text1"/>
        </w:rPr>
        <w:t xml:space="preserve">. </w:t>
      </w:r>
    </w:p>
    <w:p w14:paraId="20336A1A" w14:textId="77777777" w:rsidR="002E0D55" w:rsidRPr="00E030F1" w:rsidRDefault="002E0D55" w:rsidP="002A1B8E">
      <w:pPr>
        <w:widowControl w:val="0"/>
        <w:spacing w:line="480" w:lineRule="auto"/>
        <w:rPr>
          <w:color w:val="000000" w:themeColor="text1"/>
        </w:rPr>
      </w:pPr>
    </w:p>
    <w:p w14:paraId="0000001E" w14:textId="13432364" w:rsidR="00510F8F" w:rsidRPr="00E030F1" w:rsidRDefault="007F0F85" w:rsidP="00D9450F">
      <w:pPr>
        <w:spacing w:line="480" w:lineRule="auto"/>
        <w:rPr>
          <w:b/>
          <w:color w:val="000000" w:themeColor="text1"/>
        </w:rPr>
      </w:pPr>
      <w:r w:rsidRPr="00E030F1">
        <w:rPr>
          <w:b/>
          <w:color w:val="000000" w:themeColor="text1"/>
        </w:rPr>
        <w:t>Discussion</w:t>
      </w:r>
    </w:p>
    <w:p w14:paraId="4C549E48" w14:textId="24D7F5DE" w:rsidR="00662FA3" w:rsidRPr="00E030F1" w:rsidRDefault="00FF22ED" w:rsidP="004A2596">
      <w:pPr>
        <w:spacing w:line="480" w:lineRule="auto"/>
        <w:ind w:firstLine="720"/>
        <w:rPr>
          <w:bCs/>
          <w:color w:val="000000" w:themeColor="text1"/>
        </w:rPr>
      </w:pPr>
      <w:r w:rsidRPr="00E030F1">
        <w:rPr>
          <w:bCs/>
          <w:color w:val="000000" w:themeColor="text1"/>
        </w:rPr>
        <w:t xml:space="preserve">In this work we have identified a role for </w:t>
      </w:r>
      <w:proofErr w:type="spellStart"/>
      <w:r w:rsidRPr="00E030F1">
        <w:rPr>
          <w:bCs/>
          <w:color w:val="000000" w:themeColor="text1"/>
        </w:rPr>
        <w:t>Tmep</w:t>
      </w:r>
      <w:proofErr w:type="spellEnd"/>
      <w:r w:rsidRPr="00E030F1">
        <w:rPr>
          <w:bCs/>
          <w:color w:val="000000" w:themeColor="text1"/>
        </w:rPr>
        <w:t xml:space="preserve"> in promoting proper neuromuscular junction architecture as well as </w:t>
      </w:r>
      <w:r w:rsidR="00FD5BB0" w:rsidRPr="00E030F1">
        <w:rPr>
          <w:bCs/>
          <w:color w:val="000000" w:themeColor="text1"/>
        </w:rPr>
        <w:t xml:space="preserve">restraining ectopic firing at the glutamatergic synapses of the </w:t>
      </w:r>
      <w:r w:rsidR="00C81A73" w:rsidRPr="00E030F1">
        <w:rPr>
          <w:bCs/>
          <w:i/>
          <w:color w:val="000000" w:themeColor="text1"/>
        </w:rPr>
        <w:t>Drosophila</w:t>
      </w:r>
      <w:r w:rsidR="00FD5BB0" w:rsidRPr="00E030F1">
        <w:rPr>
          <w:bCs/>
          <w:color w:val="000000" w:themeColor="text1"/>
        </w:rPr>
        <w:t xml:space="preserve"> </w:t>
      </w:r>
      <w:r w:rsidR="00133086" w:rsidRPr="00E030F1">
        <w:rPr>
          <w:bCs/>
          <w:color w:val="000000" w:themeColor="text1"/>
        </w:rPr>
        <w:t>NMJ</w:t>
      </w:r>
      <w:r w:rsidR="00FD5BB0" w:rsidRPr="00E030F1">
        <w:rPr>
          <w:bCs/>
          <w:color w:val="000000" w:themeColor="text1"/>
        </w:rPr>
        <w:t>. Excessive synaptic activity can result in epileptic syndromes. In epilepsy, excitatory-inhibitory balance is often disrupted in favor of over-excitation</w:t>
      </w:r>
      <w:r w:rsidR="007C7730" w:rsidRPr="00E030F1">
        <w:rPr>
          <w:bCs/>
          <w:color w:val="000000" w:themeColor="text1"/>
        </w:rPr>
        <w:t xml:space="preserve"> </w:t>
      </w:r>
      <w:r w:rsidR="007C7730" w:rsidRPr="00E030F1">
        <w:rPr>
          <w:bCs/>
          <w:color w:val="000000" w:themeColor="text1"/>
        </w:rPr>
        <w:fldChar w:fldCharType="begin" w:fldLock="1"/>
      </w:r>
      <w:r w:rsidR="00F8756B" w:rsidRPr="00E030F1">
        <w:rPr>
          <w:bCs/>
          <w:color w:val="000000" w:themeColor="text1"/>
        </w:rPr>
        <w:instrText>ADDIN CSL_CITATION {"citationItems":[{"id":"ITEM-1","itemData":{"DOI":"10.3389/neuro.02.005.2008","ISSN":"16625099","PMID":"18946538","abstract":"GABAA receptors mediate most of the fast inhibitory transmission in the CNS. They form heteromeric complexes assembled from a large family of subunit genes. The existence of multiple GABAA receptor subtypes differing in subunit composition, localization and functional properties underlies their role for fine-tuning of neuronal circuits and genesis of network oscillations. The differential regulation of GABAA receptor subtypes represents a major facet of homeostatic synaptic plasticity and contributes to the excitation/inhibition (E/I) balance under physiological conditions and upon pathological challenges. The purpose of this review is to discuss recent findings highlighting the significance of GABAA receptor heterogeneity for the concept of E/I balance and its relevance for epilepsy. Specifically, we address the following issues: (1) role for tonic inhibition, mediated by extrasynaptic GABAA receptors, for controlling neuronal excitability; (2) significance of chloride ion transport for maintenance of the E/I balance in adult brain; and (3) molecular mechanisms underlying GABAA receptor regulation (trafficking, posttranslational modification, gene transcription) that are important for homoeostatic plasticity. Finally, the relevance of these findings is discussed in light of the involvement of GABAA receptors in epileptic disorders, based on recent experimental studies of temporal lobe epilepsy (TLE) and absence seizures and on the identification of mutations in GABAA receptor subunit genes underlying familial forms of epilepsy. © 2008 Fritschy.","author":[{"dropping-particle":"","family":"Fritschy","given":"Jean Marc","non-dropping-particle":"","parse-names":false,"suffix":""}],"container-title":"Frontiers in Molecular Neuroscience","id":"ITEM-1","issue":"MAR","issued":{"date-parts":[["2008","3","28"]]},"publisher":"Front Mol Neurosci","title":"Epilepsy, E/I balance and GABAA receptor plasticity","type":"article-journal","volume":"1"},"uris":["http://www.mendeley.com/documents/?uuid=dcfc306a-b6c9-3fb3-8d3c-80edbb349d27","http://www.mendeley.com/documents/?uuid=3514f67a-4cd3-44f7-b1fa-5648782bbcf3"]},{"id":"ITEM-2","itemData":{"DOI":"10.1111/ejn.13595","ISSN":"14609568","PMID":"28452083","abstract":"Autism spectrum disorders (ASD) and epilepsy are common neurological diseases of childhood, with an estimated incidence of approximately 0.5–1% of the worldwide population. Several genetic, neuroimaging and neuropathological studies clearly showed that both ASD and epilepsy have developmental origins and a substantial degree of heritability. Most importantly, ASD and epilepsy frequently coexist in the same individual, suggesting a common neurodevelopmental basis for these disorders. Genome-wide association studies recently allowed for the identification of a substantial number of genes involved in ASD and epilepsy, some of which are mutated in syndromes presenting both ASD and epilepsy clinical features. At the cellular level, both preclinical and clinical studies indicate that the different genetic causes of ASD and epilepsy may converge to perturb the excitation/inhibition (E/I) balance, due to the dysfunction of excitatory and inhibitory circuits in various brain regions. Metabolic and immune dysfunctions, as well as environmental causes also contribute to ASD pathogenesis. Thus, an E/I imbalance resulting from neurodevelopmental deficits of multiple origins might represent a common pathogenic mechanism for both diseases. Here, we will review the most significant studies supporting these hypotheses. A deeper understanding of the molecular and cellular determinants of autism–epilepsy comorbidity will pave the way to the development of novel therapeutic strategies.","author":[{"dropping-particle":"","family":"Bozzi","given":"Yuri","non-dropping-particle":"","parse-names":false,"suffix":""},{"dropping-particle":"","family":"Provenzano","given":"Giovanni","non-dropping-particle":"","parse-names":false,"suffix":""},{"dropping-particle":"","family":"Casarosa","given":"Simona","non-dropping-particle":"","parse-names":false,"suffix":""}],"container-title":"European Journal of Neuroscience","id":"ITEM-2","issue":"6","issued":{"date-parts":[["2018","3","1"]]},"page":"534-548","publisher":"Eur J Neurosci","title":"Neurobiological bases of autism–epilepsy comorbidity: a focus on excitation/inhibition imbalance","type":"article-journal","volume":"47"},"uris":["http://www.mendeley.com/documents/?uuid=86f49fdb-ccdf-35e0-9c26-7c29998406e0","http://www.mendeley.com/documents/?uuid=7a64ffc8-855f-4e67-947f-f415d1432748"]}],"mendeley":{"formattedCitation":"[33, 34]","plainTextFormattedCitation":"[33, 34]","previouslyFormattedCitation":"[32, 33]"},"properties":{"noteIndex":0},"schema":"https://github.com/citation-style-language/schema/raw/master/csl-citation.json"}</w:instrText>
      </w:r>
      <w:r w:rsidR="007C7730" w:rsidRPr="00E030F1">
        <w:rPr>
          <w:bCs/>
          <w:color w:val="000000" w:themeColor="text1"/>
        </w:rPr>
        <w:fldChar w:fldCharType="separate"/>
      </w:r>
      <w:r w:rsidR="00F8756B" w:rsidRPr="00E030F1">
        <w:rPr>
          <w:bCs/>
          <w:noProof/>
          <w:color w:val="000000" w:themeColor="text1"/>
        </w:rPr>
        <w:t>[33, 34]</w:t>
      </w:r>
      <w:r w:rsidR="007C7730" w:rsidRPr="00E030F1">
        <w:rPr>
          <w:bCs/>
          <w:color w:val="000000" w:themeColor="text1"/>
        </w:rPr>
        <w:fldChar w:fldCharType="end"/>
      </w:r>
      <w:r w:rsidR="00FD5BB0" w:rsidRPr="00E030F1">
        <w:rPr>
          <w:bCs/>
          <w:color w:val="000000" w:themeColor="text1"/>
        </w:rPr>
        <w:t xml:space="preserve">. Our data indicate that </w:t>
      </w:r>
      <w:proofErr w:type="spellStart"/>
      <w:r w:rsidR="00FD5BB0" w:rsidRPr="00E030F1">
        <w:rPr>
          <w:bCs/>
          <w:color w:val="000000" w:themeColor="text1"/>
        </w:rPr>
        <w:t>Tmep</w:t>
      </w:r>
      <w:proofErr w:type="spellEnd"/>
      <w:r w:rsidR="00FD5BB0" w:rsidRPr="00E030F1">
        <w:rPr>
          <w:bCs/>
          <w:color w:val="000000" w:themeColor="text1"/>
        </w:rPr>
        <w:t xml:space="preserve"> </w:t>
      </w:r>
      <w:r w:rsidR="00FD26EB" w:rsidRPr="00E030F1">
        <w:rPr>
          <w:bCs/>
          <w:color w:val="000000" w:themeColor="text1"/>
        </w:rPr>
        <w:t>acts</w:t>
      </w:r>
      <w:r w:rsidR="00FD5BB0" w:rsidRPr="00E030F1">
        <w:rPr>
          <w:bCs/>
          <w:color w:val="000000" w:themeColor="text1"/>
        </w:rPr>
        <w:t xml:space="preserve"> </w:t>
      </w:r>
      <w:proofErr w:type="spellStart"/>
      <w:r w:rsidR="00FD5BB0" w:rsidRPr="00E030F1">
        <w:rPr>
          <w:bCs/>
          <w:color w:val="000000" w:themeColor="text1"/>
        </w:rPr>
        <w:t>presynaptically</w:t>
      </w:r>
      <w:proofErr w:type="spellEnd"/>
      <w:r w:rsidR="00FD5BB0" w:rsidRPr="00E030F1">
        <w:rPr>
          <w:bCs/>
          <w:color w:val="000000" w:themeColor="text1"/>
        </w:rPr>
        <w:t xml:space="preserve"> to ensure both the architecture of the </w:t>
      </w:r>
      <w:r w:rsidR="00133086" w:rsidRPr="00E030F1">
        <w:rPr>
          <w:bCs/>
          <w:color w:val="000000" w:themeColor="text1"/>
        </w:rPr>
        <w:t>NMJ</w:t>
      </w:r>
      <w:r w:rsidR="00FD5BB0" w:rsidRPr="00E030F1">
        <w:rPr>
          <w:bCs/>
          <w:color w:val="000000" w:themeColor="text1"/>
        </w:rPr>
        <w:t xml:space="preserve"> and the proper responses to nerve stimulation.  </w:t>
      </w:r>
      <w:r w:rsidR="009375F9" w:rsidRPr="00E030F1">
        <w:rPr>
          <w:bCs/>
          <w:color w:val="000000" w:themeColor="text1"/>
        </w:rPr>
        <w:t xml:space="preserve">Interestingly, we have recently identified human patient variants in </w:t>
      </w:r>
      <w:r w:rsidR="009375F9" w:rsidRPr="00E030F1">
        <w:rPr>
          <w:bCs/>
          <w:i/>
          <w:iCs/>
          <w:color w:val="000000" w:themeColor="text1"/>
        </w:rPr>
        <w:t>Tmem184b</w:t>
      </w:r>
      <w:r w:rsidR="009375F9" w:rsidRPr="00E030F1">
        <w:rPr>
          <w:bCs/>
          <w:color w:val="000000" w:themeColor="text1"/>
        </w:rPr>
        <w:t>, one of which causes myoclonic epilepsy as well as other neurological syndromes (K. Chapman</w:t>
      </w:r>
      <w:r w:rsidR="00F26E9F" w:rsidRPr="00E030F1">
        <w:rPr>
          <w:bCs/>
          <w:color w:val="000000" w:themeColor="text1"/>
        </w:rPr>
        <w:t xml:space="preserve"> and S. Berger</w:t>
      </w:r>
      <w:r w:rsidR="009375F9" w:rsidRPr="00E030F1">
        <w:rPr>
          <w:bCs/>
          <w:color w:val="000000" w:themeColor="text1"/>
        </w:rPr>
        <w:t xml:space="preserve">, personal communication). We hope to delve further into the links between Tmem184b structure, function, and excitability in the future by analyzing the effect of known patient variants on the phenotypes we describe in this </w:t>
      </w:r>
      <w:r w:rsidR="00F26E9F" w:rsidRPr="00E030F1">
        <w:rPr>
          <w:bCs/>
          <w:color w:val="000000" w:themeColor="text1"/>
        </w:rPr>
        <w:t>manuscript</w:t>
      </w:r>
      <w:r w:rsidR="009375F9" w:rsidRPr="00E030F1">
        <w:rPr>
          <w:bCs/>
          <w:color w:val="000000" w:themeColor="text1"/>
        </w:rPr>
        <w:t xml:space="preserve">.  </w:t>
      </w:r>
    </w:p>
    <w:p w14:paraId="2CD3B951" w14:textId="26C4B658" w:rsidR="006066A4" w:rsidRPr="00E030F1" w:rsidRDefault="008F6FE7" w:rsidP="00E01160">
      <w:pPr>
        <w:spacing w:line="480" w:lineRule="auto"/>
        <w:ind w:firstLine="720"/>
        <w:rPr>
          <w:color w:val="000000" w:themeColor="text1"/>
        </w:rPr>
      </w:pPr>
      <w:r w:rsidRPr="00E030F1">
        <w:rPr>
          <w:color w:val="000000" w:themeColor="text1"/>
        </w:rPr>
        <w:t xml:space="preserve">While we </w:t>
      </w:r>
      <w:r w:rsidR="00724170" w:rsidRPr="00E030F1">
        <w:rPr>
          <w:color w:val="000000" w:themeColor="text1"/>
        </w:rPr>
        <w:t>do not yet</w:t>
      </w:r>
      <w:r w:rsidRPr="00E030F1">
        <w:rPr>
          <w:color w:val="000000" w:themeColor="text1"/>
        </w:rPr>
        <w:t xml:space="preserve"> precisely </w:t>
      </w:r>
      <w:r w:rsidR="00724170" w:rsidRPr="00E030F1">
        <w:rPr>
          <w:color w:val="000000" w:themeColor="text1"/>
        </w:rPr>
        <w:t>know</w:t>
      </w:r>
      <w:r w:rsidRPr="00E030F1">
        <w:rPr>
          <w:color w:val="000000" w:themeColor="text1"/>
        </w:rPr>
        <w:t xml:space="preserve"> the nature of </w:t>
      </w:r>
      <w:proofErr w:type="spellStart"/>
      <w:r w:rsidRPr="00E030F1">
        <w:rPr>
          <w:color w:val="000000" w:themeColor="text1"/>
        </w:rPr>
        <w:t>Tmep’s</w:t>
      </w:r>
      <w:proofErr w:type="spellEnd"/>
      <w:r w:rsidRPr="00E030F1">
        <w:rPr>
          <w:color w:val="000000" w:themeColor="text1"/>
        </w:rPr>
        <w:t xml:space="preserve"> contribution to synaptic hyperexcitability, we speculate that it controls a </w:t>
      </w:r>
      <w:r w:rsidR="00D72715" w:rsidRPr="00E030F1">
        <w:rPr>
          <w:color w:val="000000" w:themeColor="text1"/>
        </w:rPr>
        <w:t>membrane trafficking function</w:t>
      </w:r>
      <w:r w:rsidRPr="00E030F1">
        <w:rPr>
          <w:color w:val="000000" w:themeColor="text1"/>
        </w:rPr>
        <w:t xml:space="preserve"> at the presynaptic terminal. </w:t>
      </w:r>
      <w:r w:rsidR="007B5602" w:rsidRPr="00E030F1">
        <w:rPr>
          <w:color w:val="000000" w:themeColor="text1"/>
        </w:rPr>
        <w:t xml:space="preserve">We found that </w:t>
      </w:r>
      <w:proofErr w:type="spellStart"/>
      <w:r w:rsidR="007B5602" w:rsidRPr="00E030F1">
        <w:rPr>
          <w:color w:val="000000" w:themeColor="text1"/>
        </w:rPr>
        <w:t>Tmep</w:t>
      </w:r>
      <w:proofErr w:type="spellEnd"/>
      <w:r w:rsidR="007B5602" w:rsidRPr="00E030F1">
        <w:rPr>
          <w:color w:val="000000" w:themeColor="text1"/>
        </w:rPr>
        <w:t xml:space="preserve">, like mouse </w:t>
      </w:r>
      <w:r w:rsidR="00F26E9F" w:rsidRPr="00E030F1">
        <w:rPr>
          <w:color w:val="000000" w:themeColor="text1"/>
        </w:rPr>
        <w:t>TMEM184B</w:t>
      </w:r>
      <w:r w:rsidR="007B5602" w:rsidRPr="00E030F1">
        <w:rPr>
          <w:color w:val="000000" w:themeColor="text1"/>
        </w:rPr>
        <w:t xml:space="preserve"> </w:t>
      </w:r>
      <w:r w:rsidR="007B5602"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mendeley":{"formattedCitation":"[17]","plainTextFormattedCitation":"[17]","previouslyFormattedCitation":"[17]"},"properties":{"noteIndex":0},"schema":"https://github.com/citation-style-language/schema/raw/master/csl-citation.json"}</w:instrText>
      </w:r>
      <w:r w:rsidR="007B5602" w:rsidRPr="00E030F1">
        <w:rPr>
          <w:color w:val="000000" w:themeColor="text1"/>
        </w:rPr>
        <w:fldChar w:fldCharType="separate"/>
      </w:r>
      <w:r w:rsidR="00D4585F" w:rsidRPr="00E030F1">
        <w:rPr>
          <w:noProof/>
          <w:color w:val="000000" w:themeColor="text1"/>
        </w:rPr>
        <w:t>[17]</w:t>
      </w:r>
      <w:r w:rsidR="007B5602" w:rsidRPr="00E030F1">
        <w:rPr>
          <w:color w:val="000000" w:themeColor="text1"/>
        </w:rPr>
        <w:fldChar w:fldCharType="end"/>
      </w:r>
      <w:r w:rsidR="007B5602" w:rsidRPr="00E030F1">
        <w:rPr>
          <w:color w:val="000000" w:themeColor="text1"/>
        </w:rPr>
        <w:t xml:space="preserve">, is localized to endosomal compartments. </w:t>
      </w:r>
      <w:r w:rsidR="009A79E9" w:rsidRPr="00E030F1">
        <w:rPr>
          <w:color w:val="000000" w:themeColor="text1"/>
        </w:rPr>
        <w:t>Interestingly, we see</w:t>
      </w:r>
      <w:r w:rsidR="007B5602" w:rsidRPr="00E030F1">
        <w:rPr>
          <w:color w:val="000000" w:themeColor="text1"/>
        </w:rPr>
        <w:t xml:space="preserve"> significant co-localization </w:t>
      </w:r>
      <w:r w:rsidR="009A79E9" w:rsidRPr="00E030F1">
        <w:rPr>
          <w:color w:val="000000" w:themeColor="text1"/>
        </w:rPr>
        <w:t xml:space="preserve">of </w:t>
      </w:r>
      <w:proofErr w:type="spellStart"/>
      <w:r w:rsidR="009A79E9" w:rsidRPr="00E030F1">
        <w:rPr>
          <w:color w:val="000000" w:themeColor="text1"/>
        </w:rPr>
        <w:t>Tmep</w:t>
      </w:r>
      <w:proofErr w:type="spellEnd"/>
      <w:r w:rsidR="009A79E9" w:rsidRPr="00E030F1">
        <w:rPr>
          <w:color w:val="000000" w:themeColor="text1"/>
        </w:rPr>
        <w:t xml:space="preserve"> </w:t>
      </w:r>
      <w:r w:rsidR="007B5602" w:rsidRPr="00E030F1">
        <w:rPr>
          <w:color w:val="000000" w:themeColor="text1"/>
        </w:rPr>
        <w:t>with n-</w:t>
      </w:r>
      <w:proofErr w:type="spellStart"/>
      <w:r w:rsidR="007B5602" w:rsidRPr="00E030F1">
        <w:rPr>
          <w:color w:val="000000" w:themeColor="text1"/>
        </w:rPr>
        <w:t>Syb</w:t>
      </w:r>
      <w:proofErr w:type="spellEnd"/>
      <w:r w:rsidR="00E01160" w:rsidRPr="00E030F1">
        <w:rPr>
          <w:color w:val="000000" w:themeColor="text1"/>
        </w:rPr>
        <w:t>, a protein present on both endosomes and synaptic vesicles</w:t>
      </w:r>
      <w:r w:rsidR="009A79E9" w:rsidRPr="00E030F1">
        <w:rPr>
          <w:color w:val="000000" w:themeColor="text1"/>
        </w:rPr>
        <w:t xml:space="preserve">. </w:t>
      </w:r>
      <w:r w:rsidR="007B5602" w:rsidRPr="00E030F1">
        <w:rPr>
          <w:color w:val="000000" w:themeColor="text1"/>
        </w:rPr>
        <w:t>Loss of n-</w:t>
      </w:r>
      <w:proofErr w:type="spellStart"/>
      <w:r w:rsidR="007B5602" w:rsidRPr="00E030F1">
        <w:rPr>
          <w:color w:val="000000" w:themeColor="text1"/>
        </w:rPr>
        <w:t>Syb</w:t>
      </w:r>
      <w:proofErr w:type="spellEnd"/>
      <w:r w:rsidR="007B5602" w:rsidRPr="00E030F1">
        <w:rPr>
          <w:color w:val="000000" w:themeColor="text1"/>
        </w:rPr>
        <w:t xml:space="preserve"> causes the accumulation of endosomes</w:t>
      </w:r>
      <w:r w:rsidR="009A79E9" w:rsidRPr="00E030F1">
        <w:rPr>
          <w:color w:val="000000" w:themeColor="text1"/>
        </w:rPr>
        <w:t xml:space="preserve"> </w:t>
      </w:r>
      <w:r w:rsidR="009A79E9" w:rsidRPr="00E030F1">
        <w:rPr>
          <w:color w:val="000000" w:themeColor="text1"/>
        </w:rPr>
        <w:fldChar w:fldCharType="begin" w:fldLock="1"/>
      </w:r>
      <w:r w:rsidR="00695052" w:rsidRPr="00E030F1">
        <w:rPr>
          <w:color w:val="000000" w:themeColor="text1"/>
        </w:rPr>
        <w:instrText>ADDIN CSL_CITATION {"citationItems":[{"id":"ITEM-1","itemData":{"DOI":"10.1083/jcb.201108088","ISSN":"00219525","PMID":"22270918","abstract":"Soluble NSF attachment protein receptors (SNAREs) are the core proteins in membrane fusion. The neuron-specific synaptic v-SNARE n-syb (neuronal Synaptobrevin) plays a key role during synaptic vesicle exocytosis. In this paper, we report that loss of n-syb caused slow neurodegeneration independent of its role in neurotransmitter release in adult Drosophila melanogaster photoreceptor neurons. In addition to synaptic vesicles, n-Syb localized to endosomal vesicles. Loss of n-syb lead to endosomal accumulations, transmembrane protein degradation defects, and a secondary increase in autophagy. Our evidence suggests a primary defect of impaired delivery of vesicles that contain degradation proteins, including the acidification-activated Cathepsin proteases and the neuron-specific proton pump and V0 adenosine triphosphatase component V100. Overexpressing V100 partially rescued n-syb-dependent degeneration through an acidification-independent endosomal sorting mechanism. Collectively, these findings reveal a role for n-Syb in a neuron-specific sortand- degrade mechanism that protects neurons from degeneration. Our findings further shed light on which intraneuronal compartments exhibit increased or decreased neurotoxicity. © 2012 Haberman et al.","author":[{"dropping-particle":"","family":"Haberman","given":"Adam","non-dropping-particle":"","parse-names":false,"suffix":""},{"dropping-particle":"","family":"Williamson","given":"W. Ryan","non-dropping-particle":"","parse-names":false,"suffix":""},{"dropping-particle":"","family":"Epstein","given":"Daniel","non-dropping-particle":"","parse-names":false,"suffix":""},{"dropping-particle":"","family":"Wang","given":"Dong","non-dropping-particle":"","parse-names":false,"suffix":""},{"dropping-particle":"","family":"Rina","given":"Srisha","non-dropping-particle":"","parse-names":false,"suffix":""},{"dropping-particle":"","family":"Meinertzhagen","given":"Ian A.","non-dropping-particle":"","parse-names":false,"suffix":""},{"dropping-particle":"","family":"Hiesinger","given":"P. Robin","non-dropping-particle":"","parse-names":false,"suffix":""}],"container-title":"Journal of Cell Biology","id":"ITEM-1","issue":"2","issued":{"date-parts":[["2012","1"]]},"page":"261-276","publisher":"J Cell Biol","title":"The synaptic vesicle SNARE neuronal synaptobrevin promotes endolysosomal degradation and prevents neurodegeneration","type":"article-journal","volume":"196"},"uris":["http://www.mendeley.com/documents/?uuid=2a9740be-ef46-31a9-bea5-f6ac82ef96aa"]}],"mendeley":{"formattedCitation":"[20]","plainTextFormattedCitation":"[20]","previouslyFormattedCitation":"[20]"},"properties":{"noteIndex":0},"schema":"https://github.com/citation-style-language/schema/raw/master/csl-citation.json"}</w:instrText>
      </w:r>
      <w:r w:rsidR="009A79E9" w:rsidRPr="00E030F1">
        <w:rPr>
          <w:color w:val="000000" w:themeColor="text1"/>
        </w:rPr>
        <w:fldChar w:fldCharType="separate"/>
      </w:r>
      <w:r w:rsidR="008A4689" w:rsidRPr="00E030F1">
        <w:rPr>
          <w:noProof/>
          <w:color w:val="000000" w:themeColor="text1"/>
        </w:rPr>
        <w:t>[20]</w:t>
      </w:r>
      <w:r w:rsidR="009A79E9" w:rsidRPr="00E030F1">
        <w:rPr>
          <w:color w:val="000000" w:themeColor="text1"/>
        </w:rPr>
        <w:fldChar w:fldCharType="end"/>
      </w:r>
      <w:r w:rsidR="007B5602" w:rsidRPr="00E030F1">
        <w:rPr>
          <w:color w:val="000000" w:themeColor="text1"/>
        </w:rPr>
        <w:t xml:space="preserve">, a phenotype reminiscent of </w:t>
      </w:r>
      <w:r w:rsidR="006066A4" w:rsidRPr="00E030F1">
        <w:rPr>
          <w:color w:val="000000" w:themeColor="text1"/>
        </w:rPr>
        <w:t xml:space="preserve">the </w:t>
      </w:r>
      <w:proofErr w:type="spellStart"/>
      <w:r w:rsidR="006066A4" w:rsidRPr="00E030F1">
        <w:rPr>
          <w:color w:val="000000" w:themeColor="text1"/>
        </w:rPr>
        <w:t>endolysosomal</w:t>
      </w:r>
      <w:proofErr w:type="spellEnd"/>
      <w:r w:rsidR="006066A4" w:rsidRPr="00E030F1">
        <w:rPr>
          <w:color w:val="000000" w:themeColor="text1"/>
        </w:rPr>
        <w:t xml:space="preserve"> accumulations </w:t>
      </w:r>
      <w:r w:rsidR="007B5602" w:rsidRPr="00E030F1">
        <w:rPr>
          <w:color w:val="000000" w:themeColor="text1"/>
        </w:rPr>
        <w:t xml:space="preserve">seen in mouse </w:t>
      </w:r>
      <w:r w:rsidR="009A79E9" w:rsidRPr="00E030F1">
        <w:rPr>
          <w:i/>
          <w:iCs/>
          <w:color w:val="000000" w:themeColor="text1"/>
        </w:rPr>
        <w:t>TMEM184B</w:t>
      </w:r>
      <w:r w:rsidR="007B5602" w:rsidRPr="00E030F1">
        <w:rPr>
          <w:color w:val="000000" w:themeColor="text1"/>
        </w:rPr>
        <w:t xml:space="preserve"> mutants</w:t>
      </w:r>
      <w:r w:rsidR="006066A4" w:rsidRPr="00E030F1">
        <w:rPr>
          <w:color w:val="000000" w:themeColor="text1"/>
        </w:rPr>
        <w:t>.</w:t>
      </w:r>
      <w:r w:rsidR="00EA02F5" w:rsidRPr="00E030F1">
        <w:rPr>
          <w:color w:val="000000" w:themeColor="text1"/>
        </w:rPr>
        <w:t xml:space="preserve"> </w:t>
      </w:r>
      <w:r w:rsidR="00FF2031" w:rsidRPr="00E030F1">
        <w:rPr>
          <w:color w:val="000000" w:themeColor="text1"/>
        </w:rPr>
        <w:t xml:space="preserve">Along with the role of the yeast ortholog Hfl1 in vacuolar degradation </w:t>
      </w:r>
      <w:r w:rsidR="00FF2031" w:rsidRPr="00E030F1">
        <w:rPr>
          <w:color w:val="000000" w:themeColor="text1"/>
        </w:rPr>
        <w:fldChar w:fldCharType="begin" w:fldLock="1"/>
      </w:r>
      <w:r w:rsidR="00F8756B" w:rsidRPr="00E030F1">
        <w:rPr>
          <w:color w:val="000000" w:themeColor="text1"/>
        </w:rPr>
        <w:instrText>ADDIN CSL_CITATION {"citationItems":[{"id":"ITEM-1","itemData":{"DOI":"10.7554/eLife.41237","ISSN":"2050084X","abstract":"The ubiquitin-like protein Atg8, in its lipidated form, plays central roles in autophagy. Yet, remarkably, Atg8 also carries out lipidation-independent functions in non-autophagic processes. How Atg8 performs its moonlighting roles is unclear. Here we report that in the fission yeast Schizosaccharomyces pombe and the budding yeast Saccharomyces cerevisiae, the lipidation-independent roles of Atg8 in maintaining normal morphology and functions of the vacuole require its interaction with a vacuole membrane protein Hfl1 (homolog of human TMEM184 proteins). Crystal structures revealed that the Atg8-Hfl1 interaction is not mediated by the typical Atg8-family-interacting motif (AIM) that forms an intermolecular b-sheet with Atg8. Instead, the Atg8-binding regions in Hfl1 proteins adopt a helical conformation, thus representing a new type of AIMs (termed helical AIMs here). These results deepen our understanding of both the functional versatility of Atg8 and the mechanistic diversity of Atg8 binding.","author":[{"dropping-particle":"","family":"Liu","given":"Xiao Man","non-dropping-particle":"","parse-names":false,"suffix":""},{"dropping-particle":"","family":"Yamasaki","given":"Akinori","non-dropping-particle":"","parse-names":false,"suffix":""},{"dropping-particle":"","family":"Du","given":"Xiao Min","non-dropping-particle":"","parse-names":false,"suffix":""},{"dropping-particle":"","family":"Coffman","given":"Valerie C.","non-dropping-particle":"","parse-names":false,"suffix":""},{"dropping-particle":"","family":"Ohsumi","given":"Yoshinori","non-dropping-particle":"","parse-names":false,"suffix":""},{"dropping-particle":"","family":"Nakatogawa","given":"Hitoshi","non-dropping-particle":"","parse-names":false,"suffix":""},{"dropping-particle":"","family":"Wu","given":"Jian Qiu","non-dropping-particle":"","parse-names":false,"suffix":""},{"dropping-particle":"","family":"Noda","given":"Nobuo N.","non-dropping-particle":"","parse-names":false,"suffix":""},{"dropping-particle":"","family":"Du","given":"Li Lin","non-dropping-particle":"","parse-names":false,"suffix":""}],"container-title":"eLife","id":"ITEM-1","issued":{"date-parts":[["2018"]]},"page":"1-21","title":"Lipidation-independent vacuolar functions of atg8 rely on its noncanonical interaction with a vacuole membrane protein","type":"article-journal","volume":"7"},"uris":["http://www.mendeley.com/documents/?uuid=5c6c81e2-3baa-45b5-bb5b-dade4fe636c8","http://www.mendeley.com/documents/?uuid=6abf02ac-5124-416f-b4d8-4bf79afb96a2"]},{"id":"ITEM-2","itemData":{"DOI":"10.1186/s12915-021-01048-7","ISSN":"17417007","PMID":"34088313","abstract":"Background: The vacuole/lysosome is the final destination of autophagic pathways, but can also itself be degraded in whole or in part by selective macroautophagic or microautophagic processes. Diverse molecular mechanisms are involved in these processes, the characterization of which has lagged behind those of ATG-dependent macroautophagy and ESCRT-dependent endosomal multivesicular body pathways. Results: Here we show that as yeast cells gradually exhaust available nutrients and approach stationary phase, multiple vacuolar integral membrane proteins with unrelated functions are degraded in the vacuolar lumen. This degradation depends on the ESCRT machinery, but does not strictly require ubiquitination of cargos or trafficking of cargos out of the vacuole. It is also temporally and mechanistically distinct from NPC-dependent microlipophagy. The turnover is facilitated by Atg8, an exception among autophagy proteins, and an Atg8-interacting vacuolar membrane protein, Hfl1. Lack of Atg8 or Hfl1 led to the accumulation of enlarged lumenal membrane structures in the vacuole. We further show that a key function of Hfl1 is the membrane recruitment of Atg8. In the presence of Hfl1, lipidation of Atg8 is not required for efficient cargo turnover. The need for Hfl1 can be partially bypassed by blocking Atg8 delipidation. Conclusions: Our data reveal a vacuolar membrane protein degradation process with a unique dependence on vacuole-associated Atg8 downstream of ESCRTs, and we identify a specific role of Hfl1, a protein conserved from yeast to plants and animals, in membrane targeting of Atg8.","author":[{"dropping-particle":"","family":"He","given":"Cheng Wen","non-dropping-particle":"","parse-names":false,"suffix":""},{"dropping-particle":"","family":"Cui","given":"Xue Fei","non-dropping-particle":"","parse-names":false,"suffix":""},{"dropping-particle":"","family":"Ma","given":"Shao Jie","non-dropping-particle":"","parse-names":false,"suffix":""},{"dropping-particle":"","family":"Xu","given":"Qin","non-dropping-particle":"","parse-names":false,"suffix":""},{"dropping-particle":"","family":"Ran","given":"Yan Peng","non-dropping-particle":"","parse-names":false,"suffix":""},{"dropping-particle":"","family":"Chen","given":"Wei Zhi","non-dropping-particle":"","parse-names":false,"suffix":""},{"dropping-particle":"","family":"Mu","given":"Jun Xi","non-dropping-particle":"","parse-names":false,"suffix":""},{"dropping-particle":"","family":"Li","given":"Hui","non-dropping-particle":"","parse-names":false,"suffix":""},{"dropping-particle":"","family":"Zhu","given":"Jing","non-dropping-particle":"","parse-names":false,"suffix":""},{"dropping-particle":"","family":"Gong","given":"Qingqiu","non-dropping-particle":"","parse-names":false,"suffix":""},{"dropping-particle":"","family":"Xie","given":"Zhiping","non-dropping-particle":"","parse-names":false,"suffix":""}],"container-title":"BMC Biology","id":"ITEM-2","issue":"1","issued":{"date-parts":[["2021","12","1"]]},"publisher":"BMC Biol","title":"Membrane recruitment of Atg8 by Hfl1 facilitates turnover of vacuolar membrane proteins in yeast cells approaching stationary phase","type":"article-journal","volume":"19"},"uris":["http://www.mendeley.com/documents/?uuid=50b163cd-1b2f-31f4-b39e-c41d2b9678b2"]}],"mendeley":{"formattedCitation":"[35, 36]","plainTextFormattedCitation":"[35, 36]","previouslyFormattedCitation":"[34, 35]"},"properties":{"noteIndex":0},"schema":"https://github.com/citation-style-language/schema/raw/master/csl-citation.json"}</w:instrText>
      </w:r>
      <w:r w:rsidR="00FF2031" w:rsidRPr="00E030F1">
        <w:rPr>
          <w:color w:val="000000" w:themeColor="text1"/>
        </w:rPr>
        <w:fldChar w:fldCharType="separate"/>
      </w:r>
      <w:r w:rsidR="00F8756B" w:rsidRPr="00E030F1">
        <w:rPr>
          <w:noProof/>
          <w:color w:val="000000" w:themeColor="text1"/>
        </w:rPr>
        <w:t>[35, 36]</w:t>
      </w:r>
      <w:r w:rsidR="00FF2031" w:rsidRPr="00E030F1">
        <w:rPr>
          <w:color w:val="000000" w:themeColor="text1"/>
        </w:rPr>
        <w:fldChar w:fldCharType="end"/>
      </w:r>
      <w:r w:rsidR="00FF2031" w:rsidRPr="00E030F1">
        <w:rPr>
          <w:color w:val="000000" w:themeColor="text1"/>
        </w:rPr>
        <w:t xml:space="preserve">, these data implicate </w:t>
      </w:r>
      <w:proofErr w:type="spellStart"/>
      <w:r w:rsidR="006066A4" w:rsidRPr="00E030F1">
        <w:rPr>
          <w:color w:val="000000" w:themeColor="text1"/>
        </w:rPr>
        <w:t>Tmep</w:t>
      </w:r>
      <w:proofErr w:type="spellEnd"/>
      <w:r w:rsidR="005A7D91" w:rsidRPr="00E030F1">
        <w:rPr>
          <w:color w:val="000000" w:themeColor="text1"/>
        </w:rPr>
        <w:t xml:space="preserve"> and its family members</w:t>
      </w:r>
      <w:r w:rsidR="009A79E9" w:rsidRPr="00E030F1">
        <w:rPr>
          <w:color w:val="000000" w:themeColor="text1"/>
        </w:rPr>
        <w:t xml:space="preserve"> in </w:t>
      </w:r>
      <w:proofErr w:type="spellStart"/>
      <w:r w:rsidR="009A79E9" w:rsidRPr="00E030F1">
        <w:rPr>
          <w:color w:val="000000" w:themeColor="text1"/>
        </w:rPr>
        <w:t>endolysosomal</w:t>
      </w:r>
      <w:proofErr w:type="spellEnd"/>
      <w:r w:rsidR="009A79E9" w:rsidRPr="00E030F1">
        <w:rPr>
          <w:color w:val="000000" w:themeColor="text1"/>
        </w:rPr>
        <w:t xml:space="preserve"> </w:t>
      </w:r>
      <w:r w:rsidR="00CA3BA2" w:rsidRPr="00E030F1">
        <w:rPr>
          <w:color w:val="000000" w:themeColor="text1"/>
        </w:rPr>
        <w:t>function</w:t>
      </w:r>
      <w:r w:rsidR="007B5602" w:rsidRPr="00E030F1">
        <w:rPr>
          <w:color w:val="000000" w:themeColor="text1"/>
        </w:rPr>
        <w:t>.</w:t>
      </w:r>
      <w:r w:rsidR="009A79E9" w:rsidRPr="00E030F1">
        <w:rPr>
          <w:color w:val="000000" w:themeColor="text1"/>
        </w:rPr>
        <w:t xml:space="preserve"> </w:t>
      </w:r>
      <w:r w:rsidRPr="00E030F1">
        <w:rPr>
          <w:color w:val="000000" w:themeColor="text1"/>
        </w:rPr>
        <w:t xml:space="preserve"> </w:t>
      </w:r>
    </w:p>
    <w:p w14:paraId="51B8DBE9" w14:textId="13909546" w:rsidR="008F6FE7" w:rsidRPr="00E030F1" w:rsidRDefault="008F6FE7" w:rsidP="00FE548F">
      <w:pPr>
        <w:spacing w:line="480" w:lineRule="auto"/>
        <w:ind w:firstLine="720"/>
        <w:rPr>
          <w:color w:val="000000" w:themeColor="text1"/>
        </w:rPr>
      </w:pPr>
      <w:proofErr w:type="spellStart"/>
      <w:r w:rsidRPr="00E030F1">
        <w:rPr>
          <w:color w:val="000000" w:themeColor="text1"/>
        </w:rPr>
        <w:t>Tmep</w:t>
      </w:r>
      <w:proofErr w:type="spellEnd"/>
      <w:r w:rsidRPr="00E030F1">
        <w:rPr>
          <w:color w:val="000000" w:themeColor="text1"/>
        </w:rPr>
        <w:t xml:space="preserve"> </w:t>
      </w:r>
      <w:r w:rsidR="00B7770C" w:rsidRPr="00E030F1">
        <w:rPr>
          <w:color w:val="000000" w:themeColor="text1"/>
        </w:rPr>
        <w:t xml:space="preserve">would thus </w:t>
      </w:r>
      <w:r w:rsidRPr="00E030F1">
        <w:rPr>
          <w:color w:val="000000" w:themeColor="text1"/>
        </w:rPr>
        <w:t>join a group of endosomal and membrane tra</w:t>
      </w:r>
      <w:r w:rsidR="00724170" w:rsidRPr="00E030F1">
        <w:rPr>
          <w:color w:val="000000" w:themeColor="text1"/>
        </w:rPr>
        <w:t>f</w:t>
      </w:r>
      <w:r w:rsidRPr="00E030F1">
        <w:rPr>
          <w:color w:val="000000" w:themeColor="text1"/>
        </w:rPr>
        <w:t>ficking effectors whose mutation impair</w:t>
      </w:r>
      <w:r w:rsidR="00B0788A" w:rsidRPr="00E030F1">
        <w:rPr>
          <w:color w:val="000000" w:themeColor="text1"/>
        </w:rPr>
        <w:t>s</w:t>
      </w:r>
      <w:r w:rsidRPr="00E030F1">
        <w:rPr>
          <w:color w:val="000000" w:themeColor="text1"/>
        </w:rPr>
        <w:t xml:space="preserve"> synaptic transmission. For example, Rab5 promotes efficient release of </w:t>
      </w:r>
      <w:r w:rsidRPr="00E030F1">
        <w:rPr>
          <w:color w:val="000000" w:themeColor="text1"/>
        </w:rPr>
        <w:lastRenderedPageBreak/>
        <w:t xml:space="preserve">synaptic vesicles by ensuring proper membrane exchange between these vesicles and </w:t>
      </w:r>
      <w:proofErr w:type="spellStart"/>
      <w:r w:rsidRPr="00E030F1">
        <w:rPr>
          <w:color w:val="000000" w:themeColor="text1"/>
        </w:rPr>
        <w:t>synaptically</w:t>
      </w:r>
      <w:proofErr w:type="spellEnd"/>
      <w:r w:rsidRPr="00E030F1">
        <w:rPr>
          <w:color w:val="000000" w:themeColor="text1"/>
        </w:rPr>
        <w:t xml:space="preserve"> localized endosomes </w:t>
      </w:r>
      <w:r w:rsidR="00724170" w:rsidRPr="00E030F1">
        <w:rPr>
          <w:color w:val="000000" w:themeColor="text1"/>
        </w:rPr>
        <w:fldChar w:fldCharType="begin" w:fldLock="1"/>
      </w:r>
      <w:r w:rsidR="00F8756B" w:rsidRPr="00E030F1">
        <w:rPr>
          <w:color w:val="000000" w:themeColor="text1"/>
        </w:rPr>
        <w:instrText>ADDIN CSL_CITATION {"citationItems":[{"id":"ITEM-1","itemData":{"DOI":"10.1083/jcb.200211087","ISSN":"00219525","PMID":"12743108","abstract":"During constitutive endocytosis, internalized membrane traffics through endosomal compartments. At synapses, endocytosis of vesicular membrane is temporally coupled to action potential-induced exocytosis of synaptic vesicles. Endocytosed membrane may immediately be reused for a new round of neurotransmitter release without trafficking through an endosomal compartment. Using GFP-tagged endosomal markers, we monitored an endosomal compartment in Drosophila neuromuscular synapses. We showed that in conditions in which the synaptic vesicles pool is depleted, the endosome is also drastically reduced and only recovers from membrane derived by dynamin-mediated endocytosis. This suggests that membrane exchange takes place between the vesicle pool and the synaptic endosome. We demonstrate that the small GTPase Rab5 is required for endosome integrity in the presynaptic terminal. Impaired Rab5 function affects endo- and exocytosis rates and decreases the evoked neurotransmitter release probability. Conversely, Rab5 overexpression increases the release efficacy. Therefore, the Rab5-dependent trafficking pathway plays an important role for synaptic performance.","author":[{"dropping-particle":"","family":"Wucherpfennig","given":"Tanja","non-dropping-particle":"","parse-names":false,"suffix":""},{"dropping-particle":"","family":"Wilsch-Bräuninger","given":"Michaela","non-dropping-particle":"","parse-names":false,"suffix":""},{"dropping-particle":"","family":"González-Gaitán","given":"Marcos","non-dropping-particle":"","parse-names":false,"suffix":""}],"container-title":"Journal of Cell Biology","id":"ITEM-1","issue":"3","issued":{"date-parts":[["2003","5","12"]]},"page":"609-624","publisher":"J Cell Biol","title":"Role of Drosophila Rab5 during endosomal trafficking at the synapse and evoked neurotransmitter release","type":"article-journal","volume":"161"},"uris":["http://www.mendeley.com/documents/?uuid=fb341830-2068-4415-b31a-5768a8e8cdcf","http://www.mendeley.com/documents/?uuid=622be64d-3271-3b70-ab6f-ace95ca36b90"]},{"id":"ITEM-2","itemData":{"DOI":"10.1016/j.molp.2017.12.015","ISSN":"17529867","PMID":"29288738","abstract":"Brassinosteroid (BR) hormone signaling controls multiple processes during plant growth and development and is initiated at the plasma membrane through the receptor kinase BRASSINOSTEROID INSENSITIVE1 (BRI1) together with co-receptors such as BRI1-ASSOCIATED RECEPTOR KINASE1 (BAK1). BRI1 abundance is regulated by endosomal recycling and vacuolar targeting, but the role of vacuole-related proteins in BR receptor dynamics and BR responses remains elusive. Here, we show that the absence of two DUF300 domain-containing tonoplast proteins, LAZARUS1 (LAZ1) and LAZ1 HOMOLOG1 (LAZ1H1), causes vacuole morphology defects, growth inhibition, and constitutive activation of BR signaling. Intriguingly, tonoplast accumulation of BAK1 was substantially increased and appeared causally linked to enhanced BRI1 trafficking and degradation in laz1 laz1h1 plants. Since unrelated vacuole mutants exhibited normal BR responses, our findings indicate that DUF300 proteins play distinct roles in the regulation of BR signaling by maintaining vacuole integrity required to balance subcellular BAK1 pools and BR receptor distribution. Hormone signaling by growth-promoting brassinosteroids (BR) is initiated at the plasma membrane (PM) through the receptor kinase BRASSINOSTEROID INSENSITIVE1 (BRI1) and co-receptors such as BRI1-ASSOCIATED RECEPTOR KINASE1 (BAK1). BR receptor abundance at the PM is regulated by endosomal recycling and vacuolar targeting of BRI1, but it remained largely unknown if and how vacuolar functions and tonoplast-resident proteins influence BRI1 trafficking and BR responses. Our loss-of-function analysis of the two closely related DUF300 proteins LAZ1 and LAZ1H1 provides evidence for a critical role of vacuole membrane integrity in BR signaling, and identifies tonoplast pools of BAK1 as an important factor in the control of BRI1 receptor activation and distribution.","author":[{"dropping-particle":"","family":"Liu","given":"Qinsong","non-dropping-particle":"","parse-names":false,"suffix":""},{"dropping-particle":"","family":"Vain","given":"Thomas","non-dropping-particle":"","parse-names":false,"suffix":""},{"dropping-particle":"","family":"Viotti","given":"Corrado","non-dropping-particle":"","parse-names":false,"suffix":""},{"dropping-particle":"","family":"Doyle","given":"Siamsa M.","non-dropping-particle":"","parse-names":false,"suffix":""},{"dropping-particle":"","family":"Tarkowská","given":"Danuše","non-dropping-particle":"","parse-names":false,"suffix":""},{"dropping-particle":"","family":"Novák","given":"Ondřej","non-dropping-particle":"","parse-names":false,"suffix":""},{"dropping-particle":"","family":"Zipfel","given":"Cyril","non-dropping-particle":"","parse-names":false,"suffix":""},{"dropping-particle":"","family":"Sitbon","given":"Folke","non-dropping-particle":"","parse-names":false,"suffix":""},{"dropping-particle":"","family":"Robert","given":"Stéphanie","non-dropping-particle":"","parse-names":false,"suffix":""},{"dropping-particle":"","family":"Hofius","given":"Daniel","non-dropping-particle":"","parse-names":false,"suffix":""}],"container-title":"Molecular Plant","id":"ITEM-2","issue":"4","issued":{"date-parts":[["2018","4","2"]]},"page":"553-567","publisher":"Cell Press","title":"Vacuole Integrity Maintained by DUF300 Proteins Is Required for Brassinosteroid Signaling Regulation","type":"article-journal","volume":"11"},"uris":["http://www.mendeley.com/documents/?uuid=36a101a4-4023-4e21-900a-1324f91a8500","http://www.mendeley.com/documents/?uuid=a92db110-445d-3c37-91a6-0b3d1aa86166","http://www.mendeley.com/documents/?uuid=abfcfb6d-b80e-4df3-84c2-483957d75502"]}],"mendeley":{"formattedCitation":"[13, 37]","plainTextFormattedCitation":"[13, 37]","previouslyFormattedCitation":"[13, 36]"},"properties":{"noteIndex":0},"schema":"https://github.com/citation-style-language/schema/raw/master/csl-citation.json"}</w:instrText>
      </w:r>
      <w:r w:rsidR="00724170" w:rsidRPr="00E030F1">
        <w:rPr>
          <w:color w:val="000000" w:themeColor="text1"/>
        </w:rPr>
        <w:fldChar w:fldCharType="separate"/>
      </w:r>
      <w:r w:rsidR="00F8756B" w:rsidRPr="00E030F1">
        <w:rPr>
          <w:noProof/>
          <w:color w:val="000000" w:themeColor="text1"/>
        </w:rPr>
        <w:t>[13, 37]</w:t>
      </w:r>
      <w:r w:rsidR="00724170" w:rsidRPr="00E030F1">
        <w:rPr>
          <w:color w:val="000000" w:themeColor="text1"/>
        </w:rPr>
        <w:fldChar w:fldCharType="end"/>
      </w:r>
      <w:r w:rsidRPr="00E030F1">
        <w:rPr>
          <w:color w:val="000000" w:themeColor="text1"/>
        </w:rPr>
        <w:t xml:space="preserve">. </w:t>
      </w:r>
      <w:r w:rsidR="007D4D1A" w:rsidRPr="00E030F1">
        <w:rPr>
          <w:color w:val="000000" w:themeColor="text1"/>
        </w:rPr>
        <w:t xml:space="preserve">In addition, mutations in the NPC1 gene that cause Niemann-Pick type C1, a fatal neurodegenerative disease caused by faulty lysosomal-ER cholesterol transfer, also show ectopic responses to presynaptic stimulation </w:t>
      </w:r>
      <w:r w:rsidR="007D4D1A" w:rsidRPr="00E030F1">
        <w:rPr>
          <w:color w:val="000000" w:themeColor="text1"/>
        </w:rPr>
        <w:fldChar w:fldCharType="begin" w:fldLock="1"/>
      </w:r>
      <w:r w:rsidR="00606EF6" w:rsidRPr="00E030F1">
        <w:rPr>
          <w:color w:val="000000" w:themeColor="text1"/>
        </w:rPr>
        <w:instrText>ADDIN CSL_CITATION {"citationItems":[{"id":"ITEM-1","itemData":{"DOI":"10.1016/J.CELREP.2019.04.099","PMID":"31141688","abstract":"There is increasing evidence that the lysosome is involved in the pathogenesis of a variety of neurodegenerative disorders. Thus, mechanisms that link lysosome dysfunction to the disruption of neuronal homeostasis offer opportunities to understand the molecular underpinnings of neurodegeneration and potentially identify specific therapeutic targets. Here, using a monogenic neurodegenerative disorder, NPC1 disease, we demonstrate that reduced cholesterol efflux from lysosomes aberrantly modifies neuronal firing patterns. The molecular mechanism linking alterations in lysosomal cholesterol egress to intrinsic tuning of neuronal excitability is a transcriptionally mediated upregulation of the ABCA1 transporter, whose PtdIns(4,5)P2-floppase activity decreases plasma membrane PtdIns(4,5)P2. The consequence of reduced PtdIns(4,5)P2 is a parallel decrease in a key regulator of neuronal excitability, the voltage-gated KCNQ2/3 potassium channel, which leads to hyperexcitability in NPC1 disease neurons. Thus, cholesterol efflux from lysosomes regulates PtdIns(4,5)P2 to shape the electrical and functional identity of the plasma membrane of neurons in health and disease.","author":[{"dropping-particle":"","family":"Vivas","given":"Oscar","non-dropping-particle":"","parse-names":false,"suffix":""},{"dropping-particle":"","family":"Tiscione","given":"Scott A.","non-dropping-particle":"","parse-names":false,"suffix":""},{"dropping-particle":"","family":"Dixon","given":"Rose E.","non-dropping-particle":"","parse-names":false,"suffix":""},{"dropping-particle":"","family":"Ory","given":"Daniel S.","non-dropping-particle":"","parse-names":false,"suffix":""},{"dropping-particle":"","family":"Dickson","given":"Eamonn J.","non-dropping-particle":"","parse-names":false,"suffix":""}],"container-title":"Cell reports","id":"ITEM-1","issue":"9","issued":{"date-parts":[["2019","5","28"]]},"page":"2636","publisher":"NIH Public Access","title":"Niemann-Pick Type C Disease Reveals a Link between Lysosomal Cholesterol and PtdIns(4,5)P2 That Regulates Neuronal Excitability","type":"article-journal","volume":"27"},"uris":["http://www.mendeley.com/documents/?uuid=b0fe2934-b841-4eb0-8493-8423e74493c6","http://www.mendeley.com/documents/?uuid=6c2c5f9d-6ff5-3b88-9b0b-02174be31659"]}],"mendeley":{"formattedCitation":"[12]","plainTextFormattedCitation":"[12]","previouslyFormattedCitation":"[12]"},"properties":{"noteIndex":0},"schema":"https://github.com/citation-style-language/schema/raw/master/csl-citation.json"}</w:instrText>
      </w:r>
      <w:r w:rsidR="007D4D1A" w:rsidRPr="00E030F1">
        <w:rPr>
          <w:color w:val="000000" w:themeColor="text1"/>
        </w:rPr>
        <w:fldChar w:fldCharType="separate"/>
      </w:r>
      <w:r w:rsidR="00D4585F" w:rsidRPr="00E030F1">
        <w:rPr>
          <w:noProof/>
          <w:color w:val="000000" w:themeColor="text1"/>
        </w:rPr>
        <w:t>[12]</w:t>
      </w:r>
      <w:r w:rsidR="007D4D1A" w:rsidRPr="00E030F1">
        <w:rPr>
          <w:color w:val="000000" w:themeColor="text1"/>
        </w:rPr>
        <w:fldChar w:fldCharType="end"/>
      </w:r>
      <w:r w:rsidR="007D4D1A" w:rsidRPr="00E030F1">
        <w:rPr>
          <w:color w:val="000000" w:themeColor="text1"/>
        </w:rPr>
        <w:t>.</w:t>
      </w:r>
      <w:r w:rsidR="00D72715" w:rsidRPr="00E030F1">
        <w:rPr>
          <w:color w:val="000000" w:themeColor="text1"/>
        </w:rPr>
        <w:t xml:space="preserve"> These studies underscore the need to regulate membrane </w:t>
      </w:r>
      <w:r w:rsidR="00F26E9F" w:rsidRPr="00E030F1">
        <w:rPr>
          <w:color w:val="000000" w:themeColor="text1"/>
        </w:rPr>
        <w:t>trafficking</w:t>
      </w:r>
      <w:r w:rsidR="00D72715" w:rsidRPr="00E030F1">
        <w:rPr>
          <w:color w:val="000000" w:themeColor="text1"/>
        </w:rPr>
        <w:t xml:space="preserve"> to ensure proper responses to stimulation. A priority for future work should be to investigate how </w:t>
      </w:r>
      <w:proofErr w:type="spellStart"/>
      <w:r w:rsidR="00D72715" w:rsidRPr="00E030F1">
        <w:rPr>
          <w:color w:val="000000" w:themeColor="text1"/>
        </w:rPr>
        <w:t>Tmep</w:t>
      </w:r>
      <w:proofErr w:type="spellEnd"/>
      <w:r w:rsidR="00D72715" w:rsidRPr="00E030F1">
        <w:rPr>
          <w:color w:val="000000" w:themeColor="text1"/>
        </w:rPr>
        <w:t xml:space="preserve"> </w:t>
      </w:r>
      <w:r w:rsidR="00606C19" w:rsidRPr="00E030F1">
        <w:rPr>
          <w:color w:val="000000" w:themeColor="text1"/>
        </w:rPr>
        <w:t>and related mammalian proteins</w:t>
      </w:r>
      <w:r w:rsidR="00D72715" w:rsidRPr="00E030F1">
        <w:rPr>
          <w:color w:val="000000" w:themeColor="text1"/>
        </w:rPr>
        <w:t xml:space="preserve"> influence essential functions of endosomes, lysosomes, and synaptic vesicles at neuromuscular junctions.</w:t>
      </w:r>
    </w:p>
    <w:p w14:paraId="5F66C16E" w14:textId="42F95BA4" w:rsidR="0045771A" w:rsidRPr="00E030F1" w:rsidRDefault="00E73A97" w:rsidP="00E73A97">
      <w:pPr>
        <w:spacing w:line="480" w:lineRule="auto"/>
        <w:ind w:firstLine="360"/>
        <w:rPr>
          <w:color w:val="000000" w:themeColor="text1"/>
        </w:rPr>
      </w:pPr>
      <w:r w:rsidRPr="00E030F1">
        <w:rPr>
          <w:color w:val="000000" w:themeColor="text1"/>
        </w:rPr>
        <w:t xml:space="preserve">Our data suggest that </w:t>
      </w:r>
      <w:proofErr w:type="spellStart"/>
      <w:r w:rsidRPr="00E030F1">
        <w:rPr>
          <w:color w:val="000000" w:themeColor="text1"/>
        </w:rPr>
        <w:t>Tmep</w:t>
      </w:r>
      <w:proofErr w:type="spellEnd"/>
      <w:r w:rsidRPr="00E030F1">
        <w:rPr>
          <w:color w:val="000000" w:themeColor="text1"/>
        </w:rPr>
        <w:t xml:space="preserve"> is important to restrict the amount of cytosolic calcium in the presynaptic terminal. Without this layer of regulation, excess calcium </w:t>
      </w:r>
      <w:r w:rsidR="00CA3BA2" w:rsidRPr="00E030F1">
        <w:rPr>
          <w:color w:val="000000" w:themeColor="text1"/>
        </w:rPr>
        <w:t xml:space="preserve">may be </w:t>
      </w:r>
      <w:r w:rsidRPr="00E030F1">
        <w:rPr>
          <w:color w:val="000000" w:themeColor="text1"/>
        </w:rPr>
        <w:t>caus</w:t>
      </w:r>
      <w:r w:rsidR="00CA3BA2" w:rsidRPr="00E030F1">
        <w:rPr>
          <w:color w:val="000000" w:themeColor="text1"/>
        </w:rPr>
        <w:t>ing</w:t>
      </w:r>
      <w:r w:rsidRPr="00E030F1">
        <w:rPr>
          <w:color w:val="000000" w:themeColor="text1"/>
        </w:rPr>
        <w:t xml:space="preserve"> both ectopic firing as well as synaptic overgrowth phenotypes. Four pieces of evidence support this assertion. First, our data shows elevated cytosolic calcium in the presynaptic boutons of </w:t>
      </w:r>
      <w:proofErr w:type="spellStart"/>
      <w:r w:rsidRPr="00E030F1">
        <w:rPr>
          <w:color w:val="000000" w:themeColor="text1"/>
        </w:rPr>
        <w:t>Tmep</w:t>
      </w:r>
      <w:proofErr w:type="spellEnd"/>
      <w:r w:rsidRPr="00E030F1">
        <w:rPr>
          <w:color w:val="000000" w:themeColor="text1"/>
        </w:rPr>
        <w:t xml:space="preserve"> knockdown larvae. Second, we see an increased active zone density, as measured by BRP, in </w:t>
      </w:r>
      <w:proofErr w:type="spellStart"/>
      <w:r w:rsidRPr="00E030F1">
        <w:rPr>
          <w:i/>
          <w:iCs/>
          <w:color w:val="000000" w:themeColor="text1"/>
        </w:rPr>
        <w:t>Tmep</w:t>
      </w:r>
      <w:proofErr w:type="spellEnd"/>
      <w:r w:rsidRPr="00E030F1">
        <w:rPr>
          <w:color w:val="000000" w:themeColor="text1"/>
        </w:rPr>
        <w:t xml:space="preserve"> mutant boutons. BRP is known to recruit the voltage-gated calcium channel Cacophony (</w:t>
      </w:r>
      <w:proofErr w:type="spellStart"/>
      <w:r w:rsidRPr="00E030F1">
        <w:rPr>
          <w:color w:val="000000" w:themeColor="text1"/>
        </w:rPr>
        <w:t>Cac</w:t>
      </w:r>
      <w:proofErr w:type="spellEnd"/>
      <w:r w:rsidRPr="00E030F1">
        <w:rPr>
          <w:color w:val="000000" w:themeColor="text1"/>
        </w:rPr>
        <w:t xml:space="preserve">) to active zones and also provides more sites for the modulator CaMKII to localize to sites of release </w:t>
      </w:r>
      <w:r w:rsidRPr="00E030F1">
        <w:rPr>
          <w:color w:val="000000" w:themeColor="text1"/>
        </w:rPr>
        <w:fldChar w:fldCharType="begin" w:fldLock="1"/>
      </w:r>
      <w:r w:rsidR="00F8756B" w:rsidRPr="00E030F1">
        <w:rPr>
          <w:color w:val="000000" w:themeColor="text1"/>
        </w:rPr>
        <w:instrText>ADDIN CSL_CITATION {"citationItems":[{"id":"ITEM-1","itemData":{"DOI":"10.1126/SCIENCE.1126308","ISSN":"1095-9203","PMID":"16614170","abstract":"The molecular organization of presynaptic active zones during calcium influx-triggered neurotransmitter release is the focus of intense investigation. The Drosophila coiled-coil domain protein Bruchpilot (BRP) was observed in donut-shaped structures centered at active zones of neuromuscular synapses by using subdiffraction resolution STED (stimulated emission depletion) fluorescence microscopy. At brp mutant active zones, electron-dense projections (T-bars) were entirely lost, Ca2+ channels were reduced in density, evoked vesicle release was depressed, and short-term plasticity was altered. BRP-like proteins seem to establish proximity between Ca2+ channels and vesicles to allow efficient transmitter release and patterned synaptic plasticity.","author":[{"dropping-particle":"","family":"Kittel","given":"Robert J.","non-dropping-particle":"","parse-names":false,"suffix":""},{"dropping-particle":"","family":"Wichmann","given":"Carolin","non-dropping-particle":"","parse-names":false,"suffix":""},{"dropping-particle":"","family":"Rasse","given":"Tobias M.","non-dropping-particle":"","parse-names":false,"suffix":""},{"dropping-particle":"","family":"Fouquet","given":"Wernher","non-dropping-particle":"","parse-names":false,"suffix":""},{"dropping-particle":"","family":"Schmidt","given":"Manuela","non-dropping-particle":"","parse-names":false,"suffix":""},{"dropping-particle":"","family":"Schmid","given":"Andreas","non-dropping-particle":"","parse-names":false,"suffix":""},{"dropping-particle":"","family":"Wagh","given":"Dhananjay A.","non-dropping-particle":"","parse-names":false,"suffix":""},{"dropping-particle":"","family":"Pawlu","given":"Christian","non-dropping-particle":"","parse-names":false,"suffix":""},{"dropping-particle":"","family":"Kellner","given":"Robert R.","non-dropping-particle":"","parse-names":false,"suffix":""},{"dropping-particle":"","family":"Willig","given":"Katrin I.","non-dropping-particle":"","parse-names":false,"suffix":""},{"dropping-particle":"","family":"Hell","given":"Stefan W.","non-dropping-particle":"","parse-names":false,"suffix":""},{"dropping-particle":"","family":"Buchner","given":"Erich","non-dropping-particle":"","parse-names":false,"suffix":""},{"dropping-particle":"","family":"Heckmann","given":"Manfred","non-dropping-particle":"","parse-names":false,"suffix":""},{"dropping-particle":"","family":"Sigrist","given":"Stephan J.","non-dropping-particle":"","parse-names":false,"suffix":""}],"container-title":"Science (New York, N.Y.)","id":"ITEM-1","issue":"5776","issued":{"date-parts":[["2006","5","19"]]},"page":"1051-1054","publisher":"Science","title":"Bruchpilot promotes active zone assembly, Ca2+ channel clustering, and vesicle release","type":"article-journal","volume":"312"},"uris":["http://www.mendeley.com/documents/?uuid=c8772291-12bd-3c25-baa2-6de298ba6d1c"]},{"id":"ITEM-2","itemData":{"DOI":"10.1016/J.NEURON.2006.02.008","ISSN":"0896-6273","PMID":"16543132","abstract":"Neurotransmitters are released at presynaptic active zones (AZs). In the fly Drosophila, monoclonal antibody (MAB) nc82 specifically labels AZs. We employ nc82 to identify Bruchpilot protein (BRP) as a previously unknown AZ component. BRP shows homology to human AZ protein ELKS/CAST/ERC, which binds RIM1 in a complex with Bassoon and Munc13-1. The C terminus of BRP displays structural similarities to multifunctional cytoskeletal proteins. During development, transcription of the bruchpilot locus (brp) coincides with neuronal differentiation. Panneural reduction of BRP expression by RNAi constructs permits a first functional characterization of this large AZ protein: larvae show reduced evoked but normal spontaneous transmission at neuromuscular junctions. In adults, we observe loss of T bars at active zones, absence of synaptic components in electroretinogram, locomotor inactivity, and unstable flight (hence \"bruchpilot\" - crash pilot). We propose that BRP is critical for intact AZ structure and normal-evoked neurotransmitter release at chemical synapses of Drosophila. ©2006 Elsevier Inc.","author":[{"dropping-particle":"","family":"Wagh","given":"Dhananjay A.","non-dropping-particle":"","parse-names":false,"suffix":""},{"dropping-particle":"","family":"Rasse","given":"Tobias M.","non-dropping-particle":"","parse-names":false,"suffix":""},{"dropping-particle":"","family":"Asan","given":"Esther","non-dropping-particle":"","parse-names":false,"suffix":""},{"dropping-particle":"","family":"Hofbauer","given":"Alois","non-dropping-particle":"","parse-names":false,"suffix":""},{"dropping-particle":"","family":"Schwenkert","given":"Isabell","non-dropping-particle":"","parse-names":false,"suffix":""},{"dropping-particle":"","family":"Dürrbeck","given":"Heike","non-dropping-particle":"","parse-names":false,"suffix":""},{"dropping-particle":"","family":"Buchner","given":"Sigrid","non-dropping-particle":"","parse-names":false,"suffix":""},{"dropping-particle":"","family":"Dabauvalle","given":"Marie Christine","non-dropping-particle":"","parse-names":false,"suffix":""},{"dropping-particle":"","family":"Schmidt","given":"Manuela","non-dropping-particle":"","parse-names":false,"suffix":""},{"dropping-particle":"","family":"Qin","given":"Gang","non-dropping-particle":"","parse-names":false,"suffix":""},{"dropping-particle":"","family":"Wichmann","given":"Carolin","non-dropping-particle":"","parse-names":false,"suffix":""},{"dropping-particle":"","family":"Kittel","given":"Robert","non-dropping-particle":"","parse-names":false,"suffix":""},{"dropping-particle":"","family":"Sigrist","given":"Stephan J.","non-dropping-particle":"","parse-names":false,"suffix":""},{"dropping-particle":"","family":"Buchner","given":"Erich","non-dropping-particle":"","parse-names":false,"suffix":""}],"container-title":"Neuron","id":"ITEM-2","issue":"6","issued":{"date-parts":[["2006","3","16"]]},"page":"833-844","publisher":"Cell Press","title":"Bruchpilot, a Protein with Homology to ELKS/CAST, Is Required for Structural Integrity and Function of Synaptic Active Zones in Drosophila","type":"article-journal","volume":"49"},"uris":["http://www.mendeley.com/documents/?uuid=103fdb80-f46c-3cd8-b684-df1d76b09df0"]},{"id":"ITEM-3","itemData":{"DOI":"10.1523/JNEUROSCI.0550-11.2011","ISSN":"02706474","PMID":"21697360","abstract":"The release of neurotransmitters, neurotrophins, and neuropeptides is modulated by Ca2+ mobilization from the endoplasmic reticulum (ER) and activation of Ca2+ /calmodulin-dependent protein kinase II (CaMKII). Furthermore, when neuronal cultures are subjected to prolonged depolarization, presynaptic CaMKII redistributes from the cytoplasm to accumulate near active zones (AZs), a process that is reminiscent of CaMKII translocation to the postsynaptic side of the synapse. However, it is not known how presynaptic CaMKII activation and translocation depend on neuronal activity and ER Ca2+ release. Here these issues are addressed in Drosophila motoneuron terminals by imaging a fluorescent reporter of CaMKII activity and subcellular distribution. We report that neuronal excitation acts with ER Ca2+ stores to induce CaMKII activation and translocation to a subset of AZs. Surprisingly, activation is slow, reflecting T286 autophosphorylation and the function of presynaptic ER ryanodine receptors (RyRs) and inositol trisphosphate receptors (IP3Rs). Furthermore, translocation is not simply proportional to CaMKII activity, as T286 autophosphorylation promotes activation, but does not affect translocation. In contrast, RNA interference-induced knockdown of the AZ scaffold protein Bruchpilot disrupts CaMKII translocation without affecting activation. Finally, RyRs comparably stimulate both activation and translocation, but IP3Rs preferentially promote translocation. Thus, Ca2+ provided by different presynaptic ER Ca2+ release channels is not equivalent. These results suggest that presynaptic CaMKII activation depends on autophosphorylation and global Ca2+ in the terminal, while translocation to AZs requires Ca2+ microdomains generated by IP3Rs. © 2011 the authors.","author":[{"dropping-particle":"","family":"Shakiryanova","given":"Dinara","non-dropping-particle":"","parse-names":false,"suffix":""},{"dropping-particle":"","family":"Morimoto","given":"Takako","non-dropping-particle":"","parse-names":false,"suffix":""},{"dropping-particle":"","family":"Zhou","given":"Chaoming","non-dropping-particle":"","parse-names":false,"suffix":""},{"dropping-particle":"","family":"Chouhan","given":"Amit K.","non-dropping-particle":"","parse-names":false,"suffix":""},{"dropping-particle":"","family":"Sigrist","given":"Stephan J.","non-dropping-particle":"","parse-names":false,"suffix":""},{"dropping-particle":"","family":"Nose","given":"Akinao","non-dropping-particle":"","parse-names":false,"suffix":""},{"dropping-particle":"","family":"Macleod","given":"Gregory T.","non-dropping-particle":"","parse-names":false,"suffix":""},{"dropping-particle":"","family":"Deitcher","given":"David L.","non-dropping-particle":"","parse-names":false,"suffix":""},{"dropping-particle":"","family":"Levitan","given":"Edwin S.","non-dropping-particle":"","parse-names":false,"suffix":""}],"container-title":"The Journal of Neuroscience","id":"ITEM-3","issue":"25","issued":{"date-parts":[["2011","6","22"]]},"page":"9093","publisher":"Society for Neuroscience","title":"Differential Control of Presynaptic CaMKII Activation and Translocation to Active Zones","type":"article-journal","volume":"31"},"uris":["http://www.mendeley.com/documents/?uuid=1ebf0d96-23a2-3acb-977d-7f314a234a2c"]}],"mendeley":{"formattedCitation":"[38–40]","plainTextFormattedCitation":"[38–40]","previouslyFormattedCitation":"[37–39]"},"properties":{"noteIndex":0},"schema":"https://github.com/citation-style-language/schema/raw/master/csl-citation.json"}</w:instrText>
      </w:r>
      <w:r w:rsidRPr="00E030F1">
        <w:rPr>
          <w:color w:val="000000" w:themeColor="text1"/>
        </w:rPr>
        <w:fldChar w:fldCharType="separate"/>
      </w:r>
      <w:r w:rsidR="00F8756B" w:rsidRPr="00E030F1">
        <w:rPr>
          <w:noProof/>
          <w:color w:val="000000" w:themeColor="text1"/>
        </w:rPr>
        <w:t>[38–40]</w:t>
      </w:r>
      <w:r w:rsidRPr="00E030F1">
        <w:rPr>
          <w:color w:val="000000" w:themeColor="text1"/>
        </w:rPr>
        <w:fldChar w:fldCharType="end"/>
      </w:r>
      <w:r w:rsidRPr="00E030F1">
        <w:rPr>
          <w:color w:val="000000" w:themeColor="text1"/>
        </w:rPr>
        <w:t xml:space="preserve">. Therefore, excess BRP in </w:t>
      </w:r>
      <w:proofErr w:type="spellStart"/>
      <w:r w:rsidRPr="00E030F1">
        <w:rPr>
          <w:i/>
          <w:iCs/>
          <w:color w:val="000000" w:themeColor="text1"/>
        </w:rPr>
        <w:t>Tmep</w:t>
      </w:r>
      <w:proofErr w:type="spellEnd"/>
      <w:r w:rsidRPr="00E030F1">
        <w:rPr>
          <w:color w:val="000000" w:themeColor="text1"/>
        </w:rPr>
        <w:t xml:space="preserve"> mutants may </w:t>
      </w:r>
      <w:r w:rsidR="00697F35" w:rsidRPr="00E030F1">
        <w:rPr>
          <w:color w:val="000000" w:themeColor="text1"/>
        </w:rPr>
        <w:t xml:space="preserve">facilitate </w:t>
      </w:r>
      <w:r w:rsidRPr="00E030F1">
        <w:rPr>
          <w:color w:val="000000" w:themeColor="text1"/>
        </w:rPr>
        <w:t xml:space="preserve">additional calcium entry into terminals. Third, reducing presynaptic calcium with knockdown of store-operated calcium channels reverses behavioral deficits in </w:t>
      </w:r>
      <w:proofErr w:type="spellStart"/>
      <w:r w:rsidRPr="00E030F1">
        <w:rPr>
          <w:color w:val="000000" w:themeColor="text1"/>
        </w:rPr>
        <w:t>Tmep</w:t>
      </w:r>
      <w:proofErr w:type="spellEnd"/>
      <w:r w:rsidRPr="00E030F1">
        <w:rPr>
          <w:color w:val="000000" w:themeColor="text1"/>
        </w:rPr>
        <w:t xml:space="preserve"> RNAi larvae. IP3R and </w:t>
      </w:r>
      <w:proofErr w:type="spellStart"/>
      <w:r w:rsidRPr="00E030F1">
        <w:rPr>
          <w:color w:val="000000" w:themeColor="text1"/>
        </w:rPr>
        <w:t>RyR</w:t>
      </w:r>
      <w:proofErr w:type="spellEnd"/>
      <w:r w:rsidRPr="00E030F1">
        <w:rPr>
          <w:color w:val="000000" w:themeColor="text1"/>
        </w:rPr>
        <w:t xml:space="preserve"> activity increase</w:t>
      </w:r>
      <w:r w:rsidR="005A7D91" w:rsidRPr="00E030F1">
        <w:rPr>
          <w:color w:val="000000" w:themeColor="text1"/>
        </w:rPr>
        <w:t>s</w:t>
      </w:r>
      <w:r w:rsidRPr="00E030F1">
        <w:rPr>
          <w:color w:val="000000" w:themeColor="text1"/>
        </w:rPr>
        <w:t xml:space="preserve"> presynaptic calcium levels and correspondingly promote</w:t>
      </w:r>
      <w:r w:rsidR="005A7D91" w:rsidRPr="00E030F1">
        <w:rPr>
          <w:color w:val="000000" w:themeColor="text1"/>
        </w:rPr>
        <w:t>s</w:t>
      </w:r>
      <w:r w:rsidRPr="00E030F1">
        <w:rPr>
          <w:color w:val="000000" w:themeColor="text1"/>
        </w:rPr>
        <w:t xml:space="preserve"> synaptic vesicle exocytosis </w:t>
      </w:r>
      <w:r w:rsidRPr="00E030F1">
        <w:rPr>
          <w:color w:val="000000" w:themeColor="text1"/>
        </w:rPr>
        <w:fldChar w:fldCharType="begin" w:fldLock="1"/>
      </w:r>
      <w:r w:rsidR="00F8756B" w:rsidRPr="00E030F1">
        <w:rPr>
          <w:color w:val="000000" w:themeColor="text1"/>
        </w:rPr>
        <w:instrText>ADDIN CSL_CITATION {"citationItems":[{"id":"ITEM-1","itemData":{"DOI":"10.1085/JGP.112.5.593","ISSN":"0022-1295","PMID":"9806968","abstract":"The extent to which Ca2+-induced Ca2+ release (CICR) affects transmitter release is unknown. Continuous nerve stimulation (20-50 Hz) caused slow transient increases in miniature end-plate potential (MEPP) frequency (MEPP-hump) and intracellular free Ca2+ ([Ca2+](i)) in presynaptic terminals (Ca2+-hump) in frog skeletal muscles over a period of minutes in a low Ca2+, high Mg2+ solution. Mn2+ quenched Indo-1 and Fura-2 fluorescence, thus indicating that stimulation was accompanied by opening of voltage-dependent Ca2+ channels. MEPP-hump depended on extracellular Ca2+ (0.05-0.2 mM) and stimulation frequency. Both the Ca2+- and MEPP-humps were blocked by 8-(N,N-diethylamino)octyl3,4,5- trimethoxybenzoate hydrochloride (TMB-8), ryanodine, and thapsigargin, but enhanced by CN-. Thus, Ca2+-hump is generated by the activation of CICR via ryanodine receptors by Ca2+ entry, producing MEPP-hump. A short interruption of tetanus (&lt;1 min) during MEPP-hump quickly reduced MEPP frequency to a level attained under the effect of TMB-8 or thapsigargin, while resuming tetanus swiftly raised MEPP frequency to the previous or higher level. Thus, the steady/equilibrium condition balancing CICR and Ca2+ clearance occurs in nerve terminals with slow changes toward a greater activation of CICR (priming) during the rising phase of MEPP-hump and toward a smaller activation during the decay phase. A short pause applied after the end of MEPP- or Ca2+-hump affected little MEPP frequency or [Ca2+](i), but caused a quick increase (faster than MEPP- or Ca2+-hump) after the pause, whose magnitude increased with an increase in pause duration (&lt;1 min), suggesting that Ca2+ entry-dependent inactivation, but not depriming process, explains the decay of the humps. The depriming process was seen by giving a much longer pause (&gt;1 min). Thus, ryanodine receptors in frog motor nerve terminals are endowed with Ca2+ entry-dependent slow priming and fast inactivation mechanisms, as well as Ca2+ entry-dependent activation, and involved in asynchronous exocytosis. Physiological significance of CICR in presynaptic terminals was discussed.","author":[{"dropping-particle":"","family":"Narita","given":"K.","non-dropping-particle":"","parse-names":false,"suffix":""},{"dropping-particle":"","family":"Akita","given":"T.","non-dropping-particle":"","parse-names":false,"suffix":""},{"dropping-particle":"","family":"Osanai","given":"M.","non-dropping-particle":"","parse-names":false,"suffix":""},{"dropping-particle":"","family":"Shirasaki","given":"T.","non-dropping-particle":"","parse-names":false,"suffix":""},{"dropping-particle":"","family":"Kijima","given":"H.","non-dropping-particle":"","parse-names":false,"suffix":""},{"dropping-particle":"","family":"Kuba","given":"K.","non-dropping-particle":"","parse-names":false,"suffix":""}],"container-title":"The Journal of general physiology","id":"ITEM-1","issue":"5","issued":{"date-parts":[["1998","11"]]},"page":"593-609","publisher":"J Gen Physiol","title":"A Ca2+-induced Ca2+ release mechanism involved in asynchronous exocytosis at frog motor nerve terminals","type":"article-journal","volume":"112"},"uris":["http://www.mendeley.com/documents/?uuid=3d42f183-bc80-3cf8-a53f-dbeb23e655a6"]},{"id":"ITEM-2","itemData":{"DOI":"10.1016/j.ceca.2005.07.008","ISSN":"01434160","PMID":"16157373","abstract":"Ca2+-induced Ca2+ release (CICR) occurs in frog motor nerve terminals after ryanodine receptors (RyRs) are primed for activation by conditioning large Ca2+ entry. We studied which type of RyR exists, whether CICR occurs without conditioning Ca2+ entry and how RyRs are primed. Immunohistochemistry revealed the existence of RyR3 in motor nerve terminals and axons and both RyR1 and RyR3 in muscle fibers. A blocker of RyR, 8-(N,N-diethylamino)octyl 3,4,5-trimethoxybenzoate hydrochloride (TMB-8) slightly decreased rises in intracellular Ca2+ ([Ca2+]i) induced by a short tetanus (50 Hz, 1-2 s), but not after treatment with ryanodine. Repetitive tetani (50 Hz for 15 s every 20 s) produced repetitive rises in [Ca2+] i, whose amplitude overall waxed and waned. TMB-8 blocked the waxing and waning components. Ryanodine suppressed a slow increase in end-plate potentials (EPPs) induced by stimuli (33.3 Hz, 15 s) in a low Ca2+, high Mg2+ solution. KN-62, a blocker of Ca2+/calmoduline-activated protein kinase II (CaMKII), slightly reduced short tetanus-induced rises in [Ca2+] i, but markedly the slow waxing and waning rises produced by repetitive tetani in both normal and low Ca2+, high Mg2+ solutions. Likewise, KN-62, but not KN-04, an inactive analog, suppressed slow increases in EPP amplitude and miniature EPP frequency during long tetanus. Thus, CICR normally occurs weakly via RyR3 activation by single impulse-induced Ca2+ entry in frog motor nerve terminals and greatly after the priming of RyR via CaMKII activation by conditioning Ca2+ entry, thus, facilitating transmitter exocytosis and its plasticity. © 2005 Elsevier Ltd. All rights reserved.","author":[{"dropping-particle":"","family":"Kubota","given":"Masakazu","non-dropping-particle":"","parse-names":false,"suffix":""},{"dropping-particle":"","family":"Narita","given":"Kazuhiko","non-dropping-particle":"","parse-names":false,"suffix":""},{"dropping-particle":"","family":"Murayama","given":"Takashi","non-dropping-particle":"","parse-names":false,"suffix":""},{"dropping-particle":"","family":"Suzuki","given":"Shinichi","non-dropping-particle":"","parse-names":false,"suffix":""},{"dropping-particle":"","family":"Soga","given":"Satoko","non-dropping-particle":"","parse-names":false,"suffix":""},{"dropping-particle":"","family":"Usukura","given":"Jiro","non-dropping-particle":"","parse-names":false,"suffix":""},{"dropping-particle":"","family":"Ogawa","given":"Yasuo","non-dropping-particle":"","parse-names":false,"suffix":""},{"dropping-particle":"","family":"Kuba","given":"Kenji","non-dropping-particle":"","parse-names":false,"suffix":""}],"container-title":"Cell Calcium","id":"ITEM-2","issue":"6","issued":{"date-parts":[["2005"]]},"page":"557-567","publisher":"Elsevier Ltd","title":"Type-3 ryanodine receptor involved in Ca2+-induced Ca2+ release and transmitter exocytosis at frog motor nerve terminals","type":"article-journal","volume":"38"},"uris":["http://www.mendeley.com/documents/?uuid=a7870039-ca58-3236-98b4-6f8981ce3718"]}],"mendeley":{"formattedCitation":"[41, 42]","plainTextFormattedCitation":"[41, 42]","previouslyFormattedCitation":"[40, 41]"},"properties":{"noteIndex":0},"schema":"https://github.com/citation-style-language/schema/raw/master/csl-citation.json"}</w:instrText>
      </w:r>
      <w:r w:rsidRPr="00E030F1">
        <w:rPr>
          <w:color w:val="000000" w:themeColor="text1"/>
        </w:rPr>
        <w:fldChar w:fldCharType="separate"/>
      </w:r>
      <w:r w:rsidR="00F8756B" w:rsidRPr="00E030F1">
        <w:rPr>
          <w:noProof/>
          <w:color w:val="000000" w:themeColor="text1"/>
        </w:rPr>
        <w:t>[41, 42]</w:t>
      </w:r>
      <w:r w:rsidRPr="00E030F1">
        <w:rPr>
          <w:color w:val="000000" w:themeColor="text1"/>
        </w:rPr>
        <w:fldChar w:fldCharType="end"/>
      </w:r>
      <w:r w:rsidRPr="00E030F1">
        <w:rPr>
          <w:color w:val="000000" w:themeColor="text1"/>
        </w:rPr>
        <w:t xml:space="preserve">. The primary effect </w:t>
      </w:r>
      <w:r w:rsidR="0086786A" w:rsidRPr="00E030F1">
        <w:rPr>
          <w:color w:val="000000" w:themeColor="text1"/>
        </w:rPr>
        <w:t xml:space="preserve">of IP3R and </w:t>
      </w:r>
      <w:proofErr w:type="spellStart"/>
      <w:r w:rsidR="0086786A" w:rsidRPr="00E030F1">
        <w:rPr>
          <w:color w:val="000000" w:themeColor="text1"/>
        </w:rPr>
        <w:t>RyR</w:t>
      </w:r>
      <w:proofErr w:type="spellEnd"/>
      <w:r w:rsidR="0086786A" w:rsidRPr="00E030F1">
        <w:rPr>
          <w:color w:val="000000" w:themeColor="text1"/>
        </w:rPr>
        <w:t xml:space="preserve"> function </w:t>
      </w:r>
      <w:r w:rsidRPr="00E030F1">
        <w:rPr>
          <w:color w:val="000000" w:themeColor="text1"/>
        </w:rPr>
        <w:t xml:space="preserve">on transmission at synapses is through the promotion of calcium-induced calcium release and subsequent asynchronous firing (in mouse) </w:t>
      </w:r>
      <w:r w:rsidRPr="00E030F1">
        <w:rPr>
          <w:color w:val="000000" w:themeColor="text1"/>
        </w:rPr>
        <w:fldChar w:fldCharType="begin" w:fldLock="1"/>
      </w:r>
      <w:r w:rsidR="00F8756B" w:rsidRPr="00E030F1">
        <w:rPr>
          <w:color w:val="000000" w:themeColor="text1"/>
        </w:rPr>
        <w:instrText>ADDIN CSL_CITATION {"citationItems":[{"id":"ITEM-1","itemData":{"DOI":"10.1016/J.IJDEVNEU.2013.12.010","ISSN":"1873-474X","PMID":"24412779","abstract":"The kinetics of the phasic synchronous and delayed asynchronous release of acetylcholine quanta was studied at the neuromuscular junctions of aging rats from infant to mature animals at various frequencies of rhythmic stimulation of the motor nerve. We found that in infants 6 (P6) and 10 (P10) days after birth a strongly asynchronous phase of quantal release was observed, along with a reduced number of quanta compared to the synapses of adults. The rise time and decay of uni-quantal end-plate currents were significantly longer in infant synapses. The presynaptic immunostaining revealed that the area of the synapses in infants was significantly (up to six times) smaller than in mature junctions. The intensity of delayed asynchronous release in infants increased with the frequency of stimulation more than in adults. A blockade of the ryanodine receptors, which can contribute to the formation of delayed asynchronous release, had no effect on the kinetics of delayed secretion in the infants unlike synapses of adults. Therefore, high degree of asynchrony of quantal release in infants is not associated with the activity of ryanodine receptors and with the liberation of calcium ions from intracellular calcium stores. © 2014 ISDN.","author":[{"dropping-particle":"","family":"Khuzakhmetova","given":"Venera","non-dropping-particle":"","parse-names":false,"suffix":""},{"dropping-particle":"","family":"Samigullin","given":"Dmitry","non-dropping-particle":"","parse-names":false,"suffix":""},{"dropping-particle":"","family":"Nurullin","given":"Leniz","non-dropping-particle":"","parse-names":false,"suffix":""},{"dropping-particle":"","family":"Vyskočil","given":"Frantisek","non-dropping-particle":"","parse-names":false,"suffix":""},{"dropping-particle":"","family":"Nikolsky","given":"Evgeny","non-dropping-particle":"","parse-names":false,"suffix":""},{"dropping-particle":"","family":"Bukharaeva","given":"Ellya","non-dropping-particle":"","parse-names":false,"suffix":""}],"container-title":"International journal of developmental neuroscience : the official journal of the International Society for Developmental Neuroscience","id":"ITEM-1","issued":{"date-parts":[["2014","5"]]},"page":"9-18","publisher":"Int J Dev Neurosci","title":"Kinetics of neurotransmitter release in neuromuscular synapses of newborn and adult rats","type":"article-journal","volume":"34"},"uris":["http://www.mendeley.com/documents/?uuid=2c4259d7-06cd-3d61-b1e3-e615c423fbc9"]},{"id":"ITEM-2","itemData":{"DOI":"10.1134/S199074781305005X","ISSN":"1990-7494","abstract":"To determine the role of presynaptic ryanodine receptors in the regulation of the kinetics of neurotransmitter quantum secretion caused by a nerve impulse in the experiments on the mouse neuromuscular junction, temporal parameters of phase synchronous and asynchronous delayed release of acetylcholine under the conditions of ryanodine receptors block and rhythmic stimulation were examined. The analysis of histograms of synaptic delays of the uni-quantal end-plate currents registered within 50 ms after the onset of the presynaptic action potential showed that ryanodine receptor blockers ryanodine, TMB-8 and dantrolene reduced the intensity of both phase synchronous and delayed asynchronous release of the mediator. The proportion of quanta released synchronously increased at the expense of the reduction of quantum numbers forming the delayed asynchronous release, i.e., there was a redistribution of quanta between synchronous and asynchronous phases of secretion. A block of ryanodine receptors also reduced the fluorescence intensity of the specific fluorescent calcium-sensitive dye Fluo-3 AM, which indicates a decrease in the intracellular calcium ion concentration. Thus, the presynaptic ryanodine receptors control the intracellular content of calcium ions under repetitive stimulation of the nerve endings and contribute to the modulation of the time parameters of the evoked release of the neurotransmitter quanta by increasing the intensity of the delayed asynchronous release of neurotransmitters.","author":[{"dropping-particle":"","family":"Khuzakhmetova","given":"V. F.","non-dropping-particle":"","parse-names":false,"suffix":""},{"dropping-particle":"V.","family":"Samigullin","given":"D.","non-dropping-particle":"","parse-names":false,"suffix":""},{"dropping-particle":"","family":"Bukharaeva","given":"E. A.","non-dropping-particle":"","parse-names":false,"suffix":""}],"container-title":"Biochemistry (Moscow) Supplement Series A: Membrane and Cell Biology 2014 8:1","id":"ITEM-2","issue":"1","issued":{"date-parts":[["2014","2","25"]]},"page":"144-152","publisher":"Springer","title":"The role of presynaptic ryanodine receptors in regulation of the kinetics of the acetylcholine quantal release in the mouse neuromuscular junction","type":"article-journal","volume":"8"},"uris":["http://www.mendeley.com/documents/?uuid=7d8b4074-97f6-3446-8c8b-4181a5dd6507"]},{"id":"ITEM-3","itemData":{"DOI":"10.1085/JGP.112.5.593","ISSN":"0022-1295","PMID":"9806968","abstract":"The extent to which Ca2+-induced Ca2+ release (CICR) affects transmitter release is unknown. Continuous nerve stimulation (20-50 Hz) caused slow transient increases in miniature end-plate potential (MEPP) frequency (MEPP-hump) and intracellular free Ca2+ ([Ca2+](i)) in presynaptic terminals (Ca2+-hump) in frog skeletal muscles over a period of minutes in a low Ca2+, high Mg2+ solution. Mn2+ quenched Indo-1 and Fura-2 fluorescence, thus indicating that stimulation was accompanied by opening of voltage-dependent Ca2+ channels. MEPP-hump depended on extracellular Ca2+ (0.05-0.2 mM) and stimulation frequency. Both the Ca2+- and MEPP-humps were blocked by 8-(N,N-diethylamino)octyl3,4,5- trimethoxybenzoate hydrochloride (TMB-8), ryanodine, and thapsigargin, but enhanced by CN-. Thus, Ca2+-hump is generated by the activation of CICR via ryanodine receptors by Ca2+ entry, producing MEPP-hump. A short interruption of tetanus (&lt;1 min) during MEPP-hump quickly reduced MEPP frequency to a level attained under the effect of TMB-8 or thapsigargin, while resuming tetanus swiftly raised MEPP frequency to the previous or higher level. Thus, the steady/equilibrium condition balancing CICR and Ca2+ clearance occurs in nerve terminals with slow changes toward a greater activation of CICR (priming) during the rising phase of MEPP-hump and toward a smaller activation during the decay phase. A short pause applied after the end of MEPP- or Ca2+-hump affected little MEPP frequency or [Ca2+](i), but caused a quick increase (faster than MEPP- or Ca2+-hump) after the pause, whose magnitude increased with an increase in pause duration (&lt;1 min), suggesting that Ca2+ entry-dependent inactivation, but not depriming process, explains the decay of the humps. The depriming process was seen by giving a much longer pause (&gt;1 min). Thus, ryanodine receptors in frog motor nerve terminals are endowed with Ca2+ entry-dependent slow priming and fast inactivation mechanisms, as well as Ca2+ entry-dependent activation, and involved in asynchronous exocytosis. Physiological significance of CICR in presynaptic terminals was discussed.","author":[{"dropping-particle":"","family":"Narita","given":"K.","non-dropping-particle":"","parse-names":false,"suffix":""},{"dropping-particle":"","family":"Akita","given":"T.","non-dropping-particle":"","parse-names":false,"suffix":""},{"dropping-particle":"","family":"Osanai","given":"M.","non-dropping-particle":"","parse-names":false,"suffix":""},{"dropping-particle":"","family":"Shirasaki","given":"T.","non-dropping-particle":"","parse-names":false,"suffix":""},{"dropping-particle":"","family":"Kijima","given":"H.","non-dropping-particle":"","parse-names":false,"suffix":""},{"dropping-particle":"","family":"Kuba","given":"K.","non-dropping-particle":"","parse-names":false,"suffix":""}],"container-title":"The Journal of general physiology","id":"ITEM-3","issue":"5","issued":{"date-parts":[["1998","11"]]},"page":"593-609","publisher":"J Gen Physiol","title":"A Ca2+-induced Ca2+ release mechanism involved in asynchronous exocytosis at frog motor nerve terminals","type":"article-journal","volume":"112"},"uris":["http://www.mendeley.com/documents/?uuid=3d42f183-bc80-3cf8-a53f-dbeb23e655a6"]}],"mendeley":{"formattedCitation":"[41, 43, 44]","plainTextFormattedCitation":"[41, 43, 44]","previouslyFormattedCitation":"[40, 42, 43]"},"properties":{"noteIndex":0},"schema":"https://github.com/citation-style-language/schema/raw/master/csl-citation.json"}</w:instrText>
      </w:r>
      <w:r w:rsidRPr="00E030F1">
        <w:rPr>
          <w:color w:val="000000" w:themeColor="text1"/>
        </w:rPr>
        <w:fldChar w:fldCharType="separate"/>
      </w:r>
      <w:r w:rsidR="00F8756B" w:rsidRPr="00E030F1">
        <w:rPr>
          <w:noProof/>
          <w:color w:val="000000" w:themeColor="text1"/>
        </w:rPr>
        <w:t>[41, 43, 44]</w:t>
      </w:r>
      <w:r w:rsidRPr="00E030F1">
        <w:rPr>
          <w:color w:val="000000" w:themeColor="text1"/>
        </w:rPr>
        <w:fldChar w:fldCharType="end"/>
      </w:r>
      <w:r w:rsidRPr="00E030F1">
        <w:rPr>
          <w:color w:val="000000" w:themeColor="text1"/>
        </w:rPr>
        <w:t xml:space="preserve">, as well as in maintaining homeostatic plasticity (in flies) </w:t>
      </w:r>
      <w:r w:rsidRPr="00E030F1">
        <w:rPr>
          <w:color w:val="000000" w:themeColor="text1"/>
        </w:rPr>
        <w:fldChar w:fldCharType="begin" w:fldLock="1"/>
      </w:r>
      <w:r w:rsidR="00F8756B" w:rsidRPr="00E030F1">
        <w:rPr>
          <w:color w:val="000000" w:themeColor="text1"/>
        </w:rPr>
        <w:instrText>ADDIN CSL_CITATION {"citationItems":[{"id":"ITEM-1","itemData":{"DOI":"10.7554/ELIFE.39643","ISSN":"2050-084X","PMID":"31180325","abstract":"Synapses and circuits rely on neuroplasticity to adjust output and meet physiological needs. Forms of homeostatic synaptic plasticity impart stability at synapses by countering destabilizing perturbations. The Drosophila melanogaster larval neuromuscular junction (NMJ) is a model synapse with robust expression of homeostatic plasticity. At the NMJ, a homeostatic system detects impaired postsynaptic sensitivity to neurotransmitter and activates a retrograde signal that restores synaptic function by adjusting neurotransmitter release. This process has been separated into temporally distinct phases, induction and maintenance. One prevailing hypothesis is that a shared mechanism governs both phases. Here, we show the two phases are separable. Combining genetics, pharmacology, and electrophysiology, we find that a signaling system consisting of PLCβ, inositol triphosphate (IP3), IP3 receptors, and Ryanodine receptors is required only for the maintenance of homeostatic plasticity. We also find that the NMJ is capable of inducing homeostatic signaling even when its sustained maintenance process is absent. Editorial note: This article has been through an editorial process in which the authors decide how to respond to the issues raised during peer review. The Reviewing Editor’s assessment is that all the issues have been addressed (see decision letter).","author":[{"dropping-particle":"","family":"James","given":"Thomas D.","non-dropping-particle":"","parse-names":false,"suffix":""},{"dropping-particle":"","family":"Zwiefelhofer","given":"Danielle J.","non-dropping-particle":"","parse-names":false,"suffix":""},{"dropping-particle":"","family":"Frank","given":"C. Andrew","non-dropping-particle":"","parse-names":false,"suffix":""}],"container-title":"eLife","id":"ITEM-1","issued":{"date-parts":[["2019","6","1"]]},"publisher":"Elife","title":"Maintenance of homeostatic plasticity at the Drosophila neuromuscular synapse requires continuous IP 3-directed signaling","type":"article-journal","volume":"8"},"uris":["http://www.mendeley.com/documents/?uuid=3cdaaefa-a165-3a90-84dd-398311c6f7de"]}],"mendeley":{"formattedCitation":"[45]","plainTextFormattedCitation":"[45]","previouslyFormattedCitation":"[44]"},"properties":{"noteIndex":0},"schema":"https://github.com/citation-style-language/schema/raw/master/csl-citation.json"}</w:instrText>
      </w:r>
      <w:r w:rsidRPr="00E030F1">
        <w:rPr>
          <w:color w:val="000000" w:themeColor="text1"/>
        </w:rPr>
        <w:fldChar w:fldCharType="separate"/>
      </w:r>
      <w:r w:rsidR="00F8756B" w:rsidRPr="00E030F1">
        <w:rPr>
          <w:noProof/>
          <w:color w:val="000000" w:themeColor="text1"/>
        </w:rPr>
        <w:t>[45]</w:t>
      </w:r>
      <w:r w:rsidRPr="00E030F1">
        <w:rPr>
          <w:color w:val="000000" w:themeColor="text1"/>
        </w:rPr>
        <w:fldChar w:fldCharType="end"/>
      </w:r>
      <w:r w:rsidRPr="00E030F1">
        <w:rPr>
          <w:color w:val="000000" w:themeColor="text1"/>
        </w:rPr>
        <w:t xml:space="preserve">. Therefore, ectopic EJPs in </w:t>
      </w:r>
      <w:proofErr w:type="spellStart"/>
      <w:r w:rsidRPr="00E030F1">
        <w:rPr>
          <w:i/>
          <w:iCs/>
          <w:color w:val="000000" w:themeColor="text1"/>
        </w:rPr>
        <w:t>Tmep</w:t>
      </w:r>
      <w:proofErr w:type="spellEnd"/>
      <w:r w:rsidRPr="00E030F1">
        <w:rPr>
          <w:color w:val="000000" w:themeColor="text1"/>
        </w:rPr>
        <w:t xml:space="preserve"> mutants could be </w:t>
      </w:r>
      <w:r w:rsidR="008556C1" w:rsidRPr="00E030F1">
        <w:rPr>
          <w:color w:val="000000" w:themeColor="text1"/>
        </w:rPr>
        <w:t>presenting</w:t>
      </w:r>
      <w:r w:rsidRPr="00E030F1">
        <w:rPr>
          <w:color w:val="000000" w:themeColor="text1"/>
        </w:rPr>
        <w:t xml:space="preserve"> an increase in asynchronous firing due to a prolonged increase in presynaptic calcium </w:t>
      </w:r>
      <w:r w:rsidRPr="00E030F1">
        <w:rPr>
          <w:color w:val="000000" w:themeColor="text1"/>
        </w:rPr>
        <w:fldChar w:fldCharType="begin" w:fldLock="1"/>
      </w:r>
      <w:r w:rsidR="00F8756B" w:rsidRPr="00E030F1">
        <w:rPr>
          <w:color w:val="000000" w:themeColor="text1"/>
        </w:rPr>
        <w:instrText>ADDIN CSL_CITATION {"citationItems":[{"id":"ITEM-1","itemData":{"DOI":"10.1146/ANNUREV-PHYSIOL-021113-170338","ISSN":"00664278","PMID":"24274737","abstract":"Most neuronal communication relies upon the synchronous release of neurotransmitters, which occurs through synaptic vesicle exocytosis triggered by action potential invasion of a presynaptic bouton...","author":[{"dropping-particle":"","family":"Kaeser","given":"Pascal S.","non-dropping-particle":"","parse-names":false,"suffix":""},{"dropping-particle":"","family":"Regehr","given":"Wade G.","non-dropping-particle":"","parse-names":false,"suffix":""}],"container-title":"http://dx.doi.org/10.1146/annurev-physiol-021113-170338","id":"ITEM-1","issued":{"date-parts":[["2014","2","10"]]},"page":"333-363","publisher":" Annual Reviews ","title":"Molecular Mechanisms for Synchronous, Asynchronous, and Spontaneous Neurotransmitter Release","type":"article-journal","volume":"76"},"uris":["http://www.mendeley.com/documents/?uuid=e34b7a94-a4dc-3880-9f99-a9b671d03d02"]}],"mendeley":{"formattedCitation":"[46]","plainTextFormattedCitation":"[46]","previouslyFormattedCitation":"[45]"},"properties":{"noteIndex":0},"schema":"https://github.com/citation-style-language/schema/raw/master/csl-citation.json"}</w:instrText>
      </w:r>
      <w:r w:rsidRPr="00E030F1">
        <w:rPr>
          <w:color w:val="000000" w:themeColor="text1"/>
        </w:rPr>
        <w:fldChar w:fldCharType="separate"/>
      </w:r>
      <w:r w:rsidR="00F8756B" w:rsidRPr="00E030F1">
        <w:rPr>
          <w:noProof/>
          <w:color w:val="000000" w:themeColor="text1"/>
        </w:rPr>
        <w:t>[46]</w:t>
      </w:r>
      <w:r w:rsidRPr="00E030F1">
        <w:rPr>
          <w:color w:val="000000" w:themeColor="text1"/>
        </w:rPr>
        <w:fldChar w:fldCharType="end"/>
      </w:r>
      <w:r w:rsidRPr="00E030F1">
        <w:rPr>
          <w:color w:val="000000" w:themeColor="text1"/>
        </w:rPr>
        <w:t xml:space="preserve">.  Finally, in </w:t>
      </w:r>
      <w:proofErr w:type="spellStart"/>
      <w:r w:rsidRPr="00E030F1">
        <w:rPr>
          <w:i/>
          <w:iCs/>
          <w:color w:val="000000" w:themeColor="text1"/>
        </w:rPr>
        <w:t>Tmep</w:t>
      </w:r>
      <w:proofErr w:type="spellEnd"/>
      <w:r w:rsidRPr="00E030F1">
        <w:rPr>
          <w:color w:val="000000" w:themeColor="text1"/>
        </w:rPr>
        <w:t xml:space="preserve"> mutants we see an increase in branching and in satellite boutons per synaptic branch. It is well established that mutations in potassium channels such as </w:t>
      </w:r>
      <w:r w:rsidRPr="00E030F1">
        <w:rPr>
          <w:i/>
          <w:iCs/>
          <w:color w:val="000000" w:themeColor="text1"/>
        </w:rPr>
        <w:t xml:space="preserve">Shaker, </w:t>
      </w:r>
      <w:proofErr w:type="spellStart"/>
      <w:r w:rsidRPr="00E030F1">
        <w:rPr>
          <w:i/>
          <w:iCs/>
          <w:color w:val="000000" w:themeColor="text1"/>
        </w:rPr>
        <w:t>Slo</w:t>
      </w:r>
      <w:proofErr w:type="spellEnd"/>
      <w:r w:rsidRPr="00E030F1">
        <w:rPr>
          <w:i/>
          <w:iCs/>
          <w:color w:val="000000" w:themeColor="text1"/>
        </w:rPr>
        <w:t>, and Seizure</w:t>
      </w:r>
      <w:r w:rsidRPr="00E030F1">
        <w:rPr>
          <w:color w:val="000000" w:themeColor="text1"/>
        </w:rPr>
        <w:t xml:space="preserve"> cause activity-dependent synaptic </w:t>
      </w:r>
      <w:r w:rsidRPr="00E030F1">
        <w:rPr>
          <w:color w:val="000000" w:themeColor="text1"/>
        </w:rPr>
        <w:lastRenderedPageBreak/>
        <w:t xml:space="preserve">overgrowth including the formation of satellite boutons, which can be suppressed by </w:t>
      </w:r>
      <w:r w:rsidR="008556C1" w:rsidRPr="00E030F1">
        <w:rPr>
          <w:color w:val="000000" w:themeColor="text1"/>
        </w:rPr>
        <w:t xml:space="preserve">the introduction </w:t>
      </w:r>
      <w:r w:rsidR="0086786A" w:rsidRPr="00E030F1">
        <w:rPr>
          <w:color w:val="000000" w:themeColor="text1"/>
        </w:rPr>
        <w:t xml:space="preserve">of </w:t>
      </w:r>
      <w:r w:rsidR="00695052" w:rsidRPr="00E030F1">
        <w:rPr>
          <w:color w:val="000000" w:themeColor="text1"/>
        </w:rPr>
        <w:t xml:space="preserve">sodium or </w:t>
      </w:r>
      <w:r w:rsidRPr="00E030F1">
        <w:rPr>
          <w:color w:val="000000" w:themeColor="text1"/>
        </w:rPr>
        <w:t>calcium channel mutations</w:t>
      </w:r>
      <w:r w:rsidR="008556C1" w:rsidRPr="00E030F1">
        <w:rPr>
          <w:color w:val="000000" w:themeColor="text1"/>
        </w:rPr>
        <w:t xml:space="preserve"> in these mutant backgrounds</w:t>
      </w:r>
      <w:r w:rsidR="00695052" w:rsidRPr="00E030F1">
        <w:rPr>
          <w:color w:val="000000" w:themeColor="text1"/>
        </w:rPr>
        <w:t xml:space="preserve"> </w:t>
      </w:r>
      <w:r w:rsidR="00695052" w:rsidRPr="00E030F1">
        <w:rPr>
          <w:color w:val="000000" w:themeColor="text1"/>
        </w:rPr>
        <w:fldChar w:fldCharType="begin" w:fldLock="1"/>
      </w:r>
      <w:r w:rsidR="00F8756B" w:rsidRPr="00E030F1">
        <w:rPr>
          <w:color w:val="000000" w:themeColor="text1"/>
        </w:rPr>
        <w:instrText>ADDIN CSL_CITATION {"citationItems":[{"id":"ITEM-1","itemData":{"DOI":"10.1523/JNEUROSCI.10-11-03754.1990","ISSN":"0270-6474","PMID":"1700086","abstract":"An anatomical and electrophysiological study of Drosophila mutants has been made to determine the effect of altered electrical activity on the development and maintenance of larval neuromuscular junctions. We examined motor axon terminals of (1) hyperexcitable mutants Shaker (Sh), ether a go-go (eag), Hyperkinetic (Hk), and Duplication of para+ (Dp para+); and (2) mutants with reduced excitability, no action potential (napts) and paralytic (parats1). Nerve terminals innervating larval body-wall muscles were visualized by using anti-HRP immunocytochemistry, which specifically stains neurons in insect species. In wild-type larvae, motor axon terminals were distributed in a sterotypic fashion. However, in combinations of eag and Sh alleles, the basic pattern of innervation was altered. There was an increase in both the number of higher-order axonal branches over the muscles and the number of varicosities on the neurites. A similar phenomenon was found in the double mutant Hk eag and, to a lesser extent, in Dp para+ and Dp para+ Sh mutants. It is known that at permissive temperature the napts, but not parats1, mutation decreases excitability of larval motor axons and suppresses the behavioral phenotypes of Sh, eag, and Hk. In the mutant napts (reared at permissive temperature), a slight decrease in the extent of branching was observed. Yet, when combined with eag Sh, napts completely reversed the morphological abnormality in eag Sh mutants. No such reversion was observed in parats1 eag Sh mutants. The endogenous patterns of electrical activity at the neuromuscular junction were analyzed by extracellular recordings in a semi-intact larval preparation. Recordings from wild-type body-wall muscles revealed rhythmic bursts of spikes. In eag Sh mutants, this rhythmic activity was accompanied by or superimposed on periods of strong tonic activity. This abnormal pattern of activity could be partially suppressed by napts in combination with eag Sh.","author":[{"dropping-particle":"","family":"Budnik","given":"Vivian","non-dropping-particle":"","parse-names":false,"suffix":""},{"dropping-particle":"","family":"Zhong","given":"Yi","non-dropping-particle":"","parse-names":false,"suffix":""},{"dropping-particle":"","family":"Wu","given":"Chun Fang","non-dropping-particle":"","parse-names":false,"suffix":""}],"container-title":"The Journal of neuroscience : the official journal of the Society for Neuroscience","id":"ITEM-1","issue":"11","issued":{"date-parts":[["1990"]]},"page":"3754-3768","publisher":"J Neurosci","title":"Morphological plasticity of motor axons in Drosophila mutants with altered excitability","type":"article-journal","volume":"10"},"uris":["http://www.mendeley.com/documents/?uuid=ef8f6491-14ba-3ede-9812-3be3488bc5c0"]},{"id":"ITEM-2","itemData":{"DOI":"10.1152/JN.2001.86.3.1211/ASSET/IMAGES/LARGE/9K0911880007.JPEG","ISSN":"00223077","PMID":"11535671","abstract":"Despite the frequency of seizure disorders in the human population, the genetic and physiological basis for these defects has been difficult to resolve. Although many genetic defects that cause seizure susceptibility have been identified, the defects involve disparate biological processes, many of which are not neural specific. The large number and heterogeneous nature of the genes involved makes it difficult to understand the complex factors underlying the etiology of seizure disorders. Examining the effect known genetic mutations have on seizure susceptibility is one approach that may prove fruitful. This approach may be helpful both in understanding how different physiological processes affect seizure susceptibility and in identifying novel therapeutic treatments. In this study, we have taken advantage of Drosophila, a genetically tractable system, to identify factors that suppress seizure susceptibility. Of particular interest has been a group of Drosophila mutants, the bangsensitive (BS) mutants, which are much more susceptible to seizures than wild type. The BS phenotypic class includes at least eight genes, including three examined in this study, bss, eas, and sda. Through the generation of double-mutant combinations with other well-characterized Drosophila mutants, the BS mutants are particularly useful for identifying genetic factors that suppress susceptibility to seizures. We have found that mutants affecting Na+ channels, mlenapts and para, K+ channels, Sh, and electrical synapses, shak-B2, can suppress seizures in the BS mutants. This is the first demonstration that these types of mutations can suppress the development of seizures in any organism. Reduced neuronal excitability may contribute to seizure suppression. The best suppressor, mlenapts, causes an increased stimulation threshold for the giant fiber (GF) consistent with a reduction in single neuron excitability that could underlie suppression of seizures. For some other double mutants with para and ShKS133, there are no GF threshold changes, but reduced excitability may also be indicated by a reduction in GF following frequency. These results demonstrate the utility of Drosophila as a model system for studying seizure susceptibility and identify physiological processes that modify seizure susceptibility.","author":[{"dropping-particle":"","family":"Kuebler","given":"Daniel","non-dropping-particle":"","parse-names":false,"suffix":""},{"dropping-particle":"","family":"Zhang","given":"Haiguang","non-dropping-particle":"","parse-names":false,"suffix":""},{"dropping-particle":"","family":"Ren","given":"Xiaoyun","non-dropping-particle":"","parse-names":false,"suffix":""},{"dropping-particle":"","family":"Tanouye","given":"Mark A.","non-dropping-particle":"","parse-names":false,"suffix":""}],"container-title":"Journal of Neurophysiology","id":"ITEM-2","issue":"3","issued":{"date-parts":[["2001"]]},"page":"1211-1225","publisher":"American Physiological Society","title":"Genetic suppression of seizure susceptibility in Drosophila","type":"article-journal","volume":"86"},"uris":["http://www.mendeley.com/documents/?uuid=58b2cf99-cfa9-34a9-8c45-49893b2c5783"]},{"id":"ITEM-3","itemData":{"DOI":"10.1371/JOURNAL.PGEN.1005784","ISSN":"1553-7404","PMID":"26771829","abstract":"Bang sensitive (BS) Drosophila mutants display characteristic seizure-like phenotypes resembling, in some aspects, those of human seizure disorders such as epilepsy. The BS mutant parabss1, caused by a gain-of-function mutation of the voltage-gated Na+ channel gene, is extremely seizure-sensitive with phenotypes that have proven difficult to ameliorate by anti-epileptic drug feeding or by seizure-suppressor mutation. It has been presented as a model for intractable human epilepsy. Here we show that cacophony (cacTS2), a mutation of the Drosophila presynaptic Ca++ channel α1 subunit gene, is a particularly potent seizure-suppressor mutation, reverting seizure-like phenotypes for parabss1 and other BS mutants. Seizure-like phenotypes for parabss1 may be suppressed by as much as 90% in double mutant combinations with cacTS2. Unexpectedly, we find that parabss1 also reciprocally suppresses cacTS2 seizure-like phenotypes. The cacTS2 mutant displays these seizure-like behaviors and spontaneous high-frequency action potential firing transiently after exposure to high temperature. We find that this seizure-like behavior in cacTS2 is ameliorated by 85% in double mutant combinations with parabss1.","author":[{"dropping-particle":"","family":"Saras","given":"Arunesh","non-dropping-particle":"","parse-names":false,"suffix":""},{"dropping-particle":"","family":"Tanouye","given":"Mark A.","non-dropping-particle":"","parse-names":false,"suffix":""}],"container-title":"PLOS Genetics","id":"ITEM-3","issue":"1","issued":{"date-parts":[["2016"]]},"page":"e1005784","publisher":"Public Library of Science","title":"Mutations of the Calcium Channel Gene cacophony Suppress Seizures in Drosophila","type":"article-journal","volume":"12"},"uris":["http://www.mendeley.com/documents/?uuid=08211757-8b22-38b9-8237-ab5618706640"]}],"mendeley":{"formattedCitation":"[47–49]","plainTextFormattedCitation":"[47–49]","previouslyFormattedCitation":"[46–48]"},"properties":{"noteIndex":0},"schema":"https://github.com/citation-style-language/schema/raw/master/csl-citation.json"}</w:instrText>
      </w:r>
      <w:r w:rsidR="00695052" w:rsidRPr="00E030F1">
        <w:rPr>
          <w:color w:val="000000" w:themeColor="text1"/>
        </w:rPr>
        <w:fldChar w:fldCharType="separate"/>
      </w:r>
      <w:r w:rsidR="00F8756B" w:rsidRPr="00E030F1">
        <w:rPr>
          <w:noProof/>
          <w:color w:val="000000" w:themeColor="text1"/>
        </w:rPr>
        <w:t>[47–49]</w:t>
      </w:r>
      <w:r w:rsidR="00695052" w:rsidRPr="00E030F1">
        <w:rPr>
          <w:color w:val="000000" w:themeColor="text1"/>
        </w:rPr>
        <w:fldChar w:fldCharType="end"/>
      </w:r>
      <w:r w:rsidRPr="00E030F1">
        <w:rPr>
          <w:color w:val="000000" w:themeColor="text1"/>
        </w:rPr>
        <w:t xml:space="preserve">. Thus, our data support a model in which </w:t>
      </w:r>
      <w:proofErr w:type="spellStart"/>
      <w:r w:rsidRPr="00E030F1">
        <w:rPr>
          <w:color w:val="000000" w:themeColor="text1"/>
        </w:rPr>
        <w:t>Tmep</w:t>
      </w:r>
      <w:proofErr w:type="spellEnd"/>
      <w:r w:rsidRPr="00E030F1">
        <w:rPr>
          <w:color w:val="000000" w:themeColor="text1"/>
        </w:rPr>
        <w:t xml:space="preserve"> maintains appropriate levels of cytosolic calcium which prevents synaptic overgrowth and ectopic firing. </w:t>
      </w:r>
    </w:p>
    <w:p w14:paraId="4F630109" w14:textId="733D89FA" w:rsidR="00CE542C" w:rsidRPr="00E030F1" w:rsidRDefault="001826CB" w:rsidP="0045771A">
      <w:pPr>
        <w:spacing w:line="480" w:lineRule="auto"/>
        <w:ind w:firstLine="720"/>
        <w:rPr>
          <w:color w:val="000000" w:themeColor="text1"/>
        </w:rPr>
      </w:pPr>
      <w:r w:rsidRPr="00E030F1">
        <w:rPr>
          <w:color w:val="000000" w:themeColor="text1"/>
        </w:rPr>
        <w:t xml:space="preserve">While our experiments were designed to examine cytosolic calcium, it is also possible that </w:t>
      </w:r>
      <w:proofErr w:type="spellStart"/>
      <w:r w:rsidRPr="00E030F1">
        <w:rPr>
          <w:i/>
          <w:iCs/>
          <w:color w:val="000000" w:themeColor="text1"/>
        </w:rPr>
        <w:t>Tmep</w:t>
      </w:r>
      <w:proofErr w:type="spellEnd"/>
      <w:r w:rsidRPr="00E030F1">
        <w:rPr>
          <w:color w:val="000000" w:themeColor="text1"/>
        </w:rPr>
        <w:t xml:space="preserve"> mutants have altered calcium in membrane-bound organelles. </w:t>
      </w:r>
      <w:r w:rsidR="00912D4A" w:rsidRPr="00E030F1">
        <w:rPr>
          <w:color w:val="000000" w:themeColor="text1"/>
        </w:rPr>
        <w:t xml:space="preserve">ITPR </w:t>
      </w:r>
      <w:r w:rsidR="00CC41A0" w:rsidRPr="00E030F1">
        <w:rPr>
          <w:color w:val="000000" w:themeColor="text1"/>
        </w:rPr>
        <w:t xml:space="preserve">is expressed on the endoplasmic reticulum and </w:t>
      </w:r>
      <w:r w:rsidR="00912D4A" w:rsidRPr="00E030F1">
        <w:rPr>
          <w:color w:val="000000" w:themeColor="text1"/>
        </w:rPr>
        <w:t xml:space="preserve">plays specialized roles in </w:t>
      </w:r>
      <w:r w:rsidR="00CC41A0" w:rsidRPr="00E030F1">
        <w:rPr>
          <w:color w:val="000000" w:themeColor="text1"/>
        </w:rPr>
        <w:t>loading</w:t>
      </w:r>
      <w:r w:rsidR="004A3980" w:rsidRPr="00E030F1">
        <w:rPr>
          <w:color w:val="000000" w:themeColor="text1"/>
        </w:rPr>
        <w:t xml:space="preserve"> calcium</w:t>
      </w:r>
      <w:r w:rsidR="00A91556" w:rsidRPr="00E030F1">
        <w:rPr>
          <w:color w:val="000000" w:themeColor="text1"/>
        </w:rPr>
        <w:t xml:space="preserve"> </w:t>
      </w:r>
      <w:r w:rsidR="00966674" w:rsidRPr="00E030F1">
        <w:rPr>
          <w:color w:val="000000" w:themeColor="text1"/>
        </w:rPr>
        <w:t xml:space="preserve">into compartments such </w:t>
      </w:r>
      <w:r w:rsidR="00CC41A0" w:rsidRPr="00E030F1">
        <w:rPr>
          <w:color w:val="000000" w:themeColor="text1"/>
        </w:rPr>
        <w:t xml:space="preserve">as </w:t>
      </w:r>
      <w:r w:rsidR="00912D4A" w:rsidRPr="00E030F1">
        <w:rPr>
          <w:color w:val="000000" w:themeColor="text1"/>
        </w:rPr>
        <w:t>mitochondria</w:t>
      </w:r>
      <w:r w:rsidR="00AA06B0" w:rsidRPr="00E030F1">
        <w:rPr>
          <w:color w:val="000000" w:themeColor="text1"/>
        </w:rPr>
        <w:t xml:space="preserve"> </w:t>
      </w:r>
      <w:r w:rsidR="00912D4A" w:rsidRPr="00E030F1">
        <w:rPr>
          <w:color w:val="000000" w:themeColor="text1"/>
        </w:rPr>
        <w:fldChar w:fldCharType="begin" w:fldLock="1"/>
      </w:r>
      <w:r w:rsidR="00F8756B" w:rsidRPr="00E030F1">
        <w:rPr>
          <w:color w:val="000000" w:themeColor="text1"/>
        </w:rPr>
        <w:instrText>ADDIN CSL_CITATION {"citationItems":[{"id":"ITEM-1","itemData":{"DOI":"10.1038/ncomms4792","ISSN":"20411723","PMID":"24797322","abstract":"Senescence is involved in various pathophysiological conditions. Besides loss of retinoblastoma and p53 pathways, little is known about other pathways involved in senescence. Here we identify two calcium channels; inositol 1,4,5-trisphosphate receptor, type 2 (ITPR2) (also known as inositol 1,4,5-triphosphate receptor 2 (IP3R2)) and mitochondrial calcium uniporter (MCU) as new senescence regulators in a loss-of-function genetic screen. We show that loss of ITPR2, known to mediate endoplasmic reticulum (ER) calcium release, as well as loss of MCU, necessary for mitochondrial calcium uptake, enable escape from oncogene-induced senescence (OIS). During OIS, ITPR2 triggers calcium release from the ER, followed by mitochondrial calcium accumulation through MCU channels. Mitochondrial calcium accumulation leads to a subsequent decrease in mitochondrial membrane potential, reactive oxygen species accumulation and senescence. This ER-mitochondria calcium transport is not restricted to OIS, but is also involved in replicative senescence. Our results show a functional role of calcium release by the ITPR2 channel and its subsequent accumulation in the mitochondria. © 2014 Macmillan Publishers Limited. All rights reserved.","author":[{"dropping-particle":"","family":"Wiel","given":"Clotilde","non-dropping-particle":"","parse-names":false,"suffix":""},{"dropping-particle":"","family":"Lallet-Daher","given":"Hélène","non-dropping-particle":"","parse-names":false,"suffix":""},{"dropping-particle":"","family":"Gitenay","given":"Delphine","non-dropping-particle":"","parse-names":false,"suffix":""},{"dropping-particle":"","family":"Gras","given":"Baptiste","non-dropping-particle":"","parse-names":false,"suffix":""},{"dropping-particle":"","family":"Calvé","given":"Benjamin","non-dropping-particle":"Le","parse-names":false,"suffix":""},{"dropping-particle":"","family":"Augert","given":"Arnaud","non-dropping-particle":"","parse-names":false,"suffix":""},{"dropping-particle":"","family":"Ferrand","given":"Mylène","non-dropping-particle":"","parse-names":false,"suffix":""},{"dropping-particle":"","family":"Prevarskaya","given":"Natalia","non-dropping-particle":"","parse-names":false,"suffix":""},{"dropping-particle":"","family":"Simonnet","given":"Hélène","non-dropping-particle":"","parse-names":false,"suffix":""},{"dropping-particle":"","family":"Vindrieux","given":"David","non-dropping-particle":"","parse-names":false,"suffix":""},{"dropping-particle":"","family":"Bernard","given":"David","non-dropping-particle":"","parse-names":false,"suffix":""}],"container-title":"Nature Communications","id":"ITEM-1","issue":"May","issued":{"date-parts":[["2014"]]},"title":"Endoplasmic reticulum calcium release through ITPR2 channels leads to mitochondrial calcium accumulation and senescence","type":"article-journal","volume":"5"},"uris":["http://www.mendeley.com/documents/?uuid=f291c88d-8ce4-4be6-9b4f-c65ce1e8de93","http://www.mendeley.com/documents/?uuid=04ec6977-2038-445a-a8db-e51568d4d5b9"]}],"mendeley":{"formattedCitation":"[50]","plainTextFormattedCitation":"[50]","previouslyFormattedCitation":"[49]"},"properties":{"noteIndex":0},"schema":"https://github.com/citation-style-language/schema/raw/master/csl-citation.json"}</w:instrText>
      </w:r>
      <w:r w:rsidR="00912D4A" w:rsidRPr="00E030F1">
        <w:rPr>
          <w:color w:val="000000" w:themeColor="text1"/>
        </w:rPr>
        <w:fldChar w:fldCharType="separate"/>
      </w:r>
      <w:r w:rsidR="00F8756B" w:rsidRPr="00E030F1">
        <w:rPr>
          <w:noProof/>
          <w:color w:val="000000" w:themeColor="text1"/>
        </w:rPr>
        <w:t>[50]</w:t>
      </w:r>
      <w:r w:rsidR="00912D4A" w:rsidRPr="00E030F1">
        <w:rPr>
          <w:color w:val="000000" w:themeColor="text1"/>
        </w:rPr>
        <w:fldChar w:fldCharType="end"/>
      </w:r>
      <w:r w:rsidR="00B56F68" w:rsidRPr="00E030F1">
        <w:rPr>
          <w:color w:val="000000" w:themeColor="text1"/>
        </w:rPr>
        <w:t xml:space="preserve"> </w:t>
      </w:r>
      <w:r w:rsidR="00912D4A" w:rsidRPr="00E030F1">
        <w:rPr>
          <w:color w:val="000000" w:themeColor="text1"/>
        </w:rPr>
        <w:t xml:space="preserve">and </w:t>
      </w:r>
      <w:r w:rsidR="00C124D4" w:rsidRPr="00E030F1">
        <w:rPr>
          <w:color w:val="000000" w:themeColor="text1"/>
        </w:rPr>
        <w:t>ly</w:t>
      </w:r>
      <w:r w:rsidR="00B56F68" w:rsidRPr="00E030F1">
        <w:rPr>
          <w:color w:val="000000" w:themeColor="text1"/>
        </w:rPr>
        <w:t>s</w:t>
      </w:r>
      <w:r w:rsidR="00966674" w:rsidRPr="00E030F1">
        <w:rPr>
          <w:color w:val="000000" w:themeColor="text1"/>
        </w:rPr>
        <w:t>o</w:t>
      </w:r>
      <w:r w:rsidR="00C124D4" w:rsidRPr="00E030F1">
        <w:rPr>
          <w:color w:val="000000" w:themeColor="text1"/>
        </w:rPr>
        <w:t>so</w:t>
      </w:r>
      <w:r w:rsidR="00966674" w:rsidRPr="00E030F1">
        <w:rPr>
          <w:color w:val="000000" w:themeColor="text1"/>
        </w:rPr>
        <w:t>mes</w:t>
      </w:r>
      <w:r w:rsidR="00AA06B0" w:rsidRPr="00E030F1">
        <w:rPr>
          <w:color w:val="000000" w:themeColor="text1"/>
        </w:rPr>
        <w:t xml:space="preserve"> </w:t>
      </w:r>
      <w:r w:rsidR="00B56F68" w:rsidRPr="00E030F1">
        <w:rPr>
          <w:color w:val="000000" w:themeColor="text1"/>
        </w:rPr>
        <w:fldChar w:fldCharType="begin" w:fldLock="1"/>
      </w:r>
      <w:r w:rsidR="00F8756B" w:rsidRPr="00E030F1">
        <w:rPr>
          <w:color w:val="000000" w:themeColor="text1"/>
        </w:rPr>
        <w:instrText>ADDIN CSL_CITATION {"citationItems":[{"id":"ITEM-1","itemData":{"DOI":"10.1073/pnas.2004253118","ISBN":"2004253118","ISSN":"10916490","PMID":"33859040","abstract":"Mitochondrial ATP production is a well-known regulator of neuronal excitability. The reciprocal influence of plasma-membrane potential on ATP production, however, remains poorly understood. Here, we describe a mechanism by which depolarized neurons elevate the somatic ATP/ADP ratio in Drosophila glutamatergic neurons. We show that depolarization increased phospholipase-Cβ (PLC-β) activity by promoting the association of the enzyme with its phosphoinositide substrate. Augmented PLC-β activity led to greater release of endoplasmic reticulum Ca2+ via the inositol trisphosphate receptor (IP3R), increased mitochondrial Ca2+ uptake, and promoted ATP synthesis. Perturbations that decoupled membrane potential from this mode of ATP synthesis led to untrammeled PLC-β-IP3R activation and a dramatic shortening of Drosophila lifespan. Upon investigating the underlying mechanisms, we found that increased sequestration of Ca2+ into endolysosomes was an intermediary in the regulation of lifespan by IP3Rs. Manipulations that either lowered PLC-β/IP3R abundance or attenuated endolysosomal Ca2+ overload restored animal longevity. Collectively, our findings demonstrate that depolarization-dependent regulation of PLC-β-IP3R signaling is required for modulation of the ATP/ADP ratio in healthy glutamatergic neurons, whereas hyperactivation of this axis in chronically depolarized glutamatergic neurons shortens animal lifespan by promoting endolysosomal Ca2+ overload.","author":[{"dropping-particle":"","family":"Wong","given":"Ching On","non-dropping-particle":"","parse-names":false,"suffix":""},{"dropping-particle":"","family":"Karagas","given":"Nicholas E.","non-dropping-particle":"","parse-names":false,"suffix":""},{"dropping-particle":"","family":"Jung","given":"Jewon","non-dropping-particle":"","parse-names":false,"suffix":""},{"dropping-particle":"","family":"Wang","given":"Qiaochu","non-dropping-particle":"","parse-names":false,"suffix":""},{"dropping-particle":"","family":"Rousseau","given":"Morgan A.","non-dropping-particle":"","parse-names":false,"suffix":""},{"dropping-particle":"","family":"Chao","given":"Yufang","non-dropping-particle":"","parse-names":false,"suffix":""},{"dropping-particle":"","family":"Insolera","given":"Ryan","non-dropping-particle":"","parse-names":false,"suffix":""},{"dropping-particle":"","family":"Soppina","given":"Pushpanjali","non-dropping-particle":"","parse-names":false,"suffix":""},{"dropping-particle":"","family":"Collins","given":"Catherine A.","non-dropping-particle":"","parse-names":false,"suffix":""},{"dropping-particle":"","family":"Zhou","given":"Yong","non-dropping-particle":"","parse-names":false,"suffix":""},{"dropping-particle":"","family":"Hancock","given":"John F.","non-dropping-particle":"","parse-names":false,"suffix":""},{"dropping-particle":"","family":"Zhu","given":"Michael X.","non-dropping-particle":"","parse-names":false,"suffix":""},{"dropping-particle":"","family":"Venkatachalam","given":"Kartik","non-dropping-particle":"","parse-names":false,"suffix":""}],"container-title":"Proceedings of the National Academy of Sciences of the United States of America","id":"ITEM-1","issue":"16","issued":{"date-parts":[["2021"]]},"page":"1-9","title":"Regulation of longevity by depolarization-induced activation of PLC-β-IP3R signaling in neurons","type":"article-journal","volume":"118"},"uris":["http://www.mendeley.com/documents/?uuid=a7936c86-b245-480e-8d18-bdff261b9676"]}],"mendeley":{"formattedCitation":"[51]","plainTextFormattedCitation":"[51]","previouslyFormattedCitation":"[50]"},"properties":{"noteIndex":0},"schema":"https://github.com/citation-style-language/schema/raw/master/csl-citation.json"}</w:instrText>
      </w:r>
      <w:r w:rsidR="00B56F68" w:rsidRPr="00E030F1">
        <w:rPr>
          <w:color w:val="000000" w:themeColor="text1"/>
        </w:rPr>
        <w:fldChar w:fldCharType="separate"/>
      </w:r>
      <w:r w:rsidR="00F8756B" w:rsidRPr="00E030F1">
        <w:rPr>
          <w:noProof/>
          <w:color w:val="000000" w:themeColor="text1"/>
        </w:rPr>
        <w:t>[51]</w:t>
      </w:r>
      <w:r w:rsidR="00B56F68" w:rsidRPr="00E030F1">
        <w:rPr>
          <w:color w:val="000000" w:themeColor="text1"/>
        </w:rPr>
        <w:fldChar w:fldCharType="end"/>
      </w:r>
      <w:r w:rsidR="0027252D" w:rsidRPr="00E030F1">
        <w:rPr>
          <w:color w:val="000000" w:themeColor="text1"/>
        </w:rPr>
        <w:t>.</w:t>
      </w:r>
      <w:r w:rsidR="00235020" w:rsidRPr="00E030F1">
        <w:rPr>
          <w:color w:val="000000" w:themeColor="text1"/>
        </w:rPr>
        <w:t xml:space="preserve"> </w:t>
      </w:r>
      <w:r w:rsidR="00CC41A0" w:rsidRPr="00E030F1">
        <w:rPr>
          <w:color w:val="000000" w:themeColor="text1"/>
        </w:rPr>
        <w:t xml:space="preserve">The accumulation of lysosomes in mouse TMEM184b mutants </w:t>
      </w:r>
      <w:r w:rsidR="00CC41A0" w:rsidRPr="00E030F1">
        <w:rPr>
          <w:color w:val="000000" w:themeColor="text1"/>
        </w:rPr>
        <w:fldChar w:fldCharType="begin" w:fldLock="1"/>
      </w:r>
      <w:r w:rsidR="00606EF6" w:rsidRPr="00E030F1">
        <w:rPr>
          <w:color w:val="000000" w:themeColor="text1"/>
        </w:rPr>
        <w:instrText>ADDIN CSL_CITATION {"citationItems":[{"id":"ITEM-1","itemData":{"DOI":"10.1523/JNEUROSCI.2893-15.2016","ISSN":"15292401","PMID":"27122027","abstract":"Complex nervous systems achieve proper connectivity during development and must maintain these connections throughout life. The processes of axon and synaptic maintenance and axon degeneration after injury are jointly controlled by a number of proteins within neurons, including ubiquitin ligases and mitogen activated protein kinases. However, our understanding of these molecular cascades is incomplete. Here we describe the phenotype resulting from mutation of TMEM184b, a protein identified in a screen for axon degeneration mediators. TMEM184b is highly expressed in the mouse nervous system and is found in recycling endosomes in neuronal cell bodies and axons. Disruption of TMEM184b expression results in prolonged maintenance of peripheral axons following nerve injury, demonstrating a role for TMEM184b in axon degeneration. In contrast to this protective phenotype in axons, uninjured mutant mice have anatomical and functional impairments in the peripheral nervous system. Loss of TMEM184b causes swellings at neuromuscular junctions that become more numerous with age, demonstrating that TMEM184b is critical for the maintenance of synaptic architecture. These swellings contain abnormal multivesicular structures similar to those seen in patients with neurodegenerative disorders. Mutant animals also show abnormal sensory terminal morphology. TMEM184b mutant animals are deficient on the inverted screen test, illustrating a role for TMEM184b in sensory-motor function. Overall, we have identified an important function for TMEM184b in peripheral nerve terminal structure, function, and the axon degeneration pathway.","author":[{"dropping-particle":"","family":"Bhattacharya","given":"Martha R.C.","non-dropping-particle":"","parse-names":false,"suffix":""},{"dropping-particle":"","family":"Geisler","given":"Stefanie","non-dropping-particle":"","parse-names":false,"suffix":""},{"dropping-particle":"","family":"Pittman","given":"Sara K.","non-dropping-particle":"","parse-names":false,"suffix":""},{"dropping-particle":"","family":"Doan","given":"Ryan A.","non-dropping-particle":"","parse-names":false,"suffix":""},{"dropping-particle":"","family":"Weihl","given":"Conrad C.","non-dropping-particle":"","parse-names":false,"suffix":""},{"dropping-particle":"","family":"Milbrandt","given":"Jeffrey","non-dropping-particle":"","parse-names":false,"suffix":""},{"dropping-particle":"","family":"DiAntonio","given":"Aaron","non-dropping-particle":"","parse-names":false,"suffix":""}],"container-title":"Journal of Neuroscience","id":"ITEM-1","issue":"17","issued":{"date-parts":[["2016"]]},"page":"4681-4689","title":"TMEM184b promotes axon degeneration and neuromuscular junction maintenance","type":"article-journal","volume":"36"},"uris":["http://www.mendeley.com/documents/?uuid=d9297b0c-278f-3bb6-9ac6-5cfa9d00dfb9"]}],"mendeley":{"formattedCitation":"[17]","plainTextFormattedCitation":"[17]","previouslyFormattedCitation":"[17]"},"properties":{"noteIndex":0},"schema":"https://github.com/citation-style-language/schema/raw/master/csl-citation.json"}</w:instrText>
      </w:r>
      <w:r w:rsidR="00CC41A0" w:rsidRPr="00E030F1">
        <w:rPr>
          <w:color w:val="000000" w:themeColor="text1"/>
        </w:rPr>
        <w:fldChar w:fldCharType="separate"/>
      </w:r>
      <w:r w:rsidR="00D4585F" w:rsidRPr="00E030F1">
        <w:rPr>
          <w:noProof/>
          <w:color w:val="000000" w:themeColor="text1"/>
        </w:rPr>
        <w:t>[17]</w:t>
      </w:r>
      <w:r w:rsidR="00CC41A0" w:rsidRPr="00E030F1">
        <w:rPr>
          <w:color w:val="000000" w:themeColor="text1"/>
        </w:rPr>
        <w:fldChar w:fldCharType="end"/>
      </w:r>
      <w:r w:rsidR="00CC41A0" w:rsidRPr="00E030F1">
        <w:rPr>
          <w:color w:val="000000" w:themeColor="text1"/>
        </w:rPr>
        <w:t xml:space="preserve"> is consistent with an alteration that disrupts their function, </w:t>
      </w:r>
      <w:r w:rsidR="008556C1" w:rsidRPr="00E030F1">
        <w:rPr>
          <w:color w:val="000000" w:themeColor="text1"/>
        </w:rPr>
        <w:t>akin to a lysosomal storage disease-like condition</w:t>
      </w:r>
      <w:r w:rsidR="00CC41A0" w:rsidRPr="00E030F1">
        <w:rPr>
          <w:color w:val="000000" w:themeColor="text1"/>
        </w:rPr>
        <w:t xml:space="preserve">. </w:t>
      </w:r>
      <w:r w:rsidR="008556C1" w:rsidRPr="00E030F1">
        <w:rPr>
          <w:color w:val="000000" w:themeColor="text1"/>
        </w:rPr>
        <w:t xml:space="preserve">Lysosomes and other acidic organelles can act as a source of calcium, often via Twin-pore channels and NAADP action </w:t>
      </w:r>
      <w:r w:rsidR="00024697" w:rsidRPr="00E030F1">
        <w:rPr>
          <w:color w:val="000000" w:themeColor="text1"/>
        </w:rPr>
        <w:fldChar w:fldCharType="begin" w:fldLock="1"/>
      </w:r>
      <w:r w:rsidR="00F8756B" w:rsidRPr="00E030F1">
        <w:rPr>
          <w:color w:val="000000" w:themeColor="text1"/>
        </w:rPr>
        <w:instrText>ADDIN CSL_CITATION {"citationItems":[{"id":"ITEM-1","itemData":{"DOI":"10.1038/NATURE08030","ISSN":"1476-4687","PMID":"19387438","abstract":"Ca 2+ mobilization from intracellular stores represents an important cell signalling process that is regulated, in mammalian cells, by inositol-1,4,5-trisphosphate (InsP 3), cyclic ADP ribose and nicotinic acid adenine dinucleotide phosphate (NAADP). InsP 3 and cyclic ADP ribose cause the release of Ca 2+ from sarcoplasmic/endoplasmic reticulum stores by the activation of InsP 3 and ryanodine receptors (InsP 3 Rs and RyRs). In contrast, the nature of the intracellular stores targeted by NAADP and the molecular identity of the NAADP receptors remain controversial, although evidence indicates that NAADP mobilizes Ca 2+ from lysosome-related acidic compartments. Here we show that two-pore channels (TPCs) comprise a family of NAADP receptors, with human TPC1 (also known as TPCN1) and chicken TPC3 (TPCN3) being expressed on endosomal membranes, and human TPC2 (TPCN2) on lysosomal membranes when expressed in HEK293 cells. Membranes enriched with TPC2 show high affinity NAADP binding, and TPC2 underpins NAADP-induced Ca 2+ release from lysosome-related stores that is subsequently amplified by Ca 2+-induced Ca 2+ release by InsP 3 Rs. Responses to NAADP were abolished by disrupting the lysosomal proton gradient and by ablating TPC2 expression, but were only attenuated by depleting endoplasmic reticulum Ca 2+ stores or by blocking InsP 3 Rs. Thus, TPCs form NAADP receptors that release Ca 2+ from acidic organelles, which can trigger further Ca 2+ signals via sarcoplasmic/endoplasmic reticulum. TPCs therefore provide new insights into the regulation and organization of Ca 2+ signals in animal cells, and will advance our understanding of the physiological role of NAADP. © 2009 Macmillan Publishers Limited. All rights reserved.","author":[{"dropping-particle":"","family":"Calcraft","given":"Peter J.","non-dropping-particle":"","parse-names":false,"suffix":""},{"dropping-particle":"","family":"Ruas","given":"Margarida","non-dropping-particle":"","parse-names":false,"suffix":""},{"dropping-particle":"","family":"Pan","given":"Zui","non-dropping-particle":"","parse-names":false,"suffix":""},{"dropping-particle":"","family":"Cheng","given":"Xiaotong","non-dropping-particle":"","parse-names":false,"suffix":""},{"dropping-particle":"","family":"Arredouani","given":"Abdelilah","non-dropping-particle":"","parse-names":false,"suffix":""},{"dropping-particle":"","family":"Hao","given":"Xuemei","non-dropping-particle":"","parse-names":false,"suffix":""},{"dropping-particle":"","family":"Tang","given":"Jisen","non-dropping-particle":"","parse-names":false,"suffix":""},{"dropping-particle":"","family":"Rietdorf","given":"Katja","non-dropping-particle":"","parse-names":false,"suffix":""},{"dropping-particle":"","family":"Teboul","given":"Lydia","non-dropping-particle":"","parse-names":false,"suffix":""},{"dropping-particle":"","family":"Chuang","given":"Kai Ting","non-dropping-particle":"","parse-names":false,"suffix":""},{"dropping-particle":"","family":"Lin","given":"Peihui","non-dropping-particle":"","parse-names":false,"suffix":""},{"dropping-particle":"","family":"Xiao","given":"Rui","non-dropping-particle":"","parse-names":false,"suffix":""},{"dropping-particle":"","family":"Wang","given":"Chunbo","non-dropping-particle":"","parse-names":false,"suffix":""},{"dropping-particle":"","family":"Zhu","given":"Yingmin","non-dropping-particle":"","parse-names":false,"suffix":""},{"dropping-particle":"","family":"Lin","given":"Yakang","non-dropping-particle":"","parse-names":false,"suffix":""},{"dropping-particle":"","family":"Wyatt","given":"Christopher N.","non-dropping-particle":"","parse-names":false,"suffix":""},{"dropping-particle":"","family":"Parrington","given":"John","non-dropping-particle":"","parse-names":false,"suffix":""},{"dropping-particle":"","family":"Ma","given":"Jianjie","non-dropping-particle":"","parse-names":false,"suffix":""},{"dropping-particle":"","family":"Evans","given":"A. Mark","non-dropping-particle":"","parse-names":false,"suffix":""},{"dropping-particle":"","family":"Galione","given":"Antony","non-dropping-particle":"","parse-names":false,"suffix":""},{"dropping-particle":"","family":"Zhu","given":"Michael X.","non-dropping-particle":"","parse-names":false,"suffix":""}],"container-title":"Nature","id":"ITEM-1","issue":"7246","issued":{"date-parts":[["2009","5","28"]]},"page":"596-600","publisher":"Nature","title":"NAADP mobilizes calcium from acidic organelles through two-pore channels","type":"article-journal","volume":"459"},"uris":["http://www.mendeley.com/documents/?uuid=0e8b434a-019a-3af0-8e15-6a252530ead3"]}],"mendeley":{"formattedCitation":"[52]","plainTextFormattedCitation":"[52]","previouslyFormattedCitation":"[51]"},"properties":{"noteIndex":0},"schema":"https://github.com/citation-style-language/schema/raw/master/csl-citation.json"}</w:instrText>
      </w:r>
      <w:r w:rsidR="00024697" w:rsidRPr="00E030F1">
        <w:rPr>
          <w:color w:val="000000" w:themeColor="text1"/>
        </w:rPr>
        <w:fldChar w:fldCharType="separate"/>
      </w:r>
      <w:r w:rsidR="00F8756B" w:rsidRPr="00E030F1">
        <w:rPr>
          <w:noProof/>
          <w:color w:val="000000" w:themeColor="text1"/>
        </w:rPr>
        <w:t>[52]</w:t>
      </w:r>
      <w:r w:rsidR="00024697" w:rsidRPr="00E030F1">
        <w:rPr>
          <w:color w:val="000000" w:themeColor="text1"/>
        </w:rPr>
        <w:fldChar w:fldCharType="end"/>
      </w:r>
      <w:r w:rsidR="005A7D91" w:rsidRPr="00E030F1">
        <w:rPr>
          <w:color w:val="000000" w:themeColor="text1"/>
        </w:rPr>
        <w:t>.</w:t>
      </w:r>
      <w:r w:rsidR="008556C1" w:rsidRPr="00E030F1">
        <w:rPr>
          <w:color w:val="000000" w:themeColor="text1"/>
        </w:rPr>
        <w:t xml:space="preserve"> </w:t>
      </w:r>
      <w:r w:rsidR="00F50D4E" w:rsidRPr="00E030F1">
        <w:rPr>
          <w:color w:val="000000" w:themeColor="text1"/>
        </w:rPr>
        <w:t xml:space="preserve">Loss of function of </w:t>
      </w:r>
      <w:proofErr w:type="spellStart"/>
      <w:r w:rsidR="00CE542C" w:rsidRPr="00E030F1">
        <w:rPr>
          <w:color w:val="000000" w:themeColor="text1"/>
        </w:rPr>
        <w:t>Tmep</w:t>
      </w:r>
      <w:proofErr w:type="spellEnd"/>
      <w:r w:rsidR="00CE542C" w:rsidRPr="00E030F1">
        <w:rPr>
          <w:color w:val="000000" w:themeColor="text1"/>
        </w:rPr>
        <w:t xml:space="preserve"> could also perturb plasma membrane calcium channel</w:t>
      </w:r>
      <w:r w:rsidR="0074441B" w:rsidRPr="00E030F1">
        <w:rPr>
          <w:color w:val="000000" w:themeColor="text1"/>
        </w:rPr>
        <w:t xml:space="preserve"> distribution</w:t>
      </w:r>
      <w:r w:rsidR="00525ADB" w:rsidRPr="00E030F1">
        <w:rPr>
          <w:color w:val="000000" w:themeColor="text1"/>
        </w:rPr>
        <w:t xml:space="preserve"> via an endosomal function</w:t>
      </w:r>
      <w:r w:rsidR="00CE542C" w:rsidRPr="00E030F1">
        <w:rPr>
          <w:color w:val="000000" w:themeColor="text1"/>
        </w:rPr>
        <w:t xml:space="preserve">, </w:t>
      </w:r>
      <w:r w:rsidR="0074441B" w:rsidRPr="00E030F1">
        <w:rPr>
          <w:color w:val="000000" w:themeColor="text1"/>
        </w:rPr>
        <w:t xml:space="preserve">in a </w:t>
      </w:r>
      <w:r w:rsidR="00CE542C" w:rsidRPr="00E030F1">
        <w:rPr>
          <w:color w:val="000000" w:themeColor="text1"/>
        </w:rPr>
        <w:t xml:space="preserve">similar </w:t>
      </w:r>
      <w:r w:rsidR="0074441B" w:rsidRPr="00E030F1">
        <w:rPr>
          <w:color w:val="000000" w:themeColor="text1"/>
        </w:rPr>
        <w:t xml:space="preserve">manner </w:t>
      </w:r>
      <w:r w:rsidR="00CE542C" w:rsidRPr="00E030F1">
        <w:rPr>
          <w:color w:val="000000" w:themeColor="text1"/>
        </w:rPr>
        <w:t xml:space="preserve">to the role of </w:t>
      </w:r>
      <w:r w:rsidR="00A223E0" w:rsidRPr="00E030F1">
        <w:rPr>
          <w:color w:val="000000" w:themeColor="text1"/>
        </w:rPr>
        <w:t>R</w:t>
      </w:r>
      <w:r w:rsidR="00CE542C" w:rsidRPr="00E030F1">
        <w:rPr>
          <w:color w:val="000000" w:themeColor="text1"/>
        </w:rPr>
        <w:t xml:space="preserve">ab11 in N-type calcium channel recycling </w:t>
      </w:r>
      <w:r w:rsidR="00CE542C" w:rsidRPr="00E030F1">
        <w:rPr>
          <w:color w:val="000000" w:themeColor="text1"/>
        </w:rPr>
        <w:fldChar w:fldCharType="begin" w:fldLock="1"/>
      </w:r>
      <w:r w:rsidR="00F8756B" w:rsidRPr="00E030F1">
        <w:rPr>
          <w:color w:val="000000" w:themeColor="text1"/>
        </w:rPr>
        <w:instrText>ADDIN CSL_CITATION {"citationItems":[{"id":"ITEM-1","itemData":{"DOI":"10.1038/s41598-021-89820-1","ISBN":"0123456789","ISSN":"20452322","PMID":"33986433","abstract":"N-type voltage-gated calcium channels (CaV2.2) are predominantly expressed at presynaptic terminals, and their function is regulated by auxiliary α2δ and β subunits. All four mammalian α2δ subunits enhance calcium currents through CaV1 and CaV2 channels, and this increase is attributed, in part, to increased CaV expression at the plasma membrane. In the present study we provide evidence that α2δ-1, like α2δ-2, is recycled to the plasma membrane through a Rab11a-dependent endosomal recycling pathway. Using a dominant-negative Rab11a mutant, Rab11a(S25N), we show that α2δ-1 increases plasma membrane CaV2.2 expression by increasing the rate and extent of net forward CaV2.2 trafficking in a Rab11a-dependent manner. Dominant-negative Rab11a also reduces the ability of α2δ-1 to increase CaV2.2 expression on the cell-surface of hippocampal neurites. In contrast, α2δ-3 does not enhance rapid forward CaV2.2 trafficking, regardless of whether Rab11a(S25N) is present. In addition, whole-cell CaV2.2 currents are reduced by co-expression of Rab11a(S25N) in the presence of α2δ-1, but not α2δ-3. Taken together these data suggest that α2δ subtypes participate in distinct trafficking pathways which in turn influence the localisation and function of CaV2.2.","author":[{"dropping-particle":"","family":"Meyer","given":"James O.","non-dropping-particle":"","parse-names":false,"suffix":""},{"dropping-particle":"","family":"Dolphin","given":"Annette C.","non-dropping-particle":"","parse-names":false,"suffix":""}],"container-title":"Scientific Reports","id":"ITEM-1","issue":"1","issued":{"date-parts":[["2021"]]},"page":"1-13","publisher":"Nature Publishing Group UK","title":"Rab11-dependent recycling of calcium channels is mediated by auxiliary subunit α2δ-1 but not α2δ-3","type":"article-journal","volume":"11"},"uris":["http://www.mendeley.com/documents/?uuid=69737e6f-125d-4279-ac96-454d63b37adc","http://www.mendeley.com/documents/?uuid=1e6818e1-556d-42e0-b229-d85bce3a1c0a"]}],"mendeley":{"formattedCitation":"[53]","plainTextFormattedCitation":"[53]","previouslyFormattedCitation":"[52]"},"properties":{"noteIndex":0},"schema":"https://github.com/citation-style-language/schema/raw/master/csl-citation.json"}</w:instrText>
      </w:r>
      <w:r w:rsidR="00CE542C" w:rsidRPr="00E030F1">
        <w:rPr>
          <w:color w:val="000000" w:themeColor="text1"/>
        </w:rPr>
        <w:fldChar w:fldCharType="separate"/>
      </w:r>
      <w:r w:rsidR="00F8756B" w:rsidRPr="00E030F1">
        <w:rPr>
          <w:noProof/>
          <w:color w:val="000000" w:themeColor="text1"/>
        </w:rPr>
        <w:t>[53]</w:t>
      </w:r>
      <w:r w:rsidR="00CE542C" w:rsidRPr="00E030F1">
        <w:rPr>
          <w:color w:val="000000" w:themeColor="text1"/>
        </w:rPr>
        <w:fldChar w:fldCharType="end"/>
      </w:r>
      <w:r w:rsidR="00CE542C" w:rsidRPr="00E030F1">
        <w:rPr>
          <w:color w:val="000000" w:themeColor="text1"/>
        </w:rPr>
        <w:t xml:space="preserve">. </w:t>
      </w:r>
      <w:r w:rsidR="00A223E0" w:rsidRPr="00E030F1">
        <w:rPr>
          <w:color w:val="000000" w:themeColor="text1"/>
        </w:rPr>
        <w:t xml:space="preserve">Another possibility is that </w:t>
      </w:r>
      <w:proofErr w:type="spellStart"/>
      <w:r w:rsidR="00A223E0" w:rsidRPr="00E030F1">
        <w:rPr>
          <w:color w:val="000000" w:themeColor="text1"/>
        </w:rPr>
        <w:t>Tmep</w:t>
      </w:r>
      <w:proofErr w:type="spellEnd"/>
      <w:r w:rsidR="00CE542C" w:rsidRPr="00E030F1">
        <w:rPr>
          <w:color w:val="000000" w:themeColor="text1"/>
        </w:rPr>
        <w:t xml:space="preserve"> </w:t>
      </w:r>
      <w:r w:rsidR="00A223E0" w:rsidRPr="00E030F1">
        <w:rPr>
          <w:color w:val="000000" w:themeColor="text1"/>
        </w:rPr>
        <w:t>assists</w:t>
      </w:r>
      <w:r w:rsidR="00CE542C" w:rsidRPr="00E030F1">
        <w:rPr>
          <w:color w:val="000000" w:themeColor="text1"/>
        </w:rPr>
        <w:t xml:space="preserve"> in establishing or maintaining membrane contact sites to ensure proper calcium handling in membrane</w:t>
      </w:r>
      <w:r w:rsidR="00A223E0" w:rsidRPr="00E030F1">
        <w:rPr>
          <w:color w:val="000000" w:themeColor="text1"/>
        </w:rPr>
        <w:t>-</w:t>
      </w:r>
      <w:r w:rsidR="00CE542C" w:rsidRPr="00E030F1">
        <w:rPr>
          <w:color w:val="000000" w:themeColor="text1"/>
        </w:rPr>
        <w:t xml:space="preserve">bound organelles </w:t>
      </w:r>
      <w:r w:rsidR="00CE542C" w:rsidRPr="00E030F1">
        <w:rPr>
          <w:color w:val="000000" w:themeColor="text1"/>
        </w:rPr>
        <w:fldChar w:fldCharType="begin" w:fldLock="1"/>
      </w:r>
      <w:r w:rsidR="00F8756B" w:rsidRPr="00E030F1">
        <w:rPr>
          <w:color w:val="000000" w:themeColor="text1"/>
        </w:rPr>
        <w:instrText>ADDIN CSL_CITATION {"citationItems":[{"id":"ITEM-1","itemData":{"DOI":"10.1038/s41467-021-22882-x","ISSN":"20411723","PMID":"33976123","abstract":"Vesicular traffic and membrane contact sites between organelles enable the exchange of proteins, lipids, and metabolites. Recruitment of tethers to contact sites between the endoplasmic reticulum (ER) and the plasma membrane is often triggered by calcium. Here we reveal a function for calcium in the repression of cholesterol export at membrane contact sites between the ER and the Golgi complex. We show that calcium efflux from ER stores induced by inositol-triphosphate [IP3] accumulation upon loss of the inositol 5-phosphatase INPP5A or receptor signaling triggers depletion of cholesterol and associated Gb3 from the cell surface, resulting in a blockade of clathrin-independent endocytosis (CIE) of Shiga toxin. This phenotype is caused by the calcium-induced dissociation of oxysterol binding protein (OSBP) from the Golgi complex and from VAP-containing membrane contact sites. Our findings reveal a crucial function for INPP5A-mediated IP3 hydrolysis in the control of lipid exchange at membrane contact sites.","author":[{"dropping-particle":"","family":"Malek","given":"Mouhannad","non-dropping-particle":"","parse-names":false,"suffix":""},{"dropping-particle":"","family":"Wawrzyniak","given":"Anna M.","non-dropping-particle":"","parse-names":false,"suffix":""},{"dropping-particle":"","family":"Koch","given":"Peter","non-dropping-particle":"","parse-names":false,"suffix":""},{"dropping-particle":"","family":"Lüchtenborg","given":"Christian","non-dropping-particle":"","parse-names":false,"suffix":""},{"dropping-particle":"","family":"Hessenberger","given":"Manuel","non-dropping-particle":"","parse-names":false,"suffix":""},{"dropping-particle":"","family":"Sachsenheimer","given":"Timo","non-dropping-particle":"","parse-names":false,"suffix":""},{"dropping-particle":"","family":"Jang","given":"Wonyul","non-dropping-particle":"","parse-names":false,"suffix":""},{"dropping-particle":"","family":"Brügger","given":"Britta","non-dropping-particle":"","parse-names":false,"suffix":""},{"dropping-particle":"","family":"Haucke","given":"Volker","non-dropping-particle":"","parse-names":false,"suffix":""}],"container-title":"Nature Communications","id":"ITEM-1","issue":"1","issued":{"date-parts":[["2021"]]},"publisher":"Springer US","title":"Inositol triphosphate-triggered calcium release blocks lipid exchange at endoplasmic reticulum-Golgi contact sites","type":"article-journal","volume":"12"},"uris":["http://www.mendeley.com/documents/?uuid=a6c762a4-2c94-4525-97ef-691d3132e630","http://www.mendeley.com/documents/?uuid=5239e3f7-b4cc-4d99-93ac-4bf81c30afd1"]},{"id":"ITEM-2","itemData":{"DOI":"10.1146/annurev-biochem-061516-044932","abstract":" The endoplasmic reticulum (ER) has a broad localization throughout the cell and forms direct physical contacts with all other classes of membranous organelles, including the plasma membrane (PM). A number of protein tethers that mediate these contacts have been identified, and study of these protein tethers has revealed a multiplicity of roles in cell physiology, including regulation of intracellular Ca2+ dynamics and signaling as well as control of lipid traffic and homeostasis. In this review, we discuss the cross talk between the ER and the PM mediated by direct contacts. We review factors that tether the two membranes, their properties, and their dynamics in response to the functional state of the cell. We focus in particular on the role of ER–PM contacts in nonvesicular lipid transport between the two bilayers mediated by lipid transfer proteins. ","author":[{"dropping-particle":"","family":"Saheki","given":"Yasunori","non-dropping-particle":"","parse-names":false,"suffix":""},{"dropping-particle":"","family":"Camilli","given":"Pietro","non-dropping-particle":"De","parse-names":false,"suffix":""}],"container-title":"Annual Review of Biochemistry","id":"ITEM-2","issue":"1","issued":{"date-parts":[["2017"]]},"page":"659-684","title":"Endoplasmic Reticulum–Plasma Membrane Contact Sites","type":"article-journal","volume":"86"},"uris":["http://www.mendeley.com/documents/?uuid=2689ef7c-50cb-44bc-b0dc-80d886e108ff","http://www.mendeley.com/documents/?uuid=79ff62b3-7fa2-4914-b9ba-9c69851840b2"]}],"mendeley":{"formattedCitation":"[54, 55]","plainTextFormattedCitation":"[54, 55]","previouslyFormattedCitation":"[53, 54]"},"properties":{"noteIndex":0},"schema":"https://github.com/citation-style-language/schema/raw/master/csl-citation.json"}</w:instrText>
      </w:r>
      <w:r w:rsidR="00CE542C" w:rsidRPr="00E030F1">
        <w:rPr>
          <w:color w:val="000000" w:themeColor="text1"/>
        </w:rPr>
        <w:fldChar w:fldCharType="separate"/>
      </w:r>
      <w:r w:rsidR="00F8756B" w:rsidRPr="00E030F1">
        <w:rPr>
          <w:noProof/>
          <w:color w:val="000000" w:themeColor="text1"/>
        </w:rPr>
        <w:t>[54, 55]</w:t>
      </w:r>
      <w:r w:rsidR="00CE542C" w:rsidRPr="00E030F1">
        <w:rPr>
          <w:color w:val="000000" w:themeColor="text1"/>
        </w:rPr>
        <w:fldChar w:fldCharType="end"/>
      </w:r>
      <w:r w:rsidR="00CE542C" w:rsidRPr="00E030F1">
        <w:rPr>
          <w:color w:val="000000" w:themeColor="text1"/>
        </w:rPr>
        <w:t xml:space="preserve">. Any </w:t>
      </w:r>
      <w:r w:rsidR="00A223E0" w:rsidRPr="00E030F1">
        <w:rPr>
          <w:color w:val="000000" w:themeColor="text1"/>
        </w:rPr>
        <w:t>disruption</w:t>
      </w:r>
      <w:r w:rsidR="00CE542C" w:rsidRPr="00E030F1">
        <w:rPr>
          <w:color w:val="000000" w:themeColor="text1"/>
        </w:rPr>
        <w:t xml:space="preserve"> of calcium levels at the synapse </w:t>
      </w:r>
      <w:r w:rsidR="00A223E0" w:rsidRPr="00E030F1">
        <w:rPr>
          <w:color w:val="000000" w:themeColor="text1"/>
        </w:rPr>
        <w:t xml:space="preserve">would be predicted to cause changes in excitability, leading to the phenotypes we observe in </w:t>
      </w:r>
      <w:proofErr w:type="spellStart"/>
      <w:r w:rsidR="00A223E0" w:rsidRPr="00E030F1">
        <w:rPr>
          <w:i/>
          <w:iCs/>
          <w:color w:val="000000" w:themeColor="text1"/>
        </w:rPr>
        <w:t>Tmep</w:t>
      </w:r>
      <w:proofErr w:type="spellEnd"/>
      <w:r w:rsidR="00A223E0" w:rsidRPr="00E030F1">
        <w:rPr>
          <w:color w:val="000000" w:themeColor="text1"/>
        </w:rPr>
        <w:t xml:space="preserve"> mutants.</w:t>
      </w:r>
    </w:p>
    <w:p w14:paraId="54D9421F" w14:textId="668FEF6D" w:rsidR="00C52F42" w:rsidRPr="00E030F1" w:rsidRDefault="007F0B22">
      <w:pPr>
        <w:spacing w:line="480" w:lineRule="auto"/>
        <w:ind w:firstLine="720"/>
        <w:rPr>
          <w:color w:val="000000" w:themeColor="text1"/>
        </w:rPr>
      </w:pPr>
      <w:r w:rsidRPr="00E030F1">
        <w:rPr>
          <w:color w:val="000000" w:themeColor="text1"/>
        </w:rPr>
        <w:t xml:space="preserve">In many of our phenotypes, we document a difference in the strength of phenotypes between male and female larvae. For example, larval crawling phenotypes </w:t>
      </w:r>
      <w:r w:rsidR="003958E6" w:rsidRPr="00E030F1">
        <w:rPr>
          <w:color w:val="000000" w:themeColor="text1"/>
        </w:rPr>
        <w:t xml:space="preserve">in </w:t>
      </w:r>
      <w:proofErr w:type="spellStart"/>
      <w:r w:rsidR="003958E6" w:rsidRPr="00E030F1">
        <w:rPr>
          <w:i/>
          <w:iCs/>
          <w:color w:val="000000" w:themeColor="text1"/>
        </w:rPr>
        <w:t>Tmep</w:t>
      </w:r>
      <w:proofErr w:type="spellEnd"/>
      <w:r w:rsidR="003958E6" w:rsidRPr="00E030F1">
        <w:rPr>
          <w:color w:val="000000" w:themeColor="text1"/>
        </w:rPr>
        <w:t xml:space="preserve"> mutants </w:t>
      </w:r>
      <w:r w:rsidRPr="00E030F1">
        <w:rPr>
          <w:color w:val="000000" w:themeColor="text1"/>
        </w:rPr>
        <w:t xml:space="preserve">only trend towards deficient in males but are significantly altered in females. </w:t>
      </w:r>
      <w:r w:rsidR="001E0BEE" w:rsidRPr="00E030F1">
        <w:rPr>
          <w:color w:val="000000" w:themeColor="text1"/>
        </w:rPr>
        <w:t xml:space="preserve">Interestingly, knockdown of </w:t>
      </w:r>
      <w:proofErr w:type="spellStart"/>
      <w:r w:rsidR="001E0BEE" w:rsidRPr="00E030F1">
        <w:rPr>
          <w:color w:val="000000" w:themeColor="text1"/>
        </w:rPr>
        <w:t>Tmep</w:t>
      </w:r>
      <w:proofErr w:type="spellEnd"/>
      <w:r w:rsidR="001E0BEE" w:rsidRPr="00E030F1">
        <w:rPr>
          <w:color w:val="000000" w:themeColor="text1"/>
        </w:rPr>
        <w:t xml:space="preserve"> specifically in motor neurons causes similar crawling dysfunction in both sexes, suggesting that the sex-specific penetrance of our phenotypes may not be due to </w:t>
      </w:r>
      <w:proofErr w:type="spellStart"/>
      <w:r w:rsidR="001E0BEE" w:rsidRPr="00E030F1">
        <w:rPr>
          <w:color w:val="000000" w:themeColor="text1"/>
        </w:rPr>
        <w:t>Tmep’s</w:t>
      </w:r>
      <w:proofErr w:type="spellEnd"/>
      <w:r w:rsidR="001E0BEE" w:rsidRPr="00E030F1">
        <w:rPr>
          <w:color w:val="000000" w:themeColor="text1"/>
        </w:rPr>
        <w:t xml:space="preserve"> role in motor neurons. </w:t>
      </w:r>
      <w:r w:rsidRPr="00E030F1">
        <w:rPr>
          <w:color w:val="000000" w:themeColor="text1"/>
        </w:rPr>
        <w:t>In physiological tests, both male and female</w:t>
      </w:r>
      <w:r w:rsidR="005D18AD" w:rsidRPr="00E030F1">
        <w:rPr>
          <w:color w:val="000000" w:themeColor="text1"/>
        </w:rPr>
        <w:t xml:space="preserve"> </w:t>
      </w:r>
      <w:proofErr w:type="spellStart"/>
      <w:r w:rsidR="005D18AD" w:rsidRPr="00E030F1">
        <w:rPr>
          <w:i/>
          <w:iCs/>
          <w:color w:val="000000" w:themeColor="text1"/>
        </w:rPr>
        <w:t>Tmep</w:t>
      </w:r>
      <w:proofErr w:type="spellEnd"/>
      <w:r w:rsidR="005D18AD" w:rsidRPr="00E030F1">
        <w:rPr>
          <w:color w:val="000000" w:themeColor="text1"/>
        </w:rPr>
        <w:t xml:space="preserve"> mutants</w:t>
      </w:r>
      <w:r w:rsidRPr="00E030F1">
        <w:rPr>
          <w:color w:val="000000" w:themeColor="text1"/>
        </w:rPr>
        <w:t xml:space="preserve"> show ectopic firing</w:t>
      </w:r>
      <w:r w:rsidR="005D18AD" w:rsidRPr="00E030F1">
        <w:rPr>
          <w:color w:val="000000" w:themeColor="text1"/>
        </w:rPr>
        <w:t xml:space="preserve"> </w:t>
      </w:r>
      <w:r w:rsidR="00997E29" w:rsidRPr="00E030F1">
        <w:rPr>
          <w:color w:val="000000" w:themeColor="text1"/>
        </w:rPr>
        <w:t xml:space="preserve">upon presynaptic stimulation, underscoring </w:t>
      </w:r>
      <w:r w:rsidR="005D18AD" w:rsidRPr="00E030F1">
        <w:rPr>
          <w:color w:val="000000" w:themeColor="text1"/>
        </w:rPr>
        <w:t xml:space="preserve">a more universal (non-sex-specific) </w:t>
      </w:r>
      <w:r w:rsidR="00997E29" w:rsidRPr="00E030F1">
        <w:rPr>
          <w:color w:val="000000" w:themeColor="text1"/>
        </w:rPr>
        <w:t xml:space="preserve">role for </w:t>
      </w:r>
      <w:proofErr w:type="spellStart"/>
      <w:r w:rsidR="00997E29" w:rsidRPr="00E030F1">
        <w:rPr>
          <w:color w:val="000000" w:themeColor="text1"/>
        </w:rPr>
        <w:t>Tmep</w:t>
      </w:r>
      <w:proofErr w:type="spellEnd"/>
      <w:r w:rsidR="00997E29" w:rsidRPr="00E030F1">
        <w:rPr>
          <w:color w:val="000000" w:themeColor="text1"/>
        </w:rPr>
        <w:t xml:space="preserve"> in the neuron</w:t>
      </w:r>
      <w:r w:rsidR="001E0BEE" w:rsidRPr="00E030F1">
        <w:rPr>
          <w:color w:val="000000" w:themeColor="text1"/>
        </w:rPr>
        <w:t xml:space="preserve">. </w:t>
      </w:r>
      <w:r w:rsidR="00997E29" w:rsidRPr="00E030F1">
        <w:rPr>
          <w:color w:val="000000" w:themeColor="text1"/>
        </w:rPr>
        <w:t xml:space="preserve">Taken together, we hypothesize that a non-neuronal role for </w:t>
      </w:r>
      <w:proofErr w:type="spellStart"/>
      <w:r w:rsidR="00997E29" w:rsidRPr="00E030F1">
        <w:rPr>
          <w:color w:val="000000" w:themeColor="text1"/>
        </w:rPr>
        <w:t>Tmep</w:t>
      </w:r>
      <w:proofErr w:type="spellEnd"/>
      <w:r w:rsidR="005D18AD" w:rsidRPr="00E030F1">
        <w:rPr>
          <w:color w:val="000000" w:themeColor="text1"/>
        </w:rPr>
        <w:t>, perhaps in endomembrane trafficking,</w:t>
      </w:r>
      <w:r w:rsidR="00997E29" w:rsidRPr="00E030F1">
        <w:rPr>
          <w:color w:val="000000" w:themeColor="text1"/>
        </w:rPr>
        <w:t xml:space="preserve"> may contribute to the sexually dimorphic phenotypes</w:t>
      </w:r>
      <w:r w:rsidR="005D18AD" w:rsidRPr="00E030F1">
        <w:rPr>
          <w:color w:val="000000" w:themeColor="text1"/>
        </w:rPr>
        <w:t>.</w:t>
      </w:r>
    </w:p>
    <w:p w14:paraId="7250E0DB" w14:textId="7221EE9E" w:rsidR="00E303BD" w:rsidRPr="00E030F1" w:rsidRDefault="00E303BD" w:rsidP="00A223E0">
      <w:pPr>
        <w:spacing w:line="480" w:lineRule="auto"/>
        <w:ind w:firstLine="720"/>
        <w:rPr>
          <w:color w:val="000000" w:themeColor="text1"/>
        </w:rPr>
      </w:pPr>
      <w:r w:rsidRPr="00E030F1">
        <w:rPr>
          <w:color w:val="000000" w:themeColor="text1"/>
        </w:rPr>
        <w:lastRenderedPageBreak/>
        <w:t xml:space="preserve">In summary, we have </w:t>
      </w:r>
      <w:r w:rsidR="00C75530" w:rsidRPr="00E030F1">
        <w:rPr>
          <w:color w:val="000000" w:themeColor="text1"/>
        </w:rPr>
        <w:t xml:space="preserve">discovered a role for the </w:t>
      </w:r>
      <w:r w:rsidR="00461B99" w:rsidRPr="00E030F1">
        <w:rPr>
          <w:color w:val="000000" w:themeColor="text1"/>
        </w:rPr>
        <w:t xml:space="preserve">likely </w:t>
      </w:r>
      <w:r w:rsidR="00C75530" w:rsidRPr="00E030F1">
        <w:rPr>
          <w:color w:val="000000" w:themeColor="text1"/>
        </w:rPr>
        <w:t>fly ortholog</w:t>
      </w:r>
      <w:r w:rsidR="00461B99" w:rsidRPr="00E030F1">
        <w:rPr>
          <w:color w:val="000000" w:themeColor="text1"/>
        </w:rPr>
        <w:t xml:space="preserve"> of </w:t>
      </w:r>
      <w:r w:rsidR="00461B99" w:rsidRPr="00E030F1">
        <w:rPr>
          <w:i/>
          <w:iCs/>
          <w:color w:val="000000" w:themeColor="text1"/>
        </w:rPr>
        <w:t>TMEM184</w:t>
      </w:r>
      <w:r w:rsidR="000B370C" w:rsidRPr="00E030F1">
        <w:rPr>
          <w:i/>
          <w:iCs/>
          <w:color w:val="000000" w:themeColor="text1"/>
        </w:rPr>
        <w:t>B</w:t>
      </w:r>
      <w:r w:rsidR="00C75530" w:rsidRPr="00E030F1">
        <w:rPr>
          <w:color w:val="000000" w:themeColor="text1"/>
        </w:rPr>
        <w:t xml:space="preserve">, </w:t>
      </w:r>
      <w:proofErr w:type="spellStart"/>
      <w:r w:rsidR="00C75530" w:rsidRPr="00E030F1">
        <w:rPr>
          <w:color w:val="000000" w:themeColor="text1"/>
        </w:rPr>
        <w:t>Tmep</w:t>
      </w:r>
      <w:proofErr w:type="spellEnd"/>
      <w:r w:rsidR="00C75530" w:rsidRPr="00E030F1">
        <w:rPr>
          <w:color w:val="000000" w:themeColor="text1"/>
        </w:rPr>
        <w:t xml:space="preserve">, in synaptic excitability and behavior. </w:t>
      </w:r>
      <w:r w:rsidR="00B0788A" w:rsidRPr="00E030F1">
        <w:rPr>
          <w:color w:val="000000" w:themeColor="text1"/>
        </w:rPr>
        <w:t xml:space="preserve">The evolutionary conservation between fly </w:t>
      </w:r>
      <w:proofErr w:type="spellStart"/>
      <w:r w:rsidR="00B0788A" w:rsidRPr="00E030F1">
        <w:rPr>
          <w:i/>
          <w:iCs/>
          <w:color w:val="000000" w:themeColor="text1"/>
        </w:rPr>
        <w:t>Tmep</w:t>
      </w:r>
      <w:proofErr w:type="spellEnd"/>
      <w:r w:rsidR="00B0788A" w:rsidRPr="00E030F1">
        <w:rPr>
          <w:color w:val="000000" w:themeColor="text1"/>
        </w:rPr>
        <w:t xml:space="preserve"> and human </w:t>
      </w:r>
      <w:r w:rsidR="00B0788A" w:rsidRPr="00E030F1">
        <w:rPr>
          <w:i/>
          <w:iCs/>
          <w:color w:val="000000" w:themeColor="text1"/>
        </w:rPr>
        <w:t>TMEM184B</w:t>
      </w:r>
      <w:r w:rsidR="00B0788A" w:rsidRPr="00E030F1">
        <w:rPr>
          <w:color w:val="000000" w:themeColor="text1"/>
        </w:rPr>
        <w:t xml:space="preserve"> is </w:t>
      </w:r>
      <w:r w:rsidR="00461B99" w:rsidRPr="00E030F1">
        <w:rPr>
          <w:color w:val="000000" w:themeColor="text1"/>
        </w:rPr>
        <w:t>high</w:t>
      </w:r>
      <w:r w:rsidR="00B0788A" w:rsidRPr="00E030F1">
        <w:rPr>
          <w:color w:val="000000" w:themeColor="text1"/>
        </w:rPr>
        <w:t xml:space="preserve">, </w:t>
      </w:r>
      <w:r w:rsidR="00461B99" w:rsidRPr="00E030F1">
        <w:rPr>
          <w:color w:val="000000" w:themeColor="text1"/>
        </w:rPr>
        <w:t>suggesting</w:t>
      </w:r>
      <w:r w:rsidR="00B0788A" w:rsidRPr="00E030F1">
        <w:rPr>
          <w:color w:val="000000" w:themeColor="text1"/>
        </w:rPr>
        <w:t xml:space="preserve"> a critical function across eukaryotic organisms. </w:t>
      </w:r>
      <w:r w:rsidR="00C75530" w:rsidRPr="00E030F1">
        <w:rPr>
          <w:color w:val="000000" w:themeColor="text1"/>
        </w:rPr>
        <w:t xml:space="preserve">Our work establishes a system in which to study how </w:t>
      </w:r>
      <w:proofErr w:type="spellStart"/>
      <w:r w:rsidR="00C75530" w:rsidRPr="00E030F1">
        <w:rPr>
          <w:color w:val="000000" w:themeColor="text1"/>
        </w:rPr>
        <w:t>Tmep</w:t>
      </w:r>
      <w:proofErr w:type="spellEnd"/>
      <w:r w:rsidR="00EA4E96" w:rsidRPr="00E030F1">
        <w:rPr>
          <w:color w:val="000000" w:themeColor="text1"/>
        </w:rPr>
        <w:t xml:space="preserve"> and </w:t>
      </w:r>
      <w:r w:rsidR="00C75530" w:rsidRPr="00E030F1">
        <w:rPr>
          <w:color w:val="000000" w:themeColor="text1"/>
        </w:rPr>
        <w:t>TMEM184</w:t>
      </w:r>
      <w:r w:rsidR="000B370C" w:rsidRPr="00E030F1">
        <w:rPr>
          <w:color w:val="000000" w:themeColor="text1"/>
        </w:rPr>
        <w:t>B</w:t>
      </w:r>
      <w:r w:rsidR="00C75530" w:rsidRPr="00E030F1">
        <w:rPr>
          <w:color w:val="000000" w:themeColor="text1"/>
        </w:rPr>
        <w:t xml:space="preserve"> influence synaptic transmission and may contribute to nervous system disorders. </w:t>
      </w:r>
    </w:p>
    <w:p w14:paraId="107DB8E3" w14:textId="3EFEF572" w:rsidR="00300B60" w:rsidRPr="00E030F1" w:rsidRDefault="00300B60" w:rsidP="00300B60">
      <w:pPr>
        <w:spacing w:line="480" w:lineRule="auto"/>
        <w:rPr>
          <w:b/>
          <w:color w:val="000000" w:themeColor="text1"/>
        </w:rPr>
      </w:pPr>
    </w:p>
    <w:p w14:paraId="57C9A94D" w14:textId="0B079C64" w:rsidR="004E35CB" w:rsidRPr="00E030F1" w:rsidRDefault="004E35CB" w:rsidP="006C3F22">
      <w:pPr>
        <w:spacing w:line="480" w:lineRule="auto"/>
        <w:rPr>
          <w:b/>
          <w:color w:val="000000" w:themeColor="text1"/>
        </w:rPr>
      </w:pPr>
    </w:p>
    <w:p w14:paraId="3E0758CF" w14:textId="5D6D3AFD" w:rsidR="006C3F22" w:rsidRPr="00E030F1" w:rsidRDefault="006C3F22" w:rsidP="006C3F22">
      <w:pPr>
        <w:spacing w:line="480" w:lineRule="auto"/>
        <w:rPr>
          <w:b/>
          <w:color w:val="000000" w:themeColor="text1"/>
          <w:u w:val="single"/>
        </w:rPr>
      </w:pPr>
      <w:r w:rsidRPr="00E030F1">
        <w:rPr>
          <w:b/>
          <w:color w:val="000000" w:themeColor="text1"/>
          <w:u w:val="single"/>
        </w:rPr>
        <w:t>Declarations</w:t>
      </w:r>
    </w:p>
    <w:p w14:paraId="535218CD" w14:textId="77777777" w:rsidR="00300B60" w:rsidRPr="00E030F1" w:rsidRDefault="006C3F22" w:rsidP="006C3F22">
      <w:pPr>
        <w:spacing w:line="480" w:lineRule="auto"/>
        <w:rPr>
          <w:b/>
          <w:color w:val="000000" w:themeColor="text1"/>
        </w:rPr>
      </w:pPr>
      <w:r w:rsidRPr="00E030F1">
        <w:rPr>
          <w:b/>
          <w:color w:val="000000" w:themeColor="text1"/>
        </w:rPr>
        <w:t xml:space="preserve">Funding </w:t>
      </w:r>
    </w:p>
    <w:p w14:paraId="427CE290" w14:textId="03D1DD1C" w:rsidR="006C3F22" w:rsidRPr="00E030F1" w:rsidRDefault="006C3F22" w:rsidP="006C3F22">
      <w:pPr>
        <w:spacing w:line="480" w:lineRule="auto"/>
        <w:rPr>
          <w:bCs/>
          <w:color w:val="000000" w:themeColor="text1"/>
        </w:rPr>
      </w:pPr>
      <w:r w:rsidRPr="00E030F1">
        <w:rPr>
          <w:bCs/>
          <w:color w:val="000000" w:themeColor="text1"/>
        </w:rPr>
        <w:t>This work was supported by R01NS105680</w:t>
      </w:r>
      <w:r w:rsidR="00300B60" w:rsidRPr="00E030F1">
        <w:rPr>
          <w:bCs/>
          <w:color w:val="000000" w:themeColor="text1"/>
        </w:rPr>
        <w:t xml:space="preserve">, a Muscular Dystrophy Association Development grant, and the Arizona Technology and Research </w:t>
      </w:r>
      <w:r w:rsidR="00F26E9F" w:rsidRPr="00E030F1">
        <w:rPr>
          <w:bCs/>
          <w:color w:val="000000" w:themeColor="text1"/>
        </w:rPr>
        <w:t>Initiative</w:t>
      </w:r>
      <w:r w:rsidR="00300B60" w:rsidRPr="00E030F1">
        <w:rPr>
          <w:bCs/>
          <w:color w:val="000000" w:themeColor="text1"/>
        </w:rPr>
        <w:t xml:space="preserve"> Fund (TRIF) (to M.R.C.B.), </w:t>
      </w:r>
      <w:r w:rsidR="00655193" w:rsidRPr="00E030F1">
        <w:rPr>
          <w:bCs/>
          <w:color w:val="000000" w:themeColor="text1"/>
        </w:rPr>
        <w:t xml:space="preserve">the MRC (UK) grant </w:t>
      </w:r>
      <w:r w:rsidR="00655193" w:rsidRPr="00E030F1">
        <w:rPr>
          <w:color w:val="000000" w:themeColor="text1"/>
          <w:lang w:val="en-GB"/>
        </w:rPr>
        <w:t>MR/M013596/1</w:t>
      </w:r>
      <w:r w:rsidR="00655193" w:rsidRPr="00E030F1">
        <w:rPr>
          <w:bCs/>
          <w:color w:val="000000" w:themeColor="text1"/>
        </w:rPr>
        <w:t xml:space="preserve"> to S.T.S. </w:t>
      </w:r>
      <w:r w:rsidR="00300B60" w:rsidRPr="00E030F1">
        <w:rPr>
          <w:bCs/>
          <w:color w:val="000000" w:themeColor="text1"/>
        </w:rPr>
        <w:t>and a Biotechnology and Biological Sciences Research Council Studentship grant</w:t>
      </w:r>
      <w:r w:rsidR="00F50D4E" w:rsidRPr="00E030F1">
        <w:rPr>
          <w:bCs/>
          <w:color w:val="000000" w:themeColor="text1"/>
        </w:rPr>
        <w:t xml:space="preserve"> BB/M011151/1</w:t>
      </w:r>
      <w:r w:rsidR="00300B60" w:rsidRPr="00E030F1">
        <w:rPr>
          <w:bCs/>
          <w:color w:val="000000" w:themeColor="text1"/>
        </w:rPr>
        <w:t xml:space="preserve"> (to </w:t>
      </w:r>
      <w:r w:rsidR="00F50D4E" w:rsidRPr="00E030F1">
        <w:rPr>
          <w:bCs/>
          <w:color w:val="000000" w:themeColor="text1"/>
        </w:rPr>
        <w:t xml:space="preserve">S.T.S. and </w:t>
      </w:r>
      <w:r w:rsidR="00300B60" w:rsidRPr="00E030F1">
        <w:rPr>
          <w:bCs/>
          <w:color w:val="000000" w:themeColor="text1"/>
        </w:rPr>
        <w:t xml:space="preserve">E.B.). </w:t>
      </w:r>
    </w:p>
    <w:p w14:paraId="0B03E880" w14:textId="77777777" w:rsidR="00300B60" w:rsidRPr="00E030F1" w:rsidRDefault="006C3F22" w:rsidP="006C3F22">
      <w:pPr>
        <w:spacing w:line="480" w:lineRule="auto"/>
        <w:rPr>
          <w:b/>
          <w:color w:val="000000" w:themeColor="text1"/>
        </w:rPr>
      </w:pPr>
      <w:r w:rsidRPr="00E030F1">
        <w:rPr>
          <w:b/>
          <w:color w:val="000000" w:themeColor="text1"/>
        </w:rPr>
        <w:t>Conflicts of interest/Competing interests</w:t>
      </w:r>
      <w:r w:rsidR="00300B60" w:rsidRPr="00E030F1">
        <w:rPr>
          <w:b/>
          <w:color w:val="000000" w:themeColor="text1"/>
        </w:rPr>
        <w:t xml:space="preserve"> </w:t>
      </w:r>
    </w:p>
    <w:p w14:paraId="36E9A6A2" w14:textId="3BD239E5" w:rsidR="006C3F22" w:rsidRPr="00E030F1" w:rsidRDefault="00300B60" w:rsidP="006C3F22">
      <w:pPr>
        <w:spacing w:line="480" w:lineRule="auto"/>
        <w:rPr>
          <w:bCs/>
          <w:color w:val="000000" w:themeColor="text1"/>
        </w:rPr>
      </w:pPr>
      <w:r w:rsidRPr="00E030F1">
        <w:rPr>
          <w:bCs/>
          <w:color w:val="000000" w:themeColor="text1"/>
        </w:rPr>
        <w:t>The authors declare no competing financial interests.</w:t>
      </w:r>
    </w:p>
    <w:p w14:paraId="068697D0" w14:textId="483F45FC" w:rsidR="006C3F22" w:rsidRPr="00E030F1" w:rsidRDefault="00AE3F04" w:rsidP="006C3F22">
      <w:pPr>
        <w:spacing w:line="480" w:lineRule="auto"/>
        <w:rPr>
          <w:b/>
          <w:color w:val="000000" w:themeColor="text1"/>
        </w:rPr>
      </w:pPr>
      <w:r w:rsidRPr="00E030F1">
        <w:rPr>
          <w:b/>
          <w:color w:val="000000" w:themeColor="text1"/>
        </w:rPr>
        <w:t xml:space="preserve">Data and Materials </w:t>
      </w:r>
      <w:r w:rsidR="006C3F22" w:rsidRPr="00E030F1">
        <w:rPr>
          <w:b/>
          <w:color w:val="000000" w:themeColor="text1"/>
        </w:rPr>
        <w:t xml:space="preserve">Availability </w:t>
      </w:r>
    </w:p>
    <w:p w14:paraId="35516A32" w14:textId="777A48DD" w:rsidR="00300B60" w:rsidRPr="00E030F1" w:rsidRDefault="00300B60" w:rsidP="006C3F22">
      <w:pPr>
        <w:spacing w:line="480" w:lineRule="auto"/>
        <w:rPr>
          <w:bCs/>
          <w:color w:val="000000" w:themeColor="text1"/>
        </w:rPr>
      </w:pPr>
      <w:r w:rsidRPr="00E030F1">
        <w:rPr>
          <w:bCs/>
          <w:color w:val="000000" w:themeColor="text1"/>
        </w:rPr>
        <w:t>Flies</w:t>
      </w:r>
      <w:r w:rsidR="00F50D4E" w:rsidRPr="00E030F1">
        <w:rPr>
          <w:bCs/>
          <w:color w:val="000000" w:themeColor="text1"/>
        </w:rPr>
        <w:t xml:space="preserve"> and plasmids</w:t>
      </w:r>
      <w:r w:rsidRPr="00E030F1">
        <w:rPr>
          <w:bCs/>
          <w:color w:val="000000" w:themeColor="text1"/>
        </w:rPr>
        <w:t xml:space="preserve"> created during this study will be available from the authors or deposited at the Bloomington Drosophila </w:t>
      </w:r>
      <w:r w:rsidR="00F50D4E" w:rsidRPr="00E030F1">
        <w:rPr>
          <w:bCs/>
          <w:color w:val="000000" w:themeColor="text1"/>
        </w:rPr>
        <w:t xml:space="preserve">Stock </w:t>
      </w:r>
      <w:r w:rsidRPr="00E030F1">
        <w:rPr>
          <w:bCs/>
          <w:color w:val="000000" w:themeColor="text1"/>
        </w:rPr>
        <w:t>Center (BDSC)</w:t>
      </w:r>
      <w:r w:rsidR="00F50D4E" w:rsidRPr="00E030F1">
        <w:rPr>
          <w:bCs/>
          <w:color w:val="000000" w:themeColor="text1"/>
        </w:rPr>
        <w:t xml:space="preserve"> or at </w:t>
      </w:r>
      <w:proofErr w:type="spellStart"/>
      <w:r w:rsidR="00F50D4E" w:rsidRPr="00E030F1">
        <w:rPr>
          <w:bCs/>
          <w:color w:val="000000" w:themeColor="text1"/>
        </w:rPr>
        <w:t>Addgene</w:t>
      </w:r>
      <w:proofErr w:type="spellEnd"/>
      <w:r w:rsidRPr="00E030F1">
        <w:rPr>
          <w:bCs/>
          <w:color w:val="000000" w:themeColor="text1"/>
        </w:rPr>
        <w:t>.</w:t>
      </w:r>
    </w:p>
    <w:p w14:paraId="02774A59" w14:textId="0F8E42AC" w:rsidR="006C3F22" w:rsidRPr="00E030F1" w:rsidRDefault="006C3F22" w:rsidP="006C3F22">
      <w:pPr>
        <w:spacing w:line="480" w:lineRule="auto"/>
        <w:rPr>
          <w:b/>
          <w:color w:val="000000" w:themeColor="text1"/>
        </w:rPr>
      </w:pPr>
      <w:r w:rsidRPr="00E030F1">
        <w:rPr>
          <w:b/>
          <w:color w:val="000000" w:themeColor="text1"/>
        </w:rPr>
        <w:t>Code availability</w:t>
      </w:r>
    </w:p>
    <w:p w14:paraId="5FA07DED" w14:textId="3B057EE9" w:rsidR="00300B60" w:rsidRPr="00E030F1" w:rsidRDefault="004067A4" w:rsidP="006C3F22">
      <w:pPr>
        <w:spacing w:line="480" w:lineRule="auto"/>
        <w:rPr>
          <w:bCs/>
          <w:color w:val="000000" w:themeColor="text1"/>
        </w:rPr>
      </w:pPr>
      <w:r w:rsidRPr="00E030F1">
        <w:rPr>
          <w:bCs/>
          <w:color w:val="000000" w:themeColor="text1"/>
        </w:rPr>
        <w:t>All code used in image analysis is deposited on our research group’s GitHub page and is freely available to all (</w:t>
      </w:r>
      <w:hyperlink r:id="rId9" w:history="1">
        <w:r w:rsidR="005C6269" w:rsidRPr="00E030F1">
          <w:rPr>
            <w:rStyle w:val="Hyperlink"/>
            <w:bCs/>
            <w:color w:val="000000" w:themeColor="text1"/>
          </w:rPr>
          <w:t>https://github.com/martharcb</w:t>
        </w:r>
      </w:hyperlink>
      <w:r w:rsidR="005C6269" w:rsidRPr="00E030F1">
        <w:rPr>
          <w:bCs/>
          <w:color w:val="000000" w:themeColor="text1"/>
        </w:rPr>
        <w:t>).</w:t>
      </w:r>
    </w:p>
    <w:p w14:paraId="642C7271" w14:textId="4708CAB3" w:rsidR="006C3F22" w:rsidRPr="00E030F1" w:rsidRDefault="006C3F22" w:rsidP="006C3F22">
      <w:pPr>
        <w:spacing w:line="480" w:lineRule="auto"/>
        <w:rPr>
          <w:b/>
          <w:color w:val="000000" w:themeColor="text1"/>
        </w:rPr>
      </w:pPr>
      <w:r w:rsidRPr="00E030F1">
        <w:rPr>
          <w:b/>
          <w:color w:val="000000" w:themeColor="text1"/>
        </w:rPr>
        <w:t>Authors’ contributions</w:t>
      </w:r>
    </w:p>
    <w:p w14:paraId="3755153C" w14:textId="3F763323" w:rsidR="00FC0408" w:rsidRPr="00E030F1" w:rsidRDefault="00337E82" w:rsidP="006C3F22">
      <w:pPr>
        <w:spacing w:line="480" w:lineRule="auto"/>
        <w:rPr>
          <w:bCs/>
          <w:color w:val="000000" w:themeColor="text1"/>
        </w:rPr>
      </w:pPr>
      <w:r w:rsidRPr="00E030F1">
        <w:rPr>
          <w:bCs/>
          <w:color w:val="000000" w:themeColor="text1"/>
        </w:rPr>
        <w:t>S.T.S. and M.R.C.B. proposed the research and assisted in experimental design. T.S.C., E.B., and N.E.K. designed and performed experiments. All three first authors (indicated with *) made significant discoveries leading to this manuscript, resulting in all three being listed as equal first-authors. T.S.C. and M.R.C.B. wrote the man</w:t>
      </w:r>
      <w:r w:rsidR="005C4E62" w:rsidRPr="00E030F1">
        <w:rPr>
          <w:bCs/>
          <w:color w:val="000000" w:themeColor="text1"/>
        </w:rPr>
        <w:t>u</w:t>
      </w:r>
      <w:r w:rsidRPr="00E030F1">
        <w:rPr>
          <w:bCs/>
          <w:color w:val="000000" w:themeColor="text1"/>
        </w:rPr>
        <w:t xml:space="preserve">script, with editing by E.B. and S.T.S.  </w:t>
      </w:r>
    </w:p>
    <w:p w14:paraId="1C52DE86" w14:textId="6585ED34" w:rsidR="006C3F22" w:rsidRPr="00E030F1" w:rsidRDefault="006C3F22" w:rsidP="006C3F22">
      <w:pPr>
        <w:spacing w:line="480" w:lineRule="auto"/>
        <w:rPr>
          <w:b/>
          <w:color w:val="000000" w:themeColor="text1"/>
        </w:rPr>
      </w:pPr>
      <w:r w:rsidRPr="00E030F1">
        <w:rPr>
          <w:b/>
          <w:color w:val="000000" w:themeColor="text1"/>
        </w:rPr>
        <w:lastRenderedPageBreak/>
        <w:t>Ethics approval</w:t>
      </w:r>
    </w:p>
    <w:p w14:paraId="5DE9DD75" w14:textId="78B4DB38" w:rsidR="00337E82" w:rsidRPr="00E030F1" w:rsidRDefault="00337E82" w:rsidP="006C3F22">
      <w:pPr>
        <w:spacing w:line="480" w:lineRule="auto"/>
        <w:rPr>
          <w:bCs/>
          <w:color w:val="000000" w:themeColor="text1"/>
        </w:rPr>
      </w:pPr>
      <w:r w:rsidRPr="00E030F1">
        <w:rPr>
          <w:bCs/>
          <w:color w:val="000000" w:themeColor="text1"/>
        </w:rPr>
        <w:t>N</w:t>
      </w:r>
      <w:r w:rsidR="00A40D4C" w:rsidRPr="00E030F1">
        <w:rPr>
          <w:bCs/>
          <w:color w:val="000000" w:themeColor="text1"/>
        </w:rPr>
        <w:t>ot applicable</w:t>
      </w:r>
    </w:p>
    <w:p w14:paraId="211E3CD4" w14:textId="7BA35027" w:rsidR="00A40D4C" w:rsidRPr="00E030F1" w:rsidRDefault="00A40D4C" w:rsidP="006C3F22">
      <w:pPr>
        <w:spacing w:line="480" w:lineRule="auto"/>
        <w:rPr>
          <w:rStyle w:val="Strong"/>
          <w:color w:val="000000" w:themeColor="text1"/>
        </w:rPr>
      </w:pPr>
      <w:r w:rsidRPr="00E030F1">
        <w:rPr>
          <w:rStyle w:val="Strong"/>
          <w:color w:val="000000" w:themeColor="text1"/>
        </w:rPr>
        <w:t>Consent to participate</w:t>
      </w:r>
    </w:p>
    <w:p w14:paraId="4346DB2F" w14:textId="0E0704D3" w:rsidR="00A40D4C" w:rsidRPr="00E030F1" w:rsidRDefault="00A40D4C" w:rsidP="006C3F22">
      <w:pPr>
        <w:spacing w:line="480" w:lineRule="auto"/>
        <w:rPr>
          <w:b/>
          <w:bCs/>
          <w:color w:val="000000" w:themeColor="text1"/>
        </w:rPr>
      </w:pPr>
      <w:r w:rsidRPr="00E030F1">
        <w:rPr>
          <w:rStyle w:val="Strong"/>
          <w:b w:val="0"/>
          <w:bCs w:val="0"/>
          <w:color w:val="000000" w:themeColor="text1"/>
        </w:rPr>
        <w:t>Not applicable</w:t>
      </w:r>
    </w:p>
    <w:p w14:paraId="00D416D4" w14:textId="77777777" w:rsidR="00300B60" w:rsidRPr="00E030F1" w:rsidRDefault="006C3F22" w:rsidP="006C3F22">
      <w:pPr>
        <w:spacing w:line="480" w:lineRule="auto"/>
        <w:rPr>
          <w:bCs/>
          <w:color w:val="000000" w:themeColor="text1"/>
        </w:rPr>
      </w:pPr>
      <w:r w:rsidRPr="00E030F1">
        <w:rPr>
          <w:b/>
          <w:color w:val="000000" w:themeColor="text1"/>
        </w:rPr>
        <w:t>Consent for publication</w:t>
      </w:r>
      <w:r w:rsidR="00300B60" w:rsidRPr="00E030F1">
        <w:rPr>
          <w:bCs/>
          <w:color w:val="000000" w:themeColor="text1"/>
        </w:rPr>
        <w:t xml:space="preserve"> </w:t>
      </w:r>
    </w:p>
    <w:p w14:paraId="21EB70A6" w14:textId="132EADF4" w:rsidR="006C3F22" w:rsidRPr="00E030F1" w:rsidRDefault="00300B60" w:rsidP="006C3F22">
      <w:pPr>
        <w:spacing w:line="480" w:lineRule="auto"/>
        <w:rPr>
          <w:bCs/>
          <w:color w:val="000000" w:themeColor="text1"/>
        </w:rPr>
      </w:pPr>
      <w:r w:rsidRPr="00E030F1">
        <w:rPr>
          <w:bCs/>
          <w:color w:val="000000" w:themeColor="text1"/>
        </w:rPr>
        <w:t>All authors have had the opportunity to review this manuscript prior to submission, and all give their approval for publication of this work.</w:t>
      </w:r>
    </w:p>
    <w:p w14:paraId="443BB726" w14:textId="77777777" w:rsidR="006C3F22" w:rsidRPr="00E030F1" w:rsidRDefault="006C3F22" w:rsidP="002B41C7">
      <w:pPr>
        <w:spacing w:line="480" w:lineRule="auto"/>
        <w:rPr>
          <w:b/>
          <w:color w:val="000000" w:themeColor="text1"/>
        </w:rPr>
      </w:pPr>
    </w:p>
    <w:p w14:paraId="6DCA5F63" w14:textId="53D3EECB" w:rsidR="00FF22ED" w:rsidRPr="00E030F1" w:rsidRDefault="007F0F85" w:rsidP="00E50C46">
      <w:pPr>
        <w:spacing w:line="480" w:lineRule="auto"/>
        <w:rPr>
          <w:b/>
          <w:color w:val="000000" w:themeColor="text1"/>
        </w:rPr>
      </w:pPr>
      <w:r w:rsidRPr="00E030F1">
        <w:rPr>
          <w:b/>
          <w:color w:val="000000" w:themeColor="text1"/>
        </w:rPr>
        <w:t>Materials and Methods</w:t>
      </w:r>
    </w:p>
    <w:p w14:paraId="24EC9BEC" w14:textId="77777777" w:rsidR="001C144D" w:rsidRPr="00E030F1" w:rsidRDefault="001C144D" w:rsidP="002B41C7">
      <w:pPr>
        <w:pStyle w:val="Heading2"/>
        <w:spacing w:line="480" w:lineRule="auto"/>
        <w:rPr>
          <w:b/>
          <w:bCs/>
          <w:color w:val="000000" w:themeColor="text1"/>
          <w:sz w:val="22"/>
          <w:szCs w:val="22"/>
        </w:rPr>
      </w:pPr>
      <w:r w:rsidRPr="00E030F1">
        <w:rPr>
          <w:b/>
          <w:bCs/>
          <w:color w:val="000000" w:themeColor="text1"/>
          <w:sz w:val="22"/>
          <w:szCs w:val="22"/>
        </w:rPr>
        <w:t>Fly stocks and husbandry</w:t>
      </w:r>
    </w:p>
    <w:p w14:paraId="6FF24187" w14:textId="6990C033" w:rsidR="001C144D" w:rsidRPr="00E030F1" w:rsidRDefault="001C144D">
      <w:pPr>
        <w:spacing w:line="480" w:lineRule="auto"/>
        <w:rPr>
          <w:color w:val="000000" w:themeColor="text1"/>
        </w:rPr>
      </w:pPr>
      <w:r w:rsidRPr="00E030F1">
        <w:rPr>
          <w:color w:val="000000" w:themeColor="text1"/>
        </w:rPr>
        <w:t>Flies were raised at 25</w:t>
      </w:r>
      <w:r w:rsidRPr="00E030F1">
        <w:rPr>
          <w:rFonts w:ascii="degree" w:hAnsi="degree"/>
          <w:color w:val="000000" w:themeColor="text1"/>
        </w:rPr>
        <w:t>°</w:t>
      </w:r>
      <w:r w:rsidRPr="00E030F1">
        <w:rPr>
          <w:color w:val="000000" w:themeColor="text1"/>
        </w:rPr>
        <w:t>C, and all experiments were performed at 22</w:t>
      </w:r>
      <w:r w:rsidRPr="00E030F1">
        <w:rPr>
          <w:rFonts w:ascii="degree" w:hAnsi="degree"/>
          <w:color w:val="000000" w:themeColor="text1"/>
        </w:rPr>
        <w:t>°</w:t>
      </w:r>
      <w:r w:rsidRPr="00E030F1">
        <w:rPr>
          <w:color w:val="000000" w:themeColor="text1"/>
        </w:rPr>
        <w:t>C.</w:t>
      </w:r>
      <w:r w:rsidR="005D7C1F" w:rsidRPr="00E030F1">
        <w:rPr>
          <w:color w:val="000000" w:themeColor="text1"/>
        </w:rPr>
        <w:t xml:space="preserve"> </w:t>
      </w:r>
      <w:r w:rsidRPr="00E030F1">
        <w:rPr>
          <w:color w:val="000000" w:themeColor="text1"/>
        </w:rPr>
        <w:t xml:space="preserve">Fly stocks were </w:t>
      </w:r>
      <w:r w:rsidR="005D7C1F" w:rsidRPr="00E030F1">
        <w:rPr>
          <w:color w:val="000000" w:themeColor="text1"/>
        </w:rPr>
        <w:t xml:space="preserve">from either the Bloomington Drosophila Stock Center (BDSC) or the Vienna Drosophila RNAi Consortium (VDRC) </w:t>
      </w:r>
      <w:r w:rsidRPr="00E030F1">
        <w:rPr>
          <w:color w:val="000000" w:themeColor="text1"/>
        </w:rPr>
        <w:t xml:space="preserve">as follows: </w:t>
      </w:r>
      <w:r w:rsidRPr="00E030F1">
        <w:rPr>
          <w:i/>
          <w:iCs/>
          <w:color w:val="000000" w:themeColor="text1"/>
        </w:rPr>
        <w:t>Vglut</w:t>
      </w:r>
      <w:r w:rsidRPr="00E030F1">
        <w:rPr>
          <w:color w:val="000000" w:themeColor="text1"/>
        </w:rPr>
        <w:t>-</w:t>
      </w:r>
      <w:r w:rsidR="00C81A73" w:rsidRPr="00E030F1">
        <w:rPr>
          <w:color w:val="000000" w:themeColor="text1"/>
        </w:rPr>
        <w:t>GAL4</w:t>
      </w:r>
      <w:r w:rsidR="00A223E0" w:rsidRPr="00E030F1">
        <w:rPr>
          <w:color w:val="000000" w:themeColor="text1"/>
        </w:rPr>
        <w:t xml:space="preserve"> (</w:t>
      </w:r>
      <w:r w:rsidR="00B60BAB" w:rsidRPr="00E030F1">
        <w:rPr>
          <w:color w:val="000000" w:themeColor="text1"/>
        </w:rPr>
        <w:t>BDSC # 24635),</w:t>
      </w:r>
      <w:r w:rsidRPr="00E030F1">
        <w:rPr>
          <w:color w:val="000000" w:themeColor="text1"/>
        </w:rPr>
        <w:t xml:space="preserve"> </w:t>
      </w:r>
      <w:r w:rsidR="00B60BAB" w:rsidRPr="00E030F1">
        <w:rPr>
          <w:i/>
          <w:iCs/>
          <w:color w:val="000000" w:themeColor="text1"/>
        </w:rPr>
        <w:t>Df(3L)Exel6087</w:t>
      </w:r>
      <w:r w:rsidR="00B60BAB" w:rsidRPr="00E030F1">
        <w:rPr>
          <w:color w:val="000000" w:themeColor="text1"/>
        </w:rPr>
        <w:t xml:space="preserve"> (BDSC #7566), </w:t>
      </w:r>
      <w:proofErr w:type="spellStart"/>
      <w:r w:rsidR="00E755FD" w:rsidRPr="00E030F1">
        <w:rPr>
          <w:i/>
          <w:iCs/>
          <w:color w:val="000000" w:themeColor="text1"/>
        </w:rPr>
        <w:t>Tmep</w:t>
      </w:r>
      <w:r w:rsidR="00E755FD" w:rsidRPr="00E030F1">
        <w:rPr>
          <w:i/>
          <w:iCs/>
          <w:color w:val="000000" w:themeColor="text1"/>
          <w:vertAlign w:val="superscript"/>
        </w:rPr>
        <w:t>Cri</w:t>
      </w:r>
      <w:proofErr w:type="spellEnd"/>
      <w:r w:rsidR="00E755FD" w:rsidRPr="00E030F1">
        <w:rPr>
          <w:color w:val="000000" w:themeColor="text1"/>
        </w:rPr>
        <w:t xml:space="preserve"> (BDSC #91319), </w:t>
      </w:r>
      <w:r w:rsidR="00E755FD" w:rsidRPr="00E030F1">
        <w:rPr>
          <w:i/>
          <w:iCs/>
          <w:color w:val="000000" w:themeColor="text1"/>
        </w:rPr>
        <w:t>MHC</w:t>
      </w:r>
      <w:r w:rsidR="00D37A30" w:rsidRPr="00E030F1">
        <w:rPr>
          <w:i/>
          <w:iCs/>
          <w:color w:val="000000" w:themeColor="text1"/>
        </w:rPr>
        <w:t>82</w:t>
      </w:r>
      <w:r w:rsidR="00E755FD" w:rsidRPr="00E030F1">
        <w:rPr>
          <w:color w:val="000000" w:themeColor="text1"/>
        </w:rPr>
        <w:t xml:space="preserve">-GAL4 </w:t>
      </w:r>
      <w:r w:rsidR="00D37A30" w:rsidRPr="00E030F1">
        <w:rPr>
          <w:color w:val="000000" w:themeColor="text1"/>
        </w:rPr>
        <w:fldChar w:fldCharType="begin" w:fldLock="1"/>
      </w:r>
      <w:r w:rsidR="00F8756B" w:rsidRPr="00E030F1">
        <w:rPr>
          <w:color w:val="000000" w:themeColor="text1"/>
        </w:rPr>
        <w:instrText>ADDIN CSL_CITATION {"citationItems":[{"id":"ITEM-1","itemData":{"DOI":"10.1016/S0896-6273(00)80372-4","ISSN":"0896-6273","abstract":"In Drosophila, motoneuron growth cones initially probe many potential muscle targets but later withdraw most of these contacts to form stereotypic synapses with only one or a few muscles. Prior to synapse formation, Fasciclin II (Fas II) is expressed at low levels on muscle. During synapse formation, Fas II concentrates at the synapse and disappears from the rest of the muscle. We previously showed that Fas II is required both preand postsynaptically for synaptic stabilization. Here, we show that the differential expression of target-derived Fas II has a profound influence on the patterning of synapse formation. A transient increase in muscle Fas II stabilizes growth cone contacts and leads to novel synapses that are functional and stable; targets that normally receive two inputs can now receive up to six inputs. Changing the relative levels of Fas II on neighboring muscles leads to dramatic shifts in target selection.","author":[{"dropping-particle":"","family":"Davis","given":"Graeme W.","non-dropping-particle":"","parse-names":false,"suffix":""},{"dropping-particle":"","family":"Schuster","given":"Christoph M.","non-dropping-particle":"","parse-names":false,"suffix":""},{"dropping-particle":"","family":"Goodman","given":"Corey S.","non-dropping-particle":"","parse-names":false,"suffix":""}],"container-title":"Neuron","id":"ITEM-1","issue":"3","issued":{"date-parts":[["1997","9","1"]]},"page":"561-573","publisher":"Cell Press","title":"Genetic Analysis of the Mechanisms Controlling Target Selection: Target-Derived Fasciclin II Regulates the Pattern of Synapse Formation","type":"article-journal","volume":"19"},"uris":["http://www.mendeley.com/documents/?uuid=e8f9a118-485c-3667-bf0f-a92a3f6f2e07"]}],"mendeley":{"formattedCitation":"[56]","plainTextFormattedCitation":"[56]","previouslyFormattedCitation":"[55]"},"properties":{"noteIndex":0},"schema":"https://github.com/citation-style-language/schema/raw/master/csl-citation.json"}</w:instrText>
      </w:r>
      <w:r w:rsidR="00D37A30" w:rsidRPr="00E030F1">
        <w:rPr>
          <w:color w:val="000000" w:themeColor="text1"/>
        </w:rPr>
        <w:fldChar w:fldCharType="separate"/>
      </w:r>
      <w:r w:rsidR="00F8756B" w:rsidRPr="00E030F1">
        <w:rPr>
          <w:noProof/>
          <w:color w:val="000000" w:themeColor="text1"/>
        </w:rPr>
        <w:t>[56]</w:t>
      </w:r>
      <w:r w:rsidR="00D37A30" w:rsidRPr="00E030F1">
        <w:rPr>
          <w:color w:val="000000" w:themeColor="text1"/>
        </w:rPr>
        <w:fldChar w:fldCharType="end"/>
      </w:r>
      <w:r w:rsidR="00E755FD" w:rsidRPr="00E030F1">
        <w:rPr>
          <w:color w:val="000000" w:themeColor="text1"/>
        </w:rPr>
        <w:t xml:space="preserve">, </w:t>
      </w:r>
      <w:r w:rsidRPr="00E030F1">
        <w:rPr>
          <w:color w:val="000000" w:themeColor="text1"/>
        </w:rPr>
        <w:t xml:space="preserve">UAS-CG12004 RNAi </w:t>
      </w:r>
      <w:r w:rsidR="009136CB" w:rsidRPr="00E030F1">
        <w:rPr>
          <w:color w:val="000000" w:themeColor="text1"/>
        </w:rPr>
        <w:t>(TRP</w:t>
      </w:r>
      <w:r w:rsidR="00B60BAB" w:rsidRPr="00E030F1">
        <w:rPr>
          <w:color w:val="000000" w:themeColor="text1"/>
        </w:rPr>
        <w:t xml:space="preserve"> #57429</w:t>
      </w:r>
      <w:r w:rsidR="009136CB" w:rsidRPr="00E030F1">
        <w:rPr>
          <w:color w:val="000000" w:themeColor="text1"/>
        </w:rPr>
        <w:t>)</w:t>
      </w:r>
      <w:r w:rsidR="00B60BAB" w:rsidRPr="00E030F1">
        <w:rPr>
          <w:color w:val="000000" w:themeColor="text1"/>
        </w:rPr>
        <w:t xml:space="preserve">, UAS-CG12004 RNAi (VDRC #101732), </w:t>
      </w:r>
      <w:r w:rsidR="00CA5277" w:rsidRPr="00E030F1">
        <w:rPr>
          <w:color w:val="000000" w:themeColor="text1"/>
        </w:rPr>
        <w:t>UAS-</w:t>
      </w:r>
      <w:r w:rsidRPr="00E030F1">
        <w:rPr>
          <w:color w:val="000000" w:themeColor="text1"/>
        </w:rPr>
        <w:t xml:space="preserve">ITPR RNAi </w:t>
      </w:r>
      <w:r w:rsidR="00B60BAB" w:rsidRPr="00E030F1">
        <w:rPr>
          <w:color w:val="000000" w:themeColor="text1"/>
        </w:rPr>
        <w:t>(</w:t>
      </w:r>
      <w:r w:rsidRPr="00E030F1">
        <w:rPr>
          <w:color w:val="000000" w:themeColor="text1"/>
        </w:rPr>
        <w:t>B</w:t>
      </w:r>
      <w:r w:rsidR="00B60BAB" w:rsidRPr="00E030F1">
        <w:rPr>
          <w:color w:val="000000" w:themeColor="text1"/>
        </w:rPr>
        <w:t>DSC #</w:t>
      </w:r>
      <w:r w:rsidRPr="00E030F1">
        <w:rPr>
          <w:color w:val="000000" w:themeColor="text1"/>
        </w:rPr>
        <w:t>51795</w:t>
      </w:r>
      <w:r w:rsidR="00B60BAB" w:rsidRPr="00E030F1">
        <w:rPr>
          <w:color w:val="000000" w:themeColor="text1"/>
        </w:rPr>
        <w:t>)</w:t>
      </w:r>
      <w:r w:rsidRPr="00E030F1">
        <w:rPr>
          <w:color w:val="000000" w:themeColor="text1"/>
        </w:rPr>
        <w:t xml:space="preserve">, </w:t>
      </w:r>
      <w:r w:rsidR="00CA5277" w:rsidRPr="00E030F1">
        <w:rPr>
          <w:color w:val="000000" w:themeColor="text1"/>
        </w:rPr>
        <w:t>UAS-</w:t>
      </w:r>
      <w:proofErr w:type="spellStart"/>
      <w:r w:rsidRPr="00E030F1">
        <w:rPr>
          <w:color w:val="000000" w:themeColor="text1"/>
        </w:rPr>
        <w:t>RyR</w:t>
      </w:r>
      <w:proofErr w:type="spellEnd"/>
      <w:r w:rsidRPr="00E030F1">
        <w:rPr>
          <w:color w:val="000000" w:themeColor="text1"/>
        </w:rPr>
        <w:t xml:space="preserve"> RNAi </w:t>
      </w:r>
      <w:r w:rsidR="00B60BAB" w:rsidRPr="00E030F1">
        <w:rPr>
          <w:color w:val="000000" w:themeColor="text1"/>
        </w:rPr>
        <w:t>(BDSC #</w:t>
      </w:r>
      <w:r w:rsidRPr="00E030F1">
        <w:rPr>
          <w:color w:val="000000" w:themeColor="text1"/>
        </w:rPr>
        <w:t>28919</w:t>
      </w:r>
      <w:r w:rsidR="00B60BAB" w:rsidRPr="00E030F1">
        <w:rPr>
          <w:color w:val="000000" w:themeColor="text1"/>
        </w:rPr>
        <w:t>), UAS-NMNAT (</w:t>
      </w:r>
      <w:r w:rsidR="00D37A30" w:rsidRPr="00E030F1">
        <w:rPr>
          <w:color w:val="000000" w:themeColor="text1"/>
        </w:rPr>
        <w:t>BDSC # 39699</w:t>
      </w:r>
      <w:r w:rsidR="00B60BAB" w:rsidRPr="00E030F1">
        <w:rPr>
          <w:color w:val="000000" w:themeColor="text1"/>
        </w:rPr>
        <w:t>)</w:t>
      </w:r>
      <w:r w:rsidR="00BD2737" w:rsidRPr="00E030F1">
        <w:rPr>
          <w:color w:val="000000" w:themeColor="text1"/>
        </w:rPr>
        <w:t xml:space="preserve">, </w:t>
      </w:r>
      <w:r w:rsidR="004069F9" w:rsidRPr="00E030F1">
        <w:rPr>
          <w:color w:val="000000" w:themeColor="text1"/>
        </w:rPr>
        <w:t xml:space="preserve">UAS-GcaMP5-T2A-TdTomato (BDSC # 80079) </w:t>
      </w:r>
      <w:r w:rsidR="00BD2737" w:rsidRPr="00E030F1">
        <w:rPr>
          <w:color w:val="000000" w:themeColor="text1"/>
        </w:rPr>
        <w:t xml:space="preserve">and wild type (Canton S or </w:t>
      </w:r>
      <w:r w:rsidR="00BD2737" w:rsidRPr="00E030F1">
        <w:rPr>
          <w:i/>
          <w:iCs/>
          <w:color w:val="000000" w:themeColor="text1"/>
        </w:rPr>
        <w:t>w</w:t>
      </w:r>
      <w:r w:rsidR="00BD2737" w:rsidRPr="00E030F1">
        <w:rPr>
          <w:i/>
          <w:iCs/>
          <w:color w:val="000000" w:themeColor="text1"/>
          <w:vertAlign w:val="superscript"/>
        </w:rPr>
        <w:t>1118</w:t>
      </w:r>
      <w:r w:rsidR="00BD2737" w:rsidRPr="00E030F1">
        <w:rPr>
          <w:color w:val="000000" w:themeColor="text1"/>
        </w:rPr>
        <w:t>)</w:t>
      </w:r>
      <w:r w:rsidRPr="00E030F1">
        <w:rPr>
          <w:color w:val="000000" w:themeColor="text1"/>
        </w:rPr>
        <w:t xml:space="preserve">. </w:t>
      </w:r>
      <w:proofErr w:type="spellStart"/>
      <w:r w:rsidR="00E755FD" w:rsidRPr="00E030F1">
        <w:rPr>
          <w:i/>
          <w:iCs/>
          <w:color w:val="000000" w:themeColor="text1"/>
        </w:rPr>
        <w:t>Tmep</w:t>
      </w:r>
      <w:r w:rsidR="00E755FD" w:rsidRPr="00E030F1">
        <w:rPr>
          <w:i/>
          <w:iCs/>
          <w:color w:val="000000" w:themeColor="text1"/>
          <w:vertAlign w:val="superscript"/>
        </w:rPr>
        <w:t>Ex</w:t>
      </w:r>
      <w:proofErr w:type="spellEnd"/>
      <w:r w:rsidR="00E755FD" w:rsidRPr="00E030F1">
        <w:rPr>
          <w:color w:val="000000" w:themeColor="text1"/>
        </w:rPr>
        <w:t xml:space="preserve"> was made by </w:t>
      </w:r>
      <w:proofErr w:type="spellStart"/>
      <w:r w:rsidR="00E755FD" w:rsidRPr="00E030F1">
        <w:rPr>
          <w:color w:val="000000" w:themeColor="text1"/>
        </w:rPr>
        <w:t>InDroso</w:t>
      </w:r>
      <w:proofErr w:type="spellEnd"/>
      <w:r w:rsidR="00E755FD" w:rsidRPr="00E030F1">
        <w:rPr>
          <w:color w:val="000000" w:themeColor="text1"/>
        </w:rPr>
        <w:t xml:space="preserve"> Functional Genomics (Rennes, France) by homologous recombination to create </w:t>
      </w:r>
      <w:r w:rsidR="005D7C1F" w:rsidRPr="00E030F1">
        <w:rPr>
          <w:color w:val="000000" w:themeColor="text1"/>
        </w:rPr>
        <w:t xml:space="preserve">a </w:t>
      </w:r>
      <w:r w:rsidR="00E755FD" w:rsidRPr="00E030F1">
        <w:rPr>
          <w:color w:val="000000" w:themeColor="text1"/>
        </w:rPr>
        <w:t xml:space="preserve">16-base deletion in the first coding exon of CG12004. </w:t>
      </w:r>
      <w:r w:rsidR="004B6324" w:rsidRPr="00E030F1">
        <w:rPr>
          <w:color w:val="000000" w:themeColor="text1"/>
        </w:rPr>
        <w:t>UAS-mKate:CG12004</w:t>
      </w:r>
      <w:r w:rsidR="005D7C1F" w:rsidRPr="00E030F1">
        <w:rPr>
          <w:color w:val="000000" w:themeColor="text1"/>
        </w:rPr>
        <w:softHyphen/>
      </w:r>
      <w:r w:rsidR="00E24D32" w:rsidRPr="00E030F1">
        <w:rPr>
          <w:color w:val="000000" w:themeColor="text1"/>
        </w:rPr>
        <w:t xml:space="preserve"> (long form)</w:t>
      </w:r>
      <w:r w:rsidR="004B6324" w:rsidRPr="00E030F1">
        <w:rPr>
          <w:color w:val="000000" w:themeColor="text1"/>
        </w:rPr>
        <w:t xml:space="preserve"> </w:t>
      </w:r>
      <w:r w:rsidR="004069F9" w:rsidRPr="00E030F1">
        <w:rPr>
          <w:color w:val="000000" w:themeColor="text1"/>
        </w:rPr>
        <w:t xml:space="preserve">and UAS-mKate:hTMEM184B (human) </w:t>
      </w:r>
      <w:r w:rsidR="00E24D32" w:rsidRPr="00E030F1">
        <w:rPr>
          <w:color w:val="000000" w:themeColor="text1"/>
        </w:rPr>
        <w:t>w</w:t>
      </w:r>
      <w:r w:rsidR="004069F9" w:rsidRPr="00E030F1">
        <w:rPr>
          <w:color w:val="000000" w:themeColor="text1"/>
        </w:rPr>
        <w:t>ere</w:t>
      </w:r>
      <w:r w:rsidR="00E24D32" w:rsidRPr="00E030F1">
        <w:rPr>
          <w:color w:val="000000" w:themeColor="text1"/>
        </w:rPr>
        <w:t xml:space="preserve"> created by cloning into </w:t>
      </w:r>
      <w:r w:rsidR="005D7C1F" w:rsidRPr="00E030F1">
        <w:rPr>
          <w:color w:val="000000" w:themeColor="text1"/>
        </w:rPr>
        <w:t xml:space="preserve">the </w:t>
      </w:r>
      <w:proofErr w:type="spellStart"/>
      <w:r w:rsidR="005D7C1F" w:rsidRPr="00E030F1">
        <w:rPr>
          <w:color w:val="000000" w:themeColor="text1"/>
        </w:rPr>
        <w:t>pBID</w:t>
      </w:r>
      <w:proofErr w:type="spellEnd"/>
      <w:r w:rsidR="005D7C1F" w:rsidRPr="00E030F1">
        <w:rPr>
          <w:color w:val="000000" w:themeColor="text1"/>
        </w:rPr>
        <w:t xml:space="preserve"> vector, which was a gift from Brian McCabe (</w:t>
      </w:r>
      <w:proofErr w:type="spellStart"/>
      <w:r w:rsidR="005D7C1F" w:rsidRPr="00E030F1">
        <w:rPr>
          <w:color w:val="000000" w:themeColor="text1"/>
        </w:rPr>
        <w:t>Addgene</w:t>
      </w:r>
      <w:proofErr w:type="spellEnd"/>
      <w:r w:rsidR="005D7C1F" w:rsidRPr="00E030F1">
        <w:rPr>
          <w:color w:val="000000" w:themeColor="text1"/>
        </w:rPr>
        <w:t xml:space="preserve"> plasmid # 35190; http://n2t.net/addgene:35190 ; RRID:Addgene_35190).</w:t>
      </w:r>
      <w:r w:rsidR="004B6324" w:rsidRPr="00E030F1">
        <w:rPr>
          <w:color w:val="000000" w:themeColor="text1"/>
        </w:rPr>
        <w:t xml:space="preserve"> Injections were done at </w:t>
      </w:r>
      <w:proofErr w:type="spellStart"/>
      <w:r w:rsidR="004B6324" w:rsidRPr="00E030F1">
        <w:rPr>
          <w:color w:val="000000" w:themeColor="text1"/>
        </w:rPr>
        <w:t>Bestgene</w:t>
      </w:r>
      <w:proofErr w:type="spellEnd"/>
      <w:r w:rsidR="004B6324" w:rsidRPr="00E030F1">
        <w:rPr>
          <w:color w:val="000000" w:themeColor="text1"/>
        </w:rPr>
        <w:t xml:space="preserve"> (Chino Hills, CA). </w:t>
      </w:r>
    </w:p>
    <w:p w14:paraId="48046735" w14:textId="77777777" w:rsidR="00E24D32" w:rsidRPr="00E030F1" w:rsidRDefault="00E24D32">
      <w:pPr>
        <w:spacing w:line="480" w:lineRule="auto"/>
        <w:rPr>
          <w:color w:val="000000" w:themeColor="text1"/>
        </w:rPr>
      </w:pPr>
    </w:p>
    <w:p w14:paraId="1357943C" w14:textId="1C93C565" w:rsidR="00FF22ED" w:rsidRPr="00E030F1" w:rsidRDefault="00FF22ED">
      <w:pPr>
        <w:spacing w:line="480" w:lineRule="auto"/>
        <w:rPr>
          <w:b/>
          <w:bCs/>
          <w:color w:val="000000" w:themeColor="text1"/>
        </w:rPr>
      </w:pPr>
      <w:r w:rsidRPr="00E030F1">
        <w:rPr>
          <w:b/>
          <w:bCs/>
          <w:color w:val="000000" w:themeColor="text1"/>
        </w:rPr>
        <w:t>Genome Alignment</w:t>
      </w:r>
    </w:p>
    <w:p w14:paraId="6C086FA2" w14:textId="300D5FA0" w:rsidR="00FF22ED" w:rsidRPr="00E030F1" w:rsidRDefault="007C7730" w:rsidP="00E50C46">
      <w:pPr>
        <w:spacing w:line="480" w:lineRule="auto"/>
        <w:rPr>
          <w:color w:val="000000" w:themeColor="text1"/>
        </w:rPr>
      </w:pPr>
      <w:r w:rsidRPr="00E030F1">
        <w:rPr>
          <w:color w:val="000000" w:themeColor="text1"/>
        </w:rPr>
        <w:lastRenderedPageBreak/>
        <w:t>Sequences were downloaded from NCBI as follows: human TMEM184b (isoform a, NP_036396.2), mouse TMEM184b (isoform 1, NP_766196.1)</w:t>
      </w:r>
      <w:r w:rsidR="00170B9D" w:rsidRPr="00E030F1">
        <w:rPr>
          <w:color w:val="000000" w:themeColor="text1"/>
        </w:rPr>
        <w:t xml:space="preserve">. Fly orthologs were derived from </w:t>
      </w:r>
      <w:proofErr w:type="spellStart"/>
      <w:r w:rsidR="00170B9D" w:rsidRPr="00E030F1">
        <w:rPr>
          <w:color w:val="000000" w:themeColor="text1"/>
        </w:rPr>
        <w:t>Flybase</w:t>
      </w:r>
      <w:proofErr w:type="spellEnd"/>
      <w:r w:rsidR="00170B9D" w:rsidRPr="00E030F1">
        <w:rPr>
          <w:color w:val="000000" w:themeColor="text1"/>
        </w:rPr>
        <w:t xml:space="preserve"> (CG12004-RD is the long form, CG12004-RA is the short form). Alignments were done in </w:t>
      </w:r>
      <w:proofErr w:type="spellStart"/>
      <w:r w:rsidR="00170B9D" w:rsidRPr="00E030F1">
        <w:rPr>
          <w:color w:val="000000" w:themeColor="text1"/>
        </w:rPr>
        <w:t>Snapgene</w:t>
      </w:r>
      <w:proofErr w:type="spellEnd"/>
      <w:r w:rsidR="00170B9D" w:rsidRPr="00E030F1">
        <w:rPr>
          <w:color w:val="000000" w:themeColor="text1"/>
        </w:rPr>
        <w:t xml:space="preserve"> using </w:t>
      </w:r>
      <w:proofErr w:type="spellStart"/>
      <w:r w:rsidR="00170B9D" w:rsidRPr="00E030F1">
        <w:rPr>
          <w:color w:val="000000" w:themeColor="text1"/>
        </w:rPr>
        <w:t>ClustalW</w:t>
      </w:r>
      <w:proofErr w:type="spellEnd"/>
      <w:r w:rsidR="00170B9D" w:rsidRPr="00E030F1">
        <w:rPr>
          <w:color w:val="000000" w:themeColor="text1"/>
        </w:rPr>
        <w:t xml:space="preserve">. Membrane regions were annotated manually based on membrane predictions using the TMHMM Server v 2.0 available at </w:t>
      </w:r>
      <w:hyperlink r:id="rId10" w:history="1">
        <w:r w:rsidR="00170B9D" w:rsidRPr="00E030F1">
          <w:rPr>
            <w:rStyle w:val="Hyperlink"/>
            <w:color w:val="000000" w:themeColor="text1"/>
          </w:rPr>
          <w:t>http://www.cbs.dtu.dk/services/TMHMM/</w:t>
        </w:r>
      </w:hyperlink>
      <w:r w:rsidR="00170B9D" w:rsidRPr="00E030F1">
        <w:rPr>
          <w:color w:val="000000" w:themeColor="text1"/>
        </w:rPr>
        <w:t xml:space="preserve">. </w:t>
      </w:r>
      <w:r w:rsidRPr="00E030F1">
        <w:rPr>
          <w:color w:val="000000" w:themeColor="text1"/>
        </w:rPr>
        <w:t xml:space="preserve"> </w:t>
      </w:r>
    </w:p>
    <w:p w14:paraId="0C1A4057" w14:textId="77777777" w:rsidR="00E50C46" w:rsidRPr="00E030F1" w:rsidRDefault="00E50C46" w:rsidP="00E50C46">
      <w:pPr>
        <w:spacing w:line="480" w:lineRule="auto"/>
        <w:rPr>
          <w:color w:val="000000" w:themeColor="text1"/>
        </w:rPr>
      </w:pPr>
    </w:p>
    <w:p w14:paraId="59C20A5B" w14:textId="6150E458" w:rsidR="00FF22ED" w:rsidRPr="00E030F1" w:rsidRDefault="00FF22ED" w:rsidP="002B41C7">
      <w:pPr>
        <w:spacing w:line="480" w:lineRule="auto"/>
        <w:rPr>
          <w:b/>
          <w:bCs/>
          <w:color w:val="000000" w:themeColor="text1"/>
        </w:rPr>
      </w:pPr>
      <w:r w:rsidRPr="00E030F1">
        <w:rPr>
          <w:b/>
          <w:bCs/>
          <w:color w:val="000000" w:themeColor="text1"/>
        </w:rPr>
        <w:t>Antibody generation</w:t>
      </w:r>
    </w:p>
    <w:p w14:paraId="5DA1BC98" w14:textId="327D3F71" w:rsidR="002B41C7" w:rsidRPr="00E030F1" w:rsidRDefault="002B41C7" w:rsidP="002B41C7">
      <w:pPr>
        <w:spacing w:line="480" w:lineRule="auto"/>
        <w:rPr>
          <w:rFonts w:ascii="Times New Roman" w:eastAsia="Times New Roman" w:hAnsi="Times New Roman" w:cs="Times New Roman"/>
          <w:color w:val="000000" w:themeColor="text1"/>
          <w:lang w:val="en-GB" w:eastAsia="en-GB"/>
        </w:rPr>
      </w:pPr>
      <w:r w:rsidRPr="00E030F1">
        <w:rPr>
          <w:color w:val="000000" w:themeColor="text1"/>
        </w:rPr>
        <w:t xml:space="preserve">Drosophila </w:t>
      </w:r>
      <w:proofErr w:type="spellStart"/>
      <w:r w:rsidRPr="00E030F1">
        <w:rPr>
          <w:color w:val="000000" w:themeColor="text1"/>
        </w:rPr>
        <w:t>Tmep</w:t>
      </w:r>
      <w:proofErr w:type="spellEnd"/>
      <w:r w:rsidRPr="00E030F1">
        <w:rPr>
          <w:color w:val="000000" w:themeColor="text1"/>
        </w:rPr>
        <w:t xml:space="preserve"> cDNA was used as a template to generate PCR fragments corresponding to two selected peptide fragments of </w:t>
      </w:r>
      <w:proofErr w:type="spellStart"/>
      <w:r w:rsidRPr="00E030F1">
        <w:rPr>
          <w:color w:val="000000" w:themeColor="text1"/>
        </w:rPr>
        <w:t>Tmep</w:t>
      </w:r>
      <w:proofErr w:type="spellEnd"/>
      <w:r w:rsidRPr="00E030F1">
        <w:rPr>
          <w:color w:val="000000" w:themeColor="text1"/>
        </w:rPr>
        <w:t xml:space="preserve"> 1-67 (N-terminal) and </w:t>
      </w:r>
      <w:proofErr w:type="spellStart"/>
      <w:r w:rsidRPr="00E030F1">
        <w:rPr>
          <w:color w:val="000000" w:themeColor="text1"/>
        </w:rPr>
        <w:t>Tmep</w:t>
      </w:r>
      <w:proofErr w:type="spellEnd"/>
      <w:r w:rsidRPr="00E030F1">
        <w:rPr>
          <w:color w:val="000000" w:themeColor="text1"/>
        </w:rPr>
        <w:t xml:space="preserve"> 393-486 (C-terminal) using oligonucleotides (For </w:t>
      </w:r>
      <w:proofErr w:type="spellStart"/>
      <w:r w:rsidRPr="00E030F1">
        <w:rPr>
          <w:color w:val="000000" w:themeColor="text1"/>
        </w:rPr>
        <w:t>a.a.</w:t>
      </w:r>
      <w:proofErr w:type="spellEnd"/>
      <w:r w:rsidRPr="00E030F1">
        <w:rPr>
          <w:color w:val="000000" w:themeColor="text1"/>
        </w:rPr>
        <w:t xml:space="preserve"> 1-67: </w:t>
      </w:r>
      <w:r w:rsidRPr="00E030F1">
        <w:rPr>
          <w:rFonts w:eastAsia="Times New Roman"/>
          <w:color w:val="000000" w:themeColor="text1"/>
          <w:shd w:val="clear" w:color="auto" w:fill="FFFFFF"/>
          <w:lang w:eastAsia="en-GB"/>
        </w:rPr>
        <w:t>CF044-1F    GGGGCCCCTGGGATCCATGAGCACAACCGCCGCCAG</w:t>
      </w:r>
      <w:r w:rsidRPr="00E030F1">
        <w:rPr>
          <w:rFonts w:eastAsia="Times New Roman"/>
          <w:color w:val="000000" w:themeColor="text1"/>
          <w:lang w:val="en-GB" w:eastAsia="en-GB"/>
        </w:rPr>
        <w:t xml:space="preserve">, </w:t>
      </w:r>
      <w:r w:rsidRPr="00E030F1">
        <w:rPr>
          <w:rFonts w:eastAsia="Times New Roman"/>
          <w:color w:val="000000" w:themeColor="text1"/>
          <w:shd w:val="clear" w:color="auto" w:fill="FFFFFF"/>
          <w:lang w:eastAsia="en-GB"/>
        </w:rPr>
        <w:t>CF044-1R    GGGAATTCGGGGATCTTACTGGGCGGTCTTTGTCTGCAG</w:t>
      </w:r>
      <w:r w:rsidRPr="00E030F1">
        <w:rPr>
          <w:rFonts w:eastAsia="Times New Roman"/>
          <w:color w:val="000000" w:themeColor="text1"/>
          <w:lang w:eastAsia="en-GB"/>
        </w:rPr>
        <w:br/>
      </w:r>
      <w:r w:rsidRPr="00E030F1">
        <w:rPr>
          <w:rFonts w:eastAsia="Times New Roman"/>
          <w:color w:val="000000" w:themeColor="text1"/>
          <w:shd w:val="clear" w:color="auto" w:fill="FFFFFF"/>
          <w:lang w:val="en-GB" w:eastAsia="en-GB"/>
        </w:rPr>
        <w:t xml:space="preserve">for </w:t>
      </w:r>
      <w:proofErr w:type="spellStart"/>
      <w:r w:rsidRPr="00E030F1">
        <w:rPr>
          <w:rFonts w:eastAsia="Times New Roman"/>
          <w:color w:val="000000" w:themeColor="text1"/>
          <w:shd w:val="clear" w:color="auto" w:fill="FFFFFF"/>
          <w:lang w:val="en-GB" w:eastAsia="en-GB"/>
        </w:rPr>
        <w:t>a.a</w:t>
      </w:r>
      <w:proofErr w:type="spellEnd"/>
      <w:r w:rsidRPr="00E030F1">
        <w:rPr>
          <w:rFonts w:eastAsia="Times New Roman"/>
          <w:color w:val="000000" w:themeColor="text1"/>
          <w:shd w:val="clear" w:color="auto" w:fill="FFFFFF"/>
          <w:lang w:val="en-GB" w:eastAsia="en-GB"/>
        </w:rPr>
        <w:t xml:space="preserve"> 393-486: </w:t>
      </w:r>
      <w:r w:rsidRPr="00E030F1">
        <w:rPr>
          <w:rFonts w:eastAsia="Times New Roman"/>
          <w:color w:val="000000" w:themeColor="text1"/>
          <w:shd w:val="clear" w:color="auto" w:fill="FFFFFF"/>
          <w:lang w:eastAsia="en-GB"/>
        </w:rPr>
        <w:t>CF044-4F    GGGGCCCCTGGGATCCGGTGGCAAGAATTCCCGCGGCATTC</w:t>
      </w:r>
      <w:r w:rsidRPr="00E030F1">
        <w:rPr>
          <w:rFonts w:eastAsia="Times New Roman"/>
          <w:color w:val="000000" w:themeColor="text1"/>
          <w:lang w:eastAsia="en-GB"/>
        </w:rPr>
        <w:br/>
      </w:r>
      <w:r w:rsidRPr="00E030F1">
        <w:rPr>
          <w:rFonts w:eastAsia="Times New Roman"/>
          <w:color w:val="000000" w:themeColor="text1"/>
          <w:shd w:val="clear" w:color="auto" w:fill="FFFFFF"/>
          <w:lang w:eastAsia="en-GB"/>
        </w:rPr>
        <w:t>CF044-4R    GGGAATTCGGGGATCTTACTGGTACTCATCGTCGCTGCTC</w:t>
      </w:r>
      <w:r w:rsidRPr="00E030F1">
        <w:rPr>
          <w:rFonts w:eastAsia="Times New Roman"/>
          <w:color w:val="000000" w:themeColor="text1"/>
          <w:shd w:val="clear" w:color="auto" w:fill="FFFFFF"/>
          <w:lang w:val="en-GB" w:eastAsia="en-GB"/>
        </w:rPr>
        <w:t>).</w:t>
      </w:r>
    </w:p>
    <w:p w14:paraId="20CCFFDE" w14:textId="55CED205" w:rsidR="002B41C7" w:rsidRPr="00E030F1" w:rsidRDefault="002B41C7" w:rsidP="002B41C7">
      <w:pPr>
        <w:spacing w:line="480" w:lineRule="auto"/>
        <w:rPr>
          <w:color w:val="000000" w:themeColor="text1"/>
        </w:rPr>
      </w:pPr>
      <w:r w:rsidRPr="00E030F1">
        <w:rPr>
          <w:color w:val="000000" w:themeColor="text1"/>
        </w:rPr>
        <w:t>After amplification with KOD Hot-Start DNA polymerase (</w:t>
      </w:r>
      <w:proofErr w:type="spellStart"/>
      <w:r w:rsidRPr="00E030F1">
        <w:rPr>
          <w:color w:val="000000" w:themeColor="text1"/>
        </w:rPr>
        <w:t>Novagen</w:t>
      </w:r>
      <w:proofErr w:type="spellEnd"/>
      <w:r w:rsidRPr="00E030F1">
        <w:rPr>
          <w:color w:val="000000" w:themeColor="text1"/>
        </w:rPr>
        <w:t xml:space="preserve">), the DNA </w:t>
      </w:r>
      <w:r w:rsidRPr="00E030F1">
        <w:rPr>
          <w:color w:val="000000" w:themeColor="text1"/>
          <w:sz w:val="24"/>
          <w:szCs w:val="24"/>
        </w:rPr>
        <w:t xml:space="preserve">was incubated in an </w:t>
      </w:r>
      <w:proofErr w:type="spellStart"/>
      <w:r w:rsidRPr="00E030F1">
        <w:rPr>
          <w:color w:val="000000" w:themeColor="text1"/>
          <w:sz w:val="24"/>
          <w:szCs w:val="24"/>
        </w:rPr>
        <w:t>InFusion</w:t>
      </w:r>
      <w:proofErr w:type="spellEnd"/>
      <w:r w:rsidRPr="00E030F1">
        <w:rPr>
          <w:color w:val="000000" w:themeColor="text1"/>
          <w:sz w:val="24"/>
          <w:szCs w:val="24"/>
        </w:rPr>
        <w:t xml:space="preserve"> (Takara Bio) reaction with </w:t>
      </w:r>
      <w:proofErr w:type="spellStart"/>
      <w:r w:rsidRPr="00E030F1">
        <w:rPr>
          <w:i/>
          <w:color w:val="000000" w:themeColor="text1"/>
          <w:sz w:val="24"/>
          <w:szCs w:val="24"/>
        </w:rPr>
        <w:t>Bam</w:t>
      </w:r>
      <w:r w:rsidRPr="00E030F1">
        <w:rPr>
          <w:color w:val="000000" w:themeColor="text1"/>
          <w:sz w:val="24"/>
          <w:szCs w:val="24"/>
        </w:rPr>
        <w:t>HI</w:t>
      </w:r>
      <w:proofErr w:type="spellEnd"/>
      <w:r w:rsidRPr="00E030F1">
        <w:rPr>
          <w:color w:val="000000" w:themeColor="text1"/>
          <w:sz w:val="24"/>
          <w:szCs w:val="24"/>
        </w:rPr>
        <w:t xml:space="preserve"> </w:t>
      </w:r>
      <w:proofErr w:type="spellStart"/>
      <w:r w:rsidRPr="00E030F1">
        <w:rPr>
          <w:color w:val="000000" w:themeColor="text1"/>
          <w:sz w:val="24"/>
          <w:szCs w:val="24"/>
        </w:rPr>
        <w:t>linearised</w:t>
      </w:r>
      <w:proofErr w:type="spellEnd"/>
      <w:r w:rsidRPr="00E030F1">
        <w:rPr>
          <w:color w:val="000000" w:themeColor="text1"/>
          <w:sz w:val="24"/>
          <w:szCs w:val="24"/>
        </w:rPr>
        <w:t xml:space="preserve"> pGEX-6p-3. The product was transformed into </w:t>
      </w:r>
      <w:r w:rsidRPr="00E030F1">
        <w:rPr>
          <w:i/>
          <w:color w:val="000000" w:themeColor="text1"/>
          <w:sz w:val="24"/>
          <w:szCs w:val="24"/>
        </w:rPr>
        <w:t>E. coli</w:t>
      </w:r>
      <w:r w:rsidRPr="00E030F1">
        <w:rPr>
          <w:color w:val="000000" w:themeColor="text1"/>
          <w:sz w:val="24"/>
          <w:szCs w:val="24"/>
        </w:rPr>
        <w:t xml:space="preserve"> XL1-blue (</w:t>
      </w:r>
      <w:proofErr w:type="spellStart"/>
      <w:r w:rsidRPr="00E030F1">
        <w:rPr>
          <w:color w:val="000000" w:themeColor="text1"/>
          <w:sz w:val="24"/>
          <w:szCs w:val="24"/>
        </w:rPr>
        <w:t>Stratagene</w:t>
      </w:r>
      <w:proofErr w:type="spellEnd"/>
      <w:r w:rsidRPr="00E030F1">
        <w:rPr>
          <w:color w:val="000000" w:themeColor="text1"/>
          <w:sz w:val="24"/>
          <w:szCs w:val="24"/>
        </w:rPr>
        <w:t>) and the sequence confirmed. The resulting constructs yielded an N-terminal fusion of GST to the CG12004 peptide sequences.</w:t>
      </w:r>
      <w:r w:rsidRPr="00E030F1" w:rsidDel="00E3435C">
        <w:rPr>
          <w:color w:val="000000" w:themeColor="text1"/>
        </w:rPr>
        <w:t xml:space="preserve"> </w:t>
      </w:r>
      <w:r w:rsidRPr="00E030F1">
        <w:rPr>
          <w:rFonts w:eastAsia="Times New Roman" w:cstheme="minorHAnsi"/>
          <w:color w:val="000000" w:themeColor="text1"/>
          <w:sz w:val="24"/>
          <w:szCs w:val="24"/>
        </w:rPr>
        <w:t xml:space="preserve">The expression vector was transformed into </w:t>
      </w:r>
      <w:r w:rsidRPr="00E030F1">
        <w:rPr>
          <w:rFonts w:eastAsia="Times New Roman" w:cstheme="minorHAnsi"/>
          <w:i/>
          <w:color w:val="000000" w:themeColor="text1"/>
          <w:sz w:val="24"/>
          <w:szCs w:val="24"/>
        </w:rPr>
        <w:t>E. coli</w:t>
      </w:r>
      <w:r w:rsidRPr="00E030F1">
        <w:rPr>
          <w:rFonts w:eastAsia="Times New Roman" w:cstheme="minorHAnsi"/>
          <w:color w:val="000000" w:themeColor="text1"/>
          <w:sz w:val="24"/>
          <w:szCs w:val="24"/>
        </w:rPr>
        <w:t xml:space="preserve"> Codon plus (DE3) (</w:t>
      </w:r>
      <w:proofErr w:type="spellStart"/>
      <w:r w:rsidRPr="00E030F1">
        <w:rPr>
          <w:rFonts w:eastAsia="Times New Roman" w:cstheme="minorHAnsi"/>
          <w:color w:val="000000" w:themeColor="text1"/>
          <w:sz w:val="24"/>
          <w:szCs w:val="24"/>
        </w:rPr>
        <w:t>Stratagene</w:t>
      </w:r>
      <w:proofErr w:type="spellEnd"/>
      <w:r w:rsidRPr="00E030F1">
        <w:rPr>
          <w:rFonts w:eastAsia="Times New Roman" w:cstheme="minorHAnsi"/>
          <w:color w:val="000000" w:themeColor="text1"/>
          <w:sz w:val="24"/>
          <w:szCs w:val="24"/>
        </w:rPr>
        <w:t>) for expression studies. Overnight cultures containing LB, ampicillin (100µg/ml) were inoculated from glycerol stocks and incubated at 37⁰C and 200rpm. The cultures were then used to inoculate 500 ml of LB containing ampicillin (100µg/ml) before further incubation at 37</w:t>
      </w:r>
      <w:r w:rsidRPr="00E030F1">
        <w:rPr>
          <w:rFonts w:eastAsia="Times New Roman" w:cstheme="minorHAnsi"/>
          <w:color w:val="000000" w:themeColor="text1"/>
          <w:sz w:val="24"/>
          <w:szCs w:val="24"/>
        </w:rPr>
        <w:sym w:font="Symbol" w:char="F0B0"/>
      </w:r>
      <w:r w:rsidRPr="00E030F1">
        <w:rPr>
          <w:rFonts w:eastAsia="Times New Roman" w:cstheme="minorHAnsi"/>
          <w:color w:val="000000" w:themeColor="text1"/>
          <w:sz w:val="24"/>
          <w:szCs w:val="24"/>
        </w:rPr>
        <w:t>C and 200rpm. At a culture OD</w:t>
      </w:r>
      <w:r w:rsidRPr="00E030F1">
        <w:rPr>
          <w:rFonts w:eastAsia="Times New Roman" w:cstheme="minorHAnsi"/>
          <w:color w:val="000000" w:themeColor="text1"/>
          <w:sz w:val="24"/>
          <w:szCs w:val="24"/>
          <w:vertAlign w:val="subscript"/>
        </w:rPr>
        <w:t>600nm</w:t>
      </w:r>
      <w:r w:rsidRPr="00E030F1">
        <w:rPr>
          <w:rFonts w:eastAsia="Times New Roman" w:cstheme="minorHAnsi"/>
          <w:color w:val="000000" w:themeColor="text1"/>
          <w:sz w:val="24"/>
          <w:szCs w:val="24"/>
        </w:rPr>
        <w:t xml:space="preserve"> of 0.6Au, IPTG was added to a final concentration of 1 mM and incubation was continued at 18⁰C and </w:t>
      </w:r>
      <w:r w:rsidRPr="00E030F1">
        <w:rPr>
          <w:rFonts w:eastAsia="Times New Roman" w:cstheme="minorHAnsi"/>
          <w:color w:val="000000" w:themeColor="text1"/>
          <w:sz w:val="24"/>
          <w:szCs w:val="24"/>
        </w:rPr>
        <w:lastRenderedPageBreak/>
        <w:t>200rpm for 20 hours. The induced culture was centrifuged at 7,000</w:t>
      </w:r>
      <w:r w:rsidRPr="00E030F1">
        <w:rPr>
          <w:rFonts w:eastAsia="Times New Roman" w:cstheme="minorHAnsi"/>
          <w:i/>
          <w:color w:val="000000" w:themeColor="text1"/>
          <w:sz w:val="24"/>
          <w:szCs w:val="24"/>
        </w:rPr>
        <w:t>g</w:t>
      </w:r>
      <w:r w:rsidRPr="00E030F1">
        <w:rPr>
          <w:rFonts w:eastAsia="Times New Roman" w:cstheme="minorHAnsi"/>
          <w:color w:val="000000" w:themeColor="text1"/>
          <w:sz w:val="24"/>
          <w:szCs w:val="24"/>
        </w:rPr>
        <w:t xml:space="preserve"> for 10 min at 4</w:t>
      </w:r>
      <w:r w:rsidRPr="00E030F1">
        <w:rPr>
          <w:rFonts w:eastAsia="Times New Roman" w:cstheme="minorHAnsi"/>
          <w:color w:val="000000" w:themeColor="text1"/>
          <w:sz w:val="24"/>
          <w:szCs w:val="24"/>
        </w:rPr>
        <w:sym w:font="Symbol" w:char="F0B0"/>
      </w:r>
      <w:r w:rsidRPr="00E030F1">
        <w:rPr>
          <w:rFonts w:eastAsia="Times New Roman" w:cstheme="minorHAnsi"/>
          <w:color w:val="000000" w:themeColor="text1"/>
          <w:sz w:val="24"/>
          <w:szCs w:val="24"/>
        </w:rPr>
        <w:t>C before the supernatant was discarded and the pellet was stored at -80</w:t>
      </w:r>
      <w:r w:rsidRPr="00E030F1">
        <w:rPr>
          <w:rFonts w:eastAsia="Times New Roman" w:cstheme="minorHAnsi"/>
          <w:color w:val="000000" w:themeColor="text1"/>
          <w:sz w:val="24"/>
          <w:szCs w:val="24"/>
        </w:rPr>
        <w:sym w:font="Symbol" w:char="F0B0"/>
      </w:r>
      <w:r w:rsidRPr="00E030F1">
        <w:rPr>
          <w:rFonts w:eastAsia="Times New Roman" w:cstheme="minorHAnsi"/>
          <w:color w:val="000000" w:themeColor="text1"/>
          <w:sz w:val="24"/>
          <w:szCs w:val="24"/>
        </w:rPr>
        <w:t>C until required. The purification of GST-tagged protein was performed by affinity chromatography using the following procedure. Frozen cell pellets were thawed and resuspended in lysis buffer - PBS, pH 7.2 containing protease inhibitor cocktail (Roche), prior to disruption by sonication. The supernatant was then recovered by centrifugation at 35,000</w:t>
      </w:r>
      <w:r w:rsidRPr="00E030F1">
        <w:rPr>
          <w:rFonts w:eastAsia="Times New Roman" w:cstheme="minorHAnsi"/>
          <w:i/>
          <w:color w:val="000000" w:themeColor="text1"/>
          <w:sz w:val="24"/>
          <w:szCs w:val="24"/>
        </w:rPr>
        <w:t>g</w:t>
      </w:r>
      <w:r w:rsidRPr="00E030F1">
        <w:rPr>
          <w:rFonts w:eastAsia="Times New Roman" w:cstheme="minorHAnsi"/>
          <w:color w:val="000000" w:themeColor="text1"/>
          <w:sz w:val="24"/>
          <w:szCs w:val="24"/>
        </w:rPr>
        <w:t xml:space="preserve"> for 10 min at 4</w:t>
      </w:r>
      <w:r w:rsidRPr="00E030F1">
        <w:rPr>
          <w:rFonts w:eastAsia="Times New Roman" w:cstheme="minorHAnsi"/>
          <w:color w:val="000000" w:themeColor="text1"/>
          <w:sz w:val="24"/>
          <w:szCs w:val="24"/>
        </w:rPr>
        <w:sym w:font="Symbol" w:char="F0B0"/>
      </w:r>
      <w:r w:rsidRPr="00E030F1">
        <w:rPr>
          <w:rFonts w:eastAsia="Times New Roman" w:cstheme="minorHAnsi"/>
          <w:color w:val="000000" w:themeColor="text1"/>
          <w:sz w:val="24"/>
          <w:szCs w:val="24"/>
        </w:rPr>
        <w:t>C and then filtered (0.2</w:t>
      </w:r>
      <w:r w:rsidR="005A7D91" w:rsidRPr="00E030F1">
        <w:rPr>
          <w:rFonts w:eastAsia="Times New Roman" w:cstheme="minorHAnsi"/>
          <w:color w:val="000000" w:themeColor="text1"/>
          <w:sz w:val="24"/>
          <w:szCs w:val="24"/>
        </w:rPr>
        <w:t xml:space="preserve"> </w:t>
      </w:r>
      <w:r w:rsidRPr="00E030F1">
        <w:rPr>
          <w:rFonts w:eastAsia="Times New Roman" w:cstheme="minorHAnsi"/>
          <w:color w:val="000000" w:themeColor="text1"/>
          <w:sz w:val="24"/>
          <w:szCs w:val="24"/>
        </w:rPr>
        <w:t>µm). The crude extract was applied to 1ml Glutathione Sepharose beads (GE Healthcare) previously equilibrated in Buffer A (PBS) for 90min at 4°C. On completion of binding, the resin was washed three times with 50 bed-volumes (CV) of Buffer A before isocratic elution of specific protein with Buffer B (50</w:t>
      </w:r>
      <w:r w:rsidR="005A7D91" w:rsidRPr="00E030F1">
        <w:rPr>
          <w:rFonts w:eastAsia="Times New Roman" w:cstheme="minorHAnsi"/>
          <w:color w:val="000000" w:themeColor="text1"/>
          <w:sz w:val="24"/>
          <w:szCs w:val="24"/>
        </w:rPr>
        <w:t xml:space="preserve"> </w:t>
      </w:r>
      <w:r w:rsidRPr="00E030F1">
        <w:rPr>
          <w:rFonts w:eastAsia="Times New Roman" w:cstheme="minorHAnsi"/>
          <w:color w:val="000000" w:themeColor="text1"/>
          <w:sz w:val="24"/>
          <w:szCs w:val="24"/>
        </w:rPr>
        <w:t>mM Tris-HCl, pH 8.0, 10</w:t>
      </w:r>
      <w:r w:rsidR="005A7D91" w:rsidRPr="00E030F1">
        <w:rPr>
          <w:rFonts w:eastAsia="Times New Roman" w:cstheme="minorHAnsi"/>
          <w:color w:val="000000" w:themeColor="text1"/>
          <w:sz w:val="24"/>
          <w:szCs w:val="24"/>
        </w:rPr>
        <w:t xml:space="preserve"> </w:t>
      </w:r>
      <w:r w:rsidRPr="00E030F1">
        <w:rPr>
          <w:rFonts w:eastAsia="Times New Roman" w:cstheme="minorHAnsi"/>
          <w:color w:val="000000" w:themeColor="text1"/>
          <w:sz w:val="24"/>
          <w:szCs w:val="24"/>
        </w:rPr>
        <w:t>mM reduced glutathione). Fractions (500</w:t>
      </w:r>
      <w:r w:rsidR="00241B32" w:rsidRPr="00E030F1">
        <w:rPr>
          <w:rFonts w:eastAsia="Times New Roman" w:cstheme="minorHAnsi"/>
          <w:color w:val="000000" w:themeColor="text1"/>
          <w:sz w:val="24"/>
          <w:szCs w:val="24"/>
        </w:rPr>
        <w:t xml:space="preserve"> </w:t>
      </w:r>
      <w:r w:rsidRPr="00E030F1">
        <w:rPr>
          <w:rFonts w:eastAsia="Times New Roman" w:cstheme="minorHAnsi"/>
          <w:color w:val="000000" w:themeColor="text1"/>
          <w:sz w:val="24"/>
          <w:szCs w:val="24"/>
        </w:rPr>
        <w:t>µl) containing the GST-tagged</w:t>
      </w:r>
      <w:r w:rsidRPr="00E030F1">
        <w:rPr>
          <w:color w:val="000000" w:themeColor="text1"/>
        </w:rPr>
        <w:t xml:space="preserve"> </w:t>
      </w:r>
      <w:r w:rsidRPr="00E030F1">
        <w:rPr>
          <w:rFonts w:eastAsia="Times New Roman" w:cstheme="minorHAnsi"/>
          <w:color w:val="000000" w:themeColor="text1"/>
          <w:sz w:val="24"/>
          <w:szCs w:val="24"/>
        </w:rPr>
        <w:t xml:space="preserve">CG12004 peptide sequences were confirmed by SDS-PAGE. </w:t>
      </w:r>
      <w:r w:rsidRPr="00E030F1">
        <w:rPr>
          <w:color w:val="000000" w:themeColor="text1"/>
        </w:rPr>
        <w:t xml:space="preserve">Purified GST tagged TMEM184B peptides TMEM184B 1-67 and TMEM184B 393-486 in equal proportions (1:1) were injected into rabbits using the </w:t>
      </w:r>
      <w:proofErr w:type="spellStart"/>
      <w:r w:rsidRPr="00E030F1">
        <w:rPr>
          <w:color w:val="000000" w:themeColor="text1"/>
        </w:rPr>
        <w:t>Eurogentec</w:t>
      </w:r>
      <w:proofErr w:type="spellEnd"/>
      <w:r w:rsidRPr="00E030F1">
        <w:rPr>
          <w:color w:val="000000" w:themeColor="text1"/>
        </w:rPr>
        <w:t xml:space="preserve"> Polyclonal Antibody Production service (</w:t>
      </w:r>
      <w:proofErr w:type="spellStart"/>
      <w:r w:rsidRPr="00E030F1">
        <w:rPr>
          <w:color w:val="000000" w:themeColor="text1"/>
        </w:rPr>
        <w:t>Eurogentec</w:t>
      </w:r>
      <w:proofErr w:type="spellEnd"/>
      <w:r w:rsidRPr="00E030F1">
        <w:rPr>
          <w:color w:val="000000" w:themeColor="text1"/>
        </w:rPr>
        <w:t>, Belgium) using an 87 day protocol. To affinity purify anti-</w:t>
      </w:r>
      <w:proofErr w:type="spellStart"/>
      <w:r w:rsidRPr="00E030F1">
        <w:rPr>
          <w:color w:val="000000" w:themeColor="text1"/>
        </w:rPr>
        <w:t>Tmep</w:t>
      </w:r>
      <w:proofErr w:type="spellEnd"/>
      <w:r w:rsidRPr="00E030F1">
        <w:rPr>
          <w:color w:val="000000" w:themeColor="text1"/>
        </w:rPr>
        <w:t xml:space="preserve"> antibodies, 40</w:t>
      </w:r>
      <w:r w:rsidR="005A7D91" w:rsidRPr="00E030F1">
        <w:rPr>
          <w:color w:val="000000" w:themeColor="text1"/>
        </w:rPr>
        <w:t xml:space="preserve"> </w:t>
      </w:r>
      <w:r w:rsidRPr="00E030F1">
        <w:rPr>
          <w:color w:val="000000" w:themeColor="text1"/>
        </w:rPr>
        <w:t>µg of each purified peptide were mixed, run on an SDS-PAGE gel and blotted to PVDF. The membrane was blocked with 5% milk and incubated with 1:100 anti-</w:t>
      </w:r>
      <w:proofErr w:type="spellStart"/>
      <w:r w:rsidRPr="00E030F1">
        <w:rPr>
          <w:color w:val="000000" w:themeColor="text1"/>
        </w:rPr>
        <w:t>Tmep</w:t>
      </w:r>
      <w:proofErr w:type="spellEnd"/>
      <w:r w:rsidRPr="00E030F1">
        <w:rPr>
          <w:color w:val="000000" w:themeColor="text1"/>
        </w:rPr>
        <w:t xml:space="preserve"> serum in 1% milk overnight at 4°C. The antibody was eluted using 0.2</w:t>
      </w:r>
      <w:r w:rsidR="005A7D91" w:rsidRPr="00E030F1">
        <w:rPr>
          <w:color w:val="000000" w:themeColor="text1"/>
        </w:rPr>
        <w:t xml:space="preserve"> </w:t>
      </w:r>
      <w:r w:rsidRPr="00E030F1">
        <w:rPr>
          <w:color w:val="000000" w:themeColor="text1"/>
        </w:rPr>
        <w:t>M glycine solution, pH</w:t>
      </w:r>
      <w:r w:rsidR="00241B32" w:rsidRPr="00E030F1">
        <w:rPr>
          <w:color w:val="000000" w:themeColor="text1"/>
        </w:rPr>
        <w:t xml:space="preserve"> </w:t>
      </w:r>
      <w:r w:rsidRPr="00E030F1">
        <w:rPr>
          <w:color w:val="000000" w:themeColor="text1"/>
        </w:rPr>
        <w:t>2.3 and neutralized with 1</w:t>
      </w:r>
      <w:r w:rsidR="005A7D91" w:rsidRPr="00E030F1">
        <w:rPr>
          <w:color w:val="000000" w:themeColor="text1"/>
        </w:rPr>
        <w:t xml:space="preserve"> </w:t>
      </w:r>
      <w:r w:rsidRPr="00E030F1">
        <w:rPr>
          <w:color w:val="000000" w:themeColor="text1"/>
        </w:rPr>
        <w:t xml:space="preserve">M Tris base. </w:t>
      </w:r>
    </w:p>
    <w:p w14:paraId="7754F5A2" w14:textId="7EB1BEFE" w:rsidR="00FF22ED" w:rsidRPr="00E030F1" w:rsidRDefault="00FF22ED" w:rsidP="002B41C7">
      <w:pPr>
        <w:spacing w:line="480" w:lineRule="auto"/>
        <w:rPr>
          <w:b/>
          <w:bCs/>
          <w:color w:val="000000" w:themeColor="text1"/>
        </w:rPr>
      </w:pPr>
    </w:p>
    <w:p w14:paraId="03F908B1" w14:textId="711C5EB5" w:rsidR="00F26E9F" w:rsidRPr="00E030F1" w:rsidRDefault="00F26E9F" w:rsidP="002B41C7">
      <w:pPr>
        <w:spacing w:line="480" w:lineRule="auto"/>
        <w:rPr>
          <w:b/>
          <w:bCs/>
          <w:color w:val="000000" w:themeColor="text1"/>
        </w:rPr>
      </w:pPr>
      <w:r w:rsidRPr="00E030F1">
        <w:rPr>
          <w:b/>
          <w:bCs/>
          <w:color w:val="000000" w:themeColor="text1"/>
        </w:rPr>
        <w:t>Viability Measurement</w:t>
      </w:r>
    </w:p>
    <w:p w14:paraId="49814145" w14:textId="74F7B7E1" w:rsidR="00F26E9F" w:rsidRPr="00E030F1" w:rsidRDefault="00F26E9F" w:rsidP="002B41C7">
      <w:pPr>
        <w:spacing w:line="480" w:lineRule="auto"/>
        <w:rPr>
          <w:color w:val="000000" w:themeColor="text1"/>
        </w:rPr>
      </w:pPr>
      <w:proofErr w:type="spellStart"/>
      <w:r w:rsidRPr="00E030F1">
        <w:rPr>
          <w:i/>
          <w:iCs/>
          <w:color w:val="000000" w:themeColor="text1"/>
        </w:rPr>
        <w:t>Tmep</w:t>
      </w:r>
      <w:r w:rsidRPr="00E030F1">
        <w:rPr>
          <w:i/>
          <w:iCs/>
          <w:color w:val="000000" w:themeColor="text1"/>
          <w:vertAlign w:val="superscript"/>
        </w:rPr>
        <w:t>Cri</w:t>
      </w:r>
      <w:proofErr w:type="spellEnd"/>
      <w:r w:rsidR="00DA79EF" w:rsidRPr="00E030F1">
        <w:rPr>
          <w:color w:val="000000" w:themeColor="text1"/>
        </w:rPr>
        <w:t>/</w:t>
      </w:r>
      <w:r w:rsidRPr="00E030F1">
        <w:rPr>
          <w:i/>
          <w:iCs/>
          <w:color w:val="000000" w:themeColor="text1"/>
        </w:rPr>
        <w:t>TM3</w:t>
      </w:r>
      <w:r w:rsidR="00DA79EF" w:rsidRPr="00E030F1">
        <w:rPr>
          <w:i/>
          <w:iCs/>
          <w:color w:val="000000" w:themeColor="text1"/>
        </w:rPr>
        <w:t>,Sb</w:t>
      </w:r>
      <w:r w:rsidRPr="00E030F1">
        <w:rPr>
          <w:i/>
          <w:iCs/>
          <w:color w:val="000000" w:themeColor="text1"/>
        </w:rPr>
        <w:t xml:space="preserve"> </w:t>
      </w:r>
      <w:r w:rsidRPr="00E030F1">
        <w:rPr>
          <w:color w:val="000000" w:themeColor="text1"/>
        </w:rPr>
        <w:t xml:space="preserve">females were crossed to </w:t>
      </w:r>
      <w:r w:rsidRPr="00E030F1">
        <w:rPr>
          <w:i/>
          <w:iCs/>
          <w:color w:val="000000" w:themeColor="text1"/>
        </w:rPr>
        <w:t>D</w:t>
      </w:r>
      <w:r w:rsidR="00DA79EF" w:rsidRPr="00E030F1">
        <w:rPr>
          <w:i/>
          <w:iCs/>
          <w:color w:val="000000" w:themeColor="text1"/>
        </w:rPr>
        <w:t>f6087/TM6B,TbSb</w:t>
      </w:r>
      <w:r w:rsidR="00DA79EF" w:rsidRPr="00E030F1">
        <w:rPr>
          <w:color w:val="000000" w:themeColor="text1"/>
        </w:rPr>
        <w:t xml:space="preserve"> (non-rescue) or </w:t>
      </w:r>
      <w:r w:rsidR="00DA79EF" w:rsidRPr="00E030F1">
        <w:rPr>
          <w:i/>
          <w:iCs/>
          <w:color w:val="000000" w:themeColor="text1"/>
        </w:rPr>
        <w:t>D</w:t>
      </w:r>
      <w:r w:rsidR="003D5677" w:rsidRPr="00E030F1">
        <w:rPr>
          <w:i/>
          <w:iCs/>
          <w:color w:val="000000" w:themeColor="text1"/>
        </w:rPr>
        <w:t>f</w:t>
      </w:r>
      <w:r w:rsidR="00DA79EF" w:rsidRPr="00E030F1">
        <w:rPr>
          <w:i/>
          <w:iCs/>
          <w:color w:val="000000" w:themeColor="text1"/>
        </w:rPr>
        <w:t>6087, UAS-</w:t>
      </w:r>
      <w:proofErr w:type="spellStart"/>
      <w:r w:rsidR="00DA79EF" w:rsidRPr="00E030F1">
        <w:rPr>
          <w:i/>
          <w:iCs/>
          <w:color w:val="000000" w:themeColor="text1"/>
        </w:rPr>
        <w:t>mKate</w:t>
      </w:r>
      <w:proofErr w:type="spellEnd"/>
      <w:r w:rsidR="00DA79EF" w:rsidRPr="00E030F1">
        <w:rPr>
          <w:i/>
          <w:iCs/>
          <w:color w:val="000000" w:themeColor="text1"/>
        </w:rPr>
        <w:t>-</w:t>
      </w:r>
      <w:proofErr w:type="spellStart"/>
      <w:r w:rsidR="00DA79EF" w:rsidRPr="00E030F1">
        <w:rPr>
          <w:i/>
          <w:iCs/>
          <w:color w:val="000000" w:themeColor="text1"/>
        </w:rPr>
        <w:t>Tmep</w:t>
      </w:r>
      <w:proofErr w:type="spellEnd"/>
      <w:r w:rsidR="00DA79EF" w:rsidRPr="00E030F1">
        <w:rPr>
          <w:i/>
          <w:iCs/>
          <w:color w:val="000000" w:themeColor="text1"/>
        </w:rPr>
        <w:t>/TM6B,TbSb</w:t>
      </w:r>
      <w:r w:rsidR="00DA79EF" w:rsidRPr="00E030F1">
        <w:rPr>
          <w:color w:val="000000" w:themeColor="text1"/>
        </w:rPr>
        <w:t xml:space="preserve"> (rescue) males. In these crosses, because </w:t>
      </w:r>
      <w:r w:rsidR="00DA79EF" w:rsidRPr="00E030F1">
        <w:rPr>
          <w:i/>
          <w:iCs/>
          <w:color w:val="000000" w:themeColor="text1"/>
        </w:rPr>
        <w:t>TM3/TM6</w:t>
      </w:r>
      <w:r w:rsidR="00DA79EF" w:rsidRPr="00E030F1">
        <w:rPr>
          <w:color w:val="000000" w:themeColor="text1"/>
        </w:rPr>
        <w:t xml:space="preserve"> is viable, we expected 25% of each cross to be non-Sb if the </w:t>
      </w:r>
      <w:proofErr w:type="spellStart"/>
      <w:r w:rsidR="00DA79EF" w:rsidRPr="00E030F1">
        <w:rPr>
          <w:color w:val="000000" w:themeColor="text1"/>
        </w:rPr>
        <w:t>Tmep</w:t>
      </w:r>
      <w:proofErr w:type="spellEnd"/>
      <w:r w:rsidR="00DA79EF" w:rsidRPr="00E030F1">
        <w:rPr>
          <w:color w:val="000000" w:themeColor="text1"/>
        </w:rPr>
        <w:t xml:space="preserve"> genotype was fully viable. </w:t>
      </w:r>
      <w:r w:rsidR="003D5677" w:rsidRPr="00E030F1">
        <w:rPr>
          <w:color w:val="000000" w:themeColor="text1"/>
        </w:rPr>
        <w:t xml:space="preserve">We compared </w:t>
      </w:r>
      <w:r w:rsidR="003D5677" w:rsidRPr="00E030F1">
        <w:rPr>
          <w:color w:val="000000" w:themeColor="text1"/>
        </w:rPr>
        <w:lastRenderedPageBreak/>
        <w:t xml:space="preserve">the resulting percent of non-Sb progeny to the expected for each cross. </w:t>
      </w:r>
      <w:r w:rsidR="00DA79EF" w:rsidRPr="00E030F1">
        <w:rPr>
          <w:color w:val="000000" w:themeColor="text1"/>
        </w:rPr>
        <w:t xml:space="preserve">Vials in which at least 100 progeny emerged over </w:t>
      </w:r>
      <w:r w:rsidR="003D5677" w:rsidRPr="00E030F1">
        <w:rPr>
          <w:color w:val="000000" w:themeColor="text1"/>
        </w:rPr>
        <w:t xml:space="preserve">14 days were included in analysis. </w:t>
      </w:r>
    </w:p>
    <w:p w14:paraId="56A19675" w14:textId="77777777" w:rsidR="003D5677" w:rsidRPr="00E030F1" w:rsidRDefault="003D5677" w:rsidP="002B41C7">
      <w:pPr>
        <w:spacing w:line="480" w:lineRule="auto"/>
        <w:rPr>
          <w:color w:val="000000" w:themeColor="text1"/>
        </w:rPr>
      </w:pPr>
    </w:p>
    <w:p w14:paraId="30319665" w14:textId="07BA5B92" w:rsidR="004A2596" w:rsidRPr="00E030F1" w:rsidRDefault="004A2596" w:rsidP="002B41C7">
      <w:pPr>
        <w:spacing w:line="480" w:lineRule="auto"/>
        <w:rPr>
          <w:b/>
          <w:bCs/>
          <w:color w:val="000000" w:themeColor="text1"/>
        </w:rPr>
      </w:pPr>
      <w:r w:rsidRPr="00E030F1">
        <w:rPr>
          <w:b/>
          <w:bCs/>
          <w:color w:val="000000" w:themeColor="text1"/>
        </w:rPr>
        <w:t>Locomotor Analysis</w:t>
      </w:r>
    </w:p>
    <w:p w14:paraId="7E52F823" w14:textId="2A0EF420" w:rsidR="00BA03DC" w:rsidRPr="00E030F1" w:rsidRDefault="004A2596" w:rsidP="00E50C46">
      <w:pPr>
        <w:spacing w:line="480" w:lineRule="auto"/>
        <w:rPr>
          <w:color w:val="000000" w:themeColor="text1"/>
        </w:rPr>
      </w:pPr>
      <w:r w:rsidRPr="00E030F1">
        <w:rPr>
          <w:color w:val="000000" w:themeColor="text1"/>
        </w:rPr>
        <w:t xml:space="preserve">For crawling assays, wandering third instar larvae were evaluated. Larvae were rinsed quickly in water, dabbed briefly on a </w:t>
      </w:r>
      <w:proofErr w:type="spellStart"/>
      <w:r w:rsidRPr="00E030F1">
        <w:rPr>
          <w:color w:val="000000" w:themeColor="text1"/>
        </w:rPr>
        <w:t>kimwipe</w:t>
      </w:r>
      <w:proofErr w:type="spellEnd"/>
      <w:r w:rsidRPr="00E030F1">
        <w:rPr>
          <w:color w:val="000000" w:themeColor="text1"/>
        </w:rPr>
        <w:t xml:space="preserve"> to remove excess water, and placed on a clear agar dish. The number of</w:t>
      </w:r>
      <w:r w:rsidR="00E24D32" w:rsidRPr="00E030F1">
        <w:rPr>
          <w:color w:val="000000" w:themeColor="text1"/>
        </w:rPr>
        <w:t xml:space="preserve"> full body</w:t>
      </w:r>
      <w:r w:rsidRPr="00E030F1">
        <w:rPr>
          <w:color w:val="000000" w:themeColor="text1"/>
        </w:rPr>
        <w:t xml:space="preserve"> pericyclic contractions were visually counted over one minute, either in real time or following video</w:t>
      </w:r>
      <w:r w:rsidR="00FE2906" w:rsidRPr="00E030F1">
        <w:rPr>
          <w:color w:val="000000" w:themeColor="text1"/>
        </w:rPr>
        <w:t xml:space="preserve"> </w:t>
      </w:r>
      <w:r w:rsidRPr="00E030F1">
        <w:rPr>
          <w:color w:val="000000" w:themeColor="text1"/>
        </w:rPr>
        <w:t>recording and analysis. Sample sizes of 20 larvae per sex were used for every condition</w:t>
      </w:r>
      <w:r w:rsidR="00170B9D" w:rsidRPr="00E030F1">
        <w:rPr>
          <w:color w:val="000000" w:themeColor="text1"/>
        </w:rPr>
        <w:t xml:space="preserve">. </w:t>
      </w:r>
      <w:r w:rsidR="009C2898" w:rsidRPr="00E030F1">
        <w:rPr>
          <w:color w:val="000000" w:themeColor="text1"/>
        </w:rPr>
        <w:t>Statistics were calculated as described in the Statistical Methods section.</w:t>
      </w:r>
      <w:r w:rsidR="003753C0" w:rsidRPr="00E030F1">
        <w:rPr>
          <w:color w:val="000000" w:themeColor="text1"/>
        </w:rPr>
        <w:t xml:space="preserve"> For adults: </w:t>
      </w:r>
      <w:r w:rsidR="003D5677" w:rsidRPr="00E030F1">
        <w:rPr>
          <w:rFonts w:cstheme="minorHAnsi"/>
          <w:color w:val="000000" w:themeColor="text1"/>
        </w:rPr>
        <w:t>Three-day-old</w:t>
      </w:r>
      <w:r w:rsidR="00BA03DC" w:rsidRPr="00E030F1">
        <w:rPr>
          <w:rFonts w:cstheme="minorHAnsi"/>
          <w:color w:val="000000" w:themeColor="text1"/>
        </w:rPr>
        <w:t xml:space="preserve"> adult flies were minimally </w:t>
      </w:r>
      <w:proofErr w:type="spellStart"/>
      <w:r w:rsidR="00BA03DC" w:rsidRPr="00E030F1">
        <w:rPr>
          <w:rFonts w:cstheme="minorHAnsi"/>
          <w:color w:val="000000" w:themeColor="text1"/>
        </w:rPr>
        <w:t>anaesthetised</w:t>
      </w:r>
      <w:proofErr w:type="spellEnd"/>
      <w:r w:rsidR="00BA03DC" w:rsidRPr="00E030F1">
        <w:rPr>
          <w:rFonts w:cstheme="minorHAnsi"/>
          <w:color w:val="000000" w:themeColor="text1"/>
        </w:rPr>
        <w:t xml:space="preserve"> with CO</w:t>
      </w:r>
      <w:r w:rsidR="00F50D4E" w:rsidRPr="00E030F1">
        <w:rPr>
          <w:rFonts w:cstheme="minorHAnsi"/>
          <w:color w:val="000000" w:themeColor="text1"/>
          <w:vertAlign w:val="subscript"/>
        </w:rPr>
        <w:t>2</w:t>
      </w:r>
      <w:r w:rsidR="00F50D4E" w:rsidRPr="00E030F1">
        <w:rPr>
          <w:rFonts w:cstheme="minorHAnsi"/>
          <w:color w:val="000000" w:themeColor="text1"/>
        </w:rPr>
        <w:t xml:space="preserve">, </w:t>
      </w:r>
      <w:r w:rsidR="00BA03DC" w:rsidRPr="00E030F1">
        <w:rPr>
          <w:rFonts w:cstheme="minorHAnsi"/>
          <w:color w:val="000000" w:themeColor="text1"/>
        </w:rPr>
        <w:t xml:space="preserve">placed into </w:t>
      </w:r>
      <w:r w:rsidR="002B41C7" w:rsidRPr="00E030F1">
        <w:rPr>
          <w:rFonts w:cstheme="minorHAnsi"/>
          <w:color w:val="000000" w:themeColor="text1"/>
        </w:rPr>
        <w:t>2.0</w:t>
      </w:r>
      <w:r w:rsidR="00BA03DC" w:rsidRPr="00E030F1">
        <w:rPr>
          <w:rFonts w:cstheme="minorHAnsi"/>
          <w:color w:val="000000" w:themeColor="text1"/>
        </w:rPr>
        <w:t xml:space="preserve"> ml microcentrifuge tubes</w:t>
      </w:r>
      <w:r w:rsidR="00F50D4E" w:rsidRPr="00E030F1">
        <w:rPr>
          <w:rFonts w:cstheme="minorHAnsi"/>
          <w:color w:val="000000" w:themeColor="text1"/>
        </w:rPr>
        <w:t>,</w:t>
      </w:r>
      <w:r w:rsidR="00BA03DC" w:rsidRPr="00E030F1">
        <w:rPr>
          <w:rFonts w:cstheme="minorHAnsi"/>
          <w:color w:val="000000" w:themeColor="text1"/>
        </w:rPr>
        <w:t xml:space="preserve"> and left for 10 min to recover. </w:t>
      </w:r>
      <w:r w:rsidR="009D5672" w:rsidRPr="00E030F1">
        <w:rPr>
          <w:rFonts w:cstheme="minorHAnsi"/>
          <w:color w:val="000000" w:themeColor="text1"/>
        </w:rPr>
        <w:t>F</w:t>
      </w:r>
      <w:r w:rsidR="00BA03DC" w:rsidRPr="00E030F1">
        <w:rPr>
          <w:rFonts w:cstheme="minorHAnsi"/>
          <w:color w:val="000000" w:themeColor="text1"/>
        </w:rPr>
        <w:t>lies were then vortexed for 1 min at max speed</w:t>
      </w:r>
      <w:r w:rsidR="002B41C7" w:rsidRPr="00E030F1">
        <w:rPr>
          <w:rFonts w:cstheme="minorHAnsi"/>
          <w:color w:val="000000" w:themeColor="text1"/>
        </w:rPr>
        <w:t xml:space="preserve"> (</w:t>
      </w:r>
      <w:proofErr w:type="spellStart"/>
      <w:r w:rsidR="002B41C7" w:rsidRPr="00E030F1">
        <w:rPr>
          <w:rFonts w:cstheme="minorHAnsi"/>
          <w:color w:val="000000" w:themeColor="text1"/>
        </w:rPr>
        <w:t>Whirlimixer</w:t>
      </w:r>
      <w:proofErr w:type="spellEnd"/>
      <w:r w:rsidR="002B41C7" w:rsidRPr="00E030F1">
        <w:rPr>
          <w:rFonts w:cstheme="minorHAnsi"/>
          <w:color w:val="000000" w:themeColor="text1"/>
        </w:rPr>
        <w:t xml:space="preserve">, </w:t>
      </w:r>
      <w:proofErr w:type="spellStart"/>
      <w:r w:rsidR="002B41C7" w:rsidRPr="00E030F1">
        <w:rPr>
          <w:rFonts w:cstheme="minorHAnsi"/>
          <w:color w:val="000000" w:themeColor="text1"/>
        </w:rPr>
        <w:t>Fisons</w:t>
      </w:r>
      <w:proofErr w:type="spellEnd"/>
      <w:r w:rsidR="002B41C7" w:rsidRPr="00E030F1">
        <w:rPr>
          <w:rFonts w:cstheme="minorHAnsi"/>
          <w:color w:val="000000" w:themeColor="text1"/>
        </w:rPr>
        <w:t xml:space="preserve"> Scientific Apparatus, U.K.)</w:t>
      </w:r>
      <w:r w:rsidR="009D5672" w:rsidRPr="00E030F1">
        <w:rPr>
          <w:rFonts w:cstheme="minorHAnsi"/>
          <w:color w:val="000000" w:themeColor="text1"/>
        </w:rPr>
        <w:t xml:space="preserve">. </w:t>
      </w:r>
      <w:r w:rsidR="00BA03DC" w:rsidRPr="00E030F1">
        <w:rPr>
          <w:rFonts w:cstheme="minorHAnsi"/>
          <w:color w:val="000000" w:themeColor="text1"/>
        </w:rPr>
        <w:t>After 1 min</w:t>
      </w:r>
      <w:r w:rsidR="009D5672" w:rsidRPr="00E030F1">
        <w:rPr>
          <w:rFonts w:cstheme="minorHAnsi"/>
          <w:color w:val="000000" w:themeColor="text1"/>
        </w:rPr>
        <w:t xml:space="preserve"> recovery</w:t>
      </w:r>
      <w:r w:rsidR="00BA03DC" w:rsidRPr="00E030F1">
        <w:rPr>
          <w:rFonts w:cstheme="minorHAnsi"/>
          <w:color w:val="000000" w:themeColor="text1"/>
        </w:rPr>
        <w:t xml:space="preserve">, </w:t>
      </w:r>
      <w:r w:rsidR="009D5672" w:rsidRPr="00E030F1">
        <w:rPr>
          <w:rFonts w:cstheme="minorHAnsi"/>
          <w:color w:val="000000" w:themeColor="text1"/>
        </w:rPr>
        <w:t xml:space="preserve">the flies were knocked to bottom of the tube </w:t>
      </w:r>
      <w:r w:rsidR="00BA03DC" w:rsidRPr="00E030F1">
        <w:rPr>
          <w:rFonts w:cstheme="minorHAnsi"/>
          <w:color w:val="000000" w:themeColor="text1"/>
        </w:rPr>
        <w:t xml:space="preserve">and time taken to reach the top of the tube were measured. </w:t>
      </w:r>
      <w:r w:rsidR="009D5672" w:rsidRPr="00E030F1">
        <w:rPr>
          <w:rFonts w:cstheme="minorHAnsi"/>
          <w:color w:val="000000" w:themeColor="text1"/>
        </w:rPr>
        <w:t xml:space="preserve">A light was placed above the tube to promote phototaxis. </w:t>
      </w:r>
    </w:p>
    <w:p w14:paraId="4B749DEA" w14:textId="77777777" w:rsidR="00E50C46" w:rsidRPr="00E030F1" w:rsidRDefault="00E50C46" w:rsidP="00E50C46">
      <w:pPr>
        <w:spacing w:line="480" w:lineRule="auto"/>
        <w:rPr>
          <w:rFonts w:cstheme="minorHAnsi"/>
          <w:color w:val="000000" w:themeColor="text1"/>
        </w:rPr>
      </w:pPr>
    </w:p>
    <w:p w14:paraId="41AFE858" w14:textId="07D4AAA6" w:rsidR="00337E82" w:rsidRPr="00E030F1" w:rsidRDefault="00337E82" w:rsidP="002B41C7">
      <w:pPr>
        <w:spacing w:line="480" w:lineRule="auto"/>
        <w:rPr>
          <w:b/>
          <w:bCs/>
          <w:color w:val="000000" w:themeColor="text1"/>
        </w:rPr>
      </w:pPr>
      <w:r w:rsidRPr="00E030F1">
        <w:rPr>
          <w:b/>
          <w:bCs/>
          <w:color w:val="000000" w:themeColor="text1"/>
        </w:rPr>
        <w:t>Immunohistochemistry</w:t>
      </w:r>
    </w:p>
    <w:p w14:paraId="147148F8" w14:textId="505EF212" w:rsidR="00337E82" w:rsidRPr="00E030F1" w:rsidRDefault="00337E82" w:rsidP="00E50C46">
      <w:pPr>
        <w:spacing w:line="480" w:lineRule="auto"/>
        <w:rPr>
          <w:color w:val="000000" w:themeColor="text1"/>
          <w:lang w:val="en-US"/>
        </w:rPr>
      </w:pPr>
      <w:r w:rsidRPr="00E030F1">
        <w:rPr>
          <w:color w:val="000000" w:themeColor="text1"/>
        </w:rPr>
        <w:t>Larvae were dissected in cold phosphate-buffered saline (PBS), fixed in 4% formaldehyde</w:t>
      </w:r>
      <w:r w:rsidR="00F50D4E" w:rsidRPr="00E030F1">
        <w:rPr>
          <w:color w:val="000000" w:themeColor="text1"/>
        </w:rPr>
        <w:t xml:space="preserve"> in PBS</w:t>
      </w:r>
      <w:r w:rsidRPr="00E030F1">
        <w:rPr>
          <w:color w:val="000000" w:themeColor="text1"/>
        </w:rPr>
        <w:t>, washed with PBST (0.1% Triton X-100), and incubated with primary antibodies overnight at 4</w:t>
      </w:r>
      <w:r w:rsidR="003F2924" w:rsidRPr="00E030F1">
        <w:rPr>
          <w:color w:val="000000" w:themeColor="text1"/>
        </w:rPr>
        <w:t>°C</w:t>
      </w:r>
      <w:r w:rsidRPr="00E030F1">
        <w:rPr>
          <w:color w:val="000000" w:themeColor="text1"/>
        </w:rPr>
        <w:t>. Antibodies used include anti-</w:t>
      </w:r>
      <w:proofErr w:type="spellStart"/>
      <w:r w:rsidRPr="00E030F1">
        <w:rPr>
          <w:color w:val="000000" w:themeColor="text1"/>
        </w:rPr>
        <w:t>Bruchpilot</w:t>
      </w:r>
      <w:proofErr w:type="spellEnd"/>
      <w:r w:rsidRPr="00E030F1">
        <w:rPr>
          <w:color w:val="000000" w:themeColor="text1"/>
        </w:rPr>
        <w:t xml:space="preserve"> (Developmental Studies Hybridoma Bank</w:t>
      </w:r>
      <w:r w:rsidR="00733C32" w:rsidRPr="00E030F1">
        <w:rPr>
          <w:color w:val="000000" w:themeColor="text1"/>
        </w:rPr>
        <w:t xml:space="preserve"> (DSHB)</w:t>
      </w:r>
      <w:r w:rsidRPr="00E030F1">
        <w:rPr>
          <w:color w:val="000000" w:themeColor="text1"/>
        </w:rPr>
        <w:t>, antibody nc82, used at 1:50</w:t>
      </w:r>
      <w:r w:rsidR="003F2924" w:rsidRPr="00E030F1">
        <w:rPr>
          <w:color w:val="000000" w:themeColor="text1"/>
        </w:rPr>
        <w:t>)</w:t>
      </w:r>
      <w:r w:rsidRPr="00E030F1">
        <w:rPr>
          <w:color w:val="000000" w:themeColor="text1"/>
        </w:rPr>
        <w:t xml:space="preserve">, anti-HRP (Jackson </w:t>
      </w:r>
      <w:proofErr w:type="spellStart"/>
      <w:r w:rsidRPr="00E030F1">
        <w:rPr>
          <w:color w:val="000000" w:themeColor="text1"/>
        </w:rPr>
        <w:t>Immunoresearch</w:t>
      </w:r>
      <w:proofErr w:type="spellEnd"/>
      <w:r w:rsidRPr="00E030F1">
        <w:rPr>
          <w:color w:val="000000" w:themeColor="text1"/>
        </w:rPr>
        <w:t>, 123-605-021, used at 1:1000), anti-RFP (</w:t>
      </w:r>
      <w:proofErr w:type="spellStart"/>
      <w:r w:rsidRPr="00E030F1">
        <w:rPr>
          <w:color w:val="000000" w:themeColor="text1"/>
        </w:rPr>
        <w:t>ThermoFisher</w:t>
      </w:r>
      <w:proofErr w:type="spellEnd"/>
      <w:r w:rsidRPr="00E030F1">
        <w:rPr>
          <w:color w:val="000000" w:themeColor="text1"/>
        </w:rPr>
        <w:t xml:space="preserve"> # R10367, used at 1:2000)</w:t>
      </w:r>
      <w:r w:rsidR="003F2924" w:rsidRPr="00E030F1">
        <w:rPr>
          <w:color w:val="000000" w:themeColor="text1"/>
        </w:rPr>
        <w:t>, anti-Repo (</w:t>
      </w:r>
      <w:r w:rsidR="00733C32" w:rsidRPr="00E030F1">
        <w:rPr>
          <w:color w:val="000000" w:themeColor="text1"/>
        </w:rPr>
        <w:t xml:space="preserve">DSHB, </w:t>
      </w:r>
      <w:r w:rsidR="00EC2F1B" w:rsidRPr="00E030F1">
        <w:rPr>
          <w:color w:val="000000" w:themeColor="text1"/>
        </w:rPr>
        <w:t xml:space="preserve">used at </w:t>
      </w:r>
      <w:r w:rsidR="003F2924" w:rsidRPr="00E030F1">
        <w:rPr>
          <w:color w:val="000000" w:themeColor="text1"/>
        </w:rPr>
        <w:t>1:</w:t>
      </w:r>
      <w:r w:rsidR="00733C32" w:rsidRPr="00E030F1">
        <w:rPr>
          <w:color w:val="000000" w:themeColor="text1"/>
        </w:rPr>
        <w:t>2</w:t>
      </w:r>
      <w:r w:rsidR="003F2924" w:rsidRPr="00E030F1">
        <w:rPr>
          <w:color w:val="000000" w:themeColor="text1"/>
        </w:rPr>
        <w:t>0), anti-</w:t>
      </w:r>
      <w:proofErr w:type="spellStart"/>
      <w:r w:rsidR="003F2924" w:rsidRPr="00E030F1">
        <w:rPr>
          <w:color w:val="000000" w:themeColor="text1"/>
        </w:rPr>
        <w:t>Synaptotagmin</w:t>
      </w:r>
      <w:proofErr w:type="spellEnd"/>
      <w:r w:rsidR="003F2924" w:rsidRPr="00E030F1">
        <w:rPr>
          <w:color w:val="000000" w:themeColor="text1"/>
        </w:rPr>
        <w:t xml:space="preserve"> </w:t>
      </w:r>
      <w:r w:rsidR="005D27D6" w:rsidRPr="00E030F1">
        <w:rPr>
          <w:color w:val="000000" w:themeColor="text1"/>
        </w:rPr>
        <w:fldChar w:fldCharType="begin" w:fldLock="1"/>
      </w:r>
      <w:r w:rsidR="00F8756B" w:rsidRPr="00E030F1">
        <w:rPr>
          <w:color w:val="000000" w:themeColor="text1"/>
        </w:rPr>
        <w:instrText>ADDIN CSL_CITATION {"citationItems":[{"id":"ITEM-1","itemData":{"DOI":"10.1083/jcb.201404066","ISSN":"15408140","PMID":"25800055","abstract":"Mutations in genes essential for protein homeostasis have been identified in frontotemporal dementia (FTD) and amyotrophic lateral sclerosis (ALS) patients. Why mature neurons should be particularly sensitive to such perturbations is unclear. We identified mutations in Rab8 in a genetic screen for enhancement of an FTD phenotype associated with ESCRT-III dysfunction. Examination of Rab8 mutants or motor neurons expressing a mutant ESCRT-III subunit, CHMP2BIntron5, at the Drosophila melanogaster neuromuscular junction synapse revealed synaptic overgrowth and endosomal dysfunction. Expression of Rab8 rescued overgrowth phenotypes generated by CHMP2BIntron5. In Rab8 mutant synapses, c-Jun N-terminal kinase (JNK)/activator protein-1 and TGF-β signaling were overactivated and acted synergistically to potentiate synaptic growth. We identify novel roles for endosomal JNK-scaffold POSH (Plenty-of-SH3s) and a JNK kinase kinase, TAK1, in regulating growth activation in Rab8 mutants. Our data uncover Rab8, POSH, and TAK1 as regulators of synaptic growth responses and point to recycling endosome as a key compartment for synaptic growth regulation during neurodegenerative processes.","author":[{"dropping-particle":"","family":"West","given":"Ryan J.H.","non-dropping-particle":"","parse-names":false,"suffix":""},{"dropping-particle":"","family":"Lu","given":"Yubing","non-dropping-particle":"","parse-names":false,"suffix":""},{"dropping-particle":"","family":"Marie","given":"Bruno","non-dropping-particle":"","parse-names":false,"suffix":""},{"dropping-particle":"","family":"Gao","given":"Fen Biao","non-dropping-particle":"","parse-names":false,"suffix":""},{"dropping-particle":"","family":"Sweeney","given":"Sean T.","non-dropping-particle":"","parse-names":false,"suffix":""}],"container-title":"Journal of Cell Biology","id":"ITEM-1","issue":"7","issued":{"date-parts":[["2015"]]},"page":"931-947","publisher":"J Cell Biol","title":"Rab8, POSH, and TAK1 regulate synaptic growth in a Drosophila model of frontotemporal dementia","type":"article-journal","volume":"208"},"uris":["http://www.mendeley.com/documents/?uuid=e0847e81-1cb0-3f08-bc9e-2f5c13b32a64"]}],"mendeley":{"formattedCitation":"[57]","plainTextFormattedCitation":"[57]","previouslyFormattedCitation":"[56]"},"properties":{"noteIndex":0},"schema":"https://github.com/citation-style-language/schema/raw/master/csl-citation.json"}</w:instrText>
      </w:r>
      <w:r w:rsidR="005D27D6" w:rsidRPr="00E030F1">
        <w:rPr>
          <w:color w:val="000000" w:themeColor="text1"/>
        </w:rPr>
        <w:fldChar w:fldCharType="separate"/>
      </w:r>
      <w:r w:rsidR="00F8756B" w:rsidRPr="00E030F1">
        <w:rPr>
          <w:noProof/>
          <w:color w:val="000000" w:themeColor="text1"/>
        </w:rPr>
        <w:t>[57]</w:t>
      </w:r>
      <w:r w:rsidR="005D27D6" w:rsidRPr="00E030F1">
        <w:rPr>
          <w:color w:val="000000" w:themeColor="text1"/>
        </w:rPr>
        <w:fldChar w:fldCharType="end"/>
      </w:r>
      <w:r w:rsidR="00733C32" w:rsidRPr="00E030F1">
        <w:rPr>
          <w:color w:val="000000" w:themeColor="text1"/>
        </w:rPr>
        <w:t xml:space="preserve">, </w:t>
      </w:r>
      <w:r w:rsidR="00FE548F" w:rsidRPr="00E030F1">
        <w:rPr>
          <w:color w:val="000000" w:themeColor="text1"/>
        </w:rPr>
        <w:t xml:space="preserve">anti-discs-large (DLG) (DSHB, </w:t>
      </w:r>
      <w:r w:rsidR="00241B32" w:rsidRPr="00E030F1">
        <w:rPr>
          <w:color w:val="000000" w:themeColor="text1"/>
        </w:rPr>
        <w:t xml:space="preserve">used at </w:t>
      </w:r>
      <w:r w:rsidR="00FE548F" w:rsidRPr="00E030F1">
        <w:rPr>
          <w:color w:val="000000" w:themeColor="text1"/>
        </w:rPr>
        <w:t>1:2000)</w:t>
      </w:r>
      <w:r w:rsidR="00EC2F1B" w:rsidRPr="00E030F1">
        <w:rPr>
          <w:color w:val="000000" w:themeColor="text1"/>
        </w:rPr>
        <w:t xml:space="preserve">, </w:t>
      </w:r>
      <w:r w:rsidR="00733C32" w:rsidRPr="00E030F1">
        <w:rPr>
          <w:color w:val="000000" w:themeColor="text1"/>
        </w:rPr>
        <w:t>anti-</w:t>
      </w:r>
      <w:proofErr w:type="spellStart"/>
      <w:r w:rsidR="00733C32" w:rsidRPr="00E030F1">
        <w:rPr>
          <w:color w:val="000000" w:themeColor="text1"/>
        </w:rPr>
        <w:t>Futsch</w:t>
      </w:r>
      <w:proofErr w:type="spellEnd"/>
      <w:r w:rsidR="00733C32" w:rsidRPr="00E030F1">
        <w:rPr>
          <w:color w:val="000000" w:themeColor="text1"/>
        </w:rPr>
        <w:t xml:space="preserve"> (DSHB antibody 22C10, used at </w:t>
      </w:r>
      <w:r w:rsidR="005D27D6" w:rsidRPr="00E030F1">
        <w:rPr>
          <w:color w:val="000000" w:themeColor="text1"/>
        </w:rPr>
        <w:t>1:20</w:t>
      </w:r>
      <w:r w:rsidR="00733C32" w:rsidRPr="00E030F1">
        <w:rPr>
          <w:color w:val="000000" w:themeColor="text1"/>
        </w:rPr>
        <w:t>)</w:t>
      </w:r>
      <w:r w:rsidR="00EC2F1B" w:rsidRPr="00E030F1">
        <w:rPr>
          <w:color w:val="000000" w:themeColor="text1"/>
        </w:rPr>
        <w:t>, and anti-</w:t>
      </w:r>
      <w:r w:rsidR="00EC2F1B" w:rsidRPr="00E030F1">
        <w:rPr>
          <w:color w:val="000000" w:themeColor="text1"/>
          <w:lang w:val="en-GB"/>
        </w:rPr>
        <w:t>HP1 ( DSHB C1A9, used at 1:20).</w:t>
      </w:r>
      <w:r w:rsidR="00EC2F1B" w:rsidRPr="00E030F1">
        <w:rPr>
          <w:color w:val="000000" w:themeColor="text1"/>
          <w:lang w:val="en-US"/>
        </w:rPr>
        <w:t xml:space="preserve"> </w:t>
      </w:r>
      <w:r w:rsidR="005D27D6" w:rsidRPr="00E030F1">
        <w:rPr>
          <w:color w:val="000000" w:themeColor="text1"/>
        </w:rPr>
        <w:t>Affinity purified rabbit anti-</w:t>
      </w:r>
      <w:proofErr w:type="spellStart"/>
      <w:r w:rsidR="005D27D6" w:rsidRPr="00E030F1">
        <w:rPr>
          <w:color w:val="000000" w:themeColor="text1"/>
        </w:rPr>
        <w:t>Tmep</w:t>
      </w:r>
      <w:proofErr w:type="spellEnd"/>
      <w:r w:rsidR="005D27D6" w:rsidRPr="00E030F1">
        <w:rPr>
          <w:color w:val="000000" w:themeColor="text1"/>
        </w:rPr>
        <w:t xml:space="preserve"> was used at 1:20.</w:t>
      </w:r>
    </w:p>
    <w:p w14:paraId="10E687B9" w14:textId="77777777" w:rsidR="00E50C46" w:rsidRPr="00E030F1" w:rsidRDefault="00E50C46" w:rsidP="00E50C46">
      <w:pPr>
        <w:spacing w:line="480" w:lineRule="auto"/>
        <w:rPr>
          <w:color w:val="000000" w:themeColor="text1"/>
        </w:rPr>
      </w:pPr>
    </w:p>
    <w:p w14:paraId="0E5CCE85" w14:textId="561B98D6" w:rsidR="00E50C46" w:rsidRPr="00E030F1" w:rsidRDefault="00FE548F" w:rsidP="00E50C46">
      <w:pPr>
        <w:spacing w:line="480" w:lineRule="auto"/>
        <w:rPr>
          <w:b/>
          <w:bCs/>
          <w:color w:val="000000" w:themeColor="text1"/>
        </w:rPr>
      </w:pPr>
      <w:r w:rsidRPr="00E030F1">
        <w:rPr>
          <w:b/>
          <w:bCs/>
          <w:color w:val="000000" w:themeColor="text1"/>
        </w:rPr>
        <w:t xml:space="preserve">Fluorescent </w:t>
      </w:r>
      <w:r w:rsidR="00E50C46" w:rsidRPr="00E030F1">
        <w:rPr>
          <w:b/>
          <w:bCs/>
          <w:color w:val="000000" w:themeColor="text1"/>
        </w:rPr>
        <w:t>Microscopy</w:t>
      </w:r>
    </w:p>
    <w:p w14:paraId="0D42A049" w14:textId="00D0B915" w:rsidR="00234755" w:rsidRPr="00E030F1" w:rsidRDefault="00E50C46" w:rsidP="002B41C7">
      <w:pPr>
        <w:spacing w:line="480" w:lineRule="auto"/>
        <w:rPr>
          <w:color w:val="000000" w:themeColor="text1"/>
        </w:rPr>
      </w:pPr>
      <w:r w:rsidRPr="00E030F1">
        <w:rPr>
          <w:color w:val="000000" w:themeColor="text1"/>
        </w:rPr>
        <w:lastRenderedPageBreak/>
        <w:t>For all microscopy experiments actively behaving third instar larvae were used. Image stacks</w:t>
      </w:r>
      <w:r w:rsidR="00532A2A" w:rsidRPr="00E030F1">
        <w:rPr>
          <w:color w:val="000000" w:themeColor="text1"/>
        </w:rPr>
        <w:t xml:space="preserve"> for co-localization analysis</w:t>
      </w:r>
      <w:r w:rsidRPr="00E030F1">
        <w:rPr>
          <w:color w:val="000000" w:themeColor="text1"/>
        </w:rPr>
        <w:t xml:space="preserve"> were taken on a Zeiss LSM880 inverted confocal microscope </w:t>
      </w:r>
      <w:r w:rsidR="00705F4E" w:rsidRPr="00E030F1">
        <w:rPr>
          <w:color w:val="000000" w:themeColor="text1"/>
        </w:rPr>
        <w:t>in the Marley Light Microscopy Core Facility</w:t>
      </w:r>
      <w:r w:rsidR="00532A2A" w:rsidRPr="00E030F1">
        <w:rPr>
          <w:color w:val="000000" w:themeColor="text1"/>
        </w:rPr>
        <w:t xml:space="preserve"> at the University of Arizona using </w:t>
      </w:r>
      <w:r w:rsidR="00705F4E" w:rsidRPr="00E030F1">
        <w:rPr>
          <w:color w:val="000000" w:themeColor="text1"/>
        </w:rPr>
        <w:t xml:space="preserve">a 63x/1.4 NA oil objective. The 488, 561, and 633 nm lasers were used to excite GFP, Cy3, and Cy5, respectively. For figure </w:t>
      </w:r>
      <w:r w:rsidR="00532A2A" w:rsidRPr="00E030F1">
        <w:rPr>
          <w:color w:val="000000" w:themeColor="text1"/>
        </w:rPr>
        <w:t>3d</w:t>
      </w:r>
      <w:r w:rsidR="00705F4E" w:rsidRPr="00E030F1">
        <w:rPr>
          <w:color w:val="000000" w:themeColor="text1"/>
        </w:rPr>
        <w:t xml:space="preserve">, we used an </w:t>
      </w:r>
      <w:proofErr w:type="spellStart"/>
      <w:r w:rsidRPr="00E030F1">
        <w:rPr>
          <w:color w:val="000000" w:themeColor="text1"/>
        </w:rPr>
        <w:t>Elyra</w:t>
      </w:r>
      <w:proofErr w:type="spellEnd"/>
      <w:r w:rsidR="00E229B8" w:rsidRPr="00E030F1">
        <w:rPr>
          <w:color w:val="000000" w:themeColor="text1"/>
        </w:rPr>
        <w:t xml:space="preserve"> 7</w:t>
      </w:r>
      <w:r w:rsidRPr="00E030F1">
        <w:rPr>
          <w:color w:val="000000" w:themeColor="text1"/>
        </w:rPr>
        <w:t xml:space="preserve"> structured illumination microscope. Maximum intensity projections or single slices were created as noted in figure legends, exported as TIFs, and analyzed in </w:t>
      </w:r>
      <w:r w:rsidR="002B41C7" w:rsidRPr="00E030F1">
        <w:rPr>
          <w:color w:val="000000" w:themeColor="text1"/>
        </w:rPr>
        <w:t>Fiji</w:t>
      </w:r>
      <w:r w:rsidR="00241B32" w:rsidRPr="00E030F1">
        <w:rPr>
          <w:color w:val="000000" w:themeColor="text1"/>
        </w:rPr>
        <w:t xml:space="preserve"> </w:t>
      </w:r>
      <w:r w:rsidR="00241B32" w:rsidRPr="00E030F1">
        <w:rPr>
          <w:color w:val="000000" w:themeColor="text1"/>
          <w:lang w:val="en-GB"/>
        </w:rPr>
        <w:t>(National Institutes of Health)</w:t>
      </w:r>
      <w:r w:rsidR="002B41C7" w:rsidRPr="00E030F1">
        <w:rPr>
          <w:color w:val="000000" w:themeColor="text1"/>
        </w:rPr>
        <w:t>.</w:t>
      </w:r>
    </w:p>
    <w:p w14:paraId="609063CD" w14:textId="1E51A63D" w:rsidR="000E565E" w:rsidRPr="00E030F1" w:rsidRDefault="000E565E" w:rsidP="002B41C7">
      <w:pPr>
        <w:spacing w:line="480" w:lineRule="auto"/>
        <w:rPr>
          <w:color w:val="000000" w:themeColor="text1"/>
        </w:rPr>
      </w:pPr>
    </w:p>
    <w:p w14:paraId="3D6321D1" w14:textId="6A40A7BF" w:rsidR="000E565E" w:rsidRPr="00E030F1" w:rsidRDefault="000E565E" w:rsidP="002B41C7">
      <w:pPr>
        <w:spacing w:line="480" w:lineRule="auto"/>
        <w:rPr>
          <w:b/>
          <w:bCs/>
          <w:color w:val="000000" w:themeColor="text1"/>
        </w:rPr>
      </w:pPr>
      <w:r w:rsidRPr="00E030F1">
        <w:rPr>
          <w:b/>
          <w:bCs/>
          <w:color w:val="000000" w:themeColor="text1"/>
        </w:rPr>
        <w:t>Colocalization Analysis</w:t>
      </w:r>
    </w:p>
    <w:p w14:paraId="2591C956" w14:textId="2F25D2C3" w:rsidR="003753C0" w:rsidRPr="00E030F1" w:rsidRDefault="000E565E" w:rsidP="002B41C7">
      <w:pPr>
        <w:spacing w:line="480" w:lineRule="auto"/>
        <w:rPr>
          <w:color w:val="000000" w:themeColor="text1"/>
        </w:rPr>
      </w:pPr>
      <w:r w:rsidRPr="00E030F1">
        <w:rPr>
          <w:color w:val="000000" w:themeColor="text1"/>
        </w:rPr>
        <w:t>Confocal pictures</w:t>
      </w:r>
      <w:r w:rsidR="00B57399" w:rsidRPr="00E030F1">
        <w:rPr>
          <w:color w:val="000000" w:themeColor="text1"/>
        </w:rPr>
        <w:t xml:space="preserve"> (Zeiss LSM 880)</w:t>
      </w:r>
      <w:r w:rsidRPr="00E030F1">
        <w:rPr>
          <w:color w:val="000000" w:themeColor="text1"/>
        </w:rPr>
        <w:t xml:space="preserve"> were used for analysis, and all larvae were imaged with identical settings. </w:t>
      </w:r>
      <w:r w:rsidR="00E229B8" w:rsidRPr="00E030F1">
        <w:rPr>
          <w:color w:val="000000" w:themeColor="text1"/>
        </w:rPr>
        <w:t xml:space="preserve">All subsequent analysis was done in </w:t>
      </w:r>
      <w:r w:rsidR="00234755" w:rsidRPr="00E030F1">
        <w:rPr>
          <w:color w:val="000000" w:themeColor="text1"/>
        </w:rPr>
        <w:t>Fiji</w:t>
      </w:r>
      <w:r w:rsidR="00E229B8" w:rsidRPr="00E030F1">
        <w:rPr>
          <w:color w:val="000000" w:themeColor="text1"/>
        </w:rPr>
        <w:t xml:space="preserve">. Images were imported into </w:t>
      </w:r>
      <w:r w:rsidR="00234755" w:rsidRPr="00E030F1">
        <w:rPr>
          <w:color w:val="000000" w:themeColor="text1"/>
        </w:rPr>
        <w:t>Fiji</w:t>
      </w:r>
      <w:r w:rsidR="00E229B8" w:rsidRPr="00E030F1">
        <w:rPr>
          <w:color w:val="000000" w:themeColor="text1"/>
        </w:rPr>
        <w:t xml:space="preserve"> using the </w:t>
      </w:r>
      <w:proofErr w:type="spellStart"/>
      <w:r w:rsidR="00E229B8" w:rsidRPr="00E030F1">
        <w:rPr>
          <w:color w:val="000000" w:themeColor="text1"/>
        </w:rPr>
        <w:t>BioFormats</w:t>
      </w:r>
      <w:proofErr w:type="spellEnd"/>
      <w:r w:rsidR="00E229B8" w:rsidRPr="00E030F1">
        <w:rPr>
          <w:color w:val="000000" w:themeColor="text1"/>
        </w:rPr>
        <w:t xml:space="preserve"> plugin. </w:t>
      </w:r>
      <w:r w:rsidRPr="00E030F1">
        <w:rPr>
          <w:color w:val="000000" w:themeColor="text1"/>
        </w:rPr>
        <w:t>To quantify colocalization, we first separated channels. For each channel, a uniform threshold was chosen based on an appropriate</w:t>
      </w:r>
      <w:r w:rsidR="00E229B8" w:rsidRPr="00E030F1">
        <w:rPr>
          <w:color w:val="000000" w:themeColor="text1"/>
        </w:rPr>
        <w:t xml:space="preserve"> (by eye)</w:t>
      </w:r>
      <w:r w:rsidRPr="00E030F1">
        <w:rPr>
          <w:color w:val="000000" w:themeColor="text1"/>
        </w:rPr>
        <w:t xml:space="preserve"> capture of all positive pixels in a wild type larva. This threshold was applied for all images</w:t>
      </w:r>
      <w:r w:rsidR="00E229B8" w:rsidRPr="00E030F1">
        <w:rPr>
          <w:color w:val="000000" w:themeColor="text1"/>
        </w:rPr>
        <w:t xml:space="preserve"> from both wild type and mutant larvae. These </w:t>
      </w:r>
      <w:proofErr w:type="spellStart"/>
      <w:r w:rsidR="00E229B8" w:rsidRPr="00E030F1">
        <w:rPr>
          <w:color w:val="000000" w:themeColor="text1"/>
        </w:rPr>
        <w:t>thresholded</w:t>
      </w:r>
      <w:proofErr w:type="spellEnd"/>
      <w:r w:rsidR="00E229B8" w:rsidRPr="00E030F1">
        <w:rPr>
          <w:color w:val="000000" w:themeColor="text1"/>
        </w:rPr>
        <w:t xml:space="preserve"> images were binarized, and the </w:t>
      </w:r>
      <w:proofErr w:type="spellStart"/>
      <w:r w:rsidR="00E229B8" w:rsidRPr="00E030F1">
        <w:rPr>
          <w:color w:val="000000" w:themeColor="text1"/>
        </w:rPr>
        <w:t>Manders</w:t>
      </w:r>
      <w:proofErr w:type="spellEnd"/>
      <w:r w:rsidR="00E229B8" w:rsidRPr="00E030F1">
        <w:rPr>
          <w:color w:val="000000" w:themeColor="text1"/>
        </w:rPr>
        <w:t xml:space="preserve">’ Correlation Coefficient was calculated from the binary images. This analysis discards intensity information for each puncta, allowing the overall number of overlapping pixels to be calculated using </w:t>
      </w:r>
      <w:proofErr w:type="spellStart"/>
      <w:r w:rsidR="00E229B8" w:rsidRPr="00E030F1">
        <w:rPr>
          <w:color w:val="000000" w:themeColor="text1"/>
        </w:rPr>
        <w:t>Manders</w:t>
      </w:r>
      <w:proofErr w:type="spellEnd"/>
      <w:r w:rsidR="00E229B8" w:rsidRPr="00E030F1">
        <w:rPr>
          <w:color w:val="000000" w:themeColor="text1"/>
        </w:rPr>
        <w:t xml:space="preserve">’ Correlation Coefficient. </w:t>
      </w:r>
      <w:r w:rsidR="003B4EA3" w:rsidRPr="00E030F1">
        <w:rPr>
          <w:color w:val="000000" w:themeColor="text1"/>
        </w:rPr>
        <w:t xml:space="preserve">For Rab11, 66 neuronal cell bodies over 3 larvae were analyzed. For </w:t>
      </w:r>
      <w:proofErr w:type="spellStart"/>
      <w:r w:rsidR="00714BCF" w:rsidRPr="00E030F1">
        <w:rPr>
          <w:color w:val="000000" w:themeColor="text1"/>
        </w:rPr>
        <w:t>nSyb</w:t>
      </w:r>
      <w:proofErr w:type="spellEnd"/>
      <w:r w:rsidR="00714BCF" w:rsidRPr="00E030F1">
        <w:rPr>
          <w:color w:val="000000" w:themeColor="text1"/>
        </w:rPr>
        <w:t>, 2 synapses (onto either muscle 6/7 or muscle 4) per larvae over 3 larvae were analyzed.</w:t>
      </w:r>
    </w:p>
    <w:p w14:paraId="24E1E819" w14:textId="77777777" w:rsidR="00E229B8" w:rsidRPr="00E030F1" w:rsidRDefault="00E229B8" w:rsidP="002B41C7">
      <w:pPr>
        <w:spacing w:line="480" w:lineRule="auto"/>
        <w:rPr>
          <w:color w:val="000000" w:themeColor="text1"/>
        </w:rPr>
      </w:pPr>
    </w:p>
    <w:p w14:paraId="5C478D93" w14:textId="29E213B5" w:rsidR="003753C0" w:rsidRPr="00E030F1" w:rsidRDefault="003753C0" w:rsidP="002B41C7">
      <w:pPr>
        <w:spacing w:line="480" w:lineRule="auto"/>
        <w:rPr>
          <w:b/>
          <w:bCs/>
          <w:color w:val="000000" w:themeColor="text1"/>
        </w:rPr>
      </w:pPr>
      <w:r w:rsidRPr="00E030F1">
        <w:rPr>
          <w:b/>
          <w:bCs/>
          <w:color w:val="000000" w:themeColor="text1"/>
        </w:rPr>
        <w:t>Calcium Imaging and Analysis</w:t>
      </w:r>
    </w:p>
    <w:p w14:paraId="078BB34A" w14:textId="4867E151" w:rsidR="00FD203F" w:rsidRPr="00E030F1" w:rsidRDefault="003753C0" w:rsidP="002B41C7">
      <w:pPr>
        <w:spacing w:line="480" w:lineRule="auto"/>
        <w:rPr>
          <w:color w:val="000000" w:themeColor="text1"/>
        </w:rPr>
      </w:pPr>
      <w:r w:rsidRPr="00E030F1">
        <w:rPr>
          <w:color w:val="000000" w:themeColor="text1"/>
        </w:rPr>
        <w:t xml:space="preserve">Female third instar larvae of the desired genotype were dissected in </w:t>
      </w:r>
      <w:r w:rsidR="003B08F3" w:rsidRPr="00E030F1">
        <w:rPr>
          <w:color w:val="000000" w:themeColor="text1"/>
        </w:rPr>
        <w:t xml:space="preserve">a small volume of </w:t>
      </w:r>
      <w:r w:rsidRPr="00E030F1">
        <w:rPr>
          <w:color w:val="000000" w:themeColor="text1"/>
        </w:rPr>
        <w:t>ice-cold HL3.1</w:t>
      </w:r>
      <w:r w:rsidR="003B08F3" w:rsidRPr="00E030F1">
        <w:rPr>
          <w:color w:val="000000" w:themeColor="text1"/>
        </w:rPr>
        <w:t xml:space="preserve"> </w:t>
      </w:r>
      <w:r w:rsidR="0088147B" w:rsidRPr="00E030F1">
        <w:rPr>
          <w:color w:val="000000" w:themeColor="text1"/>
        </w:rPr>
        <w:fldChar w:fldCharType="begin" w:fldLock="1"/>
      </w:r>
      <w:r w:rsidR="00F8756B" w:rsidRPr="00E030F1">
        <w:rPr>
          <w:color w:val="000000" w:themeColor="text1"/>
        </w:rPr>
        <w:instrText>ADDIN CSL_CITATION {"citationItems":[{"id":"ITEM-1","itemData":{"DOI":"10.1080/01677060490894522","ISSN":"01677063","PMID":"15763995","abstract":"The hemolymph-like HL3 saline (Stewart et al., 1994) and standard saline (Jan &amp; Jan, 1976) are two widely used bathing solutions for physiological recordings at the Drosophila larval neuromuscular junction. It has been established that longevity of larval preparations is better maintained in HL3 saline. However, HL3 can produce results that are inconsistent with previous findings in standard saline, particularly on temperature sensitivity and membrane excitability phenotypes. In wild-type larvae, the excitatory junctional potentials (EJPs) in standard saline (containing 4mM Mg2+ and 1.8 mM Ca2+) were not blocked by a temperature increase up to 39-40°C, consistent with unimpaired larval locomotion below these temperatures. However, in HL3 saline (containing 20 mM Mg2+ and 1.5 mM Ca2+), EJPs were blocked at 30°C. As for temperature-sensitive mutants nap ts and parats, the EJP-blocking temperatures were decreased from about 29 and 33°C in standard saline to about 23 and 26°C in HL3, respectively. Compound action potential recordings confirmed that segmental nerve action potentials were more readily blocked by a temperature increase in HL3 than in standard saline. Axonal excitability was suppressed in HL3 even at room temperatures, as evidenced by a lengthened refractory period in wild-type larvae. Similar suppression occurred for the hyper-excitable double mutant eag Sh, which maintained high-frequency spontaneous EJPs in standard saline but showed a rapidly declining EJP frequency in HL3. Application of HL3 saline also strongly suppressed the prolonged transmitter release following removal of repolarization mechanisms by K+ channel blockers or by the eag Sh mutation previously described in standard saline. These discrepancies suggest that the high divalent cation content in HL3 may confer a surface charge screening effect to suppress nerve membrane excitability. We found that a minimal adjustment of the HL3 saline, decreasing the Mg2+ ion concentration from 20 to 4 mM, was sufficient to resolve the discrepancies. While retaining the longevity of the larval neuromuscular preparation, the modified HL3 saline (HL3.1) restored the established wild-type EJP properties as well as phenotypes of several widely used temperature-sensitive and hyper-excitable mutants previously documented in standard saline.","author":[{"dropping-particle":"","family":"Feng","given":"Yanfei","non-dropping-particle":"","parse-names":false,"suffix":""},{"dropping-particle":"","family":"Ueda","given":"Atsushi","non-dropping-particle":"","parse-names":false,"suffix":""},{"dropping-particle":"","family":"Wu","given":"Chun Fang","non-dropping-particle":"","parse-names":false,"suffix":""}],"container-title":"Journal of Neurogenetics","id":"ITEM-1","issue":"2","issued":{"date-parts":[["2004","4"]]},"page":"377-402","publisher":"J Neurogenet","title":"A modified minimal hemolymph-like solution, HL3.1, for physiological recordings at the neuromuscular junctions of normal and mutant Drosophila larvae","type":"article-journal","volume":"18"},"uris":["http://www.mendeley.com/documents/?uuid=860998c9-3dc8-383a-982d-7e4dcd79d48c"]}],"mendeley":{"formattedCitation":"[58]","plainTextFormattedCitation":"[58]","previouslyFormattedCitation":"[57]"},"properties":{"noteIndex":0},"schema":"https://github.com/citation-style-language/schema/raw/master/csl-citation.json"}</w:instrText>
      </w:r>
      <w:r w:rsidR="0088147B" w:rsidRPr="00E030F1">
        <w:rPr>
          <w:color w:val="000000" w:themeColor="text1"/>
        </w:rPr>
        <w:fldChar w:fldCharType="separate"/>
      </w:r>
      <w:r w:rsidR="00F8756B" w:rsidRPr="00E030F1">
        <w:rPr>
          <w:noProof/>
          <w:color w:val="000000" w:themeColor="text1"/>
        </w:rPr>
        <w:t>[58]</w:t>
      </w:r>
      <w:r w:rsidR="0088147B" w:rsidRPr="00E030F1">
        <w:rPr>
          <w:color w:val="000000" w:themeColor="text1"/>
        </w:rPr>
        <w:fldChar w:fldCharType="end"/>
      </w:r>
      <w:r w:rsidR="0088147B" w:rsidRPr="00E030F1">
        <w:rPr>
          <w:color w:val="000000" w:themeColor="text1"/>
        </w:rPr>
        <w:t xml:space="preserve"> </w:t>
      </w:r>
      <w:r w:rsidR="003B08F3" w:rsidRPr="00E030F1">
        <w:rPr>
          <w:color w:val="000000" w:themeColor="text1"/>
        </w:rPr>
        <w:t>with 0.1 mM Ca</w:t>
      </w:r>
      <w:r w:rsidR="003B08F3" w:rsidRPr="00E030F1">
        <w:rPr>
          <w:color w:val="000000" w:themeColor="text1"/>
          <w:vertAlign w:val="superscript"/>
        </w:rPr>
        <w:t>2+</w:t>
      </w:r>
      <w:r w:rsidR="003B08F3" w:rsidRPr="00E030F1">
        <w:rPr>
          <w:color w:val="000000" w:themeColor="text1"/>
        </w:rPr>
        <w:t xml:space="preserve"> using pins in a shallow </w:t>
      </w:r>
      <w:proofErr w:type="spellStart"/>
      <w:r w:rsidR="003B08F3" w:rsidRPr="00E030F1">
        <w:rPr>
          <w:color w:val="000000" w:themeColor="text1"/>
        </w:rPr>
        <w:t>Sylgard</w:t>
      </w:r>
      <w:proofErr w:type="spellEnd"/>
      <w:r w:rsidR="003B08F3" w:rsidRPr="00E030F1">
        <w:rPr>
          <w:color w:val="000000" w:themeColor="text1"/>
        </w:rPr>
        <w:t>-coated dish (3.5 cm). Following removal of guts, solution was exchanged twice</w:t>
      </w:r>
      <w:r w:rsidR="00984F47" w:rsidRPr="00E030F1">
        <w:rPr>
          <w:color w:val="000000" w:themeColor="text1"/>
        </w:rPr>
        <w:t xml:space="preserve">, </w:t>
      </w:r>
      <w:r w:rsidR="003B08F3" w:rsidRPr="00E030F1">
        <w:rPr>
          <w:color w:val="000000" w:themeColor="text1"/>
        </w:rPr>
        <w:t xml:space="preserve">removed, </w:t>
      </w:r>
      <w:r w:rsidR="00984F47" w:rsidRPr="00E030F1">
        <w:rPr>
          <w:color w:val="000000" w:themeColor="text1"/>
        </w:rPr>
        <w:t xml:space="preserve">and </w:t>
      </w:r>
      <w:r w:rsidR="003B08F3" w:rsidRPr="00E030F1">
        <w:rPr>
          <w:color w:val="000000" w:themeColor="text1"/>
        </w:rPr>
        <w:t xml:space="preserve">replaced by </w:t>
      </w:r>
      <w:r w:rsidR="00D60773" w:rsidRPr="00E030F1">
        <w:rPr>
          <w:color w:val="000000" w:themeColor="text1"/>
        </w:rPr>
        <w:t xml:space="preserve">200 </w:t>
      </w:r>
      <w:r w:rsidR="00D60773" w:rsidRPr="00E030F1">
        <w:rPr>
          <w:rFonts w:ascii="Symbol" w:hAnsi="Symbol"/>
          <w:color w:val="000000" w:themeColor="text1"/>
        </w:rPr>
        <w:t>m</w:t>
      </w:r>
      <w:r w:rsidR="00D60773" w:rsidRPr="00E030F1">
        <w:rPr>
          <w:color w:val="000000" w:themeColor="text1"/>
        </w:rPr>
        <w:t xml:space="preserve">l of </w:t>
      </w:r>
      <w:r w:rsidR="003B08F3" w:rsidRPr="00E030F1">
        <w:rPr>
          <w:color w:val="000000" w:themeColor="text1"/>
        </w:rPr>
        <w:t>cold HL3.1 with 0.5 mM Ca</w:t>
      </w:r>
      <w:r w:rsidR="003B08F3" w:rsidRPr="00E030F1">
        <w:rPr>
          <w:color w:val="000000" w:themeColor="text1"/>
          <w:vertAlign w:val="superscript"/>
        </w:rPr>
        <w:t>2+</w:t>
      </w:r>
      <w:r w:rsidR="003B08F3" w:rsidRPr="00E030F1">
        <w:rPr>
          <w:color w:val="000000" w:themeColor="text1"/>
        </w:rPr>
        <w:t xml:space="preserve"> for imaging. </w:t>
      </w:r>
      <w:r w:rsidR="00D034A2" w:rsidRPr="00E030F1">
        <w:rPr>
          <w:color w:val="000000" w:themeColor="text1"/>
        </w:rPr>
        <w:t xml:space="preserve">All solutions contained 7 mM glutamate to desensitize glutamate </w:t>
      </w:r>
      <w:r w:rsidR="00D034A2" w:rsidRPr="00E030F1">
        <w:rPr>
          <w:color w:val="000000" w:themeColor="text1"/>
        </w:rPr>
        <w:lastRenderedPageBreak/>
        <w:t xml:space="preserve">receptors on muscles, enabling less muscle contraction during analysis </w:t>
      </w:r>
      <w:r w:rsidR="004A31F9" w:rsidRPr="00E030F1">
        <w:rPr>
          <w:color w:val="000000" w:themeColor="text1"/>
        </w:rPr>
        <w:fldChar w:fldCharType="begin" w:fldLock="1"/>
      </w:r>
      <w:r w:rsidR="00F8756B" w:rsidRPr="00E030F1">
        <w:rPr>
          <w:color w:val="000000" w:themeColor="text1"/>
        </w:rPr>
        <w:instrText>ADDIN CSL_CITATION {"citationItems":[{"id":"ITEM-1","itemData":{"DOI":"10.1523/JNEUROSCI.5372-03.2004","ISSN":"0270-6474","PMID":"15014125","abstract":"Membrane-bound organelles such as mitochondria and the endoplasmic reticulum play an important role in neuronal Ca2+ homeostasis. Synaptic vesicles (SVs), the organelles responsible for exocytosis of neurotransmitters, occupy more of the volume of presynaptic nerve terminals than any other organelle and, under some conditions, can accumulate Ca2+. They are also closely associated with voltage-gated Ca2+ channels (VGCCs) that trigger transmitter release by admitting Ca2+ into the nerve terminal in response to action potentials (APs). We tested the hypothesis that SVs can modulate Ca2+ signals in the presynaptic terminal. This has been a difficult question to address because neither pharmacological nor genetic approaches to block Ca2+ permeation of the SV membrane have been available. To investigate the possible role of SVs in Ca2+ regulation, we used imaging techniques to compare Ca2+ dynamics in motor nerve terminals before and after depletion of SVs. We used the temperature-sensitive Drosophila dynamin mutant shibire , in which SVs can be eliminated by stimulation. There was no difference in the amplitude or time course of Ca2+ responses during high-frequency trains of APs, or single APs, in individual presynaptic boutons before and after depletion of SVs. SVs have a limited role, if any, in the rapid sequestration of Ca2+ within the neuronal cytosol or the synaptic microdomain. We also conclude that SVs are not important for regulation of synaptic VGCCs.","author":[{"dropping-particle":"","family":"Macleod","given":"Greg T.","non-dropping-particle":"","parse-names":false,"suffix":""},{"dropping-particle":"","family":"Marin","given":"Leo","non-dropping-particle":"","parse-names":false,"suffix":""},{"dropping-particle":"","family":"Charlton","given":"Milton P.","non-dropping-particle":"","parse-names":false,"suffix":""},{"dropping-particle":"","family":"Atwood","given":"Harold L.","non-dropping-particle":"","parse-names":false,"suffix":""}],"container-title":"Journal of Neuroscience","id":"ITEM-1","issue":"10","issued":{"date-parts":[["2004","3","10"]]},"page":"2496-2505","publisher":"Society for Neuroscience","title":"Synaptic Vesicles: Test for a Role in Presynaptic Calcium Regulation","type":"article-journal","volume":"24"},"uris":["http://www.mendeley.com/documents/?uuid=e049255a-b186-3582-b3d4-2098d31b3032"]}],"mendeley":{"formattedCitation":"[59]","plainTextFormattedCitation":"[59]","previouslyFormattedCitation":"[58]"},"properties":{"noteIndex":0},"schema":"https://github.com/citation-style-language/schema/raw/master/csl-citation.json"}</w:instrText>
      </w:r>
      <w:r w:rsidR="004A31F9" w:rsidRPr="00E030F1">
        <w:rPr>
          <w:color w:val="000000" w:themeColor="text1"/>
        </w:rPr>
        <w:fldChar w:fldCharType="separate"/>
      </w:r>
      <w:r w:rsidR="00F8756B" w:rsidRPr="00E030F1">
        <w:rPr>
          <w:noProof/>
          <w:color w:val="000000" w:themeColor="text1"/>
        </w:rPr>
        <w:t>[59]</w:t>
      </w:r>
      <w:r w:rsidR="004A31F9" w:rsidRPr="00E030F1">
        <w:rPr>
          <w:color w:val="000000" w:themeColor="text1"/>
        </w:rPr>
        <w:fldChar w:fldCharType="end"/>
      </w:r>
      <w:r w:rsidR="00D034A2" w:rsidRPr="00E030F1">
        <w:rPr>
          <w:color w:val="000000" w:themeColor="text1"/>
        </w:rPr>
        <w:t xml:space="preserve">. </w:t>
      </w:r>
      <w:r w:rsidR="003B08F3" w:rsidRPr="00E030F1">
        <w:rPr>
          <w:color w:val="000000" w:themeColor="text1"/>
        </w:rPr>
        <w:t xml:space="preserve">The dish was directly mounted onto the stage of a Zeiss LSM880 NLO upright multiphoton/confocal microscope with a 40x </w:t>
      </w:r>
      <w:r w:rsidR="00D60773" w:rsidRPr="00E030F1">
        <w:rPr>
          <w:color w:val="000000" w:themeColor="text1"/>
        </w:rPr>
        <w:t xml:space="preserve">water-immersion objective. Laser lines 488 and 561 nm were used to excite GcaMP5G and </w:t>
      </w:r>
      <w:proofErr w:type="spellStart"/>
      <w:r w:rsidR="00D60773" w:rsidRPr="00E030F1">
        <w:rPr>
          <w:color w:val="000000" w:themeColor="text1"/>
        </w:rPr>
        <w:t>tdTomato</w:t>
      </w:r>
      <w:proofErr w:type="spellEnd"/>
      <w:r w:rsidR="00D60773" w:rsidRPr="00E030F1">
        <w:rPr>
          <w:color w:val="000000" w:themeColor="text1"/>
        </w:rPr>
        <w:t>, respectively. We were able to obtain baseline calcium images at 10 minutes following the start of dissection, as this was the fastest that the prep could be dissected, washed, mounted, and a synapse</w:t>
      </w:r>
      <w:r w:rsidR="00D034A2" w:rsidRPr="00E030F1">
        <w:rPr>
          <w:color w:val="000000" w:themeColor="text1"/>
        </w:rPr>
        <w:t xml:space="preserve"> could be identified</w:t>
      </w:r>
      <w:r w:rsidR="00D60773" w:rsidRPr="00E030F1">
        <w:rPr>
          <w:color w:val="000000" w:themeColor="text1"/>
        </w:rPr>
        <w:t xml:space="preserve"> for imaging</w:t>
      </w:r>
      <w:r w:rsidR="00D034A2" w:rsidRPr="00E030F1">
        <w:rPr>
          <w:color w:val="000000" w:themeColor="text1"/>
        </w:rPr>
        <w:t>. To find a synapse, we used brightfield to locate healthy muscles where nerves appeared to be attached. Scanning to find synapses was hastened as much as possible due to bleaching effects on fluorophores.</w:t>
      </w:r>
      <w:r w:rsidR="00AD4156" w:rsidRPr="00E030F1">
        <w:rPr>
          <w:color w:val="000000" w:themeColor="text1"/>
        </w:rPr>
        <w:t xml:space="preserve"> Images were taken at 1024 x 1024 resolution.</w:t>
      </w:r>
      <w:r w:rsidR="00FD203F" w:rsidRPr="00E030F1">
        <w:rPr>
          <w:color w:val="000000" w:themeColor="text1"/>
        </w:rPr>
        <w:t xml:space="preserve"> Within a channel, all images were taken at the same laser gain and intensity.</w:t>
      </w:r>
    </w:p>
    <w:p w14:paraId="1DF0570E" w14:textId="06B792DA" w:rsidR="003753C0" w:rsidRPr="00E030F1" w:rsidRDefault="00FD203F" w:rsidP="002B41C7">
      <w:pPr>
        <w:spacing w:line="480" w:lineRule="auto"/>
        <w:rPr>
          <w:color w:val="000000" w:themeColor="text1"/>
        </w:rPr>
      </w:pPr>
      <w:r w:rsidRPr="00E030F1">
        <w:rPr>
          <w:color w:val="000000" w:themeColor="text1"/>
        </w:rPr>
        <w:tab/>
        <w:t xml:space="preserve">For </w:t>
      </w:r>
      <w:proofErr w:type="spellStart"/>
      <w:r w:rsidRPr="00E030F1">
        <w:rPr>
          <w:color w:val="000000" w:themeColor="text1"/>
        </w:rPr>
        <w:t>ratiometric</w:t>
      </w:r>
      <w:proofErr w:type="spellEnd"/>
      <w:r w:rsidRPr="00E030F1">
        <w:rPr>
          <w:color w:val="000000" w:themeColor="text1"/>
        </w:rPr>
        <w:t xml:space="preserve"> analysis,</w:t>
      </w:r>
      <w:r w:rsidR="00984F47" w:rsidRPr="00E030F1">
        <w:rPr>
          <w:color w:val="000000" w:themeColor="text1"/>
        </w:rPr>
        <w:t xml:space="preserve"> we recorded a pipeline in Fiji and used it for all images.</w:t>
      </w:r>
      <w:r w:rsidRPr="00E030F1">
        <w:rPr>
          <w:color w:val="000000" w:themeColor="text1"/>
        </w:rPr>
        <w:t xml:space="preserve"> </w:t>
      </w:r>
      <w:r w:rsidR="00984F47" w:rsidRPr="00E030F1">
        <w:rPr>
          <w:color w:val="000000" w:themeColor="text1"/>
        </w:rPr>
        <w:t>I</w:t>
      </w:r>
      <w:r w:rsidRPr="00E030F1">
        <w:rPr>
          <w:color w:val="000000" w:themeColor="text1"/>
        </w:rPr>
        <w:t xml:space="preserve">ndividual channels were first background subtracted (rolling ball, radius 100) and converted to 8-bit. The </w:t>
      </w:r>
      <w:proofErr w:type="spellStart"/>
      <w:r w:rsidRPr="00E030F1">
        <w:rPr>
          <w:color w:val="000000" w:themeColor="text1"/>
        </w:rPr>
        <w:t>TdTomato</w:t>
      </w:r>
      <w:proofErr w:type="spellEnd"/>
      <w:r w:rsidRPr="00E030F1">
        <w:rPr>
          <w:color w:val="000000" w:themeColor="text1"/>
        </w:rPr>
        <w:t xml:space="preserve"> signal was </w:t>
      </w:r>
      <w:proofErr w:type="spellStart"/>
      <w:r w:rsidRPr="00E030F1">
        <w:rPr>
          <w:color w:val="000000" w:themeColor="text1"/>
        </w:rPr>
        <w:t>thresholded</w:t>
      </w:r>
      <w:proofErr w:type="spellEnd"/>
      <w:r w:rsidRPr="00E030F1">
        <w:rPr>
          <w:color w:val="000000" w:themeColor="text1"/>
        </w:rPr>
        <w:t xml:space="preserve"> (minimum 40) and binarized, and a mask image was created.</w:t>
      </w:r>
      <w:r w:rsidR="00984F47" w:rsidRPr="00E030F1">
        <w:rPr>
          <w:color w:val="000000" w:themeColor="text1"/>
        </w:rPr>
        <w:t xml:space="preserve"> By applying the mask to both the </w:t>
      </w:r>
      <w:proofErr w:type="spellStart"/>
      <w:r w:rsidR="00984F47" w:rsidRPr="00E030F1">
        <w:rPr>
          <w:color w:val="000000" w:themeColor="text1"/>
        </w:rPr>
        <w:t>TdTomato</w:t>
      </w:r>
      <w:proofErr w:type="spellEnd"/>
      <w:r w:rsidR="00984F47" w:rsidRPr="00E030F1">
        <w:rPr>
          <w:color w:val="000000" w:themeColor="text1"/>
        </w:rPr>
        <w:t xml:space="preserve"> and GcaMP5G images, only pixels within axons and synapses were retained. Regions of interest (boutons) were manually drawn around the </w:t>
      </w:r>
      <w:proofErr w:type="spellStart"/>
      <w:r w:rsidR="00984F47" w:rsidRPr="00E030F1">
        <w:rPr>
          <w:color w:val="000000" w:themeColor="text1"/>
        </w:rPr>
        <w:t>TdTomato</w:t>
      </w:r>
      <w:proofErr w:type="spellEnd"/>
      <w:r w:rsidR="00984F47" w:rsidRPr="00E030F1">
        <w:rPr>
          <w:color w:val="000000" w:themeColor="text1"/>
        </w:rPr>
        <w:t xml:space="preserve">-filled boutons. </w:t>
      </w:r>
      <w:r w:rsidRPr="00E030F1">
        <w:rPr>
          <w:color w:val="000000" w:themeColor="text1"/>
        </w:rPr>
        <w:t xml:space="preserve"> </w:t>
      </w:r>
      <w:r w:rsidR="00E34CF2" w:rsidRPr="00E030F1">
        <w:rPr>
          <w:color w:val="000000" w:themeColor="text1"/>
        </w:rPr>
        <w:t xml:space="preserve">Measurements of area and integrated density were exported to text files and processed using a custom script in R. Briefly, for each channel, the sum of bouton areas and the sum of raw integrated densities was calculated. The normalized integrated density was calculated for each channel by dividing the raw ID by the area. Then the green/red ratio was calculated for each synapse as a whole. Synapses from 5-6 larvae were evaluated per genotype. Statistical comparison was done in </w:t>
      </w:r>
      <w:proofErr w:type="spellStart"/>
      <w:r w:rsidR="00E34CF2" w:rsidRPr="00E030F1">
        <w:rPr>
          <w:color w:val="000000" w:themeColor="text1"/>
        </w:rPr>
        <w:t>Graphpad</w:t>
      </w:r>
      <w:proofErr w:type="spellEnd"/>
      <w:r w:rsidR="00E34CF2" w:rsidRPr="00E030F1">
        <w:rPr>
          <w:color w:val="000000" w:themeColor="text1"/>
        </w:rPr>
        <w:t xml:space="preserve"> Prism using unpaired t-test.</w:t>
      </w:r>
    </w:p>
    <w:p w14:paraId="66136948" w14:textId="77777777" w:rsidR="002B41C7" w:rsidRPr="00E030F1" w:rsidRDefault="002B41C7" w:rsidP="002B41C7">
      <w:pPr>
        <w:spacing w:line="480" w:lineRule="auto"/>
        <w:rPr>
          <w:b/>
          <w:bCs/>
          <w:color w:val="000000" w:themeColor="text1"/>
        </w:rPr>
      </w:pPr>
    </w:p>
    <w:p w14:paraId="6F57A0BD" w14:textId="77777777" w:rsidR="002B729F" w:rsidRPr="00E030F1" w:rsidRDefault="005C4E62" w:rsidP="00E50C46">
      <w:pPr>
        <w:spacing w:line="480" w:lineRule="auto"/>
        <w:rPr>
          <w:b/>
          <w:bCs/>
          <w:color w:val="000000" w:themeColor="text1"/>
        </w:rPr>
      </w:pPr>
      <w:r w:rsidRPr="00E030F1">
        <w:rPr>
          <w:b/>
          <w:bCs/>
          <w:color w:val="000000" w:themeColor="text1"/>
        </w:rPr>
        <w:t>Synapse morphology analysis</w:t>
      </w:r>
    </w:p>
    <w:p w14:paraId="60FC9282" w14:textId="482FB474" w:rsidR="00E50C46" w:rsidRPr="00E030F1" w:rsidRDefault="005C4E62" w:rsidP="00E50C46">
      <w:pPr>
        <w:spacing w:line="480" w:lineRule="auto"/>
        <w:rPr>
          <w:rFonts w:eastAsia="Times New Roman"/>
          <w:color w:val="000000" w:themeColor="text1"/>
          <w:lang w:eastAsia="en-GB"/>
        </w:rPr>
      </w:pPr>
      <w:r w:rsidRPr="00E030F1">
        <w:rPr>
          <w:color w:val="000000" w:themeColor="text1"/>
          <w:lang w:val="en-GB"/>
        </w:rPr>
        <w:t>Synapse morphology analysis was carried out at muscles 6</w:t>
      </w:r>
      <w:r w:rsidR="00BB198F" w:rsidRPr="00E030F1">
        <w:rPr>
          <w:color w:val="000000" w:themeColor="text1"/>
          <w:lang w:val="en-GB"/>
        </w:rPr>
        <w:t>/</w:t>
      </w:r>
      <w:r w:rsidRPr="00E030F1">
        <w:rPr>
          <w:color w:val="000000" w:themeColor="text1"/>
          <w:lang w:val="en-GB"/>
        </w:rPr>
        <w:t>7</w:t>
      </w:r>
      <w:r w:rsidR="00BB198F" w:rsidRPr="00E030F1">
        <w:rPr>
          <w:color w:val="000000" w:themeColor="text1"/>
          <w:lang w:val="en-GB"/>
        </w:rPr>
        <w:t>,</w:t>
      </w:r>
      <w:r w:rsidRPr="00E030F1">
        <w:rPr>
          <w:color w:val="000000" w:themeColor="text1"/>
          <w:lang w:val="en-GB"/>
        </w:rPr>
        <w:t xml:space="preserve"> </w:t>
      </w:r>
      <w:proofErr w:type="spellStart"/>
      <w:r w:rsidRPr="00E030F1">
        <w:rPr>
          <w:color w:val="000000" w:themeColor="text1"/>
          <w:lang w:val="en-GB"/>
        </w:rPr>
        <w:t>hemisegment</w:t>
      </w:r>
      <w:proofErr w:type="spellEnd"/>
      <w:r w:rsidRPr="00E030F1">
        <w:rPr>
          <w:color w:val="000000" w:themeColor="text1"/>
          <w:lang w:val="en-GB"/>
        </w:rPr>
        <w:t xml:space="preserve"> A3. Boutons were defined as </w:t>
      </w:r>
      <w:r w:rsidRPr="00E030F1">
        <w:rPr>
          <w:rFonts w:eastAsia="Times New Roman"/>
          <w:color w:val="000000" w:themeColor="text1"/>
          <w:lang w:eastAsia="en-GB"/>
        </w:rPr>
        <w:t>distinct, spherical, anti-</w:t>
      </w:r>
      <w:proofErr w:type="spellStart"/>
      <w:r w:rsidRPr="00E030F1">
        <w:rPr>
          <w:rFonts w:eastAsia="Times New Roman"/>
          <w:color w:val="000000" w:themeColor="text1"/>
          <w:lang w:eastAsia="en-GB"/>
        </w:rPr>
        <w:t>synaptotagmin</w:t>
      </w:r>
      <w:proofErr w:type="spellEnd"/>
      <w:r w:rsidRPr="00E030F1">
        <w:rPr>
          <w:rFonts w:eastAsia="Times New Roman" w:hint="eastAsia"/>
          <w:color w:val="000000" w:themeColor="text1"/>
          <w:lang w:eastAsia="en-GB"/>
        </w:rPr>
        <w:t>–</w:t>
      </w:r>
      <w:r w:rsidRPr="00E030F1">
        <w:rPr>
          <w:rFonts w:eastAsia="Times New Roman"/>
          <w:color w:val="000000" w:themeColor="text1"/>
          <w:lang w:eastAsia="en-GB"/>
        </w:rPr>
        <w:t>positive varicosit</w:t>
      </w:r>
      <w:r w:rsidR="00B57399" w:rsidRPr="00E030F1">
        <w:rPr>
          <w:rFonts w:eastAsia="Times New Roman"/>
          <w:color w:val="000000" w:themeColor="text1"/>
          <w:lang w:eastAsia="en-GB"/>
        </w:rPr>
        <w:t>ies</w:t>
      </w:r>
      <w:r w:rsidRPr="00E030F1">
        <w:rPr>
          <w:rFonts w:eastAsia="Times New Roman"/>
          <w:color w:val="000000" w:themeColor="text1"/>
          <w:lang w:eastAsia="en-GB"/>
        </w:rPr>
        <w:t xml:space="preserve"> contacting the muscle</w:t>
      </w:r>
      <w:r w:rsidRPr="00E030F1">
        <w:rPr>
          <w:rFonts w:eastAsia="Times New Roman"/>
          <w:color w:val="000000" w:themeColor="text1"/>
          <w:lang w:val="en-GB" w:eastAsia="en-GB"/>
        </w:rPr>
        <w:t xml:space="preserve">. </w:t>
      </w:r>
      <w:r w:rsidRPr="00E030F1">
        <w:rPr>
          <w:color w:val="000000" w:themeColor="text1"/>
          <w:lang w:val="en-GB"/>
        </w:rPr>
        <w:lastRenderedPageBreak/>
        <w:t>Measurements were made from images using Fiji</w:t>
      </w:r>
      <w:r w:rsidR="00241B32" w:rsidRPr="00E030F1">
        <w:rPr>
          <w:color w:val="000000" w:themeColor="text1"/>
          <w:lang w:val="en-GB"/>
        </w:rPr>
        <w:t xml:space="preserve">. </w:t>
      </w:r>
      <w:r w:rsidRPr="00E030F1">
        <w:rPr>
          <w:color w:val="000000" w:themeColor="text1"/>
        </w:rPr>
        <w:t>For branching analysis</w:t>
      </w:r>
      <w:r w:rsidR="00241B32" w:rsidRPr="00E030F1">
        <w:rPr>
          <w:color w:val="000000" w:themeColor="text1"/>
        </w:rPr>
        <w:t>,</w:t>
      </w:r>
      <w:r w:rsidRPr="00E030F1">
        <w:rPr>
          <w:color w:val="000000" w:themeColor="text1"/>
        </w:rPr>
        <w:t xml:space="preserve"> Fiji plugin </w:t>
      </w:r>
      <w:proofErr w:type="spellStart"/>
      <w:r w:rsidRPr="00E030F1">
        <w:rPr>
          <w:color w:val="000000" w:themeColor="text1"/>
        </w:rPr>
        <w:t>NeuronJ</w:t>
      </w:r>
      <w:proofErr w:type="spellEnd"/>
      <w:r w:rsidRPr="00E030F1">
        <w:rPr>
          <w:color w:val="000000" w:themeColor="text1"/>
        </w:rPr>
        <w:t xml:space="preserve"> was used</w:t>
      </w:r>
      <w:r w:rsidR="005D27D6" w:rsidRPr="00E030F1">
        <w:rPr>
          <w:color w:val="000000" w:themeColor="text1"/>
        </w:rPr>
        <w:t xml:space="preserve"> (https://imagej.net/plugins/neuronj)</w:t>
      </w:r>
      <w:r w:rsidRPr="00E030F1">
        <w:rPr>
          <w:color w:val="000000" w:themeColor="text1"/>
        </w:rPr>
        <w:t xml:space="preserve">. </w:t>
      </w:r>
      <w:r w:rsidRPr="00E030F1">
        <w:rPr>
          <w:rFonts w:eastAsia="Times New Roman"/>
          <w:color w:val="000000" w:themeColor="text1"/>
          <w:lang w:eastAsia="en-GB"/>
        </w:rPr>
        <w:t xml:space="preserve">The extent of branching was estimated by dividing synapse length by the number of branches, where a branch was defined as any section from the synapse core which was longer than 10 </w:t>
      </w:r>
      <w:proofErr w:type="spellStart"/>
      <w:r w:rsidRPr="00E030F1">
        <w:rPr>
          <w:rFonts w:eastAsia="Times New Roman"/>
          <w:color w:val="000000" w:themeColor="text1"/>
          <w:lang w:eastAsia="en-GB"/>
        </w:rPr>
        <w:t>μm</w:t>
      </w:r>
      <w:proofErr w:type="spellEnd"/>
      <w:r w:rsidRPr="00E030F1">
        <w:rPr>
          <w:rFonts w:eastAsia="Times New Roman"/>
          <w:color w:val="000000" w:themeColor="text1"/>
          <w:lang w:eastAsia="en-GB"/>
        </w:rPr>
        <w:t>.</w:t>
      </w:r>
      <w:r w:rsidRPr="00E030F1">
        <w:rPr>
          <w:rFonts w:ascii="Times New Roman" w:eastAsia="Times New Roman" w:hAnsi="Times New Roman" w:cs="Times New Roman"/>
          <w:color w:val="000000" w:themeColor="text1"/>
          <w:lang w:val="en-GB" w:eastAsia="en-GB"/>
        </w:rPr>
        <w:t xml:space="preserve"> </w:t>
      </w:r>
      <w:bookmarkStart w:id="1" w:name="_ultoc3h1iv9l" w:colFirst="0" w:colLast="0"/>
      <w:bookmarkStart w:id="2" w:name="_tjoofu9sb7uj" w:colFirst="0" w:colLast="0"/>
      <w:bookmarkEnd w:id="1"/>
      <w:bookmarkEnd w:id="2"/>
    </w:p>
    <w:p w14:paraId="3247BEB0" w14:textId="056B4613" w:rsidR="00234755" w:rsidRPr="00E030F1" w:rsidRDefault="00234755" w:rsidP="00E50C46">
      <w:pPr>
        <w:spacing w:line="480" w:lineRule="auto"/>
        <w:rPr>
          <w:rFonts w:eastAsia="Times New Roman"/>
          <w:color w:val="000000" w:themeColor="text1"/>
          <w:lang w:eastAsia="en-GB"/>
        </w:rPr>
      </w:pPr>
    </w:p>
    <w:p w14:paraId="254FFA0E" w14:textId="4A6926C7" w:rsidR="00234755" w:rsidRPr="00E030F1" w:rsidRDefault="00234755" w:rsidP="00234755">
      <w:pPr>
        <w:spacing w:line="480" w:lineRule="auto"/>
        <w:rPr>
          <w:color w:val="000000" w:themeColor="text1"/>
        </w:rPr>
      </w:pPr>
      <w:r w:rsidRPr="00E030F1">
        <w:rPr>
          <w:b/>
          <w:bCs/>
          <w:color w:val="000000" w:themeColor="text1"/>
        </w:rPr>
        <w:t>Bouton and Active Zone Quantification</w:t>
      </w:r>
      <w:r w:rsidRPr="00E030F1">
        <w:rPr>
          <w:color w:val="000000" w:themeColor="text1"/>
        </w:rPr>
        <w:t> </w:t>
      </w:r>
    </w:p>
    <w:p w14:paraId="59665BE5" w14:textId="315FD3FA" w:rsidR="00947841" w:rsidRPr="00E030F1" w:rsidRDefault="00234755" w:rsidP="00234755">
      <w:pPr>
        <w:spacing w:line="480" w:lineRule="auto"/>
        <w:rPr>
          <w:color w:val="000000" w:themeColor="text1"/>
        </w:rPr>
      </w:pPr>
      <w:r w:rsidRPr="00E030F1">
        <w:rPr>
          <w:color w:val="000000" w:themeColor="text1"/>
        </w:rPr>
        <w:t xml:space="preserve">To analyze active zones, image stacks were taken using an LSM 880 Confocal with </w:t>
      </w:r>
      <w:proofErr w:type="spellStart"/>
      <w:r w:rsidRPr="00E030F1">
        <w:rPr>
          <w:color w:val="000000" w:themeColor="text1"/>
        </w:rPr>
        <w:t>AiryScan</w:t>
      </w:r>
      <w:proofErr w:type="spellEnd"/>
      <w:r w:rsidRPr="00E030F1">
        <w:rPr>
          <w:color w:val="000000" w:themeColor="text1"/>
        </w:rPr>
        <w:t xml:space="preserve"> mode and processed using the 3D setting.  Active zone density was determined by manually calculating </w:t>
      </w:r>
      <w:proofErr w:type="spellStart"/>
      <w:r w:rsidRPr="00E030F1">
        <w:rPr>
          <w:color w:val="000000" w:themeColor="text1"/>
        </w:rPr>
        <w:t>Brp</w:t>
      </w:r>
      <w:proofErr w:type="spellEnd"/>
      <w:r w:rsidRPr="00E030F1">
        <w:rPr>
          <w:color w:val="000000" w:themeColor="text1"/>
        </w:rPr>
        <w:t xml:space="preserve"> positive spots per bouton area (determined by positive </w:t>
      </w:r>
      <w:proofErr w:type="spellStart"/>
      <w:r w:rsidRPr="00E030F1">
        <w:rPr>
          <w:color w:val="000000" w:themeColor="text1"/>
        </w:rPr>
        <w:t>synaptotagmin</w:t>
      </w:r>
      <w:proofErr w:type="spellEnd"/>
      <w:r w:rsidRPr="00E030F1">
        <w:rPr>
          <w:color w:val="000000" w:themeColor="text1"/>
        </w:rPr>
        <w:t xml:space="preserve"> staining). Bouton area was calculated using the Measure function in Fiji. Total of 6 synaptic terminals of different animals were analy</w:t>
      </w:r>
      <w:r w:rsidR="00E25AA0" w:rsidRPr="00E030F1">
        <w:rPr>
          <w:color w:val="000000" w:themeColor="text1"/>
        </w:rPr>
        <w:t>z</w:t>
      </w:r>
      <w:r w:rsidRPr="00E030F1">
        <w:rPr>
          <w:color w:val="000000" w:themeColor="text1"/>
        </w:rPr>
        <w:t xml:space="preserve">ed per genotype, each synaptic terminal containing 5-7 boutons. </w:t>
      </w:r>
    </w:p>
    <w:p w14:paraId="69341977" w14:textId="0DE22B8D" w:rsidR="00234755" w:rsidRPr="00E030F1" w:rsidRDefault="00947841" w:rsidP="00947841">
      <w:pPr>
        <w:spacing w:line="480" w:lineRule="auto"/>
        <w:ind w:firstLine="720"/>
        <w:rPr>
          <w:color w:val="000000" w:themeColor="text1"/>
        </w:rPr>
      </w:pPr>
      <w:r w:rsidRPr="00E030F1">
        <w:rPr>
          <w:color w:val="000000" w:themeColor="text1"/>
          <w:lang w:val="en-GB"/>
        </w:rPr>
        <w:t>Satellite</w:t>
      </w:r>
      <w:r w:rsidRPr="00E030F1">
        <w:rPr>
          <w:rFonts w:eastAsia="Times New Roman"/>
          <w:color w:val="000000" w:themeColor="text1"/>
          <w:lang w:eastAsia="en-GB"/>
        </w:rPr>
        <w:t xml:space="preserve"> bouton</w:t>
      </w:r>
      <w:r w:rsidRPr="00E030F1">
        <w:rPr>
          <w:color w:val="000000" w:themeColor="text1"/>
          <w:lang w:val="en-GB"/>
        </w:rPr>
        <w:t xml:space="preserve">s were defined according to previous work </w:t>
      </w:r>
      <w:r w:rsidRPr="00E030F1">
        <w:rPr>
          <w:color w:val="000000" w:themeColor="text1"/>
          <w:lang w:val="en-GB"/>
        </w:rPr>
        <w:fldChar w:fldCharType="begin" w:fldLock="1"/>
      </w:r>
      <w:r w:rsidR="00F8756B" w:rsidRPr="00E030F1">
        <w:rPr>
          <w:color w:val="000000" w:themeColor="text1"/>
          <w:lang w:val="en-GB"/>
        </w:rPr>
        <w:instrText>ADDIN CSL_CITATION {"citationItems":[{"id":"ITEM-1","itemData":{"DOI":"10.1016/j.neuron.2004.07.001","ISSN":"08966273","PMID":"15260957","abstract":"Dap160/Intersectin is a multidomain adaptor protein that colocalizes with endocytic machinery in the periactive zone at the Drosophila NMJ. We have generated severe loss-of-function mutations that eliminate Dap160 protein from the NMJ. dap160 mutant synapses have decreased levels of essential endocytic proteins, including dynamin, endophilin, synaptojanin, and AP180, while other markers of the active zone and periactive zone are generally unaltered. Functional analyses demonstrate that dap160 mutant synapses are unable to sustain high-frequency transmitter release, show impaired FM4-64 loading, and show a dramatic increase in presynaptic quantal size consistent with defects in synaptic vesicle recycling. The dap160 mutant synapse is grossly malformed with abundant, highly ramified, small synaptic boutons. We present a model in which Dap160 scaffolds both endocytic machinery and essential synaptic signaling systems to the periactive zone to coordinately control structural and functional synapse development.","author":[{"dropping-particle":"","family":"Marie","given":"Bruno","non-dropping-particle":"","parse-names":false,"suffix":""},{"dropping-particle":"","family":"Sweeney","given":"Sean T.","non-dropping-particle":"","parse-names":false,"suffix":""},{"dropping-particle":"","family":"Poskanzer","given":"Kira E.","non-dropping-particle":"","parse-names":false,"suffix":""},{"dropping-particle":"","family":"Roos","given":"Jack","non-dropping-particle":"","parse-names":false,"suffix":""},{"dropping-particle":"","family":"Kelly","given":"Regis B.","non-dropping-particle":"","parse-names":false,"suffix":""},{"dropping-particle":"","family":"Davis","given":"Graeme W.","non-dropping-particle":"","parse-names":false,"suffix":""}],"container-title":"Neuron","id":"ITEM-1","issue":"2","issued":{"date-parts":[["2004","7","22"]]},"page":"207-219","publisher":"Neuron","title":"Dap160/Intersectin scaffolds the periactive zone to achieve high-fidelity endocytosis and normal synaptic growth","type":"article-journal","volume":"43"},"uris":["http://www.mendeley.com/documents/?uuid=ea0e6632-b9e9-35e2-9edc-e1b3728e4506"]},{"id":"ITEM-2","itemData":{"DOI":"10.1242/dev.126.24.5833","ISSN":"09501991","PMID":"10572057","abstract":"A family of three position-specific (PS) integrins are expressed at the Drosophila neuromuscular junction (NMJ): a beta subunit (βPS), expressed in both presynaptic and postsynaptic membranes, and two alpha subunits (αPS1, αPS2), expressed at least in the postsynaptic membrane. PS integrins appear at postembryonic NMJs coincident with the onset of rapid morphological growth and terminal type-specific differentiation, and are restricted to type I synaptic boutons, which mediate fast, excitatory glutamatergic transmission. We show that two distinctive hypomorphic mutant alleles of the P subunit gene myospheroid (mysb9 and mys(ts1)), differentially affect βPS protein expression at the synapse to produce distinctive alterations in NMJ branching, bouton formation, synaptic architecture and the specificity of synapse formation on target cells. The mysb9 mutation alters βPS localization to cause a striking reduction in NMJ branching, bouton size/number and the formation of aberrant 'mini-boutons', which may represent a developmentally arrested state. The mys(ts1) mutation strongly reduces βPS expression to cause the opposite phenotype of excessive synaptic sprouting and morphological growth. NMJ function in these mutant conditions is altered in line with the severity of the morphological aberrations. Consistent with these mutant phenotypes, transgenic overexpression of the βPS protein with a heat-shock construct or tissue-specific GAL4 drivers causes a reduction in synaptic branching and bouton number. We conclude that βPS integrin at the postembryonic NMJ is a critical determinant of morphological growth and synaptic specificity. These data provide the first genetic evidence for a functional role of integrins at the postembryonic synapse.","author":[{"dropping-particle":"","family":"Beumer","given":"Kelly J.","non-dropping-particle":"","parse-names":false,"suffix":""},{"dropping-particle":"","family":"Rohrbough","given":"Jeffrey","non-dropping-particle":"","parse-names":false,"suffix":""},{"dropping-particle":"","family":"Prokop","given":"Andreas","non-dropping-particle":"","parse-names":false,"suffix":""},{"dropping-particle":"","family":"Broadie","given":"Kendal","non-dropping-particle":"","parse-names":false,"suffix":""}],"container-title":"Development","id":"ITEM-2","issue":"24","issued":{"date-parts":[["1999","12"]]},"page":"5833-5846","publisher":"Development","title":"A role for PS integrins in morphological growth and synaptic function at the postembryonic neuromuscular junction of Drosophila","type":"article-journal","volume":"126"},"uris":["http://www.mendeley.com/documents/?uuid=710707cf-ff94-3aca-a7d4-77ed68315aec"]},{"id":"ITEM-3","itemData":{"DOI":"10.1523/jneurosci.19-18-07793.1999","ISSN":"02706474","PMID":"10479682","abstract":"Although abnormal processing of β-amyloid precursor protein (APP) has been implicated in the pathogenic cascade leading to Alzheimer's disease, the normal function of this protein is poorly understood. To gain insight into APP function, we used a molecular-genetic approach to manipulate the structure and levels of the Drosophila APP homolog APPL. Wild-type and mutant forms of APPL were expressed in motoneurons to determine the effect of APPL at the neuromuscular junction (NMJ). We show that APPL was transported to motor axons and that its overexpression caused a dramatic increase in synaptic bouton number and changes in synapse structure. In an Appl null mutant, a decrease in the number of boutons was found. Examination of NMJs in larvae overexpressing APPL revealed that the extra boutons had normal synaptic components and thus were likely to form functional synaptic contacts. Deletion analysis demonstrated that APPL sequences responsible for synaptic alteration reside in the cytoplasmic domain, at the internalization sequence GYENPTY and a putative Goprotein binding site. To determine the likely mechanisms underlying APPL-dependent synapse formation, hyperexcitable mutants, which also alter synaptic growth at the NMJ, were examined. These mutants with elevated neuronal activity changed the distribution of APPL at synapses and partially suppressed APPL-dependent synapse formation. We propose a model by which APPL, in conjunction with activity-dependent mechanisms, regulates synaptic structure and number.","author":[{"dropping-particle":"","family":"Torroja","given":"Laura","non-dropping-particle":"","parse-names":false,"suffix":""},{"dropping-particle":"","family":"Packard","given":"Mary","non-dropping-particle":"","parse-names":false,"suffix":""},{"dropping-particle":"","family":"Gorczyca","given":"Michael","non-dropping-particle":"","parse-names":false,"suffix":""},{"dropping-particle":"","family":"White","given":"Kalpana","non-dropping-particle":"","parse-names":false,"suffix":""},{"dropping-particle":"","family":"Budnik","given":"Vivian","non-dropping-particle":"","parse-names":false,"suffix":""}],"container-title":"Journal of Neuroscience","id":"ITEM-3","issue":"18","issued":{"date-parts":[["1999","9","15"]]},"page":"7793-7803","publisher":"J Neurosci","title":"The Drosophila β-amyloid precursor protein homolog promotes synapse differentiation at the neuromuscular junction","type":"article-journal","volume":"19"},"uris":["http://www.mendeley.com/documents/?uuid=f367e9a4-db4b-38f2-99a2-c6af705cfc54"]}],"mendeley":{"formattedCitation":"[60–62]","plainTextFormattedCitation":"[60–62]","previouslyFormattedCitation":"[59–61]"},"properties":{"noteIndex":0},"schema":"https://github.com/citation-style-language/schema/raw/master/csl-citation.json"}</w:instrText>
      </w:r>
      <w:r w:rsidRPr="00E030F1">
        <w:rPr>
          <w:color w:val="000000" w:themeColor="text1"/>
          <w:lang w:val="en-GB"/>
        </w:rPr>
        <w:fldChar w:fldCharType="separate"/>
      </w:r>
      <w:r w:rsidR="00F8756B" w:rsidRPr="00E030F1">
        <w:rPr>
          <w:noProof/>
          <w:color w:val="000000" w:themeColor="text1"/>
          <w:lang w:val="en-GB"/>
        </w:rPr>
        <w:t>[60–62]</w:t>
      </w:r>
      <w:r w:rsidRPr="00E030F1">
        <w:rPr>
          <w:color w:val="000000" w:themeColor="text1"/>
          <w:lang w:val="en-GB"/>
        </w:rPr>
        <w:fldChar w:fldCharType="end"/>
      </w:r>
      <w:r w:rsidRPr="00E030F1">
        <w:rPr>
          <w:color w:val="000000" w:themeColor="text1"/>
          <w:lang w:val="en-GB"/>
        </w:rPr>
        <w:t xml:space="preserve"> as small laterally branched boutons emerging from a primary axis </w:t>
      </w:r>
      <w:r w:rsidRPr="00E030F1">
        <w:rPr>
          <w:color w:val="000000" w:themeColor="text1"/>
        </w:rPr>
        <w:t xml:space="preserve">with three </w:t>
      </w:r>
      <w:r w:rsidRPr="00E030F1">
        <w:rPr>
          <w:color w:val="000000" w:themeColor="text1"/>
          <w:lang w:val="en-GB"/>
        </w:rPr>
        <w:t xml:space="preserve">or less </w:t>
      </w:r>
      <w:r w:rsidRPr="00E030F1">
        <w:rPr>
          <w:color w:val="000000" w:themeColor="text1"/>
        </w:rPr>
        <w:t>smaller bouton sprouts.</w:t>
      </w:r>
      <w:r w:rsidRPr="00E030F1">
        <w:rPr>
          <w:color w:val="000000" w:themeColor="text1"/>
          <w:lang w:val="en-GB"/>
        </w:rPr>
        <w:t xml:space="preserve"> </w:t>
      </w:r>
      <w:r w:rsidRPr="00E030F1">
        <w:rPr>
          <w:color w:val="000000" w:themeColor="text1"/>
        </w:rPr>
        <w:t>We</w:t>
      </w:r>
      <w:r w:rsidR="00234755" w:rsidRPr="00E030F1">
        <w:rPr>
          <w:color w:val="000000" w:themeColor="text1"/>
        </w:rPr>
        <w:t xml:space="preserve"> imaged </w:t>
      </w:r>
      <w:r w:rsidRPr="00E030F1">
        <w:rPr>
          <w:color w:val="000000" w:themeColor="text1"/>
        </w:rPr>
        <w:t xml:space="preserve">boutons </w:t>
      </w:r>
      <w:r w:rsidR="00234755" w:rsidRPr="00E030F1">
        <w:rPr>
          <w:color w:val="000000" w:themeColor="text1"/>
        </w:rPr>
        <w:t xml:space="preserve">using a ZEISS </w:t>
      </w:r>
      <w:proofErr w:type="spellStart"/>
      <w:r w:rsidR="00234755" w:rsidRPr="00E030F1">
        <w:rPr>
          <w:color w:val="000000" w:themeColor="text1"/>
        </w:rPr>
        <w:t>Elyra</w:t>
      </w:r>
      <w:proofErr w:type="spellEnd"/>
      <w:r w:rsidR="00234755" w:rsidRPr="00E030F1">
        <w:rPr>
          <w:color w:val="000000" w:themeColor="text1"/>
        </w:rPr>
        <w:t xml:space="preserve"> 7 with Lattice SIM² confocal. Images were taken with 13 phases and processed using a "weak processing" setting.</w:t>
      </w:r>
      <w:r w:rsidRPr="00E030F1">
        <w:rPr>
          <w:color w:val="000000" w:themeColor="text1"/>
          <w:lang w:val="en-GB"/>
        </w:rPr>
        <w:t xml:space="preserve"> Q</w:t>
      </w:r>
      <w:proofErr w:type="spellStart"/>
      <w:r w:rsidRPr="00E030F1">
        <w:rPr>
          <w:rFonts w:eastAsia="Times New Roman"/>
          <w:color w:val="000000" w:themeColor="text1"/>
          <w:lang w:eastAsia="en-GB"/>
        </w:rPr>
        <w:t>uantification</w:t>
      </w:r>
      <w:proofErr w:type="spellEnd"/>
      <w:r w:rsidRPr="00E030F1">
        <w:rPr>
          <w:rFonts w:eastAsia="Times New Roman"/>
          <w:color w:val="000000" w:themeColor="text1"/>
          <w:lang w:eastAsia="en-GB"/>
        </w:rPr>
        <w:t xml:space="preserve"> was performed by dividing the number of </w:t>
      </w:r>
      <w:r w:rsidRPr="00E030F1">
        <w:rPr>
          <w:color w:val="000000" w:themeColor="text1"/>
          <w:lang w:val="en-GB"/>
        </w:rPr>
        <w:t>satellite</w:t>
      </w:r>
      <w:r w:rsidRPr="00E030F1">
        <w:rPr>
          <w:rFonts w:eastAsia="Times New Roman"/>
          <w:color w:val="000000" w:themeColor="text1"/>
          <w:lang w:eastAsia="en-GB"/>
        </w:rPr>
        <w:t xml:space="preserve"> boutons by synapse branch length. N = 5 larvae per genotype; statistical comparison used unpaired t-test.</w:t>
      </w:r>
    </w:p>
    <w:p w14:paraId="514AE0E7" w14:textId="77777777" w:rsidR="00E50C46" w:rsidRPr="00E030F1" w:rsidRDefault="00E50C46" w:rsidP="00E50C46">
      <w:pPr>
        <w:spacing w:line="480" w:lineRule="auto"/>
        <w:rPr>
          <w:rFonts w:eastAsia="Times New Roman"/>
          <w:color w:val="000000" w:themeColor="text1"/>
          <w:lang w:eastAsia="en-GB"/>
        </w:rPr>
      </w:pPr>
    </w:p>
    <w:p w14:paraId="50873818" w14:textId="548D7192" w:rsidR="004A2596" w:rsidRPr="00E030F1" w:rsidRDefault="004A2596" w:rsidP="00E50C46">
      <w:pPr>
        <w:spacing w:line="480" w:lineRule="auto"/>
        <w:rPr>
          <w:color w:val="000000" w:themeColor="text1"/>
        </w:rPr>
      </w:pPr>
      <w:r w:rsidRPr="00E030F1">
        <w:rPr>
          <w:b/>
          <w:bCs/>
          <w:color w:val="000000" w:themeColor="text1"/>
        </w:rPr>
        <w:t xml:space="preserve">Electrophysiology </w:t>
      </w:r>
    </w:p>
    <w:p w14:paraId="0E93673E" w14:textId="03915A6F" w:rsidR="00560BF7" w:rsidRPr="00E030F1" w:rsidRDefault="00B41105" w:rsidP="00E50C46">
      <w:pPr>
        <w:spacing w:line="480" w:lineRule="auto"/>
        <w:rPr>
          <w:color w:val="000000" w:themeColor="text1"/>
        </w:rPr>
      </w:pPr>
      <w:r w:rsidRPr="00E030F1">
        <w:rPr>
          <w:color w:val="000000" w:themeColor="text1"/>
        </w:rPr>
        <w:t>L</w:t>
      </w:r>
      <w:r w:rsidR="004A2596" w:rsidRPr="00E030F1">
        <w:rPr>
          <w:color w:val="000000" w:themeColor="text1"/>
        </w:rPr>
        <w:t>arvae were fillet dissected in ice</w:t>
      </w:r>
      <w:r w:rsidR="00170B9D" w:rsidRPr="00E030F1">
        <w:rPr>
          <w:color w:val="000000" w:themeColor="text1"/>
        </w:rPr>
        <w:t>-</w:t>
      </w:r>
      <w:r w:rsidR="004A2596" w:rsidRPr="00E030F1">
        <w:rPr>
          <w:color w:val="000000" w:themeColor="text1"/>
        </w:rPr>
        <w:t>cold HL 3.1 with 0.1 mM calcium, and then washed into 0.4 mM calcium HL 3.1</w:t>
      </w:r>
      <w:r w:rsidR="00623DC7" w:rsidRPr="00E030F1">
        <w:rPr>
          <w:color w:val="000000" w:themeColor="text1"/>
        </w:rPr>
        <w:t xml:space="preserve">. We performed </w:t>
      </w:r>
      <w:r w:rsidR="004A2596" w:rsidRPr="00E030F1">
        <w:rPr>
          <w:color w:val="000000" w:themeColor="text1"/>
        </w:rPr>
        <w:t>recordings</w:t>
      </w:r>
      <w:r w:rsidRPr="00E030F1">
        <w:rPr>
          <w:color w:val="000000" w:themeColor="text1"/>
        </w:rPr>
        <w:t xml:space="preserve"> of muscle 6, abdominal segment 3</w:t>
      </w:r>
      <w:r w:rsidR="004A2596" w:rsidRPr="00E030F1">
        <w:rPr>
          <w:color w:val="000000" w:themeColor="text1"/>
        </w:rPr>
        <w:t xml:space="preserve">. </w:t>
      </w:r>
      <w:r w:rsidR="003167C9" w:rsidRPr="00E030F1">
        <w:rPr>
          <w:color w:val="000000" w:themeColor="text1"/>
        </w:rPr>
        <w:t xml:space="preserve">A single recording was collected per larvae to minimize dissected time and maximize the health of our preparations. </w:t>
      </w:r>
      <w:r w:rsidR="00A83BAC" w:rsidRPr="00E030F1">
        <w:rPr>
          <w:color w:val="000000" w:themeColor="text1"/>
        </w:rPr>
        <w:t>All electrodes were pulled using a flaming</w:t>
      </w:r>
      <w:r w:rsidR="00F834FC" w:rsidRPr="00E030F1">
        <w:rPr>
          <w:color w:val="000000" w:themeColor="text1"/>
        </w:rPr>
        <w:t>/</w:t>
      </w:r>
      <w:r w:rsidR="00A83BAC" w:rsidRPr="00E030F1">
        <w:rPr>
          <w:color w:val="000000" w:themeColor="text1"/>
        </w:rPr>
        <w:t>brown micropipette puller (Sutter Instruments</w:t>
      </w:r>
      <w:r w:rsidR="00F834FC" w:rsidRPr="00E030F1">
        <w:rPr>
          <w:color w:val="000000" w:themeColor="text1"/>
        </w:rPr>
        <w:t xml:space="preserve"> Model P-97</w:t>
      </w:r>
      <w:r w:rsidR="00A83BAC" w:rsidRPr="00E030F1">
        <w:rPr>
          <w:color w:val="000000" w:themeColor="text1"/>
        </w:rPr>
        <w:t xml:space="preserve">). </w:t>
      </w:r>
      <w:r w:rsidR="003167C9" w:rsidRPr="00E030F1">
        <w:rPr>
          <w:color w:val="000000" w:themeColor="text1"/>
        </w:rPr>
        <w:t>We used stimulating electrodes from Drummond (#1-000-0500)</w:t>
      </w:r>
      <w:r w:rsidR="00B112F8" w:rsidRPr="00E030F1">
        <w:rPr>
          <w:color w:val="000000" w:themeColor="text1"/>
        </w:rPr>
        <w:t xml:space="preserve">, which we </w:t>
      </w:r>
      <w:r w:rsidR="00A83BAC" w:rsidRPr="00E030F1">
        <w:rPr>
          <w:color w:val="000000" w:themeColor="text1"/>
        </w:rPr>
        <w:t>melted to 2-3 mm in diameter using a heated filament (</w:t>
      </w:r>
      <w:proofErr w:type="spellStart"/>
      <w:r w:rsidR="00F834FC" w:rsidRPr="00E030F1">
        <w:rPr>
          <w:color w:val="000000" w:themeColor="text1"/>
        </w:rPr>
        <w:t>Narishige</w:t>
      </w:r>
      <w:proofErr w:type="spellEnd"/>
      <w:r w:rsidR="00F834FC" w:rsidRPr="00E030F1">
        <w:rPr>
          <w:color w:val="000000" w:themeColor="text1"/>
        </w:rPr>
        <w:t xml:space="preserve"> </w:t>
      </w:r>
      <w:proofErr w:type="spellStart"/>
      <w:r w:rsidR="00F834FC" w:rsidRPr="00E030F1">
        <w:rPr>
          <w:color w:val="000000" w:themeColor="text1"/>
        </w:rPr>
        <w:t>Microforge</w:t>
      </w:r>
      <w:proofErr w:type="spellEnd"/>
      <w:r w:rsidR="00F834FC" w:rsidRPr="00E030F1">
        <w:rPr>
          <w:color w:val="000000" w:themeColor="text1"/>
        </w:rPr>
        <w:t>, MF-830</w:t>
      </w:r>
      <w:r w:rsidR="00A83BAC" w:rsidRPr="00E030F1">
        <w:rPr>
          <w:color w:val="000000" w:themeColor="text1"/>
        </w:rPr>
        <w:t>)</w:t>
      </w:r>
      <w:r w:rsidR="00B112F8" w:rsidRPr="00E030F1">
        <w:rPr>
          <w:color w:val="000000" w:themeColor="text1"/>
        </w:rPr>
        <w:t xml:space="preserve">. </w:t>
      </w:r>
      <w:r w:rsidR="00B112F8" w:rsidRPr="00E030F1">
        <w:rPr>
          <w:color w:val="000000" w:themeColor="text1"/>
        </w:rPr>
        <w:lastRenderedPageBreak/>
        <w:t xml:space="preserve">Recording </w:t>
      </w:r>
      <w:r w:rsidR="003167C9" w:rsidRPr="00E030F1">
        <w:rPr>
          <w:color w:val="000000" w:themeColor="text1"/>
        </w:rPr>
        <w:t xml:space="preserve">electrodes </w:t>
      </w:r>
      <w:r w:rsidR="00B112F8" w:rsidRPr="00E030F1">
        <w:rPr>
          <w:color w:val="000000" w:themeColor="text1"/>
        </w:rPr>
        <w:t xml:space="preserve">(WPI (#TW150F-3) were filled with 3M </w:t>
      </w:r>
      <w:proofErr w:type="spellStart"/>
      <w:r w:rsidR="00B112F8" w:rsidRPr="00E030F1">
        <w:rPr>
          <w:color w:val="000000" w:themeColor="text1"/>
        </w:rPr>
        <w:t>KCl</w:t>
      </w:r>
      <w:proofErr w:type="spellEnd"/>
      <w:r w:rsidR="00B112F8" w:rsidRPr="00E030F1">
        <w:rPr>
          <w:color w:val="000000" w:themeColor="text1"/>
        </w:rPr>
        <w:t xml:space="preserve"> and were typically 20-40 </w:t>
      </w:r>
      <w:proofErr w:type="spellStart"/>
      <w:r w:rsidR="00B112F8" w:rsidRPr="00E030F1">
        <w:rPr>
          <w:color w:val="000000" w:themeColor="text1"/>
        </w:rPr>
        <w:t>MOhms</w:t>
      </w:r>
      <w:proofErr w:type="spellEnd"/>
      <w:r w:rsidR="00B112F8" w:rsidRPr="00E030F1">
        <w:rPr>
          <w:color w:val="000000" w:themeColor="text1"/>
        </w:rPr>
        <w:t xml:space="preserve"> in resistance. </w:t>
      </w:r>
      <w:r w:rsidR="00623DC7" w:rsidRPr="00E030F1">
        <w:rPr>
          <w:color w:val="000000" w:themeColor="text1"/>
        </w:rPr>
        <w:t>To be included in analysis, baseline muscle potential needed to be between -55 and -72 mV, and baseline could not deviate more than 10 mV within this range during the entire recording. Once stabilized in this range, we recorded spontaneous</w:t>
      </w:r>
      <w:r w:rsidRPr="00E030F1">
        <w:rPr>
          <w:color w:val="000000" w:themeColor="text1"/>
        </w:rPr>
        <w:t xml:space="preserve"> </w:t>
      </w:r>
      <w:proofErr w:type="spellStart"/>
      <w:r w:rsidRPr="00E030F1">
        <w:rPr>
          <w:color w:val="000000" w:themeColor="text1"/>
        </w:rPr>
        <w:t>mEJPs</w:t>
      </w:r>
      <w:proofErr w:type="spellEnd"/>
      <w:r w:rsidRPr="00E030F1">
        <w:rPr>
          <w:color w:val="000000" w:themeColor="text1"/>
        </w:rPr>
        <w:t xml:space="preserve"> for 15-30 seconds. </w:t>
      </w:r>
      <w:r w:rsidR="004A2596" w:rsidRPr="00E030F1">
        <w:rPr>
          <w:color w:val="000000" w:themeColor="text1"/>
        </w:rPr>
        <w:t xml:space="preserve">Axons were then stimulated </w:t>
      </w:r>
      <w:r w:rsidRPr="00E030F1">
        <w:rPr>
          <w:color w:val="000000" w:themeColor="text1"/>
        </w:rPr>
        <w:t>(</w:t>
      </w:r>
      <w:r w:rsidR="004A2596" w:rsidRPr="00E030F1">
        <w:rPr>
          <w:color w:val="000000" w:themeColor="text1"/>
        </w:rPr>
        <w:t>3.3 mV</w:t>
      </w:r>
      <w:r w:rsidRPr="00E030F1">
        <w:rPr>
          <w:color w:val="000000" w:themeColor="text1"/>
        </w:rPr>
        <w:t xml:space="preserve">, </w:t>
      </w:r>
      <w:r w:rsidR="004A2596" w:rsidRPr="00E030F1">
        <w:rPr>
          <w:color w:val="000000" w:themeColor="text1"/>
        </w:rPr>
        <w:t xml:space="preserve">0.1 </w:t>
      </w:r>
      <w:proofErr w:type="spellStart"/>
      <w:r w:rsidR="004A2596" w:rsidRPr="00E030F1">
        <w:rPr>
          <w:color w:val="000000" w:themeColor="text1"/>
        </w:rPr>
        <w:t>ms</w:t>
      </w:r>
      <w:proofErr w:type="spellEnd"/>
      <w:r w:rsidRPr="00E030F1">
        <w:rPr>
          <w:color w:val="000000" w:themeColor="text1"/>
        </w:rPr>
        <w:t>, 0.2 Hz) at least 10 times</w:t>
      </w:r>
      <w:r w:rsidR="00623DC7" w:rsidRPr="00E030F1">
        <w:rPr>
          <w:color w:val="000000" w:themeColor="text1"/>
        </w:rPr>
        <w:t xml:space="preserve"> (A-M Systems isolated pulse stimulator, model 2100)</w:t>
      </w:r>
      <w:r w:rsidRPr="00E030F1">
        <w:rPr>
          <w:color w:val="000000" w:themeColor="text1"/>
        </w:rPr>
        <w:t>.</w:t>
      </w:r>
      <w:r w:rsidR="004A2596" w:rsidRPr="00E030F1">
        <w:rPr>
          <w:color w:val="000000" w:themeColor="text1"/>
        </w:rPr>
        <w:t xml:space="preserve"> </w:t>
      </w:r>
      <w:r w:rsidR="00F834FC" w:rsidRPr="00E030F1">
        <w:rPr>
          <w:color w:val="000000" w:themeColor="text1"/>
        </w:rPr>
        <w:t xml:space="preserve">Voltage signals were amplified with an </w:t>
      </w:r>
      <w:proofErr w:type="spellStart"/>
      <w:r w:rsidR="00F834FC" w:rsidRPr="00E030F1">
        <w:rPr>
          <w:color w:val="000000" w:themeColor="text1"/>
        </w:rPr>
        <w:t>Axoclamp</w:t>
      </w:r>
      <w:proofErr w:type="spellEnd"/>
      <w:r w:rsidR="00F834FC" w:rsidRPr="00E030F1">
        <w:rPr>
          <w:color w:val="000000" w:themeColor="text1"/>
        </w:rPr>
        <w:t xml:space="preserve"> 2B </w:t>
      </w:r>
      <w:proofErr w:type="spellStart"/>
      <w:r w:rsidR="00F834FC" w:rsidRPr="00E030F1">
        <w:rPr>
          <w:color w:val="000000" w:themeColor="text1"/>
        </w:rPr>
        <w:t>amplfiier</w:t>
      </w:r>
      <w:proofErr w:type="spellEnd"/>
      <w:r w:rsidR="00F834FC" w:rsidRPr="00E030F1">
        <w:rPr>
          <w:color w:val="000000" w:themeColor="text1"/>
        </w:rPr>
        <w:t xml:space="preserve"> (Axon Instruments) and digitized with a </w:t>
      </w:r>
      <w:proofErr w:type="spellStart"/>
      <w:r w:rsidR="00F834FC" w:rsidRPr="00E030F1">
        <w:rPr>
          <w:color w:val="000000" w:themeColor="text1"/>
        </w:rPr>
        <w:t>DigiData</w:t>
      </w:r>
      <w:proofErr w:type="spellEnd"/>
      <w:r w:rsidR="00F834FC" w:rsidRPr="00E030F1">
        <w:rPr>
          <w:color w:val="000000" w:themeColor="text1"/>
        </w:rPr>
        <w:t xml:space="preserve"> 1200 interface and </w:t>
      </w:r>
      <w:proofErr w:type="spellStart"/>
      <w:r w:rsidR="00F834FC" w:rsidRPr="00E030F1">
        <w:rPr>
          <w:color w:val="000000" w:themeColor="text1"/>
        </w:rPr>
        <w:t>pClamp</w:t>
      </w:r>
      <w:proofErr w:type="spellEnd"/>
      <w:r w:rsidR="00F834FC" w:rsidRPr="00E030F1">
        <w:rPr>
          <w:color w:val="000000" w:themeColor="text1"/>
        </w:rPr>
        <w:t xml:space="preserve"> 10.0 software (Axon Instruments). </w:t>
      </w:r>
      <w:r w:rsidR="001A14B8" w:rsidRPr="00E030F1">
        <w:rPr>
          <w:color w:val="000000" w:themeColor="text1"/>
        </w:rPr>
        <w:t>For EJPs, four larvae</w:t>
      </w:r>
      <w:r w:rsidR="007B6D5A" w:rsidRPr="00E030F1">
        <w:rPr>
          <w:color w:val="000000" w:themeColor="text1"/>
        </w:rPr>
        <w:t xml:space="preserve"> per genotype</w:t>
      </w:r>
      <w:r w:rsidR="001A14B8" w:rsidRPr="00E030F1">
        <w:rPr>
          <w:color w:val="000000" w:themeColor="text1"/>
        </w:rPr>
        <w:t xml:space="preserve"> and at least 10 post-stimulus responses were analyzed. </w:t>
      </w:r>
      <w:r w:rsidRPr="00E030F1">
        <w:rPr>
          <w:color w:val="000000" w:themeColor="text1"/>
        </w:rPr>
        <w:t xml:space="preserve">Once chosen, baselines were manually adjusted to fit a straight line using </w:t>
      </w:r>
      <w:proofErr w:type="spellStart"/>
      <w:r w:rsidRPr="00E030F1">
        <w:rPr>
          <w:color w:val="000000" w:themeColor="text1"/>
        </w:rPr>
        <w:t>Clamp</w:t>
      </w:r>
      <w:r w:rsidR="00623DC7" w:rsidRPr="00E030F1">
        <w:rPr>
          <w:color w:val="000000" w:themeColor="text1"/>
        </w:rPr>
        <w:t>fit</w:t>
      </w:r>
      <w:proofErr w:type="spellEnd"/>
      <w:r w:rsidRPr="00E030F1">
        <w:rPr>
          <w:color w:val="000000" w:themeColor="text1"/>
        </w:rPr>
        <w:t xml:space="preserve"> (versions 10.7 and 11.2). Using the threshold search function, we set a low threshold for detection of </w:t>
      </w:r>
      <w:proofErr w:type="spellStart"/>
      <w:r w:rsidRPr="00E030F1">
        <w:rPr>
          <w:color w:val="000000" w:themeColor="text1"/>
        </w:rPr>
        <w:t>mEJP</w:t>
      </w:r>
      <w:proofErr w:type="spellEnd"/>
      <w:r w:rsidRPr="00E030F1">
        <w:rPr>
          <w:color w:val="000000" w:themeColor="text1"/>
        </w:rPr>
        <w:t xml:space="preserve"> (0.2 mV) and EJP (5 mV) and manually excluded those signals that </w:t>
      </w:r>
      <w:r w:rsidR="00F87F04" w:rsidRPr="00E030F1">
        <w:rPr>
          <w:color w:val="000000" w:themeColor="text1"/>
        </w:rPr>
        <w:t xml:space="preserve">were </w:t>
      </w:r>
      <w:r w:rsidRPr="00E030F1">
        <w:rPr>
          <w:color w:val="000000" w:themeColor="text1"/>
        </w:rPr>
        <w:t xml:space="preserve">above threshold but were not appropriately called. This enabled the </w:t>
      </w:r>
      <w:r w:rsidR="00FF22ED" w:rsidRPr="00E030F1">
        <w:rPr>
          <w:color w:val="000000" w:themeColor="text1"/>
        </w:rPr>
        <w:t xml:space="preserve">inclusion and </w:t>
      </w:r>
      <w:r w:rsidRPr="00E030F1">
        <w:rPr>
          <w:color w:val="000000" w:themeColor="text1"/>
        </w:rPr>
        <w:t xml:space="preserve">quantification of small multi-EJP events in </w:t>
      </w:r>
      <w:r w:rsidR="00FF22ED" w:rsidRPr="00E030F1">
        <w:rPr>
          <w:color w:val="000000" w:themeColor="text1"/>
        </w:rPr>
        <w:t>mutant larvae.</w:t>
      </w:r>
      <w:r w:rsidR="007B6D5A" w:rsidRPr="00E030F1">
        <w:rPr>
          <w:color w:val="000000" w:themeColor="text1"/>
        </w:rPr>
        <w:t xml:space="preserve"> EJP amplitudes, </w:t>
      </w:r>
      <w:proofErr w:type="spellStart"/>
      <w:r w:rsidR="007B6D5A" w:rsidRPr="00E030F1">
        <w:rPr>
          <w:color w:val="000000" w:themeColor="text1"/>
        </w:rPr>
        <w:t>mEJP</w:t>
      </w:r>
      <w:proofErr w:type="spellEnd"/>
      <w:r w:rsidR="007B6D5A" w:rsidRPr="00E030F1">
        <w:rPr>
          <w:color w:val="000000" w:themeColor="text1"/>
        </w:rPr>
        <w:t xml:space="preserve"> amplitudes, and inter-event intervals were exported from </w:t>
      </w:r>
      <w:proofErr w:type="spellStart"/>
      <w:r w:rsidR="007B6D5A" w:rsidRPr="00E030F1">
        <w:rPr>
          <w:color w:val="000000" w:themeColor="text1"/>
        </w:rPr>
        <w:t>Clampfit</w:t>
      </w:r>
      <w:proofErr w:type="spellEnd"/>
      <w:r w:rsidR="007B6D5A" w:rsidRPr="00E030F1">
        <w:rPr>
          <w:color w:val="000000" w:themeColor="text1"/>
        </w:rPr>
        <w:t xml:space="preserve"> into a CSV file and analyzed using </w:t>
      </w:r>
      <w:proofErr w:type="spellStart"/>
      <w:r w:rsidR="007B6D5A" w:rsidRPr="00E030F1">
        <w:rPr>
          <w:color w:val="000000" w:themeColor="text1"/>
        </w:rPr>
        <w:t>Graphpad</w:t>
      </w:r>
      <w:proofErr w:type="spellEnd"/>
      <w:r w:rsidR="007B6D5A" w:rsidRPr="00E030F1">
        <w:rPr>
          <w:color w:val="000000" w:themeColor="text1"/>
        </w:rPr>
        <w:t xml:space="preserve"> Prism. </w:t>
      </w:r>
    </w:p>
    <w:p w14:paraId="70CE8EB7" w14:textId="7C601DAF" w:rsidR="00E50C46" w:rsidRPr="00E030F1" w:rsidRDefault="005C4E62" w:rsidP="00E50C46">
      <w:pPr>
        <w:pStyle w:val="NormalWeb"/>
        <w:spacing w:line="480" w:lineRule="auto"/>
        <w:rPr>
          <w:rFonts w:ascii="Arial" w:hAnsi="Arial" w:cs="Arial"/>
          <w:color w:val="000000" w:themeColor="text1"/>
          <w:sz w:val="22"/>
          <w:szCs w:val="22"/>
        </w:rPr>
      </w:pPr>
      <w:r w:rsidRPr="00E030F1">
        <w:rPr>
          <w:rFonts w:ascii="Arial" w:hAnsi="Arial" w:cs="Arial"/>
          <w:b/>
          <w:bCs/>
          <w:color w:val="000000" w:themeColor="text1"/>
          <w:sz w:val="22"/>
          <w:szCs w:val="22"/>
        </w:rPr>
        <w:t>Transmission Electron Microscopy</w:t>
      </w:r>
    </w:p>
    <w:p w14:paraId="150AB6F3" w14:textId="3527CF12" w:rsidR="005C4E62" w:rsidRPr="00E030F1" w:rsidRDefault="005C4E62" w:rsidP="00E50C46">
      <w:pPr>
        <w:pStyle w:val="NormalWeb"/>
        <w:spacing w:line="480" w:lineRule="auto"/>
        <w:rPr>
          <w:rFonts w:ascii="Arial" w:hAnsi="Arial" w:cs="Arial"/>
          <w:color w:val="000000" w:themeColor="text1"/>
          <w:sz w:val="22"/>
          <w:szCs w:val="22"/>
        </w:rPr>
      </w:pPr>
      <w:r w:rsidRPr="00E030F1">
        <w:rPr>
          <w:rFonts w:ascii="Arial" w:hAnsi="Arial" w:cs="Arial"/>
          <w:color w:val="000000" w:themeColor="text1"/>
          <w:sz w:val="22"/>
          <w:szCs w:val="22"/>
        </w:rPr>
        <w:t xml:space="preserve">Third instar wandering larvae were dissected and fixed in 0.1M </w:t>
      </w:r>
      <w:proofErr w:type="spellStart"/>
      <w:r w:rsidRPr="00E030F1">
        <w:rPr>
          <w:rFonts w:ascii="Arial" w:hAnsi="Arial" w:cs="Arial"/>
          <w:color w:val="000000" w:themeColor="text1"/>
          <w:sz w:val="22"/>
          <w:szCs w:val="22"/>
        </w:rPr>
        <w:t>NaPO</w:t>
      </w:r>
      <w:proofErr w:type="spellEnd"/>
      <w:r w:rsidRPr="00E030F1">
        <w:rPr>
          <w:rFonts w:ascii="Arial" w:hAnsi="Arial" w:cs="Arial"/>
          <w:color w:val="000000" w:themeColor="text1"/>
          <w:position w:val="-2"/>
          <w:sz w:val="22"/>
          <w:szCs w:val="22"/>
          <w:vertAlign w:val="subscript"/>
        </w:rPr>
        <w:t>4</w:t>
      </w:r>
      <w:r w:rsidRPr="00E030F1">
        <w:rPr>
          <w:rFonts w:ascii="Arial" w:hAnsi="Arial" w:cs="Arial"/>
          <w:color w:val="000000" w:themeColor="text1"/>
          <w:position w:val="-2"/>
          <w:sz w:val="22"/>
          <w:szCs w:val="22"/>
        </w:rPr>
        <w:t xml:space="preserve"> </w:t>
      </w:r>
      <w:r w:rsidRPr="00E030F1">
        <w:rPr>
          <w:rFonts w:ascii="Arial" w:hAnsi="Arial" w:cs="Arial"/>
          <w:color w:val="000000" w:themeColor="text1"/>
          <w:sz w:val="22"/>
          <w:szCs w:val="22"/>
        </w:rPr>
        <w:t xml:space="preserve">(pH 7.4), 1% </w:t>
      </w:r>
      <w:proofErr w:type="spellStart"/>
      <w:r w:rsidRPr="00E030F1">
        <w:rPr>
          <w:rFonts w:ascii="Arial" w:hAnsi="Arial" w:cs="Arial"/>
          <w:color w:val="000000" w:themeColor="text1"/>
          <w:sz w:val="22"/>
          <w:szCs w:val="22"/>
        </w:rPr>
        <w:t>gluteraldehyde</w:t>
      </w:r>
      <w:proofErr w:type="spellEnd"/>
      <w:r w:rsidRPr="00E030F1">
        <w:rPr>
          <w:rFonts w:ascii="Arial" w:hAnsi="Arial" w:cs="Arial"/>
          <w:color w:val="000000" w:themeColor="text1"/>
          <w:sz w:val="22"/>
          <w:szCs w:val="22"/>
        </w:rPr>
        <w:t xml:space="preserve"> and 4 % formaldehyde (pH 7.3) overnight. Fixed larval preparations were washed 3x in 0.1 M </w:t>
      </w:r>
      <w:proofErr w:type="spellStart"/>
      <w:r w:rsidRPr="00E030F1">
        <w:rPr>
          <w:rFonts w:ascii="Arial" w:hAnsi="Arial" w:cs="Arial"/>
          <w:color w:val="000000" w:themeColor="text1"/>
          <w:sz w:val="22"/>
          <w:szCs w:val="22"/>
        </w:rPr>
        <w:t>NaPO</w:t>
      </w:r>
      <w:proofErr w:type="spellEnd"/>
      <w:r w:rsidRPr="00E030F1">
        <w:rPr>
          <w:rFonts w:ascii="Arial" w:hAnsi="Arial" w:cs="Arial"/>
          <w:color w:val="000000" w:themeColor="text1"/>
          <w:position w:val="-2"/>
          <w:sz w:val="22"/>
          <w:szCs w:val="22"/>
          <w:vertAlign w:val="subscript"/>
        </w:rPr>
        <w:t>4</w:t>
      </w:r>
      <w:r w:rsidRPr="00E030F1">
        <w:rPr>
          <w:rFonts w:ascii="Arial" w:hAnsi="Arial" w:cs="Arial"/>
          <w:color w:val="000000" w:themeColor="text1"/>
          <w:position w:val="-2"/>
          <w:sz w:val="22"/>
          <w:szCs w:val="22"/>
        </w:rPr>
        <w:t xml:space="preserve"> </w:t>
      </w:r>
      <w:r w:rsidRPr="00E030F1">
        <w:rPr>
          <w:rFonts w:ascii="Arial" w:hAnsi="Arial" w:cs="Arial"/>
          <w:color w:val="000000" w:themeColor="text1"/>
          <w:sz w:val="22"/>
          <w:szCs w:val="22"/>
        </w:rPr>
        <w:t xml:space="preserve">prior to incubation in </w:t>
      </w:r>
      <w:proofErr w:type="spellStart"/>
      <w:r w:rsidRPr="00E030F1">
        <w:rPr>
          <w:rFonts w:ascii="Arial" w:hAnsi="Arial" w:cs="Arial"/>
          <w:color w:val="000000" w:themeColor="text1"/>
          <w:sz w:val="22"/>
          <w:szCs w:val="22"/>
        </w:rPr>
        <w:t>OsO</w:t>
      </w:r>
      <w:proofErr w:type="spellEnd"/>
      <w:r w:rsidRPr="00E030F1">
        <w:rPr>
          <w:rFonts w:ascii="Arial" w:hAnsi="Arial" w:cs="Arial"/>
          <w:color w:val="000000" w:themeColor="text1"/>
          <w:position w:val="-2"/>
          <w:sz w:val="22"/>
          <w:szCs w:val="22"/>
          <w:vertAlign w:val="subscript"/>
        </w:rPr>
        <w:t>4</w:t>
      </w:r>
      <w:r w:rsidRPr="00E030F1">
        <w:rPr>
          <w:rFonts w:ascii="Arial" w:hAnsi="Arial" w:cs="Arial"/>
          <w:color w:val="000000" w:themeColor="text1"/>
          <w:position w:val="-2"/>
          <w:sz w:val="22"/>
          <w:szCs w:val="22"/>
        </w:rPr>
        <w:t xml:space="preserve"> </w:t>
      </w:r>
      <w:r w:rsidRPr="00E030F1">
        <w:rPr>
          <w:rFonts w:ascii="Arial" w:hAnsi="Arial" w:cs="Arial"/>
          <w:color w:val="000000" w:themeColor="text1"/>
          <w:sz w:val="22"/>
          <w:szCs w:val="22"/>
        </w:rPr>
        <w:t xml:space="preserve">(1% in 0.1 M </w:t>
      </w:r>
      <w:proofErr w:type="spellStart"/>
      <w:r w:rsidRPr="00E030F1">
        <w:rPr>
          <w:rFonts w:ascii="Arial" w:hAnsi="Arial" w:cs="Arial"/>
          <w:color w:val="000000" w:themeColor="text1"/>
          <w:sz w:val="22"/>
          <w:szCs w:val="22"/>
        </w:rPr>
        <w:t>NaPO</w:t>
      </w:r>
      <w:proofErr w:type="spellEnd"/>
      <w:r w:rsidRPr="00E030F1">
        <w:rPr>
          <w:rFonts w:ascii="Arial" w:hAnsi="Arial" w:cs="Arial"/>
          <w:color w:val="000000" w:themeColor="text1"/>
          <w:position w:val="-2"/>
          <w:sz w:val="22"/>
          <w:szCs w:val="22"/>
          <w:vertAlign w:val="subscript"/>
        </w:rPr>
        <w:t>4</w:t>
      </w:r>
      <w:r w:rsidRPr="00E030F1">
        <w:rPr>
          <w:rFonts w:ascii="Arial" w:hAnsi="Arial" w:cs="Arial"/>
          <w:color w:val="000000" w:themeColor="text1"/>
          <w:sz w:val="22"/>
          <w:szCs w:val="22"/>
        </w:rPr>
        <w:t xml:space="preserve">, 2 </w:t>
      </w:r>
      <w:proofErr w:type="spellStart"/>
      <w:r w:rsidRPr="00E030F1">
        <w:rPr>
          <w:rFonts w:ascii="Arial" w:hAnsi="Arial" w:cs="Arial"/>
          <w:color w:val="000000" w:themeColor="text1"/>
          <w:sz w:val="22"/>
          <w:szCs w:val="22"/>
        </w:rPr>
        <w:t>hr</w:t>
      </w:r>
      <w:proofErr w:type="spellEnd"/>
      <w:r w:rsidRPr="00E030F1">
        <w:rPr>
          <w:rFonts w:ascii="Arial" w:hAnsi="Arial" w:cs="Arial"/>
          <w:color w:val="000000" w:themeColor="text1"/>
          <w:sz w:val="22"/>
          <w:szCs w:val="22"/>
        </w:rPr>
        <w:t xml:space="preserve">). Preparations were washed 3x in </w:t>
      </w:r>
      <w:proofErr w:type="spellStart"/>
      <w:r w:rsidRPr="00E030F1">
        <w:rPr>
          <w:rFonts w:ascii="Arial" w:hAnsi="Arial" w:cs="Arial"/>
          <w:color w:val="000000" w:themeColor="text1"/>
          <w:sz w:val="22"/>
          <w:szCs w:val="22"/>
        </w:rPr>
        <w:t>dH</w:t>
      </w:r>
      <w:proofErr w:type="spellEnd"/>
      <w:r w:rsidRPr="00E030F1">
        <w:rPr>
          <w:rFonts w:ascii="Arial" w:hAnsi="Arial" w:cs="Arial"/>
          <w:color w:val="000000" w:themeColor="text1"/>
          <w:position w:val="-2"/>
          <w:sz w:val="22"/>
          <w:szCs w:val="22"/>
          <w:vertAlign w:val="subscript"/>
        </w:rPr>
        <w:t>2</w:t>
      </w:r>
      <w:r w:rsidRPr="00E030F1">
        <w:rPr>
          <w:rFonts w:ascii="Arial" w:hAnsi="Arial" w:cs="Arial"/>
          <w:color w:val="000000" w:themeColor="text1"/>
          <w:sz w:val="22"/>
          <w:szCs w:val="22"/>
        </w:rPr>
        <w:t xml:space="preserve">O before incubation in 1% uranyl acetate. Preparations were washed (3x </w:t>
      </w:r>
      <w:proofErr w:type="spellStart"/>
      <w:r w:rsidRPr="00E030F1">
        <w:rPr>
          <w:rFonts w:ascii="Arial" w:hAnsi="Arial" w:cs="Arial"/>
          <w:color w:val="000000" w:themeColor="text1"/>
          <w:sz w:val="22"/>
          <w:szCs w:val="22"/>
        </w:rPr>
        <w:t>dH</w:t>
      </w:r>
      <w:proofErr w:type="spellEnd"/>
      <w:r w:rsidRPr="00E030F1">
        <w:rPr>
          <w:rFonts w:ascii="Arial" w:hAnsi="Arial" w:cs="Arial"/>
          <w:color w:val="000000" w:themeColor="text1"/>
          <w:position w:val="-2"/>
          <w:sz w:val="22"/>
          <w:szCs w:val="22"/>
          <w:vertAlign w:val="subscript"/>
        </w:rPr>
        <w:t>2</w:t>
      </w:r>
      <w:r w:rsidRPr="00E030F1">
        <w:rPr>
          <w:rFonts w:ascii="Arial" w:hAnsi="Arial" w:cs="Arial"/>
          <w:color w:val="000000" w:themeColor="text1"/>
          <w:sz w:val="22"/>
          <w:szCs w:val="22"/>
        </w:rPr>
        <w:t>O) and dehydrated through a graded ethanol series; 20 % increments starting at 30</w:t>
      </w:r>
      <w:r w:rsidR="00E51437" w:rsidRPr="00E030F1">
        <w:rPr>
          <w:rFonts w:ascii="Arial" w:hAnsi="Arial" w:cs="Arial"/>
          <w:color w:val="000000" w:themeColor="text1"/>
          <w:sz w:val="22"/>
          <w:szCs w:val="22"/>
        </w:rPr>
        <w:t xml:space="preserve"> </w:t>
      </w:r>
      <w:r w:rsidRPr="00E030F1">
        <w:rPr>
          <w:rFonts w:ascii="Arial" w:hAnsi="Arial" w:cs="Arial"/>
          <w:color w:val="000000" w:themeColor="text1"/>
          <w:sz w:val="22"/>
          <w:szCs w:val="22"/>
        </w:rPr>
        <w:t xml:space="preserve">% followed by </w:t>
      </w:r>
      <w:r w:rsidR="00241B32" w:rsidRPr="00E030F1">
        <w:rPr>
          <w:rFonts w:ascii="Arial" w:hAnsi="Arial" w:cs="Arial"/>
          <w:color w:val="000000" w:themeColor="text1"/>
          <w:sz w:val="22"/>
          <w:szCs w:val="22"/>
        </w:rPr>
        <w:t>two</w:t>
      </w:r>
      <w:r w:rsidRPr="00E030F1">
        <w:rPr>
          <w:rFonts w:ascii="Arial" w:hAnsi="Arial" w:cs="Arial"/>
          <w:color w:val="000000" w:themeColor="text1"/>
          <w:sz w:val="22"/>
          <w:szCs w:val="22"/>
        </w:rPr>
        <w:t xml:space="preserve"> 100 % changes, then 2x 100% propylene oxide. Preps were incubated in a graded series of </w:t>
      </w:r>
      <w:proofErr w:type="spellStart"/>
      <w:r w:rsidRPr="00E030F1">
        <w:rPr>
          <w:rFonts w:ascii="Arial" w:hAnsi="Arial" w:cs="Arial"/>
          <w:color w:val="000000" w:themeColor="text1"/>
          <w:sz w:val="22"/>
          <w:szCs w:val="22"/>
        </w:rPr>
        <w:t>Epon</w:t>
      </w:r>
      <w:proofErr w:type="spellEnd"/>
      <w:r w:rsidRPr="00E030F1">
        <w:rPr>
          <w:rFonts w:ascii="Arial" w:hAnsi="Arial" w:cs="Arial"/>
          <w:color w:val="000000" w:themeColor="text1"/>
          <w:sz w:val="22"/>
          <w:szCs w:val="22"/>
        </w:rPr>
        <w:t xml:space="preserve"> araldite resin (in propylene oxide); 25% increments culminating in 3x 100 % changes. Individual muscles and the </w:t>
      </w:r>
      <w:r w:rsidR="00241B32" w:rsidRPr="00E030F1">
        <w:rPr>
          <w:rFonts w:ascii="Arial" w:hAnsi="Arial" w:cs="Arial"/>
          <w:color w:val="000000" w:themeColor="text1"/>
          <w:sz w:val="22"/>
          <w:szCs w:val="22"/>
        </w:rPr>
        <w:t>ventral nerve cord</w:t>
      </w:r>
      <w:r w:rsidRPr="00E030F1">
        <w:rPr>
          <w:rFonts w:ascii="Arial" w:hAnsi="Arial" w:cs="Arial"/>
          <w:color w:val="000000" w:themeColor="text1"/>
          <w:sz w:val="22"/>
          <w:szCs w:val="22"/>
        </w:rPr>
        <w:t xml:space="preserve"> were then dissected out. These were </w:t>
      </w:r>
      <w:r w:rsidRPr="00E030F1">
        <w:rPr>
          <w:rFonts w:ascii="Arial" w:hAnsi="Arial" w:cs="Arial"/>
          <w:color w:val="000000" w:themeColor="text1"/>
          <w:sz w:val="22"/>
          <w:szCs w:val="22"/>
        </w:rPr>
        <w:lastRenderedPageBreak/>
        <w:t>then transferred into embedding molds and the resin polymeri</w:t>
      </w:r>
      <w:r w:rsidR="00241B32" w:rsidRPr="00E030F1">
        <w:rPr>
          <w:rFonts w:ascii="Arial" w:hAnsi="Arial" w:cs="Arial"/>
          <w:color w:val="000000" w:themeColor="text1"/>
          <w:sz w:val="22"/>
          <w:szCs w:val="22"/>
        </w:rPr>
        <w:t>z</w:t>
      </w:r>
      <w:r w:rsidRPr="00E030F1">
        <w:rPr>
          <w:rFonts w:ascii="Arial" w:hAnsi="Arial" w:cs="Arial"/>
          <w:color w:val="000000" w:themeColor="text1"/>
          <w:sz w:val="22"/>
          <w:szCs w:val="22"/>
        </w:rPr>
        <w:t xml:space="preserve">ed at 60°C for 48 hours. Resin mounted preps were sectioned (60 – 70 nm) using glass knives upon a Leica </w:t>
      </w:r>
      <w:proofErr w:type="spellStart"/>
      <w:r w:rsidRPr="00E030F1">
        <w:rPr>
          <w:rFonts w:ascii="Arial" w:hAnsi="Arial" w:cs="Arial"/>
          <w:color w:val="000000" w:themeColor="text1"/>
          <w:sz w:val="22"/>
          <w:szCs w:val="22"/>
        </w:rPr>
        <w:t>Ultracut</w:t>
      </w:r>
      <w:proofErr w:type="spellEnd"/>
      <w:r w:rsidRPr="00E030F1">
        <w:rPr>
          <w:rFonts w:ascii="Arial" w:hAnsi="Arial" w:cs="Arial"/>
          <w:color w:val="000000" w:themeColor="text1"/>
          <w:sz w:val="22"/>
          <w:szCs w:val="22"/>
        </w:rPr>
        <w:t xml:space="preserve"> UCT microtome and placed onto grids. Preps were subsequently incubated in uranyl acetate (50% in ethanol), washed in </w:t>
      </w:r>
      <w:proofErr w:type="spellStart"/>
      <w:r w:rsidRPr="00E030F1">
        <w:rPr>
          <w:rFonts w:ascii="Arial" w:hAnsi="Arial" w:cs="Arial"/>
          <w:color w:val="000000" w:themeColor="text1"/>
          <w:sz w:val="22"/>
          <w:szCs w:val="22"/>
        </w:rPr>
        <w:t>dH</w:t>
      </w:r>
      <w:proofErr w:type="spellEnd"/>
      <w:r w:rsidRPr="00E030F1">
        <w:rPr>
          <w:rFonts w:ascii="Arial" w:hAnsi="Arial" w:cs="Arial"/>
          <w:color w:val="000000" w:themeColor="text1"/>
          <w:position w:val="-2"/>
          <w:sz w:val="22"/>
          <w:szCs w:val="22"/>
          <w:vertAlign w:val="subscript"/>
        </w:rPr>
        <w:t>2</w:t>
      </w:r>
      <w:r w:rsidR="00241B32" w:rsidRPr="00E030F1">
        <w:rPr>
          <w:rFonts w:ascii="Arial" w:hAnsi="Arial" w:cs="Arial"/>
          <w:color w:val="000000" w:themeColor="text1"/>
          <w:sz w:val="22"/>
          <w:szCs w:val="22"/>
        </w:rPr>
        <w:t>O</w:t>
      </w:r>
      <w:r w:rsidRPr="00E030F1">
        <w:rPr>
          <w:rFonts w:ascii="Arial" w:hAnsi="Arial" w:cs="Arial"/>
          <w:color w:val="000000" w:themeColor="text1"/>
          <w:sz w:val="22"/>
          <w:szCs w:val="22"/>
        </w:rPr>
        <w:t xml:space="preserve"> and incubated in lead citrate. Sections were imaged using a TECNAI 12 G</w:t>
      </w:r>
      <w:r w:rsidRPr="00E030F1">
        <w:rPr>
          <w:rFonts w:ascii="Arial" w:hAnsi="Arial" w:cs="Arial"/>
          <w:color w:val="000000" w:themeColor="text1"/>
          <w:position w:val="10"/>
          <w:sz w:val="22"/>
          <w:szCs w:val="22"/>
        </w:rPr>
        <w:t xml:space="preserve">2 </w:t>
      </w:r>
      <w:r w:rsidRPr="00E030F1">
        <w:rPr>
          <w:rFonts w:ascii="Arial" w:hAnsi="Arial" w:cs="Arial"/>
          <w:color w:val="000000" w:themeColor="text1"/>
          <w:sz w:val="22"/>
          <w:szCs w:val="22"/>
        </w:rPr>
        <w:t xml:space="preserve">transmission electron microscope with an SIS </w:t>
      </w:r>
      <w:proofErr w:type="spellStart"/>
      <w:r w:rsidRPr="00E030F1">
        <w:rPr>
          <w:rFonts w:ascii="Arial" w:hAnsi="Arial" w:cs="Arial"/>
          <w:color w:val="000000" w:themeColor="text1"/>
          <w:sz w:val="22"/>
          <w:szCs w:val="22"/>
        </w:rPr>
        <w:t>Megaview</w:t>
      </w:r>
      <w:proofErr w:type="spellEnd"/>
      <w:r w:rsidRPr="00E030F1">
        <w:rPr>
          <w:rFonts w:ascii="Arial" w:hAnsi="Arial" w:cs="Arial"/>
          <w:color w:val="000000" w:themeColor="text1"/>
          <w:sz w:val="22"/>
          <w:szCs w:val="22"/>
        </w:rPr>
        <w:t xml:space="preserve"> camera and </w:t>
      </w:r>
      <w:proofErr w:type="spellStart"/>
      <w:r w:rsidRPr="00E030F1">
        <w:rPr>
          <w:rFonts w:ascii="Arial" w:hAnsi="Arial" w:cs="Arial"/>
          <w:color w:val="000000" w:themeColor="text1"/>
          <w:sz w:val="22"/>
          <w:szCs w:val="22"/>
        </w:rPr>
        <w:t>Tecnai</w:t>
      </w:r>
      <w:proofErr w:type="spellEnd"/>
      <w:r w:rsidRPr="00E030F1">
        <w:rPr>
          <w:rFonts w:ascii="Arial" w:hAnsi="Arial" w:cs="Arial"/>
          <w:color w:val="000000" w:themeColor="text1"/>
          <w:sz w:val="22"/>
          <w:szCs w:val="22"/>
        </w:rPr>
        <w:t xml:space="preserve"> user interface v2.1.8 and </w:t>
      </w:r>
      <w:proofErr w:type="spellStart"/>
      <w:r w:rsidRPr="00E030F1">
        <w:rPr>
          <w:rFonts w:ascii="Arial" w:hAnsi="Arial" w:cs="Arial"/>
          <w:color w:val="000000" w:themeColor="text1"/>
          <w:sz w:val="22"/>
          <w:szCs w:val="22"/>
        </w:rPr>
        <w:t>analySIS</w:t>
      </w:r>
      <w:proofErr w:type="spellEnd"/>
      <w:r w:rsidRPr="00E030F1">
        <w:rPr>
          <w:rFonts w:ascii="Arial" w:hAnsi="Arial" w:cs="Arial"/>
          <w:color w:val="000000" w:themeColor="text1"/>
          <w:sz w:val="22"/>
          <w:szCs w:val="22"/>
        </w:rPr>
        <w:t xml:space="preserve"> v3.2. </w:t>
      </w:r>
    </w:p>
    <w:p w14:paraId="2D51D572" w14:textId="0EE82BA5" w:rsidR="001E5853" w:rsidRPr="00E030F1" w:rsidRDefault="00F3589F" w:rsidP="004A2596">
      <w:pPr>
        <w:spacing w:line="480" w:lineRule="auto"/>
        <w:rPr>
          <w:b/>
          <w:bCs/>
          <w:color w:val="000000" w:themeColor="text1"/>
        </w:rPr>
      </w:pPr>
      <w:r w:rsidRPr="00E030F1">
        <w:rPr>
          <w:b/>
          <w:bCs/>
          <w:color w:val="000000" w:themeColor="text1"/>
        </w:rPr>
        <w:t>Statistical Processing</w:t>
      </w:r>
    </w:p>
    <w:p w14:paraId="7BDF08AB" w14:textId="410E6411" w:rsidR="00F3589F" w:rsidRPr="00E030F1" w:rsidRDefault="00F3589F" w:rsidP="004A2596">
      <w:pPr>
        <w:spacing w:line="480" w:lineRule="auto"/>
        <w:rPr>
          <w:color w:val="000000" w:themeColor="text1"/>
        </w:rPr>
      </w:pPr>
      <w:r w:rsidRPr="00E030F1">
        <w:rPr>
          <w:color w:val="000000" w:themeColor="text1"/>
        </w:rPr>
        <w:t>All statistical comparisons were evaluated using GraphPad Prism (version 9.2.0).</w:t>
      </w:r>
      <w:r w:rsidR="00D92462" w:rsidRPr="00E030F1">
        <w:rPr>
          <w:color w:val="000000" w:themeColor="text1"/>
        </w:rPr>
        <w:t xml:space="preserve"> In all analyses, only within-sex comparisons were performed due to our observation of sexually dimorphic phenotypes.</w:t>
      </w:r>
      <w:r w:rsidRPr="00E030F1">
        <w:rPr>
          <w:color w:val="000000" w:themeColor="text1"/>
        </w:rPr>
        <w:t xml:space="preserve"> </w:t>
      </w:r>
      <w:r w:rsidR="00D92462" w:rsidRPr="00E030F1">
        <w:rPr>
          <w:color w:val="000000" w:themeColor="text1"/>
        </w:rPr>
        <w:t xml:space="preserve">For viability, we used one-way ANOVA followed by </w:t>
      </w:r>
      <w:proofErr w:type="spellStart"/>
      <w:r w:rsidR="00D92462" w:rsidRPr="00E030F1">
        <w:rPr>
          <w:color w:val="000000" w:themeColor="text1"/>
        </w:rPr>
        <w:t>Sidak’s</w:t>
      </w:r>
      <w:proofErr w:type="spellEnd"/>
      <w:r w:rsidR="00D92462" w:rsidRPr="00E030F1">
        <w:rPr>
          <w:color w:val="000000" w:themeColor="text1"/>
        </w:rPr>
        <w:t xml:space="preserve"> multiple comparisons correction. For locomotor analysis of larvae, we performed 2-way ANOVA using Bonferroni’s multiple comparisons test. </w:t>
      </w:r>
      <w:r w:rsidR="005C6269" w:rsidRPr="00E030F1">
        <w:rPr>
          <w:color w:val="000000" w:themeColor="text1"/>
        </w:rPr>
        <w:t xml:space="preserve"> </w:t>
      </w:r>
      <w:r w:rsidRPr="00E030F1">
        <w:rPr>
          <w:color w:val="000000" w:themeColor="text1"/>
        </w:rPr>
        <w:t xml:space="preserve">Unless otherwise specified, animals were only compared within sex using two-tailed T-tests.  </w:t>
      </w:r>
    </w:p>
    <w:p w14:paraId="5F7F2735" w14:textId="77777777" w:rsidR="00586826" w:rsidRPr="00E030F1" w:rsidRDefault="00586826" w:rsidP="004A2596">
      <w:pPr>
        <w:spacing w:line="480" w:lineRule="auto"/>
        <w:rPr>
          <w:color w:val="000000" w:themeColor="text1"/>
        </w:rPr>
      </w:pPr>
    </w:p>
    <w:p w14:paraId="7C46BE0B" w14:textId="77777777" w:rsidR="00586826" w:rsidRPr="00E030F1" w:rsidRDefault="00586826" w:rsidP="004A2596">
      <w:pPr>
        <w:spacing w:line="480" w:lineRule="auto"/>
        <w:rPr>
          <w:color w:val="000000" w:themeColor="text1"/>
        </w:rPr>
      </w:pPr>
    </w:p>
    <w:p w14:paraId="2860DA5E" w14:textId="77777777" w:rsidR="00586826" w:rsidRPr="00E030F1" w:rsidRDefault="00586826" w:rsidP="004A2596">
      <w:pPr>
        <w:spacing w:line="480" w:lineRule="auto"/>
        <w:rPr>
          <w:color w:val="000000" w:themeColor="text1"/>
        </w:rPr>
      </w:pPr>
    </w:p>
    <w:p w14:paraId="4B67BBA1" w14:textId="77777777" w:rsidR="00586826" w:rsidRPr="00E030F1" w:rsidRDefault="00586826" w:rsidP="004A2596">
      <w:pPr>
        <w:spacing w:line="480" w:lineRule="auto"/>
        <w:rPr>
          <w:color w:val="000000" w:themeColor="text1"/>
        </w:rPr>
      </w:pPr>
    </w:p>
    <w:p w14:paraId="03F083B3" w14:textId="77777777" w:rsidR="00170B9D" w:rsidRPr="00E030F1" w:rsidRDefault="00170B9D">
      <w:pPr>
        <w:rPr>
          <w:b/>
          <w:bCs/>
          <w:color w:val="000000" w:themeColor="text1"/>
        </w:rPr>
      </w:pPr>
      <w:r w:rsidRPr="00E030F1">
        <w:rPr>
          <w:b/>
          <w:bCs/>
          <w:color w:val="000000" w:themeColor="text1"/>
        </w:rPr>
        <w:br w:type="page"/>
      </w:r>
    </w:p>
    <w:p w14:paraId="7E09BA43" w14:textId="302FD6B2" w:rsidR="009254C2" w:rsidRPr="00E030F1" w:rsidRDefault="006B4D4B" w:rsidP="004A2596">
      <w:pPr>
        <w:spacing w:line="480" w:lineRule="auto"/>
        <w:rPr>
          <w:b/>
          <w:bCs/>
          <w:color w:val="000000" w:themeColor="text1"/>
        </w:rPr>
      </w:pPr>
      <w:r w:rsidRPr="00E030F1">
        <w:rPr>
          <w:b/>
          <w:bCs/>
          <w:noProof/>
          <w:color w:val="000000" w:themeColor="text1"/>
        </w:rPr>
        <w:lastRenderedPageBreak/>
        <w:drawing>
          <wp:inline distT="0" distB="0" distL="0" distR="0" wp14:anchorId="364C2D93" wp14:editId="6AB8230F">
            <wp:extent cx="5943600" cy="39706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inline>
        </w:drawing>
      </w:r>
    </w:p>
    <w:p w14:paraId="47AC5559" w14:textId="77777777" w:rsidR="009254C2" w:rsidRPr="00E030F1" w:rsidRDefault="009254C2">
      <w:pPr>
        <w:rPr>
          <w:b/>
          <w:bCs/>
          <w:color w:val="000000" w:themeColor="text1"/>
        </w:rPr>
      </w:pPr>
      <w:r w:rsidRPr="00E030F1">
        <w:rPr>
          <w:b/>
          <w:bCs/>
          <w:color w:val="000000" w:themeColor="text1"/>
        </w:rPr>
        <w:br w:type="page"/>
      </w:r>
    </w:p>
    <w:p w14:paraId="4E651CA4" w14:textId="563B9ABE" w:rsidR="001E5853" w:rsidRPr="00E030F1" w:rsidRDefault="001E5853" w:rsidP="004A2596">
      <w:pPr>
        <w:spacing w:line="480" w:lineRule="auto"/>
        <w:rPr>
          <w:b/>
          <w:bCs/>
          <w:color w:val="000000" w:themeColor="text1"/>
        </w:rPr>
      </w:pPr>
      <w:r w:rsidRPr="00E030F1">
        <w:rPr>
          <w:b/>
          <w:bCs/>
          <w:color w:val="000000" w:themeColor="text1"/>
        </w:rPr>
        <w:lastRenderedPageBreak/>
        <w:t>Figure Legends</w:t>
      </w:r>
    </w:p>
    <w:p w14:paraId="0611CC9D" w14:textId="7C990FB9" w:rsidR="00896398" w:rsidRPr="00E030F1" w:rsidRDefault="001E5853" w:rsidP="004A2596">
      <w:pPr>
        <w:spacing w:line="480" w:lineRule="auto"/>
        <w:rPr>
          <w:color w:val="000000" w:themeColor="text1"/>
        </w:rPr>
      </w:pPr>
      <w:r w:rsidRPr="00E030F1">
        <w:rPr>
          <w:b/>
          <w:bCs/>
          <w:color w:val="000000" w:themeColor="text1"/>
        </w:rPr>
        <w:t>Figure 1. CG12004 (</w:t>
      </w:r>
      <w:proofErr w:type="spellStart"/>
      <w:r w:rsidRPr="00E030F1">
        <w:rPr>
          <w:b/>
          <w:bCs/>
          <w:color w:val="000000" w:themeColor="text1"/>
        </w:rPr>
        <w:t>Tmep</w:t>
      </w:r>
      <w:proofErr w:type="spellEnd"/>
      <w:r w:rsidRPr="00E030F1">
        <w:rPr>
          <w:b/>
          <w:bCs/>
          <w:color w:val="000000" w:themeColor="text1"/>
        </w:rPr>
        <w:t xml:space="preserve">), </w:t>
      </w:r>
      <w:r w:rsidR="002D608D" w:rsidRPr="00E030F1">
        <w:rPr>
          <w:b/>
          <w:bCs/>
          <w:color w:val="000000" w:themeColor="text1"/>
        </w:rPr>
        <w:t xml:space="preserve">a </w:t>
      </w:r>
      <w:r w:rsidR="002D608D" w:rsidRPr="00E030F1">
        <w:rPr>
          <w:b/>
          <w:bCs/>
          <w:i/>
          <w:iCs/>
          <w:color w:val="000000" w:themeColor="text1"/>
        </w:rPr>
        <w:t>Drosophila</w:t>
      </w:r>
      <w:r w:rsidR="002D608D" w:rsidRPr="00E030F1">
        <w:rPr>
          <w:b/>
          <w:bCs/>
          <w:color w:val="000000" w:themeColor="text1"/>
        </w:rPr>
        <w:t xml:space="preserve"> protein with high homology to</w:t>
      </w:r>
      <w:r w:rsidRPr="00E030F1">
        <w:rPr>
          <w:b/>
          <w:bCs/>
          <w:color w:val="000000" w:themeColor="text1"/>
        </w:rPr>
        <w:t xml:space="preserve"> </w:t>
      </w:r>
      <w:r w:rsidR="002D608D" w:rsidRPr="00E030F1">
        <w:rPr>
          <w:b/>
          <w:bCs/>
          <w:color w:val="000000" w:themeColor="text1"/>
        </w:rPr>
        <w:t xml:space="preserve">mammalian </w:t>
      </w:r>
      <w:r w:rsidRPr="00E030F1">
        <w:rPr>
          <w:b/>
          <w:bCs/>
          <w:color w:val="000000" w:themeColor="text1"/>
        </w:rPr>
        <w:t xml:space="preserve">TMEM184b, is needed for full viability and locomotor </w:t>
      </w:r>
      <w:r w:rsidR="00EB1B27" w:rsidRPr="00E030F1">
        <w:rPr>
          <w:b/>
          <w:bCs/>
          <w:color w:val="000000" w:themeColor="text1"/>
        </w:rPr>
        <w:t>function</w:t>
      </w:r>
      <w:r w:rsidRPr="00E030F1">
        <w:rPr>
          <w:b/>
          <w:bCs/>
          <w:color w:val="000000" w:themeColor="text1"/>
        </w:rPr>
        <w:t>.</w:t>
      </w:r>
      <w:r w:rsidRPr="00E030F1">
        <w:rPr>
          <w:color w:val="000000" w:themeColor="text1"/>
        </w:rPr>
        <w:t xml:space="preserve"> </w:t>
      </w:r>
      <w:r w:rsidR="00227592" w:rsidRPr="00E030F1">
        <w:rPr>
          <w:b/>
          <w:bCs/>
          <w:color w:val="000000" w:themeColor="text1"/>
        </w:rPr>
        <w:t>a</w:t>
      </w:r>
      <w:r w:rsidRPr="00E030F1">
        <w:rPr>
          <w:color w:val="000000" w:themeColor="text1"/>
        </w:rPr>
        <w:t xml:space="preserve">, </w:t>
      </w:r>
      <w:r w:rsidR="009136CB" w:rsidRPr="00E030F1">
        <w:rPr>
          <w:color w:val="000000" w:themeColor="text1"/>
        </w:rPr>
        <w:t>A</w:t>
      </w:r>
      <w:r w:rsidR="00F17E7D" w:rsidRPr="00E030F1">
        <w:rPr>
          <w:color w:val="000000" w:themeColor="text1"/>
        </w:rPr>
        <w:t xml:space="preserve">lignment of </w:t>
      </w:r>
      <w:r w:rsidR="00C81A73" w:rsidRPr="00E030F1">
        <w:rPr>
          <w:i/>
          <w:color w:val="000000" w:themeColor="text1"/>
        </w:rPr>
        <w:t>Drosophila</w:t>
      </w:r>
      <w:r w:rsidR="00F17E7D" w:rsidRPr="00E030F1">
        <w:rPr>
          <w:color w:val="000000" w:themeColor="text1"/>
        </w:rPr>
        <w:t xml:space="preserve">, mouse, and human TMEM184B </w:t>
      </w:r>
      <w:r w:rsidR="00BF2AFA" w:rsidRPr="00E030F1">
        <w:rPr>
          <w:color w:val="000000" w:themeColor="text1"/>
        </w:rPr>
        <w:t>protein</w:t>
      </w:r>
      <w:r w:rsidR="002D608D" w:rsidRPr="00E030F1">
        <w:rPr>
          <w:color w:val="000000" w:themeColor="text1"/>
        </w:rPr>
        <w:t>s</w:t>
      </w:r>
      <w:r w:rsidR="00F17E7D" w:rsidRPr="00E030F1">
        <w:rPr>
          <w:color w:val="000000" w:themeColor="text1"/>
        </w:rPr>
        <w:t>. Top to bottom: CG12004 long isoform, CG12004 short isoform, mouse TMEM184b isoform, human TMEM184b isoform. Transmembrane</w:t>
      </w:r>
      <w:r w:rsidR="00586826" w:rsidRPr="00E030F1">
        <w:rPr>
          <w:color w:val="000000" w:themeColor="text1"/>
        </w:rPr>
        <w:t xml:space="preserve"> segments (blue lines)</w:t>
      </w:r>
      <w:r w:rsidR="00F17E7D" w:rsidRPr="00E030F1">
        <w:rPr>
          <w:color w:val="000000" w:themeColor="text1"/>
        </w:rPr>
        <w:t xml:space="preserve"> </w:t>
      </w:r>
      <w:r w:rsidR="00586826" w:rsidRPr="00E030F1">
        <w:rPr>
          <w:color w:val="000000" w:themeColor="text1"/>
        </w:rPr>
        <w:t xml:space="preserve">and </w:t>
      </w:r>
      <w:r w:rsidR="00114EAE" w:rsidRPr="00E030F1">
        <w:rPr>
          <w:color w:val="000000" w:themeColor="text1"/>
        </w:rPr>
        <w:t xml:space="preserve">sequences used for </w:t>
      </w:r>
      <w:r w:rsidR="00586826" w:rsidRPr="00E030F1">
        <w:rPr>
          <w:color w:val="000000" w:themeColor="text1"/>
        </w:rPr>
        <w:t xml:space="preserve">antibody </w:t>
      </w:r>
      <w:r w:rsidR="00114EAE" w:rsidRPr="00E030F1">
        <w:rPr>
          <w:color w:val="000000" w:themeColor="text1"/>
        </w:rPr>
        <w:t>generation</w:t>
      </w:r>
      <w:r w:rsidR="00586826" w:rsidRPr="00E030F1">
        <w:rPr>
          <w:color w:val="000000" w:themeColor="text1"/>
        </w:rPr>
        <w:t xml:space="preserve"> (red lines) are </w:t>
      </w:r>
      <w:r w:rsidR="00F17E7D" w:rsidRPr="00E030F1">
        <w:rPr>
          <w:color w:val="000000" w:themeColor="text1"/>
        </w:rPr>
        <w:t xml:space="preserve">shown. </w:t>
      </w:r>
      <w:r w:rsidR="00227592" w:rsidRPr="00E030F1">
        <w:rPr>
          <w:b/>
          <w:bCs/>
          <w:color w:val="000000" w:themeColor="text1"/>
        </w:rPr>
        <w:t>b</w:t>
      </w:r>
      <w:r w:rsidR="00586826" w:rsidRPr="00E030F1">
        <w:rPr>
          <w:color w:val="000000" w:themeColor="text1"/>
        </w:rPr>
        <w:t xml:space="preserve">, </w:t>
      </w:r>
      <w:r w:rsidR="009136CB" w:rsidRPr="00E030F1">
        <w:rPr>
          <w:color w:val="000000" w:themeColor="text1"/>
        </w:rPr>
        <w:t>S</w:t>
      </w:r>
      <w:r w:rsidR="00586826" w:rsidRPr="00E030F1">
        <w:rPr>
          <w:color w:val="000000" w:themeColor="text1"/>
        </w:rPr>
        <w:t xml:space="preserve">chematic drawing of the CG12004 genomic region on Chromosome 3. Mutations and regions targeted by knockdown constructs used in this study are indicated. </w:t>
      </w:r>
      <w:r w:rsidR="00227592" w:rsidRPr="00E030F1">
        <w:rPr>
          <w:b/>
          <w:bCs/>
          <w:color w:val="000000" w:themeColor="text1"/>
        </w:rPr>
        <w:t>c</w:t>
      </w:r>
      <w:r w:rsidR="00005BFD" w:rsidRPr="00E030F1">
        <w:rPr>
          <w:color w:val="000000" w:themeColor="text1"/>
        </w:rPr>
        <w:t xml:space="preserve">, Rates of </w:t>
      </w:r>
      <w:proofErr w:type="spellStart"/>
      <w:r w:rsidR="00005BFD" w:rsidRPr="00E030F1">
        <w:rPr>
          <w:color w:val="000000" w:themeColor="text1"/>
        </w:rPr>
        <w:t>eclosion</w:t>
      </w:r>
      <w:proofErr w:type="spellEnd"/>
      <w:r w:rsidR="00005BFD" w:rsidRPr="00E030F1">
        <w:rPr>
          <w:color w:val="000000" w:themeColor="text1"/>
        </w:rPr>
        <w:t xml:space="preserve"> of </w:t>
      </w:r>
      <w:proofErr w:type="spellStart"/>
      <w:r w:rsidR="00005BFD" w:rsidRPr="00E030F1">
        <w:rPr>
          <w:i/>
          <w:iCs/>
          <w:color w:val="000000" w:themeColor="text1"/>
        </w:rPr>
        <w:t>Tmep</w:t>
      </w:r>
      <w:r w:rsidR="00005BFD" w:rsidRPr="00E030F1">
        <w:rPr>
          <w:i/>
          <w:iCs/>
          <w:color w:val="000000" w:themeColor="text1"/>
          <w:vertAlign w:val="superscript"/>
        </w:rPr>
        <w:t>Cri</w:t>
      </w:r>
      <w:proofErr w:type="spellEnd"/>
      <w:r w:rsidR="00005BFD" w:rsidRPr="00E030F1">
        <w:rPr>
          <w:color w:val="000000" w:themeColor="text1"/>
        </w:rPr>
        <w:t>/Df</w:t>
      </w:r>
      <w:r w:rsidR="007D1EC8" w:rsidRPr="00E030F1">
        <w:rPr>
          <w:color w:val="000000" w:themeColor="text1"/>
        </w:rPr>
        <w:t xml:space="preserve"> (</w:t>
      </w:r>
      <w:r w:rsidR="007D1EC8" w:rsidRPr="00E030F1">
        <w:rPr>
          <w:i/>
          <w:iCs/>
          <w:color w:val="000000" w:themeColor="text1"/>
        </w:rPr>
        <w:t>Cri/Df</w:t>
      </w:r>
      <w:r w:rsidR="007D1EC8" w:rsidRPr="00E030F1">
        <w:rPr>
          <w:color w:val="000000" w:themeColor="text1"/>
        </w:rPr>
        <w:t>)</w:t>
      </w:r>
      <w:r w:rsidR="00005BFD" w:rsidRPr="00E030F1">
        <w:rPr>
          <w:color w:val="000000" w:themeColor="text1"/>
        </w:rPr>
        <w:t xml:space="preserve"> </w:t>
      </w:r>
      <w:r w:rsidR="00896398" w:rsidRPr="00E030F1">
        <w:rPr>
          <w:color w:val="000000" w:themeColor="text1"/>
        </w:rPr>
        <w:t xml:space="preserve">in both sexes </w:t>
      </w:r>
      <w:r w:rsidR="00005BFD" w:rsidRPr="00E030F1">
        <w:rPr>
          <w:color w:val="000000" w:themeColor="text1"/>
        </w:rPr>
        <w:t xml:space="preserve">and </w:t>
      </w:r>
      <w:r w:rsidR="00896398" w:rsidRPr="00E030F1">
        <w:rPr>
          <w:color w:val="000000" w:themeColor="text1"/>
        </w:rPr>
        <w:t>rescue by UAS-</w:t>
      </w:r>
      <w:proofErr w:type="spellStart"/>
      <w:r w:rsidR="00896398" w:rsidRPr="00E030F1">
        <w:rPr>
          <w:color w:val="000000" w:themeColor="text1"/>
        </w:rPr>
        <w:t>Tmep</w:t>
      </w:r>
      <w:proofErr w:type="spellEnd"/>
      <w:r w:rsidR="00896398" w:rsidRPr="00E030F1">
        <w:rPr>
          <w:color w:val="000000" w:themeColor="text1"/>
        </w:rPr>
        <w:t xml:space="preserve"> (N-terminal </w:t>
      </w:r>
      <w:proofErr w:type="spellStart"/>
      <w:r w:rsidR="00896398" w:rsidRPr="00E030F1">
        <w:rPr>
          <w:color w:val="000000" w:themeColor="text1"/>
        </w:rPr>
        <w:t>mKate</w:t>
      </w:r>
      <w:proofErr w:type="spellEnd"/>
      <w:r w:rsidR="00896398" w:rsidRPr="00E030F1">
        <w:rPr>
          <w:color w:val="000000" w:themeColor="text1"/>
        </w:rPr>
        <w:t xml:space="preserve">-tagged). P values: Male vs Female </w:t>
      </w:r>
      <w:proofErr w:type="spellStart"/>
      <w:r w:rsidR="00E91022" w:rsidRPr="00E030F1">
        <w:rPr>
          <w:i/>
          <w:iCs/>
          <w:color w:val="000000" w:themeColor="text1"/>
        </w:rPr>
        <w:t>Tmep</w:t>
      </w:r>
      <w:r w:rsidR="00E91022" w:rsidRPr="00E030F1">
        <w:rPr>
          <w:i/>
          <w:iCs/>
          <w:color w:val="000000" w:themeColor="text1"/>
          <w:vertAlign w:val="superscript"/>
        </w:rPr>
        <w:t>Cri</w:t>
      </w:r>
      <w:proofErr w:type="spellEnd"/>
      <w:r w:rsidR="00896398" w:rsidRPr="00E030F1">
        <w:rPr>
          <w:i/>
          <w:iCs/>
          <w:color w:val="000000" w:themeColor="text1"/>
        </w:rPr>
        <w:t>/Df</w:t>
      </w:r>
      <w:r w:rsidR="00896398" w:rsidRPr="00E030F1">
        <w:rPr>
          <w:color w:val="000000" w:themeColor="text1"/>
        </w:rPr>
        <w:t>, p = 0.01</w:t>
      </w:r>
      <w:r w:rsidR="00FF08EF" w:rsidRPr="00E030F1">
        <w:rPr>
          <w:color w:val="000000" w:themeColor="text1"/>
        </w:rPr>
        <w:t>6</w:t>
      </w:r>
      <w:r w:rsidR="00896398" w:rsidRPr="00E030F1">
        <w:rPr>
          <w:color w:val="000000" w:themeColor="text1"/>
        </w:rPr>
        <w:t xml:space="preserve">; Male </w:t>
      </w:r>
      <w:proofErr w:type="spellStart"/>
      <w:r w:rsidR="00E91022" w:rsidRPr="00E030F1">
        <w:rPr>
          <w:i/>
          <w:iCs/>
          <w:color w:val="000000" w:themeColor="text1"/>
        </w:rPr>
        <w:t>Tmep</w:t>
      </w:r>
      <w:r w:rsidR="00E91022" w:rsidRPr="00E030F1">
        <w:rPr>
          <w:i/>
          <w:iCs/>
          <w:color w:val="000000" w:themeColor="text1"/>
          <w:vertAlign w:val="superscript"/>
        </w:rPr>
        <w:t>Cri</w:t>
      </w:r>
      <w:proofErr w:type="spellEnd"/>
      <w:r w:rsidR="00E91022" w:rsidRPr="00E030F1">
        <w:rPr>
          <w:color w:val="000000" w:themeColor="text1"/>
        </w:rPr>
        <w:t>/</w:t>
      </w:r>
      <w:r w:rsidR="00896398" w:rsidRPr="00E030F1">
        <w:rPr>
          <w:i/>
          <w:iCs/>
          <w:color w:val="000000" w:themeColor="text1"/>
        </w:rPr>
        <w:t>Df</w:t>
      </w:r>
      <w:r w:rsidR="00896398" w:rsidRPr="00E030F1">
        <w:rPr>
          <w:color w:val="000000" w:themeColor="text1"/>
        </w:rPr>
        <w:t xml:space="preserve"> vs Rescue, p = 0.0</w:t>
      </w:r>
      <w:r w:rsidR="00FF08EF" w:rsidRPr="00E030F1">
        <w:rPr>
          <w:color w:val="000000" w:themeColor="text1"/>
        </w:rPr>
        <w:t>52</w:t>
      </w:r>
      <w:r w:rsidR="00896398" w:rsidRPr="00E030F1">
        <w:rPr>
          <w:color w:val="000000" w:themeColor="text1"/>
        </w:rPr>
        <w:t xml:space="preserve">; Female </w:t>
      </w:r>
      <w:proofErr w:type="spellStart"/>
      <w:r w:rsidR="00E91022" w:rsidRPr="00E030F1">
        <w:rPr>
          <w:i/>
          <w:iCs/>
          <w:color w:val="000000" w:themeColor="text1"/>
        </w:rPr>
        <w:t>Tmep</w:t>
      </w:r>
      <w:r w:rsidR="00E91022" w:rsidRPr="00E030F1">
        <w:rPr>
          <w:i/>
          <w:iCs/>
          <w:color w:val="000000" w:themeColor="text1"/>
          <w:vertAlign w:val="superscript"/>
        </w:rPr>
        <w:t>Cri</w:t>
      </w:r>
      <w:proofErr w:type="spellEnd"/>
      <w:r w:rsidR="00896398" w:rsidRPr="00E030F1">
        <w:rPr>
          <w:color w:val="000000" w:themeColor="text1"/>
        </w:rPr>
        <w:t>/Df vs Rescue, p = 0.00</w:t>
      </w:r>
      <w:r w:rsidR="00FF08EF" w:rsidRPr="00E030F1">
        <w:rPr>
          <w:color w:val="000000" w:themeColor="text1"/>
        </w:rPr>
        <w:t>24</w:t>
      </w:r>
      <w:r w:rsidR="00896398" w:rsidRPr="00E030F1">
        <w:rPr>
          <w:color w:val="000000" w:themeColor="text1"/>
        </w:rPr>
        <w:t xml:space="preserve">. </w:t>
      </w:r>
      <w:r w:rsidR="00F95C60" w:rsidRPr="00E030F1">
        <w:rPr>
          <w:color w:val="000000" w:themeColor="text1"/>
        </w:rPr>
        <w:t xml:space="preserve">N = 3 independent crosses with 5 male and </w:t>
      </w:r>
      <w:r w:rsidR="00BF2AFA" w:rsidRPr="00E030F1">
        <w:rPr>
          <w:color w:val="000000" w:themeColor="text1"/>
        </w:rPr>
        <w:t xml:space="preserve">5 </w:t>
      </w:r>
      <w:r w:rsidR="00F95C60" w:rsidRPr="00E030F1">
        <w:rPr>
          <w:color w:val="000000" w:themeColor="text1"/>
        </w:rPr>
        <w:t>female</w:t>
      </w:r>
      <w:r w:rsidR="00BF2AFA" w:rsidRPr="00E030F1">
        <w:rPr>
          <w:color w:val="000000" w:themeColor="text1"/>
        </w:rPr>
        <w:t xml:space="preserve"> parents</w:t>
      </w:r>
      <w:r w:rsidR="00F95C60" w:rsidRPr="00E030F1">
        <w:rPr>
          <w:color w:val="000000" w:themeColor="text1"/>
        </w:rPr>
        <w:t xml:space="preserve"> in each cross. </w:t>
      </w:r>
      <w:r w:rsidR="00123331" w:rsidRPr="00E030F1">
        <w:rPr>
          <w:color w:val="000000" w:themeColor="text1"/>
        </w:rPr>
        <w:t xml:space="preserve">Statistical evaluation was done using </w:t>
      </w:r>
      <w:r w:rsidR="00FF08EF" w:rsidRPr="00E030F1">
        <w:rPr>
          <w:color w:val="000000" w:themeColor="text1"/>
        </w:rPr>
        <w:t>one-way ANOVA</w:t>
      </w:r>
      <w:r w:rsidR="00123331" w:rsidRPr="00E030F1">
        <w:rPr>
          <w:color w:val="000000" w:themeColor="text1"/>
        </w:rPr>
        <w:t xml:space="preserve"> </w:t>
      </w:r>
      <w:r w:rsidR="00FF08EF" w:rsidRPr="00E030F1">
        <w:rPr>
          <w:color w:val="000000" w:themeColor="text1"/>
        </w:rPr>
        <w:t xml:space="preserve">with </w:t>
      </w:r>
      <w:proofErr w:type="spellStart"/>
      <w:r w:rsidR="00FF08EF" w:rsidRPr="00E030F1">
        <w:rPr>
          <w:color w:val="000000" w:themeColor="text1"/>
        </w:rPr>
        <w:t>Sidak’s</w:t>
      </w:r>
      <w:proofErr w:type="spellEnd"/>
      <w:r w:rsidR="00FF08EF" w:rsidRPr="00E030F1">
        <w:rPr>
          <w:color w:val="000000" w:themeColor="text1"/>
        </w:rPr>
        <w:t xml:space="preserve"> multiple comparisons test</w:t>
      </w:r>
      <w:r w:rsidR="00123331" w:rsidRPr="00E030F1">
        <w:rPr>
          <w:color w:val="000000" w:themeColor="text1"/>
        </w:rPr>
        <w:t xml:space="preserve">. </w:t>
      </w:r>
      <w:r w:rsidR="00123331" w:rsidRPr="00E030F1">
        <w:rPr>
          <w:b/>
          <w:bCs/>
          <w:color w:val="000000" w:themeColor="text1"/>
        </w:rPr>
        <w:t>d</w:t>
      </w:r>
      <w:r w:rsidR="00123331" w:rsidRPr="00E030F1">
        <w:rPr>
          <w:color w:val="000000" w:themeColor="text1"/>
        </w:rPr>
        <w:t xml:space="preserve">, </w:t>
      </w:r>
      <w:r w:rsidR="00290F0B" w:rsidRPr="00E030F1">
        <w:rPr>
          <w:color w:val="000000" w:themeColor="text1"/>
        </w:rPr>
        <w:t xml:space="preserve">climbing assay after disorientation of </w:t>
      </w:r>
      <w:r w:rsidR="001369E0" w:rsidRPr="00E030F1">
        <w:rPr>
          <w:color w:val="000000" w:themeColor="text1"/>
        </w:rPr>
        <w:t>wild type</w:t>
      </w:r>
      <w:r w:rsidR="007D1EC8" w:rsidRPr="00E030F1">
        <w:rPr>
          <w:color w:val="000000" w:themeColor="text1"/>
        </w:rPr>
        <w:t xml:space="preserve"> and </w:t>
      </w:r>
      <w:proofErr w:type="spellStart"/>
      <w:r w:rsidR="007D1EC8" w:rsidRPr="00E030F1">
        <w:rPr>
          <w:color w:val="000000" w:themeColor="text1"/>
        </w:rPr>
        <w:t>Tmep</w:t>
      </w:r>
      <w:r w:rsidR="005C4E62" w:rsidRPr="00E030F1">
        <w:rPr>
          <w:i/>
          <w:color w:val="000000" w:themeColor="text1"/>
          <w:vertAlign w:val="superscript"/>
        </w:rPr>
        <w:t>Ex</w:t>
      </w:r>
      <w:proofErr w:type="spellEnd"/>
      <w:r w:rsidR="005C4E62" w:rsidRPr="00E030F1">
        <w:rPr>
          <w:i/>
          <w:color w:val="000000" w:themeColor="text1"/>
          <w:vertAlign w:val="superscript"/>
        </w:rPr>
        <w:t>/</w:t>
      </w:r>
      <w:r w:rsidR="005C4E62" w:rsidRPr="00E030F1">
        <w:rPr>
          <w:i/>
          <w:color w:val="000000" w:themeColor="text1"/>
        </w:rPr>
        <w:t>Df</w:t>
      </w:r>
      <w:r w:rsidR="007D1EC8" w:rsidRPr="00E030F1">
        <w:rPr>
          <w:color w:val="000000" w:themeColor="text1"/>
        </w:rPr>
        <w:t xml:space="preserve"> (</w:t>
      </w:r>
      <w:r w:rsidR="007D1EC8" w:rsidRPr="00E030F1">
        <w:rPr>
          <w:i/>
          <w:iCs/>
          <w:color w:val="000000" w:themeColor="text1"/>
        </w:rPr>
        <w:t>Ex/Df</w:t>
      </w:r>
      <w:r w:rsidR="007D1EC8" w:rsidRPr="00E030F1">
        <w:rPr>
          <w:color w:val="000000" w:themeColor="text1"/>
        </w:rPr>
        <w:t>)</w:t>
      </w:r>
      <w:r w:rsidR="00123331" w:rsidRPr="00E030F1">
        <w:rPr>
          <w:color w:val="000000" w:themeColor="text1"/>
        </w:rPr>
        <w:t xml:space="preserve"> </w:t>
      </w:r>
      <w:r w:rsidR="007D1EC8" w:rsidRPr="00E030F1">
        <w:rPr>
          <w:color w:val="000000" w:themeColor="text1"/>
        </w:rPr>
        <w:t>females and males</w:t>
      </w:r>
      <w:r w:rsidR="00123331" w:rsidRPr="00E030F1">
        <w:rPr>
          <w:color w:val="000000" w:themeColor="text1"/>
        </w:rPr>
        <w:t xml:space="preserve">. N = 43, 41, 42, 29 flies (left to right). For females, p = 0.045, unpaired t-test. </w:t>
      </w:r>
      <w:r w:rsidR="00123331" w:rsidRPr="00E030F1">
        <w:rPr>
          <w:b/>
          <w:bCs/>
          <w:color w:val="000000" w:themeColor="text1"/>
        </w:rPr>
        <w:t>e-f</w:t>
      </w:r>
      <w:r w:rsidR="00896398" w:rsidRPr="00E030F1">
        <w:rPr>
          <w:color w:val="000000" w:themeColor="text1"/>
        </w:rPr>
        <w:t>, larval contraction rate by genotype and sex</w:t>
      </w:r>
      <w:r w:rsidR="00227592" w:rsidRPr="00E030F1">
        <w:rPr>
          <w:color w:val="000000" w:themeColor="text1"/>
        </w:rPr>
        <w:t xml:space="preserve"> (</w:t>
      </w:r>
      <w:r w:rsidR="00123331" w:rsidRPr="00E030F1">
        <w:rPr>
          <w:color w:val="000000" w:themeColor="text1"/>
        </w:rPr>
        <w:t>e</w:t>
      </w:r>
      <w:r w:rsidR="00896398" w:rsidRPr="00E030F1">
        <w:rPr>
          <w:color w:val="000000" w:themeColor="text1"/>
        </w:rPr>
        <w:t xml:space="preserve"> shows females, </w:t>
      </w:r>
      <w:r w:rsidR="00123331" w:rsidRPr="00E030F1">
        <w:rPr>
          <w:color w:val="000000" w:themeColor="text1"/>
        </w:rPr>
        <w:t>f</w:t>
      </w:r>
      <w:r w:rsidR="00896398" w:rsidRPr="00E030F1">
        <w:rPr>
          <w:color w:val="000000" w:themeColor="text1"/>
        </w:rPr>
        <w:t xml:space="preserve"> shows males</w:t>
      </w:r>
      <w:r w:rsidR="00227592" w:rsidRPr="00E030F1">
        <w:rPr>
          <w:color w:val="000000" w:themeColor="text1"/>
        </w:rPr>
        <w:t>)</w:t>
      </w:r>
      <w:r w:rsidR="00896398" w:rsidRPr="00E030F1">
        <w:rPr>
          <w:color w:val="000000" w:themeColor="text1"/>
        </w:rPr>
        <w:t xml:space="preserve">. </w:t>
      </w:r>
      <w:r w:rsidR="00F95C60" w:rsidRPr="00E030F1">
        <w:rPr>
          <w:color w:val="000000" w:themeColor="text1"/>
        </w:rPr>
        <w:t xml:space="preserve">P values for females: </w:t>
      </w:r>
      <w:r w:rsidR="00A86CEF" w:rsidRPr="00E030F1">
        <w:rPr>
          <w:color w:val="000000" w:themeColor="text1"/>
        </w:rPr>
        <w:t>wild type</w:t>
      </w:r>
      <w:r w:rsidR="00F95C60" w:rsidRPr="00E030F1">
        <w:rPr>
          <w:color w:val="000000" w:themeColor="text1"/>
        </w:rPr>
        <w:t xml:space="preserve"> vs </w:t>
      </w:r>
      <w:proofErr w:type="spellStart"/>
      <w:r w:rsidR="00E91022" w:rsidRPr="00E030F1">
        <w:rPr>
          <w:i/>
          <w:iCs/>
          <w:color w:val="000000" w:themeColor="text1"/>
        </w:rPr>
        <w:t>Tmep</w:t>
      </w:r>
      <w:r w:rsidR="00E91022" w:rsidRPr="00E030F1">
        <w:rPr>
          <w:i/>
          <w:iCs/>
          <w:color w:val="000000" w:themeColor="text1"/>
          <w:vertAlign w:val="superscript"/>
        </w:rPr>
        <w:t>Ex</w:t>
      </w:r>
      <w:proofErr w:type="spellEnd"/>
      <w:r w:rsidR="00F95C60" w:rsidRPr="00E030F1">
        <w:rPr>
          <w:i/>
          <w:iCs/>
          <w:color w:val="000000" w:themeColor="text1"/>
        </w:rPr>
        <w:t>/Df</w:t>
      </w:r>
      <w:r w:rsidR="00F95C60" w:rsidRPr="00E030F1">
        <w:rPr>
          <w:color w:val="000000" w:themeColor="text1"/>
        </w:rPr>
        <w:t>, p = 0.001</w:t>
      </w:r>
      <w:r w:rsidR="00A86CEF" w:rsidRPr="00E030F1">
        <w:rPr>
          <w:color w:val="000000" w:themeColor="text1"/>
        </w:rPr>
        <w:t>7</w:t>
      </w:r>
      <w:r w:rsidR="00F95C60" w:rsidRPr="00E030F1">
        <w:rPr>
          <w:color w:val="000000" w:themeColor="text1"/>
        </w:rPr>
        <w:t xml:space="preserve">; </w:t>
      </w:r>
      <w:r w:rsidR="00A86CEF" w:rsidRPr="00E030F1">
        <w:rPr>
          <w:color w:val="000000" w:themeColor="text1"/>
        </w:rPr>
        <w:t>wild type</w:t>
      </w:r>
      <w:r w:rsidR="00F95C60" w:rsidRPr="00E030F1">
        <w:rPr>
          <w:color w:val="000000" w:themeColor="text1"/>
        </w:rPr>
        <w:t xml:space="preserve"> vs </w:t>
      </w:r>
      <w:proofErr w:type="spellStart"/>
      <w:r w:rsidR="00E91022" w:rsidRPr="00E030F1">
        <w:rPr>
          <w:i/>
          <w:iCs/>
          <w:color w:val="000000" w:themeColor="text1"/>
        </w:rPr>
        <w:t>Tmep</w:t>
      </w:r>
      <w:r w:rsidR="00E91022" w:rsidRPr="00E030F1">
        <w:rPr>
          <w:i/>
          <w:iCs/>
          <w:color w:val="000000" w:themeColor="text1"/>
          <w:vertAlign w:val="superscript"/>
        </w:rPr>
        <w:t>Cri</w:t>
      </w:r>
      <w:proofErr w:type="spellEnd"/>
      <w:r w:rsidR="00F95C60" w:rsidRPr="00E030F1">
        <w:rPr>
          <w:color w:val="000000" w:themeColor="text1"/>
        </w:rPr>
        <w:t xml:space="preserve">/Df, p &lt; 0.0001; </w:t>
      </w:r>
      <w:proofErr w:type="spellStart"/>
      <w:r w:rsidR="00E91022" w:rsidRPr="00E030F1">
        <w:rPr>
          <w:i/>
          <w:iCs/>
          <w:color w:val="000000" w:themeColor="text1"/>
        </w:rPr>
        <w:t>Tmep</w:t>
      </w:r>
      <w:r w:rsidR="00E91022" w:rsidRPr="00E030F1">
        <w:rPr>
          <w:i/>
          <w:iCs/>
          <w:color w:val="000000" w:themeColor="text1"/>
          <w:vertAlign w:val="superscript"/>
        </w:rPr>
        <w:t>Ex</w:t>
      </w:r>
      <w:proofErr w:type="spellEnd"/>
      <w:r w:rsidR="00F95C60" w:rsidRPr="00E030F1">
        <w:rPr>
          <w:i/>
          <w:iCs/>
          <w:color w:val="000000" w:themeColor="text1"/>
        </w:rPr>
        <w:t>/Df</w:t>
      </w:r>
      <w:r w:rsidR="00F95C60" w:rsidRPr="00E030F1">
        <w:rPr>
          <w:color w:val="000000" w:themeColor="text1"/>
        </w:rPr>
        <w:t xml:space="preserve"> vs </w:t>
      </w:r>
      <w:proofErr w:type="spellStart"/>
      <w:r w:rsidR="00E91022" w:rsidRPr="00E030F1">
        <w:rPr>
          <w:i/>
          <w:iCs/>
          <w:color w:val="000000" w:themeColor="text1"/>
        </w:rPr>
        <w:t>Tmep</w:t>
      </w:r>
      <w:r w:rsidR="00E91022" w:rsidRPr="00E030F1">
        <w:rPr>
          <w:i/>
          <w:iCs/>
          <w:color w:val="000000" w:themeColor="text1"/>
          <w:vertAlign w:val="superscript"/>
        </w:rPr>
        <w:t>Cri</w:t>
      </w:r>
      <w:proofErr w:type="spellEnd"/>
      <w:r w:rsidR="00E91022" w:rsidRPr="00E030F1">
        <w:rPr>
          <w:color w:val="000000" w:themeColor="text1"/>
        </w:rPr>
        <w:t>/</w:t>
      </w:r>
      <w:r w:rsidR="00F95C60" w:rsidRPr="00E030F1">
        <w:rPr>
          <w:i/>
          <w:iCs/>
          <w:color w:val="000000" w:themeColor="text1"/>
        </w:rPr>
        <w:t>Df</w:t>
      </w:r>
      <w:r w:rsidR="00F95C60" w:rsidRPr="00E030F1">
        <w:rPr>
          <w:color w:val="000000" w:themeColor="text1"/>
        </w:rPr>
        <w:t>, p = 0.00</w:t>
      </w:r>
      <w:r w:rsidR="00A86CEF" w:rsidRPr="00E030F1">
        <w:rPr>
          <w:color w:val="000000" w:themeColor="text1"/>
        </w:rPr>
        <w:t>5</w:t>
      </w:r>
      <w:r w:rsidR="00F95C60" w:rsidRPr="00E030F1">
        <w:rPr>
          <w:color w:val="000000" w:themeColor="text1"/>
        </w:rPr>
        <w:t xml:space="preserve">; </w:t>
      </w:r>
      <w:proofErr w:type="spellStart"/>
      <w:r w:rsidR="00A86CEF" w:rsidRPr="00E030F1">
        <w:rPr>
          <w:i/>
          <w:iCs/>
          <w:color w:val="000000" w:themeColor="text1"/>
        </w:rPr>
        <w:t>Tmep</w:t>
      </w:r>
      <w:r w:rsidR="00A86CEF" w:rsidRPr="00E030F1">
        <w:rPr>
          <w:i/>
          <w:iCs/>
          <w:color w:val="000000" w:themeColor="text1"/>
          <w:vertAlign w:val="superscript"/>
        </w:rPr>
        <w:t>Ex</w:t>
      </w:r>
      <w:proofErr w:type="spellEnd"/>
      <w:r w:rsidR="00A86CEF" w:rsidRPr="00E030F1">
        <w:rPr>
          <w:i/>
          <w:iCs/>
          <w:color w:val="000000" w:themeColor="text1"/>
        </w:rPr>
        <w:t>/Df</w:t>
      </w:r>
      <w:r w:rsidR="00A86CEF" w:rsidRPr="00E030F1">
        <w:rPr>
          <w:color w:val="000000" w:themeColor="text1"/>
        </w:rPr>
        <w:t xml:space="preserve"> vs rescue, p = 0.0005; </w:t>
      </w:r>
      <w:proofErr w:type="spellStart"/>
      <w:r w:rsidR="00E91022" w:rsidRPr="00E030F1">
        <w:rPr>
          <w:i/>
          <w:iCs/>
          <w:color w:val="000000" w:themeColor="text1"/>
        </w:rPr>
        <w:t>Tmep</w:t>
      </w:r>
      <w:r w:rsidR="00E91022" w:rsidRPr="00E030F1">
        <w:rPr>
          <w:i/>
          <w:iCs/>
          <w:color w:val="000000" w:themeColor="text1"/>
          <w:vertAlign w:val="superscript"/>
        </w:rPr>
        <w:t>Cri</w:t>
      </w:r>
      <w:proofErr w:type="spellEnd"/>
      <w:r w:rsidR="00E91022" w:rsidRPr="00E030F1">
        <w:rPr>
          <w:color w:val="000000" w:themeColor="text1"/>
        </w:rPr>
        <w:t>/</w:t>
      </w:r>
      <w:r w:rsidR="00F95C60" w:rsidRPr="00E030F1">
        <w:rPr>
          <w:i/>
          <w:iCs/>
          <w:color w:val="000000" w:themeColor="text1"/>
        </w:rPr>
        <w:t>Df</w:t>
      </w:r>
      <w:r w:rsidR="00F95C60" w:rsidRPr="00E030F1">
        <w:rPr>
          <w:color w:val="000000" w:themeColor="text1"/>
        </w:rPr>
        <w:t xml:space="preserve"> vs Rescue, p &lt; 0.0001</w:t>
      </w:r>
      <w:r w:rsidR="00A86CEF" w:rsidRPr="00E030F1">
        <w:rPr>
          <w:color w:val="000000" w:themeColor="text1"/>
        </w:rPr>
        <w:t>; wild type vs rescue, p = 0.98</w:t>
      </w:r>
      <w:r w:rsidR="00F95C60" w:rsidRPr="00E030F1">
        <w:rPr>
          <w:color w:val="000000" w:themeColor="text1"/>
        </w:rPr>
        <w:t>. For males, all comparisons were p &gt; 0.05</w:t>
      </w:r>
      <w:r w:rsidR="00C007B0" w:rsidRPr="00E030F1">
        <w:rPr>
          <w:color w:val="000000" w:themeColor="text1"/>
        </w:rPr>
        <w:t xml:space="preserve"> except </w:t>
      </w:r>
      <w:proofErr w:type="spellStart"/>
      <w:r w:rsidR="00C007B0" w:rsidRPr="00E030F1">
        <w:rPr>
          <w:i/>
          <w:iCs/>
          <w:color w:val="000000" w:themeColor="text1"/>
        </w:rPr>
        <w:t>Tmep</w:t>
      </w:r>
      <w:r w:rsidR="00C007B0" w:rsidRPr="00E030F1">
        <w:rPr>
          <w:i/>
          <w:iCs/>
          <w:color w:val="000000" w:themeColor="text1"/>
          <w:vertAlign w:val="superscript"/>
        </w:rPr>
        <w:t>Ex</w:t>
      </w:r>
      <w:proofErr w:type="spellEnd"/>
      <w:r w:rsidR="00C007B0" w:rsidRPr="00E030F1">
        <w:rPr>
          <w:i/>
          <w:iCs/>
          <w:color w:val="000000" w:themeColor="text1"/>
        </w:rPr>
        <w:t>/Df</w:t>
      </w:r>
      <w:r w:rsidR="00C007B0" w:rsidRPr="00E030F1">
        <w:rPr>
          <w:color w:val="000000" w:themeColor="text1"/>
        </w:rPr>
        <w:t xml:space="preserve"> vs rescue, where p = 0.008</w:t>
      </w:r>
      <w:r w:rsidR="00F95C60" w:rsidRPr="00E030F1">
        <w:rPr>
          <w:color w:val="000000" w:themeColor="text1"/>
        </w:rPr>
        <w:t>. N = 20 for all genotypes.</w:t>
      </w:r>
      <w:r w:rsidR="00123331" w:rsidRPr="00E030F1">
        <w:rPr>
          <w:color w:val="000000" w:themeColor="text1"/>
        </w:rPr>
        <w:t xml:space="preserve"> Statistical significance was calculated by one-way</w:t>
      </w:r>
      <w:r w:rsidR="00896398" w:rsidRPr="00E030F1">
        <w:rPr>
          <w:color w:val="000000" w:themeColor="text1"/>
        </w:rPr>
        <w:t xml:space="preserve"> ANOVA with </w:t>
      </w:r>
      <w:r w:rsidR="009C2898" w:rsidRPr="00E030F1">
        <w:rPr>
          <w:color w:val="000000" w:themeColor="text1"/>
        </w:rPr>
        <w:t>Bonferroni</w:t>
      </w:r>
      <w:r w:rsidR="00896398" w:rsidRPr="00E030F1">
        <w:rPr>
          <w:color w:val="000000" w:themeColor="text1"/>
        </w:rPr>
        <w:t>’s multiple comparison correction.</w:t>
      </w:r>
    </w:p>
    <w:p w14:paraId="00000021" w14:textId="07FAFC44" w:rsidR="00510F8F" w:rsidRPr="00E030F1" w:rsidRDefault="00510F8F" w:rsidP="00D9450F">
      <w:pPr>
        <w:spacing w:line="480" w:lineRule="auto"/>
        <w:rPr>
          <w:b/>
          <w:color w:val="000000" w:themeColor="text1"/>
        </w:rPr>
      </w:pPr>
    </w:p>
    <w:p w14:paraId="1E47FFD6" w14:textId="26F00CFC" w:rsidR="009254C2" w:rsidRPr="00E030F1" w:rsidRDefault="00F9670F" w:rsidP="00EA36A4">
      <w:pPr>
        <w:rPr>
          <w:b/>
          <w:color w:val="000000" w:themeColor="text1"/>
        </w:rPr>
      </w:pPr>
      <w:r w:rsidRPr="00E030F1">
        <w:rPr>
          <w:b/>
          <w:color w:val="000000" w:themeColor="text1"/>
        </w:rPr>
        <w:br w:type="page"/>
      </w:r>
    </w:p>
    <w:p w14:paraId="4F07B684" w14:textId="622EDE2F" w:rsidR="009254C2" w:rsidRPr="00E030F1" w:rsidRDefault="009254C2">
      <w:pPr>
        <w:rPr>
          <w:b/>
          <w:color w:val="000000" w:themeColor="text1"/>
        </w:rPr>
      </w:pPr>
    </w:p>
    <w:p w14:paraId="672EC2FB" w14:textId="0FC8A687" w:rsidR="00170B9D" w:rsidRPr="00E030F1" w:rsidRDefault="008D5EDD" w:rsidP="00D9450F">
      <w:pPr>
        <w:spacing w:line="480" w:lineRule="auto"/>
        <w:rPr>
          <w:b/>
          <w:color w:val="000000" w:themeColor="text1"/>
        </w:rPr>
      </w:pPr>
      <w:r w:rsidRPr="00E030F1">
        <w:rPr>
          <w:b/>
          <w:noProof/>
          <w:color w:val="000000" w:themeColor="text1"/>
        </w:rPr>
        <w:drawing>
          <wp:inline distT="0" distB="0" distL="0" distR="0" wp14:anchorId="1FA95579" wp14:editId="09E5AFFB">
            <wp:extent cx="5943600" cy="274955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49550"/>
                    </a:xfrm>
                    <a:prstGeom prst="rect">
                      <a:avLst/>
                    </a:prstGeom>
                  </pic:spPr>
                </pic:pic>
              </a:graphicData>
            </a:graphic>
          </wp:inline>
        </w:drawing>
      </w:r>
    </w:p>
    <w:p w14:paraId="3617EC72" w14:textId="0E2A28CB" w:rsidR="0010397D" w:rsidRPr="00E030F1" w:rsidRDefault="0010397D" w:rsidP="0010397D">
      <w:pPr>
        <w:rPr>
          <w:b/>
          <w:color w:val="000000" w:themeColor="text1"/>
        </w:rPr>
      </w:pPr>
    </w:p>
    <w:p w14:paraId="127ED64D" w14:textId="77777777" w:rsidR="00EA36A4" w:rsidRPr="00E030F1" w:rsidRDefault="00EA36A4" w:rsidP="00EA36A4">
      <w:pPr>
        <w:spacing w:line="480" w:lineRule="auto"/>
        <w:rPr>
          <w:b/>
          <w:color w:val="000000" w:themeColor="text1"/>
        </w:rPr>
      </w:pPr>
    </w:p>
    <w:p w14:paraId="1F290A5F" w14:textId="44D1365F" w:rsidR="00905A9D" w:rsidRPr="00E030F1" w:rsidRDefault="00F734D8" w:rsidP="00EA36A4">
      <w:pPr>
        <w:spacing w:line="480" w:lineRule="auto"/>
        <w:rPr>
          <w:b/>
          <w:color w:val="000000" w:themeColor="text1"/>
        </w:rPr>
      </w:pPr>
      <w:r w:rsidRPr="00E030F1">
        <w:rPr>
          <w:b/>
          <w:color w:val="000000" w:themeColor="text1"/>
        </w:rPr>
        <w:t xml:space="preserve">Figure </w:t>
      </w:r>
      <w:r w:rsidR="00BB55BB" w:rsidRPr="00E030F1">
        <w:rPr>
          <w:b/>
          <w:color w:val="000000" w:themeColor="text1"/>
        </w:rPr>
        <w:t>2</w:t>
      </w:r>
      <w:r w:rsidRPr="00E030F1">
        <w:rPr>
          <w:b/>
          <w:color w:val="000000" w:themeColor="text1"/>
        </w:rPr>
        <w:t xml:space="preserve">. </w:t>
      </w:r>
      <w:proofErr w:type="spellStart"/>
      <w:r w:rsidR="00EB1B27" w:rsidRPr="00E030F1">
        <w:rPr>
          <w:b/>
          <w:color w:val="000000" w:themeColor="text1"/>
        </w:rPr>
        <w:t>Tmep</w:t>
      </w:r>
      <w:proofErr w:type="spellEnd"/>
      <w:r w:rsidR="00EB1B27" w:rsidRPr="00E030F1">
        <w:rPr>
          <w:b/>
          <w:color w:val="000000" w:themeColor="text1"/>
        </w:rPr>
        <w:t xml:space="preserve"> </w:t>
      </w:r>
      <w:r w:rsidR="001F4FD7" w:rsidRPr="00E030F1">
        <w:rPr>
          <w:b/>
          <w:color w:val="000000" w:themeColor="text1"/>
        </w:rPr>
        <w:t>localizes to neuronal endosomes</w:t>
      </w:r>
      <w:r w:rsidR="00BB55BB" w:rsidRPr="00E030F1">
        <w:rPr>
          <w:b/>
          <w:color w:val="000000" w:themeColor="text1"/>
        </w:rPr>
        <w:t xml:space="preserve"> and synaptic vesicles</w:t>
      </w:r>
      <w:r w:rsidR="00EB1B27" w:rsidRPr="00E030F1">
        <w:rPr>
          <w:b/>
          <w:color w:val="000000" w:themeColor="text1"/>
        </w:rPr>
        <w:t xml:space="preserve">. </w:t>
      </w:r>
      <w:r w:rsidR="00170B9D" w:rsidRPr="00E030F1">
        <w:rPr>
          <w:b/>
          <w:color w:val="000000" w:themeColor="text1"/>
        </w:rPr>
        <w:t>a</w:t>
      </w:r>
      <w:r w:rsidR="00EB1B27" w:rsidRPr="00E030F1">
        <w:rPr>
          <w:bCs/>
          <w:color w:val="000000" w:themeColor="text1"/>
        </w:rPr>
        <w:t xml:space="preserve">, Antibody to </w:t>
      </w:r>
      <w:r w:rsidR="00C81A73" w:rsidRPr="00E030F1">
        <w:rPr>
          <w:bCs/>
          <w:i/>
          <w:color w:val="000000" w:themeColor="text1"/>
        </w:rPr>
        <w:t>Drosophila</w:t>
      </w:r>
      <w:r w:rsidR="00EB1B27" w:rsidRPr="00E030F1">
        <w:rPr>
          <w:bCs/>
          <w:color w:val="000000" w:themeColor="text1"/>
        </w:rPr>
        <w:t xml:space="preserve"> </w:t>
      </w:r>
      <w:proofErr w:type="spellStart"/>
      <w:r w:rsidR="00EB1B27" w:rsidRPr="00E030F1">
        <w:rPr>
          <w:bCs/>
          <w:color w:val="000000" w:themeColor="text1"/>
        </w:rPr>
        <w:t>Tmep</w:t>
      </w:r>
      <w:proofErr w:type="spellEnd"/>
      <w:r w:rsidR="00EB1B27" w:rsidRPr="00E030F1">
        <w:rPr>
          <w:bCs/>
          <w:color w:val="000000" w:themeColor="text1"/>
        </w:rPr>
        <w:t xml:space="preserve"> shows neuronal staining in the larval ventral nerve cord. Magenta, </w:t>
      </w:r>
      <w:proofErr w:type="spellStart"/>
      <w:r w:rsidR="00EB1B27" w:rsidRPr="00E030F1">
        <w:rPr>
          <w:bCs/>
          <w:color w:val="000000" w:themeColor="text1"/>
        </w:rPr>
        <w:t>Tmep</w:t>
      </w:r>
      <w:proofErr w:type="spellEnd"/>
      <w:r w:rsidR="00EB1B27" w:rsidRPr="00E030F1">
        <w:rPr>
          <w:bCs/>
          <w:color w:val="000000" w:themeColor="text1"/>
        </w:rPr>
        <w:t xml:space="preserve">; Teal, </w:t>
      </w:r>
      <w:r w:rsidR="006B21D3" w:rsidRPr="00E030F1">
        <w:rPr>
          <w:bCs/>
          <w:color w:val="000000" w:themeColor="text1"/>
        </w:rPr>
        <w:t>HP1</w:t>
      </w:r>
      <w:r w:rsidR="00EB1B27" w:rsidRPr="00E030F1">
        <w:rPr>
          <w:bCs/>
          <w:color w:val="000000" w:themeColor="text1"/>
        </w:rPr>
        <w:t xml:space="preserve"> (</w:t>
      </w:r>
      <w:r w:rsidR="006B21D3" w:rsidRPr="00E030F1">
        <w:rPr>
          <w:bCs/>
          <w:color w:val="000000" w:themeColor="text1"/>
        </w:rPr>
        <w:t>nuclei</w:t>
      </w:r>
      <w:r w:rsidR="00EB1B27" w:rsidRPr="00E030F1">
        <w:rPr>
          <w:bCs/>
          <w:color w:val="000000" w:themeColor="text1"/>
        </w:rPr>
        <w:t>).</w:t>
      </w:r>
      <w:r w:rsidR="006B21D3" w:rsidRPr="00E030F1">
        <w:rPr>
          <w:bCs/>
          <w:color w:val="000000" w:themeColor="text1"/>
        </w:rPr>
        <w:t xml:space="preserve"> Image is from the area where motor neurons reside.</w:t>
      </w:r>
      <w:r w:rsidR="00EB1B27" w:rsidRPr="00E030F1">
        <w:rPr>
          <w:bCs/>
          <w:color w:val="000000" w:themeColor="text1"/>
        </w:rPr>
        <w:t xml:space="preserve"> Limited staining is observed in </w:t>
      </w:r>
      <w:proofErr w:type="spellStart"/>
      <w:r w:rsidR="00EB1B27" w:rsidRPr="00E030F1">
        <w:rPr>
          <w:bCs/>
          <w:color w:val="000000" w:themeColor="text1"/>
        </w:rPr>
        <w:t>Tmep</w:t>
      </w:r>
      <w:proofErr w:type="spellEnd"/>
      <w:r w:rsidR="00EB1B27" w:rsidRPr="00E030F1">
        <w:rPr>
          <w:bCs/>
          <w:color w:val="000000" w:themeColor="text1"/>
        </w:rPr>
        <w:t xml:space="preserve"> mutants (</w:t>
      </w:r>
      <w:proofErr w:type="spellStart"/>
      <w:r w:rsidR="00E91022" w:rsidRPr="00E030F1">
        <w:rPr>
          <w:i/>
          <w:iCs/>
          <w:color w:val="000000" w:themeColor="text1"/>
        </w:rPr>
        <w:t>Tmep</w:t>
      </w:r>
      <w:r w:rsidR="00E91022" w:rsidRPr="00E030F1">
        <w:rPr>
          <w:i/>
          <w:iCs/>
          <w:color w:val="000000" w:themeColor="text1"/>
          <w:vertAlign w:val="superscript"/>
        </w:rPr>
        <w:t>Ex</w:t>
      </w:r>
      <w:proofErr w:type="spellEnd"/>
      <w:r w:rsidR="00EB1B27" w:rsidRPr="00E030F1">
        <w:rPr>
          <w:bCs/>
          <w:i/>
          <w:iCs/>
          <w:color w:val="000000" w:themeColor="text1"/>
        </w:rPr>
        <w:t>/Df</w:t>
      </w:r>
      <w:r w:rsidR="00EB1B27" w:rsidRPr="00E030F1">
        <w:rPr>
          <w:bCs/>
          <w:color w:val="000000" w:themeColor="text1"/>
        </w:rPr>
        <w:t xml:space="preserve">). </w:t>
      </w:r>
      <w:r w:rsidR="00905A9D" w:rsidRPr="00E030F1">
        <w:rPr>
          <w:bCs/>
          <w:color w:val="000000" w:themeColor="text1"/>
        </w:rPr>
        <w:t>Scale</w:t>
      </w:r>
      <w:r w:rsidR="00EB1B27" w:rsidRPr="00E030F1">
        <w:rPr>
          <w:bCs/>
          <w:color w:val="000000" w:themeColor="text1"/>
        </w:rPr>
        <w:t xml:space="preserve"> bar =</w:t>
      </w:r>
      <w:r w:rsidR="003F2924" w:rsidRPr="00E030F1">
        <w:rPr>
          <w:bCs/>
          <w:color w:val="000000" w:themeColor="text1"/>
        </w:rPr>
        <w:t xml:space="preserve"> </w:t>
      </w:r>
      <w:r w:rsidR="003F2924" w:rsidRPr="00E030F1">
        <w:rPr>
          <w:color w:val="000000" w:themeColor="text1"/>
        </w:rPr>
        <w:t>5 µm</w:t>
      </w:r>
      <w:r w:rsidR="00EB1B27" w:rsidRPr="00E030F1">
        <w:rPr>
          <w:bCs/>
          <w:color w:val="000000" w:themeColor="text1"/>
        </w:rPr>
        <w:t xml:space="preserve">. </w:t>
      </w:r>
      <w:r w:rsidR="00905A9D" w:rsidRPr="00E030F1">
        <w:rPr>
          <w:b/>
          <w:color w:val="000000" w:themeColor="text1"/>
        </w:rPr>
        <w:t>b</w:t>
      </w:r>
      <w:r w:rsidR="00EB1B27" w:rsidRPr="00E030F1">
        <w:rPr>
          <w:bCs/>
          <w:color w:val="000000" w:themeColor="text1"/>
        </w:rPr>
        <w:t xml:space="preserve">, </w:t>
      </w:r>
      <w:proofErr w:type="spellStart"/>
      <w:r w:rsidR="00EB1B27" w:rsidRPr="00E030F1">
        <w:rPr>
          <w:bCs/>
          <w:color w:val="000000" w:themeColor="text1"/>
        </w:rPr>
        <w:t>Tmep</w:t>
      </w:r>
      <w:proofErr w:type="spellEnd"/>
      <w:r w:rsidR="00EB1B27" w:rsidRPr="00E030F1">
        <w:rPr>
          <w:bCs/>
          <w:color w:val="000000" w:themeColor="text1"/>
        </w:rPr>
        <w:t xml:space="preserve"> protein levels at the neuromuscular junction. </w:t>
      </w:r>
      <w:r w:rsidR="007E68C7" w:rsidRPr="00E030F1">
        <w:rPr>
          <w:bCs/>
          <w:color w:val="000000" w:themeColor="text1"/>
        </w:rPr>
        <w:t xml:space="preserve">Magenta, </w:t>
      </w:r>
      <w:proofErr w:type="spellStart"/>
      <w:r w:rsidR="007E68C7" w:rsidRPr="00E030F1">
        <w:rPr>
          <w:bCs/>
          <w:color w:val="000000" w:themeColor="text1"/>
        </w:rPr>
        <w:t>Tmep</w:t>
      </w:r>
      <w:proofErr w:type="spellEnd"/>
      <w:r w:rsidR="007E68C7" w:rsidRPr="00E030F1">
        <w:rPr>
          <w:bCs/>
          <w:color w:val="000000" w:themeColor="text1"/>
        </w:rPr>
        <w:t xml:space="preserve">; Blue, DAPI; Teal, </w:t>
      </w:r>
      <w:r w:rsidR="00EB1B27" w:rsidRPr="00E030F1">
        <w:rPr>
          <w:bCs/>
          <w:i/>
          <w:iCs/>
          <w:color w:val="000000" w:themeColor="text1"/>
        </w:rPr>
        <w:t>discs large</w:t>
      </w:r>
      <w:r w:rsidR="00EB1B27" w:rsidRPr="00E030F1">
        <w:rPr>
          <w:bCs/>
          <w:color w:val="000000" w:themeColor="text1"/>
        </w:rPr>
        <w:t xml:space="preserve"> </w:t>
      </w:r>
      <w:r w:rsidR="007E68C7" w:rsidRPr="00E030F1">
        <w:rPr>
          <w:bCs/>
          <w:color w:val="000000" w:themeColor="text1"/>
        </w:rPr>
        <w:t xml:space="preserve">(DLG) </w:t>
      </w:r>
      <w:r w:rsidR="00DE64F2" w:rsidRPr="00E030F1">
        <w:rPr>
          <w:bCs/>
          <w:color w:val="000000" w:themeColor="text1"/>
        </w:rPr>
        <w:t>showing the postsynaptic area</w:t>
      </w:r>
      <w:r w:rsidR="00EB1B27" w:rsidRPr="00E030F1">
        <w:rPr>
          <w:bCs/>
          <w:color w:val="000000" w:themeColor="text1"/>
        </w:rPr>
        <w:t>. Scale bar =</w:t>
      </w:r>
      <w:r w:rsidR="003F2924" w:rsidRPr="00E030F1">
        <w:rPr>
          <w:bCs/>
          <w:color w:val="000000" w:themeColor="text1"/>
        </w:rPr>
        <w:t xml:space="preserve"> </w:t>
      </w:r>
      <w:r w:rsidR="008D5EDD" w:rsidRPr="00E030F1">
        <w:rPr>
          <w:color w:val="000000" w:themeColor="text1"/>
        </w:rPr>
        <w:t>2</w:t>
      </w:r>
      <w:r w:rsidR="003F2924" w:rsidRPr="00E030F1">
        <w:rPr>
          <w:color w:val="000000" w:themeColor="text1"/>
        </w:rPr>
        <w:t xml:space="preserve">0 µm. </w:t>
      </w:r>
      <w:r w:rsidR="00636790" w:rsidRPr="00E030F1">
        <w:rPr>
          <w:b/>
          <w:color w:val="000000" w:themeColor="text1"/>
        </w:rPr>
        <w:t xml:space="preserve">c, </w:t>
      </w:r>
      <w:proofErr w:type="spellStart"/>
      <w:r w:rsidR="00636790" w:rsidRPr="00E030F1">
        <w:rPr>
          <w:bCs/>
          <w:color w:val="000000" w:themeColor="text1"/>
        </w:rPr>
        <w:t>Tmep</w:t>
      </w:r>
      <w:proofErr w:type="spellEnd"/>
      <w:r w:rsidR="00636790" w:rsidRPr="00E030F1">
        <w:rPr>
          <w:bCs/>
          <w:color w:val="000000" w:themeColor="text1"/>
        </w:rPr>
        <w:t xml:space="preserve"> shows partial colocalization with Rab11-positive endosomes. Motor neuron expression of </w:t>
      </w:r>
      <w:proofErr w:type="spellStart"/>
      <w:r w:rsidR="00636790" w:rsidRPr="00E030F1">
        <w:rPr>
          <w:bCs/>
          <w:color w:val="000000" w:themeColor="text1"/>
        </w:rPr>
        <w:t>mKate-Tmep</w:t>
      </w:r>
      <w:proofErr w:type="spellEnd"/>
      <w:r w:rsidR="00636790" w:rsidRPr="00E030F1">
        <w:rPr>
          <w:bCs/>
          <w:color w:val="000000" w:themeColor="text1"/>
        </w:rPr>
        <w:t xml:space="preserve"> (magenta) and Rab11-GFP (green) is driven by </w:t>
      </w:r>
      <w:r w:rsidR="00636790" w:rsidRPr="00E030F1">
        <w:rPr>
          <w:bCs/>
          <w:i/>
          <w:iCs/>
          <w:color w:val="000000" w:themeColor="text1"/>
        </w:rPr>
        <w:t>BG380-GAL4</w:t>
      </w:r>
      <w:r w:rsidR="00636790" w:rsidRPr="00E030F1">
        <w:rPr>
          <w:bCs/>
          <w:color w:val="000000" w:themeColor="text1"/>
        </w:rPr>
        <w:t xml:space="preserve">. Image is </w:t>
      </w:r>
      <w:r w:rsidR="005D7C1F" w:rsidRPr="00E030F1">
        <w:rPr>
          <w:bCs/>
          <w:color w:val="000000" w:themeColor="text1"/>
        </w:rPr>
        <w:t xml:space="preserve">a single confocal slice </w:t>
      </w:r>
      <w:r w:rsidR="00636790" w:rsidRPr="00E030F1">
        <w:rPr>
          <w:bCs/>
          <w:color w:val="000000" w:themeColor="text1"/>
        </w:rPr>
        <w:t>of cell bodies in the ventral neve cord; arrows in the merged image show areas of partial colocalization.</w:t>
      </w:r>
      <w:r w:rsidR="00C75FC1" w:rsidRPr="00E030F1">
        <w:rPr>
          <w:bCs/>
          <w:color w:val="000000" w:themeColor="text1"/>
        </w:rPr>
        <w:t xml:space="preserve"> Scale bar = 5 </w:t>
      </w:r>
      <w:r w:rsidR="00C75FC1" w:rsidRPr="00E030F1">
        <w:rPr>
          <w:rFonts w:ascii="Symbol" w:hAnsi="Symbol"/>
          <w:bCs/>
          <w:color w:val="000000" w:themeColor="text1"/>
        </w:rPr>
        <w:t>m</w:t>
      </w:r>
      <w:r w:rsidR="00C75FC1" w:rsidRPr="00E030F1">
        <w:rPr>
          <w:bCs/>
          <w:color w:val="000000" w:themeColor="text1"/>
        </w:rPr>
        <w:t>m</w:t>
      </w:r>
      <w:r w:rsidR="009273DB" w:rsidRPr="00E030F1">
        <w:rPr>
          <w:bCs/>
          <w:color w:val="000000" w:themeColor="text1"/>
        </w:rPr>
        <w:t>.</w:t>
      </w:r>
      <w:r w:rsidR="00636790" w:rsidRPr="00E030F1">
        <w:rPr>
          <w:b/>
          <w:color w:val="000000" w:themeColor="text1"/>
        </w:rPr>
        <w:t xml:space="preserve"> </w:t>
      </w:r>
      <w:r w:rsidR="00600DB3" w:rsidRPr="00E030F1">
        <w:rPr>
          <w:b/>
          <w:color w:val="000000" w:themeColor="text1"/>
        </w:rPr>
        <w:t xml:space="preserve">c’, </w:t>
      </w:r>
      <w:r w:rsidR="00600DB3" w:rsidRPr="00E030F1">
        <w:rPr>
          <w:bCs/>
          <w:color w:val="000000" w:themeColor="text1"/>
        </w:rPr>
        <w:t>expanded view of the boxed region in c.</w:t>
      </w:r>
      <w:r w:rsidR="00600DB3" w:rsidRPr="00E030F1">
        <w:rPr>
          <w:b/>
          <w:color w:val="000000" w:themeColor="text1"/>
        </w:rPr>
        <w:t xml:space="preserve"> </w:t>
      </w:r>
      <w:r w:rsidR="00905A9D" w:rsidRPr="00E030F1">
        <w:rPr>
          <w:b/>
          <w:color w:val="000000" w:themeColor="text1"/>
        </w:rPr>
        <w:t>d</w:t>
      </w:r>
      <w:r w:rsidR="00905A9D" w:rsidRPr="00E030F1">
        <w:rPr>
          <w:bCs/>
          <w:color w:val="000000" w:themeColor="text1"/>
        </w:rPr>
        <w:t xml:space="preserve">, </w:t>
      </w:r>
      <w:proofErr w:type="spellStart"/>
      <w:r w:rsidR="00733C32" w:rsidRPr="00E030F1">
        <w:rPr>
          <w:bCs/>
          <w:color w:val="000000" w:themeColor="text1"/>
        </w:rPr>
        <w:t>Tmep</w:t>
      </w:r>
      <w:proofErr w:type="spellEnd"/>
      <w:r w:rsidR="00733C32" w:rsidRPr="00E030F1">
        <w:rPr>
          <w:bCs/>
          <w:color w:val="000000" w:themeColor="text1"/>
        </w:rPr>
        <w:t xml:space="preserve"> shows partial colocalization with synaptic vesicles at the larval NMJ.</w:t>
      </w:r>
      <w:r w:rsidR="005D7C1F" w:rsidRPr="00E030F1">
        <w:rPr>
          <w:bCs/>
          <w:color w:val="000000" w:themeColor="text1"/>
        </w:rPr>
        <w:t xml:space="preserve"> Image is a single confocal slice.</w:t>
      </w:r>
      <w:r w:rsidR="00733C32" w:rsidRPr="00E030F1">
        <w:rPr>
          <w:bCs/>
          <w:color w:val="000000" w:themeColor="text1"/>
        </w:rPr>
        <w:t xml:space="preserve"> </w:t>
      </w:r>
      <w:proofErr w:type="spellStart"/>
      <w:r w:rsidR="00733C32" w:rsidRPr="00E030F1">
        <w:rPr>
          <w:bCs/>
          <w:color w:val="000000" w:themeColor="text1"/>
        </w:rPr>
        <w:t>Nsyb</w:t>
      </w:r>
      <w:proofErr w:type="spellEnd"/>
      <w:r w:rsidR="00733C32" w:rsidRPr="00E030F1">
        <w:rPr>
          <w:bCs/>
          <w:color w:val="000000" w:themeColor="text1"/>
        </w:rPr>
        <w:t xml:space="preserve">-GFP and </w:t>
      </w:r>
      <w:proofErr w:type="spellStart"/>
      <w:r w:rsidR="00733C32" w:rsidRPr="00E030F1">
        <w:rPr>
          <w:bCs/>
          <w:color w:val="000000" w:themeColor="text1"/>
        </w:rPr>
        <w:t>mKate</w:t>
      </w:r>
      <w:proofErr w:type="spellEnd"/>
      <w:r w:rsidR="00733C32" w:rsidRPr="00E030F1">
        <w:rPr>
          <w:bCs/>
          <w:color w:val="000000" w:themeColor="text1"/>
        </w:rPr>
        <w:t xml:space="preserve"> were expressed as in c. Scale bar = 5 </w:t>
      </w:r>
      <w:r w:rsidR="00733C32" w:rsidRPr="00E030F1">
        <w:rPr>
          <w:rFonts w:ascii="Symbol" w:hAnsi="Symbol"/>
          <w:bCs/>
          <w:color w:val="000000" w:themeColor="text1"/>
        </w:rPr>
        <w:t>m</w:t>
      </w:r>
      <w:r w:rsidR="00733C32" w:rsidRPr="00E030F1">
        <w:rPr>
          <w:bCs/>
          <w:color w:val="000000" w:themeColor="text1"/>
        </w:rPr>
        <w:t>m.</w:t>
      </w:r>
      <w:r w:rsidR="00600DB3" w:rsidRPr="00E030F1">
        <w:rPr>
          <w:bCs/>
          <w:color w:val="000000" w:themeColor="text1"/>
        </w:rPr>
        <w:t xml:space="preserve"> </w:t>
      </w:r>
      <w:r w:rsidR="00600DB3" w:rsidRPr="00E030F1">
        <w:rPr>
          <w:b/>
          <w:color w:val="000000" w:themeColor="text1"/>
        </w:rPr>
        <w:t xml:space="preserve">d’, </w:t>
      </w:r>
      <w:r w:rsidR="00600DB3" w:rsidRPr="00E030F1">
        <w:rPr>
          <w:bCs/>
          <w:color w:val="000000" w:themeColor="text1"/>
        </w:rPr>
        <w:t>expanded view of the boxed region in d.</w:t>
      </w:r>
      <w:r w:rsidR="00600DB3" w:rsidRPr="00E030F1">
        <w:rPr>
          <w:b/>
          <w:color w:val="000000" w:themeColor="text1"/>
        </w:rPr>
        <w:t xml:space="preserve"> </w:t>
      </w:r>
      <w:r w:rsidR="00733C32" w:rsidRPr="00E030F1">
        <w:rPr>
          <w:bCs/>
          <w:color w:val="000000" w:themeColor="text1"/>
        </w:rPr>
        <w:t xml:space="preserve"> </w:t>
      </w:r>
    </w:p>
    <w:p w14:paraId="31DBD15C" w14:textId="77777777" w:rsidR="00905A9D" w:rsidRPr="00E030F1" w:rsidRDefault="00905A9D" w:rsidP="00D9450F">
      <w:pPr>
        <w:spacing w:line="480" w:lineRule="auto"/>
        <w:rPr>
          <w:bCs/>
          <w:color w:val="000000" w:themeColor="text1"/>
        </w:rPr>
      </w:pPr>
    </w:p>
    <w:p w14:paraId="751C2C0D" w14:textId="77777777" w:rsidR="00F9670F" w:rsidRPr="00E030F1" w:rsidRDefault="00F9670F">
      <w:pPr>
        <w:rPr>
          <w:b/>
          <w:color w:val="000000" w:themeColor="text1"/>
        </w:rPr>
      </w:pPr>
      <w:r w:rsidRPr="00E030F1">
        <w:rPr>
          <w:b/>
          <w:color w:val="000000" w:themeColor="text1"/>
        </w:rPr>
        <w:br w:type="page"/>
      </w:r>
    </w:p>
    <w:p w14:paraId="4940FE9A" w14:textId="77777777" w:rsidR="00906ACB" w:rsidRPr="00E030F1" w:rsidRDefault="009254C2" w:rsidP="00D9450F">
      <w:pPr>
        <w:spacing w:line="480" w:lineRule="auto"/>
        <w:rPr>
          <w:b/>
          <w:color w:val="000000" w:themeColor="text1"/>
        </w:rPr>
      </w:pPr>
      <w:bookmarkStart w:id="3" w:name="_Hlk82203059"/>
      <w:r w:rsidRPr="00E030F1">
        <w:rPr>
          <w:b/>
          <w:noProof/>
          <w:color w:val="000000" w:themeColor="text1"/>
        </w:rPr>
        <w:lastRenderedPageBreak/>
        <w:drawing>
          <wp:inline distT="0" distB="0" distL="0" distR="0" wp14:anchorId="16395AB0" wp14:editId="0EB4EA0C">
            <wp:extent cx="5943600" cy="1231900"/>
            <wp:effectExtent l="0" t="0" r="0" b="635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rotWithShape="1">
                    <a:blip r:embed="rId13" cstate="print">
                      <a:extLst>
                        <a:ext uri="{28A0092B-C50C-407E-A947-70E740481C1C}">
                          <a14:useLocalDpi xmlns:a14="http://schemas.microsoft.com/office/drawing/2010/main" val="0"/>
                        </a:ext>
                      </a:extLst>
                    </a:blip>
                    <a:srcRect b="55939"/>
                    <a:stretch/>
                  </pic:blipFill>
                  <pic:spPr bwMode="auto">
                    <a:xfrm>
                      <a:off x="0" y="0"/>
                      <a:ext cx="5943600" cy="1231900"/>
                    </a:xfrm>
                    <a:prstGeom prst="rect">
                      <a:avLst/>
                    </a:prstGeom>
                    <a:ln>
                      <a:noFill/>
                    </a:ln>
                    <a:extLst>
                      <a:ext uri="{53640926-AAD7-44D8-BBD7-CCE9431645EC}">
                        <a14:shadowObscured xmlns:a14="http://schemas.microsoft.com/office/drawing/2010/main"/>
                      </a:ext>
                    </a:extLst>
                  </pic:spPr>
                </pic:pic>
              </a:graphicData>
            </a:graphic>
          </wp:inline>
        </w:drawing>
      </w:r>
    </w:p>
    <w:p w14:paraId="50BC579E" w14:textId="77777777" w:rsidR="00906ACB" w:rsidRPr="00E030F1" w:rsidRDefault="00906ACB" w:rsidP="00D9450F">
      <w:pPr>
        <w:spacing w:line="480" w:lineRule="auto"/>
        <w:rPr>
          <w:b/>
          <w:color w:val="000000" w:themeColor="text1"/>
        </w:rPr>
      </w:pPr>
    </w:p>
    <w:p w14:paraId="2007D11B" w14:textId="5D74465D" w:rsidR="00F734D8" w:rsidRPr="00E030F1" w:rsidRDefault="003F2924" w:rsidP="00D9450F">
      <w:pPr>
        <w:spacing w:line="480" w:lineRule="auto"/>
        <w:rPr>
          <w:bCs/>
          <w:color w:val="000000" w:themeColor="text1"/>
        </w:rPr>
      </w:pPr>
      <w:r w:rsidRPr="00E030F1">
        <w:rPr>
          <w:b/>
          <w:color w:val="000000" w:themeColor="text1"/>
        </w:rPr>
        <w:t>Online Resource</w:t>
      </w:r>
      <w:r w:rsidR="00905A9D" w:rsidRPr="00E030F1">
        <w:rPr>
          <w:b/>
          <w:color w:val="000000" w:themeColor="text1"/>
        </w:rPr>
        <w:t xml:space="preserve"> 1. </w:t>
      </w:r>
      <w:proofErr w:type="spellStart"/>
      <w:r w:rsidR="00905A9D" w:rsidRPr="00E030F1">
        <w:rPr>
          <w:b/>
          <w:color w:val="000000" w:themeColor="text1"/>
        </w:rPr>
        <w:t>Tmep</w:t>
      </w:r>
      <w:proofErr w:type="spellEnd"/>
      <w:r w:rsidR="00905A9D" w:rsidRPr="00E030F1">
        <w:rPr>
          <w:b/>
          <w:color w:val="000000" w:themeColor="text1"/>
        </w:rPr>
        <w:t xml:space="preserve"> is expressed broadly throughout the larvae.</w:t>
      </w:r>
      <w:r w:rsidR="00905A9D" w:rsidRPr="00E030F1">
        <w:rPr>
          <w:bCs/>
          <w:color w:val="000000" w:themeColor="text1"/>
        </w:rPr>
        <w:t xml:space="preserve"> </w:t>
      </w:r>
      <w:proofErr w:type="spellStart"/>
      <w:r w:rsidR="00DE64F2" w:rsidRPr="00E030F1">
        <w:rPr>
          <w:bCs/>
          <w:color w:val="000000" w:themeColor="text1"/>
        </w:rPr>
        <w:t>RedStinger:NLS</w:t>
      </w:r>
      <w:proofErr w:type="spellEnd"/>
      <w:r w:rsidR="00DE64F2" w:rsidRPr="00E030F1">
        <w:rPr>
          <w:bCs/>
          <w:color w:val="000000" w:themeColor="text1"/>
        </w:rPr>
        <w:t xml:space="preserve"> (red and orange) shows nuclei of cells in which endogenous </w:t>
      </w:r>
      <w:proofErr w:type="spellStart"/>
      <w:r w:rsidR="00DE64F2" w:rsidRPr="00E030F1">
        <w:rPr>
          <w:bCs/>
          <w:color w:val="000000" w:themeColor="text1"/>
        </w:rPr>
        <w:t>Tmep</w:t>
      </w:r>
      <w:proofErr w:type="spellEnd"/>
      <w:r w:rsidR="00DE64F2" w:rsidRPr="00E030F1">
        <w:rPr>
          <w:bCs/>
          <w:color w:val="000000" w:themeColor="text1"/>
        </w:rPr>
        <w:t xml:space="preserve"> is expressed. </w:t>
      </w:r>
      <w:r w:rsidR="00905A9D" w:rsidRPr="00E030F1">
        <w:rPr>
          <w:b/>
          <w:color w:val="000000" w:themeColor="text1"/>
        </w:rPr>
        <w:t>a</w:t>
      </w:r>
      <w:r w:rsidR="00905A9D" w:rsidRPr="00E030F1">
        <w:rPr>
          <w:bCs/>
          <w:color w:val="000000" w:themeColor="text1"/>
        </w:rPr>
        <w:t xml:space="preserve">, Ventral nerve cord. Green is Repo (glial nuclei). </w:t>
      </w:r>
      <w:r w:rsidR="00905A9D" w:rsidRPr="00E030F1">
        <w:rPr>
          <w:b/>
          <w:color w:val="000000" w:themeColor="text1"/>
        </w:rPr>
        <w:t>b</w:t>
      </w:r>
      <w:r w:rsidR="00DE64F2" w:rsidRPr="00E030F1">
        <w:rPr>
          <w:bCs/>
          <w:color w:val="000000" w:themeColor="text1"/>
        </w:rPr>
        <w:t xml:space="preserve">, </w:t>
      </w:r>
      <w:r w:rsidR="00905A9D" w:rsidRPr="00E030F1">
        <w:rPr>
          <w:bCs/>
          <w:color w:val="000000" w:themeColor="text1"/>
        </w:rPr>
        <w:t>Neuromuscular junction. G</w:t>
      </w:r>
      <w:r w:rsidR="00DE64F2" w:rsidRPr="00E030F1">
        <w:rPr>
          <w:bCs/>
          <w:color w:val="000000" w:themeColor="text1"/>
        </w:rPr>
        <w:t xml:space="preserve">reen is </w:t>
      </w:r>
      <w:r w:rsidR="00905A9D" w:rsidRPr="00E030F1">
        <w:rPr>
          <w:bCs/>
          <w:i/>
          <w:iCs/>
          <w:color w:val="000000" w:themeColor="text1"/>
        </w:rPr>
        <w:t>discs large</w:t>
      </w:r>
      <w:r w:rsidR="00905A9D" w:rsidRPr="00E030F1">
        <w:rPr>
          <w:bCs/>
          <w:color w:val="000000" w:themeColor="text1"/>
        </w:rPr>
        <w:t xml:space="preserve"> (</w:t>
      </w:r>
      <w:r w:rsidR="00DE64F2" w:rsidRPr="00E030F1">
        <w:rPr>
          <w:bCs/>
          <w:color w:val="000000" w:themeColor="text1"/>
        </w:rPr>
        <w:t>DLG</w:t>
      </w:r>
      <w:r w:rsidR="00905A9D" w:rsidRPr="00E030F1">
        <w:rPr>
          <w:bCs/>
          <w:color w:val="000000" w:themeColor="text1"/>
        </w:rPr>
        <w:t>)</w:t>
      </w:r>
      <w:r w:rsidR="00DE64F2" w:rsidRPr="00E030F1">
        <w:rPr>
          <w:bCs/>
          <w:color w:val="000000" w:themeColor="text1"/>
        </w:rPr>
        <w:t xml:space="preserve">. </w:t>
      </w:r>
      <w:r w:rsidR="00905A9D" w:rsidRPr="00E030F1">
        <w:rPr>
          <w:b/>
          <w:color w:val="000000" w:themeColor="text1"/>
        </w:rPr>
        <w:t>c</w:t>
      </w:r>
      <w:r w:rsidR="00905A9D" w:rsidRPr="00E030F1">
        <w:rPr>
          <w:bCs/>
          <w:color w:val="000000" w:themeColor="text1"/>
        </w:rPr>
        <w:t xml:space="preserve">, Gut expression. </w:t>
      </w:r>
      <w:r w:rsidR="00905A9D" w:rsidRPr="00E030F1">
        <w:rPr>
          <w:b/>
          <w:color w:val="000000" w:themeColor="text1"/>
        </w:rPr>
        <w:t>d</w:t>
      </w:r>
      <w:r w:rsidR="00905A9D" w:rsidRPr="00E030F1">
        <w:rPr>
          <w:bCs/>
          <w:color w:val="000000" w:themeColor="text1"/>
        </w:rPr>
        <w:t>, Fat body expression.</w:t>
      </w:r>
      <w:r w:rsidR="00A71151" w:rsidRPr="00E030F1">
        <w:rPr>
          <w:bCs/>
          <w:color w:val="000000" w:themeColor="text1"/>
        </w:rPr>
        <w:t xml:space="preserve"> For all figures, scale bars = 20 </w:t>
      </w:r>
      <w:r w:rsidR="00A71151" w:rsidRPr="00E030F1">
        <w:rPr>
          <w:rFonts w:ascii="Symbol" w:hAnsi="Symbol"/>
          <w:bCs/>
          <w:color w:val="000000" w:themeColor="text1"/>
        </w:rPr>
        <w:t>m</w:t>
      </w:r>
      <w:r w:rsidR="00A71151" w:rsidRPr="00E030F1">
        <w:rPr>
          <w:bCs/>
          <w:color w:val="000000" w:themeColor="text1"/>
        </w:rPr>
        <w:t>m.</w:t>
      </w:r>
    </w:p>
    <w:bookmarkEnd w:id="3"/>
    <w:p w14:paraId="3292A6F0" w14:textId="3F1B22B3" w:rsidR="004B77AA" w:rsidRPr="00E030F1" w:rsidRDefault="004B77AA" w:rsidP="00D9450F">
      <w:pPr>
        <w:spacing w:line="480" w:lineRule="auto"/>
        <w:rPr>
          <w:bCs/>
          <w:color w:val="000000" w:themeColor="text1"/>
        </w:rPr>
      </w:pPr>
    </w:p>
    <w:p w14:paraId="3AE2AEBF" w14:textId="77777777" w:rsidR="00F9670F" w:rsidRPr="00E030F1" w:rsidRDefault="00F9670F">
      <w:pPr>
        <w:rPr>
          <w:b/>
          <w:color w:val="000000" w:themeColor="text1"/>
        </w:rPr>
      </w:pPr>
      <w:r w:rsidRPr="00E030F1">
        <w:rPr>
          <w:b/>
          <w:color w:val="000000" w:themeColor="text1"/>
        </w:rPr>
        <w:br w:type="page"/>
      </w:r>
    </w:p>
    <w:p w14:paraId="43FBFB42" w14:textId="4155E41E" w:rsidR="009254C2" w:rsidRPr="00E030F1" w:rsidRDefault="006C7CD4" w:rsidP="00D9450F">
      <w:pPr>
        <w:spacing w:line="480" w:lineRule="auto"/>
        <w:rPr>
          <w:b/>
          <w:color w:val="000000" w:themeColor="text1"/>
        </w:rPr>
      </w:pPr>
      <w:r w:rsidRPr="00E030F1">
        <w:rPr>
          <w:b/>
          <w:noProof/>
          <w:color w:val="000000" w:themeColor="text1"/>
        </w:rPr>
        <w:lastRenderedPageBreak/>
        <w:drawing>
          <wp:inline distT="0" distB="0" distL="0" distR="0" wp14:anchorId="171D3129" wp14:editId="5D71B81C">
            <wp:extent cx="5943600" cy="6437630"/>
            <wp:effectExtent l="0" t="0" r="0"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437630"/>
                    </a:xfrm>
                    <a:prstGeom prst="rect">
                      <a:avLst/>
                    </a:prstGeom>
                  </pic:spPr>
                </pic:pic>
              </a:graphicData>
            </a:graphic>
          </wp:inline>
        </w:drawing>
      </w:r>
    </w:p>
    <w:p w14:paraId="01F1509A" w14:textId="2E4C1AEF" w:rsidR="009254C2" w:rsidRPr="00E030F1" w:rsidRDefault="009254C2">
      <w:pPr>
        <w:rPr>
          <w:b/>
          <w:color w:val="000000" w:themeColor="text1"/>
        </w:rPr>
      </w:pPr>
    </w:p>
    <w:p w14:paraId="21537657" w14:textId="77777777" w:rsidR="009254C2" w:rsidRPr="00E030F1" w:rsidRDefault="009254C2">
      <w:pPr>
        <w:rPr>
          <w:b/>
          <w:color w:val="000000" w:themeColor="text1"/>
        </w:rPr>
      </w:pPr>
      <w:r w:rsidRPr="00E030F1">
        <w:rPr>
          <w:b/>
          <w:color w:val="000000" w:themeColor="text1"/>
        </w:rPr>
        <w:br w:type="page"/>
      </w:r>
    </w:p>
    <w:p w14:paraId="0F0EFAE2" w14:textId="7AA12C92" w:rsidR="004B77AA" w:rsidRPr="00E030F1" w:rsidRDefault="004B77AA" w:rsidP="00D9450F">
      <w:pPr>
        <w:spacing w:line="480" w:lineRule="auto"/>
        <w:rPr>
          <w:iCs/>
          <w:color w:val="000000" w:themeColor="text1"/>
        </w:rPr>
      </w:pPr>
      <w:r w:rsidRPr="00E030F1">
        <w:rPr>
          <w:b/>
          <w:color w:val="000000" w:themeColor="text1"/>
        </w:rPr>
        <w:lastRenderedPageBreak/>
        <w:t xml:space="preserve">Figure </w:t>
      </w:r>
      <w:r w:rsidR="00BB55BB" w:rsidRPr="00E030F1">
        <w:rPr>
          <w:b/>
          <w:color w:val="000000" w:themeColor="text1"/>
        </w:rPr>
        <w:t>3.</w:t>
      </w:r>
      <w:r w:rsidRPr="00E030F1">
        <w:rPr>
          <w:bCs/>
          <w:color w:val="000000" w:themeColor="text1"/>
        </w:rPr>
        <w:t xml:space="preserve"> </w:t>
      </w:r>
      <w:proofErr w:type="spellStart"/>
      <w:r w:rsidR="008F2D59" w:rsidRPr="00E030F1">
        <w:rPr>
          <w:b/>
          <w:bCs/>
          <w:iCs/>
          <w:color w:val="000000" w:themeColor="text1"/>
        </w:rPr>
        <w:t>Tmep</w:t>
      </w:r>
      <w:proofErr w:type="spellEnd"/>
      <w:r w:rsidR="008F2D59" w:rsidRPr="00E030F1">
        <w:rPr>
          <w:b/>
          <w:bCs/>
          <w:iCs/>
          <w:color w:val="000000" w:themeColor="text1"/>
        </w:rPr>
        <w:t xml:space="preserve"> mutant larvae show </w:t>
      </w:r>
      <w:r w:rsidR="00C75FC1" w:rsidRPr="00E030F1">
        <w:rPr>
          <w:b/>
          <w:bCs/>
          <w:iCs/>
          <w:color w:val="000000" w:themeColor="text1"/>
        </w:rPr>
        <w:t>extra branches</w:t>
      </w:r>
      <w:r w:rsidR="00721B68" w:rsidRPr="00E030F1">
        <w:rPr>
          <w:b/>
          <w:bCs/>
          <w:iCs/>
          <w:color w:val="000000" w:themeColor="text1"/>
        </w:rPr>
        <w:t xml:space="preserve">, </w:t>
      </w:r>
      <w:r w:rsidR="00C75FC1" w:rsidRPr="00E030F1">
        <w:rPr>
          <w:b/>
          <w:bCs/>
          <w:iCs/>
          <w:color w:val="000000" w:themeColor="text1"/>
        </w:rPr>
        <w:t>boutons</w:t>
      </w:r>
      <w:r w:rsidR="00721B68" w:rsidRPr="00E030F1">
        <w:rPr>
          <w:b/>
          <w:bCs/>
          <w:iCs/>
          <w:color w:val="000000" w:themeColor="text1"/>
        </w:rPr>
        <w:t>, and active zones</w:t>
      </w:r>
      <w:r w:rsidR="00C75FC1" w:rsidRPr="00E030F1">
        <w:rPr>
          <w:b/>
          <w:bCs/>
          <w:iCs/>
          <w:color w:val="000000" w:themeColor="text1"/>
        </w:rPr>
        <w:t xml:space="preserve"> at the neuromuscular junction</w:t>
      </w:r>
      <w:r w:rsidR="008F2D59" w:rsidRPr="00E030F1">
        <w:rPr>
          <w:b/>
          <w:bCs/>
          <w:iCs/>
          <w:color w:val="000000" w:themeColor="text1"/>
        </w:rPr>
        <w:t xml:space="preserve">. </w:t>
      </w:r>
      <w:r w:rsidR="008F2D59" w:rsidRPr="00E030F1">
        <w:rPr>
          <w:iCs/>
          <w:color w:val="000000" w:themeColor="text1"/>
        </w:rPr>
        <w:t>All images show wandering</w:t>
      </w:r>
      <w:r w:rsidR="00C75FC1" w:rsidRPr="00E030F1">
        <w:rPr>
          <w:iCs/>
          <w:color w:val="000000" w:themeColor="text1"/>
        </w:rPr>
        <w:t xml:space="preserve"> female</w:t>
      </w:r>
      <w:r w:rsidR="008F2D59" w:rsidRPr="00E030F1">
        <w:rPr>
          <w:iCs/>
          <w:color w:val="000000" w:themeColor="text1"/>
        </w:rPr>
        <w:t xml:space="preserve"> third instar larvae. </w:t>
      </w:r>
      <w:r w:rsidR="00850451" w:rsidRPr="00E030F1">
        <w:rPr>
          <w:b/>
          <w:bCs/>
          <w:iCs/>
          <w:color w:val="000000" w:themeColor="text1"/>
        </w:rPr>
        <w:t>a</w:t>
      </w:r>
      <w:r w:rsidR="00850451" w:rsidRPr="00E030F1">
        <w:rPr>
          <w:iCs/>
          <w:color w:val="000000" w:themeColor="text1"/>
        </w:rPr>
        <w:t xml:space="preserve">, </w:t>
      </w:r>
      <w:r w:rsidR="008076DA" w:rsidRPr="00E030F1">
        <w:rPr>
          <w:iCs/>
          <w:color w:val="000000" w:themeColor="text1"/>
        </w:rPr>
        <w:t>R</w:t>
      </w:r>
      <w:r w:rsidR="00850451" w:rsidRPr="00E030F1">
        <w:rPr>
          <w:iCs/>
          <w:color w:val="000000" w:themeColor="text1"/>
        </w:rPr>
        <w:t xml:space="preserve">epresentative images of muscle 6/7 </w:t>
      </w:r>
      <w:r w:rsidR="00133086" w:rsidRPr="00E030F1">
        <w:rPr>
          <w:iCs/>
          <w:color w:val="000000" w:themeColor="text1"/>
        </w:rPr>
        <w:t>NMJs</w:t>
      </w:r>
      <w:r w:rsidR="00850451" w:rsidRPr="00E030F1">
        <w:rPr>
          <w:iCs/>
          <w:color w:val="000000" w:themeColor="text1"/>
        </w:rPr>
        <w:t xml:space="preserve"> stained with antibodies to </w:t>
      </w:r>
      <w:proofErr w:type="spellStart"/>
      <w:r w:rsidR="00C75FC1" w:rsidRPr="00E030F1">
        <w:rPr>
          <w:iCs/>
          <w:color w:val="000000" w:themeColor="text1"/>
        </w:rPr>
        <w:t>Synaptotagmin</w:t>
      </w:r>
      <w:proofErr w:type="spellEnd"/>
      <w:r w:rsidR="00850451" w:rsidRPr="00E030F1">
        <w:rPr>
          <w:iCs/>
          <w:color w:val="000000" w:themeColor="text1"/>
        </w:rPr>
        <w:t xml:space="preserve"> (</w:t>
      </w:r>
      <w:proofErr w:type="spellStart"/>
      <w:r w:rsidR="00C75FC1" w:rsidRPr="00E030F1">
        <w:rPr>
          <w:iCs/>
          <w:color w:val="000000" w:themeColor="text1"/>
        </w:rPr>
        <w:t>Syt</w:t>
      </w:r>
      <w:proofErr w:type="spellEnd"/>
      <w:r w:rsidR="008076DA" w:rsidRPr="00E030F1">
        <w:rPr>
          <w:iCs/>
          <w:color w:val="000000" w:themeColor="text1"/>
        </w:rPr>
        <w:t xml:space="preserve">, </w:t>
      </w:r>
      <w:r w:rsidR="00850451" w:rsidRPr="00E030F1">
        <w:rPr>
          <w:iCs/>
          <w:color w:val="000000" w:themeColor="text1"/>
        </w:rPr>
        <w:t>green)</w:t>
      </w:r>
      <w:r w:rsidR="00DD6892" w:rsidRPr="00E030F1">
        <w:rPr>
          <w:iCs/>
          <w:color w:val="000000" w:themeColor="text1"/>
        </w:rPr>
        <w:t xml:space="preserve"> </w:t>
      </w:r>
      <w:r w:rsidR="00850451" w:rsidRPr="00E030F1">
        <w:rPr>
          <w:iCs/>
          <w:color w:val="000000" w:themeColor="text1"/>
        </w:rPr>
        <w:t>and HRP (magenta) illustrating branching</w:t>
      </w:r>
      <w:r w:rsidR="006C03E6" w:rsidRPr="00E030F1">
        <w:rPr>
          <w:iCs/>
          <w:color w:val="000000" w:themeColor="text1"/>
        </w:rPr>
        <w:t xml:space="preserve"> </w:t>
      </w:r>
      <w:r w:rsidR="00850451" w:rsidRPr="00E030F1">
        <w:rPr>
          <w:iCs/>
          <w:color w:val="000000" w:themeColor="text1"/>
        </w:rPr>
        <w:t>phenotypes.</w:t>
      </w:r>
      <w:r w:rsidR="00DD6892" w:rsidRPr="00E030F1">
        <w:rPr>
          <w:iCs/>
          <w:color w:val="000000" w:themeColor="text1"/>
        </w:rPr>
        <w:t xml:space="preserve"> </w:t>
      </w:r>
      <w:r w:rsidR="00FB7E49" w:rsidRPr="00E030F1">
        <w:rPr>
          <w:iCs/>
          <w:color w:val="000000" w:themeColor="text1"/>
        </w:rPr>
        <w:t xml:space="preserve">Scale bar = 20 </w:t>
      </w:r>
      <w:r w:rsidR="00FB7E49" w:rsidRPr="00E030F1">
        <w:rPr>
          <w:rFonts w:ascii="Symbol" w:hAnsi="Symbol"/>
          <w:iCs/>
          <w:color w:val="000000" w:themeColor="text1"/>
        </w:rPr>
        <w:t>m</w:t>
      </w:r>
      <w:r w:rsidR="00FB7E49" w:rsidRPr="00E030F1">
        <w:rPr>
          <w:iCs/>
          <w:color w:val="000000" w:themeColor="text1"/>
        </w:rPr>
        <w:t xml:space="preserve">m. </w:t>
      </w:r>
      <w:r w:rsidR="00850451" w:rsidRPr="00E030F1">
        <w:rPr>
          <w:iCs/>
          <w:color w:val="000000" w:themeColor="text1"/>
        </w:rPr>
        <w:t xml:space="preserve"> </w:t>
      </w:r>
      <w:r w:rsidR="00850451" w:rsidRPr="00E030F1">
        <w:rPr>
          <w:b/>
          <w:bCs/>
          <w:iCs/>
          <w:color w:val="000000" w:themeColor="text1"/>
        </w:rPr>
        <w:t>b</w:t>
      </w:r>
      <w:r w:rsidR="00850451" w:rsidRPr="00E030F1">
        <w:rPr>
          <w:iCs/>
          <w:color w:val="000000" w:themeColor="text1"/>
        </w:rPr>
        <w:t xml:space="preserve">, </w:t>
      </w:r>
      <w:r w:rsidR="008076DA" w:rsidRPr="00E030F1">
        <w:rPr>
          <w:iCs/>
          <w:color w:val="000000" w:themeColor="text1"/>
        </w:rPr>
        <w:t>Q</w:t>
      </w:r>
      <w:r w:rsidR="00850451" w:rsidRPr="00E030F1">
        <w:rPr>
          <w:iCs/>
          <w:color w:val="000000" w:themeColor="text1"/>
        </w:rPr>
        <w:t xml:space="preserve">uantification of branches in wild type or </w:t>
      </w:r>
      <w:r w:rsidR="008076DA" w:rsidRPr="00E030F1">
        <w:rPr>
          <w:i/>
          <w:iCs/>
          <w:color w:val="000000" w:themeColor="text1"/>
        </w:rPr>
        <w:t>Ex</w:t>
      </w:r>
      <w:r w:rsidR="00850451" w:rsidRPr="00E030F1">
        <w:rPr>
          <w:i/>
          <w:iCs/>
          <w:color w:val="000000" w:themeColor="text1"/>
        </w:rPr>
        <w:t>/Df</w:t>
      </w:r>
      <w:r w:rsidR="00850451" w:rsidRPr="00E030F1">
        <w:rPr>
          <w:iCs/>
          <w:color w:val="000000" w:themeColor="text1"/>
        </w:rPr>
        <w:t xml:space="preserve"> larvae. </w:t>
      </w:r>
      <w:r w:rsidR="00FB7E49" w:rsidRPr="00E030F1">
        <w:rPr>
          <w:iCs/>
          <w:color w:val="000000" w:themeColor="text1"/>
        </w:rPr>
        <w:t xml:space="preserve">Branch count is normalized to the total synapse length (sum of all branches). </w:t>
      </w:r>
      <w:r w:rsidR="003953DB" w:rsidRPr="00E030F1">
        <w:rPr>
          <w:b/>
          <w:bCs/>
          <w:iCs/>
          <w:color w:val="000000" w:themeColor="text1"/>
        </w:rPr>
        <w:t>c</w:t>
      </w:r>
      <w:r w:rsidR="003953DB" w:rsidRPr="00E030F1">
        <w:rPr>
          <w:iCs/>
          <w:color w:val="000000" w:themeColor="text1"/>
        </w:rPr>
        <w:t xml:space="preserve">, Representative transmission EM sections of </w:t>
      </w:r>
      <w:r w:rsidR="00C96624" w:rsidRPr="00E030F1">
        <w:rPr>
          <w:iCs/>
          <w:color w:val="000000" w:themeColor="text1"/>
        </w:rPr>
        <w:t xml:space="preserve">segment </w:t>
      </w:r>
      <w:r w:rsidR="003953DB" w:rsidRPr="00E030F1">
        <w:rPr>
          <w:iCs/>
          <w:color w:val="000000" w:themeColor="text1"/>
        </w:rPr>
        <w:t>A3</w:t>
      </w:r>
      <w:r w:rsidR="00C96624" w:rsidRPr="00E030F1">
        <w:rPr>
          <w:iCs/>
          <w:color w:val="000000" w:themeColor="text1"/>
        </w:rPr>
        <w:t>, muscle</w:t>
      </w:r>
      <w:r w:rsidR="003953DB" w:rsidRPr="00E030F1">
        <w:rPr>
          <w:iCs/>
          <w:color w:val="000000" w:themeColor="text1"/>
        </w:rPr>
        <w:t xml:space="preserve"> 6/7 from 3rd instar larvae. Blue arrows indicate presynaptic dense bodies (T-bars). Synapses (electron-dense areas) are labelled by S (S1, S2). Subsynaptic reticulum area is marked as SSR. Ex/Df synapse shows two boutons’ sections in the same plane, suggesting </w:t>
      </w:r>
      <w:r w:rsidR="00C96624" w:rsidRPr="00E030F1">
        <w:rPr>
          <w:iCs/>
          <w:color w:val="000000" w:themeColor="text1"/>
        </w:rPr>
        <w:t xml:space="preserve">possible </w:t>
      </w:r>
      <w:r w:rsidR="003953DB" w:rsidRPr="00E030F1">
        <w:rPr>
          <w:iCs/>
          <w:color w:val="000000" w:themeColor="text1"/>
        </w:rPr>
        <w:t xml:space="preserve">bouton fragmentation at the synaptic terminal. Scale bar = 200 nm. </w:t>
      </w:r>
      <w:r w:rsidR="003953DB" w:rsidRPr="00E030F1">
        <w:rPr>
          <w:b/>
          <w:bCs/>
          <w:iCs/>
          <w:color w:val="000000" w:themeColor="text1"/>
        </w:rPr>
        <w:t>d</w:t>
      </w:r>
      <w:r w:rsidR="00850451" w:rsidRPr="00E030F1">
        <w:rPr>
          <w:iCs/>
          <w:color w:val="000000" w:themeColor="text1"/>
        </w:rPr>
        <w:t>,</w:t>
      </w:r>
      <w:r w:rsidR="008076DA" w:rsidRPr="00E030F1">
        <w:rPr>
          <w:iCs/>
          <w:color w:val="000000" w:themeColor="text1"/>
        </w:rPr>
        <w:t xml:space="preserve"> S</w:t>
      </w:r>
      <w:r w:rsidR="00850451" w:rsidRPr="00E030F1">
        <w:rPr>
          <w:iCs/>
          <w:color w:val="000000" w:themeColor="text1"/>
        </w:rPr>
        <w:t xml:space="preserve">ynaptic terminal boutons in wild type and </w:t>
      </w:r>
      <w:r w:rsidR="008076DA" w:rsidRPr="00E030F1">
        <w:rPr>
          <w:i/>
          <w:color w:val="000000" w:themeColor="text1"/>
        </w:rPr>
        <w:t>Ex/Df</w:t>
      </w:r>
      <w:r w:rsidR="00850451" w:rsidRPr="00E030F1">
        <w:rPr>
          <w:iCs/>
          <w:color w:val="000000" w:themeColor="text1"/>
        </w:rPr>
        <w:t xml:space="preserve"> showing an example of </w:t>
      </w:r>
      <w:r w:rsidR="00C75FC1" w:rsidRPr="00E030F1">
        <w:rPr>
          <w:iCs/>
          <w:color w:val="000000" w:themeColor="text1"/>
        </w:rPr>
        <w:t>satellite boutons</w:t>
      </w:r>
      <w:r w:rsidR="00850451" w:rsidRPr="00E030F1">
        <w:rPr>
          <w:iCs/>
          <w:color w:val="000000" w:themeColor="text1"/>
        </w:rPr>
        <w:t xml:space="preserve"> at the mutant </w:t>
      </w:r>
      <w:r w:rsidR="00133086" w:rsidRPr="00E030F1">
        <w:rPr>
          <w:iCs/>
          <w:color w:val="000000" w:themeColor="text1"/>
        </w:rPr>
        <w:t>NMJ</w:t>
      </w:r>
      <w:r w:rsidR="00850451" w:rsidRPr="00E030F1">
        <w:rPr>
          <w:iCs/>
          <w:color w:val="000000" w:themeColor="text1"/>
        </w:rPr>
        <w:t>. HRP</w:t>
      </w:r>
      <w:r w:rsidR="00FB7E49" w:rsidRPr="00E030F1">
        <w:rPr>
          <w:iCs/>
          <w:color w:val="000000" w:themeColor="text1"/>
        </w:rPr>
        <w:t xml:space="preserve"> (blue)</w:t>
      </w:r>
      <w:r w:rsidR="00850451" w:rsidRPr="00E030F1">
        <w:rPr>
          <w:iCs/>
          <w:color w:val="000000" w:themeColor="text1"/>
        </w:rPr>
        <w:t xml:space="preserve">, </w:t>
      </w:r>
      <w:proofErr w:type="spellStart"/>
      <w:r w:rsidR="00C75FC1" w:rsidRPr="00E030F1">
        <w:rPr>
          <w:iCs/>
          <w:color w:val="000000" w:themeColor="text1"/>
        </w:rPr>
        <w:t>Futsch</w:t>
      </w:r>
      <w:proofErr w:type="spellEnd"/>
      <w:r w:rsidR="00FB7E49" w:rsidRPr="00E030F1">
        <w:rPr>
          <w:iCs/>
          <w:color w:val="000000" w:themeColor="text1"/>
        </w:rPr>
        <w:t xml:space="preserve"> (red)</w:t>
      </w:r>
      <w:r w:rsidR="00C75FC1" w:rsidRPr="00E030F1">
        <w:rPr>
          <w:iCs/>
          <w:color w:val="000000" w:themeColor="text1"/>
        </w:rPr>
        <w:t>,</w:t>
      </w:r>
      <w:r w:rsidR="00FB7E49" w:rsidRPr="00E030F1">
        <w:rPr>
          <w:iCs/>
          <w:color w:val="000000" w:themeColor="text1"/>
        </w:rPr>
        <w:t xml:space="preserve"> and</w:t>
      </w:r>
      <w:r w:rsidR="00C75FC1" w:rsidRPr="00E030F1">
        <w:rPr>
          <w:iCs/>
          <w:color w:val="000000" w:themeColor="text1"/>
        </w:rPr>
        <w:t xml:space="preserve"> </w:t>
      </w:r>
      <w:proofErr w:type="spellStart"/>
      <w:r w:rsidR="00850451" w:rsidRPr="00E030F1">
        <w:rPr>
          <w:iCs/>
          <w:color w:val="000000" w:themeColor="text1"/>
        </w:rPr>
        <w:t>Synaptotagmin</w:t>
      </w:r>
      <w:proofErr w:type="spellEnd"/>
      <w:r w:rsidR="00850451" w:rsidRPr="00E030F1">
        <w:rPr>
          <w:iCs/>
          <w:color w:val="000000" w:themeColor="text1"/>
        </w:rPr>
        <w:t xml:space="preserve"> (</w:t>
      </w:r>
      <w:proofErr w:type="spellStart"/>
      <w:r w:rsidR="00850451" w:rsidRPr="00E030F1">
        <w:rPr>
          <w:iCs/>
          <w:color w:val="000000" w:themeColor="text1"/>
        </w:rPr>
        <w:t>Syt</w:t>
      </w:r>
      <w:proofErr w:type="spellEnd"/>
      <w:r w:rsidR="00FB7E49" w:rsidRPr="00E030F1">
        <w:rPr>
          <w:iCs/>
          <w:color w:val="000000" w:themeColor="text1"/>
        </w:rPr>
        <w:t>, green</w:t>
      </w:r>
      <w:r w:rsidR="00C75FC1" w:rsidRPr="00E030F1">
        <w:rPr>
          <w:iCs/>
          <w:color w:val="000000" w:themeColor="text1"/>
        </w:rPr>
        <w:t>)</w:t>
      </w:r>
      <w:r w:rsidR="00FB7E49" w:rsidRPr="00E030F1">
        <w:rPr>
          <w:iCs/>
          <w:color w:val="000000" w:themeColor="text1"/>
        </w:rPr>
        <w:t xml:space="preserve"> are shown</w:t>
      </w:r>
      <w:r w:rsidR="00850451" w:rsidRPr="00E030F1">
        <w:rPr>
          <w:iCs/>
          <w:color w:val="000000" w:themeColor="text1"/>
        </w:rPr>
        <w:t xml:space="preserve">. Scale bar = </w:t>
      </w:r>
      <w:r w:rsidR="00C75FC1" w:rsidRPr="00E030F1">
        <w:rPr>
          <w:iCs/>
          <w:color w:val="000000" w:themeColor="text1"/>
        </w:rPr>
        <w:t>5</w:t>
      </w:r>
      <w:r w:rsidR="00850451" w:rsidRPr="00E030F1">
        <w:rPr>
          <w:iCs/>
          <w:color w:val="000000" w:themeColor="text1"/>
        </w:rPr>
        <w:t xml:space="preserve"> </w:t>
      </w:r>
      <w:r w:rsidR="00850451" w:rsidRPr="00E030F1">
        <w:rPr>
          <w:rFonts w:ascii="Symbol" w:hAnsi="Symbol"/>
          <w:iCs/>
          <w:color w:val="000000" w:themeColor="text1"/>
        </w:rPr>
        <w:t>m</w:t>
      </w:r>
      <w:r w:rsidR="00850451" w:rsidRPr="00E030F1">
        <w:rPr>
          <w:iCs/>
          <w:color w:val="000000" w:themeColor="text1"/>
        </w:rPr>
        <w:t xml:space="preserve">m. </w:t>
      </w:r>
      <w:r w:rsidR="00FB7E49" w:rsidRPr="00E030F1">
        <w:rPr>
          <w:iCs/>
          <w:color w:val="000000" w:themeColor="text1"/>
        </w:rPr>
        <w:t xml:space="preserve">Drawings illustrate the bouton structure in the images. </w:t>
      </w:r>
      <w:r w:rsidR="00B649EB" w:rsidRPr="00E030F1">
        <w:rPr>
          <w:b/>
          <w:bCs/>
          <w:iCs/>
          <w:color w:val="000000" w:themeColor="text1"/>
        </w:rPr>
        <w:t>e</w:t>
      </w:r>
      <w:r w:rsidR="00B649EB" w:rsidRPr="00E030F1">
        <w:rPr>
          <w:iCs/>
          <w:color w:val="000000" w:themeColor="text1"/>
        </w:rPr>
        <w:t xml:space="preserve">, Satellite bouton quantification normalized to the length of the branch upon which the boutons are located. </w:t>
      </w:r>
      <w:r w:rsidR="00DD0406" w:rsidRPr="00E030F1">
        <w:rPr>
          <w:iCs/>
          <w:color w:val="000000" w:themeColor="text1"/>
        </w:rPr>
        <w:t>N</w:t>
      </w:r>
      <w:r w:rsidR="00AD03B0" w:rsidRPr="00E030F1">
        <w:rPr>
          <w:iCs/>
          <w:color w:val="000000" w:themeColor="text1"/>
        </w:rPr>
        <w:t xml:space="preserve"> </w:t>
      </w:r>
      <w:r w:rsidR="00B649EB" w:rsidRPr="00E030F1">
        <w:rPr>
          <w:iCs/>
          <w:color w:val="000000" w:themeColor="text1"/>
        </w:rPr>
        <w:t>=</w:t>
      </w:r>
      <w:r w:rsidR="00AD03B0" w:rsidRPr="00E030F1">
        <w:rPr>
          <w:iCs/>
          <w:color w:val="000000" w:themeColor="text1"/>
        </w:rPr>
        <w:t xml:space="preserve"> </w:t>
      </w:r>
      <w:r w:rsidR="00B649EB" w:rsidRPr="00E030F1">
        <w:rPr>
          <w:iCs/>
          <w:color w:val="000000" w:themeColor="text1"/>
        </w:rPr>
        <w:t xml:space="preserve">5 female larvae per genotype. p = 0.0009 using unpaired t-test. </w:t>
      </w:r>
      <w:r w:rsidR="003953DB" w:rsidRPr="00E030F1">
        <w:rPr>
          <w:b/>
          <w:bCs/>
          <w:iCs/>
          <w:color w:val="000000" w:themeColor="text1"/>
        </w:rPr>
        <w:t>f</w:t>
      </w:r>
      <w:r w:rsidR="003953DB" w:rsidRPr="00E030F1">
        <w:rPr>
          <w:iCs/>
          <w:color w:val="000000" w:themeColor="text1"/>
        </w:rPr>
        <w:t xml:space="preserve">, representative images showing active zone density at presynaptic terminal boutons. </w:t>
      </w:r>
      <w:proofErr w:type="spellStart"/>
      <w:r w:rsidR="003953DB" w:rsidRPr="00E030F1">
        <w:rPr>
          <w:iCs/>
          <w:color w:val="000000" w:themeColor="text1"/>
        </w:rPr>
        <w:t>Syt</w:t>
      </w:r>
      <w:proofErr w:type="spellEnd"/>
      <w:r w:rsidR="003953DB" w:rsidRPr="00E030F1">
        <w:rPr>
          <w:iCs/>
          <w:color w:val="000000" w:themeColor="text1"/>
        </w:rPr>
        <w:t xml:space="preserve"> (green), </w:t>
      </w:r>
      <w:proofErr w:type="spellStart"/>
      <w:r w:rsidR="003953DB" w:rsidRPr="00E030F1">
        <w:rPr>
          <w:iCs/>
          <w:color w:val="000000" w:themeColor="text1"/>
        </w:rPr>
        <w:t>Bruchpilot</w:t>
      </w:r>
      <w:proofErr w:type="spellEnd"/>
      <w:r w:rsidR="003953DB" w:rsidRPr="00E030F1">
        <w:rPr>
          <w:iCs/>
          <w:color w:val="000000" w:themeColor="text1"/>
        </w:rPr>
        <w:t xml:space="preserve"> (BRP, </w:t>
      </w:r>
      <w:r w:rsidR="004067A4" w:rsidRPr="00E030F1">
        <w:rPr>
          <w:iCs/>
          <w:color w:val="000000" w:themeColor="text1"/>
        </w:rPr>
        <w:t xml:space="preserve">light blue) and HRP (magenta) are shown. </w:t>
      </w:r>
      <w:r w:rsidR="004067A4" w:rsidRPr="00E030F1">
        <w:rPr>
          <w:b/>
          <w:bCs/>
          <w:iCs/>
          <w:color w:val="000000" w:themeColor="text1"/>
        </w:rPr>
        <w:t>g</w:t>
      </w:r>
      <w:r w:rsidR="004067A4" w:rsidRPr="00E030F1">
        <w:rPr>
          <w:iCs/>
          <w:color w:val="000000" w:themeColor="text1"/>
        </w:rPr>
        <w:t>, quantification of active zone density per square micron of bouton area in female larvae. N = 6 animals, n= 38 total boutons analyzed per genotype.</w:t>
      </w:r>
      <w:r w:rsidR="003953DB" w:rsidRPr="00E030F1">
        <w:rPr>
          <w:iCs/>
          <w:color w:val="000000" w:themeColor="text1"/>
        </w:rPr>
        <w:t xml:space="preserve"> </w:t>
      </w:r>
      <w:r w:rsidR="004067A4" w:rsidRPr="00E030F1">
        <w:rPr>
          <w:iCs/>
          <w:color w:val="000000" w:themeColor="text1"/>
        </w:rPr>
        <w:t xml:space="preserve">Statistical comparison used unpaired t-test (p &lt; 0.0001). </w:t>
      </w:r>
    </w:p>
    <w:p w14:paraId="7641FF1E" w14:textId="5CE511FD" w:rsidR="008F2D59" w:rsidRPr="00E030F1" w:rsidRDefault="008F2D59" w:rsidP="00D9450F">
      <w:pPr>
        <w:spacing w:line="480" w:lineRule="auto"/>
        <w:rPr>
          <w:b/>
          <w:bCs/>
          <w:color w:val="000000" w:themeColor="text1"/>
        </w:rPr>
      </w:pPr>
    </w:p>
    <w:p w14:paraId="5AF00CEC" w14:textId="77777777" w:rsidR="008F2D59" w:rsidRPr="00E030F1" w:rsidRDefault="008F2D59" w:rsidP="00D9450F">
      <w:pPr>
        <w:spacing w:line="480" w:lineRule="auto"/>
        <w:rPr>
          <w:b/>
          <w:bCs/>
          <w:color w:val="000000" w:themeColor="text1"/>
        </w:rPr>
      </w:pPr>
    </w:p>
    <w:p w14:paraId="3FB5A742" w14:textId="77777777" w:rsidR="00BB55BB" w:rsidRPr="00E030F1" w:rsidRDefault="00BB55BB">
      <w:pPr>
        <w:rPr>
          <w:b/>
          <w:color w:val="000000" w:themeColor="text1"/>
        </w:rPr>
      </w:pPr>
      <w:r w:rsidRPr="00E030F1">
        <w:rPr>
          <w:b/>
          <w:color w:val="000000" w:themeColor="text1"/>
        </w:rPr>
        <w:br w:type="page"/>
      </w:r>
    </w:p>
    <w:p w14:paraId="5952EF81" w14:textId="77777777" w:rsidR="007B6673" w:rsidRPr="00E030F1" w:rsidRDefault="007B6673" w:rsidP="00BB55BB">
      <w:pPr>
        <w:spacing w:line="480" w:lineRule="auto"/>
        <w:rPr>
          <w:b/>
          <w:color w:val="000000" w:themeColor="text1"/>
        </w:rPr>
      </w:pPr>
      <w:r w:rsidRPr="00E030F1">
        <w:rPr>
          <w:b/>
          <w:noProof/>
          <w:color w:val="000000" w:themeColor="text1"/>
        </w:rPr>
        <w:lastRenderedPageBreak/>
        <w:drawing>
          <wp:inline distT="0" distB="0" distL="0" distR="0" wp14:anchorId="3665B19B" wp14:editId="14E57EFD">
            <wp:extent cx="5943600" cy="5185410"/>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185410"/>
                    </a:xfrm>
                    <a:prstGeom prst="rect">
                      <a:avLst/>
                    </a:prstGeom>
                  </pic:spPr>
                </pic:pic>
              </a:graphicData>
            </a:graphic>
          </wp:inline>
        </w:drawing>
      </w:r>
    </w:p>
    <w:p w14:paraId="6CA72C41" w14:textId="77777777" w:rsidR="007B6673" w:rsidRPr="00E030F1" w:rsidRDefault="007B6673">
      <w:pPr>
        <w:rPr>
          <w:b/>
          <w:color w:val="000000" w:themeColor="text1"/>
        </w:rPr>
      </w:pPr>
      <w:r w:rsidRPr="00E030F1">
        <w:rPr>
          <w:b/>
          <w:color w:val="000000" w:themeColor="text1"/>
        </w:rPr>
        <w:br w:type="page"/>
      </w:r>
    </w:p>
    <w:p w14:paraId="6BCA56A4" w14:textId="401FAB59" w:rsidR="00BB55BB" w:rsidRPr="00E030F1" w:rsidRDefault="00BB55BB" w:rsidP="00BB55BB">
      <w:pPr>
        <w:spacing w:line="480" w:lineRule="auto"/>
        <w:rPr>
          <w:bCs/>
          <w:color w:val="000000" w:themeColor="text1"/>
        </w:rPr>
      </w:pPr>
      <w:r w:rsidRPr="00E030F1">
        <w:rPr>
          <w:b/>
          <w:color w:val="000000" w:themeColor="text1"/>
        </w:rPr>
        <w:lastRenderedPageBreak/>
        <w:t xml:space="preserve">Figure 4. </w:t>
      </w:r>
      <w:proofErr w:type="spellStart"/>
      <w:r w:rsidRPr="00E030F1">
        <w:rPr>
          <w:b/>
          <w:color w:val="000000" w:themeColor="text1"/>
        </w:rPr>
        <w:t>Tmep</w:t>
      </w:r>
      <w:proofErr w:type="spellEnd"/>
      <w:r w:rsidRPr="00E030F1">
        <w:rPr>
          <w:b/>
          <w:color w:val="000000" w:themeColor="text1"/>
        </w:rPr>
        <w:t xml:space="preserve"> is required for proper synaptic transmission. a</w:t>
      </w:r>
      <w:r w:rsidRPr="00E030F1">
        <w:rPr>
          <w:bCs/>
          <w:color w:val="000000" w:themeColor="text1"/>
        </w:rPr>
        <w:t xml:space="preserve">, Representative examples of evoked junctional potentials (EJPs) evoked by stimulation of wild type (WT) or </w:t>
      </w:r>
      <w:proofErr w:type="spellStart"/>
      <w:r w:rsidRPr="00E030F1">
        <w:rPr>
          <w:bCs/>
          <w:i/>
          <w:iCs/>
          <w:color w:val="000000" w:themeColor="text1"/>
        </w:rPr>
        <w:t>Tmep</w:t>
      </w:r>
      <w:r w:rsidRPr="00E030F1">
        <w:rPr>
          <w:bCs/>
          <w:i/>
          <w:iCs/>
          <w:color w:val="000000" w:themeColor="text1"/>
          <w:vertAlign w:val="superscript"/>
        </w:rPr>
        <w:t>Ex</w:t>
      </w:r>
      <w:proofErr w:type="spellEnd"/>
      <w:r w:rsidRPr="00E030F1">
        <w:rPr>
          <w:bCs/>
          <w:i/>
          <w:iCs/>
          <w:color w:val="000000" w:themeColor="text1"/>
        </w:rPr>
        <w:t>/Df</w:t>
      </w:r>
      <w:r w:rsidRPr="00E030F1">
        <w:rPr>
          <w:bCs/>
          <w:color w:val="000000" w:themeColor="text1"/>
        </w:rPr>
        <w:t xml:space="preserve"> (</w:t>
      </w:r>
      <w:r w:rsidRPr="00E030F1">
        <w:rPr>
          <w:bCs/>
          <w:i/>
          <w:color w:val="000000" w:themeColor="text1"/>
        </w:rPr>
        <w:t>Ex/Df</w:t>
      </w:r>
      <w:r w:rsidRPr="00E030F1">
        <w:rPr>
          <w:bCs/>
          <w:color w:val="000000" w:themeColor="text1"/>
        </w:rPr>
        <w:t xml:space="preserve">) female neuromuscular junctions (1 </w:t>
      </w:r>
      <w:proofErr w:type="spellStart"/>
      <w:r w:rsidRPr="00E030F1">
        <w:rPr>
          <w:bCs/>
          <w:color w:val="000000" w:themeColor="text1"/>
        </w:rPr>
        <w:t>ms</w:t>
      </w:r>
      <w:proofErr w:type="spellEnd"/>
      <w:r w:rsidRPr="00E030F1">
        <w:rPr>
          <w:bCs/>
          <w:color w:val="000000" w:themeColor="text1"/>
        </w:rPr>
        <w:t xml:space="preserve">, 3.3 mV). </w:t>
      </w:r>
      <w:r w:rsidRPr="00E030F1">
        <w:rPr>
          <w:b/>
          <w:color w:val="000000" w:themeColor="text1"/>
        </w:rPr>
        <w:t>b-e</w:t>
      </w:r>
      <w:r w:rsidRPr="00E030F1">
        <w:rPr>
          <w:bCs/>
          <w:color w:val="000000" w:themeColor="text1"/>
        </w:rPr>
        <w:t xml:space="preserve">, Analysis of EJPs from N=4 larvae/genotype and n=10 stimuli/larvae. </w:t>
      </w:r>
      <w:r w:rsidRPr="00E030F1">
        <w:rPr>
          <w:b/>
          <w:color w:val="000000" w:themeColor="text1"/>
        </w:rPr>
        <w:t>b</w:t>
      </w:r>
      <w:r w:rsidRPr="00E030F1">
        <w:rPr>
          <w:bCs/>
          <w:color w:val="000000" w:themeColor="text1"/>
        </w:rPr>
        <w:t xml:space="preserve">, Cumulative probability of single and multiple EJPs following stimulation in wild type and </w:t>
      </w:r>
      <w:r w:rsidRPr="00E030F1">
        <w:rPr>
          <w:bCs/>
          <w:i/>
          <w:color w:val="000000" w:themeColor="text1"/>
        </w:rPr>
        <w:t>Ex/Df</w:t>
      </w:r>
      <w:r w:rsidRPr="00E030F1">
        <w:rPr>
          <w:bCs/>
          <w:color w:val="000000" w:themeColor="text1"/>
        </w:rPr>
        <w:t xml:space="preserve"> larvae (over the 5 sec post-stimulation), separated by sex. All recordings were done in 0.4 mM Ca</w:t>
      </w:r>
      <w:r w:rsidRPr="00E030F1">
        <w:rPr>
          <w:bCs/>
          <w:color w:val="000000" w:themeColor="text1"/>
          <w:vertAlign w:val="superscript"/>
        </w:rPr>
        <w:t>2+</w:t>
      </w:r>
      <w:r w:rsidRPr="00E030F1">
        <w:rPr>
          <w:bCs/>
          <w:color w:val="000000" w:themeColor="text1"/>
        </w:rPr>
        <w:t xml:space="preserve"> HL3.1. </w:t>
      </w:r>
      <w:r w:rsidRPr="00E030F1">
        <w:rPr>
          <w:b/>
          <w:color w:val="000000" w:themeColor="text1"/>
        </w:rPr>
        <w:t>c</w:t>
      </w:r>
      <w:r w:rsidRPr="00E030F1">
        <w:rPr>
          <w:bCs/>
          <w:color w:val="000000" w:themeColor="text1"/>
        </w:rPr>
        <w:t xml:space="preserve">, EJP amplitudes of the first response recorded following each stimulus. </w:t>
      </w:r>
      <w:r w:rsidRPr="00E030F1">
        <w:rPr>
          <w:b/>
          <w:color w:val="000000" w:themeColor="text1"/>
        </w:rPr>
        <w:t>d</w:t>
      </w:r>
      <w:r w:rsidRPr="00E030F1">
        <w:rPr>
          <w:bCs/>
          <w:color w:val="000000" w:themeColor="text1"/>
        </w:rPr>
        <w:t xml:space="preserve">, Peak amplitudes of EJPs per stimulus. 17 of 40 EJPs measured in 4 </w:t>
      </w:r>
      <w:r w:rsidRPr="00E030F1">
        <w:rPr>
          <w:bCs/>
          <w:i/>
          <w:color w:val="000000" w:themeColor="text1"/>
        </w:rPr>
        <w:t>Ex/Df</w:t>
      </w:r>
      <w:r w:rsidRPr="00E030F1">
        <w:rPr>
          <w:bCs/>
          <w:color w:val="000000" w:themeColor="text1"/>
        </w:rPr>
        <w:t xml:space="preserve"> females showed multiple peaks and are displayed on the graph. </w:t>
      </w:r>
      <w:r w:rsidRPr="00E030F1">
        <w:rPr>
          <w:b/>
          <w:color w:val="000000" w:themeColor="text1"/>
        </w:rPr>
        <w:t>e</w:t>
      </w:r>
      <w:r w:rsidRPr="00E030F1">
        <w:rPr>
          <w:bCs/>
          <w:color w:val="000000" w:themeColor="text1"/>
        </w:rPr>
        <w:t xml:space="preserve">, Relative sizes of multi-EJP responses to a single stimulus from female </w:t>
      </w:r>
      <w:r w:rsidRPr="00E030F1">
        <w:rPr>
          <w:bCs/>
          <w:i/>
          <w:color w:val="000000" w:themeColor="text1"/>
        </w:rPr>
        <w:t>Ex/Df</w:t>
      </w:r>
      <w:r w:rsidRPr="00E030F1">
        <w:rPr>
          <w:bCs/>
          <w:color w:val="000000" w:themeColor="text1"/>
        </w:rPr>
        <w:t xml:space="preserve"> larvae. N=17, 17, 13, 12, and 10 </w:t>
      </w:r>
      <w:r w:rsidR="000E60B2" w:rsidRPr="00E030F1">
        <w:rPr>
          <w:bCs/>
          <w:color w:val="000000" w:themeColor="text1"/>
        </w:rPr>
        <w:t>stimuli</w:t>
      </w:r>
      <w:r w:rsidRPr="00E030F1">
        <w:rPr>
          <w:bCs/>
          <w:color w:val="000000" w:themeColor="text1"/>
        </w:rPr>
        <w:t xml:space="preserve"> showed at least 5 responses and were included in analysis. Differences from the first peak’s amplitude were analyzed by fitting a mixed model using paired comparisons (responses in each larvae), with Dunnett’s correction for multiple comparisons. P values: 1</w:t>
      </w:r>
      <w:r w:rsidRPr="00E030F1">
        <w:rPr>
          <w:bCs/>
          <w:color w:val="000000" w:themeColor="text1"/>
          <w:vertAlign w:val="superscript"/>
        </w:rPr>
        <w:t>st</w:t>
      </w:r>
      <w:r w:rsidRPr="00E030F1">
        <w:rPr>
          <w:bCs/>
          <w:color w:val="000000" w:themeColor="text1"/>
        </w:rPr>
        <w:t>-2</w:t>
      </w:r>
      <w:r w:rsidRPr="00E030F1">
        <w:rPr>
          <w:bCs/>
          <w:color w:val="000000" w:themeColor="text1"/>
          <w:vertAlign w:val="superscript"/>
        </w:rPr>
        <w:t>nd</w:t>
      </w:r>
      <w:r w:rsidRPr="00E030F1">
        <w:rPr>
          <w:bCs/>
          <w:color w:val="000000" w:themeColor="text1"/>
        </w:rPr>
        <w:t>, p &lt;0.0001; 1</w:t>
      </w:r>
      <w:r w:rsidRPr="00E030F1">
        <w:rPr>
          <w:bCs/>
          <w:color w:val="000000" w:themeColor="text1"/>
          <w:vertAlign w:val="superscript"/>
        </w:rPr>
        <w:t>st</w:t>
      </w:r>
      <w:r w:rsidRPr="00E030F1">
        <w:rPr>
          <w:bCs/>
          <w:color w:val="000000" w:themeColor="text1"/>
        </w:rPr>
        <w:t>-3</w:t>
      </w:r>
      <w:r w:rsidRPr="00E030F1">
        <w:rPr>
          <w:bCs/>
          <w:color w:val="000000" w:themeColor="text1"/>
          <w:vertAlign w:val="superscript"/>
        </w:rPr>
        <w:t>rd</w:t>
      </w:r>
      <w:r w:rsidRPr="00E030F1">
        <w:rPr>
          <w:bCs/>
          <w:color w:val="000000" w:themeColor="text1"/>
        </w:rPr>
        <w:t>, p = 0.0072; 1</w:t>
      </w:r>
      <w:r w:rsidRPr="00E030F1">
        <w:rPr>
          <w:bCs/>
          <w:color w:val="000000" w:themeColor="text1"/>
          <w:vertAlign w:val="superscript"/>
        </w:rPr>
        <w:t>st</w:t>
      </w:r>
      <w:r w:rsidRPr="00E030F1">
        <w:rPr>
          <w:bCs/>
          <w:color w:val="000000" w:themeColor="text1"/>
        </w:rPr>
        <w:t>-4</w:t>
      </w:r>
      <w:r w:rsidRPr="00E030F1">
        <w:rPr>
          <w:bCs/>
          <w:color w:val="000000" w:themeColor="text1"/>
          <w:vertAlign w:val="superscript"/>
        </w:rPr>
        <w:t>th</w:t>
      </w:r>
      <w:r w:rsidRPr="00E030F1">
        <w:rPr>
          <w:bCs/>
          <w:color w:val="000000" w:themeColor="text1"/>
        </w:rPr>
        <w:t>, p = 0.0016; 1</w:t>
      </w:r>
      <w:r w:rsidRPr="00E030F1">
        <w:rPr>
          <w:bCs/>
          <w:color w:val="000000" w:themeColor="text1"/>
          <w:vertAlign w:val="superscript"/>
        </w:rPr>
        <w:t>st</w:t>
      </w:r>
      <w:r w:rsidRPr="00E030F1">
        <w:rPr>
          <w:bCs/>
          <w:color w:val="000000" w:themeColor="text1"/>
        </w:rPr>
        <w:t>-5</w:t>
      </w:r>
      <w:r w:rsidRPr="00E030F1">
        <w:rPr>
          <w:bCs/>
          <w:color w:val="000000" w:themeColor="text1"/>
          <w:vertAlign w:val="superscript"/>
        </w:rPr>
        <w:t>th</w:t>
      </w:r>
      <w:r w:rsidRPr="00E030F1">
        <w:rPr>
          <w:bCs/>
          <w:color w:val="000000" w:themeColor="text1"/>
        </w:rPr>
        <w:t xml:space="preserve">, p = 0.0336. </w:t>
      </w:r>
      <w:r w:rsidRPr="00E030F1">
        <w:rPr>
          <w:b/>
          <w:color w:val="000000" w:themeColor="text1"/>
        </w:rPr>
        <w:t>f</w:t>
      </w:r>
      <w:r w:rsidRPr="00E030F1">
        <w:rPr>
          <w:bCs/>
          <w:color w:val="000000" w:themeColor="text1"/>
        </w:rPr>
        <w:t>, Inter-event interval from females shown in e. Only the first five inter-event intervals were analyzed, and each point represents the interval from the previous spike (i.e. 2</w:t>
      </w:r>
      <w:r w:rsidRPr="00E030F1">
        <w:rPr>
          <w:bCs/>
          <w:color w:val="000000" w:themeColor="text1"/>
          <w:vertAlign w:val="superscript"/>
        </w:rPr>
        <w:t>nd</w:t>
      </w:r>
      <w:r w:rsidRPr="00E030F1">
        <w:rPr>
          <w:bCs/>
          <w:color w:val="000000" w:themeColor="text1"/>
        </w:rPr>
        <w:t xml:space="preserve"> is from spike 1 to spike 2). No significant differences were observed (p &gt; 0.05, one-way ANOVA). </w:t>
      </w:r>
      <w:r w:rsidRPr="00E030F1">
        <w:rPr>
          <w:b/>
          <w:color w:val="000000" w:themeColor="text1"/>
        </w:rPr>
        <w:t>g</w:t>
      </w:r>
      <w:r w:rsidRPr="00E030F1">
        <w:rPr>
          <w:bCs/>
          <w:color w:val="000000" w:themeColor="text1"/>
        </w:rPr>
        <w:t xml:space="preserve">, </w:t>
      </w:r>
      <w:proofErr w:type="spellStart"/>
      <w:r w:rsidRPr="00E030F1">
        <w:rPr>
          <w:bCs/>
          <w:color w:val="000000" w:themeColor="text1"/>
        </w:rPr>
        <w:t>mEJP</w:t>
      </w:r>
      <w:proofErr w:type="spellEnd"/>
      <w:r w:rsidRPr="00E030F1">
        <w:rPr>
          <w:bCs/>
          <w:color w:val="000000" w:themeColor="text1"/>
        </w:rPr>
        <w:t xml:space="preserve"> amplitudes from wild type and </w:t>
      </w:r>
      <w:r w:rsidRPr="00E030F1">
        <w:rPr>
          <w:i/>
          <w:color w:val="000000" w:themeColor="text1"/>
        </w:rPr>
        <w:t>Ex/Df</w:t>
      </w:r>
      <w:r w:rsidRPr="00E030F1">
        <w:rPr>
          <w:bCs/>
          <w:color w:val="000000" w:themeColor="text1"/>
        </w:rPr>
        <w:t xml:space="preserve"> larvae of each sex. N=4 larvae per group. Fifteen seconds of baseline recording were analyzed per animal. T-tests within each sex were used to evaluate statistical significance (females, p &lt;0.0001; males, p = 0.98). </w:t>
      </w:r>
      <w:r w:rsidRPr="00E030F1">
        <w:rPr>
          <w:b/>
          <w:color w:val="000000" w:themeColor="text1"/>
        </w:rPr>
        <w:t>h</w:t>
      </w:r>
      <w:r w:rsidRPr="00E030F1">
        <w:rPr>
          <w:bCs/>
          <w:color w:val="000000" w:themeColor="text1"/>
        </w:rPr>
        <w:t xml:space="preserve">, representative trace (above) and cumulative probability (below) of multi-peak events in </w:t>
      </w:r>
      <w:proofErr w:type="spellStart"/>
      <w:r w:rsidRPr="00E030F1">
        <w:rPr>
          <w:bCs/>
          <w:color w:val="000000" w:themeColor="text1"/>
        </w:rPr>
        <w:t>Tmep</w:t>
      </w:r>
      <w:proofErr w:type="spellEnd"/>
      <w:r w:rsidRPr="00E030F1">
        <w:rPr>
          <w:bCs/>
          <w:color w:val="000000" w:themeColor="text1"/>
        </w:rPr>
        <w:t xml:space="preserve"> knockdown (</w:t>
      </w:r>
      <w:proofErr w:type="spellStart"/>
      <w:r w:rsidRPr="00E030F1">
        <w:rPr>
          <w:bCs/>
          <w:color w:val="000000" w:themeColor="text1"/>
        </w:rPr>
        <w:t>TRiP</w:t>
      </w:r>
      <w:proofErr w:type="spellEnd"/>
      <w:r w:rsidRPr="00E030F1">
        <w:rPr>
          <w:bCs/>
          <w:color w:val="000000" w:themeColor="text1"/>
        </w:rPr>
        <w:t>) larvae</w:t>
      </w:r>
      <w:r w:rsidR="00721B68" w:rsidRPr="00E030F1">
        <w:rPr>
          <w:bCs/>
          <w:color w:val="000000" w:themeColor="text1"/>
        </w:rPr>
        <w:t xml:space="preserve"> using </w:t>
      </w:r>
      <w:r w:rsidR="00721B68" w:rsidRPr="00E030F1">
        <w:rPr>
          <w:bCs/>
          <w:i/>
          <w:iCs/>
          <w:color w:val="000000" w:themeColor="text1"/>
        </w:rPr>
        <w:t>Vglut-GAL4</w:t>
      </w:r>
      <w:r w:rsidRPr="00E030F1">
        <w:rPr>
          <w:bCs/>
          <w:color w:val="000000" w:themeColor="text1"/>
        </w:rPr>
        <w:t>. Note that controls (black triangles) do not show any multi-peak responses. N=5 larvae and 10 stimuli/larvae per genotype.</w:t>
      </w:r>
      <w:r w:rsidRPr="00E030F1">
        <w:rPr>
          <w:b/>
          <w:color w:val="000000" w:themeColor="text1"/>
        </w:rPr>
        <w:t xml:space="preserve"> i,</w:t>
      </w:r>
      <w:r w:rsidRPr="00E030F1">
        <w:rPr>
          <w:bCs/>
          <w:color w:val="000000" w:themeColor="text1"/>
        </w:rPr>
        <w:t xml:space="preserve"> Crawling analysis of larvae in which </w:t>
      </w:r>
      <w:proofErr w:type="spellStart"/>
      <w:r w:rsidRPr="00E030F1">
        <w:rPr>
          <w:bCs/>
          <w:color w:val="000000" w:themeColor="text1"/>
        </w:rPr>
        <w:t>Tmep</w:t>
      </w:r>
      <w:proofErr w:type="spellEnd"/>
      <w:r w:rsidRPr="00E030F1">
        <w:rPr>
          <w:bCs/>
          <w:color w:val="000000" w:themeColor="text1"/>
        </w:rPr>
        <w:t xml:space="preserve"> is knocked down in motor neurons (</w:t>
      </w:r>
      <w:r w:rsidRPr="00E030F1">
        <w:rPr>
          <w:bCs/>
          <w:i/>
          <w:iCs/>
          <w:color w:val="000000" w:themeColor="text1"/>
        </w:rPr>
        <w:t>Vglut-</w:t>
      </w:r>
      <w:r w:rsidRPr="00E030F1">
        <w:rPr>
          <w:bCs/>
          <w:i/>
          <w:color w:val="000000" w:themeColor="text1"/>
        </w:rPr>
        <w:t>GAL4</w:t>
      </w:r>
      <w:r w:rsidRPr="00E030F1">
        <w:rPr>
          <w:bCs/>
          <w:color w:val="000000" w:themeColor="text1"/>
        </w:rPr>
        <w:t>) or muscle (</w:t>
      </w:r>
      <w:r w:rsidRPr="00E030F1">
        <w:rPr>
          <w:bCs/>
          <w:i/>
          <w:iCs/>
          <w:color w:val="000000" w:themeColor="text1"/>
        </w:rPr>
        <w:t>MHC-GAL4</w:t>
      </w:r>
      <w:r w:rsidRPr="00E030F1">
        <w:rPr>
          <w:bCs/>
          <w:color w:val="000000" w:themeColor="text1"/>
        </w:rPr>
        <w:t>) with one of two different RNAi constructs (sequence targets are shown in Figure 1). N=20 animals per genotype and sex. One-way ANOVA with Dunnett’s post-hoc test within sex; p = 0.025 (</w:t>
      </w:r>
      <w:proofErr w:type="spellStart"/>
      <w:r w:rsidRPr="00E030F1">
        <w:rPr>
          <w:bCs/>
          <w:color w:val="000000" w:themeColor="text1"/>
        </w:rPr>
        <w:t>Vglut</w:t>
      </w:r>
      <w:proofErr w:type="spellEnd"/>
      <w:r w:rsidRPr="00E030F1">
        <w:rPr>
          <w:bCs/>
          <w:color w:val="000000" w:themeColor="text1"/>
        </w:rPr>
        <w:t xml:space="preserve"> F alone vs VDRC F), p = 0.065 (</w:t>
      </w:r>
      <w:proofErr w:type="spellStart"/>
      <w:r w:rsidRPr="00E030F1">
        <w:rPr>
          <w:bCs/>
          <w:color w:val="000000" w:themeColor="text1"/>
        </w:rPr>
        <w:t>Vglut</w:t>
      </w:r>
      <w:proofErr w:type="spellEnd"/>
      <w:r w:rsidRPr="00E030F1">
        <w:rPr>
          <w:bCs/>
          <w:color w:val="000000" w:themeColor="text1"/>
        </w:rPr>
        <w:t xml:space="preserve"> F alone vs </w:t>
      </w:r>
      <w:proofErr w:type="spellStart"/>
      <w:r w:rsidRPr="00E030F1">
        <w:rPr>
          <w:bCs/>
          <w:color w:val="000000" w:themeColor="text1"/>
        </w:rPr>
        <w:t>TRiP</w:t>
      </w:r>
      <w:proofErr w:type="spellEnd"/>
      <w:r w:rsidRPr="00E030F1">
        <w:rPr>
          <w:bCs/>
          <w:color w:val="000000" w:themeColor="text1"/>
        </w:rPr>
        <w:t xml:space="preserve"> F), p = &lt;0.0001 (</w:t>
      </w:r>
      <w:proofErr w:type="spellStart"/>
      <w:r w:rsidRPr="00E030F1">
        <w:rPr>
          <w:bCs/>
          <w:color w:val="000000" w:themeColor="text1"/>
        </w:rPr>
        <w:t>Vglut</w:t>
      </w:r>
      <w:proofErr w:type="spellEnd"/>
      <w:r w:rsidRPr="00E030F1">
        <w:rPr>
          <w:bCs/>
          <w:color w:val="000000" w:themeColor="text1"/>
        </w:rPr>
        <w:t xml:space="preserve"> F alone vs MHC&gt; </w:t>
      </w:r>
      <w:proofErr w:type="spellStart"/>
      <w:r w:rsidRPr="00E030F1">
        <w:rPr>
          <w:bCs/>
          <w:color w:val="000000" w:themeColor="text1"/>
        </w:rPr>
        <w:t>TRiP</w:t>
      </w:r>
      <w:proofErr w:type="spellEnd"/>
      <w:r w:rsidRPr="00E030F1">
        <w:rPr>
          <w:bCs/>
          <w:color w:val="000000" w:themeColor="text1"/>
        </w:rPr>
        <w:t xml:space="preserve"> F), p = 0.035 (</w:t>
      </w:r>
      <w:proofErr w:type="spellStart"/>
      <w:r w:rsidRPr="00E030F1">
        <w:rPr>
          <w:bCs/>
          <w:color w:val="000000" w:themeColor="text1"/>
        </w:rPr>
        <w:t>Vglut</w:t>
      </w:r>
      <w:proofErr w:type="spellEnd"/>
      <w:r w:rsidRPr="00E030F1">
        <w:rPr>
          <w:bCs/>
          <w:color w:val="000000" w:themeColor="text1"/>
        </w:rPr>
        <w:t xml:space="preserve"> M </w:t>
      </w:r>
      <w:r w:rsidRPr="00E030F1">
        <w:rPr>
          <w:bCs/>
          <w:color w:val="000000" w:themeColor="text1"/>
        </w:rPr>
        <w:lastRenderedPageBreak/>
        <w:t xml:space="preserve">alone vs </w:t>
      </w:r>
      <w:proofErr w:type="spellStart"/>
      <w:r w:rsidRPr="00E030F1">
        <w:rPr>
          <w:bCs/>
          <w:color w:val="000000" w:themeColor="text1"/>
        </w:rPr>
        <w:t>TRiP</w:t>
      </w:r>
      <w:proofErr w:type="spellEnd"/>
      <w:r w:rsidRPr="00E030F1">
        <w:rPr>
          <w:bCs/>
          <w:color w:val="000000" w:themeColor="text1"/>
        </w:rPr>
        <w:t xml:space="preserve"> M), p = 0.0002 (</w:t>
      </w:r>
      <w:proofErr w:type="spellStart"/>
      <w:r w:rsidRPr="00E030F1">
        <w:rPr>
          <w:bCs/>
          <w:color w:val="000000" w:themeColor="text1"/>
        </w:rPr>
        <w:t>Vglut</w:t>
      </w:r>
      <w:proofErr w:type="spellEnd"/>
      <w:r w:rsidRPr="00E030F1">
        <w:rPr>
          <w:bCs/>
          <w:color w:val="000000" w:themeColor="text1"/>
        </w:rPr>
        <w:t xml:space="preserve"> M alone vs </w:t>
      </w:r>
      <w:proofErr w:type="spellStart"/>
      <w:r w:rsidRPr="00E030F1">
        <w:rPr>
          <w:bCs/>
          <w:color w:val="000000" w:themeColor="text1"/>
        </w:rPr>
        <w:t>TRiP</w:t>
      </w:r>
      <w:proofErr w:type="spellEnd"/>
      <w:r w:rsidRPr="00E030F1">
        <w:rPr>
          <w:bCs/>
          <w:color w:val="000000" w:themeColor="text1"/>
        </w:rPr>
        <w:t xml:space="preserve"> M), p = 0.0016 (</w:t>
      </w:r>
      <w:proofErr w:type="spellStart"/>
      <w:r w:rsidRPr="00E030F1">
        <w:rPr>
          <w:bCs/>
          <w:color w:val="000000" w:themeColor="text1"/>
        </w:rPr>
        <w:t>Vglut</w:t>
      </w:r>
      <w:proofErr w:type="spellEnd"/>
      <w:r w:rsidRPr="00E030F1">
        <w:rPr>
          <w:bCs/>
          <w:color w:val="000000" w:themeColor="text1"/>
        </w:rPr>
        <w:t xml:space="preserve"> M alone vs MHC&gt; </w:t>
      </w:r>
      <w:proofErr w:type="spellStart"/>
      <w:r w:rsidRPr="00E030F1">
        <w:rPr>
          <w:bCs/>
          <w:color w:val="000000" w:themeColor="text1"/>
        </w:rPr>
        <w:t>TRiP</w:t>
      </w:r>
      <w:proofErr w:type="spellEnd"/>
      <w:r w:rsidRPr="00E030F1">
        <w:rPr>
          <w:bCs/>
          <w:color w:val="000000" w:themeColor="text1"/>
        </w:rPr>
        <w:t>).</w:t>
      </w:r>
    </w:p>
    <w:p w14:paraId="0670D992" w14:textId="77777777" w:rsidR="00F9670F" w:rsidRPr="00E030F1" w:rsidRDefault="00F9670F">
      <w:pPr>
        <w:rPr>
          <w:b/>
          <w:color w:val="000000" w:themeColor="text1"/>
        </w:rPr>
      </w:pPr>
      <w:r w:rsidRPr="00E030F1">
        <w:rPr>
          <w:b/>
          <w:color w:val="000000" w:themeColor="text1"/>
        </w:rPr>
        <w:br w:type="page"/>
      </w:r>
    </w:p>
    <w:p w14:paraId="5785D7DC" w14:textId="7E686338" w:rsidR="00C75FC1" w:rsidRPr="00E030F1" w:rsidRDefault="002D608D" w:rsidP="006B21D3">
      <w:pPr>
        <w:spacing w:line="480" w:lineRule="auto"/>
        <w:rPr>
          <w:b/>
          <w:bCs/>
          <w:iCs/>
          <w:color w:val="000000" w:themeColor="text1"/>
        </w:rPr>
      </w:pPr>
      <w:r w:rsidRPr="00E030F1">
        <w:rPr>
          <w:b/>
          <w:noProof/>
          <w:color w:val="000000" w:themeColor="text1"/>
        </w:rPr>
        <w:lastRenderedPageBreak/>
        <w:drawing>
          <wp:inline distT="0" distB="0" distL="0" distR="0" wp14:anchorId="08E0EC21" wp14:editId="08471072">
            <wp:extent cx="5943600" cy="35115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b="51606"/>
                    <a:stretch/>
                  </pic:blipFill>
                  <pic:spPr bwMode="auto">
                    <a:xfrm>
                      <a:off x="0" y="0"/>
                      <a:ext cx="5943600" cy="3511550"/>
                    </a:xfrm>
                    <a:prstGeom prst="rect">
                      <a:avLst/>
                    </a:prstGeom>
                    <a:ln>
                      <a:noFill/>
                    </a:ln>
                    <a:extLst>
                      <a:ext uri="{53640926-AAD7-44D8-BBD7-CCE9431645EC}">
                        <a14:shadowObscured xmlns:a14="http://schemas.microsoft.com/office/drawing/2010/main"/>
                      </a:ext>
                    </a:extLst>
                  </pic:spPr>
                </pic:pic>
              </a:graphicData>
            </a:graphic>
          </wp:inline>
        </w:drawing>
      </w:r>
      <w:r w:rsidR="00170B9D" w:rsidRPr="00E030F1">
        <w:rPr>
          <w:b/>
          <w:color w:val="000000" w:themeColor="text1"/>
        </w:rPr>
        <w:t xml:space="preserve">Figure 5. </w:t>
      </w:r>
      <w:r w:rsidR="00770C90" w:rsidRPr="00E030F1">
        <w:rPr>
          <w:b/>
          <w:bCs/>
          <w:iCs/>
          <w:color w:val="000000" w:themeColor="text1"/>
        </w:rPr>
        <w:t xml:space="preserve">Larval crawling deficiencies are restored by reduction of </w:t>
      </w:r>
      <w:r w:rsidR="00C75FC1" w:rsidRPr="00E030F1">
        <w:rPr>
          <w:b/>
          <w:bCs/>
          <w:iCs/>
          <w:color w:val="000000" w:themeColor="text1"/>
        </w:rPr>
        <w:t>presynaptic excitability</w:t>
      </w:r>
      <w:r w:rsidR="00770C90" w:rsidRPr="00E030F1">
        <w:rPr>
          <w:b/>
          <w:bCs/>
          <w:iCs/>
          <w:color w:val="000000" w:themeColor="text1"/>
        </w:rPr>
        <w:t>.</w:t>
      </w:r>
      <w:r w:rsidR="00F9670F" w:rsidRPr="00E030F1">
        <w:rPr>
          <w:b/>
          <w:bCs/>
          <w:iCs/>
          <w:color w:val="000000" w:themeColor="text1"/>
        </w:rPr>
        <w:t xml:space="preserve"> </w:t>
      </w:r>
      <w:r w:rsidR="00CA703B" w:rsidRPr="00E030F1">
        <w:rPr>
          <w:b/>
          <w:bCs/>
          <w:iCs/>
          <w:color w:val="000000" w:themeColor="text1"/>
        </w:rPr>
        <w:t xml:space="preserve">a, </w:t>
      </w:r>
      <w:r w:rsidR="00CA703B" w:rsidRPr="00E030F1">
        <w:rPr>
          <w:iCs/>
          <w:color w:val="000000" w:themeColor="text1"/>
        </w:rPr>
        <w:t xml:space="preserve">Representative images of baseline calcium in GAL4 alone (UAS-Dicer2, Vglut-GAL4, UAS-GCaMP5G-T2A-tdTomato) and </w:t>
      </w:r>
      <w:proofErr w:type="spellStart"/>
      <w:r w:rsidR="00CA703B" w:rsidRPr="00E030F1">
        <w:rPr>
          <w:iCs/>
          <w:color w:val="000000" w:themeColor="text1"/>
        </w:rPr>
        <w:t>Tmep</w:t>
      </w:r>
      <w:proofErr w:type="spellEnd"/>
      <w:r w:rsidR="00CA703B" w:rsidRPr="00E030F1">
        <w:rPr>
          <w:iCs/>
          <w:color w:val="000000" w:themeColor="text1"/>
        </w:rPr>
        <w:t xml:space="preserve"> RNAi larvae (UAS-Dicer2, Vglut-GAL4, UAS-</w:t>
      </w:r>
      <w:proofErr w:type="spellStart"/>
      <w:r w:rsidR="00CA703B" w:rsidRPr="00E030F1">
        <w:rPr>
          <w:iCs/>
          <w:color w:val="000000" w:themeColor="text1"/>
        </w:rPr>
        <w:t>Tmepi</w:t>
      </w:r>
      <w:proofErr w:type="spellEnd"/>
      <w:r w:rsidR="00CA703B" w:rsidRPr="00E030F1">
        <w:rPr>
          <w:iCs/>
          <w:color w:val="000000" w:themeColor="text1"/>
        </w:rPr>
        <w:t xml:space="preserve"> (VDRC), UAS-GcaMP5G-T2A-tdTomato). </w:t>
      </w:r>
      <w:proofErr w:type="spellStart"/>
      <w:r w:rsidR="00CA703B" w:rsidRPr="00E030F1">
        <w:rPr>
          <w:iCs/>
          <w:color w:val="000000" w:themeColor="text1"/>
        </w:rPr>
        <w:t>TdTomato</w:t>
      </w:r>
      <w:proofErr w:type="spellEnd"/>
      <w:r w:rsidR="00CA703B" w:rsidRPr="00E030F1">
        <w:rPr>
          <w:iCs/>
          <w:color w:val="000000" w:themeColor="text1"/>
        </w:rPr>
        <w:t xml:space="preserve"> images are </w:t>
      </w:r>
      <w:proofErr w:type="spellStart"/>
      <w:r w:rsidR="00CA703B" w:rsidRPr="00E030F1">
        <w:rPr>
          <w:iCs/>
          <w:color w:val="000000" w:themeColor="text1"/>
        </w:rPr>
        <w:t>pseudocolored</w:t>
      </w:r>
      <w:proofErr w:type="spellEnd"/>
      <w:r w:rsidR="00CA703B" w:rsidRPr="00E030F1">
        <w:rPr>
          <w:iCs/>
          <w:color w:val="000000" w:themeColor="text1"/>
        </w:rPr>
        <w:t xml:space="preserve"> with a Magenta</w:t>
      </w:r>
      <w:r w:rsidR="00B56001" w:rsidRPr="00E030F1">
        <w:rPr>
          <w:iCs/>
          <w:color w:val="000000" w:themeColor="text1"/>
        </w:rPr>
        <w:t xml:space="preserve"> </w:t>
      </w:r>
      <w:r w:rsidR="00CA703B" w:rsidRPr="00E030F1">
        <w:rPr>
          <w:iCs/>
          <w:color w:val="000000" w:themeColor="text1"/>
        </w:rPr>
        <w:t>look-up table</w:t>
      </w:r>
      <w:r w:rsidR="00B56001" w:rsidRPr="00E030F1">
        <w:rPr>
          <w:iCs/>
          <w:color w:val="000000" w:themeColor="text1"/>
        </w:rPr>
        <w:t xml:space="preserve">, </w:t>
      </w:r>
      <w:r w:rsidR="00CA703B" w:rsidRPr="00E030F1">
        <w:rPr>
          <w:iCs/>
          <w:color w:val="000000" w:themeColor="text1"/>
        </w:rPr>
        <w:t xml:space="preserve">and </w:t>
      </w:r>
      <w:r w:rsidR="00B56001" w:rsidRPr="00E030F1">
        <w:rPr>
          <w:iCs/>
          <w:color w:val="000000" w:themeColor="text1"/>
        </w:rPr>
        <w:t xml:space="preserve">GCaMP is </w:t>
      </w:r>
      <w:proofErr w:type="spellStart"/>
      <w:r w:rsidR="00B56001" w:rsidRPr="00E030F1">
        <w:rPr>
          <w:iCs/>
          <w:color w:val="000000" w:themeColor="text1"/>
        </w:rPr>
        <w:t>pseudocolored</w:t>
      </w:r>
      <w:proofErr w:type="spellEnd"/>
      <w:r w:rsidR="00B56001" w:rsidRPr="00E030F1">
        <w:rPr>
          <w:iCs/>
          <w:color w:val="000000" w:themeColor="text1"/>
        </w:rPr>
        <w:t xml:space="preserve"> with the Cyan Hot lookup table (Fiji), for which the scale is shown to the right. </w:t>
      </w:r>
      <w:r w:rsidR="00B56001" w:rsidRPr="00E030F1">
        <w:rPr>
          <w:b/>
          <w:bCs/>
          <w:iCs/>
          <w:color w:val="000000" w:themeColor="text1"/>
        </w:rPr>
        <w:t>b</w:t>
      </w:r>
      <w:r w:rsidR="00B56001" w:rsidRPr="00E030F1">
        <w:rPr>
          <w:iCs/>
          <w:color w:val="000000" w:themeColor="text1"/>
        </w:rPr>
        <w:t xml:space="preserve">, Quantification of baseline calcium in the genotypes shown in a. N = 5-6 larvae per genotype. </w:t>
      </w:r>
      <w:r w:rsidR="00FD0298" w:rsidRPr="00E030F1">
        <w:rPr>
          <w:iCs/>
          <w:color w:val="000000" w:themeColor="text1"/>
        </w:rPr>
        <w:t>Unpaired t-test, p = 0.012.</w:t>
      </w:r>
      <w:r w:rsidR="00CA703B" w:rsidRPr="00E030F1">
        <w:rPr>
          <w:b/>
          <w:bCs/>
          <w:iCs/>
          <w:color w:val="000000" w:themeColor="text1"/>
        </w:rPr>
        <w:t xml:space="preserve"> </w:t>
      </w:r>
      <w:r w:rsidR="00CA703B" w:rsidRPr="00E030F1">
        <w:rPr>
          <w:b/>
          <w:color w:val="000000" w:themeColor="text1"/>
        </w:rPr>
        <w:t>c</w:t>
      </w:r>
      <w:r w:rsidR="00170B9D" w:rsidRPr="00E030F1">
        <w:rPr>
          <w:bCs/>
          <w:color w:val="000000" w:themeColor="text1"/>
        </w:rPr>
        <w:t xml:space="preserve">, </w:t>
      </w:r>
      <w:r w:rsidR="008076DA" w:rsidRPr="00E030F1">
        <w:rPr>
          <w:bCs/>
          <w:color w:val="000000" w:themeColor="text1"/>
        </w:rPr>
        <w:t>C</w:t>
      </w:r>
      <w:r w:rsidR="00170B9D" w:rsidRPr="00E030F1">
        <w:rPr>
          <w:bCs/>
          <w:color w:val="000000" w:themeColor="text1"/>
        </w:rPr>
        <w:t xml:space="preserve">rawling deficiency of </w:t>
      </w:r>
      <w:proofErr w:type="spellStart"/>
      <w:r w:rsidR="00170B9D" w:rsidRPr="00E030F1">
        <w:rPr>
          <w:bCs/>
          <w:color w:val="000000" w:themeColor="text1"/>
        </w:rPr>
        <w:t>Tmep</w:t>
      </w:r>
      <w:proofErr w:type="spellEnd"/>
      <w:r w:rsidR="00170B9D" w:rsidRPr="00E030F1">
        <w:rPr>
          <w:bCs/>
          <w:color w:val="000000" w:themeColor="text1"/>
        </w:rPr>
        <w:t xml:space="preserve"> knockdown larvae can be restored by knockdown of IPTR, </w:t>
      </w:r>
      <w:proofErr w:type="spellStart"/>
      <w:r w:rsidR="00170B9D" w:rsidRPr="00E030F1">
        <w:rPr>
          <w:bCs/>
          <w:color w:val="000000" w:themeColor="text1"/>
        </w:rPr>
        <w:t>RyR</w:t>
      </w:r>
      <w:proofErr w:type="spellEnd"/>
      <w:r w:rsidR="00170B9D" w:rsidRPr="00E030F1">
        <w:rPr>
          <w:bCs/>
          <w:color w:val="000000" w:themeColor="text1"/>
        </w:rPr>
        <w:t xml:space="preserve">, or by over-expression of NMNAT. Female data is shown. One-way ANOVA with </w:t>
      </w:r>
      <w:proofErr w:type="spellStart"/>
      <w:r w:rsidR="00170B9D" w:rsidRPr="00E030F1">
        <w:rPr>
          <w:bCs/>
          <w:color w:val="000000" w:themeColor="text1"/>
        </w:rPr>
        <w:t>Sidak’s</w:t>
      </w:r>
      <w:proofErr w:type="spellEnd"/>
      <w:r w:rsidR="00170B9D" w:rsidRPr="00E030F1">
        <w:rPr>
          <w:bCs/>
          <w:color w:val="000000" w:themeColor="text1"/>
        </w:rPr>
        <w:t xml:space="preserve"> multiple comparison correction was used to calculate p values as follows: p = 0.014 (</w:t>
      </w:r>
      <w:proofErr w:type="spellStart"/>
      <w:r w:rsidR="00170B9D" w:rsidRPr="00E030F1">
        <w:rPr>
          <w:bCs/>
          <w:color w:val="000000" w:themeColor="text1"/>
        </w:rPr>
        <w:t>Vglut</w:t>
      </w:r>
      <w:proofErr w:type="spellEnd"/>
      <w:r w:rsidR="00170B9D" w:rsidRPr="00E030F1">
        <w:rPr>
          <w:bCs/>
          <w:color w:val="000000" w:themeColor="text1"/>
        </w:rPr>
        <w:t xml:space="preserve"> vs </w:t>
      </w:r>
      <w:proofErr w:type="spellStart"/>
      <w:r w:rsidR="00170B9D" w:rsidRPr="00E030F1">
        <w:rPr>
          <w:bCs/>
          <w:color w:val="000000" w:themeColor="text1"/>
        </w:rPr>
        <w:t>Tmep</w:t>
      </w:r>
      <w:proofErr w:type="spellEnd"/>
      <w:r w:rsidR="00170B9D" w:rsidRPr="00E030F1">
        <w:rPr>
          <w:bCs/>
          <w:color w:val="000000" w:themeColor="text1"/>
        </w:rPr>
        <w:t xml:space="preserve"> RNAi), p = 0.0014 (</w:t>
      </w:r>
      <w:proofErr w:type="spellStart"/>
      <w:r w:rsidR="00170B9D" w:rsidRPr="00E030F1">
        <w:rPr>
          <w:bCs/>
          <w:color w:val="000000" w:themeColor="text1"/>
        </w:rPr>
        <w:t>Tmep</w:t>
      </w:r>
      <w:proofErr w:type="spellEnd"/>
      <w:r w:rsidR="00170B9D" w:rsidRPr="00E030F1">
        <w:rPr>
          <w:bCs/>
          <w:color w:val="000000" w:themeColor="text1"/>
        </w:rPr>
        <w:t xml:space="preserve"> RNAi vs </w:t>
      </w:r>
      <w:proofErr w:type="spellStart"/>
      <w:r w:rsidR="00170B9D" w:rsidRPr="00E030F1">
        <w:rPr>
          <w:bCs/>
          <w:color w:val="000000" w:themeColor="text1"/>
        </w:rPr>
        <w:t>Tmep</w:t>
      </w:r>
      <w:proofErr w:type="spellEnd"/>
      <w:r w:rsidR="00170B9D" w:rsidRPr="00E030F1">
        <w:rPr>
          <w:bCs/>
          <w:color w:val="000000" w:themeColor="text1"/>
        </w:rPr>
        <w:t>/</w:t>
      </w:r>
      <w:proofErr w:type="spellStart"/>
      <w:r w:rsidR="00170B9D" w:rsidRPr="00E030F1">
        <w:rPr>
          <w:bCs/>
          <w:color w:val="000000" w:themeColor="text1"/>
        </w:rPr>
        <w:t>RyR</w:t>
      </w:r>
      <w:proofErr w:type="spellEnd"/>
      <w:r w:rsidR="00170B9D" w:rsidRPr="00E030F1">
        <w:rPr>
          <w:bCs/>
          <w:color w:val="000000" w:themeColor="text1"/>
        </w:rPr>
        <w:t>), p &lt; 0.0001 (</w:t>
      </w:r>
      <w:proofErr w:type="spellStart"/>
      <w:r w:rsidR="00170B9D" w:rsidRPr="00E030F1">
        <w:rPr>
          <w:bCs/>
          <w:color w:val="000000" w:themeColor="text1"/>
        </w:rPr>
        <w:t>Tmep</w:t>
      </w:r>
      <w:proofErr w:type="spellEnd"/>
      <w:r w:rsidR="00170B9D" w:rsidRPr="00E030F1">
        <w:rPr>
          <w:bCs/>
          <w:color w:val="000000" w:themeColor="text1"/>
        </w:rPr>
        <w:t xml:space="preserve"> RNAi vs </w:t>
      </w:r>
      <w:proofErr w:type="spellStart"/>
      <w:r w:rsidR="00170B9D" w:rsidRPr="00E030F1">
        <w:rPr>
          <w:bCs/>
          <w:color w:val="000000" w:themeColor="text1"/>
        </w:rPr>
        <w:t>Tmepi</w:t>
      </w:r>
      <w:proofErr w:type="spellEnd"/>
      <w:r w:rsidR="00170B9D" w:rsidRPr="00E030F1">
        <w:rPr>
          <w:bCs/>
          <w:color w:val="000000" w:themeColor="text1"/>
        </w:rPr>
        <w:t>/</w:t>
      </w:r>
      <w:proofErr w:type="spellStart"/>
      <w:r w:rsidR="00170B9D" w:rsidRPr="00E030F1">
        <w:rPr>
          <w:bCs/>
          <w:color w:val="000000" w:themeColor="text1"/>
        </w:rPr>
        <w:t>ITPRi</w:t>
      </w:r>
      <w:proofErr w:type="spellEnd"/>
      <w:r w:rsidR="00170B9D" w:rsidRPr="00E030F1">
        <w:rPr>
          <w:bCs/>
          <w:color w:val="000000" w:themeColor="text1"/>
        </w:rPr>
        <w:t xml:space="preserve"> or NMNAT).  </w:t>
      </w:r>
      <w:r w:rsidR="00CA703B" w:rsidRPr="00E030F1">
        <w:rPr>
          <w:b/>
          <w:color w:val="000000" w:themeColor="text1"/>
        </w:rPr>
        <w:t>d</w:t>
      </w:r>
      <w:r w:rsidR="00170B9D" w:rsidRPr="00E030F1">
        <w:rPr>
          <w:bCs/>
          <w:color w:val="000000" w:themeColor="text1"/>
        </w:rPr>
        <w:t xml:space="preserve">, </w:t>
      </w:r>
      <w:r w:rsidR="00770C90" w:rsidRPr="00E030F1">
        <w:rPr>
          <w:bCs/>
          <w:color w:val="000000" w:themeColor="text1"/>
        </w:rPr>
        <w:t>I</w:t>
      </w:r>
      <w:r w:rsidR="00170B9D" w:rsidRPr="00E030F1">
        <w:rPr>
          <w:bCs/>
          <w:color w:val="000000" w:themeColor="text1"/>
        </w:rPr>
        <w:t xml:space="preserve">ndividual RNAi expression of IPTR, </w:t>
      </w:r>
      <w:proofErr w:type="spellStart"/>
      <w:r w:rsidR="00170B9D" w:rsidRPr="00E030F1">
        <w:rPr>
          <w:bCs/>
          <w:color w:val="000000" w:themeColor="text1"/>
        </w:rPr>
        <w:t>RyR</w:t>
      </w:r>
      <w:proofErr w:type="spellEnd"/>
      <w:r w:rsidR="00170B9D" w:rsidRPr="00E030F1">
        <w:rPr>
          <w:bCs/>
          <w:color w:val="000000" w:themeColor="text1"/>
        </w:rPr>
        <w:t>, or UAS-NMNAT do</w:t>
      </w:r>
      <w:r w:rsidR="000A541F" w:rsidRPr="00E030F1">
        <w:rPr>
          <w:bCs/>
          <w:color w:val="000000" w:themeColor="text1"/>
        </w:rPr>
        <w:t>es</w:t>
      </w:r>
      <w:r w:rsidR="00170B9D" w:rsidRPr="00E030F1">
        <w:rPr>
          <w:bCs/>
          <w:color w:val="000000" w:themeColor="text1"/>
        </w:rPr>
        <w:t xml:space="preserve"> not change baseline contraction rates (for all, p&gt;0.05). Female data is shown</w:t>
      </w:r>
      <w:r w:rsidR="008F2D59" w:rsidRPr="00E030F1">
        <w:rPr>
          <w:bCs/>
          <w:color w:val="000000" w:themeColor="text1"/>
        </w:rPr>
        <w:t>.</w:t>
      </w:r>
      <w:r w:rsidR="00770C90" w:rsidRPr="00E030F1">
        <w:rPr>
          <w:bCs/>
          <w:color w:val="000000" w:themeColor="text1"/>
        </w:rPr>
        <w:t xml:space="preserve"> </w:t>
      </w:r>
      <w:r w:rsidR="00CA703B" w:rsidRPr="00E030F1">
        <w:rPr>
          <w:b/>
          <w:color w:val="000000" w:themeColor="text1"/>
        </w:rPr>
        <w:t>e</w:t>
      </w:r>
      <w:r w:rsidR="00770C90" w:rsidRPr="00E030F1">
        <w:rPr>
          <w:bCs/>
          <w:color w:val="000000" w:themeColor="text1"/>
        </w:rPr>
        <w:t xml:space="preserve">, Model for </w:t>
      </w:r>
      <w:proofErr w:type="spellStart"/>
      <w:r w:rsidR="00770C90" w:rsidRPr="00E030F1">
        <w:rPr>
          <w:bCs/>
          <w:color w:val="000000" w:themeColor="text1"/>
        </w:rPr>
        <w:t>Tmep</w:t>
      </w:r>
      <w:proofErr w:type="spellEnd"/>
      <w:r w:rsidR="00770C90" w:rsidRPr="00E030F1">
        <w:rPr>
          <w:bCs/>
          <w:color w:val="000000" w:themeColor="text1"/>
        </w:rPr>
        <w:t xml:space="preserve"> influence on </w:t>
      </w:r>
      <w:r w:rsidR="00CA703B" w:rsidRPr="00E030F1">
        <w:rPr>
          <w:bCs/>
          <w:color w:val="000000" w:themeColor="text1"/>
        </w:rPr>
        <w:t xml:space="preserve">presynaptic calcium, </w:t>
      </w:r>
      <w:r w:rsidR="00770C90" w:rsidRPr="00E030F1">
        <w:rPr>
          <w:bCs/>
          <w:color w:val="000000" w:themeColor="text1"/>
        </w:rPr>
        <w:t>synaptic activity</w:t>
      </w:r>
      <w:r w:rsidR="00CA703B" w:rsidRPr="00E030F1">
        <w:rPr>
          <w:bCs/>
          <w:color w:val="000000" w:themeColor="text1"/>
        </w:rPr>
        <w:t>, synaptic structure,</w:t>
      </w:r>
      <w:r w:rsidR="00770C90" w:rsidRPr="00E030F1">
        <w:rPr>
          <w:bCs/>
          <w:color w:val="000000" w:themeColor="text1"/>
        </w:rPr>
        <w:t xml:space="preserve"> and locomotion.</w:t>
      </w:r>
    </w:p>
    <w:p w14:paraId="658070B1" w14:textId="54BFA766" w:rsidR="00633184" w:rsidRPr="00E030F1" w:rsidRDefault="00633184" w:rsidP="00D9450F">
      <w:pPr>
        <w:spacing w:line="480" w:lineRule="auto"/>
        <w:rPr>
          <w:b/>
          <w:color w:val="000000" w:themeColor="text1"/>
        </w:rPr>
      </w:pPr>
      <w:r w:rsidRPr="00E030F1">
        <w:rPr>
          <w:b/>
          <w:color w:val="000000" w:themeColor="text1"/>
        </w:rPr>
        <w:lastRenderedPageBreak/>
        <w:t>References</w:t>
      </w:r>
    </w:p>
    <w:p w14:paraId="0BDC0B7B" w14:textId="1753D329" w:rsidR="00F8756B" w:rsidRPr="00E030F1" w:rsidRDefault="00633184" w:rsidP="00F8756B">
      <w:pPr>
        <w:widowControl w:val="0"/>
        <w:autoSpaceDE w:val="0"/>
        <w:autoSpaceDN w:val="0"/>
        <w:adjustRightInd w:val="0"/>
        <w:spacing w:line="480" w:lineRule="auto"/>
        <w:ind w:left="640" w:hanging="640"/>
        <w:rPr>
          <w:noProof/>
          <w:color w:val="000000" w:themeColor="text1"/>
          <w:szCs w:val="24"/>
        </w:rPr>
      </w:pPr>
      <w:r w:rsidRPr="00E030F1">
        <w:rPr>
          <w:b/>
          <w:color w:val="000000" w:themeColor="text1"/>
        </w:rPr>
        <w:fldChar w:fldCharType="begin" w:fldLock="1"/>
      </w:r>
      <w:r w:rsidRPr="00E030F1">
        <w:rPr>
          <w:b/>
          <w:color w:val="000000" w:themeColor="text1"/>
        </w:rPr>
        <w:instrText xml:space="preserve">ADDIN Mendeley Bibliography CSL_BIBLIOGRAPHY </w:instrText>
      </w:r>
      <w:r w:rsidRPr="00E030F1">
        <w:rPr>
          <w:b/>
          <w:color w:val="000000" w:themeColor="text1"/>
        </w:rPr>
        <w:fldChar w:fldCharType="separate"/>
      </w:r>
      <w:r w:rsidR="00F8756B" w:rsidRPr="00E030F1">
        <w:rPr>
          <w:noProof/>
          <w:color w:val="000000" w:themeColor="text1"/>
          <w:szCs w:val="24"/>
        </w:rPr>
        <w:t xml:space="preserve">1. </w:t>
      </w:r>
      <w:r w:rsidR="00F8756B" w:rsidRPr="00E030F1">
        <w:rPr>
          <w:noProof/>
          <w:color w:val="000000" w:themeColor="text1"/>
          <w:szCs w:val="24"/>
        </w:rPr>
        <w:tab/>
        <w:t>Schneggenburger R, Neher E (2005) Presynaptic calcium and control of vesicle fusion. Curr. Opin. Neurobiol. 15:266–274</w:t>
      </w:r>
    </w:p>
    <w:p w14:paraId="13B1376B"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 </w:t>
      </w:r>
      <w:r w:rsidRPr="00E030F1">
        <w:rPr>
          <w:noProof/>
          <w:color w:val="000000" w:themeColor="text1"/>
          <w:szCs w:val="24"/>
        </w:rPr>
        <w:tab/>
        <w:t>Kwon SK, Sando R, Lewis TL, et al (2016) LKB1 Regulates Mitochondria-Dependent Presynaptic Calcium Clearance and Neurotransmitter Release Properties at Excitatory Synapses along Cortical Axons. PLoS Biol 14:. https://doi.org/10.1371/journal.pbio.1002516</w:t>
      </w:r>
    </w:p>
    <w:p w14:paraId="10A7AD29"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 </w:t>
      </w:r>
      <w:r w:rsidRPr="00E030F1">
        <w:rPr>
          <w:noProof/>
          <w:color w:val="000000" w:themeColor="text1"/>
          <w:szCs w:val="24"/>
        </w:rPr>
        <w:tab/>
        <w:t>Brusich DJ, Spring AM, James TD, et al (2018) Drosophila CaV2 channels harboring human migraine mutations cause synapse hyperexcitability that can be suppressed by inhibition of a Ca2+store release pathway. PLoS Genet 14:. https://doi.org/10.1371/journal.pgen.1007577</w:t>
      </w:r>
    </w:p>
    <w:p w14:paraId="0BAAB499"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 </w:t>
      </w:r>
      <w:r w:rsidRPr="00E030F1">
        <w:rPr>
          <w:noProof/>
          <w:color w:val="000000" w:themeColor="text1"/>
          <w:szCs w:val="24"/>
        </w:rPr>
        <w:tab/>
        <w:t>Stern M, Ganetzky B (1989) Altered synaptic transmission in drosophila hyperkinetic mutants. J Neurogenet 5:215–228. https://doi.org/10.3109/01677068909066209</w:t>
      </w:r>
    </w:p>
    <w:p w14:paraId="2EDEF5A0"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 </w:t>
      </w:r>
      <w:r w:rsidRPr="00E030F1">
        <w:rPr>
          <w:noProof/>
          <w:color w:val="000000" w:themeColor="text1"/>
          <w:szCs w:val="24"/>
        </w:rPr>
        <w:tab/>
        <w:t>Uytterhoeven V, Kuenen S, Kasprowicz J, et al (2011) Loss of Skywalker reveals synaptic endosomes as sorting stations for synaptic vesicle proteins. Cell 145:117–132. https://doi.org/10.1016/j.cell.2011.02.039</w:t>
      </w:r>
    </w:p>
    <w:p w14:paraId="3A81BCC3"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6. </w:t>
      </w:r>
      <w:r w:rsidRPr="00E030F1">
        <w:rPr>
          <w:noProof/>
          <w:color w:val="000000" w:themeColor="text1"/>
          <w:szCs w:val="24"/>
        </w:rPr>
        <w:tab/>
        <w:t>Fernandes AC, Uytterhoeven V, Kuenen S, et al (2014) Reduced synaptic vesicle protein degradation at lysosomes curbs TBC1D24/sky-induced neurodegeneration. J Cell Biol 207:453–462. https://doi.org/10.1083/JCB.201406026</w:t>
      </w:r>
    </w:p>
    <w:p w14:paraId="1E33632D"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7. </w:t>
      </w:r>
      <w:r w:rsidRPr="00E030F1">
        <w:rPr>
          <w:noProof/>
          <w:color w:val="000000" w:themeColor="text1"/>
          <w:szCs w:val="24"/>
        </w:rPr>
        <w:tab/>
        <w:t>Fischer B, Lüthy K, Paesmans J, et al (2016) Skywalker-TBC1D24 has a lipid-binding pocket mutated in epilepsy and required for synaptic function. Nat Struct Mol Biol 23:965–973. https://doi.org/10.1038/nsmb.3297</w:t>
      </w:r>
    </w:p>
    <w:p w14:paraId="34708320"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8. </w:t>
      </w:r>
      <w:r w:rsidRPr="00E030F1">
        <w:rPr>
          <w:noProof/>
          <w:color w:val="000000" w:themeColor="text1"/>
          <w:szCs w:val="24"/>
        </w:rPr>
        <w:tab/>
        <w:t>Koh TW, Korolchuk VI, Wairkar YP, et al (2007) Eps15 and Dap160 control synaptic vesicle membrane retrieval and synapse development. J Cell Biol 178:309–322. https://doi.org/10.1083/jcb.200701030</w:t>
      </w:r>
    </w:p>
    <w:p w14:paraId="5B632AE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9. </w:t>
      </w:r>
      <w:r w:rsidRPr="00E030F1">
        <w:rPr>
          <w:noProof/>
          <w:color w:val="000000" w:themeColor="text1"/>
          <w:szCs w:val="24"/>
        </w:rPr>
        <w:tab/>
        <w:t xml:space="preserve">Milton VJ, Jarrett HE, Gowers K, et al (2011) Oxidative stress induces overgrowth of the </w:t>
      </w:r>
      <w:r w:rsidRPr="00E030F1">
        <w:rPr>
          <w:noProof/>
          <w:color w:val="000000" w:themeColor="text1"/>
          <w:szCs w:val="24"/>
        </w:rPr>
        <w:lastRenderedPageBreak/>
        <w:t>Drosophila neuromuscular junction. Proc Natl Acad Sci U S A 108:17521–17526. https://doi.org/10.1073/pnas.1014511108</w:t>
      </w:r>
    </w:p>
    <w:p w14:paraId="0672D12B"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10. </w:t>
      </w:r>
      <w:r w:rsidRPr="00E030F1">
        <w:rPr>
          <w:noProof/>
          <w:color w:val="000000" w:themeColor="text1"/>
          <w:szCs w:val="24"/>
        </w:rPr>
        <w:tab/>
        <w:t>West RJH, Briggs L, Fjeldstad MP, et al (2018) Sphingolipids regulate neuromuscular synapse structure and function in Drosophila. J Comp Neurol 526:1995. https://doi.org/10.1002/CNE.24466</w:t>
      </w:r>
    </w:p>
    <w:p w14:paraId="7DCF16E4"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11. </w:t>
      </w:r>
      <w:r w:rsidRPr="00E030F1">
        <w:rPr>
          <w:noProof/>
          <w:color w:val="000000" w:themeColor="text1"/>
          <w:szCs w:val="24"/>
        </w:rPr>
        <w:tab/>
        <w:t>Hindle SJ, Hebbar S, Schwudke D, et al (2017) A saposin deficiency model in Drosophila: Lysosomal storage, progressive neurodegeneration and sensory physiological decline. Neurobiol Dis 98:77–87. https://doi.org/10.1016/j.nbd.2016.11.012</w:t>
      </w:r>
    </w:p>
    <w:p w14:paraId="0CAE127B"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12. </w:t>
      </w:r>
      <w:r w:rsidRPr="00E030F1">
        <w:rPr>
          <w:noProof/>
          <w:color w:val="000000" w:themeColor="text1"/>
          <w:szCs w:val="24"/>
        </w:rPr>
        <w:tab/>
        <w:t>Vivas O, Tiscione SA, Dixon RE, et al (2019) Niemann-Pick Type C Disease Reveals a Link between Lysosomal Cholesterol and PtdIns(4,5)P2 That Regulates Neuronal Excitability. Cell Rep 27:2636. https://doi.org/10.1016/J.CELREP.2019.04.099</w:t>
      </w:r>
    </w:p>
    <w:p w14:paraId="0D07B0A9"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13. </w:t>
      </w:r>
      <w:r w:rsidRPr="00E030F1">
        <w:rPr>
          <w:noProof/>
          <w:color w:val="000000" w:themeColor="text1"/>
          <w:szCs w:val="24"/>
        </w:rPr>
        <w:tab/>
        <w:t>Wucherpfennig T, Wilsch-Bräuninger M, González-Gaitán M (2003) Role of Drosophila Rab5 during endosomal trafficking at the synapse and evoked neurotransmitter release. J Cell Biol 161:609–624. https://doi.org/10.1083/jcb.200211087</w:t>
      </w:r>
    </w:p>
    <w:p w14:paraId="7B10EAC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14. </w:t>
      </w:r>
      <w:r w:rsidRPr="00E030F1">
        <w:rPr>
          <w:noProof/>
          <w:color w:val="000000" w:themeColor="text1"/>
          <w:szCs w:val="24"/>
        </w:rPr>
        <w:tab/>
        <w:t>Ackermann F, Schink KO, Bruns C, et al (2019) Critical role for piccolo in synaptic vesicle retrieval. Elife 8:. https://doi.org/10.7554/eLife.46629</w:t>
      </w:r>
    </w:p>
    <w:p w14:paraId="530CCF81"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15. </w:t>
      </w:r>
      <w:r w:rsidRPr="00E030F1">
        <w:rPr>
          <w:noProof/>
          <w:color w:val="000000" w:themeColor="text1"/>
          <w:szCs w:val="24"/>
        </w:rPr>
        <w:tab/>
        <w:t>Vazquez-Sanchez S, Gonzalez-Lozano MA, Walfenzao A, et al (2020) The endosomal protein sorting nexin 4 is a synaptic protein. Sci Rep 10:. https://doi.org/10.1038/s41598-020-74694-6</w:t>
      </w:r>
    </w:p>
    <w:p w14:paraId="2D816CA5"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16. </w:t>
      </w:r>
      <w:r w:rsidRPr="00E030F1">
        <w:rPr>
          <w:noProof/>
          <w:color w:val="000000" w:themeColor="text1"/>
          <w:szCs w:val="24"/>
        </w:rPr>
        <w:tab/>
        <w:t>Li YC, Kavalali ET (2017) Synaptic vesicle-recycling machinery components as potential therapeutic targets. Pharmacol. Rev. 69:141–160</w:t>
      </w:r>
    </w:p>
    <w:p w14:paraId="5931B52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17. </w:t>
      </w:r>
      <w:r w:rsidRPr="00E030F1">
        <w:rPr>
          <w:noProof/>
          <w:color w:val="000000" w:themeColor="text1"/>
          <w:szCs w:val="24"/>
        </w:rPr>
        <w:tab/>
        <w:t>Bhattacharya MRC, Geisler S, Pittman SK, et al (2016) TMEM184b promotes axon degeneration and neuromuscular junction maintenance. J Neurosci 36:4681–4689. https://doi.org/10.1523/JNEUROSCI.2893-15.2016</w:t>
      </w:r>
    </w:p>
    <w:p w14:paraId="63008B3D"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18. </w:t>
      </w:r>
      <w:r w:rsidRPr="00E030F1">
        <w:rPr>
          <w:noProof/>
          <w:color w:val="000000" w:themeColor="text1"/>
          <w:szCs w:val="24"/>
        </w:rPr>
        <w:tab/>
        <w:t>Larsen EG, Cho TS, McBride ML, et al TMEM184B is necessary for IL-31-induced itch. PAIN (in Press. https://doi.org/10.1101/2020.01.25.919902</w:t>
      </w:r>
    </w:p>
    <w:p w14:paraId="26EA81B9"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lastRenderedPageBreak/>
        <w:t xml:space="preserve">19. </w:t>
      </w:r>
      <w:r w:rsidRPr="00E030F1">
        <w:rPr>
          <w:noProof/>
          <w:color w:val="000000" w:themeColor="text1"/>
          <w:szCs w:val="24"/>
        </w:rPr>
        <w:tab/>
        <w:t>Lee PT, Zirin J, Kanca O, et al (2018) A gene-specific T2A-GAL4 library for drosophila. Elife 7:4. https://doi.org/10.7554/eLife.35574</w:t>
      </w:r>
    </w:p>
    <w:p w14:paraId="0D7F5287"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20. </w:t>
      </w:r>
      <w:r w:rsidRPr="00E030F1">
        <w:rPr>
          <w:noProof/>
          <w:color w:val="000000" w:themeColor="text1"/>
          <w:szCs w:val="24"/>
        </w:rPr>
        <w:tab/>
        <w:t>Haberman A, Williamson WR, Epstein D, et al (2012) The synaptic vesicle SNARE neuronal synaptobrevin promotes endolysosomal degradation and prevents neurodegeneration. J Cell Biol 196:261–276. https://doi.org/10.1083/jcb.201108088</w:t>
      </w:r>
    </w:p>
    <w:p w14:paraId="688DC0FC"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21. </w:t>
      </w:r>
      <w:r w:rsidRPr="00E030F1">
        <w:rPr>
          <w:noProof/>
          <w:color w:val="000000" w:themeColor="text1"/>
          <w:szCs w:val="24"/>
        </w:rPr>
        <w:tab/>
        <w:t>Dickman DK, Lu Z, Meinertzhagen IA, Schwarz TL (2006) Altered synaptic development and active zone spacing in endocytosis mutants. Curr Biol 16:591–598. https://doi.org/10.1016/J.CUB.2006.02.058</w:t>
      </w:r>
    </w:p>
    <w:p w14:paraId="21316960"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22. </w:t>
      </w:r>
      <w:r w:rsidRPr="00E030F1">
        <w:rPr>
          <w:noProof/>
          <w:color w:val="000000" w:themeColor="text1"/>
          <w:szCs w:val="24"/>
        </w:rPr>
        <w:tab/>
        <w:t>Burg MG, Wu C-F (2012) Mechanical and temperature stressors-induced seizure-and-paralysis behaviors in Drosophila bang-sensitive mutants. J Neurogenet 26:189. https://doi.org/10.3109/01677063.2012.690011</w:t>
      </w:r>
    </w:p>
    <w:p w14:paraId="7FA45BF1"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23. </w:t>
      </w:r>
      <w:r w:rsidRPr="00E030F1">
        <w:rPr>
          <w:noProof/>
          <w:color w:val="000000" w:themeColor="text1"/>
          <w:szCs w:val="24"/>
        </w:rPr>
        <w:tab/>
        <w:t>Daniels RW, Rossano AJ, Macleod GT, Ganetzky B (2014) Expression of Multiple Transgenes from a Single Construct Using Viral 2A Peptides in Drosophila. PLoS One 9:e100637. https://doi.org/10.1371/JOURNAL.PONE.0100637</w:t>
      </w:r>
    </w:p>
    <w:p w14:paraId="5F68251C"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24. </w:t>
      </w:r>
      <w:r w:rsidRPr="00E030F1">
        <w:rPr>
          <w:noProof/>
          <w:color w:val="000000" w:themeColor="text1"/>
          <w:szCs w:val="24"/>
        </w:rPr>
        <w:tab/>
        <w:t>Simkus CRL, Stricker C (2002) The contribution of intracellular calcium stores to mEPSCs recorded in layer II neurones of rat barrel cortex. J Physiol 545:521–535. https://doi.org/10.1113/JPHYSIOL.2002.022103</w:t>
      </w:r>
    </w:p>
    <w:p w14:paraId="3964870D"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25. </w:t>
      </w:r>
      <w:r w:rsidRPr="00E030F1">
        <w:rPr>
          <w:noProof/>
          <w:color w:val="000000" w:themeColor="text1"/>
          <w:szCs w:val="24"/>
        </w:rPr>
        <w:tab/>
        <w:t>Wong CO, Chen K, Lin YQ, et al (2014) A TRPV channel in drosophila motor neurons regulates presynaptic resting Ca2+ levels, synapse growth, and synaptic transmission. Neuron 84:764–777. https://doi.org/10.1016/j.neuron.2014.09.030</w:t>
      </w:r>
    </w:p>
    <w:p w14:paraId="609DDC6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26. </w:t>
      </w:r>
      <w:r w:rsidRPr="00E030F1">
        <w:rPr>
          <w:noProof/>
          <w:color w:val="000000" w:themeColor="text1"/>
          <w:szCs w:val="24"/>
        </w:rPr>
        <w:tab/>
        <w:t>de Juan-Sanz J, Holt GT, Schreiter ER, et al (2017) Axonal Endoplasmic Reticulum Ca2+ Content Controls Release Probability in CNS Nerve Terminals. Neuron 93:867-881.e6. https://doi.org/10.1016/j.neuron.2017.01.010</w:t>
      </w:r>
    </w:p>
    <w:p w14:paraId="231E5895"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27. </w:t>
      </w:r>
      <w:r w:rsidRPr="00E030F1">
        <w:rPr>
          <w:noProof/>
          <w:color w:val="000000" w:themeColor="text1"/>
          <w:szCs w:val="24"/>
        </w:rPr>
        <w:tab/>
        <w:t>Bezprozvanny I, Kavalali ET (2020) Presynaptic endoplasmic reticulum and neurotransmission. Cell Calcium 85:102133. https://doi.org/10.1016/J.CECA.2019.102133</w:t>
      </w:r>
    </w:p>
    <w:p w14:paraId="5E38FFD4"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lastRenderedPageBreak/>
        <w:t xml:space="preserve">28. </w:t>
      </w:r>
      <w:r w:rsidRPr="00E030F1">
        <w:rPr>
          <w:noProof/>
          <w:color w:val="000000" w:themeColor="text1"/>
          <w:szCs w:val="24"/>
        </w:rPr>
        <w:tab/>
        <w:t>Chanaday NL, Nosyreva E, Shin OH, et al (2021) Presynaptic store-operated Ca2+ entry drives excitatory spontaneous neurotransmission and augments endoplasmic reticulum stress. Neuron 109:1314-1332.e5. https://doi.org/10.1016/J.NEURON.2021.02.023</w:t>
      </w:r>
    </w:p>
    <w:p w14:paraId="4BBB4E98"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29. </w:t>
      </w:r>
      <w:r w:rsidRPr="00E030F1">
        <w:rPr>
          <w:noProof/>
          <w:color w:val="000000" w:themeColor="text1"/>
          <w:szCs w:val="24"/>
        </w:rPr>
        <w:tab/>
        <w:t>Russo A, Goel P, Brace E, et al (2019) The E3 ligase Highwire promotes synaptic transmission by targeting the NAD-synthesizing enzyme dNmnat. EMBO Rep 20:e46975. https://doi.org/10.15252/EMBR.201846975</w:t>
      </w:r>
    </w:p>
    <w:p w14:paraId="6BC2EA3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30. </w:t>
      </w:r>
      <w:r w:rsidRPr="00E030F1">
        <w:rPr>
          <w:noProof/>
          <w:color w:val="000000" w:themeColor="text1"/>
          <w:szCs w:val="24"/>
        </w:rPr>
        <w:tab/>
        <w:t>Mack TGA, Reiner M, Beirowski B, et al (2001) Wallerian degeneration of injured axons and synapses is delayed by a Ube4b/Nmnat chimeric gene. Nat Neurosci 4:1199–1206. https://doi.org/10.1038/nn770</w:t>
      </w:r>
    </w:p>
    <w:p w14:paraId="2FA1423D"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31. </w:t>
      </w:r>
      <w:r w:rsidRPr="00E030F1">
        <w:rPr>
          <w:noProof/>
          <w:color w:val="000000" w:themeColor="text1"/>
          <w:szCs w:val="24"/>
        </w:rPr>
        <w:tab/>
        <w:t>Sasaki Y, Vohra BPS, Baloh RH, Milbrandt J (2009) Transgenic mice expressing the nmnatl protein manifest robust delay in axonal degeneration in vivo. J Neurosci 29:6526–6534. https://doi.org/10.1523/JNEUROSCI.1429-09.2009</w:t>
      </w:r>
    </w:p>
    <w:p w14:paraId="5876DF6C"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32. </w:t>
      </w:r>
      <w:r w:rsidRPr="00E030F1">
        <w:rPr>
          <w:noProof/>
          <w:color w:val="000000" w:themeColor="text1"/>
          <w:szCs w:val="24"/>
        </w:rPr>
        <w:tab/>
        <w:t>Sasaki Y, Milbrandt J (2010) Axonal degeneration is blocked by nicotinamide mononucleotide adenylyltransferase (Nmnat) protein transduction into transected axons. J Biol Chem 285:41211–41215. https://doi.org/10.1074/JBC.C110.193904</w:t>
      </w:r>
    </w:p>
    <w:p w14:paraId="63661417"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33. </w:t>
      </w:r>
      <w:r w:rsidRPr="00E030F1">
        <w:rPr>
          <w:noProof/>
          <w:color w:val="000000" w:themeColor="text1"/>
          <w:szCs w:val="24"/>
        </w:rPr>
        <w:tab/>
        <w:t>Fritschy JM (2008) Epilepsy, E/I balance and GABAA receptor plasticity. Front Mol Neurosci 1:. https://doi.org/10.3389/neuro.02.005.2008</w:t>
      </w:r>
    </w:p>
    <w:p w14:paraId="5E1D98BC"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34. </w:t>
      </w:r>
      <w:r w:rsidRPr="00E030F1">
        <w:rPr>
          <w:noProof/>
          <w:color w:val="000000" w:themeColor="text1"/>
          <w:szCs w:val="24"/>
        </w:rPr>
        <w:tab/>
        <w:t>Bozzi Y, Provenzano G, Casarosa S (2018) Neurobiological bases of autism–epilepsy comorbidity: a focus on excitation/inhibition imbalance. Eur J Neurosci 47:534–548. https://doi.org/10.1111/ejn.13595</w:t>
      </w:r>
    </w:p>
    <w:p w14:paraId="30795118"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35. </w:t>
      </w:r>
      <w:r w:rsidRPr="00E030F1">
        <w:rPr>
          <w:noProof/>
          <w:color w:val="000000" w:themeColor="text1"/>
          <w:szCs w:val="24"/>
        </w:rPr>
        <w:tab/>
        <w:t>Liu XM, Yamasaki A, Du XM, et al (2018) Lipidation-independent vacuolar functions of atg8 rely on its noncanonical interaction with a vacuole membrane protein. Elife 7:1–21. https://doi.org/10.7554/eLife.41237</w:t>
      </w:r>
    </w:p>
    <w:p w14:paraId="3928D5AB"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36. </w:t>
      </w:r>
      <w:r w:rsidRPr="00E030F1">
        <w:rPr>
          <w:noProof/>
          <w:color w:val="000000" w:themeColor="text1"/>
          <w:szCs w:val="24"/>
        </w:rPr>
        <w:tab/>
        <w:t>He CW, Cui XF, Ma SJ, et al (2021) Membrane recruitment of Atg8 by Hfl1 facilitates turnover of vacuolar membrane proteins in yeast cells approaching stationary phase. BMC Biol 19:. https://doi.org/10.1186/s12915-021-01048-7</w:t>
      </w:r>
    </w:p>
    <w:p w14:paraId="6E99D3B1"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lastRenderedPageBreak/>
        <w:t xml:space="preserve">37. </w:t>
      </w:r>
      <w:r w:rsidRPr="00E030F1">
        <w:rPr>
          <w:noProof/>
          <w:color w:val="000000" w:themeColor="text1"/>
          <w:szCs w:val="24"/>
        </w:rPr>
        <w:tab/>
        <w:t>Liu Q, Vain T, Viotti C, et al (2018) Vacuole Integrity Maintained by DUF300 Proteins Is Required for Brassinosteroid Signaling Regulation. Mol Plant 11:553–567. https://doi.org/10.1016/j.molp.2017.12.015</w:t>
      </w:r>
    </w:p>
    <w:p w14:paraId="1E5B0D96"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38. </w:t>
      </w:r>
      <w:r w:rsidRPr="00E030F1">
        <w:rPr>
          <w:noProof/>
          <w:color w:val="000000" w:themeColor="text1"/>
          <w:szCs w:val="24"/>
        </w:rPr>
        <w:tab/>
        <w:t>Kittel RJ, Wichmann C, Rasse TM, et al (2006) Bruchpilot promotes active zone assembly, Ca2+ channel clustering, and vesicle release. Science 312:1051–1054. https://doi.org/10.1126/SCIENCE.1126308</w:t>
      </w:r>
    </w:p>
    <w:p w14:paraId="2624F6B4"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39. </w:t>
      </w:r>
      <w:r w:rsidRPr="00E030F1">
        <w:rPr>
          <w:noProof/>
          <w:color w:val="000000" w:themeColor="text1"/>
          <w:szCs w:val="24"/>
        </w:rPr>
        <w:tab/>
        <w:t>Wagh DA, Rasse TM, Asan E, et al (2006) Bruchpilot, a Protein with Homology to ELKS/CAST, Is Required for Structural Integrity and Function of Synaptic Active Zones in Drosophila. Neuron 49:833–844. https://doi.org/10.1016/J.NEURON.2006.02.008</w:t>
      </w:r>
    </w:p>
    <w:p w14:paraId="73192E9B"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40. </w:t>
      </w:r>
      <w:r w:rsidRPr="00E030F1">
        <w:rPr>
          <w:noProof/>
          <w:color w:val="000000" w:themeColor="text1"/>
          <w:szCs w:val="24"/>
        </w:rPr>
        <w:tab/>
        <w:t>Shakiryanova D, Morimoto T, Zhou C, et al (2011) Differential Control of Presynaptic CaMKII Activation and Translocation to Active Zones. J Neurosci 31:9093. https://doi.org/10.1523/JNEUROSCI.0550-11.2011</w:t>
      </w:r>
    </w:p>
    <w:p w14:paraId="281DDAA2"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41. </w:t>
      </w:r>
      <w:r w:rsidRPr="00E030F1">
        <w:rPr>
          <w:noProof/>
          <w:color w:val="000000" w:themeColor="text1"/>
          <w:szCs w:val="24"/>
        </w:rPr>
        <w:tab/>
        <w:t>Narita K, Akita T, Osanai M, et al (1998) A Ca2+-induced Ca2+ release mechanism involved in asynchronous exocytosis at frog motor nerve terminals. J Gen Physiol 112:593–609. https://doi.org/10.1085/JGP.112.5.593</w:t>
      </w:r>
    </w:p>
    <w:p w14:paraId="1C59491A"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42. </w:t>
      </w:r>
      <w:r w:rsidRPr="00E030F1">
        <w:rPr>
          <w:noProof/>
          <w:color w:val="000000" w:themeColor="text1"/>
          <w:szCs w:val="24"/>
        </w:rPr>
        <w:tab/>
        <w:t>Kubota M, Narita K, Murayama T, et al (2005) Type-3 ryanodine receptor involved in Ca2+-induced Ca2+ release and transmitter exocytosis at frog motor nerve terminals. Cell Calcium 38:557–567. https://doi.org/10.1016/j.ceca.2005.07.008</w:t>
      </w:r>
    </w:p>
    <w:p w14:paraId="28563287"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43. </w:t>
      </w:r>
      <w:r w:rsidRPr="00E030F1">
        <w:rPr>
          <w:noProof/>
          <w:color w:val="000000" w:themeColor="text1"/>
          <w:szCs w:val="24"/>
        </w:rPr>
        <w:tab/>
        <w:t>Khuzakhmetova V, Samigullin D, Nurullin L, et al (2014) Kinetics of neurotransmitter release in neuromuscular synapses of newborn and adult rats. Int J Dev Neurosci 34:9–18. https://doi.org/10.1016/J.IJDEVNEU.2013.12.010</w:t>
      </w:r>
    </w:p>
    <w:p w14:paraId="0DDD34D8"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44. </w:t>
      </w:r>
      <w:r w:rsidRPr="00E030F1">
        <w:rPr>
          <w:noProof/>
          <w:color w:val="000000" w:themeColor="text1"/>
          <w:szCs w:val="24"/>
        </w:rPr>
        <w:tab/>
        <w:t>Khuzakhmetova VF, Samigullin D V., Bukharaeva EA (2014) The role of presynaptic ryanodine receptors in regulation of the kinetics of the acetylcholine quantal release in the mouse neuromuscular junction. Biochem Suppl Ser A Membr Cell Biol 2014 81 8:144–152. https://doi.org/10.1134/S199074781305005X</w:t>
      </w:r>
    </w:p>
    <w:p w14:paraId="7A41071A"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45. </w:t>
      </w:r>
      <w:r w:rsidRPr="00E030F1">
        <w:rPr>
          <w:noProof/>
          <w:color w:val="000000" w:themeColor="text1"/>
          <w:szCs w:val="24"/>
        </w:rPr>
        <w:tab/>
        <w:t xml:space="preserve">James TD, Zwiefelhofer DJ, Frank CA (2019) Maintenance of homeostatic plasticity at </w:t>
      </w:r>
      <w:r w:rsidRPr="00E030F1">
        <w:rPr>
          <w:noProof/>
          <w:color w:val="000000" w:themeColor="text1"/>
          <w:szCs w:val="24"/>
        </w:rPr>
        <w:lastRenderedPageBreak/>
        <w:t>the Drosophila neuromuscular synapse requires continuous IP 3-directed signaling. Elife 8:. https://doi.org/10.7554/ELIFE.39643</w:t>
      </w:r>
    </w:p>
    <w:p w14:paraId="2BBA58F9"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46. </w:t>
      </w:r>
      <w:r w:rsidRPr="00E030F1">
        <w:rPr>
          <w:noProof/>
          <w:color w:val="000000" w:themeColor="text1"/>
          <w:szCs w:val="24"/>
        </w:rPr>
        <w:tab/>
        <w:t>Kaeser PS, Regehr WG (2014) Molecular Mechanisms for Synchronous, Asynchronous, and Spontaneous Neurotransmitter Release. http://dx.doi.org/101146/annurev-physiol-021113-170338 76:333–363. https://doi.org/10.1146/ANNUREV-PHYSIOL-021113-170338</w:t>
      </w:r>
    </w:p>
    <w:p w14:paraId="26F40AEC"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47. </w:t>
      </w:r>
      <w:r w:rsidRPr="00E030F1">
        <w:rPr>
          <w:noProof/>
          <w:color w:val="000000" w:themeColor="text1"/>
          <w:szCs w:val="24"/>
        </w:rPr>
        <w:tab/>
        <w:t>Budnik V, Zhong Y, Wu CF (1990) Morphological plasticity of motor axons in Drosophila mutants with altered excitability. J Neurosci 10:3754–3768. https://doi.org/10.1523/JNEUROSCI.10-11-03754.1990</w:t>
      </w:r>
    </w:p>
    <w:p w14:paraId="7B53B7A1"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48. </w:t>
      </w:r>
      <w:r w:rsidRPr="00E030F1">
        <w:rPr>
          <w:noProof/>
          <w:color w:val="000000" w:themeColor="text1"/>
          <w:szCs w:val="24"/>
        </w:rPr>
        <w:tab/>
        <w:t>Kuebler D, Zhang H, Ren X, Tanouye MA (2001) Genetic suppression of seizure susceptibility in Drosophila. J Neurophysiol 86:1211–1225. https://doi.org/10.1152/JN.2001.86.3.1211/ASSET/IMAGES/LARGE/9K0911880007.JPEG</w:t>
      </w:r>
    </w:p>
    <w:p w14:paraId="55B888A8"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49. </w:t>
      </w:r>
      <w:r w:rsidRPr="00E030F1">
        <w:rPr>
          <w:noProof/>
          <w:color w:val="000000" w:themeColor="text1"/>
          <w:szCs w:val="24"/>
        </w:rPr>
        <w:tab/>
        <w:t>Saras A, Tanouye MA (2016) Mutations of the Calcium Channel Gene cacophony Suppress Seizures in Drosophila. PLOS Genet 12:e1005784. https://doi.org/10.1371/JOURNAL.PGEN.1005784</w:t>
      </w:r>
    </w:p>
    <w:p w14:paraId="235F87E6"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50. </w:t>
      </w:r>
      <w:r w:rsidRPr="00E030F1">
        <w:rPr>
          <w:noProof/>
          <w:color w:val="000000" w:themeColor="text1"/>
          <w:szCs w:val="24"/>
        </w:rPr>
        <w:tab/>
        <w:t>Wiel C, Lallet-Daher H, Gitenay D, et al (2014) Endoplasmic reticulum calcium release through ITPR2 channels leads to mitochondrial calcium accumulation and senescence. Nat Commun 5:. https://doi.org/10.1038/ncomms4792</w:t>
      </w:r>
    </w:p>
    <w:p w14:paraId="22ED477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51. </w:t>
      </w:r>
      <w:r w:rsidRPr="00E030F1">
        <w:rPr>
          <w:noProof/>
          <w:color w:val="000000" w:themeColor="text1"/>
          <w:szCs w:val="24"/>
        </w:rPr>
        <w:tab/>
        <w:t>Wong CO, Karagas NE, Jung J, et al (2021) Regulation of longevity by depolarization-induced activation of PLC-β-IP3R signaling in neurons. Proc Natl Acad Sci U S A 118:1–9. https://doi.org/10.1073/pnas.2004253118</w:t>
      </w:r>
    </w:p>
    <w:p w14:paraId="03DC6473"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52. </w:t>
      </w:r>
      <w:r w:rsidRPr="00E030F1">
        <w:rPr>
          <w:noProof/>
          <w:color w:val="000000" w:themeColor="text1"/>
          <w:szCs w:val="24"/>
        </w:rPr>
        <w:tab/>
        <w:t>Calcraft PJ, Ruas M, Pan Z, et al (2009) NAADP mobilizes calcium from acidic organelles through two-pore channels. Nature 459:596–600. https://doi.org/10.1038/NATURE08030</w:t>
      </w:r>
    </w:p>
    <w:p w14:paraId="390641A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53. </w:t>
      </w:r>
      <w:r w:rsidRPr="00E030F1">
        <w:rPr>
          <w:noProof/>
          <w:color w:val="000000" w:themeColor="text1"/>
          <w:szCs w:val="24"/>
        </w:rPr>
        <w:tab/>
        <w:t xml:space="preserve">Meyer JO, Dolphin AC (2021) Rab11-dependent recycling of calcium channels is mediated by auxiliary subunit α2δ-1 but not α2δ-3. Sci Rep 11:1–13. </w:t>
      </w:r>
      <w:r w:rsidRPr="00E030F1">
        <w:rPr>
          <w:noProof/>
          <w:color w:val="000000" w:themeColor="text1"/>
          <w:szCs w:val="24"/>
        </w:rPr>
        <w:lastRenderedPageBreak/>
        <w:t>https://doi.org/10.1038/s41598-021-89820-1</w:t>
      </w:r>
    </w:p>
    <w:p w14:paraId="40128900"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54. </w:t>
      </w:r>
      <w:r w:rsidRPr="00E030F1">
        <w:rPr>
          <w:noProof/>
          <w:color w:val="000000" w:themeColor="text1"/>
          <w:szCs w:val="24"/>
        </w:rPr>
        <w:tab/>
        <w:t>Malek M, Wawrzyniak AM, Koch P, et al (2021) Inositol triphosphate-triggered calcium release blocks lipid exchange at endoplasmic reticulum-Golgi contact sites. Nat Commun 12:. https://doi.org/10.1038/s41467-021-22882-x</w:t>
      </w:r>
    </w:p>
    <w:p w14:paraId="221EA835"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55. </w:t>
      </w:r>
      <w:r w:rsidRPr="00E030F1">
        <w:rPr>
          <w:noProof/>
          <w:color w:val="000000" w:themeColor="text1"/>
          <w:szCs w:val="24"/>
        </w:rPr>
        <w:tab/>
        <w:t>Saheki Y, De Camilli P (2017) Endoplasmic Reticulum–Plasma Membrane Contact Sites. Annu Rev Biochem 86:659–684. https://doi.org/10.1146/annurev-biochem-061516-044932</w:t>
      </w:r>
    </w:p>
    <w:p w14:paraId="0D27BF9D"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56. </w:t>
      </w:r>
      <w:r w:rsidRPr="00E030F1">
        <w:rPr>
          <w:noProof/>
          <w:color w:val="000000" w:themeColor="text1"/>
          <w:szCs w:val="24"/>
        </w:rPr>
        <w:tab/>
        <w:t>Davis GW, Schuster CM, Goodman CS (1997) Genetic Analysis of the Mechanisms Controlling Target Selection: Target-Derived Fasciclin II Regulates the Pattern of Synapse Formation. Neuron 19:561–573. https://doi.org/10.1016/S0896-6273(00)80372-4</w:t>
      </w:r>
    </w:p>
    <w:p w14:paraId="48EEB304"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57. </w:t>
      </w:r>
      <w:r w:rsidRPr="00E030F1">
        <w:rPr>
          <w:noProof/>
          <w:color w:val="000000" w:themeColor="text1"/>
          <w:szCs w:val="24"/>
        </w:rPr>
        <w:tab/>
        <w:t>West RJH, Lu Y, Marie B, et al (2015) Rab8, POSH, and TAK1 regulate synaptic growth in a Drosophila model of frontotemporal dementia. J Cell Biol 208:931–947. https://doi.org/10.1083/jcb.201404066</w:t>
      </w:r>
    </w:p>
    <w:p w14:paraId="08567726"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58. </w:t>
      </w:r>
      <w:r w:rsidRPr="00E030F1">
        <w:rPr>
          <w:noProof/>
          <w:color w:val="000000" w:themeColor="text1"/>
          <w:szCs w:val="24"/>
        </w:rPr>
        <w:tab/>
        <w:t>Feng Y, Ueda A, Wu CF (2004) A modified minimal hemolymph-like solution, HL3.1, for physiological recordings at the neuromuscular junctions of normal and mutant Drosophila larvae. J Neurogenet 18:377–402. https://doi.org/10.1080/01677060490894522</w:t>
      </w:r>
    </w:p>
    <w:p w14:paraId="7825A659"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59. </w:t>
      </w:r>
      <w:r w:rsidRPr="00E030F1">
        <w:rPr>
          <w:noProof/>
          <w:color w:val="000000" w:themeColor="text1"/>
          <w:szCs w:val="24"/>
        </w:rPr>
        <w:tab/>
        <w:t>Macleod GT, Marin L, Charlton MP, Atwood HL (2004) Synaptic Vesicles: Test for a Role in Presynaptic Calcium Regulation. J Neurosci 24:2496–2505. https://doi.org/10.1523/JNEUROSCI.5372-03.2004</w:t>
      </w:r>
    </w:p>
    <w:p w14:paraId="576B915A"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60. </w:t>
      </w:r>
      <w:r w:rsidRPr="00E030F1">
        <w:rPr>
          <w:noProof/>
          <w:color w:val="000000" w:themeColor="text1"/>
          <w:szCs w:val="24"/>
        </w:rPr>
        <w:tab/>
        <w:t>Marie B, Sweeney ST, Poskanzer KE, et al (2004) Dap160/Intersectin scaffolds the periactive zone to achieve high-fidelity endocytosis and normal synaptic growth. Neuron 43:207–219. https://doi.org/10.1016/j.neuron.2004.07.001</w:t>
      </w:r>
    </w:p>
    <w:p w14:paraId="54B40E9F"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szCs w:val="24"/>
        </w:rPr>
      </w:pPr>
      <w:r w:rsidRPr="00E030F1">
        <w:rPr>
          <w:noProof/>
          <w:color w:val="000000" w:themeColor="text1"/>
          <w:szCs w:val="24"/>
        </w:rPr>
        <w:t xml:space="preserve">61. </w:t>
      </w:r>
      <w:r w:rsidRPr="00E030F1">
        <w:rPr>
          <w:noProof/>
          <w:color w:val="000000" w:themeColor="text1"/>
          <w:szCs w:val="24"/>
        </w:rPr>
        <w:tab/>
        <w:t>Beumer KJ, Rohrbough J, Prokop A, Broadie K (1999) A role for PS integrins in morphological growth and synaptic function at the postembryonic neuromuscular junction of Drosophila. Development 126:5833–5846. https://doi.org/10.1242/dev.126.24.5833</w:t>
      </w:r>
    </w:p>
    <w:p w14:paraId="1AA1DD4E" w14:textId="77777777" w:rsidR="00F8756B" w:rsidRPr="00E030F1" w:rsidRDefault="00F8756B" w:rsidP="00F8756B">
      <w:pPr>
        <w:widowControl w:val="0"/>
        <w:autoSpaceDE w:val="0"/>
        <w:autoSpaceDN w:val="0"/>
        <w:adjustRightInd w:val="0"/>
        <w:spacing w:line="480" w:lineRule="auto"/>
        <w:ind w:left="640" w:hanging="640"/>
        <w:rPr>
          <w:noProof/>
          <w:color w:val="000000" w:themeColor="text1"/>
        </w:rPr>
      </w:pPr>
      <w:r w:rsidRPr="00E030F1">
        <w:rPr>
          <w:noProof/>
          <w:color w:val="000000" w:themeColor="text1"/>
          <w:szCs w:val="24"/>
        </w:rPr>
        <w:lastRenderedPageBreak/>
        <w:t xml:space="preserve">62. </w:t>
      </w:r>
      <w:r w:rsidRPr="00E030F1">
        <w:rPr>
          <w:noProof/>
          <w:color w:val="000000" w:themeColor="text1"/>
          <w:szCs w:val="24"/>
        </w:rPr>
        <w:tab/>
        <w:t>Torroja L, Packard M, Gorczyca M, et al (1999) The Drosophila β-amyloid precursor protein homolog promotes synapse differentiation at the neuromuscular junction. J Neurosci 19:7793–7803. https://doi.org/10.1523/jneurosci.19-18-07793.1999</w:t>
      </w:r>
    </w:p>
    <w:p w14:paraId="504EF217" w14:textId="409DEC53" w:rsidR="00633184" w:rsidRPr="00E030F1" w:rsidRDefault="00633184" w:rsidP="000B2BA4">
      <w:pPr>
        <w:widowControl w:val="0"/>
        <w:autoSpaceDE w:val="0"/>
        <w:autoSpaceDN w:val="0"/>
        <w:adjustRightInd w:val="0"/>
        <w:spacing w:line="480" w:lineRule="auto"/>
        <w:ind w:left="640" w:hanging="640"/>
        <w:rPr>
          <w:b/>
          <w:color w:val="000000" w:themeColor="text1"/>
        </w:rPr>
      </w:pPr>
      <w:r w:rsidRPr="00E030F1">
        <w:rPr>
          <w:b/>
          <w:color w:val="000000" w:themeColor="text1"/>
        </w:rPr>
        <w:fldChar w:fldCharType="end"/>
      </w:r>
    </w:p>
    <w:sectPr w:rsidR="00633184" w:rsidRPr="00E030F1">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4970C" w14:textId="77777777" w:rsidR="00ED1654" w:rsidRDefault="00ED1654" w:rsidP="006E411F">
      <w:pPr>
        <w:spacing w:line="240" w:lineRule="auto"/>
      </w:pPr>
      <w:r>
        <w:separator/>
      </w:r>
    </w:p>
  </w:endnote>
  <w:endnote w:type="continuationSeparator" w:id="0">
    <w:p w14:paraId="18959CB7" w14:textId="77777777" w:rsidR="00ED1654" w:rsidRDefault="00ED1654" w:rsidP="006E41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gree">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498671"/>
      <w:docPartObj>
        <w:docPartGallery w:val="Page Numbers (Bottom of Page)"/>
        <w:docPartUnique/>
      </w:docPartObj>
    </w:sdtPr>
    <w:sdtEndPr>
      <w:rPr>
        <w:noProof/>
      </w:rPr>
    </w:sdtEndPr>
    <w:sdtContent>
      <w:p w14:paraId="0AFB0D27" w14:textId="5B378B40" w:rsidR="006E411F" w:rsidRDefault="006E41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211BD7" w14:textId="77777777" w:rsidR="006E411F" w:rsidRDefault="006E4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82077" w14:textId="77777777" w:rsidR="00ED1654" w:rsidRDefault="00ED1654" w:rsidP="006E411F">
      <w:pPr>
        <w:spacing w:line="240" w:lineRule="auto"/>
      </w:pPr>
      <w:r>
        <w:separator/>
      </w:r>
    </w:p>
  </w:footnote>
  <w:footnote w:type="continuationSeparator" w:id="0">
    <w:p w14:paraId="290FA421" w14:textId="77777777" w:rsidR="00ED1654" w:rsidRDefault="00ED1654" w:rsidP="006E411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8F"/>
    <w:rsid w:val="00003888"/>
    <w:rsid w:val="00005BFD"/>
    <w:rsid w:val="00011B06"/>
    <w:rsid w:val="000159C3"/>
    <w:rsid w:val="00024697"/>
    <w:rsid w:val="000272E4"/>
    <w:rsid w:val="00027800"/>
    <w:rsid w:val="000344B3"/>
    <w:rsid w:val="00036DB5"/>
    <w:rsid w:val="0005095A"/>
    <w:rsid w:val="00054254"/>
    <w:rsid w:val="0005518A"/>
    <w:rsid w:val="00055F28"/>
    <w:rsid w:val="00056C8E"/>
    <w:rsid w:val="00057DEF"/>
    <w:rsid w:val="00072C68"/>
    <w:rsid w:val="000769E6"/>
    <w:rsid w:val="00081295"/>
    <w:rsid w:val="00082D6E"/>
    <w:rsid w:val="0008351D"/>
    <w:rsid w:val="000A2488"/>
    <w:rsid w:val="000A38A6"/>
    <w:rsid w:val="000A541F"/>
    <w:rsid w:val="000B2BA4"/>
    <w:rsid w:val="000B370C"/>
    <w:rsid w:val="000B40C8"/>
    <w:rsid w:val="000B423E"/>
    <w:rsid w:val="000D1699"/>
    <w:rsid w:val="000D4897"/>
    <w:rsid w:val="000E2675"/>
    <w:rsid w:val="000E565E"/>
    <w:rsid w:val="000E60B2"/>
    <w:rsid w:val="000E6E7F"/>
    <w:rsid w:val="00102532"/>
    <w:rsid w:val="00103065"/>
    <w:rsid w:val="0010397D"/>
    <w:rsid w:val="0010752F"/>
    <w:rsid w:val="00114EAE"/>
    <w:rsid w:val="001206B2"/>
    <w:rsid w:val="00123331"/>
    <w:rsid w:val="0012405F"/>
    <w:rsid w:val="00133086"/>
    <w:rsid w:val="001331D4"/>
    <w:rsid w:val="0013682D"/>
    <w:rsid w:val="001369E0"/>
    <w:rsid w:val="00145827"/>
    <w:rsid w:val="001576EF"/>
    <w:rsid w:val="001608E7"/>
    <w:rsid w:val="001613FD"/>
    <w:rsid w:val="001626C0"/>
    <w:rsid w:val="00165E0D"/>
    <w:rsid w:val="00170B9D"/>
    <w:rsid w:val="001826CB"/>
    <w:rsid w:val="001836D2"/>
    <w:rsid w:val="001847CB"/>
    <w:rsid w:val="00193569"/>
    <w:rsid w:val="0019575C"/>
    <w:rsid w:val="001A069A"/>
    <w:rsid w:val="001A0782"/>
    <w:rsid w:val="001A14B8"/>
    <w:rsid w:val="001A1BA8"/>
    <w:rsid w:val="001A30D7"/>
    <w:rsid w:val="001A7E12"/>
    <w:rsid w:val="001B5D64"/>
    <w:rsid w:val="001C0C2D"/>
    <w:rsid w:val="001C144D"/>
    <w:rsid w:val="001C3D50"/>
    <w:rsid w:val="001C4A5B"/>
    <w:rsid w:val="001C76D8"/>
    <w:rsid w:val="001D0E0D"/>
    <w:rsid w:val="001E0BEE"/>
    <w:rsid w:val="001E1F88"/>
    <w:rsid w:val="001E4E23"/>
    <w:rsid w:val="001E5853"/>
    <w:rsid w:val="001F4FD7"/>
    <w:rsid w:val="00211087"/>
    <w:rsid w:val="0022019A"/>
    <w:rsid w:val="0022732E"/>
    <w:rsid w:val="002273A7"/>
    <w:rsid w:val="00227592"/>
    <w:rsid w:val="00234755"/>
    <w:rsid w:val="00235020"/>
    <w:rsid w:val="00237C8D"/>
    <w:rsid w:val="00241B32"/>
    <w:rsid w:val="00243EF5"/>
    <w:rsid w:val="00243F89"/>
    <w:rsid w:val="00246A76"/>
    <w:rsid w:val="002475B6"/>
    <w:rsid w:val="002505C0"/>
    <w:rsid w:val="00251D26"/>
    <w:rsid w:val="00256C5B"/>
    <w:rsid w:val="002623FF"/>
    <w:rsid w:val="002705BE"/>
    <w:rsid w:val="0027252D"/>
    <w:rsid w:val="002738EE"/>
    <w:rsid w:val="002740B9"/>
    <w:rsid w:val="00275864"/>
    <w:rsid w:val="002772FB"/>
    <w:rsid w:val="002817B9"/>
    <w:rsid w:val="00281EC2"/>
    <w:rsid w:val="00290F0B"/>
    <w:rsid w:val="002A1B8E"/>
    <w:rsid w:val="002A7AA0"/>
    <w:rsid w:val="002B31FD"/>
    <w:rsid w:val="002B41C7"/>
    <w:rsid w:val="002B7161"/>
    <w:rsid w:val="002B729F"/>
    <w:rsid w:val="002C13EA"/>
    <w:rsid w:val="002C36FB"/>
    <w:rsid w:val="002C48E4"/>
    <w:rsid w:val="002C7F97"/>
    <w:rsid w:val="002D2C69"/>
    <w:rsid w:val="002D4FCA"/>
    <w:rsid w:val="002D608D"/>
    <w:rsid w:val="002D6ABB"/>
    <w:rsid w:val="002E0D55"/>
    <w:rsid w:val="002E6055"/>
    <w:rsid w:val="002E70F2"/>
    <w:rsid w:val="002F035C"/>
    <w:rsid w:val="002F6441"/>
    <w:rsid w:val="00300B60"/>
    <w:rsid w:val="003167C9"/>
    <w:rsid w:val="00323E55"/>
    <w:rsid w:val="00335052"/>
    <w:rsid w:val="00337E82"/>
    <w:rsid w:val="0034062C"/>
    <w:rsid w:val="00344192"/>
    <w:rsid w:val="0034548A"/>
    <w:rsid w:val="00346D16"/>
    <w:rsid w:val="00347D54"/>
    <w:rsid w:val="00366311"/>
    <w:rsid w:val="00371DDB"/>
    <w:rsid w:val="003753C0"/>
    <w:rsid w:val="00381941"/>
    <w:rsid w:val="0038255F"/>
    <w:rsid w:val="00383DB2"/>
    <w:rsid w:val="00383DF9"/>
    <w:rsid w:val="0038465F"/>
    <w:rsid w:val="00391F7F"/>
    <w:rsid w:val="00392464"/>
    <w:rsid w:val="003953DB"/>
    <w:rsid w:val="003958E6"/>
    <w:rsid w:val="00396D35"/>
    <w:rsid w:val="003A3814"/>
    <w:rsid w:val="003A7E3F"/>
    <w:rsid w:val="003B08F3"/>
    <w:rsid w:val="003B4EA3"/>
    <w:rsid w:val="003B698B"/>
    <w:rsid w:val="003C1826"/>
    <w:rsid w:val="003C69DE"/>
    <w:rsid w:val="003C73CF"/>
    <w:rsid w:val="003C7989"/>
    <w:rsid w:val="003C7E08"/>
    <w:rsid w:val="003D2473"/>
    <w:rsid w:val="003D5677"/>
    <w:rsid w:val="003D585E"/>
    <w:rsid w:val="003D5981"/>
    <w:rsid w:val="003E1A14"/>
    <w:rsid w:val="003E5B79"/>
    <w:rsid w:val="003F2924"/>
    <w:rsid w:val="003F6EA5"/>
    <w:rsid w:val="00402290"/>
    <w:rsid w:val="00402679"/>
    <w:rsid w:val="004067A4"/>
    <w:rsid w:val="004069F9"/>
    <w:rsid w:val="004079D7"/>
    <w:rsid w:val="0041086E"/>
    <w:rsid w:val="004118BF"/>
    <w:rsid w:val="00417442"/>
    <w:rsid w:val="00431FD1"/>
    <w:rsid w:val="00441FCD"/>
    <w:rsid w:val="00453BBB"/>
    <w:rsid w:val="0045771A"/>
    <w:rsid w:val="0046111D"/>
    <w:rsid w:val="00461B99"/>
    <w:rsid w:val="00467390"/>
    <w:rsid w:val="004701DA"/>
    <w:rsid w:val="004708BF"/>
    <w:rsid w:val="00475797"/>
    <w:rsid w:val="0047658E"/>
    <w:rsid w:val="004829E6"/>
    <w:rsid w:val="0049054B"/>
    <w:rsid w:val="00492195"/>
    <w:rsid w:val="0049610C"/>
    <w:rsid w:val="00497D55"/>
    <w:rsid w:val="004A0CEA"/>
    <w:rsid w:val="004A2596"/>
    <w:rsid w:val="004A31F9"/>
    <w:rsid w:val="004A3980"/>
    <w:rsid w:val="004A6C82"/>
    <w:rsid w:val="004B33C9"/>
    <w:rsid w:val="004B6324"/>
    <w:rsid w:val="004B77AA"/>
    <w:rsid w:val="004C292B"/>
    <w:rsid w:val="004C4E3A"/>
    <w:rsid w:val="004D1A27"/>
    <w:rsid w:val="004D3121"/>
    <w:rsid w:val="004E17D1"/>
    <w:rsid w:val="004E1F33"/>
    <w:rsid w:val="004E35CB"/>
    <w:rsid w:val="004F2BA3"/>
    <w:rsid w:val="004F61A3"/>
    <w:rsid w:val="004F7ECC"/>
    <w:rsid w:val="00504D4C"/>
    <w:rsid w:val="00507AB5"/>
    <w:rsid w:val="00510F8F"/>
    <w:rsid w:val="00521D2A"/>
    <w:rsid w:val="0052450A"/>
    <w:rsid w:val="00525ADB"/>
    <w:rsid w:val="005320AE"/>
    <w:rsid w:val="00532A2A"/>
    <w:rsid w:val="00535A47"/>
    <w:rsid w:val="00544897"/>
    <w:rsid w:val="005471D0"/>
    <w:rsid w:val="00551005"/>
    <w:rsid w:val="00552A71"/>
    <w:rsid w:val="00556121"/>
    <w:rsid w:val="0055695C"/>
    <w:rsid w:val="0056092F"/>
    <w:rsid w:val="00560BF7"/>
    <w:rsid w:val="005667F5"/>
    <w:rsid w:val="00567012"/>
    <w:rsid w:val="0057025A"/>
    <w:rsid w:val="00577418"/>
    <w:rsid w:val="00586826"/>
    <w:rsid w:val="00587F3B"/>
    <w:rsid w:val="005969D7"/>
    <w:rsid w:val="005A3B22"/>
    <w:rsid w:val="005A7D91"/>
    <w:rsid w:val="005B089E"/>
    <w:rsid w:val="005B2761"/>
    <w:rsid w:val="005C1B98"/>
    <w:rsid w:val="005C466C"/>
    <w:rsid w:val="005C4E62"/>
    <w:rsid w:val="005C6269"/>
    <w:rsid w:val="005C6903"/>
    <w:rsid w:val="005C71AC"/>
    <w:rsid w:val="005D1115"/>
    <w:rsid w:val="005D18AD"/>
    <w:rsid w:val="005D27D6"/>
    <w:rsid w:val="005D4A56"/>
    <w:rsid w:val="005D7C1F"/>
    <w:rsid w:val="005E2ABD"/>
    <w:rsid w:val="005E3DB0"/>
    <w:rsid w:val="005F7A96"/>
    <w:rsid w:val="00600DB3"/>
    <w:rsid w:val="006066A4"/>
    <w:rsid w:val="00606C19"/>
    <w:rsid w:val="00606EF6"/>
    <w:rsid w:val="006075D1"/>
    <w:rsid w:val="00610409"/>
    <w:rsid w:val="00617A2A"/>
    <w:rsid w:val="00617FA9"/>
    <w:rsid w:val="00623CB6"/>
    <w:rsid w:val="00623DC7"/>
    <w:rsid w:val="00626981"/>
    <w:rsid w:val="006329D4"/>
    <w:rsid w:val="00633184"/>
    <w:rsid w:val="00636790"/>
    <w:rsid w:val="00652AB5"/>
    <w:rsid w:val="00654E62"/>
    <w:rsid w:val="00655193"/>
    <w:rsid w:val="00657AD3"/>
    <w:rsid w:val="00662FA3"/>
    <w:rsid w:val="00675A2B"/>
    <w:rsid w:val="006802FB"/>
    <w:rsid w:val="00680F08"/>
    <w:rsid w:val="00684471"/>
    <w:rsid w:val="00691667"/>
    <w:rsid w:val="006924E2"/>
    <w:rsid w:val="0069449F"/>
    <w:rsid w:val="00695052"/>
    <w:rsid w:val="00695A99"/>
    <w:rsid w:val="00697F35"/>
    <w:rsid w:val="006B21D3"/>
    <w:rsid w:val="006B4D4B"/>
    <w:rsid w:val="006C03E6"/>
    <w:rsid w:val="006C3F22"/>
    <w:rsid w:val="006C6E90"/>
    <w:rsid w:val="006C7CD4"/>
    <w:rsid w:val="006D41FD"/>
    <w:rsid w:val="006D4C31"/>
    <w:rsid w:val="006D5E4D"/>
    <w:rsid w:val="006E411F"/>
    <w:rsid w:val="006F1A78"/>
    <w:rsid w:val="006F5B52"/>
    <w:rsid w:val="0070518E"/>
    <w:rsid w:val="00705F4E"/>
    <w:rsid w:val="00712D26"/>
    <w:rsid w:val="00714731"/>
    <w:rsid w:val="00714BCF"/>
    <w:rsid w:val="007170DA"/>
    <w:rsid w:val="00721B68"/>
    <w:rsid w:val="007227D8"/>
    <w:rsid w:val="00724170"/>
    <w:rsid w:val="00733C32"/>
    <w:rsid w:val="00742E81"/>
    <w:rsid w:val="0074300C"/>
    <w:rsid w:val="0074441B"/>
    <w:rsid w:val="00745F32"/>
    <w:rsid w:val="00751B7F"/>
    <w:rsid w:val="00770C90"/>
    <w:rsid w:val="00775BC8"/>
    <w:rsid w:val="007761DE"/>
    <w:rsid w:val="00780D58"/>
    <w:rsid w:val="00781360"/>
    <w:rsid w:val="00781799"/>
    <w:rsid w:val="00795099"/>
    <w:rsid w:val="007A6DEE"/>
    <w:rsid w:val="007B5602"/>
    <w:rsid w:val="007B6673"/>
    <w:rsid w:val="007B6D5A"/>
    <w:rsid w:val="007C28C8"/>
    <w:rsid w:val="007C4F82"/>
    <w:rsid w:val="007C7730"/>
    <w:rsid w:val="007D1EC8"/>
    <w:rsid w:val="007D2182"/>
    <w:rsid w:val="007D4D1A"/>
    <w:rsid w:val="007E68C7"/>
    <w:rsid w:val="007E6F14"/>
    <w:rsid w:val="007F0B22"/>
    <w:rsid w:val="007F0F85"/>
    <w:rsid w:val="007F3151"/>
    <w:rsid w:val="007F45E3"/>
    <w:rsid w:val="00802398"/>
    <w:rsid w:val="00803F6A"/>
    <w:rsid w:val="008076DA"/>
    <w:rsid w:val="00815A72"/>
    <w:rsid w:val="0081745D"/>
    <w:rsid w:val="0082035F"/>
    <w:rsid w:val="00831FC1"/>
    <w:rsid w:val="00833EE6"/>
    <w:rsid w:val="008377EB"/>
    <w:rsid w:val="00843162"/>
    <w:rsid w:val="0084343F"/>
    <w:rsid w:val="00845960"/>
    <w:rsid w:val="00850451"/>
    <w:rsid w:val="00851B84"/>
    <w:rsid w:val="008556C1"/>
    <w:rsid w:val="008578EE"/>
    <w:rsid w:val="008635A6"/>
    <w:rsid w:val="0086786A"/>
    <w:rsid w:val="00875D76"/>
    <w:rsid w:val="00877634"/>
    <w:rsid w:val="0088147B"/>
    <w:rsid w:val="0088188B"/>
    <w:rsid w:val="008869D8"/>
    <w:rsid w:val="00893EE8"/>
    <w:rsid w:val="00896398"/>
    <w:rsid w:val="00897339"/>
    <w:rsid w:val="008A2B2F"/>
    <w:rsid w:val="008A33C1"/>
    <w:rsid w:val="008A4689"/>
    <w:rsid w:val="008C3585"/>
    <w:rsid w:val="008C55AB"/>
    <w:rsid w:val="008D5EDD"/>
    <w:rsid w:val="008E5E2B"/>
    <w:rsid w:val="008E6029"/>
    <w:rsid w:val="008E7C53"/>
    <w:rsid w:val="008F2CFA"/>
    <w:rsid w:val="008F2D59"/>
    <w:rsid w:val="008F6FE7"/>
    <w:rsid w:val="00903612"/>
    <w:rsid w:val="00903818"/>
    <w:rsid w:val="00905A9D"/>
    <w:rsid w:val="00906ACB"/>
    <w:rsid w:val="009127D3"/>
    <w:rsid w:val="00912D4A"/>
    <w:rsid w:val="009136CB"/>
    <w:rsid w:val="009175A6"/>
    <w:rsid w:val="009254C2"/>
    <w:rsid w:val="00926D1A"/>
    <w:rsid w:val="009273DB"/>
    <w:rsid w:val="00930ED4"/>
    <w:rsid w:val="009375F9"/>
    <w:rsid w:val="0094077A"/>
    <w:rsid w:val="00946034"/>
    <w:rsid w:val="00947841"/>
    <w:rsid w:val="00957099"/>
    <w:rsid w:val="00966674"/>
    <w:rsid w:val="00974CFC"/>
    <w:rsid w:val="0098155A"/>
    <w:rsid w:val="009838BD"/>
    <w:rsid w:val="00983F05"/>
    <w:rsid w:val="009841B3"/>
    <w:rsid w:val="00984F47"/>
    <w:rsid w:val="00985713"/>
    <w:rsid w:val="00986E1A"/>
    <w:rsid w:val="0099323C"/>
    <w:rsid w:val="00997083"/>
    <w:rsid w:val="00997373"/>
    <w:rsid w:val="00997547"/>
    <w:rsid w:val="00997CD0"/>
    <w:rsid w:val="00997E29"/>
    <w:rsid w:val="009A79E9"/>
    <w:rsid w:val="009B0766"/>
    <w:rsid w:val="009B58F6"/>
    <w:rsid w:val="009C1097"/>
    <w:rsid w:val="009C2898"/>
    <w:rsid w:val="009C384A"/>
    <w:rsid w:val="009D5672"/>
    <w:rsid w:val="009D6A62"/>
    <w:rsid w:val="009E5A84"/>
    <w:rsid w:val="009F049D"/>
    <w:rsid w:val="009F0C3A"/>
    <w:rsid w:val="009F3573"/>
    <w:rsid w:val="00A00D50"/>
    <w:rsid w:val="00A03F35"/>
    <w:rsid w:val="00A2173B"/>
    <w:rsid w:val="00A223E0"/>
    <w:rsid w:val="00A23397"/>
    <w:rsid w:val="00A2359E"/>
    <w:rsid w:val="00A40D4C"/>
    <w:rsid w:val="00A540CB"/>
    <w:rsid w:val="00A54466"/>
    <w:rsid w:val="00A54DFD"/>
    <w:rsid w:val="00A6003F"/>
    <w:rsid w:val="00A62A51"/>
    <w:rsid w:val="00A64AB9"/>
    <w:rsid w:val="00A65442"/>
    <w:rsid w:val="00A65947"/>
    <w:rsid w:val="00A67C78"/>
    <w:rsid w:val="00A7044B"/>
    <w:rsid w:val="00A71151"/>
    <w:rsid w:val="00A766F9"/>
    <w:rsid w:val="00A76844"/>
    <w:rsid w:val="00A7724A"/>
    <w:rsid w:val="00A83BAC"/>
    <w:rsid w:val="00A86CEF"/>
    <w:rsid w:val="00A87F73"/>
    <w:rsid w:val="00A912D0"/>
    <w:rsid w:val="00A91378"/>
    <w:rsid w:val="00A91556"/>
    <w:rsid w:val="00A951C5"/>
    <w:rsid w:val="00AA06B0"/>
    <w:rsid w:val="00AC5F78"/>
    <w:rsid w:val="00AD03B0"/>
    <w:rsid w:val="00AD06D9"/>
    <w:rsid w:val="00AD140D"/>
    <w:rsid w:val="00AD3A5B"/>
    <w:rsid w:val="00AD4156"/>
    <w:rsid w:val="00AD4563"/>
    <w:rsid w:val="00AE3F04"/>
    <w:rsid w:val="00AE7989"/>
    <w:rsid w:val="00AF0A92"/>
    <w:rsid w:val="00AF50DD"/>
    <w:rsid w:val="00AF7B71"/>
    <w:rsid w:val="00B038E6"/>
    <w:rsid w:val="00B05C7F"/>
    <w:rsid w:val="00B06F7A"/>
    <w:rsid w:val="00B0788A"/>
    <w:rsid w:val="00B112F8"/>
    <w:rsid w:val="00B16D94"/>
    <w:rsid w:val="00B2772E"/>
    <w:rsid w:val="00B3160D"/>
    <w:rsid w:val="00B317DA"/>
    <w:rsid w:val="00B4085B"/>
    <w:rsid w:val="00B41105"/>
    <w:rsid w:val="00B46856"/>
    <w:rsid w:val="00B54446"/>
    <w:rsid w:val="00B54C14"/>
    <w:rsid w:val="00B56001"/>
    <w:rsid w:val="00B56F68"/>
    <w:rsid w:val="00B57399"/>
    <w:rsid w:val="00B60BAB"/>
    <w:rsid w:val="00B60F35"/>
    <w:rsid w:val="00B649EB"/>
    <w:rsid w:val="00B72556"/>
    <w:rsid w:val="00B73BDF"/>
    <w:rsid w:val="00B7524A"/>
    <w:rsid w:val="00B7770C"/>
    <w:rsid w:val="00B80FDD"/>
    <w:rsid w:val="00B84A14"/>
    <w:rsid w:val="00B91A52"/>
    <w:rsid w:val="00B9313A"/>
    <w:rsid w:val="00BA03DC"/>
    <w:rsid w:val="00BA1C44"/>
    <w:rsid w:val="00BA2B56"/>
    <w:rsid w:val="00BA6A47"/>
    <w:rsid w:val="00BB198F"/>
    <w:rsid w:val="00BB3379"/>
    <w:rsid w:val="00BB4F3C"/>
    <w:rsid w:val="00BB55BB"/>
    <w:rsid w:val="00BB7EF4"/>
    <w:rsid w:val="00BC0EBA"/>
    <w:rsid w:val="00BC3703"/>
    <w:rsid w:val="00BC4672"/>
    <w:rsid w:val="00BC67A8"/>
    <w:rsid w:val="00BD2737"/>
    <w:rsid w:val="00BD2F23"/>
    <w:rsid w:val="00BE0D8E"/>
    <w:rsid w:val="00BF2AFA"/>
    <w:rsid w:val="00BF7A6D"/>
    <w:rsid w:val="00BF7AA4"/>
    <w:rsid w:val="00C007B0"/>
    <w:rsid w:val="00C02D2F"/>
    <w:rsid w:val="00C05361"/>
    <w:rsid w:val="00C06C43"/>
    <w:rsid w:val="00C07DF8"/>
    <w:rsid w:val="00C116B1"/>
    <w:rsid w:val="00C124D4"/>
    <w:rsid w:val="00C1670D"/>
    <w:rsid w:val="00C238B6"/>
    <w:rsid w:val="00C30543"/>
    <w:rsid w:val="00C34BF8"/>
    <w:rsid w:val="00C3712A"/>
    <w:rsid w:val="00C4272E"/>
    <w:rsid w:val="00C5079A"/>
    <w:rsid w:val="00C51764"/>
    <w:rsid w:val="00C52F42"/>
    <w:rsid w:val="00C577A5"/>
    <w:rsid w:val="00C60BBB"/>
    <w:rsid w:val="00C6393F"/>
    <w:rsid w:val="00C718FC"/>
    <w:rsid w:val="00C75530"/>
    <w:rsid w:val="00C75FC1"/>
    <w:rsid w:val="00C77899"/>
    <w:rsid w:val="00C81A73"/>
    <w:rsid w:val="00C82511"/>
    <w:rsid w:val="00C84626"/>
    <w:rsid w:val="00C96624"/>
    <w:rsid w:val="00CA18C2"/>
    <w:rsid w:val="00CA2756"/>
    <w:rsid w:val="00CA3931"/>
    <w:rsid w:val="00CA3BA2"/>
    <w:rsid w:val="00CA43E1"/>
    <w:rsid w:val="00CA5277"/>
    <w:rsid w:val="00CA703B"/>
    <w:rsid w:val="00CB2FC0"/>
    <w:rsid w:val="00CB4A71"/>
    <w:rsid w:val="00CB6BDF"/>
    <w:rsid w:val="00CC41A0"/>
    <w:rsid w:val="00CC41CA"/>
    <w:rsid w:val="00CD15B4"/>
    <w:rsid w:val="00CD3752"/>
    <w:rsid w:val="00CD62EE"/>
    <w:rsid w:val="00CE3E19"/>
    <w:rsid w:val="00CE542C"/>
    <w:rsid w:val="00CF355B"/>
    <w:rsid w:val="00CF429C"/>
    <w:rsid w:val="00CF4C2F"/>
    <w:rsid w:val="00D00191"/>
    <w:rsid w:val="00D02785"/>
    <w:rsid w:val="00D034A2"/>
    <w:rsid w:val="00D06331"/>
    <w:rsid w:val="00D11101"/>
    <w:rsid w:val="00D112F5"/>
    <w:rsid w:val="00D24EF3"/>
    <w:rsid w:val="00D3341F"/>
    <w:rsid w:val="00D37A30"/>
    <w:rsid w:val="00D4261D"/>
    <w:rsid w:val="00D4585F"/>
    <w:rsid w:val="00D45E47"/>
    <w:rsid w:val="00D53324"/>
    <w:rsid w:val="00D60773"/>
    <w:rsid w:val="00D65CDF"/>
    <w:rsid w:val="00D7117D"/>
    <w:rsid w:val="00D72715"/>
    <w:rsid w:val="00D833F6"/>
    <w:rsid w:val="00D90193"/>
    <w:rsid w:val="00D91F9D"/>
    <w:rsid w:val="00D92462"/>
    <w:rsid w:val="00D9386D"/>
    <w:rsid w:val="00D9450F"/>
    <w:rsid w:val="00DA097B"/>
    <w:rsid w:val="00DA0A2D"/>
    <w:rsid w:val="00DA75AE"/>
    <w:rsid w:val="00DA79EF"/>
    <w:rsid w:val="00DB1305"/>
    <w:rsid w:val="00DB2A14"/>
    <w:rsid w:val="00DB575A"/>
    <w:rsid w:val="00DC0857"/>
    <w:rsid w:val="00DC600F"/>
    <w:rsid w:val="00DC7B6C"/>
    <w:rsid w:val="00DD0406"/>
    <w:rsid w:val="00DD313E"/>
    <w:rsid w:val="00DD6892"/>
    <w:rsid w:val="00DE24FC"/>
    <w:rsid w:val="00DE4AEF"/>
    <w:rsid w:val="00DE64F2"/>
    <w:rsid w:val="00DF1197"/>
    <w:rsid w:val="00DF638C"/>
    <w:rsid w:val="00E01160"/>
    <w:rsid w:val="00E030F1"/>
    <w:rsid w:val="00E057AD"/>
    <w:rsid w:val="00E16B00"/>
    <w:rsid w:val="00E17591"/>
    <w:rsid w:val="00E211B8"/>
    <w:rsid w:val="00E229B8"/>
    <w:rsid w:val="00E24D32"/>
    <w:rsid w:val="00E25AA0"/>
    <w:rsid w:val="00E303BD"/>
    <w:rsid w:val="00E3379B"/>
    <w:rsid w:val="00E34CF2"/>
    <w:rsid w:val="00E37221"/>
    <w:rsid w:val="00E40940"/>
    <w:rsid w:val="00E4136D"/>
    <w:rsid w:val="00E50C46"/>
    <w:rsid w:val="00E50E3C"/>
    <w:rsid w:val="00E51437"/>
    <w:rsid w:val="00E53673"/>
    <w:rsid w:val="00E57B2D"/>
    <w:rsid w:val="00E662E2"/>
    <w:rsid w:val="00E73A97"/>
    <w:rsid w:val="00E755FD"/>
    <w:rsid w:val="00E81ADE"/>
    <w:rsid w:val="00E82CBC"/>
    <w:rsid w:val="00E83988"/>
    <w:rsid w:val="00E8427A"/>
    <w:rsid w:val="00E91022"/>
    <w:rsid w:val="00E9547D"/>
    <w:rsid w:val="00EA02F5"/>
    <w:rsid w:val="00EA36A4"/>
    <w:rsid w:val="00EA3BAA"/>
    <w:rsid w:val="00EA4E96"/>
    <w:rsid w:val="00EB1B27"/>
    <w:rsid w:val="00EB2558"/>
    <w:rsid w:val="00EB63E8"/>
    <w:rsid w:val="00EB6A58"/>
    <w:rsid w:val="00EC0ADC"/>
    <w:rsid w:val="00EC135C"/>
    <w:rsid w:val="00EC2F1B"/>
    <w:rsid w:val="00EC6F9A"/>
    <w:rsid w:val="00ED1654"/>
    <w:rsid w:val="00ED2270"/>
    <w:rsid w:val="00ED64DF"/>
    <w:rsid w:val="00EE3CFC"/>
    <w:rsid w:val="00EE4E95"/>
    <w:rsid w:val="00EE52CD"/>
    <w:rsid w:val="00EE6FCC"/>
    <w:rsid w:val="00EF5E3B"/>
    <w:rsid w:val="00F056D1"/>
    <w:rsid w:val="00F17E7D"/>
    <w:rsid w:val="00F25F68"/>
    <w:rsid w:val="00F2633C"/>
    <w:rsid w:val="00F26E9F"/>
    <w:rsid w:val="00F34DC1"/>
    <w:rsid w:val="00F355A1"/>
    <w:rsid w:val="00F3579D"/>
    <w:rsid w:val="00F3589F"/>
    <w:rsid w:val="00F40995"/>
    <w:rsid w:val="00F41C0B"/>
    <w:rsid w:val="00F469B0"/>
    <w:rsid w:val="00F50D4E"/>
    <w:rsid w:val="00F564BC"/>
    <w:rsid w:val="00F56809"/>
    <w:rsid w:val="00F704AA"/>
    <w:rsid w:val="00F711F4"/>
    <w:rsid w:val="00F734D8"/>
    <w:rsid w:val="00F80685"/>
    <w:rsid w:val="00F834FC"/>
    <w:rsid w:val="00F8756B"/>
    <w:rsid w:val="00F87F04"/>
    <w:rsid w:val="00F95C60"/>
    <w:rsid w:val="00F95F44"/>
    <w:rsid w:val="00F9670F"/>
    <w:rsid w:val="00FA03C5"/>
    <w:rsid w:val="00FA0548"/>
    <w:rsid w:val="00FB2A0C"/>
    <w:rsid w:val="00FB3F03"/>
    <w:rsid w:val="00FB7E49"/>
    <w:rsid w:val="00FC0408"/>
    <w:rsid w:val="00FC7931"/>
    <w:rsid w:val="00FD0298"/>
    <w:rsid w:val="00FD203F"/>
    <w:rsid w:val="00FD228D"/>
    <w:rsid w:val="00FD26EB"/>
    <w:rsid w:val="00FD44BD"/>
    <w:rsid w:val="00FD5BB0"/>
    <w:rsid w:val="00FD5CD1"/>
    <w:rsid w:val="00FD73F4"/>
    <w:rsid w:val="00FE0AA4"/>
    <w:rsid w:val="00FE2906"/>
    <w:rsid w:val="00FE548F"/>
    <w:rsid w:val="00FF08EF"/>
    <w:rsid w:val="00FF096A"/>
    <w:rsid w:val="00FF2031"/>
    <w:rsid w:val="00FF22ED"/>
    <w:rsid w:val="00FF647B"/>
    <w:rsid w:val="00FF7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017B6"/>
  <w15:docId w15:val="{A555E84F-CF3D-C64C-AD6E-942BF60A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056C8E"/>
    <w:rPr>
      <w:sz w:val="16"/>
      <w:szCs w:val="16"/>
    </w:rPr>
  </w:style>
  <w:style w:type="paragraph" w:styleId="CommentText">
    <w:name w:val="annotation text"/>
    <w:basedOn w:val="Normal"/>
    <w:link w:val="CommentTextChar"/>
    <w:uiPriority w:val="99"/>
    <w:unhideWhenUsed/>
    <w:rsid w:val="00056C8E"/>
    <w:pPr>
      <w:spacing w:line="240" w:lineRule="auto"/>
    </w:pPr>
    <w:rPr>
      <w:sz w:val="20"/>
      <w:szCs w:val="20"/>
    </w:rPr>
  </w:style>
  <w:style w:type="character" w:customStyle="1" w:styleId="CommentTextChar">
    <w:name w:val="Comment Text Char"/>
    <w:basedOn w:val="DefaultParagraphFont"/>
    <w:link w:val="CommentText"/>
    <w:uiPriority w:val="99"/>
    <w:rsid w:val="00056C8E"/>
    <w:rPr>
      <w:sz w:val="20"/>
      <w:szCs w:val="20"/>
    </w:rPr>
  </w:style>
  <w:style w:type="paragraph" w:styleId="CommentSubject">
    <w:name w:val="annotation subject"/>
    <w:basedOn w:val="CommentText"/>
    <w:next w:val="CommentText"/>
    <w:link w:val="CommentSubjectChar"/>
    <w:uiPriority w:val="99"/>
    <w:semiHidden/>
    <w:unhideWhenUsed/>
    <w:rsid w:val="00056C8E"/>
    <w:rPr>
      <w:b/>
      <w:bCs/>
    </w:rPr>
  </w:style>
  <w:style w:type="character" w:customStyle="1" w:styleId="CommentSubjectChar">
    <w:name w:val="Comment Subject Char"/>
    <w:basedOn w:val="CommentTextChar"/>
    <w:link w:val="CommentSubject"/>
    <w:uiPriority w:val="99"/>
    <w:semiHidden/>
    <w:rsid w:val="00056C8E"/>
    <w:rPr>
      <w:b/>
      <w:bCs/>
      <w:sz w:val="20"/>
      <w:szCs w:val="20"/>
    </w:rPr>
  </w:style>
  <w:style w:type="character" w:styleId="Hyperlink">
    <w:name w:val="Hyperlink"/>
    <w:basedOn w:val="DefaultParagraphFont"/>
    <w:uiPriority w:val="99"/>
    <w:unhideWhenUsed/>
    <w:rsid w:val="00170B9D"/>
    <w:rPr>
      <w:color w:val="0000FF" w:themeColor="hyperlink"/>
      <w:u w:val="single"/>
    </w:rPr>
  </w:style>
  <w:style w:type="character" w:styleId="UnresolvedMention">
    <w:name w:val="Unresolved Mention"/>
    <w:basedOn w:val="DefaultParagraphFont"/>
    <w:uiPriority w:val="99"/>
    <w:semiHidden/>
    <w:unhideWhenUsed/>
    <w:rsid w:val="00170B9D"/>
    <w:rPr>
      <w:color w:val="605E5C"/>
      <w:shd w:val="clear" w:color="auto" w:fill="E1DFDD"/>
    </w:rPr>
  </w:style>
  <w:style w:type="paragraph" w:styleId="BalloonText">
    <w:name w:val="Balloon Text"/>
    <w:basedOn w:val="Normal"/>
    <w:link w:val="BalloonTextChar"/>
    <w:uiPriority w:val="99"/>
    <w:semiHidden/>
    <w:unhideWhenUsed/>
    <w:rsid w:val="0088188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188B"/>
    <w:rPr>
      <w:rFonts w:ascii="Times New Roman" w:hAnsi="Times New Roman" w:cs="Times New Roman"/>
      <w:sz w:val="18"/>
      <w:szCs w:val="18"/>
    </w:rPr>
  </w:style>
  <w:style w:type="character" w:customStyle="1" w:styleId="orcid-id-https">
    <w:name w:val="orcid-id-https"/>
    <w:basedOn w:val="DefaultParagraphFont"/>
    <w:rsid w:val="006C3F22"/>
  </w:style>
  <w:style w:type="paragraph" w:styleId="Header">
    <w:name w:val="header"/>
    <w:basedOn w:val="Normal"/>
    <w:link w:val="HeaderChar"/>
    <w:uiPriority w:val="99"/>
    <w:unhideWhenUsed/>
    <w:rsid w:val="006E411F"/>
    <w:pPr>
      <w:tabs>
        <w:tab w:val="center" w:pos="4680"/>
        <w:tab w:val="right" w:pos="9360"/>
      </w:tabs>
      <w:spacing w:line="240" w:lineRule="auto"/>
    </w:pPr>
  </w:style>
  <w:style w:type="character" w:customStyle="1" w:styleId="HeaderChar">
    <w:name w:val="Header Char"/>
    <w:basedOn w:val="DefaultParagraphFont"/>
    <w:link w:val="Header"/>
    <w:uiPriority w:val="99"/>
    <w:rsid w:val="006E411F"/>
  </w:style>
  <w:style w:type="paragraph" w:styleId="Footer">
    <w:name w:val="footer"/>
    <w:basedOn w:val="Normal"/>
    <w:link w:val="FooterChar"/>
    <w:uiPriority w:val="99"/>
    <w:unhideWhenUsed/>
    <w:rsid w:val="006E411F"/>
    <w:pPr>
      <w:tabs>
        <w:tab w:val="center" w:pos="4680"/>
        <w:tab w:val="right" w:pos="9360"/>
      </w:tabs>
      <w:spacing w:line="240" w:lineRule="auto"/>
    </w:pPr>
  </w:style>
  <w:style w:type="character" w:customStyle="1" w:styleId="FooterChar">
    <w:name w:val="Footer Char"/>
    <w:basedOn w:val="DefaultParagraphFont"/>
    <w:link w:val="Footer"/>
    <w:uiPriority w:val="99"/>
    <w:rsid w:val="006E411F"/>
  </w:style>
  <w:style w:type="paragraph" w:styleId="Revision">
    <w:name w:val="Revision"/>
    <w:hidden/>
    <w:uiPriority w:val="99"/>
    <w:semiHidden/>
    <w:rsid w:val="00E211B8"/>
    <w:pPr>
      <w:spacing w:line="240" w:lineRule="auto"/>
    </w:pPr>
  </w:style>
  <w:style w:type="character" w:styleId="Strong">
    <w:name w:val="Strong"/>
    <w:basedOn w:val="DefaultParagraphFont"/>
    <w:uiPriority w:val="22"/>
    <w:qFormat/>
    <w:rsid w:val="002505C0"/>
    <w:rPr>
      <w:b/>
      <w:bCs/>
    </w:rPr>
  </w:style>
  <w:style w:type="paragraph" w:styleId="NormalWeb">
    <w:name w:val="Normal (Web)"/>
    <w:basedOn w:val="Normal"/>
    <w:uiPriority w:val="99"/>
    <w:unhideWhenUsed/>
    <w:rsid w:val="005C4E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06C1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848220">
      <w:bodyDiv w:val="1"/>
      <w:marLeft w:val="0"/>
      <w:marRight w:val="0"/>
      <w:marTop w:val="0"/>
      <w:marBottom w:val="0"/>
      <w:divBdr>
        <w:top w:val="none" w:sz="0" w:space="0" w:color="auto"/>
        <w:left w:val="none" w:sz="0" w:space="0" w:color="auto"/>
        <w:bottom w:val="none" w:sz="0" w:space="0" w:color="auto"/>
        <w:right w:val="none" w:sz="0" w:space="0" w:color="auto"/>
      </w:divBdr>
    </w:div>
    <w:div w:id="1689597077">
      <w:bodyDiv w:val="1"/>
      <w:marLeft w:val="0"/>
      <w:marRight w:val="0"/>
      <w:marTop w:val="0"/>
      <w:marBottom w:val="0"/>
      <w:divBdr>
        <w:top w:val="none" w:sz="0" w:space="0" w:color="auto"/>
        <w:left w:val="none" w:sz="0" w:space="0" w:color="auto"/>
        <w:bottom w:val="none" w:sz="0" w:space="0" w:color="auto"/>
        <w:right w:val="none" w:sz="0" w:space="0" w:color="auto"/>
      </w:divBdr>
    </w:div>
    <w:div w:id="195640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2673-9578"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thab1@email.arizona.edu" TargetMode="Externa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www.cbs.dtu.dk/services/TMHM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martharcb"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5B273-42C1-B54D-9333-37495F8E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44914</Words>
  <Characters>256013</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Bhattacharya</dc:creator>
  <cp:lastModifiedBy>Sean Sweeney</cp:lastModifiedBy>
  <cp:revision>2</cp:revision>
  <cp:lastPrinted>2021-09-11T00:15:00Z</cp:lastPrinted>
  <dcterms:created xsi:type="dcterms:W3CDTF">2022-07-14T09:33:00Z</dcterms:created>
  <dcterms:modified xsi:type="dcterms:W3CDTF">2022-07-14T09:33:00Z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http://csl.mendeley.com/styles/492513261/AHA-all-authors</vt:lpwstr>
  </property>
  <property fmtid="{D5CDD505-2E9C-101B-9397-08002B2CF9AE}" pid="3" name="Mendeley Recent Style Name 0_1">
    <vt:lpwstr>American Heart Association - Martha Bhattacharya</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http://www.zotero.org/styles/molecular-neurobiology</vt:lpwstr>
  </property>
  <property fmtid="{D5CDD505-2E9C-101B-9397-08002B2CF9AE}" pid="11" name="Mendeley Recent Style Name 4_1">
    <vt:lpwstr>Molecular Neurobiology</vt:lpwstr>
  </property>
  <property fmtid="{D5CDD505-2E9C-101B-9397-08002B2CF9AE}" pid="12" name="Mendeley Recent Style Id 5_1">
    <vt:lpwstr>http://www.zotero.org/styles/national-institute-of-health-research</vt:lpwstr>
  </property>
  <property fmtid="{D5CDD505-2E9C-101B-9397-08002B2CF9AE}" pid="13" name="Mendeley Recent Style Name 5_1">
    <vt:lpwstr>National Institute of Health Research</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http://csl.mendeley.com/styles/462783741/National-library-of-medicine-grant-proposals-3</vt:lpwstr>
  </property>
  <property fmtid="{D5CDD505-2E9C-101B-9397-08002B2CF9AE}" pid="17" name="Mendeley Recent Style Name 7_1">
    <vt:lpwstr>National Library of Medicine (grant proposals with PMCID in Genre) </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http://csl.mendeley.com/styles/20707411/J-Neuroinflam-SM</vt:lpwstr>
  </property>
  <property fmtid="{D5CDD505-2E9C-101B-9397-08002B2CF9AE}" pid="21" name="Mendeley Recent Style Name 9_1">
    <vt:lpwstr>Springer - Vancouver (brackets) - Simon McArthur, PhD</vt:lpwstr>
  </property>
  <property fmtid="{D5CDD505-2E9C-101B-9397-08002B2CF9AE}" pid="22" name="Mendeley Document_1">
    <vt:lpwstr>True</vt:lpwstr>
  </property>
  <property fmtid="{D5CDD505-2E9C-101B-9397-08002B2CF9AE}" pid="23" name="Mendeley Unique User Id_1">
    <vt:lpwstr>9bb240ac-8cf7-3fb9-8fdf-b71ed5b27746</vt:lpwstr>
  </property>
  <property fmtid="{D5CDD505-2E9C-101B-9397-08002B2CF9AE}" pid="24" name="Mendeley Citation Style_1">
    <vt:lpwstr>http://www.zotero.org/styles/molecular-neurobiology</vt:lpwstr>
  </property>
</Properties>
</file>