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AAAD" w14:textId="54901A93" w:rsidR="008F5BED" w:rsidRPr="00F56837" w:rsidRDefault="00635873" w:rsidP="00F56837">
      <w:pPr>
        <w:spacing w:after="0" w:line="276" w:lineRule="auto"/>
        <w:rPr>
          <w:rFonts w:cs="Times New Roman"/>
          <w:b/>
          <w:bCs/>
          <w:sz w:val="44"/>
          <w:szCs w:val="44"/>
        </w:rPr>
      </w:pPr>
      <w:r>
        <w:rPr>
          <w:rFonts w:cs="Times New Roman"/>
          <w:b/>
          <w:bCs/>
          <w:sz w:val="44"/>
          <w:szCs w:val="44"/>
        </w:rPr>
        <w:t>5. Researching public law</w:t>
      </w:r>
      <w:r w:rsidR="009F3180" w:rsidRPr="00F56837">
        <w:rPr>
          <w:rFonts w:cs="Times New Roman"/>
          <w:b/>
          <w:bCs/>
          <w:sz w:val="44"/>
          <w:szCs w:val="44"/>
        </w:rPr>
        <w:t xml:space="preserve"> </w:t>
      </w:r>
      <w:r>
        <w:rPr>
          <w:rFonts w:cs="Times New Roman"/>
          <w:b/>
          <w:bCs/>
          <w:sz w:val="44"/>
          <w:szCs w:val="44"/>
        </w:rPr>
        <w:t>and the</w:t>
      </w:r>
      <w:r w:rsidR="009F3180" w:rsidRPr="00F56837">
        <w:rPr>
          <w:rFonts w:cs="Times New Roman"/>
          <w:b/>
          <w:bCs/>
          <w:sz w:val="44"/>
          <w:szCs w:val="44"/>
        </w:rPr>
        <w:t xml:space="preserve"> </w:t>
      </w:r>
      <w:r>
        <w:rPr>
          <w:rFonts w:cs="Times New Roman"/>
          <w:b/>
          <w:bCs/>
          <w:sz w:val="44"/>
          <w:szCs w:val="44"/>
        </w:rPr>
        <w:t>a</w:t>
      </w:r>
      <w:r w:rsidR="009F3180" w:rsidRPr="00F56837">
        <w:rPr>
          <w:rFonts w:cs="Times New Roman"/>
          <w:b/>
          <w:bCs/>
          <w:sz w:val="44"/>
          <w:szCs w:val="44"/>
        </w:rPr>
        <w:t xml:space="preserve">dministrative </w:t>
      </w:r>
      <w:r>
        <w:rPr>
          <w:rFonts w:cs="Times New Roman"/>
          <w:b/>
          <w:bCs/>
          <w:sz w:val="44"/>
          <w:szCs w:val="44"/>
        </w:rPr>
        <w:t>s</w:t>
      </w:r>
      <w:r w:rsidR="009F3180" w:rsidRPr="00F56837">
        <w:rPr>
          <w:rFonts w:cs="Times New Roman"/>
          <w:b/>
          <w:bCs/>
          <w:sz w:val="44"/>
          <w:szCs w:val="44"/>
        </w:rPr>
        <w:t>tate</w:t>
      </w:r>
    </w:p>
    <w:p w14:paraId="57EF2721" w14:textId="77777777" w:rsidR="0072429E" w:rsidRPr="00F56837" w:rsidRDefault="0072429E" w:rsidP="00F56837">
      <w:pPr>
        <w:spacing w:after="0" w:line="276" w:lineRule="auto"/>
        <w:jc w:val="center"/>
        <w:rPr>
          <w:rFonts w:cs="Times New Roman"/>
          <w:iCs/>
          <w:szCs w:val="24"/>
        </w:rPr>
      </w:pPr>
    </w:p>
    <w:p w14:paraId="59DAF10A" w14:textId="7AAF1103" w:rsidR="0072429E" w:rsidRPr="00F56837" w:rsidRDefault="009F3180" w:rsidP="00F56837">
      <w:pPr>
        <w:spacing w:after="0" w:line="276" w:lineRule="auto"/>
        <w:rPr>
          <w:rFonts w:cs="Times New Roman"/>
          <w:iCs/>
          <w:sz w:val="28"/>
          <w:szCs w:val="28"/>
        </w:rPr>
      </w:pPr>
      <w:r w:rsidRPr="00F56837">
        <w:rPr>
          <w:rFonts w:cs="Times New Roman"/>
          <w:iCs/>
          <w:sz w:val="28"/>
          <w:szCs w:val="28"/>
        </w:rPr>
        <w:t>Paul Daly</w:t>
      </w:r>
      <w:r w:rsidR="006360B1" w:rsidRPr="00F56837">
        <w:rPr>
          <w:rStyle w:val="FootnoteReference"/>
          <w:iCs/>
          <w:sz w:val="28"/>
          <w:szCs w:val="28"/>
        </w:rPr>
        <w:footnoteReference w:customMarkFollows="1" w:id="1"/>
        <w:sym w:font="Symbol" w:char="F02A"/>
      </w:r>
      <w:r w:rsidR="006360B1" w:rsidRPr="00F56837">
        <w:rPr>
          <w:rFonts w:cs="Times New Roman"/>
          <w:iCs/>
          <w:sz w:val="28"/>
          <w:szCs w:val="28"/>
        </w:rPr>
        <w:t xml:space="preserve"> &amp;</w:t>
      </w:r>
      <w:r w:rsidRPr="00F56837">
        <w:rPr>
          <w:rFonts w:cs="Times New Roman"/>
          <w:iCs/>
          <w:sz w:val="28"/>
          <w:szCs w:val="28"/>
        </w:rPr>
        <w:t xml:space="preserve"> Joe Tomlinson</w:t>
      </w:r>
      <w:r w:rsidR="006360B1" w:rsidRPr="00F56837">
        <w:rPr>
          <w:rStyle w:val="FootnoteReference"/>
          <w:iCs/>
          <w:sz w:val="28"/>
          <w:szCs w:val="28"/>
        </w:rPr>
        <w:footnoteReference w:customMarkFollows="1" w:id="2"/>
        <w:sym w:font="Symbol" w:char="F02B"/>
      </w:r>
    </w:p>
    <w:p w14:paraId="70A7FA9A" w14:textId="77777777" w:rsidR="0072429E" w:rsidRPr="00F56837" w:rsidRDefault="0072429E" w:rsidP="00F56837">
      <w:pPr>
        <w:spacing w:after="0" w:line="276" w:lineRule="auto"/>
        <w:jc w:val="both"/>
        <w:rPr>
          <w:rFonts w:cs="Times New Roman"/>
          <w:szCs w:val="24"/>
        </w:rPr>
      </w:pPr>
    </w:p>
    <w:p w14:paraId="7E8335EF" w14:textId="43BB4BDC" w:rsidR="008F5BED" w:rsidRPr="00F56837" w:rsidRDefault="008F5BED" w:rsidP="00F56837">
      <w:pPr>
        <w:spacing w:after="0" w:line="276" w:lineRule="auto"/>
        <w:rPr>
          <w:rFonts w:cs="Times New Roman"/>
          <w:b/>
          <w:bCs/>
          <w:szCs w:val="24"/>
        </w:rPr>
      </w:pPr>
      <w:r w:rsidRPr="00F56837">
        <w:rPr>
          <w:rFonts w:cs="Times New Roman"/>
          <w:b/>
          <w:bCs/>
          <w:szCs w:val="24"/>
        </w:rPr>
        <w:t>I. INTRODUCTION</w:t>
      </w:r>
    </w:p>
    <w:p w14:paraId="035A09A6" w14:textId="77777777" w:rsidR="0072429E" w:rsidRPr="00F56837" w:rsidRDefault="0072429E" w:rsidP="00F56837">
      <w:pPr>
        <w:spacing w:after="0" w:line="276" w:lineRule="auto"/>
        <w:jc w:val="center"/>
        <w:rPr>
          <w:rFonts w:cs="Times New Roman"/>
          <w:szCs w:val="24"/>
        </w:rPr>
      </w:pPr>
    </w:p>
    <w:p w14:paraId="1D89CA6C" w14:textId="25CE59D7" w:rsidR="00C35795" w:rsidRPr="00F56837" w:rsidRDefault="00C35795" w:rsidP="00F56837">
      <w:pPr>
        <w:spacing w:after="0" w:line="276" w:lineRule="auto"/>
        <w:jc w:val="both"/>
        <w:rPr>
          <w:rFonts w:cs="Times New Roman"/>
          <w:szCs w:val="24"/>
        </w:rPr>
      </w:pPr>
      <w:r w:rsidRPr="00F56837">
        <w:rPr>
          <w:rFonts w:cs="Times New Roman"/>
          <w:szCs w:val="24"/>
        </w:rPr>
        <w:t>The modern administrative state is vast and complex.</w:t>
      </w:r>
      <w:r w:rsidR="00AA31F4" w:rsidRPr="00F56837">
        <w:rPr>
          <w:rFonts w:cs="Times New Roman"/>
          <w:szCs w:val="24"/>
        </w:rPr>
        <w:t xml:space="preserve"> A</w:t>
      </w:r>
      <w:r w:rsidR="00AE7355" w:rsidRPr="00F56837">
        <w:rPr>
          <w:rFonts w:cs="Times New Roman"/>
          <w:szCs w:val="24"/>
        </w:rPr>
        <w:t xml:space="preserve"> </w:t>
      </w:r>
      <w:r w:rsidR="00F00C4D" w:rsidRPr="00F56837">
        <w:rPr>
          <w:rFonts w:cs="Times New Roman"/>
          <w:szCs w:val="24"/>
        </w:rPr>
        <w:t>public</w:t>
      </w:r>
      <w:r w:rsidR="00AA31F4" w:rsidRPr="00F56837">
        <w:rPr>
          <w:rFonts w:cs="Times New Roman"/>
          <w:szCs w:val="24"/>
        </w:rPr>
        <w:t xml:space="preserve"> </w:t>
      </w:r>
      <w:r w:rsidR="003D3199" w:rsidRPr="00F56837">
        <w:rPr>
          <w:rFonts w:cs="Times New Roman"/>
          <w:szCs w:val="24"/>
        </w:rPr>
        <w:t xml:space="preserve">law </w:t>
      </w:r>
      <w:r w:rsidR="00AA31F4" w:rsidRPr="00F56837">
        <w:rPr>
          <w:rFonts w:cs="Times New Roman"/>
          <w:szCs w:val="24"/>
        </w:rPr>
        <w:t xml:space="preserve">researcher approaching it for the first time could be forgiven for thinking it </w:t>
      </w:r>
      <w:r w:rsidR="007C7C07" w:rsidRPr="00F56837">
        <w:rPr>
          <w:rFonts w:cs="Times New Roman"/>
          <w:szCs w:val="24"/>
        </w:rPr>
        <w:t>is a random,</w:t>
      </w:r>
      <w:r w:rsidR="00AA31F4" w:rsidRPr="00F56837">
        <w:rPr>
          <w:rFonts w:cs="Times New Roman"/>
          <w:szCs w:val="24"/>
        </w:rPr>
        <w:t xml:space="preserve"> amorphous mass of statutes, regulations, policies, officials, and </w:t>
      </w:r>
      <w:r w:rsidR="0072429E" w:rsidRPr="00F56837">
        <w:rPr>
          <w:rFonts w:cs="Times New Roman"/>
          <w:szCs w:val="24"/>
        </w:rPr>
        <w:t>redress</w:t>
      </w:r>
      <w:r w:rsidR="00AA31F4" w:rsidRPr="00F56837">
        <w:rPr>
          <w:rFonts w:cs="Times New Roman"/>
          <w:szCs w:val="24"/>
        </w:rPr>
        <w:t xml:space="preserve"> systems. </w:t>
      </w:r>
      <w:r w:rsidRPr="00F56837">
        <w:rPr>
          <w:rFonts w:cs="Times New Roman"/>
          <w:szCs w:val="24"/>
        </w:rPr>
        <w:t xml:space="preserve">Public lawyers who seek to make sense of it face a difficult challenge and, over time, different ways of confronting </w:t>
      </w:r>
      <w:r w:rsidR="00AE7355" w:rsidRPr="00F56837">
        <w:rPr>
          <w:rFonts w:cs="Times New Roman"/>
          <w:szCs w:val="24"/>
        </w:rPr>
        <w:t>the administrative state</w:t>
      </w:r>
      <w:r w:rsidRPr="00F56837">
        <w:rPr>
          <w:rFonts w:cs="Times New Roman"/>
          <w:szCs w:val="24"/>
        </w:rPr>
        <w:t xml:space="preserve"> have emerged. </w:t>
      </w:r>
      <w:proofErr w:type="gramStart"/>
      <w:r w:rsidRPr="00F56837">
        <w:rPr>
          <w:rFonts w:cs="Times New Roman"/>
          <w:szCs w:val="24"/>
        </w:rPr>
        <w:t>B</w:t>
      </w:r>
      <w:r w:rsidR="000D3333" w:rsidRPr="00F56837">
        <w:rPr>
          <w:rFonts w:cs="Times New Roman"/>
          <w:szCs w:val="24"/>
        </w:rPr>
        <w:t xml:space="preserve">roadly speaking, </w:t>
      </w:r>
      <w:r w:rsidR="00F00C4D" w:rsidRPr="00F56837">
        <w:rPr>
          <w:rFonts w:cs="Times New Roman"/>
          <w:szCs w:val="24"/>
        </w:rPr>
        <w:t>it</w:t>
      </w:r>
      <w:proofErr w:type="gramEnd"/>
      <w:r w:rsidR="00F00C4D" w:rsidRPr="00F56837">
        <w:rPr>
          <w:rFonts w:cs="Times New Roman"/>
          <w:szCs w:val="24"/>
        </w:rPr>
        <w:t xml:space="preserve"> could be said that </w:t>
      </w:r>
      <w:r w:rsidRPr="00F56837">
        <w:rPr>
          <w:rFonts w:cs="Times New Roman"/>
          <w:szCs w:val="24"/>
        </w:rPr>
        <w:t xml:space="preserve">academic studies </w:t>
      </w:r>
      <w:r w:rsidR="003D3199" w:rsidRPr="00F56837">
        <w:rPr>
          <w:rFonts w:cs="Times New Roman"/>
          <w:szCs w:val="24"/>
        </w:rPr>
        <w:t>relating to</w:t>
      </w:r>
      <w:r w:rsidRPr="00F56837">
        <w:rPr>
          <w:rFonts w:cs="Times New Roman"/>
          <w:szCs w:val="24"/>
        </w:rPr>
        <w:t xml:space="preserve"> the administrative state </w:t>
      </w:r>
      <w:r w:rsidR="003D3199" w:rsidRPr="00F56837">
        <w:rPr>
          <w:rFonts w:cs="Times New Roman"/>
          <w:szCs w:val="24"/>
        </w:rPr>
        <w:t xml:space="preserve">by public lawyers </w:t>
      </w:r>
      <w:r w:rsidRPr="00F56837">
        <w:rPr>
          <w:rFonts w:cs="Times New Roman"/>
          <w:szCs w:val="24"/>
        </w:rPr>
        <w:t xml:space="preserve">have </w:t>
      </w:r>
      <w:r w:rsidR="000D3333" w:rsidRPr="00F56837">
        <w:rPr>
          <w:rFonts w:cs="Times New Roman"/>
          <w:szCs w:val="24"/>
        </w:rPr>
        <w:t xml:space="preserve">adopted </w:t>
      </w:r>
      <w:r w:rsidRPr="00F56837">
        <w:rPr>
          <w:rFonts w:cs="Times New Roman"/>
          <w:szCs w:val="24"/>
        </w:rPr>
        <w:t xml:space="preserve">one of </w:t>
      </w:r>
      <w:r w:rsidR="000D3333" w:rsidRPr="00F56837">
        <w:rPr>
          <w:rFonts w:cs="Times New Roman"/>
          <w:szCs w:val="24"/>
        </w:rPr>
        <w:t>two</w:t>
      </w:r>
      <w:r w:rsidR="007C7C07" w:rsidRPr="00F56837">
        <w:rPr>
          <w:rFonts w:cs="Times New Roman"/>
          <w:szCs w:val="24"/>
        </w:rPr>
        <w:t xml:space="preserve"> broad</w:t>
      </w:r>
      <w:r w:rsidR="000D3333" w:rsidRPr="00F56837">
        <w:rPr>
          <w:rFonts w:cs="Times New Roman"/>
          <w:szCs w:val="24"/>
        </w:rPr>
        <w:t xml:space="preserve"> perspectives: </w:t>
      </w:r>
      <w:r w:rsidR="003D3199" w:rsidRPr="00F56837">
        <w:rPr>
          <w:rFonts w:cs="Times New Roman"/>
          <w:szCs w:val="24"/>
        </w:rPr>
        <w:t xml:space="preserve">the </w:t>
      </w:r>
      <w:r w:rsidR="000D3333" w:rsidRPr="00F56837">
        <w:rPr>
          <w:rFonts w:cs="Times New Roman"/>
          <w:szCs w:val="24"/>
        </w:rPr>
        <w:t xml:space="preserve">external and </w:t>
      </w:r>
      <w:r w:rsidR="003D3199" w:rsidRPr="00F56837">
        <w:rPr>
          <w:rFonts w:cs="Times New Roman"/>
          <w:szCs w:val="24"/>
        </w:rPr>
        <w:t xml:space="preserve">the </w:t>
      </w:r>
      <w:r w:rsidR="000D3333" w:rsidRPr="00F56837">
        <w:rPr>
          <w:rFonts w:cs="Times New Roman"/>
          <w:szCs w:val="24"/>
        </w:rPr>
        <w:t>internal.</w:t>
      </w:r>
      <w:r w:rsidR="00F00C4D" w:rsidRPr="00F56837">
        <w:rPr>
          <w:rStyle w:val="FootnoteReference"/>
          <w:szCs w:val="24"/>
        </w:rPr>
        <w:footnoteReference w:id="3"/>
      </w:r>
      <w:r w:rsidR="000D3333" w:rsidRPr="00F56837">
        <w:rPr>
          <w:rFonts w:cs="Times New Roman"/>
          <w:szCs w:val="24"/>
        </w:rPr>
        <w:t xml:space="preserve"> </w:t>
      </w:r>
    </w:p>
    <w:p w14:paraId="6C7034E5" w14:textId="77777777" w:rsidR="008F5BED" w:rsidRPr="00F56837" w:rsidRDefault="008F5BED" w:rsidP="00F56837">
      <w:pPr>
        <w:spacing w:after="0" w:line="276" w:lineRule="auto"/>
        <w:jc w:val="both"/>
        <w:rPr>
          <w:rFonts w:cs="Times New Roman"/>
          <w:szCs w:val="24"/>
        </w:rPr>
      </w:pPr>
    </w:p>
    <w:p w14:paraId="308A3D77" w14:textId="500B3599" w:rsidR="00C35795" w:rsidRPr="00F56837" w:rsidRDefault="000D3333" w:rsidP="00F56837">
      <w:pPr>
        <w:spacing w:after="0" w:line="276" w:lineRule="auto"/>
        <w:ind w:firstLine="720"/>
        <w:jc w:val="both"/>
        <w:rPr>
          <w:rFonts w:cs="Times New Roman"/>
          <w:szCs w:val="24"/>
        </w:rPr>
      </w:pPr>
      <w:r w:rsidRPr="00F56837">
        <w:rPr>
          <w:rFonts w:cs="Times New Roman"/>
          <w:szCs w:val="24"/>
        </w:rPr>
        <w:t>External</w:t>
      </w:r>
      <w:r w:rsidR="003D3199" w:rsidRPr="00F56837">
        <w:rPr>
          <w:rFonts w:cs="Times New Roman"/>
          <w:szCs w:val="24"/>
        </w:rPr>
        <w:t xml:space="preserve"> public law</w:t>
      </w:r>
      <w:r w:rsidRPr="00F56837">
        <w:rPr>
          <w:rFonts w:cs="Times New Roman"/>
          <w:szCs w:val="24"/>
        </w:rPr>
        <w:t xml:space="preserve"> studies of the administrative state analyse </w:t>
      </w:r>
      <w:r w:rsidR="003D3199" w:rsidRPr="00F56837">
        <w:rPr>
          <w:rFonts w:cs="Times New Roman"/>
          <w:szCs w:val="24"/>
        </w:rPr>
        <w:t xml:space="preserve">the </w:t>
      </w:r>
      <w:r w:rsidRPr="00F56837">
        <w:rPr>
          <w:rFonts w:cs="Times New Roman"/>
          <w:szCs w:val="24"/>
        </w:rPr>
        <w:t xml:space="preserve">external controls on </w:t>
      </w:r>
      <w:r w:rsidR="003D3199" w:rsidRPr="00F56837">
        <w:rPr>
          <w:rFonts w:cs="Times New Roman"/>
          <w:szCs w:val="24"/>
        </w:rPr>
        <w:t>the decisions and actions of</w:t>
      </w:r>
      <w:r w:rsidRPr="00F56837">
        <w:rPr>
          <w:rFonts w:cs="Times New Roman"/>
          <w:szCs w:val="24"/>
        </w:rPr>
        <w:t xml:space="preserve"> </w:t>
      </w:r>
      <w:r w:rsidR="003D3199" w:rsidRPr="00F56837">
        <w:rPr>
          <w:rFonts w:cs="Times New Roman"/>
          <w:szCs w:val="24"/>
        </w:rPr>
        <w:t>administrative officials</w:t>
      </w:r>
      <w:r w:rsidRPr="00F56837">
        <w:rPr>
          <w:rFonts w:cs="Times New Roman"/>
          <w:szCs w:val="24"/>
        </w:rPr>
        <w:t xml:space="preserve">. </w:t>
      </w:r>
      <w:r w:rsidR="003D3199" w:rsidRPr="00F56837">
        <w:rPr>
          <w:rFonts w:cs="Times New Roman"/>
          <w:szCs w:val="24"/>
        </w:rPr>
        <w:t>In practice</w:t>
      </w:r>
      <w:r w:rsidR="00C35795" w:rsidRPr="00F56837">
        <w:rPr>
          <w:rFonts w:cs="Times New Roman"/>
          <w:szCs w:val="24"/>
        </w:rPr>
        <w:t>, these studies tend to focus on three subjects</w:t>
      </w:r>
      <w:r w:rsidRPr="00F56837">
        <w:rPr>
          <w:rFonts w:cs="Times New Roman"/>
          <w:szCs w:val="24"/>
        </w:rPr>
        <w:t>. First, judicial review of ad</w:t>
      </w:r>
      <w:r w:rsidR="00AE7355" w:rsidRPr="00F56837">
        <w:rPr>
          <w:rFonts w:cs="Times New Roman"/>
          <w:szCs w:val="24"/>
        </w:rPr>
        <w:t>ministrative action, conducted in the common law tradition</w:t>
      </w:r>
      <w:r w:rsidRPr="00F56837">
        <w:rPr>
          <w:rFonts w:cs="Times New Roman"/>
          <w:szCs w:val="24"/>
        </w:rPr>
        <w:t xml:space="preserve"> by the ordinary courts. Second, political oversight of administrative decision-making by the executive or legislative branch. Third, other accountability</w:t>
      </w:r>
      <w:r w:rsidR="00AE7355" w:rsidRPr="00F56837">
        <w:rPr>
          <w:rFonts w:cs="Times New Roman"/>
          <w:szCs w:val="24"/>
        </w:rPr>
        <w:t xml:space="preserve"> and redress</w:t>
      </w:r>
      <w:r w:rsidRPr="00F56837">
        <w:rPr>
          <w:rFonts w:cs="Times New Roman"/>
          <w:szCs w:val="24"/>
        </w:rPr>
        <w:t xml:space="preserve"> mechanisms, ranging from market forces to </w:t>
      </w:r>
      <w:r w:rsidR="00C35795" w:rsidRPr="00F56837">
        <w:rPr>
          <w:rFonts w:cs="Times New Roman"/>
          <w:szCs w:val="24"/>
        </w:rPr>
        <w:t>ombudsmen</w:t>
      </w:r>
      <w:r w:rsidRPr="00F56837">
        <w:rPr>
          <w:rFonts w:cs="Times New Roman"/>
          <w:szCs w:val="24"/>
        </w:rPr>
        <w:t xml:space="preserve">. The different forms of the external perspective </w:t>
      </w:r>
      <w:r w:rsidR="00C35795" w:rsidRPr="00F56837">
        <w:rPr>
          <w:rFonts w:cs="Times New Roman"/>
          <w:szCs w:val="24"/>
        </w:rPr>
        <w:t xml:space="preserve">are typically </w:t>
      </w:r>
      <w:r w:rsidR="0072429E" w:rsidRPr="00F56837">
        <w:rPr>
          <w:rFonts w:cs="Times New Roman"/>
          <w:szCs w:val="24"/>
        </w:rPr>
        <w:t>associated with</w:t>
      </w:r>
      <w:r w:rsidR="00C35795" w:rsidRPr="00F56837">
        <w:rPr>
          <w:rFonts w:cs="Times New Roman"/>
          <w:szCs w:val="24"/>
        </w:rPr>
        <w:t xml:space="preserve"> </w:t>
      </w:r>
      <w:r w:rsidRPr="00F56837">
        <w:rPr>
          <w:rFonts w:cs="Times New Roman"/>
          <w:szCs w:val="24"/>
        </w:rPr>
        <w:t xml:space="preserve">different methodological approaches. Whereas judicial review of administrative action </w:t>
      </w:r>
      <w:r w:rsidR="0039305E" w:rsidRPr="00F56837">
        <w:rPr>
          <w:rFonts w:cs="Times New Roman"/>
          <w:szCs w:val="24"/>
        </w:rPr>
        <w:t>has</w:t>
      </w:r>
      <w:r w:rsidR="0072429E" w:rsidRPr="00F56837">
        <w:rPr>
          <w:rFonts w:cs="Times New Roman"/>
          <w:szCs w:val="24"/>
        </w:rPr>
        <w:t xml:space="preserve"> principally</w:t>
      </w:r>
      <w:r w:rsidR="0039305E" w:rsidRPr="00F56837">
        <w:rPr>
          <w:rFonts w:cs="Times New Roman"/>
          <w:szCs w:val="24"/>
        </w:rPr>
        <w:t xml:space="preserve"> been</w:t>
      </w:r>
      <w:r w:rsidR="0072429E" w:rsidRPr="00F56837">
        <w:rPr>
          <w:rFonts w:cs="Times New Roman"/>
          <w:szCs w:val="24"/>
        </w:rPr>
        <w:t xml:space="preserve"> </w:t>
      </w:r>
      <w:r w:rsidR="00AE7355" w:rsidRPr="00F56837">
        <w:rPr>
          <w:rFonts w:cs="Times New Roman"/>
          <w:szCs w:val="24"/>
        </w:rPr>
        <w:t xml:space="preserve">studied </w:t>
      </w:r>
      <w:r w:rsidRPr="00F56837">
        <w:rPr>
          <w:rFonts w:cs="Times New Roman"/>
          <w:szCs w:val="24"/>
        </w:rPr>
        <w:t xml:space="preserve">doctrinally, </w:t>
      </w:r>
      <w:r w:rsidR="00890DFA" w:rsidRPr="00F56837">
        <w:rPr>
          <w:rFonts w:cs="Times New Roman"/>
          <w:szCs w:val="24"/>
        </w:rPr>
        <w:t>interpretively,</w:t>
      </w:r>
      <w:r w:rsidR="00AE7355" w:rsidRPr="00F56837">
        <w:rPr>
          <w:rFonts w:cs="Times New Roman"/>
          <w:szCs w:val="24"/>
        </w:rPr>
        <w:t xml:space="preserve"> or theoretically, </w:t>
      </w:r>
      <w:r w:rsidRPr="00F56837">
        <w:rPr>
          <w:rFonts w:cs="Times New Roman"/>
          <w:szCs w:val="24"/>
        </w:rPr>
        <w:t>the other forms</w:t>
      </w:r>
      <w:r w:rsidR="00866CFE" w:rsidRPr="00F56837">
        <w:rPr>
          <w:rFonts w:cs="Times New Roman"/>
          <w:szCs w:val="24"/>
        </w:rPr>
        <w:t xml:space="preserve"> of accountability and redress</w:t>
      </w:r>
      <w:r w:rsidRPr="00F56837">
        <w:rPr>
          <w:rFonts w:cs="Times New Roman"/>
          <w:szCs w:val="24"/>
        </w:rPr>
        <w:t xml:space="preserve"> </w:t>
      </w:r>
      <w:r w:rsidR="00822875" w:rsidRPr="00F56837">
        <w:rPr>
          <w:rFonts w:cs="Times New Roman"/>
          <w:szCs w:val="24"/>
        </w:rPr>
        <w:t>have been more closely associated with</w:t>
      </w:r>
      <w:r w:rsidRPr="00F56837">
        <w:rPr>
          <w:rFonts w:cs="Times New Roman"/>
          <w:szCs w:val="24"/>
        </w:rPr>
        <w:t xml:space="preserve"> </w:t>
      </w:r>
      <w:r w:rsidR="00C35795" w:rsidRPr="00F56837">
        <w:rPr>
          <w:rFonts w:cs="Times New Roman"/>
          <w:szCs w:val="24"/>
        </w:rPr>
        <w:t>approaches</w:t>
      </w:r>
      <w:r w:rsidRPr="00F56837">
        <w:rPr>
          <w:rFonts w:cs="Times New Roman"/>
          <w:szCs w:val="24"/>
        </w:rPr>
        <w:t xml:space="preserve"> typically </w:t>
      </w:r>
      <w:r w:rsidR="00B6716F" w:rsidRPr="00F56837">
        <w:rPr>
          <w:rFonts w:cs="Times New Roman"/>
          <w:szCs w:val="24"/>
        </w:rPr>
        <w:t>deployed</w:t>
      </w:r>
      <w:r w:rsidRPr="00F56837">
        <w:rPr>
          <w:rFonts w:cs="Times New Roman"/>
          <w:szCs w:val="24"/>
        </w:rPr>
        <w:t xml:space="preserve"> </w:t>
      </w:r>
      <w:r w:rsidR="00B6716F" w:rsidRPr="00F56837">
        <w:rPr>
          <w:rFonts w:cs="Times New Roman"/>
          <w:szCs w:val="24"/>
        </w:rPr>
        <w:t>in</w:t>
      </w:r>
      <w:r w:rsidRPr="00F56837">
        <w:rPr>
          <w:rFonts w:cs="Times New Roman"/>
          <w:szCs w:val="24"/>
        </w:rPr>
        <w:t xml:space="preserve"> other academic disciplines, such as political science</w:t>
      </w:r>
      <w:r w:rsidR="00B6716F" w:rsidRPr="00F56837">
        <w:rPr>
          <w:rFonts w:cs="Times New Roman"/>
          <w:szCs w:val="24"/>
        </w:rPr>
        <w:t xml:space="preserve"> and</w:t>
      </w:r>
      <w:r w:rsidRPr="00F56837">
        <w:rPr>
          <w:rFonts w:cs="Times New Roman"/>
          <w:szCs w:val="24"/>
        </w:rPr>
        <w:t xml:space="preserve"> sociology</w:t>
      </w:r>
      <w:r w:rsidR="00B6716F" w:rsidRPr="00F56837">
        <w:rPr>
          <w:rFonts w:cs="Times New Roman"/>
          <w:szCs w:val="24"/>
        </w:rPr>
        <w:t>.</w:t>
      </w:r>
    </w:p>
    <w:p w14:paraId="27AA2C67" w14:textId="77777777" w:rsidR="008F5BED" w:rsidRPr="00F56837" w:rsidRDefault="008F5BED" w:rsidP="00F56837">
      <w:pPr>
        <w:spacing w:after="0" w:line="276" w:lineRule="auto"/>
        <w:ind w:firstLine="720"/>
        <w:jc w:val="both"/>
        <w:rPr>
          <w:rFonts w:cs="Times New Roman"/>
          <w:szCs w:val="24"/>
        </w:rPr>
      </w:pPr>
    </w:p>
    <w:p w14:paraId="1D66E553" w14:textId="1DFA3007" w:rsidR="008F5BED" w:rsidRPr="00F56837" w:rsidRDefault="000D3333" w:rsidP="00F56837">
      <w:pPr>
        <w:spacing w:after="0" w:line="276" w:lineRule="auto"/>
        <w:ind w:firstLine="720"/>
        <w:jc w:val="both"/>
        <w:rPr>
          <w:rFonts w:cs="Times New Roman"/>
          <w:szCs w:val="24"/>
        </w:rPr>
      </w:pPr>
      <w:r w:rsidRPr="00F56837">
        <w:rPr>
          <w:rFonts w:cs="Times New Roman"/>
          <w:szCs w:val="24"/>
        </w:rPr>
        <w:t xml:space="preserve">Internal studies of the administrative state </w:t>
      </w:r>
      <w:r w:rsidR="0072429E" w:rsidRPr="00F56837">
        <w:rPr>
          <w:rFonts w:cs="Times New Roman"/>
          <w:szCs w:val="24"/>
        </w:rPr>
        <w:t>focus on</w:t>
      </w:r>
      <w:r w:rsidRPr="00F56837">
        <w:rPr>
          <w:rFonts w:cs="Times New Roman"/>
          <w:szCs w:val="24"/>
        </w:rPr>
        <w:t xml:space="preserve"> the internal structures of </w:t>
      </w:r>
      <w:r w:rsidR="003D3199" w:rsidRPr="00F56837">
        <w:rPr>
          <w:rFonts w:cs="Times New Roman"/>
          <w:szCs w:val="24"/>
        </w:rPr>
        <w:t>government and how policy is implemented</w:t>
      </w:r>
      <w:r w:rsidR="007C7C07" w:rsidRPr="00F56837">
        <w:rPr>
          <w:rFonts w:cs="Times New Roman"/>
          <w:szCs w:val="24"/>
        </w:rPr>
        <w:t>, locating the role of law within this architecture</w:t>
      </w:r>
      <w:r w:rsidRPr="00F56837">
        <w:rPr>
          <w:rFonts w:cs="Times New Roman"/>
          <w:szCs w:val="24"/>
        </w:rPr>
        <w:t>. As with the external perspective</w:t>
      </w:r>
      <w:r w:rsidR="00C35795" w:rsidRPr="00F56837">
        <w:rPr>
          <w:rFonts w:cs="Times New Roman"/>
          <w:szCs w:val="24"/>
        </w:rPr>
        <w:t>,</w:t>
      </w:r>
      <w:r w:rsidRPr="00F56837">
        <w:rPr>
          <w:rFonts w:cs="Times New Roman"/>
          <w:szCs w:val="24"/>
        </w:rPr>
        <w:t xml:space="preserve"> the internal perspective </w:t>
      </w:r>
      <w:r w:rsidR="00C35795" w:rsidRPr="00F56837">
        <w:rPr>
          <w:rFonts w:cs="Times New Roman"/>
          <w:szCs w:val="24"/>
        </w:rPr>
        <w:t>has certain preoccupation</w:t>
      </w:r>
      <w:r w:rsidR="00F00C4D" w:rsidRPr="00F56837">
        <w:rPr>
          <w:rFonts w:cs="Times New Roman"/>
          <w:szCs w:val="24"/>
        </w:rPr>
        <w:t>s</w:t>
      </w:r>
      <w:r w:rsidR="00C35795" w:rsidRPr="00F56837">
        <w:rPr>
          <w:rFonts w:cs="Times New Roman"/>
          <w:szCs w:val="24"/>
        </w:rPr>
        <w:t xml:space="preserve"> in terms of subject matter</w:t>
      </w:r>
      <w:r w:rsidRPr="00F56837">
        <w:rPr>
          <w:rFonts w:cs="Times New Roman"/>
          <w:szCs w:val="24"/>
        </w:rPr>
        <w:t>. First, how decisions are taken on the frontlines of public administration</w:t>
      </w:r>
      <w:r w:rsidR="003D3199" w:rsidRPr="00F56837">
        <w:rPr>
          <w:rFonts w:cs="Times New Roman"/>
          <w:szCs w:val="24"/>
        </w:rPr>
        <w:t xml:space="preserve">, for instance in welfare services or immigration </w:t>
      </w:r>
      <w:r w:rsidR="00890DFA" w:rsidRPr="00F56837">
        <w:rPr>
          <w:rFonts w:cs="Times New Roman"/>
          <w:szCs w:val="24"/>
        </w:rPr>
        <w:t>administration</w:t>
      </w:r>
      <w:r w:rsidRPr="00F56837">
        <w:rPr>
          <w:rFonts w:cs="Times New Roman"/>
          <w:szCs w:val="24"/>
        </w:rPr>
        <w:t>. Second, how</w:t>
      </w:r>
      <w:r w:rsidR="008F5BED" w:rsidRPr="00F56837">
        <w:rPr>
          <w:rFonts w:cs="Times New Roman"/>
          <w:szCs w:val="24"/>
        </w:rPr>
        <w:t xml:space="preserve"> front</w:t>
      </w:r>
      <w:r w:rsidRPr="00F56837">
        <w:rPr>
          <w:rFonts w:cs="Times New Roman"/>
          <w:szCs w:val="24"/>
        </w:rPr>
        <w:t>line decisions are subject to internal review and appeal via mechanisms</w:t>
      </w:r>
      <w:r w:rsidR="00890DFA" w:rsidRPr="00F56837">
        <w:rPr>
          <w:rFonts w:cs="Times New Roman"/>
          <w:szCs w:val="24"/>
        </w:rPr>
        <w:t>,</w:t>
      </w:r>
      <w:r w:rsidRPr="00F56837">
        <w:rPr>
          <w:rFonts w:cs="Times New Roman"/>
          <w:szCs w:val="24"/>
        </w:rPr>
        <w:t xml:space="preserve"> which may be located </w:t>
      </w:r>
      <w:r w:rsidR="00890DFA" w:rsidRPr="00F56837">
        <w:rPr>
          <w:rFonts w:cs="Times New Roman"/>
          <w:szCs w:val="24"/>
        </w:rPr>
        <w:t>with</w:t>
      </w:r>
      <w:r w:rsidRPr="00F56837">
        <w:rPr>
          <w:rFonts w:cs="Times New Roman"/>
          <w:szCs w:val="24"/>
        </w:rPr>
        <w:t xml:space="preserve">in the same decision-making structure or elsewhere. Third, </w:t>
      </w:r>
      <w:r w:rsidR="000B4F65" w:rsidRPr="00F56837">
        <w:rPr>
          <w:rFonts w:cs="Times New Roman"/>
          <w:szCs w:val="24"/>
        </w:rPr>
        <w:t xml:space="preserve">how authority is distributed within administrative decision-making processes, as between hierarchical superiors and their nominal subordinates. Again, different methodological approaches </w:t>
      </w:r>
      <w:r w:rsidR="0039305E" w:rsidRPr="00F56837">
        <w:rPr>
          <w:rFonts w:cs="Times New Roman"/>
          <w:szCs w:val="24"/>
        </w:rPr>
        <w:t xml:space="preserve">have been prominent in work from </w:t>
      </w:r>
      <w:r w:rsidR="0039305E" w:rsidRPr="00F56837">
        <w:rPr>
          <w:rFonts w:cs="Times New Roman"/>
          <w:szCs w:val="24"/>
        </w:rPr>
        <w:lastRenderedPageBreak/>
        <w:t>the internal perspective</w:t>
      </w:r>
      <w:r w:rsidR="000B4F65" w:rsidRPr="00F56837">
        <w:rPr>
          <w:rFonts w:cs="Times New Roman"/>
          <w:szCs w:val="24"/>
        </w:rPr>
        <w:t xml:space="preserve">, depending on the form </w:t>
      </w:r>
      <w:r w:rsidR="0039305E" w:rsidRPr="00F56837">
        <w:rPr>
          <w:rFonts w:cs="Times New Roman"/>
          <w:szCs w:val="24"/>
        </w:rPr>
        <w:t>it</w:t>
      </w:r>
      <w:r w:rsidR="000B4F65" w:rsidRPr="00F56837">
        <w:rPr>
          <w:rFonts w:cs="Times New Roman"/>
          <w:szCs w:val="24"/>
        </w:rPr>
        <w:t xml:space="preserve"> takes. </w:t>
      </w:r>
      <w:r w:rsidR="0072429E" w:rsidRPr="00F56837">
        <w:rPr>
          <w:rFonts w:cs="Times New Roman"/>
          <w:szCs w:val="24"/>
        </w:rPr>
        <w:t>Socio-legal</w:t>
      </w:r>
      <w:r w:rsidR="000B4F65" w:rsidRPr="00F56837">
        <w:rPr>
          <w:rFonts w:cs="Times New Roman"/>
          <w:szCs w:val="24"/>
        </w:rPr>
        <w:t xml:space="preserve"> </w:t>
      </w:r>
      <w:r w:rsidR="007C7C07" w:rsidRPr="00F56837">
        <w:rPr>
          <w:rFonts w:cs="Times New Roman"/>
          <w:szCs w:val="24"/>
        </w:rPr>
        <w:t>scholarship has</w:t>
      </w:r>
      <w:r w:rsidR="000B4F65" w:rsidRPr="00F56837">
        <w:rPr>
          <w:rFonts w:cs="Times New Roman"/>
          <w:szCs w:val="24"/>
        </w:rPr>
        <w:t xml:space="preserve"> been especially prominent, as have theoretical approaches drawing on literature in public policy and governance, </w:t>
      </w:r>
      <w:r w:rsidR="007C7C07" w:rsidRPr="00F56837">
        <w:rPr>
          <w:rFonts w:cs="Times New Roman"/>
          <w:szCs w:val="24"/>
        </w:rPr>
        <w:t>but</w:t>
      </w:r>
      <w:r w:rsidR="000B4F65" w:rsidRPr="00F56837">
        <w:rPr>
          <w:rFonts w:cs="Times New Roman"/>
          <w:szCs w:val="24"/>
        </w:rPr>
        <w:t xml:space="preserve"> legal-doctrinal work is often necessary to provide structure for empirical or theoretical inquiry.</w:t>
      </w:r>
      <w:r w:rsidR="0039305E" w:rsidRPr="00F56837">
        <w:rPr>
          <w:rFonts w:cs="Times New Roman"/>
          <w:szCs w:val="24"/>
        </w:rPr>
        <w:t xml:space="preserve"> </w:t>
      </w:r>
    </w:p>
    <w:p w14:paraId="467644F5" w14:textId="77777777" w:rsidR="008F5BED" w:rsidRPr="00F56837" w:rsidRDefault="008F5BED" w:rsidP="00F56837">
      <w:pPr>
        <w:spacing w:after="0" w:line="276" w:lineRule="auto"/>
        <w:ind w:firstLine="720"/>
        <w:jc w:val="both"/>
        <w:rPr>
          <w:rFonts w:cs="Times New Roman"/>
          <w:szCs w:val="24"/>
        </w:rPr>
      </w:pPr>
    </w:p>
    <w:p w14:paraId="21C7ABEC" w14:textId="66EEEE28" w:rsidR="0065461C" w:rsidRPr="00F56837" w:rsidRDefault="0039305E" w:rsidP="00F56837">
      <w:pPr>
        <w:spacing w:after="0" w:line="276" w:lineRule="auto"/>
        <w:ind w:firstLine="720"/>
        <w:jc w:val="both"/>
        <w:rPr>
          <w:rFonts w:cs="Times New Roman"/>
          <w:szCs w:val="24"/>
        </w:rPr>
      </w:pPr>
      <w:r w:rsidRPr="00F56837">
        <w:rPr>
          <w:rFonts w:cs="Times New Roman"/>
          <w:szCs w:val="24"/>
        </w:rPr>
        <w:t xml:space="preserve">While </w:t>
      </w:r>
      <w:r w:rsidR="00387012" w:rsidRPr="00F56837">
        <w:rPr>
          <w:rFonts w:cs="Times New Roman"/>
          <w:szCs w:val="24"/>
        </w:rPr>
        <w:t>the</w:t>
      </w:r>
      <w:r w:rsidRPr="00F56837">
        <w:rPr>
          <w:rFonts w:cs="Times New Roman"/>
          <w:szCs w:val="24"/>
        </w:rPr>
        <w:t xml:space="preserve"> </w:t>
      </w:r>
      <w:r w:rsidR="0072429E" w:rsidRPr="00F56837">
        <w:rPr>
          <w:rFonts w:cs="Times New Roman"/>
          <w:szCs w:val="24"/>
        </w:rPr>
        <w:t>distinction</w:t>
      </w:r>
      <w:r w:rsidRPr="00F56837">
        <w:rPr>
          <w:rFonts w:cs="Times New Roman"/>
          <w:szCs w:val="24"/>
        </w:rPr>
        <w:t xml:space="preserve"> </w:t>
      </w:r>
      <w:r w:rsidR="008F5BED" w:rsidRPr="00F56837">
        <w:rPr>
          <w:rFonts w:cs="Times New Roman"/>
          <w:szCs w:val="24"/>
        </w:rPr>
        <w:t xml:space="preserve">we </w:t>
      </w:r>
      <w:r w:rsidR="0072429E" w:rsidRPr="00F56837">
        <w:rPr>
          <w:rFonts w:cs="Times New Roman"/>
          <w:szCs w:val="24"/>
        </w:rPr>
        <w:t>draw</w:t>
      </w:r>
      <w:r w:rsidR="00387012" w:rsidRPr="00F56837">
        <w:rPr>
          <w:rFonts w:cs="Times New Roman"/>
          <w:szCs w:val="24"/>
        </w:rPr>
        <w:t xml:space="preserve"> between</w:t>
      </w:r>
      <w:r w:rsidRPr="00F56837">
        <w:rPr>
          <w:rFonts w:cs="Times New Roman"/>
          <w:szCs w:val="24"/>
        </w:rPr>
        <w:t xml:space="preserve"> </w:t>
      </w:r>
      <w:r w:rsidR="003D3199" w:rsidRPr="00F56837">
        <w:rPr>
          <w:rFonts w:cs="Times New Roman"/>
          <w:szCs w:val="24"/>
        </w:rPr>
        <w:t xml:space="preserve">the </w:t>
      </w:r>
      <w:r w:rsidR="008F5BED" w:rsidRPr="00F56837">
        <w:rPr>
          <w:rFonts w:cs="Times New Roman"/>
          <w:szCs w:val="24"/>
        </w:rPr>
        <w:t xml:space="preserve">internal and external </w:t>
      </w:r>
      <w:r w:rsidRPr="00F56837">
        <w:rPr>
          <w:rFonts w:cs="Times New Roman"/>
          <w:szCs w:val="24"/>
        </w:rPr>
        <w:t>perspective</w:t>
      </w:r>
      <w:r w:rsidR="008F5BED" w:rsidRPr="00F56837">
        <w:rPr>
          <w:rFonts w:cs="Times New Roman"/>
          <w:szCs w:val="24"/>
        </w:rPr>
        <w:t>s</w:t>
      </w:r>
      <w:r w:rsidRPr="00F56837">
        <w:rPr>
          <w:rFonts w:cs="Times New Roman"/>
          <w:szCs w:val="24"/>
        </w:rPr>
        <w:t xml:space="preserve"> and methodology still hold</w:t>
      </w:r>
      <w:r w:rsidR="00387012" w:rsidRPr="00F56837">
        <w:rPr>
          <w:rFonts w:cs="Times New Roman"/>
          <w:szCs w:val="24"/>
        </w:rPr>
        <w:t xml:space="preserve"> </w:t>
      </w:r>
      <w:r w:rsidR="00B5586A" w:rsidRPr="00F56837">
        <w:rPr>
          <w:rFonts w:cs="Times New Roman"/>
          <w:szCs w:val="24"/>
        </w:rPr>
        <w:t xml:space="preserve">true </w:t>
      </w:r>
      <w:r w:rsidR="00387012" w:rsidRPr="00F56837">
        <w:rPr>
          <w:rFonts w:cs="Times New Roman"/>
          <w:szCs w:val="24"/>
        </w:rPr>
        <w:t>in general</w:t>
      </w:r>
      <w:r w:rsidRPr="00F56837">
        <w:rPr>
          <w:rFonts w:cs="Times New Roman"/>
          <w:szCs w:val="24"/>
        </w:rPr>
        <w:t xml:space="preserve">, recent years have seen a greater willingness </w:t>
      </w:r>
      <w:r w:rsidR="003D3199" w:rsidRPr="00F56837">
        <w:rPr>
          <w:rFonts w:cs="Times New Roman"/>
          <w:szCs w:val="24"/>
        </w:rPr>
        <w:t xml:space="preserve">on the part of public law scholars </w:t>
      </w:r>
      <w:r w:rsidRPr="00F56837">
        <w:rPr>
          <w:rFonts w:cs="Times New Roman"/>
          <w:szCs w:val="24"/>
        </w:rPr>
        <w:t xml:space="preserve">to </w:t>
      </w:r>
      <w:r w:rsidR="00387012" w:rsidRPr="00F56837">
        <w:rPr>
          <w:rFonts w:cs="Times New Roman"/>
          <w:szCs w:val="24"/>
        </w:rPr>
        <w:t>cross</w:t>
      </w:r>
      <w:r w:rsidRPr="00F56837">
        <w:rPr>
          <w:rFonts w:cs="Times New Roman"/>
          <w:szCs w:val="24"/>
        </w:rPr>
        <w:t xml:space="preserve"> </w:t>
      </w:r>
      <w:r w:rsidR="00387012" w:rsidRPr="00F56837">
        <w:rPr>
          <w:rFonts w:cs="Times New Roman"/>
          <w:szCs w:val="24"/>
        </w:rPr>
        <w:t xml:space="preserve">traditional methodological </w:t>
      </w:r>
      <w:r w:rsidRPr="00F56837">
        <w:rPr>
          <w:rFonts w:cs="Times New Roman"/>
          <w:szCs w:val="24"/>
        </w:rPr>
        <w:t>boundaries</w:t>
      </w:r>
      <w:r w:rsidR="007C7C07" w:rsidRPr="00F56837">
        <w:rPr>
          <w:rFonts w:cs="Times New Roman"/>
          <w:szCs w:val="24"/>
        </w:rPr>
        <w:t>.</w:t>
      </w:r>
      <w:r w:rsidR="00387012" w:rsidRPr="00F56837">
        <w:rPr>
          <w:rFonts w:cs="Times New Roman"/>
          <w:szCs w:val="24"/>
        </w:rPr>
        <w:t xml:space="preserve"> </w:t>
      </w:r>
      <w:r w:rsidR="003E2937" w:rsidRPr="00F56837">
        <w:rPr>
          <w:rFonts w:cs="Times New Roman"/>
          <w:szCs w:val="24"/>
        </w:rPr>
        <w:t>This</w:t>
      </w:r>
      <w:r w:rsidR="00387012" w:rsidRPr="00F56837">
        <w:rPr>
          <w:rFonts w:cs="Times New Roman"/>
          <w:szCs w:val="24"/>
        </w:rPr>
        <w:t xml:space="preserve"> </w:t>
      </w:r>
      <w:r w:rsidR="003E2937" w:rsidRPr="00F56837">
        <w:rPr>
          <w:rFonts w:cs="Times New Roman"/>
          <w:szCs w:val="24"/>
        </w:rPr>
        <w:t>development</w:t>
      </w:r>
      <w:r w:rsidR="00387012" w:rsidRPr="00F56837">
        <w:rPr>
          <w:rFonts w:cs="Times New Roman"/>
          <w:szCs w:val="24"/>
        </w:rPr>
        <w:t xml:space="preserve"> has not been wit</w:t>
      </w:r>
      <w:r w:rsidR="003E2937" w:rsidRPr="00F56837">
        <w:rPr>
          <w:rFonts w:cs="Times New Roman"/>
          <w:szCs w:val="24"/>
        </w:rPr>
        <w:t xml:space="preserve">hout </w:t>
      </w:r>
      <w:r w:rsidR="003D3199" w:rsidRPr="00F56837">
        <w:rPr>
          <w:rFonts w:cs="Times New Roman"/>
          <w:szCs w:val="24"/>
        </w:rPr>
        <w:t>controversy,</w:t>
      </w:r>
      <w:r w:rsidR="003E2937" w:rsidRPr="00F56837">
        <w:rPr>
          <w:rFonts w:cs="Times New Roman"/>
          <w:szCs w:val="24"/>
        </w:rPr>
        <w:t xml:space="preserve"> but</w:t>
      </w:r>
      <w:r w:rsidR="00387012" w:rsidRPr="00F56837">
        <w:rPr>
          <w:rFonts w:cs="Times New Roman"/>
          <w:szCs w:val="24"/>
        </w:rPr>
        <w:t xml:space="preserve"> </w:t>
      </w:r>
      <w:r w:rsidR="003E2937" w:rsidRPr="00F56837">
        <w:rPr>
          <w:rFonts w:cs="Times New Roman"/>
          <w:szCs w:val="24"/>
        </w:rPr>
        <w:t xml:space="preserve">it </w:t>
      </w:r>
      <w:r w:rsidR="0072429E" w:rsidRPr="00F56837">
        <w:rPr>
          <w:rFonts w:cs="Times New Roman"/>
          <w:szCs w:val="24"/>
        </w:rPr>
        <w:t>suggests</w:t>
      </w:r>
      <w:r w:rsidR="003E2937" w:rsidRPr="00F56837">
        <w:rPr>
          <w:rFonts w:cs="Times New Roman"/>
          <w:szCs w:val="24"/>
        </w:rPr>
        <w:t xml:space="preserve"> a future </w:t>
      </w:r>
      <w:r w:rsidR="0072429E" w:rsidRPr="00F56837">
        <w:rPr>
          <w:rFonts w:cs="Times New Roman"/>
          <w:szCs w:val="24"/>
        </w:rPr>
        <w:t>of public</w:t>
      </w:r>
      <w:r w:rsidR="003E2937" w:rsidRPr="00F56837">
        <w:rPr>
          <w:rFonts w:cs="Times New Roman"/>
          <w:szCs w:val="24"/>
        </w:rPr>
        <w:t xml:space="preserve"> research which takes a more methodologically diverse </w:t>
      </w:r>
      <w:r w:rsidR="003D3199" w:rsidRPr="00F56837">
        <w:rPr>
          <w:rFonts w:cs="Times New Roman"/>
          <w:szCs w:val="24"/>
        </w:rPr>
        <w:t xml:space="preserve">approach to </w:t>
      </w:r>
      <w:r w:rsidR="00512B43" w:rsidRPr="00F56837">
        <w:rPr>
          <w:rFonts w:cs="Times New Roman"/>
          <w:szCs w:val="24"/>
        </w:rPr>
        <w:t xml:space="preserve">understanding the </w:t>
      </w:r>
      <w:r w:rsidR="00890DFA" w:rsidRPr="00F56837">
        <w:rPr>
          <w:rFonts w:cs="Times New Roman"/>
          <w:szCs w:val="24"/>
        </w:rPr>
        <w:t>relationship between public law and the</w:t>
      </w:r>
      <w:r w:rsidR="003D3199" w:rsidRPr="00F56837">
        <w:rPr>
          <w:rFonts w:cs="Times New Roman"/>
          <w:szCs w:val="24"/>
        </w:rPr>
        <w:t xml:space="preserve"> administrative state</w:t>
      </w:r>
      <w:r w:rsidR="00890DFA" w:rsidRPr="00F56837">
        <w:rPr>
          <w:rFonts w:cs="Times New Roman"/>
          <w:szCs w:val="24"/>
        </w:rPr>
        <w:t xml:space="preserve"> in the common law world</w:t>
      </w:r>
      <w:r w:rsidR="003E2937" w:rsidRPr="00F56837">
        <w:rPr>
          <w:rFonts w:cs="Times New Roman"/>
          <w:szCs w:val="24"/>
        </w:rPr>
        <w:t>.</w:t>
      </w:r>
      <w:r w:rsidR="008F5BED" w:rsidRPr="00F56837">
        <w:rPr>
          <w:rFonts w:cs="Times New Roman"/>
          <w:szCs w:val="24"/>
        </w:rPr>
        <w:t xml:space="preserve"> </w:t>
      </w:r>
    </w:p>
    <w:p w14:paraId="4240472A" w14:textId="77777777" w:rsidR="008F5BED" w:rsidRPr="00F56837" w:rsidRDefault="008F5BED" w:rsidP="00F56837">
      <w:pPr>
        <w:spacing w:after="0" w:line="276" w:lineRule="auto"/>
        <w:ind w:firstLine="720"/>
        <w:jc w:val="both"/>
        <w:rPr>
          <w:rFonts w:cs="Times New Roman"/>
          <w:szCs w:val="24"/>
        </w:rPr>
      </w:pPr>
    </w:p>
    <w:p w14:paraId="3EB04A00" w14:textId="281B9CCB" w:rsidR="008F5BED" w:rsidRPr="00F56837" w:rsidRDefault="008F5BED" w:rsidP="00F56837">
      <w:pPr>
        <w:spacing w:after="0" w:line="276" w:lineRule="auto"/>
        <w:ind w:firstLine="720"/>
        <w:jc w:val="both"/>
        <w:rPr>
          <w:rFonts w:cs="Times New Roman"/>
          <w:szCs w:val="24"/>
        </w:rPr>
      </w:pPr>
      <w:r w:rsidRPr="00F56837">
        <w:rPr>
          <w:rFonts w:cs="Times New Roman"/>
          <w:szCs w:val="24"/>
        </w:rPr>
        <w:t xml:space="preserve">In this chapter, we </w:t>
      </w:r>
      <w:r w:rsidR="00AE7355" w:rsidRPr="00F56837">
        <w:rPr>
          <w:rFonts w:cs="Times New Roman"/>
          <w:szCs w:val="24"/>
        </w:rPr>
        <w:t xml:space="preserve">explore public law research on the </w:t>
      </w:r>
      <w:r w:rsidRPr="00F56837">
        <w:rPr>
          <w:rFonts w:cs="Times New Roman"/>
          <w:szCs w:val="24"/>
        </w:rPr>
        <w:t>administrative state from internal and external perspectives. First, we show how this distinction has deep historical roots</w:t>
      </w:r>
      <w:r w:rsidR="00AE7355" w:rsidRPr="00F56837">
        <w:rPr>
          <w:rFonts w:cs="Times New Roman"/>
          <w:szCs w:val="24"/>
        </w:rPr>
        <w:t xml:space="preserve"> across jurisdictions</w:t>
      </w:r>
      <w:r w:rsidRPr="00F56837">
        <w:rPr>
          <w:rFonts w:cs="Times New Roman"/>
          <w:szCs w:val="24"/>
        </w:rPr>
        <w:t xml:space="preserve">, </w:t>
      </w:r>
      <w:r w:rsidR="007C7C07" w:rsidRPr="00F56837">
        <w:rPr>
          <w:rFonts w:cs="Times New Roman"/>
          <w:szCs w:val="24"/>
        </w:rPr>
        <w:t xml:space="preserve">with </w:t>
      </w:r>
      <w:proofErr w:type="gramStart"/>
      <w:r w:rsidR="007C7C07" w:rsidRPr="00F56837">
        <w:rPr>
          <w:rFonts w:cs="Times New Roman"/>
          <w:szCs w:val="24"/>
        </w:rPr>
        <w:t>particular</w:t>
      </w:r>
      <w:r w:rsidRPr="00F56837">
        <w:rPr>
          <w:rFonts w:cs="Times New Roman"/>
          <w:szCs w:val="24"/>
        </w:rPr>
        <w:t xml:space="preserve"> reference</w:t>
      </w:r>
      <w:proofErr w:type="gramEnd"/>
      <w:r w:rsidRPr="00F56837">
        <w:rPr>
          <w:rFonts w:cs="Times New Roman"/>
          <w:szCs w:val="24"/>
        </w:rPr>
        <w:t xml:space="preserve"> to Bruce Wyman’s seminal</w:t>
      </w:r>
      <w:r w:rsidR="00AE7355" w:rsidRPr="00F56837">
        <w:rPr>
          <w:rFonts w:cs="Times New Roman"/>
          <w:szCs w:val="24"/>
        </w:rPr>
        <w:t xml:space="preserve"> </w:t>
      </w:r>
      <w:r w:rsidRPr="00F56837">
        <w:rPr>
          <w:rFonts w:cs="Times New Roman"/>
          <w:szCs w:val="24"/>
        </w:rPr>
        <w:t>work</w:t>
      </w:r>
      <w:r w:rsidR="00F00C4D" w:rsidRPr="00F56837">
        <w:rPr>
          <w:rFonts w:cs="Times New Roman"/>
          <w:szCs w:val="24"/>
        </w:rPr>
        <w:t xml:space="preserve"> in the early Twentieth Century</w:t>
      </w:r>
      <w:r w:rsidRPr="00F56837">
        <w:rPr>
          <w:rFonts w:cs="Times New Roman"/>
          <w:szCs w:val="24"/>
        </w:rPr>
        <w:t>. We then set out the general landscape in relation to work from the internal and external perspective</w:t>
      </w:r>
      <w:r w:rsidR="00AE7355" w:rsidRPr="00F56837">
        <w:rPr>
          <w:rFonts w:cs="Times New Roman"/>
          <w:szCs w:val="24"/>
        </w:rPr>
        <w:t>s</w:t>
      </w:r>
      <w:r w:rsidRPr="00F56837">
        <w:rPr>
          <w:rFonts w:cs="Times New Roman"/>
          <w:szCs w:val="24"/>
        </w:rPr>
        <w:t xml:space="preserve">. Finally, we show how the methodological </w:t>
      </w:r>
      <w:r w:rsidR="00890DFA" w:rsidRPr="00F56837">
        <w:rPr>
          <w:rFonts w:cs="Times New Roman"/>
          <w:szCs w:val="24"/>
        </w:rPr>
        <w:t>attachments</w:t>
      </w:r>
      <w:r w:rsidRPr="00F56837">
        <w:rPr>
          <w:rFonts w:cs="Times New Roman"/>
          <w:szCs w:val="24"/>
        </w:rPr>
        <w:t xml:space="preserve"> </w:t>
      </w:r>
      <w:r w:rsidR="00AE7355" w:rsidRPr="00F56837">
        <w:rPr>
          <w:rFonts w:cs="Times New Roman"/>
          <w:szCs w:val="24"/>
        </w:rPr>
        <w:t xml:space="preserve">associated with these approaches </w:t>
      </w:r>
      <w:r w:rsidRPr="00F56837">
        <w:rPr>
          <w:rFonts w:cs="Times New Roman"/>
          <w:szCs w:val="24"/>
        </w:rPr>
        <w:t xml:space="preserve">are increasingly falling away, paving the way for a more methodologically diverse </w:t>
      </w:r>
      <w:r w:rsidR="00AE7355" w:rsidRPr="00F56837">
        <w:rPr>
          <w:rFonts w:cs="Times New Roman"/>
          <w:szCs w:val="24"/>
        </w:rPr>
        <w:t>phase</w:t>
      </w:r>
      <w:r w:rsidRPr="00F56837">
        <w:rPr>
          <w:rFonts w:cs="Times New Roman"/>
          <w:szCs w:val="24"/>
        </w:rPr>
        <w:t xml:space="preserve"> of public law scholarship </w:t>
      </w:r>
      <w:r w:rsidR="00AE7355" w:rsidRPr="00F56837">
        <w:rPr>
          <w:rFonts w:cs="Times New Roman"/>
          <w:szCs w:val="24"/>
        </w:rPr>
        <w:t>concerned with</w:t>
      </w:r>
      <w:r w:rsidRPr="00F56837">
        <w:rPr>
          <w:rFonts w:cs="Times New Roman"/>
          <w:szCs w:val="24"/>
        </w:rPr>
        <w:t xml:space="preserve"> the administrative state.</w:t>
      </w:r>
    </w:p>
    <w:p w14:paraId="383FED83" w14:textId="77777777" w:rsidR="00855372" w:rsidRPr="006360B1" w:rsidRDefault="00855372" w:rsidP="006360B1">
      <w:pPr>
        <w:spacing w:after="0"/>
        <w:jc w:val="both"/>
        <w:rPr>
          <w:rFonts w:ascii="Georgia" w:hAnsi="Georgia"/>
        </w:rPr>
      </w:pPr>
    </w:p>
    <w:p w14:paraId="046F6EC6" w14:textId="2CFBBDC2" w:rsidR="00AE7355" w:rsidRDefault="00D04944" w:rsidP="00817CF3">
      <w:pPr>
        <w:spacing w:after="0" w:line="276" w:lineRule="auto"/>
        <w:rPr>
          <w:rFonts w:cs="Times New Roman"/>
          <w:b/>
          <w:bCs/>
          <w:szCs w:val="24"/>
        </w:rPr>
      </w:pPr>
      <w:r w:rsidRPr="00817CF3">
        <w:rPr>
          <w:rFonts w:cs="Times New Roman"/>
          <w:b/>
          <w:bCs/>
          <w:szCs w:val="24"/>
        </w:rPr>
        <w:t>I</w:t>
      </w:r>
      <w:r w:rsidR="008F5BED" w:rsidRPr="00817CF3">
        <w:rPr>
          <w:rFonts w:cs="Times New Roman"/>
          <w:b/>
          <w:bCs/>
          <w:szCs w:val="24"/>
        </w:rPr>
        <w:t>I. INTERNAL AND EXTERNAL PERSPECTIVES</w:t>
      </w:r>
    </w:p>
    <w:p w14:paraId="50AB74F2" w14:textId="77777777" w:rsidR="00817CF3" w:rsidRPr="00817CF3" w:rsidRDefault="00817CF3" w:rsidP="00817CF3">
      <w:pPr>
        <w:spacing w:after="0" w:line="276" w:lineRule="auto"/>
        <w:rPr>
          <w:rFonts w:cs="Times New Roman"/>
          <w:b/>
          <w:bCs/>
          <w:szCs w:val="24"/>
        </w:rPr>
      </w:pPr>
    </w:p>
    <w:p w14:paraId="49BD6163" w14:textId="74A32B48" w:rsidR="007051C4" w:rsidRPr="00817CF3" w:rsidRDefault="00AA31F4" w:rsidP="00817CF3">
      <w:pPr>
        <w:spacing w:after="0" w:line="276" w:lineRule="auto"/>
        <w:jc w:val="both"/>
        <w:rPr>
          <w:rFonts w:cs="Times New Roman"/>
        </w:rPr>
      </w:pPr>
      <w:r w:rsidRPr="00817CF3">
        <w:rPr>
          <w:rFonts w:cs="Times New Roman"/>
        </w:rPr>
        <w:t xml:space="preserve">Drawing a distinction between internal and external </w:t>
      </w:r>
      <w:r w:rsidR="00851F57" w:rsidRPr="00817CF3">
        <w:rPr>
          <w:rFonts w:cs="Times New Roman"/>
        </w:rPr>
        <w:t>public law</w:t>
      </w:r>
      <w:r w:rsidRPr="00817CF3">
        <w:rPr>
          <w:rFonts w:cs="Times New Roman"/>
        </w:rPr>
        <w:t xml:space="preserve"> approaches</w:t>
      </w:r>
      <w:r w:rsidR="003D3199" w:rsidRPr="00817CF3">
        <w:rPr>
          <w:rFonts w:cs="Times New Roman"/>
        </w:rPr>
        <w:t xml:space="preserve"> </w:t>
      </w:r>
      <w:r w:rsidR="001C7218" w:rsidRPr="00817CF3">
        <w:rPr>
          <w:rFonts w:cs="Times New Roman"/>
        </w:rPr>
        <w:t xml:space="preserve">to </w:t>
      </w:r>
      <w:r w:rsidRPr="00817CF3">
        <w:rPr>
          <w:rFonts w:cs="Times New Roman"/>
        </w:rPr>
        <w:t>the administrative state</w:t>
      </w:r>
      <w:r w:rsidR="003D3199" w:rsidRPr="00817CF3">
        <w:rPr>
          <w:rFonts w:cs="Times New Roman"/>
        </w:rPr>
        <w:t>, as we do here,</w:t>
      </w:r>
      <w:r w:rsidRPr="00817CF3">
        <w:rPr>
          <w:rFonts w:cs="Times New Roman"/>
        </w:rPr>
        <w:t xml:space="preserve"> is not new</w:t>
      </w:r>
      <w:r w:rsidR="00AE7355" w:rsidRPr="00817CF3">
        <w:rPr>
          <w:rFonts w:cs="Times New Roman"/>
        </w:rPr>
        <w:t xml:space="preserve">. It </w:t>
      </w:r>
      <w:r w:rsidR="001C7218" w:rsidRPr="00817CF3">
        <w:rPr>
          <w:rFonts w:cs="Times New Roman"/>
        </w:rPr>
        <w:t>is a distinction which has</w:t>
      </w:r>
      <w:r w:rsidR="00AE7355" w:rsidRPr="00817CF3">
        <w:rPr>
          <w:rFonts w:cs="Times New Roman"/>
        </w:rPr>
        <w:t xml:space="preserve"> </w:t>
      </w:r>
      <w:r w:rsidR="00851F57" w:rsidRPr="00817CF3">
        <w:rPr>
          <w:rFonts w:cs="Times New Roman"/>
        </w:rPr>
        <w:t>proven</w:t>
      </w:r>
      <w:r w:rsidR="001C7218" w:rsidRPr="00817CF3">
        <w:rPr>
          <w:rFonts w:cs="Times New Roman"/>
        </w:rPr>
        <w:t xml:space="preserve"> to possess </w:t>
      </w:r>
      <w:r w:rsidR="00AE7355" w:rsidRPr="00817CF3">
        <w:rPr>
          <w:rFonts w:cs="Times New Roman"/>
        </w:rPr>
        <w:t>relevance over time and</w:t>
      </w:r>
      <w:r w:rsidR="00F00C4D" w:rsidRPr="00817CF3">
        <w:rPr>
          <w:rFonts w:cs="Times New Roman"/>
        </w:rPr>
        <w:t xml:space="preserve"> across</w:t>
      </w:r>
      <w:r w:rsidR="00AE7355" w:rsidRPr="00817CF3">
        <w:rPr>
          <w:rFonts w:cs="Times New Roman"/>
        </w:rPr>
        <w:t xml:space="preserve"> </w:t>
      </w:r>
      <w:r w:rsidR="00F00C4D" w:rsidRPr="00817CF3">
        <w:rPr>
          <w:rFonts w:cs="Times New Roman"/>
        </w:rPr>
        <w:t>jurisdictional boundaries</w:t>
      </w:r>
      <w:r w:rsidR="00AE7355" w:rsidRPr="00817CF3">
        <w:rPr>
          <w:rFonts w:cs="Times New Roman"/>
        </w:rPr>
        <w:t xml:space="preserve">. </w:t>
      </w:r>
      <w:r w:rsidR="001C7218" w:rsidRPr="00817CF3">
        <w:rPr>
          <w:rFonts w:cs="Times New Roman"/>
        </w:rPr>
        <w:t xml:space="preserve">In 1903, U.S. scholar </w:t>
      </w:r>
      <w:r w:rsidRPr="00817CF3">
        <w:rPr>
          <w:rFonts w:cs="Times New Roman"/>
        </w:rPr>
        <w:t>Bruce Wyman</w:t>
      </w:r>
      <w:r w:rsidR="001C7218" w:rsidRPr="00817CF3">
        <w:rPr>
          <w:rFonts w:cs="Times New Roman"/>
        </w:rPr>
        <w:t xml:space="preserve"> published </w:t>
      </w:r>
      <w:r w:rsidRPr="00817CF3">
        <w:rPr>
          <w:rFonts w:cs="Times New Roman"/>
          <w:i/>
        </w:rPr>
        <w:t>The Principles of the Administrative Law Governing the Relations of Public Officers</w:t>
      </w:r>
      <w:r w:rsidRPr="00817CF3">
        <w:rPr>
          <w:rFonts w:cs="Times New Roman"/>
        </w:rPr>
        <w:t>.</w:t>
      </w:r>
      <w:r w:rsidRPr="00817CF3">
        <w:rPr>
          <w:rStyle w:val="FootnoteReference"/>
        </w:rPr>
        <w:footnoteReference w:id="4"/>
      </w:r>
      <w:r w:rsidRPr="00817CF3">
        <w:rPr>
          <w:rFonts w:cs="Times New Roman"/>
        </w:rPr>
        <w:t xml:space="preserve"> </w:t>
      </w:r>
      <w:r w:rsidR="001C7218" w:rsidRPr="00817CF3">
        <w:rPr>
          <w:rFonts w:cs="Times New Roman"/>
        </w:rPr>
        <w:t>At a time when many of his contemporaries were reckoning with</w:t>
      </w:r>
      <w:r w:rsidR="00E01C7D" w:rsidRPr="00817CF3">
        <w:rPr>
          <w:rFonts w:cs="Times New Roman"/>
        </w:rPr>
        <w:t xml:space="preserve"> (</w:t>
      </w:r>
      <w:r w:rsidR="001C7218" w:rsidRPr="00817CF3">
        <w:rPr>
          <w:rFonts w:cs="Times New Roman"/>
        </w:rPr>
        <w:t>and deeply concerned about</w:t>
      </w:r>
      <w:r w:rsidR="00E01C7D" w:rsidRPr="00817CF3">
        <w:rPr>
          <w:rFonts w:cs="Times New Roman"/>
        </w:rPr>
        <w:t xml:space="preserve">) </w:t>
      </w:r>
      <w:r w:rsidR="001C7218" w:rsidRPr="00817CF3">
        <w:rPr>
          <w:rFonts w:cs="Times New Roman"/>
        </w:rPr>
        <w:t>the growth of collectivist interventions by the state, Wyman thought—much like the functionalist</w:t>
      </w:r>
      <w:r w:rsidR="00866CFE" w:rsidRPr="00817CF3">
        <w:rPr>
          <w:rFonts w:cs="Times New Roman"/>
        </w:rPr>
        <w:t xml:space="preserve"> scholars</w:t>
      </w:r>
      <w:r w:rsidR="001C7218" w:rsidRPr="00817CF3">
        <w:rPr>
          <w:rFonts w:cs="Times New Roman"/>
        </w:rPr>
        <w:t xml:space="preserve"> </w:t>
      </w:r>
      <w:r w:rsidR="00866CFE" w:rsidRPr="00817CF3">
        <w:rPr>
          <w:rFonts w:cs="Times New Roman"/>
        </w:rPr>
        <w:t>in the UK</w:t>
      </w:r>
      <w:r w:rsidR="001C7218" w:rsidRPr="00817CF3">
        <w:rPr>
          <w:rFonts w:cs="Times New Roman"/>
        </w:rPr>
        <w:t xml:space="preserve">—that this new direction </w:t>
      </w:r>
      <w:r w:rsidR="007C7C07" w:rsidRPr="00817CF3">
        <w:rPr>
          <w:rFonts w:cs="Times New Roman"/>
        </w:rPr>
        <w:t>in</w:t>
      </w:r>
      <w:r w:rsidR="001C7218" w:rsidRPr="00817CF3">
        <w:rPr>
          <w:rFonts w:cs="Times New Roman"/>
        </w:rPr>
        <w:t xml:space="preserve"> </w:t>
      </w:r>
      <w:r w:rsidR="00E01C7D" w:rsidRPr="00817CF3">
        <w:rPr>
          <w:rFonts w:cs="Times New Roman"/>
        </w:rPr>
        <w:t>government</w:t>
      </w:r>
      <w:r w:rsidR="001C7218" w:rsidRPr="00817CF3">
        <w:rPr>
          <w:rFonts w:cs="Times New Roman"/>
        </w:rPr>
        <w:t xml:space="preserve"> must be </w:t>
      </w:r>
      <w:r w:rsidR="00866CFE" w:rsidRPr="00817CF3">
        <w:rPr>
          <w:rFonts w:cs="Times New Roman"/>
        </w:rPr>
        <w:t xml:space="preserve">accepted and </w:t>
      </w:r>
      <w:r w:rsidR="001C7218" w:rsidRPr="00817CF3">
        <w:rPr>
          <w:rFonts w:cs="Times New Roman"/>
        </w:rPr>
        <w:t>assimilated into public law thought</w:t>
      </w:r>
      <w:r w:rsidR="00851F57" w:rsidRPr="00817CF3">
        <w:rPr>
          <w:rFonts w:cs="Times New Roman"/>
        </w:rPr>
        <w:t>.</w:t>
      </w:r>
      <w:r w:rsidR="00851F57" w:rsidRPr="00817CF3">
        <w:rPr>
          <w:rStyle w:val="FootnoteReference"/>
        </w:rPr>
        <w:footnoteReference w:id="5"/>
      </w:r>
      <w:r w:rsidR="001C7218" w:rsidRPr="00817CF3">
        <w:rPr>
          <w:rFonts w:cs="Times New Roman"/>
        </w:rPr>
        <w:t xml:space="preserve"> </w:t>
      </w:r>
      <w:r w:rsidR="00851F57" w:rsidRPr="00817CF3">
        <w:rPr>
          <w:rFonts w:cs="Times New Roman"/>
        </w:rPr>
        <w:t>As part of that effort, h</w:t>
      </w:r>
      <w:r w:rsidR="007051C4" w:rsidRPr="00817CF3">
        <w:rPr>
          <w:rFonts w:cs="Times New Roman"/>
        </w:rPr>
        <w:t>is</w:t>
      </w:r>
      <w:r w:rsidR="001C7218" w:rsidRPr="00817CF3">
        <w:rPr>
          <w:rFonts w:cs="Times New Roman"/>
        </w:rPr>
        <w:t xml:space="preserve"> </w:t>
      </w:r>
      <w:r w:rsidRPr="00817CF3">
        <w:rPr>
          <w:rFonts w:cs="Times New Roman"/>
        </w:rPr>
        <w:t>text presents the first</w:t>
      </w:r>
      <w:r w:rsidR="003D3199" w:rsidRPr="00817CF3">
        <w:rPr>
          <w:rFonts w:cs="Times New Roman"/>
        </w:rPr>
        <w:t xml:space="preserve"> developed</w:t>
      </w:r>
      <w:r w:rsidRPr="00817CF3">
        <w:rPr>
          <w:rFonts w:cs="Times New Roman"/>
        </w:rPr>
        <w:t xml:space="preserve"> expression of the idea that administrative legality rests of two forms of law: the internal practices and procedures that administrative bodies adopt (‘internal administrative law’) and the standards of judicial review (‘external administrative law’).</w:t>
      </w:r>
      <w:r w:rsidR="001C7218" w:rsidRPr="00817CF3">
        <w:rPr>
          <w:rFonts w:cs="Times New Roman"/>
        </w:rPr>
        <w:t xml:space="preserve"> </w:t>
      </w:r>
      <w:r w:rsidR="00851F57" w:rsidRPr="00817CF3">
        <w:rPr>
          <w:rFonts w:cs="Times New Roman"/>
        </w:rPr>
        <w:t xml:space="preserve">In view of this distinction, </w:t>
      </w:r>
      <w:r w:rsidRPr="00817CF3">
        <w:rPr>
          <w:rFonts w:cs="Times New Roman"/>
        </w:rPr>
        <w:t xml:space="preserve">Wyman’s core </w:t>
      </w:r>
      <w:r w:rsidR="003D3199" w:rsidRPr="00817CF3">
        <w:rPr>
          <w:rFonts w:cs="Times New Roman"/>
        </w:rPr>
        <w:t xml:space="preserve">purpose in </w:t>
      </w:r>
      <w:r w:rsidR="003D3199" w:rsidRPr="00817CF3">
        <w:rPr>
          <w:rFonts w:cs="Times New Roman"/>
          <w:i/>
        </w:rPr>
        <w:t>The Principles of the Administrative Law</w:t>
      </w:r>
      <w:r w:rsidRPr="00817CF3">
        <w:rPr>
          <w:rFonts w:cs="Times New Roman"/>
        </w:rPr>
        <w:t xml:space="preserve"> was to argue for the recognition of an internal law of administration—that which he </w:t>
      </w:r>
      <w:r w:rsidR="00E01C7D" w:rsidRPr="00817CF3">
        <w:rPr>
          <w:rFonts w:cs="Times New Roman"/>
        </w:rPr>
        <w:t>claimed</w:t>
      </w:r>
      <w:r w:rsidRPr="00817CF3">
        <w:rPr>
          <w:rFonts w:cs="Times New Roman"/>
        </w:rPr>
        <w:t xml:space="preserve"> was the ‘real subject</w:t>
      </w:r>
      <w:r w:rsidR="00851F57" w:rsidRPr="00817CF3">
        <w:rPr>
          <w:rFonts w:cs="Times New Roman"/>
        </w:rPr>
        <w:t>.</w:t>
      </w:r>
      <w:r w:rsidRPr="00817CF3">
        <w:rPr>
          <w:rFonts w:cs="Times New Roman"/>
        </w:rPr>
        <w:t xml:space="preserve">’ </w:t>
      </w:r>
    </w:p>
    <w:p w14:paraId="2E6BF8D5" w14:textId="77777777" w:rsidR="00866CFE" w:rsidRPr="00817CF3" w:rsidRDefault="00866CFE" w:rsidP="00817CF3">
      <w:pPr>
        <w:spacing w:after="0" w:line="276" w:lineRule="auto"/>
        <w:jc w:val="both"/>
        <w:rPr>
          <w:rFonts w:cs="Times New Roman"/>
        </w:rPr>
      </w:pPr>
    </w:p>
    <w:p w14:paraId="7446563B" w14:textId="77777777" w:rsidR="00851F57" w:rsidRPr="00817CF3" w:rsidRDefault="003D3199" w:rsidP="00817CF3">
      <w:pPr>
        <w:spacing w:after="0" w:line="276" w:lineRule="auto"/>
        <w:ind w:firstLine="720"/>
        <w:jc w:val="both"/>
        <w:rPr>
          <w:rFonts w:eastAsia="Times New Roman" w:cs="Times New Roman"/>
        </w:rPr>
      </w:pPr>
      <w:r w:rsidRPr="00817CF3">
        <w:rPr>
          <w:rFonts w:cs="Times New Roman"/>
        </w:rPr>
        <w:lastRenderedPageBreak/>
        <w:t>While some</w:t>
      </w:r>
      <w:r w:rsidR="00AA31F4" w:rsidRPr="00817CF3">
        <w:rPr>
          <w:rFonts w:cs="Times New Roman"/>
        </w:rPr>
        <w:t xml:space="preserve"> English </w:t>
      </w:r>
      <w:r w:rsidR="00851F57" w:rsidRPr="00817CF3">
        <w:rPr>
          <w:rFonts w:cs="Times New Roman"/>
        </w:rPr>
        <w:t xml:space="preserve">public law </w:t>
      </w:r>
      <w:r w:rsidR="00AA31F4" w:rsidRPr="00817CF3">
        <w:rPr>
          <w:rFonts w:cs="Times New Roman"/>
        </w:rPr>
        <w:t xml:space="preserve">scholars were still </w:t>
      </w:r>
      <w:r w:rsidR="007051C4" w:rsidRPr="00817CF3">
        <w:rPr>
          <w:rFonts w:cs="Times New Roman"/>
        </w:rPr>
        <w:t>doubting</w:t>
      </w:r>
      <w:r w:rsidR="00AA31F4" w:rsidRPr="00817CF3">
        <w:rPr>
          <w:rFonts w:cs="Times New Roman"/>
        </w:rPr>
        <w:t xml:space="preserve"> the very existence of administrative law,</w:t>
      </w:r>
      <w:r w:rsidR="00AA31F4" w:rsidRPr="00817CF3">
        <w:rPr>
          <w:rStyle w:val="FootnoteReference"/>
        </w:rPr>
        <w:footnoteReference w:id="6"/>
      </w:r>
      <w:r w:rsidR="00AA31F4" w:rsidRPr="00817CF3">
        <w:rPr>
          <w:rFonts w:cs="Times New Roman"/>
        </w:rPr>
        <w:t xml:space="preserve"> Wyman was articulating a </w:t>
      </w:r>
      <w:r w:rsidR="00851F57" w:rsidRPr="00817CF3">
        <w:rPr>
          <w:rFonts w:cs="Times New Roman"/>
        </w:rPr>
        <w:t>conceptual framework for</w:t>
      </w:r>
      <w:r w:rsidR="00AA31F4" w:rsidRPr="00817CF3">
        <w:rPr>
          <w:rFonts w:cs="Times New Roman"/>
        </w:rPr>
        <w:t xml:space="preserve"> </w:t>
      </w:r>
      <w:r w:rsidR="00E01C7D" w:rsidRPr="00817CF3">
        <w:rPr>
          <w:rFonts w:cs="Times New Roman"/>
        </w:rPr>
        <w:t>what he saw as the two domains of public law:</w:t>
      </w:r>
      <w:r w:rsidR="00AA31F4" w:rsidRPr="00817CF3">
        <w:rPr>
          <w:rFonts w:eastAsia="Times New Roman" w:cs="Times New Roman"/>
        </w:rPr>
        <w:t xml:space="preserve"> constitutional law</w:t>
      </w:r>
      <w:r w:rsidR="00E01C7D" w:rsidRPr="00817CF3">
        <w:rPr>
          <w:rFonts w:eastAsia="Times New Roman" w:cs="Times New Roman"/>
        </w:rPr>
        <w:t xml:space="preserve"> that</w:t>
      </w:r>
      <w:r w:rsidR="00AA31F4" w:rsidRPr="00817CF3">
        <w:rPr>
          <w:rFonts w:eastAsia="Times New Roman" w:cs="Times New Roman"/>
        </w:rPr>
        <w:t xml:space="preserve"> ‘prescribes the broad outlines of government’ and administrative law </w:t>
      </w:r>
      <w:r w:rsidR="00E01C7D" w:rsidRPr="00817CF3">
        <w:rPr>
          <w:rFonts w:eastAsia="Times New Roman" w:cs="Times New Roman"/>
        </w:rPr>
        <w:t>that is</w:t>
      </w:r>
      <w:r w:rsidR="00AA31F4" w:rsidRPr="00817CF3">
        <w:rPr>
          <w:rFonts w:eastAsia="Times New Roman" w:cs="Times New Roman"/>
        </w:rPr>
        <w:t xml:space="preserve"> its ‘complement.’</w:t>
      </w:r>
      <w:r w:rsidR="00AA31F4" w:rsidRPr="00817CF3">
        <w:rPr>
          <w:rStyle w:val="FootnoteReference"/>
          <w:rFonts w:eastAsia="Times New Roman"/>
        </w:rPr>
        <w:footnoteReference w:id="7"/>
      </w:r>
      <w:r w:rsidR="00AA31F4" w:rsidRPr="00817CF3">
        <w:rPr>
          <w:rFonts w:eastAsia="Times New Roman" w:cs="Times New Roman"/>
        </w:rPr>
        <w:t xml:space="preserve"> This ‘complement,’ according to Wyman, is made up of ‘that body of rules which defines the authority and the responsibility of that department of government which is charged with the enforcement of the law.’</w:t>
      </w:r>
      <w:r w:rsidR="00AA31F4" w:rsidRPr="00817CF3">
        <w:rPr>
          <w:rStyle w:val="FootnoteReference"/>
          <w:rFonts w:eastAsia="Times New Roman"/>
        </w:rPr>
        <w:footnoteReference w:id="8"/>
      </w:r>
      <w:r w:rsidR="00AA31F4" w:rsidRPr="00817CF3">
        <w:rPr>
          <w:rFonts w:eastAsia="Times New Roman" w:cs="Times New Roman"/>
        </w:rPr>
        <w:t xml:space="preserve"> It is by splitting this broad definition in</w:t>
      </w:r>
      <w:r w:rsidR="00391B62" w:rsidRPr="00817CF3">
        <w:rPr>
          <w:rFonts w:eastAsia="Times New Roman" w:cs="Times New Roman"/>
        </w:rPr>
        <w:t xml:space="preserve"> two</w:t>
      </w:r>
      <w:r w:rsidR="00AA31F4" w:rsidRPr="00817CF3">
        <w:rPr>
          <w:rFonts w:eastAsia="Times New Roman" w:cs="Times New Roman"/>
        </w:rPr>
        <w:t>—between the internal and external—the Wyman’s lays the foundation for his work’s key significance: ‘[t]ogether, the external law and the internal law make up the law of administration.’</w:t>
      </w:r>
      <w:r w:rsidR="00AA31F4" w:rsidRPr="00817CF3">
        <w:rPr>
          <w:rStyle w:val="FootnoteReference"/>
          <w:rFonts w:eastAsia="Times New Roman"/>
        </w:rPr>
        <w:footnoteReference w:id="9"/>
      </w:r>
      <w:r w:rsidR="00AA31F4" w:rsidRPr="00817CF3">
        <w:rPr>
          <w:rFonts w:eastAsia="Times New Roman" w:cs="Times New Roman"/>
        </w:rPr>
        <w:t xml:space="preserve"> By external law, Wyman effectively means judicial review. This law is important for Wyman, but </w:t>
      </w:r>
      <w:r w:rsidR="00851F57" w:rsidRPr="00817CF3">
        <w:rPr>
          <w:rFonts w:eastAsia="Times New Roman" w:cs="Times New Roman"/>
        </w:rPr>
        <w:t>he sees it</w:t>
      </w:r>
      <w:r w:rsidR="00AA31F4" w:rsidRPr="00817CF3">
        <w:rPr>
          <w:rFonts w:eastAsia="Times New Roman" w:cs="Times New Roman"/>
        </w:rPr>
        <w:t xml:space="preserve"> </w:t>
      </w:r>
      <w:r w:rsidR="00851F57" w:rsidRPr="00817CF3">
        <w:rPr>
          <w:rFonts w:eastAsia="Times New Roman" w:cs="Times New Roman"/>
        </w:rPr>
        <w:t>as</w:t>
      </w:r>
      <w:r w:rsidR="00AA31F4" w:rsidRPr="00817CF3">
        <w:rPr>
          <w:rFonts w:eastAsia="Times New Roman" w:cs="Times New Roman"/>
        </w:rPr>
        <w:t xml:space="preserve"> peripheral to the ‘real subject’ insofar as it merely defines the outer boundaries of the internal law. </w:t>
      </w:r>
    </w:p>
    <w:p w14:paraId="123765A8" w14:textId="77777777" w:rsidR="00851F57" w:rsidRPr="00817CF3" w:rsidRDefault="00851F57" w:rsidP="00817CF3">
      <w:pPr>
        <w:spacing w:after="0" w:line="276" w:lineRule="auto"/>
        <w:ind w:firstLine="720"/>
        <w:jc w:val="both"/>
        <w:rPr>
          <w:rFonts w:eastAsia="Times New Roman" w:cs="Times New Roman"/>
        </w:rPr>
      </w:pPr>
    </w:p>
    <w:p w14:paraId="760BCBCF" w14:textId="5AAB8F7E" w:rsidR="007051C4" w:rsidRPr="00817CF3" w:rsidRDefault="00AA31F4" w:rsidP="00817CF3">
      <w:pPr>
        <w:spacing w:after="0" w:line="276" w:lineRule="auto"/>
        <w:ind w:firstLine="720"/>
        <w:jc w:val="both"/>
        <w:rPr>
          <w:rFonts w:eastAsia="Times New Roman" w:cs="Times New Roman"/>
          <w:lang w:val="en-CA"/>
        </w:rPr>
      </w:pPr>
      <w:r w:rsidRPr="00817CF3">
        <w:rPr>
          <w:rFonts w:eastAsia="Times New Roman" w:cs="Times New Roman"/>
        </w:rPr>
        <w:t>Internal law</w:t>
      </w:r>
      <w:r w:rsidR="00851F57" w:rsidRPr="00817CF3">
        <w:rPr>
          <w:rFonts w:eastAsia="Times New Roman" w:cs="Times New Roman"/>
        </w:rPr>
        <w:t>, according to Wyman,</w:t>
      </w:r>
      <w:r w:rsidRPr="00817CF3">
        <w:rPr>
          <w:rFonts w:eastAsia="Times New Roman" w:cs="Times New Roman"/>
        </w:rPr>
        <w:t xml:space="preserve"> concerns</w:t>
      </w:r>
      <w:r w:rsidRPr="00817CF3">
        <w:rPr>
          <w:rFonts w:cs="Times New Roman"/>
          <w:lang w:val="en-US"/>
        </w:rPr>
        <w:t xml:space="preserve"> the constraints, practices, and procedures developed by administrative bodies to structure how officials exercise administrative </w:t>
      </w:r>
      <w:r w:rsidRPr="00817CF3">
        <w:rPr>
          <w:rFonts w:cs="Times New Roman"/>
        </w:rPr>
        <w:t>powers. In this sense, Wyman conceives the internal law of administration ‘as a law</w:t>
      </w:r>
      <w:r w:rsidRPr="00817CF3">
        <w:rPr>
          <w:rFonts w:cs="Times New Roman"/>
          <w:lang w:val="en-US"/>
        </w:rPr>
        <w:t xml:space="preserve"> of collective action for bureaucracies.’</w:t>
      </w:r>
      <w:r w:rsidRPr="00817CF3">
        <w:rPr>
          <w:rStyle w:val="FootnoteReference"/>
          <w:lang w:val="en-US"/>
        </w:rPr>
        <w:footnoteReference w:id="10"/>
      </w:r>
      <w:r w:rsidRPr="00817CF3">
        <w:rPr>
          <w:rFonts w:cs="Times New Roman"/>
          <w:lang w:val="en-US"/>
        </w:rPr>
        <w:t xml:space="preserve"> Wyman defines this internal law as concerning ‘the relations of officers with each other, or with the administration.’</w:t>
      </w:r>
      <w:r w:rsidRPr="00817CF3">
        <w:rPr>
          <w:rStyle w:val="FootnoteReference"/>
          <w:lang w:val="en-US"/>
        </w:rPr>
        <w:footnoteReference w:id="11"/>
      </w:r>
      <w:r w:rsidRPr="00817CF3">
        <w:rPr>
          <w:rFonts w:cs="Times New Roman"/>
          <w:lang w:val="en-US"/>
        </w:rPr>
        <w:t xml:space="preserve"> It is premised on the ‘the fact that many officers are bound together in action’ and the internal law can define ‘the position of the officer in his organization and his function in its action.’</w:t>
      </w:r>
      <w:r w:rsidRPr="00817CF3">
        <w:rPr>
          <w:rStyle w:val="FootnoteReference"/>
          <w:lang w:val="en-US"/>
        </w:rPr>
        <w:footnoteReference w:id="12"/>
      </w:r>
      <w:r w:rsidRPr="00817CF3">
        <w:rPr>
          <w:rFonts w:cs="Times New Roman"/>
          <w:lang w:val="en-US"/>
        </w:rPr>
        <w:t xml:space="preserve"> Ultimately, this</w:t>
      </w:r>
      <w:r w:rsidR="00851F57" w:rsidRPr="00817CF3">
        <w:rPr>
          <w:rFonts w:cs="Times New Roman"/>
          <w:lang w:val="en-US"/>
        </w:rPr>
        <w:t xml:space="preserve"> internal</w:t>
      </w:r>
      <w:r w:rsidRPr="00817CF3">
        <w:rPr>
          <w:rFonts w:cs="Times New Roman"/>
          <w:lang w:val="en-US"/>
        </w:rPr>
        <w:t xml:space="preserve"> law was about the functional allocation of authority within administrative bodies. As part of the internal law, Wyman identifies ‘three processes of administration</w:t>
      </w:r>
      <w:r w:rsidR="00851F57" w:rsidRPr="00817CF3">
        <w:rPr>
          <w:rFonts w:cs="Times New Roman"/>
          <w:lang w:val="en-US"/>
        </w:rPr>
        <w:t>:’</w:t>
      </w:r>
      <w:r w:rsidRPr="00817CF3">
        <w:rPr>
          <w:rFonts w:cs="Times New Roman"/>
          <w:lang w:val="en-US"/>
        </w:rPr>
        <w:t xml:space="preserve"> </w:t>
      </w:r>
      <w:r w:rsidR="00851F57" w:rsidRPr="00817CF3">
        <w:rPr>
          <w:rFonts w:cs="Times New Roman"/>
          <w:lang w:val="en-US"/>
        </w:rPr>
        <w:t>‘</w:t>
      </w:r>
      <w:r w:rsidRPr="00817CF3">
        <w:rPr>
          <w:rFonts w:cs="Times New Roman"/>
          <w:lang w:val="en-US"/>
        </w:rPr>
        <w:t>administration by execution</w:t>
      </w:r>
      <w:r w:rsidR="00851F57" w:rsidRPr="00817CF3">
        <w:rPr>
          <w:rFonts w:cs="Times New Roman"/>
          <w:lang w:val="en-US"/>
        </w:rPr>
        <w:t>,’ ‘</w:t>
      </w:r>
      <w:r w:rsidRPr="00817CF3">
        <w:rPr>
          <w:rFonts w:cs="Times New Roman"/>
          <w:lang w:val="en-US"/>
        </w:rPr>
        <w:t>administration by legislation</w:t>
      </w:r>
      <w:r w:rsidR="00851F57" w:rsidRPr="00817CF3">
        <w:rPr>
          <w:rFonts w:cs="Times New Roman"/>
          <w:lang w:val="en-US"/>
        </w:rPr>
        <w:t>,’ and</w:t>
      </w:r>
      <w:r w:rsidRPr="00817CF3">
        <w:rPr>
          <w:rFonts w:cs="Times New Roman"/>
          <w:lang w:val="en-US"/>
        </w:rPr>
        <w:t xml:space="preserve"> </w:t>
      </w:r>
      <w:r w:rsidR="00851F57" w:rsidRPr="00817CF3">
        <w:rPr>
          <w:rFonts w:cs="Times New Roman"/>
          <w:lang w:val="en-US"/>
        </w:rPr>
        <w:t>‘</w:t>
      </w:r>
      <w:r w:rsidRPr="00817CF3">
        <w:rPr>
          <w:rFonts w:cs="Times New Roman"/>
          <w:lang w:val="en-US"/>
        </w:rPr>
        <w:t>administration by adjudication.’</w:t>
      </w:r>
      <w:r w:rsidRPr="00817CF3">
        <w:rPr>
          <w:rStyle w:val="FootnoteReference"/>
          <w:lang w:val="en-US"/>
        </w:rPr>
        <w:footnoteReference w:id="13"/>
      </w:r>
      <w:r w:rsidRPr="00817CF3">
        <w:rPr>
          <w:rFonts w:cs="Times New Roman"/>
          <w:lang w:val="en-US"/>
        </w:rPr>
        <w:t xml:space="preserve"> </w:t>
      </w:r>
      <w:proofErr w:type="gramStart"/>
      <w:r w:rsidRPr="00817CF3">
        <w:rPr>
          <w:rFonts w:cs="Times New Roman"/>
          <w:lang w:val="en-US"/>
        </w:rPr>
        <w:t xml:space="preserve">These </w:t>
      </w:r>
      <w:r w:rsidR="00817CF3" w:rsidRPr="00817CF3">
        <w:rPr>
          <w:rFonts w:cs="Times New Roman"/>
          <w:lang w:val="en-US"/>
        </w:rPr>
        <w:t xml:space="preserve"> three</w:t>
      </w:r>
      <w:proofErr w:type="gramEnd"/>
      <w:r w:rsidR="00817CF3" w:rsidRPr="00817CF3">
        <w:rPr>
          <w:rFonts w:cs="Times New Roman"/>
          <w:lang w:val="en-US"/>
        </w:rPr>
        <w:t xml:space="preserve"> </w:t>
      </w:r>
      <w:r w:rsidRPr="00817CF3">
        <w:rPr>
          <w:rFonts w:cs="Times New Roman"/>
          <w:lang w:val="en-US"/>
        </w:rPr>
        <w:t>processes</w:t>
      </w:r>
      <w:r w:rsidR="00817CF3" w:rsidRPr="00817CF3">
        <w:rPr>
          <w:rFonts w:cs="Times New Roman"/>
          <w:lang w:val="en-US"/>
        </w:rPr>
        <w:t>, Wyman suggests,</w:t>
      </w:r>
      <w:r w:rsidRPr="00817CF3">
        <w:rPr>
          <w:rFonts w:cs="Times New Roman"/>
          <w:lang w:val="en-US"/>
        </w:rPr>
        <w:t xml:space="preserve"> are in turn structured by their own internal law.</w:t>
      </w:r>
    </w:p>
    <w:p w14:paraId="541E4CB2" w14:textId="192686BD" w:rsidR="00AA31F4" w:rsidRPr="00817CF3" w:rsidRDefault="00AA31F4" w:rsidP="00817CF3">
      <w:pPr>
        <w:spacing w:after="0" w:line="276" w:lineRule="auto"/>
        <w:ind w:firstLine="720"/>
        <w:jc w:val="both"/>
        <w:rPr>
          <w:rFonts w:eastAsia="Times New Roman" w:cs="Times New Roman"/>
        </w:rPr>
      </w:pPr>
      <w:r w:rsidRPr="00817CF3">
        <w:rPr>
          <w:rFonts w:cs="Times New Roman"/>
          <w:lang w:val="en-US"/>
        </w:rPr>
        <w:t xml:space="preserve"> </w:t>
      </w:r>
    </w:p>
    <w:p w14:paraId="5D54AA89" w14:textId="77777777" w:rsidR="00817CF3" w:rsidRPr="00817CF3" w:rsidRDefault="00AA31F4" w:rsidP="00817CF3">
      <w:pPr>
        <w:spacing w:after="0" w:line="276" w:lineRule="auto"/>
        <w:jc w:val="both"/>
        <w:rPr>
          <w:rFonts w:cs="Times New Roman"/>
        </w:rPr>
      </w:pPr>
      <w:r w:rsidRPr="00817CF3">
        <w:rPr>
          <w:rFonts w:cs="Times New Roman"/>
        </w:rPr>
        <w:tab/>
      </w:r>
      <w:r w:rsidR="007051C4" w:rsidRPr="00817CF3">
        <w:rPr>
          <w:rFonts w:cs="Times New Roman"/>
        </w:rPr>
        <w:t>Wyman’s distinction between the internal and external law of administration echoes throughout many subsequent attempts to conceptualise the relationship between public law and the administrative state</w:t>
      </w:r>
      <w:r w:rsidR="00391B62" w:rsidRPr="00817CF3">
        <w:rPr>
          <w:rFonts w:cs="Times New Roman"/>
        </w:rPr>
        <w:t xml:space="preserve"> in a range of jurisdictions</w:t>
      </w:r>
      <w:r w:rsidR="007051C4" w:rsidRPr="00817CF3">
        <w:rPr>
          <w:rFonts w:cs="Times New Roman"/>
        </w:rPr>
        <w:t xml:space="preserve">. For instance, the famous </w:t>
      </w:r>
      <w:r w:rsidR="00391B62" w:rsidRPr="00817CF3">
        <w:rPr>
          <w:rFonts w:cs="Times New Roman"/>
        </w:rPr>
        <w:t>‘</w:t>
      </w:r>
      <w:r w:rsidR="007051C4" w:rsidRPr="00817CF3">
        <w:rPr>
          <w:rFonts w:cs="Times New Roman"/>
        </w:rPr>
        <w:t>red light</w:t>
      </w:r>
      <w:r w:rsidR="00391B62" w:rsidRPr="00817CF3">
        <w:rPr>
          <w:rFonts w:cs="Times New Roman"/>
        </w:rPr>
        <w:t>’</w:t>
      </w:r>
      <w:r w:rsidR="007051C4" w:rsidRPr="00817CF3">
        <w:rPr>
          <w:rFonts w:cs="Times New Roman"/>
        </w:rPr>
        <w:t xml:space="preserve"> and </w:t>
      </w:r>
      <w:r w:rsidR="00391B62" w:rsidRPr="00817CF3">
        <w:rPr>
          <w:rFonts w:cs="Times New Roman"/>
        </w:rPr>
        <w:lastRenderedPageBreak/>
        <w:t>‘</w:t>
      </w:r>
      <w:r w:rsidR="007051C4" w:rsidRPr="00817CF3">
        <w:rPr>
          <w:rFonts w:cs="Times New Roman"/>
        </w:rPr>
        <w:t>green light</w:t>
      </w:r>
      <w:r w:rsidR="00391B62" w:rsidRPr="00817CF3">
        <w:rPr>
          <w:rFonts w:cs="Times New Roman"/>
        </w:rPr>
        <w:t>’</w:t>
      </w:r>
      <w:r w:rsidR="007051C4" w:rsidRPr="00817CF3">
        <w:rPr>
          <w:rFonts w:cs="Times New Roman"/>
        </w:rPr>
        <w:t xml:space="preserve"> approaches to UK administrative law </w:t>
      </w:r>
      <w:r w:rsidR="00817CF3" w:rsidRPr="00817CF3">
        <w:rPr>
          <w:rFonts w:cs="Times New Roman"/>
        </w:rPr>
        <w:t>articulated</w:t>
      </w:r>
      <w:r w:rsidR="00391B62" w:rsidRPr="00817CF3">
        <w:rPr>
          <w:rFonts w:cs="Times New Roman"/>
        </w:rPr>
        <w:t xml:space="preserve"> </w:t>
      </w:r>
      <w:r w:rsidR="007051C4" w:rsidRPr="00817CF3">
        <w:rPr>
          <w:rFonts w:cs="Times New Roman"/>
        </w:rPr>
        <w:t>by Harlow and Rawlings reflect this distinction</w:t>
      </w:r>
      <w:r w:rsidR="00DF36F0" w:rsidRPr="00817CF3">
        <w:rPr>
          <w:rFonts w:cs="Times New Roman"/>
        </w:rPr>
        <w:t xml:space="preserve">; with the </w:t>
      </w:r>
      <w:r w:rsidR="00817CF3" w:rsidRPr="00817CF3">
        <w:rPr>
          <w:rFonts w:cs="Times New Roman"/>
        </w:rPr>
        <w:t>‘</w:t>
      </w:r>
      <w:r w:rsidR="00DF36F0" w:rsidRPr="00817CF3">
        <w:rPr>
          <w:rFonts w:cs="Times New Roman"/>
        </w:rPr>
        <w:t>red light</w:t>
      </w:r>
      <w:r w:rsidR="00817CF3" w:rsidRPr="00817CF3">
        <w:rPr>
          <w:rFonts w:cs="Times New Roman"/>
        </w:rPr>
        <w:t>’</w:t>
      </w:r>
      <w:r w:rsidR="00DF36F0" w:rsidRPr="00817CF3">
        <w:rPr>
          <w:rFonts w:cs="Times New Roman"/>
        </w:rPr>
        <w:t xml:space="preserve"> approach placing emphasis on administrative law as an external control</w:t>
      </w:r>
      <w:r w:rsidR="00817CF3" w:rsidRPr="00817CF3">
        <w:rPr>
          <w:rFonts w:cs="Times New Roman"/>
        </w:rPr>
        <w:t xml:space="preserve"> on administration</w:t>
      </w:r>
      <w:r w:rsidR="00DF36F0" w:rsidRPr="00817CF3">
        <w:rPr>
          <w:rFonts w:cs="Times New Roman"/>
        </w:rPr>
        <w:t xml:space="preserve"> and the </w:t>
      </w:r>
      <w:r w:rsidR="00817CF3" w:rsidRPr="00817CF3">
        <w:rPr>
          <w:rFonts w:cs="Times New Roman"/>
        </w:rPr>
        <w:t>‘</w:t>
      </w:r>
      <w:r w:rsidR="00DF36F0" w:rsidRPr="00817CF3">
        <w:rPr>
          <w:rFonts w:cs="Times New Roman"/>
        </w:rPr>
        <w:t>green light</w:t>
      </w:r>
      <w:r w:rsidR="00817CF3" w:rsidRPr="00817CF3">
        <w:rPr>
          <w:rFonts w:cs="Times New Roman"/>
        </w:rPr>
        <w:t>’</w:t>
      </w:r>
      <w:r w:rsidR="00DF36F0" w:rsidRPr="00817CF3">
        <w:rPr>
          <w:rFonts w:cs="Times New Roman"/>
        </w:rPr>
        <w:t xml:space="preserve"> approach emphasis</w:t>
      </w:r>
      <w:r w:rsidR="00391B62" w:rsidRPr="00817CF3">
        <w:rPr>
          <w:rFonts w:cs="Times New Roman"/>
        </w:rPr>
        <w:t>ing</w:t>
      </w:r>
      <w:r w:rsidR="00DF36F0" w:rsidRPr="00817CF3">
        <w:rPr>
          <w:rFonts w:cs="Times New Roman"/>
        </w:rPr>
        <w:t xml:space="preserve"> the role of law in structuring the efficient delivery of </w:t>
      </w:r>
      <w:r w:rsidR="00E01C7D" w:rsidRPr="00817CF3">
        <w:rPr>
          <w:rFonts w:cs="Times New Roman"/>
        </w:rPr>
        <w:t xml:space="preserve">public </w:t>
      </w:r>
      <w:r w:rsidR="00DF36F0" w:rsidRPr="00817CF3">
        <w:rPr>
          <w:rFonts w:cs="Times New Roman"/>
        </w:rPr>
        <w:t>policy through</w:t>
      </w:r>
      <w:r w:rsidR="00391B62" w:rsidRPr="00817CF3">
        <w:rPr>
          <w:rFonts w:cs="Times New Roman"/>
        </w:rPr>
        <w:t xml:space="preserve"> the</w:t>
      </w:r>
      <w:r w:rsidR="00DF36F0" w:rsidRPr="00817CF3">
        <w:rPr>
          <w:rFonts w:cs="Times New Roman"/>
        </w:rPr>
        <w:t xml:space="preserve"> machinery</w:t>
      </w:r>
      <w:r w:rsidR="00391B62" w:rsidRPr="00817CF3">
        <w:rPr>
          <w:rFonts w:cs="Times New Roman"/>
        </w:rPr>
        <w:t xml:space="preserve"> of public administration</w:t>
      </w:r>
      <w:r w:rsidR="00DF36F0" w:rsidRPr="00817CF3">
        <w:rPr>
          <w:rFonts w:cs="Times New Roman"/>
        </w:rPr>
        <w:t>.</w:t>
      </w:r>
      <w:r w:rsidR="00DF36F0" w:rsidRPr="00817CF3">
        <w:rPr>
          <w:rStyle w:val="FootnoteReference"/>
        </w:rPr>
        <w:footnoteReference w:id="14"/>
      </w:r>
      <w:r w:rsidR="00DF36F0" w:rsidRPr="00817CF3">
        <w:rPr>
          <w:rFonts w:cs="Times New Roman"/>
        </w:rPr>
        <w:t xml:space="preserve"> </w:t>
      </w:r>
      <w:r w:rsidR="007051C4" w:rsidRPr="00817CF3">
        <w:rPr>
          <w:rFonts w:cs="Times New Roman"/>
        </w:rPr>
        <w:t>Similarly,</w:t>
      </w:r>
      <w:r w:rsidR="00391B62" w:rsidRPr="00817CF3">
        <w:rPr>
          <w:rFonts w:cs="Times New Roman"/>
        </w:rPr>
        <w:t xml:space="preserve"> in 1935</w:t>
      </w:r>
      <w:r w:rsidR="007051C4" w:rsidRPr="00817CF3">
        <w:rPr>
          <w:rFonts w:cs="Times New Roman"/>
        </w:rPr>
        <w:t xml:space="preserve"> the Canadian </w:t>
      </w:r>
      <w:r w:rsidR="00391B62" w:rsidRPr="00817CF3">
        <w:rPr>
          <w:rFonts w:cs="Times New Roman"/>
        </w:rPr>
        <w:t>scholar</w:t>
      </w:r>
      <w:r w:rsidR="007051C4" w:rsidRPr="00817CF3">
        <w:rPr>
          <w:rFonts w:cs="Times New Roman"/>
        </w:rPr>
        <w:t xml:space="preserve"> John Willis set out three approaches to administrative law</w:t>
      </w:r>
      <w:r w:rsidR="00DF36F0" w:rsidRPr="00817CF3">
        <w:rPr>
          <w:rFonts w:cs="Times New Roman"/>
        </w:rPr>
        <w:t>—</w:t>
      </w:r>
      <w:r w:rsidR="007051C4" w:rsidRPr="00817CF3">
        <w:rPr>
          <w:rFonts w:cs="Times New Roman"/>
        </w:rPr>
        <w:t xml:space="preserve">the </w:t>
      </w:r>
      <w:r w:rsidR="00391B62" w:rsidRPr="00817CF3">
        <w:rPr>
          <w:rFonts w:cs="Times New Roman"/>
        </w:rPr>
        <w:t>‘</w:t>
      </w:r>
      <w:r w:rsidR="007051C4" w:rsidRPr="00817CF3">
        <w:rPr>
          <w:rFonts w:cs="Times New Roman"/>
        </w:rPr>
        <w:t>judicial,</w:t>
      </w:r>
      <w:r w:rsidR="00391B62" w:rsidRPr="00817CF3">
        <w:rPr>
          <w:rFonts w:cs="Times New Roman"/>
        </w:rPr>
        <w:t>’</w:t>
      </w:r>
      <w:r w:rsidR="007051C4" w:rsidRPr="00817CF3">
        <w:rPr>
          <w:rFonts w:cs="Times New Roman"/>
        </w:rPr>
        <w:t xml:space="preserve"> the </w:t>
      </w:r>
      <w:r w:rsidR="00391B62" w:rsidRPr="00817CF3">
        <w:rPr>
          <w:rFonts w:cs="Times New Roman"/>
        </w:rPr>
        <w:t>‘</w:t>
      </w:r>
      <w:r w:rsidR="007051C4" w:rsidRPr="00817CF3">
        <w:rPr>
          <w:rFonts w:cs="Times New Roman"/>
        </w:rPr>
        <w:t>conceptual,</w:t>
      </w:r>
      <w:r w:rsidR="00391B62" w:rsidRPr="00817CF3">
        <w:rPr>
          <w:rFonts w:cs="Times New Roman"/>
        </w:rPr>
        <w:t>’</w:t>
      </w:r>
      <w:r w:rsidR="007051C4" w:rsidRPr="00817CF3">
        <w:rPr>
          <w:rFonts w:cs="Times New Roman"/>
        </w:rPr>
        <w:t xml:space="preserve"> and the </w:t>
      </w:r>
      <w:r w:rsidR="00391B62" w:rsidRPr="00817CF3">
        <w:rPr>
          <w:rFonts w:cs="Times New Roman"/>
        </w:rPr>
        <w:t>‘</w:t>
      </w:r>
      <w:r w:rsidR="007051C4" w:rsidRPr="00817CF3">
        <w:rPr>
          <w:rFonts w:cs="Times New Roman"/>
        </w:rPr>
        <w:t>functional</w:t>
      </w:r>
      <w:r w:rsidR="00391B62" w:rsidRPr="00817CF3">
        <w:rPr>
          <w:rFonts w:cs="Times New Roman"/>
        </w:rPr>
        <w:t>’</w:t>
      </w:r>
      <w:r w:rsidR="00DF36F0" w:rsidRPr="00817CF3">
        <w:rPr>
          <w:rFonts w:cs="Times New Roman"/>
        </w:rPr>
        <w:t>—which reflect</w:t>
      </w:r>
      <w:r w:rsidR="00866CFE" w:rsidRPr="00817CF3">
        <w:rPr>
          <w:rFonts w:cs="Times New Roman"/>
        </w:rPr>
        <w:t>,</w:t>
      </w:r>
      <w:r w:rsidR="00DF36F0" w:rsidRPr="00817CF3">
        <w:rPr>
          <w:rFonts w:cs="Times New Roman"/>
        </w:rPr>
        <w:t xml:space="preserve"> in </w:t>
      </w:r>
      <w:r w:rsidR="00866CFE" w:rsidRPr="00817CF3">
        <w:rPr>
          <w:rFonts w:cs="Times New Roman"/>
        </w:rPr>
        <w:t xml:space="preserve">a </w:t>
      </w:r>
      <w:r w:rsidR="00DF36F0" w:rsidRPr="00817CF3">
        <w:rPr>
          <w:rFonts w:cs="Times New Roman"/>
        </w:rPr>
        <w:t>different way</w:t>
      </w:r>
      <w:r w:rsidR="00866CFE" w:rsidRPr="00817CF3">
        <w:rPr>
          <w:rFonts w:cs="Times New Roman"/>
        </w:rPr>
        <w:t>,</w:t>
      </w:r>
      <w:r w:rsidR="00DF36F0" w:rsidRPr="00817CF3">
        <w:rPr>
          <w:rFonts w:cs="Times New Roman"/>
        </w:rPr>
        <w:t xml:space="preserve"> the distinction between the external and the internal</w:t>
      </w:r>
      <w:r w:rsidR="007051C4" w:rsidRPr="00817CF3">
        <w:rPr>
          <w:rFonts w:cs="Times New Roman"/>
        </w:rPr>
        <w:t>.</w:t>
      </w:r>
      <w:r w:rsidR="00DF36F0" w:rsidRPr="00817CF3">
        <w:rPr>
          <w:rStyle w:val="FootnoteReference"/>
        </w:rPr>
        <w:footnoteReference w:id="15"/>
      </w:r>
      <w:r w:rsidR="007051C4" w:rsidRPr="00817CF3">
        <w:rPr>
          <w:rFonts w:cs="Times New Roman"/>
        </w:rPr>
        <w:t xml:space="preserve"> </w:t>
      </w:r>
      <w:r w:rsidR="00DF36F0" w:rsidRPr="00817CF3">
        <w:rPr>
          <w:rFonts w:cs="Times New Roman"/>
        </w:rPr>
        <w:t xml:space="preserve">In recent years, there </w:t>
      </w:r>
      <w:r w:rsidR="00391B62" w:rsidRPr="00817CF3">
        <w:rPr>
          <w:rFonts w:cs="Times New Roman"/>
        </w:rPr>
        <w:t>has</w:t>
      </w:r>
      <w:r w:rsidR="00DF36F0" w:rsidRPr="00817CF3">
        <w:rPr>
          <w:rFonts w:cs="Times New Roman"/>
        </w:rPr>
        <w:t xml:space="preserve"> been a new wave of U.S. public</w:t>
      </w:r>
      <w:r w:rsidR="006360B1" w:rsidRPr="00817CF3">
        <w:rPr>
          <w:rFonts w:cs="Times New Roman"/>
        </w:rPr>
        <w:t xml:space="preserve"> law</w:t>
      </w:r>
      <w:r w:rsidR="00DF36F0" w:rsidRPr="00817CF3">
        <w:rPr>
          <w:rFonts w:cs="Times New Roman"/>
        </w:rPr>
        <w:t xml:space="preserve"> scholarship urging more attention on internal administrative law and government functioning</w:t>
      </w:r>
      <w:r w:rsidR="00391B62" w:rsidRPr="00817CF3">
        <w:rPr>
          <w:rFonts w:cs="Times New Roman"/>
        </w:rPr>
        <w:t xml:space="preserve">, while </w:t>
      </w:r>
      <w:r w:rsidR="00DF36F0" w:rsidRPr="00817CF3">
        <w:rPr>
          <w:rFonts w:cs="Times New Roman"/>
        </w:rPr>
        <w:t xml:space="preserve">critiquing the impact of </w:t>
      </w:r>
      <w:r w:rsidR="00391B62" w:rsidRPr="00817CF3">
        <w:rPr>
          <w:rFonts w:cs="Times New Roman"/>
        </w:rPr>
        <w:t>a</w:t>
      </w:r>
      <w:r w:rsidR="00817CF3" w:rsidRPr="00817CF3">
        <w:rPr>
          <w:rFonts w:cs="Times New Roman"/>
        </w:rPr>
        <w:t>s scholarly</w:t>
      </w:r>
      <w:r w:rsidR="00DF36F0" w:rsidRPr="00817CF3">
        <w:rPr>
          <w:rFonts w:cs="Times New Roman"/>
        </w:rPr>
        <w:t xml:space="preserve"> focus on external law and</w:t>
      </w:r>
      <w:r w:rsidR="00817CF3" w:rsidRPr="00817CF3">
        <w:rPr>
          <w:rFonts w:cs="Times New Roman"/>
        </w:rPr>
        <w:t xml:space="preserve"> particularly</w:t>
      </w:r>
      <w:r w:rsidR="00DF36F0" w:rsidRPr="00817CF3">
        <w:rPr>
          <w:rFonts w:cs="Times New Roman"/>
        </w:rPr>
        <w:t xml:space="preserve"> courts.</w:t>
      </w:r>
      <w:r w:rsidR="00DF36F0" w:rsidRPr="00817CF3">
        <w:rPr>
          <w:rStyle w:val="FootnoteReference"/>
        </w:rPr>
        <w:footnoteReference w:id="16"/>
      </w:r>
      <w:r w:rsidR="00330185" w:rsidRPr="00817CF3">
        <w:rPr>
          <w:rFonts w:cs="Times New Roman"/>
        </w:rPr>
        <w:t xml:space="preserve"> </w:t>
      </w:r>
    </w:p>
    <w:p w14:paraId="0963CC52" w14:textId="77777777" w:rsidR="00817CF3" w:rsidRPr="00817CF3" w:rsidRDefault="00817CF3" w:rsidP="00817CF3">
      <w:pPr>
        <w:spacing w:after="0" w:line="276" w:lineRule="auto"/>
        <w:jc w:val="both"/>
        <w:rPr>
          <w:rFonts w:cs="Times New Roman"/>
        </w:rPr>
      </w:pPr>
    </w:p>
    <w:p w14:paraId="2B3855DD" w14:textId="13D261E3" w:rsidR="007051C4" w:rsidRPr="0003108C" w:rsidRDefault="00391B62" w:rsidP="0003108C">
      <w:pPr>
        <w:spacing w:after="0" w:line="276" w:lineRule="auto"/>
        <w:ind w:firstLine="720"/>
        <w:jc w:val="both"/>
        <w:rPr>
          <w:rFonts w:cs="Times New Roman"/>
        </w:rPr>
      </w:pPr>
      <w:r w:rsidRPr="00817CF3">
        <w:rPr>
          <w:rFonts w:cs="Times New Roman"/>
        </w:rPr>
        <w:t>The</w:t>
      </w:r>
      <w:r w:rsidR="006360B1" w:rsidRPr="00817CF3">
        <w:rPr>
          <w:rFonts w:cs="Times New Roman"/>
        </w:rPr>
        <w:t xml:space="preserve"> division between</w:t>
      </w:r>
      <w:r w:rsidRPr="00817CF3">
        <w:rPr>
          <w:rFonts w:cs="Times New Roman"/>
        </w:rPr>
        <w:t xml:space="preserve"> internal and external</w:t>
      </w:r>
      <w:r w:rsidR="006360B1" w:rsidRPr="00817CF3">
        <w:rPr>
          <w:rFonts w:cs="Times New Roman"/>
        </w:rPr>
        <w:t xml:space="preserve"> perspectives</w:t>
      </w:r>
      <w:r w:rsidRPr="00817CF3">
        <w:rPr>
          <w:rFonts w:cs="Times New Roman"/>
        </w:rPr>
        <w:t xml:space="preserve"> is, therefore,</w:t>
      </w:r>
      <w:r w:rsidR="00330185" w:rsidRPr="00817CF3">
        <w:rPr>
          <w:rFonts w:cs="Times New Roman"/>
        </w:rPr>
        <w:t xml:space="preserve"> a distinction that has maintained traction</w:t>
      </w:r>
      <w:r w:rsidRPr="00817CF3">
        <w:rPr>
          <w:rFonts w:cs="Times New Roman"/>
        </w:rPr>
        <w:t xml:space="preserve"> for well over a century</w:t>
      </w:r>
      <w:r w:rsidR="00330185" w:rsidRPr="00817CF3">
        <w:rPr>
          <w:rFonts w:cs="Times New Roman"/>
        </w:rPr>
        <w:t xml:space="preserve"> </w:t>
      </w:r>
      <w:r w:rsidRPr="00817CF3">
        <w:rPr>
          <w:rFonts w:cs="Times New Roman"/>
        </w:rPr>
        <w:t>and is an important aspect of understanding how</w:t>
      </w:r>
      <w:r w:rsidR="00330185" w:rsidRPr="00817CF3">
        <w:rPr>
          <w:rFonts w:cs="Times New Roman"/>
        </w:rPr>
        <w:t xml:space="preserve"> public lawyers in common law systems have grappled with the administrative state. In the </w:t>
      </w:r>
      <w:r w:rsidR="00330185" w:rsidRPr="0003108C">
        <w:rPr>
          <w:rFonts w:cs="Times New Roman"/>
        </w:rPr>
        <w:t xml:space="preserve">next part of this chapter, we </w:t>
      </w:r>
      <w:r w:rsidRPr="0003108C">
        <w:rPr>
          <w:rFonts w:cs="Times New Roman"/>
        </w:rPr>
        <w:t>unpack</w:t>
      </w:r>
      <w:r w:rsidR="00330185" w:rsidRPr="0003108C">
        <w:rPr>
          <w:rFonts w:cs="Times New Roman"/>
        </w:rPr>
        <w:t xml:space="preserve"> these two broad </w:t>
      </w:r>
      <w:r w:rsidR="007C7C07" w:rsidRPr="0003108C">
        <w:rPr>
          <w:rFonts w:cs="Times New Roman"/>
        </w:rPr>
        <w:t>perspectives</w:t>
      </w:r>
      <w:r w:rsidRPr="0003108C">
        <w:rPr>
          <w:rFonts w:cs="Times New Roman"/>
        </w:rPr>
        <w:t xml:space="preserve"> further</w:t>
      </w:r>
      <w:r w:rsidR="00330185" w:rsidRPr="0003108C">
        <w:rPr>
          <w:rFonts w:cs="Times New Roman"/>
        </w:rPr>
        <w:t xml:space="preserve"> and elaborate how the</w:t>
      </w:r>
      <w:r w:rsidR="00817CF3" w:rsidRPr="0003108C">
        <w:rPr>
          <w:rFonts w:cs="Times New Roman"/>
        </w:rPr>
        <w:t xml:space="preserve">y have been traditionally </w:t>
      </w:r>
      <w:r w:rsidR="00330185" w:rsidRPr="0003108C">
        <w:rPr>
          <w:rFonts w:cs="Times New Roman"/>
        </w:rPr>
        <w:t>associated with certain research metho</w:t>
      </w:r>
      <w:r w:rsidRPr="0003108C">
        <w:rPr>
          <w:rFonts w:cs="Times New Roman"/>
        </w:rPr>
        <w:t>d</w:t>
      </w:r>
      <w:r w:rsidR="00330185" w:rsidRPr="0003108C">
        <w:rPr>
          <w:rFonts w:cs="Times New Roman"/>
        </w:rPr>
        <w:t>o</w:t>
      </w:r>
      <w:r w:rsidRPr="0003108C">
        <w:rPr>
          <w:rFonts w:cs="Times New Roman"/>
        </w:rPr>
        <w:t>logies</w:t>
      </w:r>
      <w:r w:rsidR="00330185" w:rsidRPr="0003108C">
        <w:rPr>
          <w:rFonts w:cs="Times New Roman"/>
        </w:rPr>
        <w:t>.</w:t>
      </w:r>
    </w:p>
    <w:p w14:paraId="7453B44A" w14:textId="77777777" w:rsidR="00855372" w:rsidRPr="0003108C" w:rsidRDefault="00855372" w:rsidP="0003108C">
      <w:pPr>
        <w:spacing w:after="0" w:line="276" w:lineRule="auto"/>
        <w:jc w:val="both"/>
        <w:rPr>
          <w:rFonts w:cs="Times New Roman"/>
        </w:rPr>
      </w:pPr>
    </w:p>
    <w:p w14:paraId="2F0D795A" w14:textId="6A04EC48" w:rsidR="008F5BED" w:rsidRPr="0003108C" w:rsidRDefault="00D04944" w:rsidP="0003108C">
      <w:pPr>
        <w:spacing w:after="0" w:line="276" w:lineRule="auto"/>
        <w:jc w:val="both"/>
        <w:rPr>
          <w:rFonts w:cs="Times New Roman"/>
          <w:b/>
          <w:bCs/>
        </w:rPr>
      </w:pPr>
      <w:r w:rsidRPr="0003108C">
        <w:rPr>
          <w:rFonts w:cs="Times New Roman"/>
          <w:b/>
          <w:bCs/>
        </w:rPr>
        <w:t xml:space="preserve">III. </w:t>
      </w:r>
      <w:r w:rsidR="008F5BED" w:rsidRPr="0003108C">
        <w:rPr>
          <w:rFonts w:cs="Times New Roman"/>
          <w:b/>
          <w:bCs/>
        </w:rPr>
        <w:t>THE EXTERNAL PERSPECTIVE</w:t>
      </w:r>
    </w:p>
    <w:p w14:paraId="59E97A38" w14:textId="77777777" w:rsidR="007247C2" w:rsidRPr="0003108C" w:rsidRDefault="007247C2" w:rsidP="0003108C">
      <w:pPr>
        <w:spacing w:after="0" w:line="276" w:lineRule="auto"/>
        <w:jc w:val="both"/>
        <w:rPr>
          <w:rFonts w:cs="Times New Roman"/>
          <w:b/>
          <w:bCs/>
        </w:rPr>
      </w:pPr>
    </w:p>
    <w:p w14:paraId="20A664D5" w14:textId="003DFAA1" w:rsidR="00B6716F" w:rsidRPr="0003108C" w:rsidRDefault="008D3EE3" w:rsidP="0003108C">
      <w:pPr>
        <w:spacing w:after="0" w:line="276" w:lineRule="auto"/>
        <w:jc w:val="both"/>
        <w:rPr>
          <w:rFonts w:cs="Times New Roman"/>
        </w:rPr>
      </w:pPr>
      <w:r w:rsidRPr="0003108C">
        <w:rPr>
          <w:rFonts w:cs="Times New Roman"/>
        </w:rPr>
        <w:t>We begin with the external perspective: the view of public administration from the judiciary.</w:t>
      </w:r>
      <w:r w:rsidR="00817CF3" w:rsidRPr="0003108C">
        <w:rPr>
          <w:rFonts w:cs="Times New Roman"/>
        </w:rPr>
        <w:t xml:space="preserve"> </w:t>
      </w:r>
      <w:r w:rsidR="00B6716F" w:rsidRPr="0003108C">
        <w:rPr>
          <w:rFonts w:cs="Times New Roman"/>
        </w:rPr>
        <w:t>In the common law tradition, the so-called ‘ordinary’ courts exercise a supervisory jurisdiction over the actions of actors in the administrative state. This jurisdiction was used initially in the form of the so-called ‘prerogative writs’ by the London-based common law courts</w:t>
      </w:r>
      <w:r w:rsidR="007B2205" w:rsidRPr="0003108C">
        <w:rPr>
          <w:rFonts w:cs="Times New Roman"/>
        </w:rPr>
        <w:t>—</w:t>
      </w:r>
      <w:r w:rsidR="00B6716F" w:rsidRPr="0003108C">
        <w:rPr>
          <w:rFonts w:cs="Times New Roman"/>
        </w:rPr>
        <w:t>King’s Bench, Common Pleas</w:t>
      </w:r>
      <w:r w:rsidR="007B2205" w:rsidRPr="0003108C">
        <w:rPr>
          <w:rFonts w:cs="Times New Roman"/>
        </w:rPr>
        <w:t>,</w:t>
      </w:r>
      <w:r w:rsidR="00B6716F" w:rsidRPr="0003108C">
        <w:rPr>
          <w:rFonts w:cs="Times New Roman"/>
        </w:rPr>
        <w:t xml:space="preserve"> and Exchequer</w:t>
      </w:r>
      <w:r w:rsidR="007B2205" w:rsidRPr="0003108C">
        <w:rPr>
          <w:rFonts w:cs="Times New Roman"/>
        </w:rPr>
        <w:t>—</w:t>
      </w:r>
      <w:r w:rsidR="00B6716F" w:rsidRPr="0003108C">
        <w:rPr>
          <w:rFonts w:cs="Times New Roman"/>
        </w:rPr>
        <w:t>to control inferior tribunals and evolved historically and incrementally as a means of ensuring the legality, rationality</w:t>
      </w:r>
      <w:r w:rsidR="007B2205" w:rsidRPr="0003108C">
        <w:rPr>
          <w:rFonts w:cs="Times New Roman"/>
        </w:rPr>
        <w:t>,</w:t>
      </w:r>
      <w:r w:rsidR="00B6716F" w:rsidRPr="0003108C">
        <w:rPr>
          <w:rFonts w:cs="Times New Roman"/>
        </w:rPr>
        <w:t xml:space="preserve"> and procedural propriety of public administration.</w:t>
      </w:r>
      <w:r w:rsidR="00B6716F" w:rsidRPr="0003108C">
        <w:rPr>
          <w:rStyle w:val="FootnoteReference"/>
        </w:rPr>
        <w:footnoteReference w:id="17"/>
      </w:r>
      <w:r w:rsidR="00B6716F" w:rsidRPr="0003108C">
        <w:rPr>
          <w:rFonts w:cs="Times New Roman"/>
        </w:rPr>
        <w:t xml:space="preserve"> Commonwealth legal systems inherited this jurisdiction when they received the common law. For the most part, the supervisory jurisdiction has now been placed on a statutory footing without losing its essential character</w:t>
      </w:r>
      <w:r w:rsidR="007C7C07" w:rsidRPr="0003108C">
        <w:rPr>
          <w:rFonts w:cs="Times New Roman"/>
        </w:rPr>
        <w:t>.</w:t>
      </w:r>
      <w:r w:rsidR="00B6716F" w:rsidRPr="0003108C">
        <w:rPr>
          <w:rStyle w:val="FootnoteReference"/>
        </w:rPr>
        <w:footnoteReference w:id="18"/>
      </w:r>
      <w:r w:rsidR="007247C2" w:rsidRPr="0003108C">
        <w:rPr>
          <w:rFonts w:cs="Times New Roman"/>
        </w:rPr>
        <w:t xml:space="preserve"> </w:t>
      </w:r>
      <w:r w:rsidR="00B6716F" w:rsidRPr="0003108C">
        <w:rPr>
          <w:rFonts w:cs="Times New Roman"/>
        </w:rPr>
        <w:t xml:space="preserve">In contemporary parlance, issues relating to the exercise of the supervisory jurisdiction are grouped under the broad heading of </w:t>
      </w:r>
      <w:r w:rsidR="00817CF3" w:rsidRPr="0003108C">
        <w:rPr>
          <w:rFonts w:cs="Times New Roman"/>
        </w:rPr>
        <w:t>‘</w:t>
      </w:r>
      <w:r w:rsidR="00B6716F" w:rsidRPr="0003108C">
        <w:rPr>
          <w:rFonts w:cs="Times New Roman"/>
        </w:rPr>
        <w:t>judicial review of administrative action.</w:t>
      </w:r>
      <w:r w:rsidR="00817CF3" w:rsidRPr="0003108C">
        <w:rPr>
          <w:rFonts w:cs="Times New Roman"/>
        </w:rPr>
        <w:t>’</w:t>
      </w:r>
      <w:r w:rsidR="00B6716F" w:rsidRPr="0003108C">
        <w:rPr>
          <w:rFonts w:cs="Times New Roman"/>
        </w:rPr>
        <w:t xml:space="preserve"> The perspective here is external to the administrative state in the sense that actions taken by officials</w:t>
      </w:r>
      <w:r w:rsidR="00E50552" w:rsidRPr="0003108C">
        <w:rPr>
          <w:rFonts w:cs="Times New Roman"/>
        </w:rPr>
        <w:t>—</w:t>
      </w:r>
      <w:r w:rsidR="00B6716F" w:rsidRPr="0003108C">
        <w:rPr>
          <w:rFonts w:cs="Times New Roman"/>
        </w:rPr>
        <w:t xml:space="preserve">anyone from a front-line immigration officer </w:t>
      </w:r>
      <w:r w:rsidR="00B6716F" w:rsidRPr="0003108C">
        <w:rPr>
          <w:rFonts w:cs="Times New Roman"/>
        </w:rPr>
        <w:lastRenderedPageBreak/>
        <w:t>to a senior judge sitting as a member of an administrative tribunal</w:t>
      </w:r>
      <w:r w:rsidR="00E50552" w:rsidRPr="0003108C">
        <w:rPr>
          <w:rFonts w:cs="Times New Roman"/>
        </w:rPr>
        <w:t>—</w:t>
      </w:r>
      <w:r w:rsidR="00B6716F" w:rsidRPr="0003108C">
        <w:rPr>
          <w:rFonts w:cs="Times New Roman"/>
        </w:rPr>
        <w:t>are treated as artefacts to be reviewed by the ordinary courts. The legal principles of legality, rationality</w:t>
      </w:r>
      <w:r w:rsidR="00E50552" w:rsidRPr="0003108C">
        <w:rPr>
          <w:rFonts w:cs="Times New Roman"/>
        </w:rPr>
        <w:t>,</w:t>
      </w:r>
      <w:r w:rsidR="00B6716F" w:rsidRPr="0003108C">
        <w:rPr>
          <w:rFonts w:cs="Times New Roman"/>
        </w:rPr>
        <w:t xml:space="preserve"> and procedural propriety and the associated procedures by which these principles are enforced are the subject matter of judicial review of administrative action. </w:t>
      </w:r>
    </w:p>
    <w:p w14:paraId="2A76F40E" w14:textId="77777777" w:rsidR="00B6716F" w:rsidRPr="0003108C" w:rsidRDefault="00B6716F" w:rsidP="0003108C">
      <w:pPr>
        <w:spacing w:after="0" w:line="276" w:lineRule="auto"/>
        <w:jc w:val="both"/>
        <w:rPr>
          <w:rFonts w:cs="Times New Roman"/>
        </w:rPr>
      </w:pPr>
      <w:r w:rsidRPr="0003108C">
        <w:rPr>
          <w:rFonts w:cs="Times New Roman"/>
        </w:rPr>
        <w:tab/>
      </w:r>
    </w:p>
    <w:p w14:paraId="307D8B2A" w14:textId="64C499E6" w:rsidR="00B6716F" w:rsidRPr="0003108C" w:rsidRDefault="00B6716F" w:rsidP="0003108C">
      <w:pPr>
        <w:spacing w:after="0" w:line="276" w:lineRule="auto"/>
        <w:ind w:firstLine="720"/>
        <w:jc w:val="both"/>
        <w:rPr>
          <w:rFonts w:cs="Times New Roman"/>
        </w:rPr>
      </w:pPr>
      <w:r w:rsidRPr="0003108C">
        <w:rPr>
          <w:rFonts w:cs="Times New Roman"/>
        </w:rPr>
        <w:t xml:space="preserve">Judicial review of administrative action can be studied in a variety of ways which, broadly speaking, run from the descriptive to the normative. Most </w:t>
      </w:r>
      <w:r w:rsidR="00E50552" w:rsidRPr="0003108C">
        <w:rPr>
          <w:rFonts w:cs="Times New Roman"/>
        </w:rPr>
        <w:t>often</w:t>
      </w:r>
      <w:r w:rsidRPr="0003108C">
        <w:rPr>
          <w:rFonts w:cs="Times New Roman"/>
        </w:rPr>
        <w:t xml:space="preserve">, it </w:t>
      </w:r>
      <w:r w:rsidR="00E50552" w:rsidRPr="0003108C">
        <w:rPr>
          <w:rFonts w:cs="Times New Roman"/>
        </w:rPr>
        <w:t>is</w:t>
      </w:r>
      <w:r w:rsidRPr="0003108C">
        <w:rPr>
          <w:rFonts w:cs="Times New Roman"/>
        </w:rPr>
        <w:t xml:space="preserve"> the subject of doctrinal inquiry. Textbook writers, for example, gather the relevant cases and synthesise them to produce a (relatively) coherent pattern. De Smith’s </w:t>
      </w:r>
      <w:r w:rsidRPr="0003108C">
        <w:rPr>
          <w:rFonts w:cs="Times New Roman"/>
          <w:i/>
        </w:rPr>
        <w:t xml:space="preserve">Judicial Review of Administrative Action </w:t>
      </w:r>
      <w:r w:rsidRPr="0003108C">
        <w:rPr>
          <w:rFonts w:cs="Times New Roman"/>
        </w:rPr>
        <w:t>is the landmark text in the Commonwealth tradition</w:t>
      </w:r>
      <w:r w:rsidR="00E50552" w:rsidRPr="0003108C">
        <w:rPr>
          <w:rFonts w:cs="Times New Roman"/>
        </w:rPr>
        <w:t xml:space="preserve"> and </w:t>
      </w:r>
      <w:r w:rsidR="00A738EE" w:rsidRPr="0003108C">
        <w:rPr>
          <w:rFonts w:cs="Times New Roman"/>
        </w:rPr>
        <w:t>is in this mode</w:t>
      </w:r>
      <w:r w:rsidRPr="0003108C">
        <w:rPr>
          <w:rFonts w:cs="Times New Roman"/>
        </w:rPr>
        <w:t>.</w:t>
      </w:r>
      <w:r w:rsidRPr="0003108C">
        <w:rPr>
          <w:rStyle w:val="FootnoteReference"/>
        </w:rPr>
        <w:footnoteReference w:id="19"/>
      </w:r>
      <w:r w:rsidRPr="0003108C">
        <w:rPr>
          <w:rFonts w:cs="Times New Roman"/>
        </w:rPr>
        <w:t xml:space="preserve"> Most textbooks on </w:t>
      </w:r>
      <w:r w:rsidR="00E50552" w:rsidRPr="0003108C">
        <w:rPr>
          <w:rFonts w:cs="Times New Roman"/>
        </w:rPr>
        <w:t>‘</w:t>
      </w:r>
      <w:r w:rsidRPr="0003108C">
        <w:rPr>
          <w:rFonts w:cs="Times New Roman"/>
        </w:rPr>
        <w:t>administrative law</w:t>
      </w:r>
      <w:r w:rsidR="00E50552" w:rsidRPr="0003108C">
        <w:rPr>
          <w:rFonts w:cs="Times New Roman"/>
        </w:rPr>
        <w:t>’</w:t>
      </w:r>
      <w:r w:rsidRPr="0003108C">
        <w:rPr>
          <w:rFonts w:cs="Times New Roman"/>
        </w:rPr>
        <w:t xml:space="preserve"> devote substantial space to doctrinal study of judicial review of administrative action</w:t>
      </w:r>
      <w:r w:rsidRPr="0003108C">
        <w:rPr>
          <w:rStyle w:val="FootnoteReference"/>
        </w:rPr>
        <w:footnoteReference w:id="20"/>
      </w:r>
      <w:r w:rsidRPr="0003108C">
        <w:rPr>
          <w:rFonts w:cs="Times New Roman"/>
        </w:rPr>
        <w:t xml:space="preserve"> and some textbooks are dedicated to the subject.</w:t>
      </w:r>
      <w:r w:rsidRPr="0003108C">
        <w:rPr>
          <w:rStyle w:val="FootnoteReference"/>
        </w:rPr>
        <w:footnoteReference w:id="21"/>
      </w:r>
      <w:r w:rsidRPr="0003108C">
        <w:rPr>
          <w:rFonts w:cs="Times New Roman"/>
        </w:rPr>
        <w:t xml:space="preserve"> Doctrinal inquiry is sometimes supplemented by historical analysis; indeed, to some extent, the contemporary legal principles and procedures of judicial review of administrative action cannot be understood without an appreciation of the historical evolution of the supervisory jurisdiction.</w:t>
      </w:r>
      <w:r w:rsidRPr="0003108C">
        <w:rPr>
          <w:rStyle w:val="FootnoteReference"/>
        </w:rPr>
        <w:footnoteReference w:id="22"/>
      </w:r>
      <w:r w:rsidRPr="0003108C">
        <w:rPr>
          <w:rFonts w:cs="Times New Roman"/>
        </w:rPr>
        <w:t xml:space="preserve"> On occasion, this history is an object of study in its own right, </w:t>
      </w:r>
      <w:r w:rsidR="00E50552" w:rsidRPr="0003108C">
        <w:rPr>
          <w:rFonts w:cs="Times New Roman"/>
        </w:rPr>
        <w:t xml:space="preserve">drawing upon </w:t>
      </w:r>
      <w:r w:rsidRPr="0003108C">
        <w:rPr>
          <w:rFonts w:cs="Times New Roman"/>
        </w:rPr>
        <w:t>legal-historical methodology.</w:t>
      </w:r>
      <w:r w:rsidRPr="0003108C">
        <w:rPr>
          <w:rStyle w:val="FootnoteReference"/>
        </w:rPr>
        <w:footnoteReference w:id="23"/>
      </w:r>
      <w:r w:rsidRPr="0003108C">
        <w:rPr>
          <w:rFonts w:cs="Times New Roman"/>
        </w:rPr>
        <w:t xml:space="preserve"> More ambitious variants of doctrinal analysis are analytical approaches aiming to use conceptual analysis to enhance understanding of the subject</w:t>
      </w:r>
      <w:r w:rsidRPr="0003108C">
        <w:rPr>
          <w:rStyle w:val="FootnoteReference"/>
        </w:rPr>
        <w:footnoteReference w:id="24"/>
      </w:r>
      <w:r w:rsidRPr="0003108C">
        <w:rPr>
          <w:rFonts w:cs="Times New Roman"/>
        </w:rPr>
        <w:t xml:space="preserve"> and interpretive approaches, which seek to present judicial review of administrative action, in whole or in part, in a coherent framework held together by unifying principles or values.</w:t>
      </w:r>
      <w:r w:rsidRPr="0003108C">
        <w:rPr>
          <w:rStyle w:val="FootnoteReference"/>
        </w:rPr>
        <w:footnoteReference w:id="25"/>
      </w:r>
      <w:r w:rsidRPr="0003108C">
        <w:rPr>
          <w:rFonts w:cs="Times New Roman"/>
        </w:rPr>
        <w:t xml:space="preserve"> Lastly, theoretical approaches to judicial review of administrative action seek to measure the subject by reference </w:t>
      </w:r>
      <w:r w:rsidRPr="0003108C">
        <w:rPr>
          <w:rFonts w:cs="Times New Roman"/>
        </w:rPr>
        <w:lastRenderedPageBreak/>
        <w:t>to a normative benchmark developed from some free-standing theory, which may be institutional,</w:t>
      </w:r>
      <w:r w:rsidRPr="0003108C">
        <w:rPr>
          <w:rStyle w:val="FootnoteReference"/>
        </w:rPr>
        <w:footnoteReference w:id="26"/>
      </w:r>
      <w:r w:rsidRPr="0003108C">
        <w:rPr>
          <w:rFonts w:cs="Times New Roman"/>
        </w:rPr>
        <w:t xml:space="preserve"> moral</w:t>
      </w:r>
      <w:r w:rsidRPr="0003108C">
        <w:rPr>
          <w:rStyle w:val="FootnoteReference"/>
        </w:rPr>
        <w:footnoteReference w:id="27"/>
      </w:r>
      <w:r w:rsidRPr="0003108C">
        <w:rPr>
          <w:rFonts w:cs="Times New Roman"/>
        </w:rPr>
        <w:t xml:space="preserve"> or political.</w:t>
      </w:r>
      <w:r w:rsidRPr="0003108C">
        <w:rPr>
          <w:rStyle w:val="FootnoteReference"/>
        </w:rPr>
        <w:footnoteReference w:id="28"/>
      </w:r>
      <w:r w:rsidRPr="0003108C">
        <w:rPr>
          <w:rFonts w:cs="Times New Roman"/>
        </w:rPr>
        <w:t xml:space="preserve"> </w:t>
      </w:r>
    </w:p>
    <w:p w14:paraId="5B508813" w14:textId="77777777" w:rsidR="00B6716F" w:rsidRPr="0003108C" w:rsidRDefault="00B6716F" w:rsidP="0003108C">
      <w:pPr>
        <w:spacing w:after="0" w:line="276" w:lineRule="auto"/>
        <w:jc w:val="both"/>
        <w:rPr>
          <w:rFonts w:cs="Times New Roman"/>
        </w:rPr>
      </w:pPr>
    </w:p>
    <w:p w14:paraId="6D2A852F" w14:textId="5A925F3D" w:rsidR="006C48CE" w:rsidRPr="0003108C" w:rsidRDefault="00B6716F" w:rsidP="00B14E81">
      <w:pPr>
        <w:spacing w:after="0" w:line="276" w:lineRule="auto"/>
        <w:ind w:firstLine="720"/>
        <w:jc w:val="both"/>
        <w:rPr>
          <w:rFonts w:cs="Times New Roman"/>
        </w:rPr>
      </w:pPr>
      <w:r w:rsidRPr="0003108C">
        <w:rPr>
          <w:rFonts w:cs="Times New Roman"/>
        </w:rPr>
        <w:t xml:space="preserve">Another external perspective views public administration in its relation to politics, </w:t>
      </w:r>
      <w:r w:rsidR="00E50552" w:rsidRPr="0003108C">
        <w:rPr>
          <w:rFonts w:cs="Times New Roman"/>
        </w:rPr>
        <w:t xml:space="preserve">principally </w:t>
      </w:r>
      <w:r w:rsidRPr="0003108C">
        <w:rPr>
          <w:rFonts w:cs="Times New Roman"/>
        </w:rPr>
        <w:t xml:space="preserve">in the </w:t>
      </w:r>
      <w:r w:rsidR="00E50552" w:rsidRPr="0003108C">
        <w:rPr>
          <w:rFonts w:cs="Times New Roman"/>
        </w:rPr>
        <w:t xml:space="preserve">institutional </w:t>
      </w:r>
      <w:r w:rsidRPr="0003108C">
        <w:rPr>
          <w:rFonts w:cs="Times New Roman"/>
        </w:rPr>
        <w:t>form</w:t>
      </w:r>
      <w:r w:rsidR="00E50552" w:rsidRPr="0003108C">
        <w:rPr>
          <w:rFonts w:cs="Times New Roman"/>
        </w:rPr>
        <w:t>s</w:t>
      </w:r>
      <w:r w:rsidRPr="0003108C">
        <w:rPr>
          <w:rFonts w:cs="Times New Roman"/>
        </w:rPr>
        <w:t xml:space="preserve"> of the executive (Presidents, Prime </w:t>
      </w:r>
      <w:proofErr w:type="gramStart"/>
      <w:r w:rsidRPr="0003108C">
        <w:rPr>
          <w:rFonts w:cs="Times New Roman"/>
        </w:rPr>
        <w:t>Ministers</w:t>
      </w:r>
      <w:proofErr w:type="gramEnd"/>
      <w:r w:rsidRPr="0003108C">
        <w:rPr>
          <w:rFonts w:cs="Times New Roman"/>
        </w:rPr>
        <w:t xml:space="preserve"> and their cabinets) and legislatures. </w:t>
      </w:r>
      <w:r w:rsidR="006C48CE" w:rsidRPr="0003108C">
        <w:rPr>
          <w:rFonts w:cs="Times New Roman"/>
        </w:rPr>
        <w:t>In this context</w:t>
      </w:r>
      <w:r w:rsidRPr="0003108C">
        <w:rPr>
          <w:rFonts w:cs="Times New Roman"/>
        </w:rPr>
        <w:t>, work can be descriptive, for example recounting how in Westminster-style systems centralised controls over public administration have grown in number in recent decades with a tendency for them to concentrate in prime ministerial offices,</w:t>
      </w:r>
      <w:r w:rsidRPr="0003108C">
        <w:rPr>
          <w:rStyle w:val="FootnoteReference"/>
        </w:rPr>
        <w:footnoteReference w:id="29"/>
      </w:r>
      <w:r w:rsidRPr="0003108C">
        <w:rPr>
          <w:rFonts w:cs="Times New Roman"/>
        </w:rPr>
        <w:t xml:space="preserve"> or demonstrating how legislators</w:t>
      </w:r>
      <w:r w:rsidR="006C48CE" w:rsidRPr="0003108C">
        <w:rPr>
          <w:rFonts w:cs="Times New Roman"/>
        </w:rPr>
        <w:t>—</w:t>
      </w:r>
      <w:r w:rsidRPr="0003108C">
        <w:rPr>
          <w:rFonts w:cs="Times New Roman"/>
        </w:rPr>
        <w:t>especially when grouped in committees</w:t>
      </w:r>
      <w:r w:rsidR="006C48CE" w:rsidRPr="0003108C">
        <w:rPr>
          <w:rFonts w:cs="Times New Roman"/>
        </w:rPr>
        <w:t>—</w:t>
      </w:r>
      <w:r w:rsidRPr="0003108C">
        <w:rPr>
          <w:rFonts w:cs="Times New Roman"/>
        </w:rPr>
        <w:t>influence public administration.</w:t>
      </w:r>
      <w:r w:rsidRPr="0003108C">
        <w:rPr>
          <w:rStyle w:val="FootnoteReference"/>
        </w:rPr>
        <w:footnoteReference w:id="30"/>
      </w:r>
      <w:r w:rsidRPr="0003108C">
        <w:rPr>
          <w:rFonts w:cs="Times New Roman"/>
        </w:rPr>
        <w:t xml:space="preserve"> In describing public administration from the outside in this way, however, it is necessary at the very least to have a keen sense of what political science literature teaches about the way in which executive and legislative branches operate, just as an intrepid lawyer looking to update J.A.G. Griffith’s study of amendments to legislation</w:t>
      </w:r>
      <w:r w:rsidRPr="0003108C">
        <w:rPr>
          <w:rStyle w:val="FootnoteReference"/>
        </w:rPr>
        <w:footnoteReference w:id="31"/>
      </w:r>
      <w:r w:rsidRPr="0003108C">
        <w:rPr>
          <w:rFonts w:cs="Times New Roman"/>
        </w:rPr>
        <w:t xml:space="preserve"> would have to take account of recent scholarship by political scientists.</w:t>
      </w:r>
      <w:r w:rsidRPr="0003108C">
        <w:rPr>
          <w:rStyle w:val="FootnoteReference"/>
        </w:rPr>
        <w:footnoteReference w:id="32"/>
      </w:r>
      <w:r w:rsidR="006C48CE" w:rsidRPr="0003108C">
        <w:rPr>
          <w:rFonts w:cs="Times New Roman"/>
        </w:rPr>
        <w:t xml:space="preserve"> </w:t>
      </w:r>
    </w:p>
    <w:p w14:paraId="411EDB55" w14:textId="77777777" w:rsidR="006C48CE" w:rsidRPr="0003108C" w:rsidRDefault="006C48CE" w:rsidP="0003108C">
      <w:pPr>
        <w:spacing w:after="0" w:line="276" w:lineRule="auto"/>
        <w:jc w:val="both"/>
        <w:rPr>
          <w:rFonts w:cs="Times New Roman"/>
        </w:rPr>
      </w:pPr>
    </w:p>
    <w:p w14:paraId="3A11CC41" w14:textId="5A04E3A6" w:rsidR="00B6716F" w:rsidRPr="0003108C" w:rsidRDefault="006C48CE" w:rsidP="0003108C">
      <w:pPr>
        <w:spacing w:after="0" w:line="276" w:lineRule="auto"/>
        <w:ind w:firstLine="720"/>
        <w:jc w:val="both"/>
        <w:rPr>
          <w:rFonts w:cs="Times New Roman"/>
        </w:rPr>
      </w:pPr>
      <w:r w:rsidRPr="0003108C">
        <w:rPr>
          <w:rFonts w:cs="Times New Roman"/>
        </w:rPr>
        <w:t>Research</w:t>
      </w:r>
      <w:r w:rsidR="00B6716F" w:rsidRPr="0003108C">
        <w:rPr>
          <w:rFonts w:cs="Times New Roman"/>
        </w:rPr>
        <w:t xml:space="preserve"> </w:t>
      </w:r>
      <w:r w:rsidRPr="0003108C">
        <w:rPr>
          <w:rFonts w:cs="Times New Roman"/>
        </w:rPr>
        <w:t>of this kind</w:t>
      </w:r>
      <w:r w:rsidR="00B6716F" w:rsidRPr="0003108C">
        <w:rPr>
          <w:rFonts w:cs="Times New Roman"/>
        </w:rPr>
        <w:t xml:space="preserve"> does not have to be descriptive. It can be normative. Insisting, for instance, on the primacy of cost-benefit analysis in centralised executive oversight of public administration involves taking a position on the appropriateness of cost-benefit analysis as a tool for making and influencing policy; and, of course, even those who agree that cost-benefit analysis is a valuable tool might have different normative views on how precisely cost-benefit analysis should operate.</w:t>
      </w:r>
      <w:r w:rsidR="00B6716F" w:rsidRPr="0003108C">
        <w:rPr>
          <w:rStyle w:val="FootnoteReference"/>
        </w:rPr>
        <w:footnoteReference w:id="33"/>
      </w:r>
      <w:r w:rsidR="00B6716F" w:rsidRPr="0003108C">
        <w:rPr>
          <w:rFonts w:cs="Times New Roman"/>
        </w:rPr>
        <w:t xml:space="preserve"> At this point, the researcher is invariably pulled towards </w:t>
      </w:r>
      <w:r w:rsidRPr="0003108C">
        <w:rPr>
          <w:rFonts w:cs="Times New Roman"/>
        </w:rPr>
        <w:t>disciplines such as</w:t>
      </w:r>
      <w:r w:rsidR="00B6716F" w:rsidRPr="0003108C">
        <w:rPr>
          <w:rFonts w:cs="Times New Roman"/>
        </w:rPr>
        <w:t xml:space="preserve"> economics, </w:t>
      </w:r>
      <w:r w:rsidRPr="0003108C">
        <w:rPr>
          <w:rFonts w:cs="Times New Roman"/>
        </w:rPr>
        <w:t xml:space="preserve">and </w:t>
      </w:r>
      <w:r w:rsidR="00B6716F" w:rsidRPr="0003108C">
        <w:rPr>
          <w:rFonts w:cs="Times New Roman"/>
        </w:rPr>
        <w:t xml:space="preserve">certainly </w:t>
      </w:r>
      <w:r w:rsidRPr="0003108C">
        <w:rPr>
          <w:rFonts w:cs="Times New Roman"/>
        </w:rPr>
        <w:t>further</w:t>
      </w:r>
      <w:r w:rsidR="00B6716F" w:rsidRPr="0003108C">
        <w:rPr>
          <w:rFonts w:cs="Times New Roman"/>
        </w:rPr>
        <w:t xml:space="preserve"> from the comfortable realm of descriptive or doctrinal </w:t>
      </w:r>
      <w:r w:rsidR="00B6716F" w:rsidRPr="0003108C">
        <w:rPr>
          <w:rFonts w:cs="Times New Roman"/>
        </w:rPr>
        <w:lastRenderedPageBreak/>
        <w:t xml:space="preserve">analysis of legal concepts which characterises the study of judicial review of administrative action. </w:t>
      </w:r>
    </w:p>
    <w:p w14:paraId="57D5B21A" w14:textId="77777777" w:rsidR="00B6716F" w:rsidRPr="0003108C" w:rsidRDefault="00B6716F" w:rsidP="0003108C">
      <w:pPr>
        <w:spacing w:after="0" w:line="276" w:lineRule="auto"/>
        <w:jc w:val="both"/>
        <w:rPr>
          <w:rFonts w:cs="Times New Roman"/>
        </w:rPr>
      </w:pPr>
    </w:p>
    <w:p w14:paraId="3C1E7D24" w14:textId="1AEC4297" w:rsidR="00B6716F" w:rsidRPr="0003108C" w:rsidRDefault="00B6716F" w:rsidP="0003108C">
      <w:pPr>
        <w:spacing w:after="0" w:line="276" w:lineRule="auto"/>
        <w:ind w:firstLine="720"/>
        <w:jc w:val="both"/>
        <w:rPr>
          <w:rFonts w:cs="Times New Roman"/>
        </w:rPr>
      </w:pPr>
      <w:r w:rsidRPr="0003108C">
        <w:rPr>
          <w:rFonts w:cs="Times New Roman"/>
        </w:rPr>
        <w:t>As discussed in the preceding subsections, judicial review of administrative action and political oversight are two external perspectives a researcher can take on the administrative state. They are also ways in which decision-makers can be held to account, with judges or political actors judging the appropriateness of administrative action. There are, of course, other accountability mechanisms. Although accountability</w:t>
      </w:r>
      <w:r w:rsidR="006C48CE" w:rsidRPr="0003108C">
        <w:rPr>
          <w:rFonts w:cs="Times New Roman"/>
        </w:rPr>
        <w:t xml:space="preserve"> can be said to be</w:t>
      </w:r>
      <w:r w:rsidRPr="0003108C">
        <w:rPr>
          <w:rFonts w:cs="Times New Roman"/>
        </w:rPr>
        <w:t xml:space="preserve"> </w:t>
      </w:r>
      <w:r w:rsidR="006C48CE" w:rsidRPr="0003108C">
        <w:rPr>
          <w:rFonts w:cs="Times New Roman"/>
        </w:rPr>
        <w:t>‘</w:t>
      </w:r>
      <w:r w:rsidRPr="0003108C">
        <w:rPr>
          <w:rFonts w:cs="Times New Roman"/>
        </w:rPr>
        <w:t>a central value of modern constitutions,</w:t>
      </w:r>
      <w:r w:rsidR="006C48CE" w:rsidRPr="0003108C">
        <w:rPr>
          <w:rFonts w:cs="Times New Roman"/>
        </w:rPr>
        <w:t>’</w:t>
      </w:r>
      <w:r w:rsidRPr="0003108C">
        <w:rPr>
          <w:rFonts w:cs="Times New Roman"/>
          <w:vertAlign w:val="superscript"/>
        </w:rPr>
        <w:footnoteReference w:id="34"/>
      </w:r>
      <w:r w:rsidRPr="0003108C">
        <w:rPr>
          <w:rFonts w:cs="Times New Roman"/>
        </w:rPr>
        <w:t xml:space="preserve"> the term has an elusive, </w:t>
      </w:r>
      <w:r w:rsidR="006C48CE" w:rsidRPr="0003108C">
        <w:rPr>
          <w:rFonts w:cs="Times New Roman"/>
        </w:rPr>
        <w:t>‘</w:t>
      </w:r>
      <w:r w:rsidRPr="0003108C">
        <w:rPr>
          <w:rFonts w:cs="Times New Roman"/>
        </w:rPr>
        <w:t>catch-all</w:t>
      </w:r>
      <w:r w:rsidR="006C48CE" w:rsidRPr="0003108C">
        <w:rPr>
          <w:rFonts w:cs="Times New Roman"/>
        </w:rPr>
        <w:t>’</w:t>
      </w:r>
      <w:r w:rsidRPr="0003108C">
        <w:rPr>
          <w:rFonts w:cs="Times New Roman"/>
        </w:rPr>
        <w:t xml:space="preserve"> quality</w:t>
      </w:r>
      <w:r w:rsidR="006C48CE" w:rsidRPr="0003108C">
        <w:rPr>
          <w:rFonts w:cs="Times New Roman"/>
        </w:rPr>
        <w:t>.</w:t>
      </w:r>
      <w:r w:rsidRPr="0003108C">
        <w:rPr>
          <w:rFonts w:cs="Times New Roman"/>
          <w:vertAlign w:val="superscript"/>
        </w:rPr>
        <w:footnoteReference w:id="35"/>
      </w:r>
      <w:r w:rsidRPr="0003108C">
        <w:rPr>
          <w:rFonts w:cs="Times New Roman"/>
        </w:rPr>
        <w:t xml:space="preserve"> The administrative state can be held to account by a variety of different means: at one extreme, a choice can be made to subject regulated entities to the ‘free hand’ of the market;</w:t>
      </w:r>
      <w:r w:rsidRPr="0003108C">
        <w:rPr>
          <w:rStyle w:val="FootnoteReference"/>
        </w:rPr>
        <w:footnoteReference w:id="36"/>
      </w:r>
      <w:r w:rsidRPr="0003108C">
        <w:rPr>
          <w:rFonts w:cs="Times New Roman"/>
        </w:rPr>
        <w:t xml:space="preserve"> at the other extreme, a legislature can create a detailed oversight scheme run by an independent watchdog or </w:t>
      </w:r>
      <w:r w:rsidR="006C48CE" w:rsidRPr="0003108C">
        <w:rPr>
          <w:rFonts w:cs="Times New Roman"/>
        </w:rPr>
        <w:t>o</w:t>
      </w:r>
      <w:r w:rsidRPr="0003108C">
        <w:rPr>
          <w:rFonts w:cs="Times New Roman"/>
        </w:rPr>
        <w:t>mbuds;</w:t>
      </w:r>
      <w:r w:rsidRPr="0003108C">
        <w:rPr>
          <w:rStyle w:val="FootnoteReference"/>
        </w:rPr>
        <w:footnoteReference w:id="37"/>
      </w:r>
      <w:r w:rsidRPr="0003108C">
        <w:rPr>
          <w:rFonts w:cs="Times New Roman"/>
        </w:rPr>
        <w:t xml:space="preserve"> and, in between, a mixture of statutory constraints and performance indicators derived from the private sector can be employed.</w:t>
      </w:r>
      <w:r w:rsidRPr="0003108C">
        <w:rPr>
          <w:rStyle w:val="FootnoteReference"/>
        </w:rPr>
        <w:footnoteReference w:id="38"/>
      </w:r>
      <w:r w:rsidRPr="0003108C">
        <w:rPr>
          <w:rFonts w:cs="Times New Roman"/>
        </w:rPr>
        <w:t xml:space="preserve"> Research on these other accountability mechanisms</w:t>
      </w:r>
      <w:r w:rsidR="0003108C" w:rsidRPr="0003108C">
        <w:rPr>
          <w:rFonts w:cs="Times New Roman"/>
        </w:rPr>
        <w:t xml:space="preserve"> again</w:t>
      </w:r>
      <w:r w:rsidRPr="0003108C">
        <w:rPr>
          <w:rFonts w:cs="Times New Roman"/>
        </w:rPr>
        <w:t xml:space="preserve"> runs from the descriptive to the normative. At the descriptive end of the spectrum the </w:t>
      </w:r>
      <w:r w:rsidR="006C48CE" w:rsidRPr="0003108C">
        <w:rPr>
          <w:rFonts w:cs="Times New Roman"/>
        </w:rPr>
        <w:t>public law</w:t>
      </w:r>
      <w:r w:rsidRPr="0003108C">
        <w:rPr>
          <w:rFonts w:cs="Times New Roman"/>
        </w:rPr>
        <w:t xml:space="preserve"> researcher can proceed safely and confidently with the usual tools of the lawyerly trade, relying as and when </w:t>
      </w:r>
      <w:proofErr w:type="gramStart"/>
      <w:r w:rsidRPr="0003108C">
        <w:rPr>
          <w:rFonts w:cs="Times New Roman"/>
        </w:rPr>
        <w:t>necessary</w:t>
      </w:r>
      <w:proofErr w:type="gramEnd"/>
      <w:r w:rsidRPr="0003108C">
        <w:rPr>
          <w:rFonts w:cs="Times New Roman"/>
        </w:rPr>
        <w:t xml:space="preserve"> on textbook knowledge of disciplines such as economics and organisational theory. Indeed, most administrative law textbook writers cover this ground comfortably. But when moving onto more normative territory, the researcher</w:t>
      </w:r>
      <w:r w:rsidR="0003108C" w:rsidRPr="0003108C">
        <w:rPr>
          <w:rFonts w:cs="Times New Roman"/>
        </w:rPr>
        <w:t xml:space="preserve"> often</w:t>
      </w:r>
      <w:r w:rsidRPr="0003108C">
        <w:rPr>
          <w:rFonts w:cs="Times New Roman"/>
        </w:rPr>
        <w:t xml:space="preserve"> needs to be </w:t>
      </w:r>
      <w:r w:rsidR="006C48CE" w:rsidRPr="0003108C">
        <w:rPr>
          <w:rFonts w:cs="Times New Roman"/>
        </w:rPr>
        <w:t>surer</w:t>
      </w:r>
      <w:r w:rsidRPr="0003108C">
        <w:rPr>
          <w:rFonts w:cs="Times New Roman"/>
        </w:rPr>
        <w:t xml:space="preserve"> of their interdisciplinary footing. Arguing for a particular type of market structure in a regulated area such as telecommunication</w:t>
      </w:r>
      <w:r w:rsidR="006C48CE" w:rsidRPr="0003108C">
        <w:rPr>
          <w:rFonts w:cs="Times New Roman"/>
        </w:rPr>
        <w:t>s</w:t>
      </w:r>
      <w:r w:rsidRPr="0003108C">
        <w:rPr>
          <w:rFonts w:cs="Times New Roman"/>
        </w:rPr>
        <w:t xml:space="preserve"> will generally require extensive knowledge of economic theory as it relates to natural monopolies or oligopolies</w:t>
      </w:r>
      <w:r w:rsidR="006C48CE" w:rsidRPr="0003108C">
        <w:rPr>
          <w:rFonts w:cs="Times New Roman"/>
        </w:rPr>
        <w:t xml:space="preserve"> as well as the policy context</w:t>
      </w:r>
      <w:r w:rsidRPr="0003108C">
        <w:rPr>
          <w:rFonts w:cs="Times New Roman"/>
        </w:rPr>
        <w:t>, whilst the strength of a case in favour of a watchdog to oversee a given area might depend in large part on concepts drawn from political science.</w:t>
      </w:r>
      <w:r w:rsidRPr="0003108C">
        <w:rPr>
          <w:rStyle w:val="FootnoteReference"/>
        </w:rPr>
        <w:footnoteReference w:id="39"/>
      </w:r>
    </w:p>
    <w:p w14:paraId="78B3A4EB" w14:textId="77777777" w:rsidR="00B6716F" w:rsidRPr="0003108C" w:rsidRDefault="00B6716F" w:rsidP="0003108C">
      <w:pPr>
        <w:spacing w:after="0" w:line="276" w:lineRule="auto"/>
        <w:jc w:val="both"/>
        <w:rPr>
          <w:rFonts w:cs="Times New Roman"/>
        </w:rPr>
      </w:pPr>
    </w:p>
    <w:p w14:paraId="1ECAB938" w14:textId="2DC9ADE9" w:rsidR="00B6716F" w:rsidRPr="0003108C" w:rsidRDefault="006C48CE" w:rsidP="0003108C">
      <w:pPr>
        <w:spacing w:after="0" w:line="276" w:lineRule="auto"/>
        <w:ind w:firstLine="720"/>
        <w:jc w:val="both"/>
        <w:rPr>
          <w:rFonts w:cs="Times New Roman"/>
        </w:rPr>
      </w:pPr>
      <w:r w:rsidRPr="0003108C">
        <w:rPr>
          <w:rFonts w:cs="Times New Roman"/>
        </w:rPr>
        <w:t>The boundaries we have sketched here are inevitably blurry. P</w:t>
      </w:r>
      <w:r w:rsidR="00B6716F" w:rsidRPr="0003108C">
        <w:rPr>
          <w:rFonts w:cs="Times New Roman"/>
        </w:rPr>
        <w:t>rinciples and values derived from judicial review of administrative action, political oversight</w:t>
      </w:r>
      <w:r w:rsidRPr="0003108C">
        <w:rPr>
          <w:rFonts w:cs="Times New Roman"/>
        </w:rPr>
        <w:t xml:space="preserve">, </w:t>
      </w:r>
      <w:r w:rsidR="00B6716F" w:rsidRPr="0003108C">
        <w:rPr>
          <w:rFonts w:cs="Times New Roman"/>
        </w:rPr>
        <w:t xml:space="preserve">and other accountability mechanisms may, in turn, be internalised by actors in the administrative state: </w:t>
      </w:r>
      <w:r w:rsidR="00B6716F" w:rsidRPr="0003108C">
        <w:rPr>
          <w:rFonts w:cs="Times New Roman"/>
        </w:rPr>
        <w:lastRenderedPageBreak/>
        <w:t>they are external in that they originate externally.</w:t>
      </w:r>
      <w:r w:rsidR="0003108C" w:rsidRPr="0003108C">
        <w:rPr>
          <w:rStyle w:val="FootnoteReference"/>
        </w:rPr>
        <w:footnoteReference w:id="40"/>
      </w:r>
      <w:r w:rsidR="00B6716F" w:rsidRPr="0003108C">
        <w:rPr>
          <w:rFonts w:cs="Times New Roman"/>
        </w:rPr>
        <w:t xml:space="preserve"> The boundary between the internal and the external is clear but it is not impermeable. </w:t>
      </w:r>
      <w:r w:rsidRPr="0003108C">
        <w:rPr>
          <w:rFonts w:cs="Times New Roman"/>
        </w:rPr>
        <w:t>At the same time</w:t>
      </w:r>
      <w:r w:rsidR="00B6716F" w:rsidRPr="0003108C">
        <w:rPr>
          <w:rFonts w:cs="Times New Roman"/>
        </w:rPr>
        <w:t xml:space="preserve">, scholarship </w:t>
      </w:r>
      <w:r w:rsidR="00B67CE5" w:rsidRPr="0003108C">
        <w:rPr>
          <w:rFonts w:cs="Times New Roman"/>
        </w:rPr>
        <w:t>adopting an</w:t>
      </w:r>
      <w:r w:rsidRPr="0003108C">
        <w:rPr>
          <w:rFonts w:cs="Times New Roman"/>
        </w:rPr>
        <w:t xml:space="preserve"> </w:t>
      </w:r>
      <w:r w:rsidR="00B67CE5" w:rsidRPr="0003108C">
        <w:rPr>
          <w:rFonts w:cs="Times New Roman"/>
        </w:rPr>
        <w:t>external</w:t>
      </w:r>
      <w:r w:rsidRPr="0003108C">
        <w:rPr>
          <w:rFonts w:cs="Times New Roman"/>
        </w:rPr>
        <w:t xml:space="preserve"> perspective</w:t>
      </w:r>
      <w:r w:rsidR="00B6716F" w:rsidRPr="0003108C">
        <w:rPr>
          <w:rFonts w:cs="Times New Roman"/>
        </w:rPr>
        <w:t xml:space="preserve"> </w:t>
      </w:r>
      <w:r w:rsidR="00B67CE5" w:rsidRPr="0003108C">
        <w:rPr>
          <w:rFonts w:cs="Times New Roman"/>
        </w:rPr>
        <w:t xml:space="preserve">on the administrative </w:t>
      </w:r>
      <w:r w:rsidR="00B6716F" w:rsidRPr="0003108C">
        <w:rPr>
          <w:rFonts w:cs="Times New Roman"/>
        </w:rPr>
        <w:t>can run from descriptive at one end of the spectrum to normative at the other end of the spectrum. Public lawyers in descriptive territory are likely to be more sure-footed but will have to tread carefully as they move in a normative direction, perhaps adopting more suitable footwear as their journey progresses.</w:t>
      </w:r>
    </w:p>
    <w:p w14:paraId="14365E17" w14:textId="77777777" w:rsidR="00B6716F" w:rsidRPr="00D11A8F" w:rsidRDefault="00B6716F" w:rsidP="00D11A8F">
      <w:pPr>
        <w:spacing w:after="0" w:line="276" w:lineRule="auto"/>
        <w:jc w:val="both"/>
        <w:rPr>
          <w:rFonts w:cs="Times New Roman"/>
        </w:rPr>
      </w:pPr>
    </w:p>
    <w:p w14:paraId="2194AF91" w14:textId="638B3720" w:rsidR="00866CFE" w:rsidRPr="00D11A8F" w:rsidRDefault="00D04944" w:rsidP="00D11A8F">
      <w:pPr>
        <w:spacing w:after="0" w:line="276" w:lineRule="auto"/>
        <w:rPr>
          <w:rFonts w:cs="Times New Roman"/>
          <w:b/>
          <w:bCs/>
        </w:rPr>
      </w:pPr>
      <w:r w:rsidRPr="00D11A8F">
        <w:rPr>
          <w:rFonts w:cs="Times New Roman"/>
          <w:b/>
          <w:bCs/>
        </w:rPr>
        <w:t xml:space="preserve">IV. </w:t>
      </w:r>
      <w:r w:rsidR="008F5BED" w:rsidRPr="00D11A8F">
        <w:rPr>
          <w:rFonts w:cs="Times New Roman"/>
          <w:b/>
          <w:bCs/>
        </w:rPr>
        <w:t>THE INTERNAL PERSPECTIVE</w:t>
      </w:r>
    </w:p>
    <w:p w14:paraId="6ECEB0B9" w14:textId="77777777" w:rsidR="00B14E81" w:rsidRPr="00D11A8F" w:rsidRDefault="00B14E81" w:rsidP="00D11A8F">
      <w:pPr>
        <w:spacing w:after="0" w:line="276" w:lineRule="auto"/>
        <w:rPr>
          <w:rFonts w:cs="Times New Roman"/>
          <w:b/>
          <w:bCs/>
        </w:rPr>
      </w:pPr>
    </w:p>
    <w:p w14:paraId="5DFA7F2E" w14:textId="49A2C723" w:rsidR="00863DEE" w:rsidRPr="00D11A8F" w:rsidRDefault="00866CFE" w:rsidP="00D11A8F">
      <w:pPr>
        <w:spacing w:after="0" w:line="276" w:lineRule="auto"/>
        <w:jc w:val="both"/>
        <w:rPr>
          <w:rFonts w:cs="Times New Roman"/>
          <w:szCs w:val="24"/>
        </w:rPr>
      </w:pPr>
      <w:r w:rsidRPr="00D11A8F">
        <w:rPr>
          <w:rFonts w:cs="Times New Roman"/>
          <w:szCs w:val="24"/>
        </w:rPr>
        <w:t xml:space="preserve">For those </w:t>
      </w:r>
      <w:r w:rsidR="00225287" w:rsidRPr="00D11A8F">
        <w:rPr>
          <w:rFonts w:cs="Times New Roman"/>
          <w:szCs w:val="24"/>
        </w:rPr>
        <w:t>public lawyers who</w:t>
      </w:r>
      <w:r w:rsidRPr="00D11A8F">
        <w:rPr>
          <w:rFonts w:cs="Times New Roman"/>
          <w:szCs w:val="24"/>
        </w:rPr>
        <w:t xml:space="preserve"> </w:t>
      </w:r>
      <w:r w:rsidR="00B67CE5" w:rsidRPr="00D11A8F">
        <w:rPr>
          <w:rFonts w:cs="Times New Roman"/>
          <w:szCs w:val="24"/>
        </w:rPr>
        <w:t>adopt</w:t>
      </w:r>
      <w:r w:rsidRPr="00D11A8F">
        <w:rPr>
          <w:rFonts w:cs="Times New Roman"/>
          <w:szCs w:val="24"/>
        </w:rPr>
        <w:t xml:space="preserve"> the internal perspective on </w:t>
      </w:r>
      <w:r w:rsidR="00B67CE5" w:rsidRPr="00D11A8F">
        <w:rPr>
          <w:rFonts w:cs="Times New Roman"/>
          <w:szCs w:val="24"/>
        </w:rPr>
        <w:t xml:space="preserve">the </w:t>
      </w:r>
      <w:r w:rsidRPr="00D11A8F">
        <w:rPr>
          <w:rFonts w:cs="Times New Roman"/>
          <w:szCs w:val="24"/>
        </w:rPr>
        <w:t xml:space="preserve">administrative </w:t>
      </w:r>
      <w:r w:rsidR="00B67CE5" w:rsidRPr="00D11A8F">
        <w:rPr>
          <w:rFonts w:cs="Times New Roman"/>
          <w:szCs w:val="24"/>
        </w:rPr>
        <w:t>state</w:t>
      </w:r>
      <w:r w:rsidRPr="00D11A8F">
        <w:rPr>
          <w:rFonts w:cs="Times New Roman"/>
          <w:szCs w:val="24"/>
        </w:rPr>
        <w:t>, the</w:t>
      </w:r>
      <w:r w:rsidR="009B3E2C" w:rsidRPr="00D11A8F">
        <w:rPr>
          <w:rFonts w:cs="Times New Roman"/>
          <w:szCs w:val="24"/>
        </w:rPr>
        <w:t xml:space="preserve"> usual</w:t>
      </w:r>
      <w:r w:rsidRPr="00D11A8F">
        <w:rPr>
          <w:rFonts w:cs="Times New Roman"/>
          <w:szCs w:val="24"/>
        </w:rPr>
        <w:t xml:space="preserve"> starting point is that, by any quantitative measure, it is administrative officials who </w:t>
      </w:r>
      <w:r w:rsidR="009B3E2C" w:rsidRPr="00D11A8F">
        <w:rPr>
          <w:rFonts w:cs="Times New Roman"/>
          <w:szCs w:val="24"/>
        </w:rPr>
        <w:t>are the primary actors in</w:t>
      </w:r>
      <w:r w:rsidRPr="00D11A8F">
        <w:rPr>
          <w:rFonts w:cs="Times New Roman"/>
          <w:szCs w:val="24"/>
        </w:rPr>
        <w:t xml:space="preserve"> implementing public law. Most of what </w:t>
      </w:r>
      <w:r w:rsidR="00B67CE5" w:rsidRPr="00D11A8F">
        <w:rPr>
          <w:rFonts w:cs="Times New Roman"/>
          <w:szCs w:val="24"/>
        </w:rPr>
        <w:t>officials</w:t>
      </w:r>
      <w:r w:rsidRPr="00D11A8F">
        <w:rPr>
          <w:rFonts w:cs="Times New Roman"/>
          <w:szCs w:val="24"/>
        </w:rPr>
        <w:t xml:space="preserve"> do is a combination of </w:t>
      </w:r>
      <w:r w:rsidR="00863DEE" w:rsidRPr="00D11A8F">
        <w:rPr>
          <w:rFonts w:cs="Times New Roman"/>
          <w:szCs w:val="24"/>
        </w:rPr>
        <w:t>applying</w:t>
      </w:r>
      <w:r w:rsidRPr="00D11A8F">
        <w:rPr>
          <w:rFonts w:cs="Times New Roman"/>
          <w:szCs w:val="24"/>
        </w:rPr>
        <w:t xml:space="preserve"> legislation</w:t>
      </w:r>
      <w:r w:rsidR="00225287" w:rsidRPr="00D11A8F">
        <w:rPr>
          <w:rFonts w:cs="Times New Roman"/>
          <w:szCs w:val="24"/>
        </w:rPr>
        <w:t xml:space="preserve"> and guidance </w:t>
      </w:r>
      <w:r w:rsidRPr="00D11A8F">
        <w:rPr>
          <w:rFonts w:cs="Times New Roman"/>
          <w:szCs w:val="24"/>
        </w:rPr>
        <w:t>o</w:t>
      </w:r>
      <w:r w:rsidR="00B14E81" w:rsidRPr="00D11A8F">
        <w:rPr>
          <w:rFonts w:cs="Times New Roman"/>
          <w:szCs w:val="24"/>
        </w:rPr>
        <w:t>f</w:t>
      </w:r>
      <w:r w:rsidR="00225287" w:rsidRPr="00D11A8F">
        <w:rPr>
          <w:rFonts w:cs="Times New Roman"/>
          <w:szCs w:val="24"/>
        </w:rPr>
        <w:t xml:space="preserve"> </w:t>
      </w:r>
      <w:r w:rsidRPr="00D11A8F">
        <w:rPr>
          <w:rFonts w:cs="Times New Roman"/>
          <w:szCs w:val="24"/>
        </w:rPr>
        <w:t>different types</w:t>
      </w:r>
      <w:r w:rsidR="00863DEE" w:rsidRPr="00D11A8F">
        <w:rPr>
          <w:rFonts w:cs="Times New Roman"/>
          <w:szCs w:val="24"/>
        </w:rPr>
        <w:t xml:space="preserve">, usually within a context where they have degree of discretion. From this perspective, what the courts are ruling </w:t>
      </w:r>
      <w:r w:rsidR="00B67CE5" w:rsidRPr="00D11A8F">
        <w:rPr>
          <w:rFonts w:cs="Times New Roman"/>
          <w:szCs w:val="24"/>
        </w:rPr>
        <w:t xml:space="preserve">upon </w:t>
      </w:r>
      <w:r w:rsidR="00863DEE" w:rsidRPr="00D11A8F">
        <w:rPr>
          <w:rFonts w:cs="Times New Roman"/>
          <w:szCs w:val="24"/>
        </w:rPr>
        <w:t>is relevant but only a small part of the picture</w:t>
      </w:r>
      <w:r w:rsidR="00B67CE5" w:rsidRPr="00D11A8F">
        <w:rPr>
          <w:rFonts w:cs="Times New Roman"/>
          <w:szCs w:val="24"/>
        </w:rPr>
        <w:t xml:space="preserve">; instead, </w:t>
      </w:r>
      <w:r w:rsidR="00863DEE" w:rsidRPr="00D11A8F">
        <w:rPr>
          <w:rFonts w:cs="Times New Roman"/>
          <w:szCs w:val="24"/>
        </w:rPr>
        <w:t>‘the reality of interpreting and applying law within the administrative context is that it is public authorities themselves who are the principal actors.’</w:t>
      </w:r>
      <w:r w:rsidR="00863DEE" w:rsidRPr="00D11A8F">
        <w:rPr>
          <w:rStyle w:val="FootnoteReference"/>
          <w:szCs w:val="24"/>
        </w:rPr>
        <w:footnoteReference w:id="41"/>
      </w:r>
      <w:r w:rsidR="00863DEE" w:rsidRPr="00D11A8F">
        <w:rPr>
          <w:rFonts w:cs="Times New Roman"/>
          <w:szCs w:val="24"/>
        </w:rPr>
        <w:t xml:space="preserve"> It is important to be clear that the scholarly value here is </w:t>
      </w:r>
      <w:r w:rsidR="00B14E81" w:rsidRPr="00D11A8F">
        <w:rPr>
          <w:rFonts w:cs="Times New Roman"/>
          <w:szCs w:val="24"/>
        </w:rPr>
        <w:t xml:space="preserve">found </w:t>
      </w:r>
      <w:r w:rsidR="00863DEE" w:rsidRPr="00D11A8F">
        <w:rPr>
          <w:rFonts w:cs="Times New Roman"/>
          <w:szCs w:val="24"/>
        </w:rPr>
        <w:t xml:space="preserve">not just in the development of a public law scholarship which is more aligned with </w:t>
      </w:r>
      <w:r w:rsidR="00B67CE5" w:rsidRPr="00D11A8F">
        <w:rPr>
          <w:rFonts w:cs="Times New Roman"/>
          <w:szCs w:val="24"/>
        </w:rPr>
        <w:t xml:space="preserve">what the </w:t>
      </w:r>
      <w:r w:rsidR="00B14E81" w:rsidRPr="00D11A8F">
        <w:rPr>
          <w:rFonts w:cs="Times New Roman"/>
          <w:szCs w:val="24"/>
        </w:rPr>
        <w:t>administrative state</w:t>
      </w:r>
      <w:r w:rsidR="00B67CE5" w:rsidRPr="00D11A8F">
        <w:rPr>
          <w:rFonts w:cs="Times New Roman"/>
          <w:szCs w:val="24"/>
        </w:rPr>
        <w:t xml:space="preserve"> </w:t>
      </w:r>
      <w:r w:rsidR="00B14E81" w:rsidRPr="00D11A8F">
        <w:rPr>
          <w:rFonts w:cs="Times New Roman"/>
          <w:szCs w:val="24"/>
        </w:rPr>
        <w:t xml:space="preserve">actually </w:t>
      </w:r>
      <w:r w:rsidR="00B67CE5" w:rsidRPr="00D11A8F">
        <w:rPr>
          <w:rFonts w:cs="Times New Roman"/>
          <w:szCs w:val="24"/>
        </w:rPr>
        <w:t>does</w:t>
      </w:r>
      <w:r w:rsidR="00863DEE" w:rsidRPr="00D11A8F">
        <w:rPr>
          <w:rFonts w:cs="Times New Roman"/>
          <w:szCs w:val="24"/>
        </w:rPr>
        <w:t>, but</w:t>
      </w:r>
      <w:r w:rsidR="00B67CE5" w:rsidRPr="00D11A8F">
        <w:rPr>
          <w:rFonts w:cs="Times New Roman"/>
          <w:szCs w:val="24"/>
        </w:rPr>
        <w:t xml:space="preserve"> that</w:t>
      </w:r>
      <w:r w:rsidR="00863DEE" w:rsidRPr="00D11A8F">
        <w:rPr>
          <w:rFonts w:cs="Times New Roman"/>
          <w:szCs w:val="24"/>
        </w:rPr>
        <w:t xml:space="preserve"> this approach can be also be a basis for </w:t>
      </w:r>
      <w:r w:rsidR="00B14E81" w:rsidRPr="00D11A8F">
        <w:rPr>
          <w:rFonts w:cs="Times New Roman"/>
          <w:szCs w:val="24"/>
        </w:rPr>
        <w:t>reconsidering</w:t>
      </w:r>
      <w:r w:rsidR="00863DEE" w:rsidRPr="00D11A8F">
        <w:rPr>
          <w:rFonts w:cs="Times New Roman"/>
          <w:szCs w:val="24"/>
        </w:rPr>
        <w:t xml:space="preserve"> </w:t>
      </w:r>
      <w:r w:rsidR="00B14E81" w:rsidRPr="00D11A8F">
        <w:rPr>
          <w:rFonts w:cs="Times New Roman"/>
          <w:szCs w:val="24"/>
        </w:rPr>
        <w:t>the nature</w:t>
      </w:r>
      <w:r w:rsidR="00863DEE" w:rsidRPr="00D11A8F">
        <w:rPr>
          <w:rFonts w:cs="Times New Roman"/>
          <w:szCs w:val="24"/>
        </w:rPr>
        <w:t xml:space="preserve"> of public law</w:t>
      </w:r>
      <w:r w:rsidR="00B14E81" w:rsidRPr="00D11A8F">
        <w:rPr>
          <w:rFonts w:cs="Times New Roman"/>
          <w:szCs w:val="24"/>
        </w:rPr>
        <w:t xml:space="preserve"> itself</w:t>
      </w:r>
      <w:r w:rsidR="00863DEE" w:rsidRPr="00D11A8F">
        <w:rPr>
          <w:rFonts w:cs="Times New Roman"/>
          <w:szCs w:val="24"/>
        </w:rPr>
        <w:t>.</w:t>
      </w:r>
      <w:r w:rsidR="00863DEE" w:rsidRPr="00D11A8F">
        <w:rPr>
          <w:rStyle w:val="FootnoteReference"/>
          <w:szCs w:val="24"/>
        </w:rPr>
        <w:footnoteReference w:id="42"/>
      </w:r>
    </w:p>
    <w:p w14:paraId="1FDE168D" w14:textId="2613E834" w:rsidR="00260A25" w:rsidRPr="00D11A8F" w:rsidRDefault="00260A25" w:rsidP="00D11A8F">
      <w:pPr>
        <w:spacing w:after="0" w:line="276" w:lineRule="auto"/>
        <w:jc w:val="both"/>
        <w:rPr>
          <w:rFonts w:cs="Times New Roman"/>
          <w:szCs w:val="24"/>
        </w:rPr>
      </w:pPr>
    </w:p>
    <w:p w14:paraId="4125BA19" w14:textId="6BB87496" w:rsidR="00B45791" w:rsidRPr="00D11A8F" w:rsidRDefault="00260A25" w:rsidP="00D11A8F">
      <w:pPr>
        <w:spacing w:after="0" w:line="276" w:lineRule="auto"/>
        <w:jc w:val="both"/>
        <w:rPr>
          <w:rFonts w:cs="Times New Roman"/>
          <w:szCs w:val="24"/>
        </w:rPr>
      </w:pPr>
      <w:r w:rsidRPr="00D11A8F">
        <w:rPr>
          <w:rFonts w:cs="Times New Roman"/>
          <w:szCs w:val="24"/>
        </w:rPr>
        <w:tab/>
      </w:r>
      <w:r w:rsidR="00B45791" w:rsidRPr="00D11A8F">
        <w:rPr>
          <w:rFonts w:cs="Times New Roman"/>
          <w:szCs w:val="24"/>
        </w:rPr>
        <w:t xml:space="preserve">Richard </w:t>
      </w:r>
      <w:r w:rsidRPr="00D11A8F">
        <w:rPr>
          <w:rFonts w:cs="Times New Roman"/>
          <w:szCs w:val="24"/>
        </w:rPr>
        <w:t>Martin has charted two key approaches</w:t>
      </w:r>
      <w:r w:rsidR="00B45791" w:rsidRPr="00D11A8F">
        <w:rPr>
          <w:rFonts w:cs="Times New Roman"/>
          <w:szCs w:val="24"/>
        </w:rPr>
        <w:t xml:space="preserve"> within the internal perspective</w:t>
      </w:r>
      <w:r w:rsidRPr="00D11A8F">
        <w:rPr>
          <w:rFonts w:cs="Times New Roman"/>
          <w:szCs w:val="24"/>
        </w:rPr>
        <w:t>.</w:t>
      </w:r>
      <w:r w:rsidRPr="00D11A8F">
        <w:rPr>
          <w:rStyle w:val="FootnoteReference"/>
          <w:szCs w:val="24"/>
        </w:rPr>
        <w:footnoteReference w:id="43"/>
      </w:r>
      <w:r w:rsidRPr="00D11A8F">
        <w:rPr>
          <w:rFonts w:cs="Times New Roman"/>
          <w:szCs w:val="24"/>
        </w:rPr>
        <w:t xml:space="preserve"> The first is that evident in Jerry Mashaw’s seminal work </w:t>
      </w:r>
      <w:r w:rsidRPr="00D11A8F">
        <w:rPr>
          <w:rFonts w:cs="Times New Roman"/>
          <w:i/>
          <w:iCs/>
          <w:szCs w:val="24"/>
        </w:rPr>
        <w:t>Bureaucratic Justice</w:t>
      </w:r>
      <w:r w:rsidRPr="00D11A8F">
        <w:rPr>
          <w:rFonts w:cs="Times New Roman"/>
          <w:szCs w:val="24"/>
        </w:rPr>
        <w:t xml:space="preserve">, the </w:t>
      </w:r>
      <w:r w:rsidR="0062735A" w:rsidRPr="00D11A8F">
        <w:rPr>
          <w:rFonts w:cs="Times New Roman"/>
          <w:szCs w:val="24"/>
        </w:rPr>
        <w:t>central approach</w:t>
      </w:r>
      <w:r w:rsidR="00B67CE5" w:rsidRPr="00D11A8F">
        <w:rPr>
          <w:rFonts w:cs="Times New Roman"/>
          <w:szCs w:val="24"/>
        </w:rPr>
        <w:t xml:space="preserve"> of which</w:t>
      </w:r>
      <w:r w:rsidR="0062735A" w:rsidRPr="00D11A8F">
        <w:rPr>
          <w:rFonts w:cs="Times New Roman"/>
          <w:szCs w:val="24"/>
        </w:rPr>
        <w:t xml:space="preserve"> is</w:t>
      </w:r>
      <w:r w:rsidRPr="00D11A8F">
        <w:rPr>
          <w:rFonts w:cs="Times New Roman"/>
          <w:szCs w:val="24"/>
        </w:rPr>
        <w:t xml:space="preserve"> to step back and ‘evaluate the system of administrative justice as a product of millions of frontline decisions.‘</w:t>
      </w:r>
      <w:r w:rsidR="00B67CE5" w:rsidRPr="00D11A8F">
        <w:rPr>
          <w:rStyle w:val="FootnoteReference"/>
          <w:szCs w:val="24"/>
        </w:rPr>
        <w:footnoteReference w:id="44"/>
      </w:r>
      <w:r w:rsidRPr="00D11A8F">
        <w:rPr>
          <w:rFonts w:cs="Times New Roman"/>
          <w:szCs w:val="24"/>
        </w:rPr>
        <w:t xml:space="preserve"> Mashaw’s </w:t>
      </w:r>
      <w:r w:rsidR="00B67CE5" w:rsidRPr="00D11A8F">
        <w:rPr>
          <w:rFonts w:cs="Times New Roman"/>
          <w:szCs w:val="24"/>
        </w:rPr>
        <w:t>text</w:t>
      </w:r>
      <w:r w:rsidRPr="00D11A8F">
        <w:rPr>
          <w:rFonts w:cs="Times New Roman"/>
          <w:i/>
          <w:iCs/>
          <w:szCs w:val="24"/>
        </w:rPr>
        <w:t xml:space="preserve"> </w:t>
      </w:r>
      <w:r w:rsidRPr="00D11A8F">
        <w:rPr>
          <w:rFonts w:cs="Times New Roman"/>
          <w:szCs w:val="24"/>
        </w:rPr>
        <w:t>uses extensive qualitative data relating to the American Disability Insurance scheme at its foundation</w:t>
      </w:r>
      <w:r w:rsidR="00B67CE5" w:rsidRPr="00D11A8F">
        <w:rPr>
          <w:rFonts w:cs="Times New Roman"/>
          <w:szCs w:val="24"/>
        </w:rPr>
        <w:t>, upon which he</w:t>
      </w:r>
      <w:r w:rsidRPr="00D11A8F">
        <w:rPr>
          <w:rFonts w:cs="Times New Roman"/>
          <w:szCs w:val="24"/>
        </w:rPr>
        <w:t xml:space="preserve"> </w:t>
      </w:r>
      <w:r w:rsidR="00B67CE5" w:rsidRPr="00D11A8F">
        <w:rPr>
          <w:rFonts w:cs="Times New Roman"/>
          <w:szCs w:val="24"/>
        </w:rPr>
        <w:t>builds</w:t>
      </w:r>
      <w:r w:rsidRPr="00D11A8F">
        <w:rPr>
          <w:rFonts w:cs="Times New Roman"/>
          <w:szCs w:val="24"/>
        </w:rPr>
        <w:t xml:space="preserve"> a conceptual analysis of ‘internal administrative law’ and three normative models of justice</w:t>
      </w:r>
      <w:r w:rsidR="0062735A" w:rsidRPr="00D11A8F">
        <w:rPr>
          <w:rFonts w:cs="Times New Roman"/>
          <w:szCs w:val="24"/>
        </w:rPr>
        <w:t>,</w:t>
      </w:r>
      <w:r w:rsidRPr="00D11A8F">
        <w:rPr>
          <w:rFonts w:cs="Times New Roman"/>
          <w:szCs w:val="24"/>
        </w:rPr>
        <w:t xml:space="preserve"> which</w:t>
      </w:r>
      <w:r w:rsidR="0062735A" w:rsidRPr="00D11A8F">
        <w:rPr>
          <w:rFonts w:cs="Times New Roman"/>
          <w:szCs w:val="24"/>
        </w:rPr>
        <w:t xml:space="preserve"> both</w:t>
      </w:r>
      <w:r w:rsidRPr="00D11A8F">
        <w:rPr>
          <w:rFonts w:cs="Times New Roman"/>
          <w:szCs w:val="24"/>
        </w:rPr>
        <w:t xml:space="preserve"> co-exist within administration and compete. Since Mashaw’s work, many studies of internal administrative law have taken the same or similar approaches, exploring and developing the three models of justice that Mashaw identified.</w:t>
      </w:r>
      <w:r w:rsidRPr="00D11A8F">
        <w:rPr>
          <w:rStyle w:val="FootnoteReference"/>
          <w:szCs w:val="24"/>
        </w:rPr>
        <w:footnoteReference w:id="45"/>
      </w:r>
      <w:r w:rsidRPr="00D11A8F">
        <w:rPr>
          <w:rFonts w:cs="Times New Roman"/>
          <w:szCs w:val="24"/>
        </w:rPr>
        <w:t xml:space="preserve"> Similarly, typologies of how officials apply </w:t>
      </w:r>
      <w:r w:rsidRPr="00D11A8F">
        <w:rPr>
          <w:rFonts w:cs="Times New Roman"/>
          <w:szCs w:val="24"/>
        </w:rPr>
        <w:lastRenderedPageBreak/>
        <w:t>rules</w:t>
      </w:r>
      <w:r w:rsidRPr="00D11A8F">
        <w:rPr>
          <w:rStyle w:val="FootnoteReference"/>
          <w:szCs w:val="24"/>
        </w:rPr>
        <w:footnoteReference w:id="46"/>
      </w:r>
      <w:r w:rsidRPr="00D11A8F">
        <w:rPr>
          <w:rFonts w:cs="Times New Roman"/>
          <w:szCs w:val="24"/>
        </w:rPr>
        <w:t xml:space="preserve"> and different decision-making cultures have been developed through this scholarly perspective.</w:t>
      </w:r>
      <w:r w:rsidRPr="00D11A8F">
        <w:rPr>
          <w:rStyle w:val="FootnoteReference"/>
          <w:szCs w:val="24"/>
        </w:rPr>
        <w:footnoteReference w:id="47"/>
      </w:r>
      <w:r w:rsidRPr="00D11A8F">
        <w:rPr>
          <w:rFonts w:cs="Times New Roman"/>
          <w:szCs w:val="24"/>
        </w:rPr>
        <w:t xml:space="preserve"> A second approach</w:t>
      </w:r>
      <w:r w:rsidR="00B67CE5" w:rsidRPr="00D11A8F">
        <w:rPr>
          <w:rFonts w:cs="Times New Roman"/>
          <w:szCs w:val="24"/>
        </w:rPr>
        <w:t xml:space="preserve"> Martin identifies</w:t>
      </w:r>
      <w:r w:rsidRPr="00D11A8F">
        <w:rPr>
          <w:rFonts w:cs="Times New Roman"/>
          <w:szCs w:val="24"/>
        </w:rPr>
        <w:t xml:space="preserve"> </w:t>
      </w:r>
      <w:r w:rsidR="00B67CE5" w:rsidRPr="00D11A8F">
        <w:rPr>
          <w:rFonts w:cs="Times New Roman"/>
          <w:szCs w:val="24"/>
        </w:rPr>
        <w:t xml:space="preserve">involves </w:t>
      </w:r>
      <w:r w:rsidR="00B45791" w:rsidRPr="00D11A8F">
        <w:rPr>
          <w:rFonts w:cs="Times New Roman"/>
          <w:szCs w:val="24"/>
        </w:rPr>
        <w:t>draw</w:t>
      </w:r>
      <w:r w:rsidR="00B67CE5" w:rsidRPr="00D11A8F">
        <w:rPr>
          <w:rFonts w:cs="Times New Roman"/>
          <w:szCs w:val="24"/>
        </w:rPr>
        <w:t>ing</w:t>
      </w:r>
      <w:r w:rsidR="00B45791" w:rsidRPr="00D11A8F">
        <w:rPr>
          <w:rFonts w:cs="Times New Roman"/>
          <w:szCs w:val="24"/>
        </w:rPr>
        <w:t xml:space="preserve"> connections between macro-level social, political, and economic trends and </w:t>
      </w:r>
      <w:r w:rsidR="00B67CE5" w:rsidRPr="00D11A8F">
        <w:rPr>
          <w:rFonts w:cs="Times New Roman"/>
          <w:szCs w:val="24"/>
        </w:rPr>
        <w:t>their</w:t>
      </w:r>
      <w:r w:rsidR="00B45791" w:rsidRPr="00D11A8F">
        <w:rPr>
          <w:rFonts w:cs="Times New Roman"/>
          <w:szCs w:val="24"/>
        </w:rPr>
        <w:t xml:space="preserve"> </w:t>
      </w:r>
      <w:r w:rsidR="00B67CE5" w:rsidRPr="00D11A8F">
        <w:rPr>
          <w:rFonts w:cs="Times New Roman"/>
          <w:szCs w:val="24"/>
        </w:rPr>
        <w:t>impact</w:t>
      </w:r>
      <w:r w:rsidR="00B45791" w:rsidRPr="00D11A8F">
        <w:rPr>
          <w:rFonts w:cs="Times New Roman"/>
          <w:szCs w:val="24"/>
        </w:rPr>
        <w:t xml:space="preserve"> on</w:t>
      </w:r>
      <w:r w:rsidR="00B67CE5" w:rsidRPr="00D11A8F">
        <w:rPr>
          <w:rFonts w:cs="Times New Roman"/>
          <w:szCs w:val="24"/>
        </w:rPr>
        <w:t xml:space="preserve"> the relationship between</w:t>
      </w:r>
      <w:r w:rsidR="00B45791" w:rsidRPr="00D11A8F">
        <w:rPr>
          <w:rFonts w:cs="Times New Roman"/>
          <w:szCs w:val="24"/>
        </w:rPr>
        <w:t xml:space="preserve"> public law </w:t>
      </w:r>
      <w:r w:rsidR="00B67CE5" w:rsidRPr="00D11A8F">
        <w:rPr>
          <w:rFonts w:cs="Times New Roman"/>
          <w:szCs w:val="24"/>
        </w:rPr>
        <w:t>and</w:t>
      </w:r>
      <w:r w:rsidR="00B45791" w:rsidRPr="00D11A8F">
        <w:rPr>
          <w:rFonts w:cs="Times New Roman"/>
          <w:szCs w:val="24"/>
        </w:rPr>
        <w:t xml:space="preserve"> the administrative state. For instance, work of this kind in recent decades in the UK has focused on the rise of New Public Management</w:t>
      </w:r>
      <w:r w:rsidR="00B45791" w:rsidRPr="00D11A8F">
        <w:rPr>
          <w:rStyle w:val="FootnoteReference"/>
          <w:szCs w:val="24"/>
        </w:rPr>
        <w:footnoteReference w:id="48"/>
      </w:r>
      <w:r w:rsidR="00B45791" w:rsidRPr="00D11A8F">
        <w:rPr>
          <w:rFonts w:cs="Times New Roman"/>
          <w:szCs w:val="24"/>
        </w:rPr>
        <w:t xml:space="preserve"> and automation</w:t>
      </w:r>
      <w:r w:rsidR="0062735A" w:rsidRPr="00D11A8F">
        <w:rPr>
          <w:rFonts w:cs="Times New Roman"/>
          <w:szCs w:val="24"/>
        </w:rPr>
        <w:t xml:space="preserve"> within the public sector</w:t>
      </w:r>
      <w:r w:rsidR="00B45791" w:rsidRPr="00D11A8F">
        <w:rPr>
          <w:rFonts w:cs="Times New Roman"/>
          <w:szCs w:val="24"/>
        </w:rPr>
        <w:t>.</w:t>
      </w:r>
      <w:r w:rsidR="00B45791" w:rsidRPr="00D11A8F">
        <w:rPr>
          <w:rStyle w:val="FootnoteReference"/>
          <w:szCs w:val="24"/>
        </w:rPr>
        <w:footnoteReference w:id="49"/>
      </w:r>
      <w:r w:rsidR="00B45791" w:rsidRPr="00D11A8F">
        <w:rPr>
          <w:rFonts w:cs="Times New Roman"/>
          <w:szCs w:val="24"/>
        </w:rPr>
        <w:t xml:space="preserve"> The focus </w:t>
      </w:r>
      <w:r w:rsidR="00B67CE5" w:rsidRPr="00D11A8F">
        <w:rPr>
          <w:rFonts w:cs="Times New Roman"/>
          <w:szCs w:val="24"/>
        </w:rPr>
        <w:t>of such research</w:t>
      </w:r>
      <w:r w:rsidR="00B45791" w:rsidRPr="00D11A8F">
        <w:rPr>
          <w:rFonts w:cs="Times New Roman"/>
          <w:szCs w:val="24"/>
        </w:rPr>
        <w:t xml:space="preserve"> tends to be legislation, policy changes, and changes in systems of decision-making and redress.</w:t>
      </w:r>
    </w:p>
    <w:p w14:paraId="1455F05F" w14:textId="3FF31D4A" w:rsidR="001F052B" w:rsidRPr="00D11A8F" w:rsidRDefault="001F052B" w:rsidP="00D11A8F">
      <w:pPr>
        <w:spacing w:after="0" w:line="276" w:lineRule="auto"/>
        <w:jc w:val="both"/>
        <w:rPr>
          <w:rFonts w:cs="Times New Roman"/>
          <w:szCs w:val="24"/>
        </w:rPr>
      </w:pPr>
    </w:p>
    <w:p w14:paraId="44E3651F" w14:textId="71CED205" w:rsidR="00B32F78" w:rsidRPr="00D11A8F" w:rsidRDefault="001F052B" w:rsidP="00D11A8F">
      <w:pPr>
        <w:spacing w:after="0" w:line="276" w:lineRule="auto"/>
        <w:jc w:val="both"/>
        <w:rPr>
          <w:rFonts w:cs="Times New Roman"/>
          <w:szCs w:val="24"/>
        </w:rPr>
      </w:pPr>
      <w:r w:rsidRPr="00D11A8F">
        <w:rPr>
          <w:rFonts w:cs="Times New Roman"/>
          <w:szCs w:val="24"/>
        </w:rPr>
        <w:tab/>
        <w:t>While not all studies of from the internal perspective have empirical components, the nature of the</w:t>
      </w:r>
      <w:r w:rsidR="00B67CE5" w:rsidRPr="00D11A8F">
        <w:rPr>
          <w:rFonts w:cs="Times New Roman"/>
          <w:szCs w:val="24"/>
        </w:rPr>
        <w:t xml:space="preserve">ir focus </w:t>
      </w:r>
      <w:r w:rsidRPr="00D11A8F">
        <w:rPr>
          <w:rFonts w:cs="Times New Roman"/>
          <w:szCs w:val="24"/>
        </w:rPr>
        <w:t>is</w:t>
      </w:r>
      <w:r w:rsidR="0062735A" w:rsidRPr="00D11A8F">
        <w:rPr>
          <w:rFonts w:cs="Times New Roman"/>
          <w:szCs w:val="24"/>
        </w:rPr>
        <w:t xml:space="preserve"> such</w:t>
      </w:r>
      <w:r w:rsidRPr="00D11A8F">
        <w:rPr>
          <w:rFonts w:cs="Times New Roman"/>
          <w:szCs w:val="24"/>
        </w:rPr>
        <w:t xml:space="preserve"> that empirical work is common and, even where it is not undertaken, </w:t>
      </w:r>
      <w:r w:rsidR="00B67CE5" w:rsidRPr="00D11A8F">
        <w:rPr>
          <w:rFonts w:cs="Times New Roman"/>
          <w:szCs w:val="24"/>
        </w:rPr>
        <w:t>empirical research and data</w:t>
      </w:r>
      <w:r w:rsidRPr="00D11A8F">
        <w:rPr>
          <w:rFonts w:cs="Times New Roman"/>
          <w:szCs w:val="24"/>
        </w:rPr>
        <w:t xml:space="preserve"> is often emphasised</w:t>
      </w:r>
      <w:r w:rsidR="00B67CE5" w:rsidRPr="00D11A8F">
        <w:rPr>
          <w:rFonts w:cs="Times New Roman"/>
          <w:szCs w:val="24"/>
        </w:rPr>
        <w:t xml:space="preserve"> (so too is where such data is lacking or absent)</w:t>
      </w:r>
      <w:r w:rsidRPr="00D11A8F">
        <w:rPr>
          <w:rFonts w:cs="Times New Roman"/>
          <w:szCs w:val="24"/>
        </w:rPr>
        <w:t xml:space="preserve">. Equally, the primary materials produced by state institutions—policies, reports, audits </w:t>
      </w:r>
      <w:r w:rsidRPr="00D11A8F">
        <w:rPr>
          <w:rFonts w:cs="Times New Roman"/>
          <w:i/>
          <w:iCs/>
          <w:szCs w:val="24"/>
        </w:rPr>
        <w:t>etc.</w:t>
      </w:r>
      <w:r w:rsidRPr="00D11A8F">
        <w:rPr>
          <w:rFonts w:cs="Times New Roman"/>
          <w:szCs w:val="24"/>
        </w:rPr>
        <w:t xml:space="preserve">—are often also given a central role in </w:t>
      </w:r>
      <w:r w:rsidR="00B67CE5" w:rsidRPr="00D11A8F">
        <w:rPr>
          <w:rFonts w:cs="Times New Roman"/>
          <w:szCs w:val="24"/>
        </w:rPr>
        <w:t xml:space="preserve">this </w:t>
      </w:r>
      <w:proofErr w:type="gramStart"/>
      <w:r w:rsidR="00B67CE5" w:rsidRPr="00D11A8F">
        <w:rPr>
          <w:rFonts w:cs="Times New Roman"/>
          <w:szCs w:val="24"/>
        </w:rPr>
        <w:t>type</w:t>
      </w:r>
      <w:proofErr w:type="gramEnd"/>
      <w:r w:rsidR="00B67CE5" w:rsidRPr="00D11A8F">
        <w:rPr>
          <w:rFonts w:cs="Times New Roman"/>
          <w:szCs w:val="24"/>
        </w:rPr>
        <w:t xml:space="preserve"> research</w:t>
      </w:r>
      <w:r w:rsidR="0062735A" w:rsidRPr="00D11A8F">
        <w:rPr>
          <w:rFonts w:cs="Times New Roman"/>
          <w:szCs w:val="24"/>
        </w:rPr>
        <w:t>, alongside more traditional legal sources such as cases and legislation</w:t>
      </w:r>
      <w:r w:rsidRPr="00D11A8F">
        <w:rPr>
          <w:rFonts w:cs="Times New Roman"/>
          <w:szCs w:val="24"/>
        </w:rPr>
        <w:t xml:space="preserve">. Another feature of the internal perspective is that it shares multiple </w:t>
      </w:r>
      <w:r w:rsidR="00B67CE5" w:rsidRPr="00D11A8F">
        <w:rPr>
          <w:rFonts w:cs="Times New Roman"/>
          <w:szCs w:val="24"/>
        </w:rPr>
        <w:t>obvious interfaces</w:t>
      </w:r>
      <w:r w:rsidRPr="00D11A8F">
        <w:rPr>
          <w:rFonts w:cs="Times New Roman"/>
          <w:szCs w:val="24"/>
        </w:rPr>
        <w:t xml:space="preserve"> with other disciplines, such as public administration, social policy, and social science. </w:t>
      </w:r>
      <w:r w:rsidR="0062735A" w:rsidRPr="00D11A8F">
        <w:rPr>
          <w:rFonts w:cs="Times New Roman"/>
          <w:szCs w:val="24"/>
        </w:rPr>
        <w:t>S</w:t>
      </w:r>
      <w:r w:rsidR="00B32F78" w:rsidRPr="00D11A8F">
        <w:rPr>
          <w:rFonts w:cs="Times New Roman"/>
          <w:szCs w:val="24"/>
        </w:rPr>
        <w:t xml:space="preserve">cholarship </w:t>
      </w:r>
      <w:r w:rsidR="0062735A" w:rsidRPr="00D11A8F">
        <w:rPr>
          <w:rFonts w:cs="Times New Roman"/>
          <w:szCs w:val="24"/>
        </w:rPr>
        <w:t xml:space="preserve">from this perspective </w:t>
      </w:r>
      <w:r w:rsidR="00B32F78" w:rsidRPr="00D11A8F">
        <w:rPr>
          <w:rFonts w:cs="Times New Roman"/>
          <w:szCs w:val="24"/>
        </w:rPr>
        <w:t xml:space="preserve">tends </w:t>
      </w:r>
      <w:r w:rsidR="0062735A" w:rsidRPr="00D11A8F">
        <w:rPr>
          <w:rFonts w:cs="Times New Roman"/>
          <w:szCs w:val="24"/>
        </w:rPr>
        <w:t xml:space="preserve">to </w:t>
      </w:r>
      <w:r w:rsidR="00B32F78" w:rsidRPr="00D11A8F">
        <w:rPr>
          <w:rFonts w:cs="Times New Roman"/>
          <w:szCs w:val="24"/>
        </w:rPr>
        <w:t>engage with studies from those other discipline</w:t>
      </w:r>
      <w:r w:rsidR="00B67CE5" w:rsidRPr="00D11A8F">
        <w:rPr>
          <w:rFonts w:cs="Times New Roman"/>
          <w:szCs w:val="24"/>
        </w:rPr>
        <w:t>s</w:t>
      </w:r>
      <w:r w:rsidR="0062735A" w:rsidRPr="00D11A8F">
        <w:rPr>
          <w:rFonts w:cs="Times New Roman"/>
          <w:szCs w:val="24"/>
        </w:rPr>
        <w:t xml:space="preserve">, </w:t>
      </w:r>
      <w:r w:rsidR="00225287" w:rsidRPr="00D11A8F">
        <w:rPr>
          <w:rFonts w:cs="Times New Roman"/>
          <w:szCs w:val="24"/>
        </w:rPr>
        <w:t>even those such studies</w:t>
      </w:r>
      <w:r w:rsidR="0062735A" w:rsidRPr="00D11A8F">
        <w:rPr>
          <w:rFonts w:cs="Times New Roman"/>
          <w:szCs w:val="24"/>
        </w:rPr>
        <w:t xml:space="preserve"> do not often foreground </w:t>
      </w:r>
      <w:r w:rsidR="00225287" w:rsidRPr="00D11A8F">
        <w:rPr>
          <w:rFonts w:cs="Times New Roman"/>
          <w:szCs w:val="24"/>
        </w:rPr>
        <w:t xml:space="preserve">the role of </w:t>
      </w:r>
      <w:r w:rsidR="0062735A" w:rsidRPr="00D11A8F">
        <w:rPr>
          <w:rFonts w:cs="Times New Roman"/>
          <w:szCs w:val="24"/>
        </w:rPr>
        <w:t>law</w:t>
      </w:r>
      <w:r w:rsidR="00B32F78" w:rsidRPr="00D11A8F">
        <w:rPr>
          <w:rFonts w:cs="Times New Roman"/>
          <w:szCs w:val="24"/>
        </w:rPr>
        <w:t xml:space="preserve">. A prominent example is </w:t>
      </w:r>
      <w:r w:rsidR="0062735A" w:rsidRPr="00D11A8F">
        <w:rPr>
          <w:rFonts w:cs="Times New Roman"/>
          <w:szCs w:val="24"/>
        </w:rPr>
        <w:t xml:space="preserve">Michael </w:t>
      </w:r>
      <w:r w:rsidR="00B45791" w:rsidRPr="00D11A8F">
        <w:rPr>
          <w:rFonts w:cs="Times New Roman"/>
          <w:szCs w:val="24"/>
        </w:rPr>
        <w:t xml:space="preserve">Lipsky’s </w:t>
      </w:r>
      <w:r w:rsidR="00B45791" w:rsidRPr="00D11A8F">
        <w:rPr>
          <w:rFonts w:cs="Times New Roman"/>
          <w:i/>
          <w:iCs/>
          <w:szCs w:val="24"/>
        </w:rPr>
        <w:t>Street Level Bureaucracy</w:t>
      </w:r>
      <w:r w:rsidR="00B32F78" w:rsidRPr="00D11A8F">
        <w:rPr>
          <w:rFonts w:cs="Times New Roman"/>
          <w:i/>
          <w:iCs/>
          <w:szCs w:val="24"/>
        </w:rPr>
        <w:t xml:space="preserve">, </w:t>
      </w:r>
      <w:r w:rsidR="00B32F78" w:rsidRPr="00D11A8F">
        <w:rPr>
          <w:rFonts w:cs="Times New Roman"/>
          <w:szCs w:val="24"/>
        </w:rPr>
        <w:t xml:space="preserve">which has given </w:t>
      </w:r>
      <w:r w:rsidR="0062735A" w:rsidRPr="00D11A8F">
        <w:rPr>
          <w:rFonts w:cs="Times New Roman"/>
          <w:szCs w:val="24"/>
        </w:rPr>
        <w:t>rise</w:t>
      </w:r>
      <w:r w:rsidR="00B32F78" w:rsidRPr="00D11A8F">
        <w:rPr>
          <w:rFonts w:cs="Times New Roman"/>
          <w:szCs w:val="24"/>
        </w:rPr>
        <w:t xml:space="preserve"> to a </w:t>
      </w:r>
      <w:r w:rsidR="0062735A" w:rsidRPr="00D11A8F">
        <w:rPr>
          <w:rFonts w:cs="Times New Roman"/>
          <w:szCs w:val="24"/>
        </w:rPr>
        <w:t>wide range</w:t>
      </w:r>
      <w:r w:rsidR="00B32F78" w:rsidRPr="00D11A8F">
        <w:rPr>
          <w:rFonts w:cs="Times New Roman"/>
          <w:szCs w:val="24"/>
        </w:rPr>
        <w:t xml:space="preserve"> of studies devoted to </w:t>
      </w:r>
      <w:r w:rsidR="00225287" w:rsidRPr="00D11A8F">
        <w:rPr>
          <w:rFonts w:cs="Times New Roman"/>
          <w:szCs w:val="24"/>
        </w:rPr>
        <w:t>‘</w:t>
      </w:r>
      <w:r w:rsidR="0062735A" w:rsidRPr="00D11A8F">
        <w:rPr>
          <w:rFonts w:cs="Times New Roman"/>
          <w:szCs w:val="24"/>
        </w:rPr>
        <w:t>street level</w:t>
      </w:r>
      <w:r w:rsidR="00225287" w:rsidRPr="00D11A8F">
        <w:rPr>
          <w:rFonts w:cs="Times New Roman"/>
          <w:szCs w:val="24"/>
        </w:rPr>
        <w:t>’</w:t>
      </w:r>
      <w:r w:rsidR="0062735A" w:rsidRPr="00D11A8F">
        <w:rPr>
          <w:rFonts w:cs="Times New Roman"/>
          <w:szCs w:val="24"/>
        </w:rPr>
        <w:t xml:space="preserve"> bureaucrats—a literature that </w:t>
      </w:r>
      <w:r w:rsidR="00B32F78" w:rsidRPr="00D11A8F">
        <w:rPr>
          <w:rFonts w:cs="Times New Roman"/>
          <w:szCs w:val="24"/>
        </w:rPr>
        <w:t>features contributions from those interested in public policy, public management, political theory, and administration, social policy, and a range of other fields.</w:t>
      </w:r>
      <w:r w:rsidR="00B32F78" w:rsidRPr="00D11A8F">
        <w:rPr>
          <w:rStyle w:val="FootnoteReference"/>
          <w:szCs w:val="24"/>
        </w:rPr>
        <w:footnoteReference w:id="50"/>
      </w:r>
      <w:r w:rsidR="00B32F78" w:rsidRPr="00D11A8F">
        <w:rPr>
          <w:rFonts w:cs="Times New Roman"/>
          <w:szCs w:val="24"/>
        </w:rPr>
        <w:t xml:space="preserve"> Such </w:t>
      </w:r>
      <w:r w:rsidR="00225287" w:rsidRPr="00D11A8F">
        <w:rPr>
          <w:rFonts w:cs="Times New Roman"/>
          <w:szCs w:val="24"/>
        </w:rPr>
        <w:t>work</w:t>
      </w:r>
      <w:r w:rsidR="00B32F78" w:rsidRPr="00D11A8F">
        <w:rPr>
          <w:rFonts w:cs="Times New Roman"/>
          <w:szCs w:val="24"/>
        </w:rPr>
        <w:t xml:space="preserve"> naturally appeal</w:t>
      </w:r>
      <w:r w:rsidR="00225287" w:rsidRPr="00D11A8F">
        <w:rPr>
          <w:rFonts w:cs="Times New Roman"/>
          <w:szCs w:val="24"/>
        </w:rPr>
        <w:t>s</w:t>
      </w:r>
      <w:r w:rsidR="00B32F78" w:rsidRPr="00D11A8F">
        <w:rPr>
          <w:rFonts w:cs="Times New Roman"/>
          <w:szCs w:val="24"/>
        </w:rPr>
        <w:t xml:space="preserve"> to</w:t>
      </w:r>
      <w:r w:rsidR="00225287" w:rsidRPr="00D11A8F">
        <w:rPr>
          <w:rFonts w:cs="Times New Roman"/>
          <w:szCs w:val="24"/>
        </w:rPr>
        <w:t xml:space="preserve"> public law</w:t>
      </w:r>
      <w:r w:rsidR="00B32F78" w:rsidRPr="00D11A8F">
        <w:rPr>
          <w:rFonts w:cs="Times New Roman"/>
          <w:szCs w:val="24"/>
        </w:rPr>
        <w:t xml:space="preserve"> scholars adopting the internal perspective </w:t>
      </w:r>
      <w:r w:rsidR="006C4B36" w:rsidRPr="00D11A8F">
        <w:rPr>
          <w:rFonts w:cs="Times New Roman"/>
          <w:szCs w:val="24"/>
        </w:rPr>
        <w:t>as they</w:t>
      </w:r>
      <w:r w:rsidR="00B32F78" w:rsidRPr="00D11A8F">
        <w:rPr>
          <w:rFonts w:cs="Times New Roman"/>
          <w:szCs w:val="24"/>
        </w:rPr>
        <w:t xml:space="preserve"> </w:t>
      </w:r>
      <w:r w:rsidR="006C4B36" w:rsidRPr="00D11A8F">
        <w:rPr>
          <w:rFonts w:cs="Times New Roman"/>
          <w:szCs w:val="24"/>
        </w:rPr>
        <w:t>illustrate</w:t>
      </w:r>
      <w:r w:rsidR="00B32F78" w:rsidRPr="00D11A8F">
        <w:rPr>
          <w:rFonts w:cs="Times New Roman"/>
          <w:szCs w:val="24"/>
        </w:rPr>
        <w:t xml:space="preserve"> the</w:t>
      </w:r>
      <w:r w:rsidR="006C4B36" w:rsidRPr="00D11A8F">
        <w:rPr>
          <w:rFonts w:cs="Times New Roman"/>
          <w:szCs w:val="24"/>
        </w:rPr>
        <w:t xml:space="preserve"> gritty</w:t>
      </w:r>
      <w:r w:rsidR="00B32F78" w:rsidRPr="00D11A8F">
        <w:rPr>
          <w:rFonts w:cs="Times New Roman"/>
          <w:szCs w:val="24"/>
        </w:rPr>
        <w:t xml:space="preserve"> world of administration </w:t>
      </w:r>
      <w:r w:rsidR="006C4B36" w:rsidRPr="00D11A8F">
        <w:rPr>
          <w:rFonts w:cs="Times New Roman"/>
          <w:szCs w:val="24"/>
        </w:rPr>
        <w:t xml:space="preserve">that </w:t>
      </w:r>
      <w:r w:rsidR="00225287" w:rsidRPr="00D11A8F">
        <w:rPr>
          <w:rFonts w:cs="Times New Roman"/>
          <w:szCs w:val="24"/>
        </w:rPr>
        <w:t>they</w:t>
      </w:r>
      <w:r w:rsidR="00B32F78" w:rsidRPr="00D11A8F">
        <w:rPr>
          <w:rFonts w:cs="Times New Roman"/>
          <w:szCs w:val="24"/>
        </w:rPr>
        <w:t xml:space="preserve"> are so keen to integrate into their analysis of</w:t>
      </w:r>
      <w:r w:rsidR="00D11A8F" w:rsidRPr="00D11A8F">
        <w:rPr>
          <w:rFonts w:cs="Times New Roman"/>
          <w:szCs w:val="24"/>
        </w:rPr>
        <w:t xml:space="preserve"> the role</w:t>
      </w:r>
      <w:r w:rsidR="00B32F78" w:rsidRPr="00D11A8F">
        <w:rPr>
          <w:rFonts w:cs="Times New Roman"/>
          <w:szCs w:val="24"/>
        </w:rPr>
        <w:t xml:space="preserve"> public law</w:t>
      </w:r>
      <w:r w:rsidR="00D11A8F" w:rsidRPr="00D11A8F">
        <w:rPr>
          <w:rFonts w:cs="Times New Roman"/>
          <w:szCs w:val="24"/>
        </w:rPr>
        <w:t xml:space="preserve"> in the administrative</w:t>
      </w:r>
      <w:r w:rsidR="006C4B36" w:rsidRPr="00D11A8F">
        <w:rPr>
          <w:rFonts w:cs="Times New Roman"/>
          <w:szCs w:val="24"/>
        </w:rPr>
        <w:t>.</w:t>
      </w:r>
    </w:p>
    <w:p w14:paraId="4A427FB1" w14:textId="3F4ED5D4" w:rsidR="00B32F78" w:rsidRPr="00D11A8F" w:rsidRDefault="00B32F78" w:rsidP="00D11A8F">
      <w:pPr>
        <w:spacing w:after="0" w:line="276" w:lineRule="auto"/>
        <w:jc w:val="both"/>
        <w:rPr>
          <w:rFonts w:cs="Times New Roman"/>
          <w:szCs w:val="24"/>
        </w:rPr>
      </w:pPr>
      <w:r w:rsidRPr="00D11A8F">
        <w:rPr>
          <w:rFonts w:cs="Times New Roman"/>
          <w:szCs w:val="24"/>
        </w:rPr>
        <w:t xml:space="preserve"> </w:t>
      </w:r>
    </w:p>
    <w:p w14:paraId="0E168DFA" w14:textId="11685D9C" w:rsidR="009C3A61" w:rsidRPr="00D11A8F" w:rsidRDefault="00B32F78" w:rsidP="00D11A8F">
      <w:pPr>
        <w:spacing w:after="0" w:line="276" w:lineRule="auto"/>
        <w:jc w:val="both"/>
        <w:rPr>
          <w:rFonts w:cs="Times New Roman"/>
          <w:szCs w:val="24"/>
        </w:rPr>
      </w:pPr>
      <w:r w:rsidRPr="00D11A8F">
        <w:rPr>
          <w:rFonts w:cs="Times New Roman"/>
          <w:szCs w:val="24"/>
        </w:rPr>
        <w:tab/>
        <w:t>Scholars of the internal perspective</w:t>
      </w:r>
      <w:r w:rsidR="006C4B36" w:rsidRPr="00D11A8F">
        <w:rPr>
          <w:rFonts w:cs="Times New Roman"/>
          <w:szCs w:val="24"/>
        </w:rPr>
        <w:t xml:space="preserve"> may often appear to be focusing on the routine (or even the banal) parts of the</w:t>
      </w:r>
      <w:r w:rsidR="00225287" w:rsidRPr="00D11A8F">
        <w:rPr>
          <w:rFonts w:cs="Times New Roman"/>
          <w:szCs w:val="24"/>
        </w:rPr>
        <w:t xml:space="preserve"> administrative</w:t>
      </w:r>
      <w:r w:rsidR="006C4B36" w:rsidRPr="00D11A8F">
        <w:rPr>
          <w:rFonts w:cs="Times New Roman"/>
          <w:szCs w:val="24"/>
        </w:rPr>
        <w:t xml:space="preserve"> state, b</w:t>
      </w:r>
      <w:r w:rsidRPr="00D11A8F">
        <w:rPr>
          <w:rFonts w:cs="Times New Roman"/>
          <w:szCs w:val="24"/>
        </w:rPr>
        <w:t xml:space="preserve">ut it </w:t>
      </w:r>
      <w:r w:rsidR="00225287" w:rsidRPr="00D11A8F">
        <w:rPr>
          <w:rFonts w:cs="Times New Roman"/>
          <w:szCs w:val="24"/>
        </w:rPr>
        <w:t>is often</w:t>
      </w:r>
      <w:r w:rsidRPr="00D11A8F">
        <w:rPr>
          <w:rFonts w:cs="Times New Roman"/>
          <w:szCs w:val="24"/>
        </w:rPr>
        <w:t xml:space="preserve"> a key part of </w:t>
      </w:r>
      <w:r w:rsidR="00225287" w:rsidRPr="00D11A8F">
        <w:rPr>
          <w:rFonts w:cs="Times New Roman"/>
          <w:szCs w:val="24"/>
        </w:rPr>
        <w:t>scholarship</w:t>
      </w:r>
      <w:r w:rsidR="009C3A61" w:rsidRPr="00D11A8F">
        <w:rPr>
          <w:rFonts w:cs="Times New Roman"/>
          <w:szCs w:val="24"/>
        </w:rPr>
        <w:t xml:space="preserve"> </w:t>
      </w:r>
      <w:r w:rsidR="006C4B36" w:rsidRPr="00D11A8F">
        <w:rPr>
          <w:rFonts w:cs="Times New Roman"/>
          <w:szCs w:val="24"/>
        </w:rPr>
        <w:t>from the</w:t>
      </w:r>
      <w:r w:rsidR="009C3A61" w:rsidRPr="00D11A8F">
        <w:rPr>
          <w:rFonts w:cs="Times New Roman"/>
          <w:szCs w:val="24"/>
        </w:rPr>
        <w:t xml:space="preserve"> internal perspective </w:t>
      </w:r>
      <w:r w:rsidRPr="00D11A8F">
        <w:rPr>
          <w:rFonts w:cs="Times New Roman"/>
          <w:szCs w:val="24"/>
        </w:rPr>
        <w:t xml:space="preserve">to </w:t>
      </w:r>
      <w:r w:rsidR="006C4B36" w:rsidRPr="00D11A8F">
        <w:rPr>
          <w:rFonts w:cs="Times New Roman"/>
          <w:szCs w:val="24"/>
        </w:rPr>
        <w:t xml:space="preserve">seek to </w:t>
      </w:r>
      <w:r w:rsidR="00EE3136" w:rsidRPr="00D11A8F">
        <w:rPr>
          <w:rFonts w:cs="Times New Roman"/>
          <w:szCs w:val="24"/>
        </w:rPr>
        <w:t xml:space="preserve">address questions of </w:t>
      </w:r>
      <w:r w:rsidR="006C4B36" w:rsidRPr="00D11A8F">
        <w:rPr>
          <w:rFonts w:cs="Times New Roman"/>
          <w:szCs w:val="24"/>
        </w:rPr>
        <w:t xml:space="preserve">general </w:t>
      </w:r>
      <w:r w:rsidR="00EE3136" w:rsidRPr="00D11A8F">
        <w:rPr>
          <w:rFonts w:cs="Times New Roman"/>
          <w:szCs w:val="24"/>
        </w:rPr>
        <w:t>constitutional and legal significance armed with a rich</w:t>
      </w:r>
      <w:r w:rsidR="006C4B36" w:rsidRPr="00D11A8F">
        <w:rPr>
          <w:rFonts w:cs="Times New Roman"/>
          <w:szCs w:val="24"/>
        </w:rPr>
        <w:t>er</w:t>
      </w:r>
      <w:r w:rsidR="00EE3136" w:rsidRPr="00D11A8F">
        <w:rPr>
          <w:rFonts w:cs="Times New Roman"/>
          <w:szCs w:val="24"/>
        </w:rPr>
        <w:t xml:space="preserve"> understanding of how the administrative state </w:t>
      </w:r>
      <w:r w:rsidR="00D11A8F" w:rsidRPr="00D11A8F">
        <w:rPr>
          <w:rFonts w:cs="Times New Roman"/>
          <w:szCs w:val="24"/>
        </w:rPr>
        <w:t xml:space="preserve">operates </w:t>
      </w:r>
      <w:r w:rsidR="00225287" w:rsidRPr="00D11A8F">
        <w:rPr>
          <w:rFonts w:cs="Times New Roman"/>
          <w:szCs w:val="24"/>
        </w:rPr>
        <w:t>day to day</w:t>
      </w:r>
      <w:r w:rsidRPr="00D11A8F">
        <w:rPr>
          <w:rFonts w:cs="Times New Roman"/>
          <w:szCs w:val="24"/>
        </w:rPr>
        <w:t>.</w:t>
      </w:r>
      <w:r w:rsidR="009C3A61" w:rsidRPr="00D11A8F">
        <w:rPr>
          <w:rFonts w:cs="Times New Roman"/>
          <w:szCs w:val="24"/>
        </w:rPr>
        <w:t xml:space="preserve"> This </w:t>
      </w:r>
      <w:r w:rsidR="00225287" w:rsidRPr="00D11A8F">
        <w:rPr>
          <w:rFonts w:cs="Times New Roman"/>
          <w:szCs w:val="24"/>
        </w:rPr>
        <w:t>aspect of the internal perspective</w:t>
      </w:r>
      <w:r w:rsidR="009C3A61" w:rsidRPr="00D11A8F">
        <w:rPr>
          <w:rFonts w:cs="Times New Roman"/>
          <w:szCs w:val="24"/>
        </w:rPr>
        <w:t xml:space="preserve"> </w:t>
      </w:r>
      <w:r w:rsidR="00225287" w:rsidRPr="00D11A8F">
        <w:rPr>
          <w:rFonts w:cs="Times New Roman"/>
          <w:szCs w:val="24"/>
        </w:rPr>
        <w:t>is</w:t>
      </w:r>
      <w:r w:rsidR="009C3A61" w:rsidRPr="00D11A8F">
        <w:rPr>
          <w:rFonts w:cs="Times New Roman"/>
          <w:szCs w:val="24"/>
        </w:rPr>
        <w:t xml:space="preserve"> captured by Griffith and Street</w:t>
      </w:r>
      <w:r w:rsidR="006C4B36" w:rsidRPr="00D11A8F">
        <w:rPr>
          <w:rFonts w:cs="Times New Roman"/>
          <w:szCs w:val="24"/>
        </w:rPr>
        <w:t>,</w:t>
      </w:r>
      <w:r w:rsidR="009C3A61" w:rsidRPr="00D11A8F">
        <w:rPr>
          <w:rFonts w:cs="Times New Roman"/>
          <w:szCs w:val="24"/>
        </w:rPr>
        <w:t xml:space="preserve"> in one of the </w:t>
      </w:r>
      <w:r w:rsidR="009C3A61" w:rsidRPr="00D11A8F">
        <w:rPr>
          <w:rFonts w:cs="Times New Roman"/>
          <w:szCs w:val="24"/>
        </w:rPr>
        <w:lastRenderedPageBreak/>
        <w:t>earliest UK textbooks on</w:t>
      </w:r>
      <w:r w:rsidR="00225287" w:rsidRPr="00D11A8F">
        <w:rPr>
          <w:rFonts w:cs="Times New Roman"/>
          <w:szCs w:val="24"/>
        </w:rPr>
        <w:t xml:space="preserve"> English</w:t>
      </w:r>
      <w:r w:rsidR="009C3A61" w:rsidRPr="00D11A8F">
        <w:rPr>
          <w:rFonts w:cs="Times New Roman"/>
          <w:szCs w:val="24"/>
        </w:rPr>
        <w:t xml:space="preserve"> administrative law, </w:t>
      </w:r>
      <w:r w:rsidR="006C4B36" w:rsidRPr="00D11A8F">
        <w:rPr>
          <w:rFonts w:cs="Times New Roman"/>
          <w:szCs w:val="24"/>
        </w:rPr>
        <w:t>when</w:t>
      </w:r>
      <w:r w:rsidR="009C3A61" w:rsidRPr="00D11A8F">
        <w:rPr>
          <w:rFonts w:cs="Times New Roman"/>
          <w:szCs w:val="24"/>
        </w:rPr>
        <w:t xml:space="preserve"> they explained that any analysis based on a limited: </w:t>
      </w:r>
    </w:p>
    <w:p w14:paraId="556702C8" w14:textId="77777777" w:rsidR="009C3A61" w:rsidRPr="00D11A8F" w:rsidRDefault="009C3A61" w:rsidP="00D11A8F">
      <w:pPr>
        <w:spacing w:after="0" w:line="276" w:lineRule="auto"/>
        <w:jc w:val="both"/>
        <w:rPr>
          <w:rFonts w:cs="Times New Roman"/>
          <w:szCs w:val="24"/>
        </w:rPr>
      </w:pPr>
    </w:p>
    <w:p w14:paraId="58848D8E" w14:textId="2F12E755" w:rsidR="009C3A61" w:rsidRPr="00D11A8F" w:rsidRDefault="009C3A61" w:rsidP="00D11A8F">
      <w:pPr>
        <w:spacing w:after="0" w:line="276" w:lineRule="auto"/>
        <w:ind w:left="720"/>
        <w:jc w:val="both"/>
        <w:rPr>
          <w:rFonts w:cs="Times New Roman"/>
          <w:sz w:val="20"/>
          <w:szCs w:val="20"/>
        </w:rPr>
      </w:pPr>
      <w:r w:rsidRPr="00D11A8F">
        <w:rPr>
          <w:rFonts w:cs="Times New Roman"/>
          <w:sz w:val="20"/>
          <w:szCs w:val="20"/>
        </w:rPr>
        <w:t>[V]iew of law or politics or public administration is obtained if any one of these social sciences is surveyed to the exclusion of the others. It is not so much that the study of one is incomplete without reference to the others, but rather that the landscape is single and entire. There are not different views to be seen, but only different viewers with variously adjusted blinkers.</w:t>
      </w:r>
    </w:p>
    <w:p w14:paraId="15FF2FC5" w14:textId="79D86152" w:rsidR="00EE3136" w:rsidRPr="00D11A8F" w:rsidRDefault="00EE3136" w:rsidP="00D11A8F">
      <w:pPr>
        <w:spacing w:after="0" w:line="276" w:lineRule="auto"/>
        <w:jc w:val="both"/>
        <w:rPr>
          <w:rFonts w:cs="Times New Roman"/>
          <w:szCs w:val="24"/>
        </w:rPr>
      </w:pPr>
    </w:p>
    <w:p w14:paraId="2967041A" w14:textId="77777777" w:rsidR="00D11A8F" w:rsidRPr="00D11A8F" w:rsidRDefault="00EE3136" w:rsidP="00D11A8F">
      <w:pPr>
        <w:spacing w:after="0" w:line="276" w:lineRule="auto"/>
        <w:jc w:val="both"/>
        <w:rPr>
          <w:rFonts w:cs="Times New Roman"/>
          <w:szCs w:val="24"/>
        </w:rPr>
      </w:pPr>
      <w:r w:rsidRPr="00D11A8F">
        <w:rPr>
          <w:rFonts w:cs="Times New Roman"/>
          <w:szCs w:val="24"/>
        </w:rPr>
        <w:t xml:space="preserve">In this </w:t>
      </w:r>
      <w:r w:rsidR="009C3A61" w:rsidRPr="00D11A8F">
        <w:rPr>
          <w:rFonts w:cs="Times New Roman"/>
          <w:szCs w:val="24"/>
        </w:rPr>
        <w:t>sense</w:t>
      </w:r>
      <w:r w:rsidRPr="00D11A8F">
        <w:rPr>
          <w:rFonts w:cs="Times New Roman"/>
          <w:szCs w:val="24"/>
        </w:rPr>
        <w:t xml:space="preserve">, </w:t>
      </w:r>
      <w:r w:rsidR="006C4B36" w:rsidRPr="00D11A8F">
        <w:rPr>
          <w:rFonts w:cs="Times New Roman"/>
          <w:szCs w:val="24"/>
        </w:rPr>
        <w:t xml:space="preserve">public law </w:t>
      </w:r>
      <w:r w:rsidR="009C3A61" w:rsidRPr="00D11A8F">
        <w:rPr>
          <w:rFonts w:cs="Times New Roman"/>
          <w:szCs w:val="24"/>
        </w:rPr>
        <w:t xml:space="preserve">scholars of the internal perspective often seek to </w:t>
      </w:r>
      <w:r w:rsidR="00225287" w:rsidRPr="00D11A8F">
        <w:rPr>
          <w:rFonts w:cs="Times New Roman"/>
          <w:szCs w:val="24"/>
        </w:rPr>
        <w:t>‘</w:t>
      </w:r>
      <w:r w:rsidR="009C3A61" w:rsidRPr="00D11A8F">
        <w:rPr>
          <w:rFonts w:cs="Times New Roman"/>
          <w:szCs w:val="24"/>
        </w:rPr>
        <w:t>adjust the blinkers</w:t>
      </w:r>
      <w:r w:rsidR="00225287" w:rsidRPr="00D11A8F">
        <w:rPr>
          <w:rFonts w:cs="Times New Roman"/>
          <w:szCs w:val="24"/>
        </w:rPr>
        <w:t>’</w:t>
      </w:r>
      <w:r w:rsidR="009C3A61" w:rsidRPr="00D11A8F">
        <w:rPr>
          <w:rFonts w:cs="Times New Roman"/>
          <w:szCs w:val="24"/>
        </w:rPr>
        <w:t xml:space="preserve"> on the major legal and constitutional questions of their time</w:t>
      </w:r>
      <w:r w:rsidR="006C4B36" w:rsidRPr="00D11A8F">
        <w:rPr>
          <w:rFonts w:cs="Times New Roman"/>
          <w:szCs w:val="24"/>
        </w:rPr>
        <w:t>, reconnecting the</w:t>
      </w:r>
      <w:r w:rsidR="00225287" w:rsidRPr="00D11A8F">
        <w:rPr>
          <w:rFonts w:cs="Times New Roman"/>
          <w:szCs w:val="24"/>
        </w:rPr>
        <w:t>m</w:t>
      </w:r>
      <w:r w:rsidR="006C4B36" w:rsidRPr="00D11A8F">
        <w:rPr>
          <w:rFonts w:cs="Times New Roman"/>
          <w:szCs w:val="24"/>
        </w:rPr>
        <w:t xml:space="preserve"> with</w:t>
      </w:r>
      <w:r w:rsidR="00225287" w:rsidRPr="00D11A8F">
        <w:rPr>
          <w:rFonts w:cs="Times New Roman"/>
          <w:szCs w:val="24"/>
        </w:rPr>
        <w:t xml:space="preserve"> the</w:t>
      </w:r>
      <w:r w:rsidR="006C4B36" w:rsidRPr="00D11A8F">
        <w:rPr>
          <w:rFonts w:cs="Times New Roman"/>
          <w:szCs w:val="24"/>
        </w:rPr>
        <w:t xml:space="preserve"> </w:t>
      </w:r>
      <w:r w:rsidR="00225287" w:rsidRPr="00D11A8F">
        <w:rPr>
          <w:rFonts w:cs="Times New Roman"/>
          <w:szCs w:val="24"/>
        </w:rPr>
        <w:t>working</w:t>
      </w:r>
      <w:r w:rsidR="00D11A8F" w:rsidRPr="00D11A8F">
        <w:rPr>
          <w:rFonts w:cs="Times New Roman"/>
          <w:szCs w:val="24"/>
        </w:rPr>
        <w:t>s</w:t>
      </w:r>
      <w:r w:rsidR="006C4B36" w:rsidRPr="00D11A8F">
        <w:rPr>
          <w:rFonts w:cs="Times New Roman"/>
          <w:szCs w:val="24"/>
        </w:rPr>
        <w:t xml:space="preserve"> of the administrative state</w:t>
      </w:r>
      <w:r w:rsidR="009C3A61" w:rsidRPr="00D11A8F">
        <w:rPr>
          <w:rFonts w:cs="Times New Roman"/>
          <w:szCs w:val="24"/>
        </w:rPr>
        <w:t xml:space="preserve">. </w:t>
      </w:r>
    </w:p>
    <w:p w14:paraId="73CE3DB2" w14:textId="77777777" w:rsidR="00D11A8F" w:rsidRPr="00D11A8F" w:rsidRDefault="00D11A8F" w:rsidP="00D11A8F">
      <w:pPr>
        <w:spacing w:after="0" w:line="276" w:lineRule="auto"/>
        <w:jc w:val="both"/>
        <w:rPr>
          <w:rFonts w:cs="Times New Roman"/>
          <w:szCs w:val="24"/>
        </w:rPr>
      </w:pPr>
    </w:p>
    <w:p w14:paraId="0D376D49" w14:textId="56C0A909" w:rsidR="008F5BED" w:rsidRPr="00091E94" w:rsidRDefault="009C3A61" w:rsidP="00091E94">
      <w:pPr>
        <w:spacing w:after="0" w:line="276" w:lineRule="auto"/>
        <w:ind w:firstLine="720"/>
        <w:jc w:val="both"/>
        <w:rPr>
          <w:rFonts w:cs="Times New Roman"/>
          <w:szCs w:val="24"/>
        </w:rPr>
      </w:pPr>
      <w:r w:rsidRPr="00D11A8F">
        <w:rPr>
          <w:rFonts w:cs="Times New Roman"/>
          <w:szCs w:val="24"/>
        </w:rPr>
        <w:t>One prominent example</w:t>
      </w:r>
      <w:r w:rsidR="006C4B36" w:rsidRPr="00D11A8F">
        <w:rPr>
          <w:rFonts w:cs="Times New Roman"/>
          <w:szCs w:val="24"/>
        </w:rPr>
        <w:t xml:space="preserve"> of the impact of this approach can be </w:t>
      </w:r>
      <w:r w:rsidR="00B6716F" w:rsidRPr="00D11A8F">
        <w:rPr>
          <w:rFonts w:cs="Times New Roman"/>
          <w:szCs w:val="24"/>
        </w:rPr>
        <w:t xml:space="preserve">seen in shifting </w:t>
      </w:r>
      <w:r w:rsidRPr="00D11A8F">
        <w:rPr>
          <w:rFonts w:cs="Times New Roman"/>
          <w:szCs w:val="24"/>
        </w:rPr>
        <w:t>perception</w:t>
      </w:r>
      <w:r w:rsidR="00B6716F" w:rsidRPr="00D11A8F">
        <w:rPr>
          <w:rFonts w:cs="Times New Roman"/>
          <w:szCs w:val="24"/>
        </w:rPr>
        <w:t>s</w:t>
      </w:r>
      <w:r w:rsidRPr="00D11A8F">
        <w:rPr>
          <w:rFonts w:cs="Times New Roman"/>
          <w:szCs w:val="24"/>
        </w:rPr>
        <w:t xml:space="preserve"> of discretion in the administrative state. </w:t>
      </w:r>
      <w:r w:rsidR="004800BA" w:rsidRPr="00D11A8F">
        <w:rPr>
          <w:rFonts w:cs="Times New Roman"/>
          <w:szCs w:val="24"/>
        </w:rPr>
        <w:t>Long viewed</w:t>
      </w:r>
      <w:r w:rsidRPr="00D11A8F">
        <w:rPr>
          <w:rFonts w:cs="Times New Roman"/>
          <w:szCs w:val="24"/>
        </w:rPr>
        <w:t xml:space="preserve"> with scepticism and </w:t>
      </w:r>
      <w:r w:rsidR="00D11A8F" w:rsidRPr="00D11A8F">
        <w:rPr>
          <w:rFonts w:cs="Times New Roman"/>
          <w:szCs w:val="24"/>
        </w:rPr>
        <w:t xml:space="preserve">even </w:t>
      </w:r>
      <w:r w:rsidRPr="00D11A8F">
        <w:rPr>
          <w:rFonts w:cs="Times New Roman"/>
          <w:szCs w:val="24"/>
        </w:rPr>
        <w:t>as an opposing force to law</w:t>
      </w:r>
      <w:r w:rsidR="006C4B36" w:rsidRPr="00D11A8F">
        <w:rPr>
          <w:rFonts w:cs="Times New Roman"/>
          <w:szCs w:val="24"/>
        </w:rPr>
        <w:t xml:space="preserve"> by many legal scholars</w:t>
      </w:r>
      <w:r w:rsidRPr="00D11A8F">
        <w:rPr>
          <w:rFonts w:cs="Times New Roman"/>
          <w:szCs w:val="24"/>
        </w:rPr>
        <w:t xml:space="preserve">, </w:t>
      </w:r>
      <w:r w:rsidR="00225287" w:rsidRPr="00D11A8F">
        <w:rPr>
          <w:rFonts w:cs="Times New Roman"/>
          <w:szCs w:val="24"/>
        </w:rPr>
        <w:t xml:space="preserve">public law </w:t>
      </w:r>
      <w:r w:rsidRPr="00D11A8F">
        <w:rPr>
          <w:rFonts w:cs="Times New Roman"/>
          <w:szCs w:val="24"/>
        </w:rPr>
        <w:t xml:space="preserve">scholars of the </w:t>
      </w:r>
      <w:r w:rsidR="006C4B36" w:rsidRPr="00D11A8F">
        <w:rPr>
          <w:rFonts w:cs="Times New Roman"/>
          <w:szCs w:val="24"/>
        </w:rPr>
        <w:t>internal</w:t>
      </w:r>
      <w:r w:rsidRPr="00D11A8F">
        <w:rPr>
          <w:rFonts w:cs="Times New Roman"/>
          <w:szCs w:val="24"/>
        </w:rPr>
        <w:t xml:space="preserve"> perspective </w:t>
      </w:r>
      <w:r w:rsidR="00D11A8F" w:rsidRPr="00D11A8F">
        <w:rPr>
          <w:rFonts w:cs="Times New Roman"/>
          <w:szCs w:val="24"/>
        </w:rPr>
        <w:t xml:space="preserve">have </w:t>
      </w:r>
      <w:r w:rsidRPr="00D11A8F">
        <w:rPr>
          <w:rFonts w:cs="Times New Roman"/>
          <w:szCs w:val="24"/>
        </w:rPr>
        <w:t>developed a</w:t>
      </w:r>
      <w:r w:rsidR="006C4B36" w:rsidRPr="00D11A8F">
        <w:rPr>
          <w:rFonts w:cs="Times New Roman"/>
          <w:szCs w:val="24"/>
        </w:rPr>
        <w:t xml:space="preserve"> more nuanced</w:t>
      </w:r>
      <w:r w:rsidRPr="00D11A8F">
        <w:rPr>
          <w:rFonts w:cs="Times New Roman"/>
          <w:szCs w:val="24"/>
        </w:rPr>
        <w:t xml:space="preserve"> account of the virtues of bureaucratic discretion</w:t>
      </w:r>
      <w:r w:rsidR="004800BA" w:rsidRPr="00D11A8F">
        <w:rPr>
          <w:rFonts w:cs="Times New Roman"/>
          <w:szCs w:val="24"/>
        </w:rPr>
        <w:t xml:space="preserve">. This work </w:t>
      </w:r>
      <w:r w:rsidR="004800BA" w:rsidRPr="00091E94">
        <w:rPr>
          <w:rFonts w:cs="Times New Roman"/>
          <w:szCs w:val="24"/>
        </w:rPr>
        <w:t xml:space="preserve">provoked constitutional lawyers to reconsider their </w:t>
      </w:r>
      <w:r w:rsidR="006C4B36" w:rsidRPr="00091E94">
        <w:rPr>
          <w:rFonts w:cs="Times New Roman"/>
          <w:szCs w:val="24"/>
        </w:rPr>
        <w:t>characterisation of this essential component of the modern state</w:t>
      </w:r>
      <w:r w:rsidR="004800BA" w:rsidRPr="00091E94">
        <w:rPr>
          <w:rFonts w:cs="Times New Roman"/>
          <w:szCs w:val="24"/>
        </w:rPr>
        <w:t>: discretion</w:t>
      </w:r>
      <w:r w:rsidR="006C4B36" w:rsidRPr="00091E94">
        <w:rPr>
          <w:rFonts w:cs="Times New Roman"/>
          <w:szCs w:val="24"/>
        </w:rPr>
        <w:t>, when understood in practice,</w:t>
      </w:r>
      <w:r w:rsidR="004800BA" w:rsidRPr="00091E94">
        <w:rPr>
          <w:rFonts w:cs="Times New Roman"/>
          <w:szCs w:val="24"/>
        </w:rPr>
        <w:t xml:space="preserve"> could be seen less as the </w:t>
      </w:r>
      <w:r w:rsidR="00225287" w:rsidRPr="00091E94">
        <w:rPr>
          <w:rFonts w:cs="Times New Roman"/>
          <w:szCs w:val="24"/>
        </w:rPr>
        <w:t>‘</w:t>
      </w:r>
      <w:r w:rsidR="004800BA" w:rsidRPr="00091E94">
        <w:rPr>
          <w:rFonts w:cs="Times New Roman"/>
          <w:szCs w:val="24"/>
        </w:rPr>
        <w:t>hole in the donut</w:t>
      </w:r>
      <w:r w:rsidR="00225287" w:rsidRPr="00091E94">
        <w:rPr>
          <w:rFonts w:cs="Times New Roman"/>
          <w:szCs w:val="24"/>
        </w:rPr>
        <w:t>’</w:t>
      </w:r>
      <w:r w:rsidR="004800BA" w:rsidRPr="00091E94">
        <w:rPr>
          <w:rFonts w:cs="Times New Roman"/>
          <w:szCs w:val="24"/>
        </w:rPr>
        <w:t xml:space="preserve"> of law and more as the </w:t>
      </w:r>
      <w:r w:rsidR="00225287" w:rsidRPr="00091E94">
        <w:rPr>
          <w:rFonts w:cs="Times New Roman"/>
          <w:szCs w:val="24"/>
        </w:rPr>
        <w:t>‘</w:t>
      </w:r>
      <w:r w:rsidR="004800BA" w:rsidRPr="00091E94">
        <w:rPr>
          <w:rFonts w:cs="Times New Roman"/>
          <w:szCs w:val="24"/>
        </w:rPr>
        <w:t>sponge</w:t>
      </w:r>
      <w:r w:rsidR="00225287" w:rsidRPr="00091E94">
        <w:rPr>
          <w:rFonts w:cs="Times New Roman"/>
          <w:szCs w:val="24"/>
        </w:rPr>
        <w:t>’</w:t>
      </w:r>
      <w:r w:rsidR="004800BA" w:rsidRPr="00091E94">
        <w:rPr>
          <w:rFonts w:cs="Times New Roman"/>
          <w:szCs w:val="24"/>
        </w:rPr>
        <w:t xml:space="preserve"> that makes </w:t>
      </w:r>
      <w:r w:rsidR="00225287" w:rsidRPr="00091E94">
        <w:rPr>
          <w:rFonts w:cs="Times New Roman"/>
          <w:szCs w:val="24"/>
        </w:rPr>
        <w:t xml:space="preserve">modern </w:t>
      </w:r>
      <w:r w:rsidR="00D11A8F" w:rsidRPr="00091E94">
        <w:rPr>
          <w:rFonts w:cs="Times New Roman"/>
          <w:szCs w:val="24"/>
        </w:rPr>
        <w:t>public</w:t>
      </w:r>
      <w:r w:rsidR="00225287" w:rsidRPr="00091E94">
        <w:rPr>
          <w:rFonts w:cs="Times New Roman"/>
          <w:szCs w:val="24"/>
        </w:rPr>
        <w:t xml:space="preserve"> policy</w:t>
      </w:r>
      <w:r w:rsidR="004800BA" w:rsidRPr="00091E94">
        <w:rPr>
          <w:rFonts w:cs="Times New Roman"/>
          <w:szCs w:val="24"/>
        </w:rPr>
        <w:t xml:space="preserve"> manageable</w:t>
      </w:r>
      <w:r w:rsidR="00D11A8F" w:rsidRPr="00091E94">
        <w:rPr>
          <w:rFonts w:cs="Times New Roman"/>
          <w:szCs w:val="24"/>
        </w:rPr>
        <w:t xml:space="preserve"> in practice</w:t>
      </w:r>
      <w:r w:rsidR="004800BA" w:rsidRPr="00091E94">
        <w:rPr>
          <w:rFonts w:cs="Times New Roman"/>
          <w:szCs w:val="24"/>
        </w:rPr>
        <w:t>.</w:t>
      </w:r>
      <w:r w:rsidR="004800BA" w:rsidRPr="00091E94">
        <w:rPr>
          <w:rStyle w:val="FootnoteReference"/>
          <w:szCs w:val="24"/>
        </w:rPr>
        <w:footnoteReference w:id="51"/>
      </w:r>
      <w:r w:rsidR="004800BA" w:rsidRPr="00091E94">
        <w:rPr>
          <w:rFonts w:cs="Times New Roman"/>
          <w:szCs w:val="24"/>
        </w:rPr>
        <w:t xml:space="preserve"> </w:t>
      </w:r>
      <w:r w:rsidR="00D11A8F" w:rsidRPr="00091E94">
        <w:rPr>
          <w:rFonts w:cs="Times New Roman"/>
          <w:szCs w:val="24"/>
        </w:rPr>
        <w:t>Similarly</w:t>
      </w:r>
      <w:r w:rsidR="004800BA" w:rsidRPr="00091E94">
        <w:rPr>
          <w:rFonts w:cs="Times New Roman"/>
          <w:szCs w:val="24"/>
        </w:rPr>
        <w:t xml:space="preserve">, scholarship of </w:t>
      </w:r>
      <w:r w:rsidR="00225287" w:rsidRPr="00091E94">
        <w:rPr>
          <w:rFonts w:cs="Times New Roman"/>
          <w:szCs w:val="24"/>
        </w:rPr>
        <w:t>the internal perspective</w:t>
      </w:r>
      <w:r w:rsidR="004800BA" w:rsidRPr="00091E94">
        <w:rPr>
          <w:rFonts w:cs="Times New Roman"/>
          <w:szCs w:val="24"/>
        </w:rPr>
        <w:t xml:space="preserve"> has invited public lawyers to </w:t>
      </w:r>
      <w:r w:rsidR="00B6716F" w:rsidRPr="00091E94">
        <w:rPr>
          <w:rFonts w:cs="Times New Roman"/>
          <w:szCs w:val="24"/>
        </w:rPr>
        <w:t>revisit</w:t>
      </w:r>
      <w:r w:rsidR="004800BA" w:rsidRPr="00091E94">
        <w:rPr>
          <w:rFonts w:cs="Times New Roman"/>
          <w:szCs w:val="24"/>
        </w:rPr>
        <w:t xml:space="preserve"> their understanding of human rights through the prism of frontline policing</w:t>
      </w:r>
      <w:r w:rsidR="00D11A8F" w:rsidRPr="00091E94">
        <w:rPr>
          <w:rFonts w:cs="Times New Roman"/>
          <w:szCs w:val="24"/>
        </w:rPr>
        <w:t xml:space="preserve"> operations</w:t>
      </w:r>
      <w:r w:rsidR="00225287" w:rsidRPr="00091E94">
        <w:rPr>
          <w:rFonts w:cs="Times New Roman"/>
          <w:szCs w:val="24"/>
        </w:rPr>
        <w:t>.</w:t>
      </w:r>
      <w:r w:rsidR="004800BA" w:rsidRPr="00091E94">
        <w:rPr>
          <w:rStyle w:val="FootnoteReference"/>
          <w:szCs w:val="24"/>
        </w:rPr>
        <w:footnoteReference w:id="52"/>
      </w:r>
      <w:r w:rsidR="004800BA" w:rsidRPr="00091E94">
        <w:rPr>
          <w:rFonts w:cs="Times New Roman"/>
          <w:szCs w:val="24"/>
        </w:rPr>
        <w:t xml:space="preserve"> </w:t>
      </w:r>
    </w:p>
    <w:p w14:paraId="1617FC48" w14:textId="77777777" w:rsidR="00855372" w:rsidRPr="00091E94" w:rsidRDefault="00855372" w:rsidP="00091E94">
      <w:pPr>
        <w:spacing w:after="0" w:line="276" w:lineRule="auto"/>
        <w:jc w:val="both"/>
        <w:rPr>
          <w:rFonts w:cs="Times New Roman"/>
          <w:highlight w:val="yellow"/>
        </w:rPr>
      </w:pPr>
    </w:p>
    <w:p w14:paraId="143251BA" w14:textId="440F2666" w:rsidR="008F5BED" w:rsidRPr="00091E94" w:rsidRDefault="00D04944" w:rsidP="00091E94">
      <w:pPr>
        <w:spacing w:after="0" w:line="276" w:lineRule="auto"/>
        <w:jc w:val="both"/>
        <w:rPr>
          <w:rFonts w:cs="Times New Roman"/>
          <w:b/>
          <w:bCs/>
        </w:rPr>
      </w:pPr>
      <w:r w:rsidRPr="00091E94">
        <w:rPr>
          <w:rFonts w:cs="Times New Roman"/>
          <w:b/>
          <w:bCs/>
        </w:rPr>
        <w:t xml:space="preserve">V. </w:t>
      </w:r>
      <w:r w:rsidR="00884878" w:rsidRPr="00091E94">
        <w:rPr>
          <w:rFonts w:cs="Times New Roman"/>
          <w:b/>
          <w:bCs/>
        </w:rPr>
        <w:t>INSIDE OUT, OUSTIDE IN</w:t>
      </w:r>
    </w:p>
    <w:p w14:paraId="368CF0EC" w14:textId="77777777" w:rsidR="003D7C0A" w:rsidRPr="00091E94" w:rsidRDefault="003D7C0A" w:rsidP="00091E94">
      <w:pPr>
        <w:spacing w:after="0" w:line="276" w:lineRule="auto"/>
        <w:jc w:val="both"/>
        <w:rPr>
          <w:rFonts w:cs="Times New Roman"/>
        </w:rPr>
      </w:pPr>
    </w:p>
    <w:p w14:paraId="4FD65018" w14:textId="43C6FB13" w:rsidR="00EB0BDE" w:rsidRPr="00091E94" w:rsidRDefault="00884878" w:rsidP="00091E94">
      <w:pPr>
        <w:spacing w:after="0" w:line="276" w:lineRule="auto"/>
        <w:jc w:val="both"/>
        <w:rPr>
          <w:rFonts w:cs="Times New Roman"/>
        </w:rPr>
      </w:pPr>
      <w:r w:rsidRPr="00091E94">
        <w:rPr>
          <w:rFonts w:cs="Times New Roman"/>
        </w:rPr>
        <w:t>The distinction we have sketched</w:t>
      </w:r>
      <w:r w:rsidR="00874817" w:rsidRPr="00091E94">
        <w:rPr>
          <w:rFonts w:cs="Times New Roman"/>
        </w:rPr>
        <w:t xml:space="preserve"> in this chapter</w:t>
      </w:r>
      <w:r w:rsidRPr="00091E94">
        <w:rPr>
          <w:rFonts w:cs="Times New Roman"/>
        </w:rPr>
        <w:t xml:space="preserve"> between internal and external perspectives adopted by public lawyers</w:t>
      </w:r>
      <w:r w:rsidR="00874817" w:rsidRPr="00091E94">
        <w:rPr>
          <w:rFonts w:cs="Times New Roman"/>
        </w:rPr>
        <w:t xml:space="preserve"> approaching the administrative state</w:t>
      </w:r>
      <w:r w:rsidRPr="00091E94">
        <w:rPr>
          <w:rFonts w:cs="Times New Roman"/>
        </w:rPr>
        <w:t xml:space="preserve">, while porous in various ways, is one which has maintained traction over time. However, one of the most notable features of public law scholarship in common law systems in recent years is the </w:t>
      </w:r>
      <w:r w:rsidR="00C22112" w:rsidRPr="00091E94">
        <w:rPr>
          <w:rFonts w:cs="Times New Roman"/>
        </w:rPr>
        <w:t xml:space="preserve">increasing number of </w:t>
      </w:r>
      <w:r w:rsidR="00702BBB" w:rsidRPr="00091E94">
        <w:rPr>
          <w:rFonts w:cs="Times New Roman"/>
        </w:rPr>
        <w:t xml:space="preserve">authors </w:t>
      </w:r>
      <w:r w:rsidR="00C22112" w:rsidRPr="00091E94">
        <w:rPr>
          <w:rFonts w:cs="Times New Roman"/>
        </w:rPr>
        <w:t>engaging in sophisticated work which straddles</w:t>
      </w:r>
      <w:r w:rsidR="00702BBB" w:rsidRPr="00091E94">
        <w:rPr>
          <w:rFonts w:cs="Times New Roman"/>
        </w:rPr>
        <w:t xml:space="preserve"> the internal/external divide</w:t>
      </w:r>
      <w:r w:rsidRPr="00091E94">
        <w:rPr>
          <w:rFonts w:cs="Times New Roman"/>
        </w:rPr>
        <w:t>,</w:t>
      </w:r>
      <w:r w:rsidR="00874817" w:rsidRPr="00091E94">
        <w:rPr>
          <w:rFonts w:cs="Times New Roman"/>
        </w:rPr>
        <w:t xml:space="preserve"> as well as working beyond traditional methodological associations</w:t>
      </w:r>
      <w:r w:rsidRPr="00091E94">
        <w:rPr>
          <w:rFonts w:cs="Times New Roman"/>
        </w:rPr>
        <w:t>.</w:t>
      </w:r>
      <w:r w:rsidR="00B42FD9" w:rsidRPr="00091E94">
        <w:rPr>
          <w:rStyle w:val="FootnoteReference"/>
        </w:rPr>
        <w:footnoteReference w:id="53"/>
      </w:r>
      <w:r w:rsidR="00702BBB" w:rsidRPr="00091E94">
        <w:rPr>
          <w:rFonts w:cs="Times New Roman"/>
        </w:rPr>
        <w:t xml:space="preserve"> </w:t>
      </w:r>
      <w:r w:rsidR="00C22112" w:rsidRPr="00091E94">
        <w:rPr>
          <w:rFonts w:cs="Times New Roman"/>
        </w:rPr>
        <w:t xml:space="preserve">These contributions can be </w:t>
      </w:r>
      <w:r w:rsidRPr="00091E94">
        <w:rPr>
          <w:rFonts w:cs="Times New Roman"/>
        </w:rPr>
        <w:t xml:space="preserve">broadly </w:t>
      </w:r>
      <w:r w:rsidR="00C22112" w:rsidRPr="00091E94">
        <w:rPr>
          <w:rFonts w:cs="Times New Roman"/>
        </w:rPr>
        <w:t xml:space="preserve">grouped into </w:t>
      </w:r>
      <w:r w:rsidRPr="00091E94">
        <w:rPr>
          <w:rFonts w:cs="Times New Roman"/>
        </w:rPr>
        <w:t>empirically informed</w:t>
      </w:r>
      <w:r w:rsidR="00EA56E0" w:rsidRPr="00091E94">
        <w:rPr>
          <w:rFonts w:cs="Times New Roman"/>
        </w:rPr>
        <w:t xml:space="preserve"> studies of </w:t>
      </w:r>
      <w:r w:rsidRPr="00091E94">
        <w:rPr>
          <w:rFonts w:cs="Times New Roman"/>
        </w:rPr>
        <w:t xml:space="preserve">administrative law </w:t>
      </w:r>
      <w:r w:rsidR="00EA56E0" w:rsidRPr="00091E94">
        <w:rPr>
          <w:rFonts w:cs="Times New Roman"/>
        </w:rPr>
        <w:t>doctrine and doctrinally/</w:t>
      </w:r>
      <w:r w:rsidRPr="00091E94">
        <w:rPr>
          <w:rFonts w:cs="Times New Roman"/>
        </w:rPr>
        <w:t>theoretically informed</w:t>
      </w:r>
      <w:r w:rsidR="00EA56E0" w:rsidRPr="00091E94">
        <w:rPr>
          <w:rFonts w:cs="Times New Roman"/>
        </w:rPr>
        <w:t xml:space="preserve"> studies of bureaucracy.</w:t>
      </w:r>
      <w:r w:rsidR="00B42FD9" w:rsidRPr="00091E94">
        <w:rPr>
          <w:rStyle w:val="FootnoteReference"/>
          <w:highlight w:val="yellow"/>
        </w:rPr>
        <w:t xml:space="preserve"> </w:t>
      </w:r>
    </w:p>
    <w:p w14:paraId="190D9936" w14:textId="6830BE8C" w:rsidR="00884878" w:rsidRPr="00091E94" w:rsidRDefault="00884878" w:rsidP="00091E94">
      <w:pPr>
        <w:spacing w:after="0" w:line="276" w:lineRule="auto"/>
        <w:jc w:val="both"/>
        <w:rPr>
          <w:rFonts w:cs="Times New Roman"/>
        </w:rPr>
      </w:pPr>
    </w:p>
    <w:p w14:paraId="7736C580" w14:textId="7F73D9A1" w:rsidR="00702BBB" w:rsidRPr="00091E94" w:rsidRDefault="00702BBB" w:rsidP="00091E94">
      <w:pPr>
        <w:spacing w:after="0" w:line="276" w:lineRule="auto"/>
        <w:ind w:firstLine="720"/>
        <w:jc w:val="both"/>
        <w:rPr>
          <w:rFonts w:cs="Times New Roman"/>
        </w:rPr>
      </w:pPr>
      <w:r w:rsidRPr="00091E94">
        <w:rPr>
          <w:rFonts w:cs="Times New Roman"/>
        </w:rPr>
        <w:t xml:space="preserve">Consider, first, </w:t>
      </w:r>
      <w:r w:rsidR="00884878" w:rsidRPr="00091E94">
        <w:rPr>
          <w:rFonts w:cs="Times New Roman"/>
        </w:rPr>
        <w:t>empirically informed</w:t>
      </w:r>
      <w:r w:rsidRPr="00091E94">
        <w:rPr>
          <w:rFonts w:cs="Times New Roman"/>
        </w:rPr>
        <w:t xml:space="preserve"> studies of doctrine, as exemplified by Sarah Nason’s </w:t>
      </w:r>
      <w:r w:rsidRPr="00091E94">
        <w:rPr>
          <w:rFonts w:cs="Times New Roman"/>
          <w:i/>
        </w:rPr>
        <w:t>Reconstructing Judicial Review</w:t>
      </w:r>
      <w:r w:rsidRPr="00091E94">
        <w:rPr>
          <w:rFonts w:cs="Times New Roman"/>
        </w:rPr>
        <w:t>.</w:t>
      </w:r>
      <w:r w:rsidRPr="00091E94">
        <w:rPr>
          <w:rStyle w:val="FootnoteReference"/>
        </w:rPr>
        <w:footnoteReference w:id="54"/>
      </w:r>
      <w:r w:rsidRPr="00091E94">
        <w:rPr>
          <w:rFonts w:cs="Times New Roman"/>
        </w:rPr>
        <w:t xml:space="preserve"> Nason’s book is based on a review of </w:t>
      </w:r>
      <w:r w:rsidR="00884878" w:rsidRPr="00091E94">
        <w:rPr>
          <w:rFonts w:cs="Times New Roman"/>
        </w:rPr>
        <w:t>a sample of</w:t>
      </w:r>
      <w:r w:rsidRPr="00091E94">
        <w:rPr>
          <w:rFonts w:cs="Times New Roman"/>
        </w:rPr>
        <w:t xml:space="preserve"> </w:t>
      </w:r>
      <w:r w:rsidRPr="00091E94">
        <w:rPr>
          <w:rFonts w:cs="Times New Roman"/>
        </w:rPr>
        <w:lastRenderedPageBreak/>
        <w:t>first-instance decisions in the Administrative Court of England and Wales (part of the High Court), an analysis of court filings</w:t>
      </w:r>
      <w:r w:rsidR="00884878" w:rsidRPr="00091E94">
        <w:rPr>
          <w:rFonts w:cs="Times New Roman"/>
        </w:rPr>
        <w:t>,</w:t>
      </w:r>
      <w:r w:rsidRPr="00091E94">
        <w:rPr>
          <w:rFonts w:cs="Times New Roman"/>
        </w:rPr>
        <w:t xml:space="preserve"> and surveys of practitioners. </w:t>
      </w:r>
      <w:r w:rsidR="00884878" w:rsidRPr="00091E94">
        <w:rPr>
          <w:rFonts w:cs="Times New Roman"/>
        </w:rPr>
        <w:t xml:space="preserve">Her analysis of this dataset </w:t>
      </w:r>
      <w:r w:rsidRPr="00091E94">
        <w:rPr>
          <w:rFonts w:cs="Times New Roman"/>
        </w:rPr>
        <w:t xml:space="preserve">allows her to demonstrate that first-instance judicial review decisions do not involve detailed discussions of the doctrinal niceties that one finds in the textbooks or </w:t>
      </w:r>
      <w:r w:rsidR="00003F43" w:rsidRPr="00091E94">
        <w:rPr>
          <w:rFonts w:cs="Times New Roman"/>
        </w:rPr>
        <w:t>traditional s</w:t>
      </w:r>
      <w:r w:rsidR="00884878" w:rsidRPr="00091E94">
        <w:rPr>
          <w:rFonts w:cs="Times New Roman"/>
        </w:rPr>
        <w:t>cholarly</w:t>
      </w:r>
      <w:r w:rsidR="00003F43" w:rsidRPr="00091E94">
        <w:rPr>
          <w:rFonts w:cs="Times New Roman"/>
        </w:rPr>
        <w:t xml:space="preserve"> works</w:t>
      </w:r>
      <w:r w:rsidRPr="00091E94">
        <w:rPr>
          <w:rFonts w:cs="Times New Roman"/>
        </w:rPr>
        <w:t xml:space="preserve"> on administrative law</w:t>
      </w:r>
      <w:r w:rsidR="00003F43" w:rsidRPr="00091E94">
        <w:rPr>
          <w:rFonts w:cs="Times New Roman"/>
        </w:rPr>
        <w:t xml:space="preserve"> doctrine</w:t>
      </w:r>
      <w:r w:rsidRPr="00091E94">
        <w:rPr>
          <w:rFonts w:cs="Times New Roman"/>
        </w:rPr>
        <w:t xml:space="preserve">. Rather, they tend to turn on judicial judgement, informed by the judge’s experience and the arguments of the parties. In addition, </w:t>
      </w:r>
      <w:r w:rsidR="00003F43" w:rsidRPr="00091E94">
        <w:rPr>
          <w:rFonts w:cs="Times New Roman"/>
        </w:rPr>
        <w:t xml:space="preserve">it is concluded </w:t>
      </w:r>
      <w:proofErr w:type="gramStart"/>
      <w:r w:rsidRPr="00091E94">
        <w:rPr>
          <w:rFonts w:cs="Times New Roman"/>
        </w:rPr>
        <w:t>a majority of</w:t>
      </w:r>
      <w:proofErr w:type="gramEnd"/>
      <w:r w:rsidRPr="00091E94">
        <w:rPr>
          <w:rFonts w:cs="Times New Roman"/>
        </w:rPr>
        <w:t xml:space="preserve"> judicial review claims are brought to resolve individualised grievances, not to </w:t>
      </w:r>
      <w:r w:rsidR="00003F43" w:rsidRPr="00091E94">
        <w:rPr>
          <w:rFonts w:cs="Times New Roman"/>
        </w:rPr>
        <w:t xml:space="preserve">elucidate </w:t>
      </w:r>
      <w:r w:rsidRPr="00091E94">
        <w:rPr>
          <w:rFonts w:cs="Times New Roman"/>
        </w:rPr>
        <w:t>timeless constitutional principles. The practice of judicial review in the Administrative Court is, it turns out, nothing like the</w:t>
      </w:r>
      <w:r w:rsidR="00003F43" w:rsidRPr="00091E94">
        <w:rPr>
          <w:rFonts w:cs="Times New Roman"/>
        </w:rPr>
        <w:t xml:space="preserve"> impression of</w:t>
      </w:r>
      <w:r w:rsidRPr="00091E94">
        <w:rPr>
          <w:rFonts w:cs="Times New Roman"/>
        </w:rPr>
        <w:t xml:space="preserve"> judicial review that one finds in the </w:t>
      </w:r>
      <w:r w:rsidR="00003F43" w:rsidRPr="00091E94">
        <w:rPr>
          <w:rFonts w:cs="Times New Roman"/>
        </w:rPr>
        <w:t>textbooks</w:t>
      </w:r>
      <w:r w:rsidRPr="00091E94">
        <w:rPr>
          <w:rFonts w:cs="Times New Roman"/>
        </w:rPr>
        <w:t xml:space="preserve"> or the classroom. Nason’s</w:t>
      </w:r>
      <w:r w:rsidR="00003F43" w:rsidRPr="00091E94">
        <w:rPr>
          <w:rFonts w:cs="Times New Roman"/>
        </w:rPr>
        <w:t xml:space="preserve"> research</w:t>
      </w:r>
      <w:r w:rsidRPr="00091E94">
        <w:rPr>
          <w:rFonts w:cs="Times New Roman"/>
        </w:rPr>
        <w:t xml:space="preserve"> is, in other words, not a classically doctrinal, </w:t>
      </w:r>
      <w:proofErr w:type="gramStart"/>
      <w:r w:rsidRPr="00091E94">
        <w:rPr>
          <w:rFonts w:cs="Times New Roman"/>
        </w:rPr>
        <w:t>theoretical</w:t>
      </w:r>
      <w:proofErr w:type="gramEnd"/>
      <w:r w:rsidRPr="00091E94">
        <w:rPr>
          <w:rFonts w:cs="Times New Roman"/>
        </w:rPr>
        <w:t xml:space="preserve"> or interpretive study of public administration from an external perspective. However, in constructing her empirical analysis Nason engages in a detailed interpretive inquiry to develop a set of values which can be said to unify the practice of judicial review of administrative action (from an internal perspective). As such, Nason employs a blend of methodological approaches.</w:t>
      </w:r>
    </w:p>
    <w:p w14:paraId="52E87B4E" w14:textId="77777777" w:rsidR="004F4DCE" w:rsidRPr="00091E94" w:rsidRDefault="004F4DCE" w:rsidP="00091E94">
      <w:pPr>
        <w:spacing w:after="0" w:line="276" w:lineRule="auto"/>
        <w:jc w:val="both"/>
        <w:rPr>
          <w:rFonts w:cs="Times New Roman"/>
        </w:rPr>
      </w:pPr>
    </w:p>
    <w:p w14:paraId="641DB692" w14:textId="439AD142" w:rsidR="004F4DCE" w:rsidRPr="00091E94" w:rsidRDefault="004F4DCE" w:rsidP="00091E94">
      <w:pPr>
        <w:spacing w:after="0" w:line="276" w:lineRule="auto"/>
        <w:ind w:firstLine="720"/>
        <w:jc w:val="both"/>
        <w:rPr>
          <w:rFonts w:cs="Times New Roman"/>
        </w:rPr>
      </w:pPr>
      <w:proofErr w:type="gramStart"/>
      <w:r w:rsidRPr="00091E94">
        <w:rPr>
          <w:rFonts w:cs="Times New Roman"/>
        </w:rPr>
        <w:t>Similar</w:t>
      </w:r>
      <w:r w:rsidR="00003F43" w:rsidRPr="00091E94">
        <w:rPr>
          <w:rFonts w:cs="Times New Roman"/>
        </w:rPr>
        <w:t xml:space="preserve"> to</w:t>
      </w:r>
      <w:proofErr w:type="gramEnd"/>
      <w:r w:rsidR="00003F43" w:rsidRPr="00091E94">
        <w:rPr>
          <w:rFonts w:cs="Times New Roman"/>
        </w:rPr>
        <w:t xml:space="preserve"> Nason’s work,</w:t>
      </w:r>
      <w:r w:rsidRPr="00091E94">
        <w:rPr>
          <w:rFonts w:cs="Times New Roman"/>
        </w:rPr>
        <w:t xml:space="preserve"> Joanna Bell’s </w:t>
      </w:r>
      <w:r w:rsidRPr="00091E94">
        <w:rPr>
          <w:rFonts w:cs="Times New Roman"/>
          <w:i/>
          <w:iCs/>
        </w:rPr>
        <w:t xml:space="preserve">The Anatomy of Administrative Law </w:t>
      </w:r>
      <w:r w:rsidRPr="00091E94">
        <w:rPr>
          <w:rFonts w:cs="Times New Roman"/>
        </w:rPr>
        <w:t xml:space="preserve">can be regarded as an attempt to ‘build in’ the </w:t>
      </w:r>
      <w:r w:rsidR="00003F43" w:rsidRPr="00091E94">
        <w:rPr>
          <w:rFonts w:cs="Times New Roman"/>
        </w:rPr>
        <w:t>nature</w:t>
      </w:r>
      <w:r w:rsidRPr="00091E94">
        <w:rPr>
          <w:rFonts w:cs="Times New Roman"/>
        </w:rPr>
        <w:t xml:space="preserve"> of the </w:t>
      </w:r>
      <w:r w:rsidR="00003F43" w:rsidRPr="00091E94">
        <w:rPr>
          <w:rFonts w:cs="Times New Roman"/>
        </w:rPr>
        <w:t xml:space="preserve">administrative </w:t>
      </w:r>
      <w:r w:rsidRPr="00091E94">
        <w:rPr>
          <w:rFonts w:cs="Times New Roman"/>
        </w:rPr>
        <w:t>state and judging into a more convincing articulation of the general principles of administrative law.</w:t>
      </w:r>
      <w:r w:rsidRPr="00091E94">
        <w:rPr>
          <w:rStyle w:val="FootnoteReference"/>
        </w:rPr>
        <w:footnoteReference w:id="55"/>
      </w:r>
      <w:r w:rsidRPr="00091E94">
        <w:rPr>
          <w:rFonts w:cs="Times New Roman"/>
        </w:rPr>
        <w:t xml:space="preserve"> The book states its goal is to further our understanding of administrative law and adjudication by exploring the ‘anatomy’ of the subject, revealing it to be complex and diverse. </w:t>
      </w:r>
      <w:r w:rsidR="00824294" w:rsidRPr="00091E94">
        <w:rPr>
          <w:rFonts w:cs="Times New Roman"/>
        </w:rPr>
        <w:t xml:space="preserve">Bell describes three key features of administrative law which lend it an inherent complexity: first, administrative law cases involve the interpretation of discrete statutory provisions, not the articulation of sweeping general principles; second, in administrative law cases, judges juggle a plurality of principles, purposes or values and cannot rely on one unifying meta-concept; and, third, the protagonists in administrative law cases find themselves in different relationships, sometimes tied together by general norms, sometimes by individualized decisions highly specific to the circumstances of the parties. This is the anatomy of administrative law and, she argues, we must appreciate it </w:t>
      </w:r>
      <w:proofErr w:type="gramStart"/>
      <w:r w:rsidR="00824294" w:rsidRPr="00091E94">
        <w:rPr>
          <w:rFonts w:cs="Times New Roman"/>
        </w:rPr>
        <w:t>in order to</w:t>
      </w:r>
      <w:proofErr w:type="gramEnd"/>
      <w:r w:rsidR="00824294" w:rsidRPr="00091E94">
        <w:rPr>
          <w:rFonts w:cs="Times New Roman"/>
        </w:rPr>
        <w:t xml:space="preserve"> understand the subject</w:t>
      </w:r>
      <w:r w:rsidR="00EE2FB3" w:rsidRPr="00091E94">
        <w:rPr>
          <w:rFonts w:cs="Times New Roman"/>
        </w:rPr>
        <w:t>. The book achieves this through a combination of general discussion and detailed case studies, which consider procedural review, legitimate expectations, and standing.</w:t>
      </w:r>
      <w:r w:rsidR="002E63D3" w:rsidRPr="00091E94">
        <w:rPr>
          <w:rFonts w:cs="Times New Roman"/>
        </w:rPr>
        <w:t xml:space="preserve"> </w:t>
      </w:r>
      <w:r w:rsidR="00167B0F" w:rsidRPr="00091E94">
        <w:rPr>
          <w:rFonts w:cs="Times New Roman"/>
        </w:rPr>
        <w:t xml:space="preserve">Bell’s perspective is neither internal, nor external. Her </w:t>
      </w:r>
      <w:r w:rsidR="002E63D3" w:rsidRPr="00091E94">
        <w:rPr>
          <w:rFonts w:cs="Times New Roman"/>
        </w:rPr>
        <w:t>work is at once analytical, doctrinal</w:t>
      </w:r>
      <w:r w:rsidR="00003F43" w:rsidRPr="00091E94">
        <w:rPr>
          <w:rFonts w:cs="Times New Roman"/>
        </w:rPr>
        <w:t>,</w:t>
      </w:r>
      <w:r w:rsidR="002E63D3" w:rsidRPr="00091E94">
        <w:rPr>
          <w:rFonts w:cs="Times New Roman"/>
        </w:rPr>
        <w:t xml:space="preserve"> and empirical. Indeed, the major contribution of this book is that it proposes a ‘distinctive scholarly method in the study of administrative law adjudication</w:t>
      </w:r>
      <w:r w:rsidR="00003F43" w:rsidRPr="00091E94">
        <w:rPr>
          <w:rFonts w:cs="Times New Roman"/>
        </w:rPr>
        <w:t>.</w:t>
      </w:r>
      <w:r w:rsidR="002E63D3" w:rsidRPr="00091E94">
        <w:rPr>
          <w:rFonts w:cs="Times New Roman"/>
        </w:rPr>
        <w:t>’</w:t>
      </w:r>
      <w:r w:rsidR="00167B0F" w:rsidRPr="00091E94">
        <w:rPr>
          <w:rStyle w:val="FootnoteReference"/>
        </w:rPr>
        <w:footnoteReference w:id="56"/>
      </w:r>
      <w:r w:rsidR="002E63D3" w:rsidRPr="00091E94">
        <w:rPr>
          <w:rFonts w:cs="Times New Roman"/>
        </w:rPr>
        <w:t xml:space="preserve"> That method is one which rejects quixotic quests to articulate grand theories of administrative law doctrine and, instead, acknowledges and embraces the inherent complexity and diversity that a set of judicial principles which seek to regulate contemporary public administration inevitably possesses. </w:t>
      </w:r>
    </w:p>
    <w:p w14:paraId="3CF5ACC7" w14:textId="77777777" w:rsidR="00091E94" w:rsidRPr="00B42FD9" w:rsidRDefault="00091E94" w:rsidP="00B42FD9">
      <w:pPr>
        <w:spacing w:after="0"/>
        <w:ind w:firstLine="720"/>
        <w:jc w:val="both"/>
        <w:rPr>
          <w:rFonts w:ascii="Georgia" w:hAnsi="Georgia"/>
        </w:rPr>
      </w:pPr>
    </w:p>
    <w:p w14:paraId="14FE44AF" w14:textId="68C1D68C" w:rsidR="00174BD9" w:rsidRDefault="00D51919" w:rsidP="0057179A">
      <w:pPr>
        <w:spacing w:after="0" w:line="276" w:lineRule="auto"/>
        <w:ind w:firstLine="720"/>
        <w:jc w:val="both"/>
        <w:rPr>
          <w:rFonts w:cs="Times New Roman"/>
        </w:rPr>
      </w:pPr>
      <w:r w:rsidRPr="0057179A">
        <w:rPr>
          <w:rFonts w:cs="Times New Roman"/>
        </w:rPr>
        <w:lastRenderedPageBreak/>
        <w:t>An</w:t>
      </w:r>
      <w:r w:rsidR="00153D99" w:rsidRPr="0057179A">
        <w:rPr>
          <w:rFonts w:cs="Times New Roman"/>
        </w:rPr>
        <w:t>o</w:t>
      </w:r>
      <w:r w:rsidR="00153D99">
        <w:rPr>
          <w:rFonts w:cs="Times New Roman"/>
        </w:rPr>
        <w:t>ther notable recent contribution is Richard Martin’s endeavour to understand how police officers interpret and engage with human rights law.</w:t>
      </w:r>
      <w:r w:rsidR="00153D99">
        <w:rPr>
          <w:rStyle w:val="FootnoteReference"/>
        </w:rPr>
        <w:footnoteReference w:id="57"/>
      </w:r>
      <w:r w:rsidR="00153D99">
        <w:rPr>
          <w:rFonts w:cs="Times New Roman"/>
        </w:rPr>
        <w:t xml:space="preserve"> </w:t>
      </w:r>
      <w:r w:rsidR="00174BD9">
        <w:rPr>
          <w:rFonts w:cs="Times New Roman"/>
        </w:rPr>
        <w:t xml:space="preserve">There is a vast doctrinal and theoretical literature that explores the Human Rights Act 1998 but Martin’s contribution, guided by sociology, to take these questions to the ‘frontline’ of implementation. Based on empirical fieldwork with the </w:t>
      </w:r>
      <w:r w:rsidR="00174BD9" w:rsidRPr="00174BD9">
        <w:rPr>
          <w:rFonts w:cs="Times New Roman"/>
        </w:rPr>
        <w:t>Police Service of Northern Ireland</w:t>
      </w:r>
      <w:r w:rsidR="00174BD9">
        <w:rPr>
          <w:rFonts w:cs="Times New Roman"/>
        </w:rPr>
        <w:t xml:space="preserve">, including interviews and focus groups, </w:t>
      </w:r>
      <w:r w:rsidR="0057179A">
        <w:rPr>
          <w:rFonts w:cs="Times New Roman"/>
        </w:rPr>
        <w:t xml:space="preserve">the study shows how human rights law is encountered by police officers in their everyday work and, moreover, how they </w:t>
      </w:r>
      <w:r w:rsidR="00174BD9" w:rsidRPr="00174BD9">
        <w:rPr>
          <w:rFonts w:cs="Times New Roman"/>
        </w:rPr>
        <w:t>routinely interpret</w:t>
      </w:r>
      <w:r w:rsidR="0057179A">
        <w:rPr>
          <w:rFonts w:cs="Times New Roman"/>
        </w:rPr>
        <w:t xml:space="preserve"> and apply that law.</w:t>
      </w:r>
    </w:p>
    <w:p w14:paraId="1E5B3225" w14:textId="77777777" w:rsidR="00D51919" w:rsidRDefault="00D51919" w:rsidP="00091E94">
      <w:pPr>
        <w:spacing w:after="0" w:line="276" w:lineRule="auto"/>
        <w:ind w:firstLine="720"/>
        <w:jc w:val="both"/>
        <w:rPr>
          <w:rFonts w:cs="Times New Roman"/>
        </w:rPr>
      </w:pPr>
    </w:p>
    <w:p w14:paraId="22683E7F" w14:textId="05D6D94E" w:rsidR="008F5BED" w:rsidRPr="00091E94" w:rsidRDefault="00A65653" w:rsidP="00091E94">
      <w:pPr>
        <w:spacing w:after="0" w:line="276" w:lineRule="auto"/>
        <w:ind w:firstLine="720"/>
        <w:jc w:val="both"/>
        <w:rPr>
          <w:rFonts w:cs="Times New Roman"/>
        </w:rPr>
      </w:pPr>
      <w:r w:rsidRPr="00091E94">
        <w:rPr>
          <w:rFonts w:cs="Times New Roman"/>
        </w:rPr>
        <w:t>These recent contributions are, then, as much inside-out as outside-in</w:t>
      </w:r>
      <w:r w:rsidR="00570D97" w:rsidRPr="00091E94">
        <w:rPr>
          <w:rFonts w:cs="Times New Roman"/>
        </w:rPr>
        <w:t>. They demonstrate that meaningful insights into public administration can be generated from a plurality of perspectives, using a variety of methodological tools.</w:t>
      </w:r>
      <w:r w:rsidR="00CD290C" w:rsidRPr="00091E94">
        <w:rPr>
          <w:rFonts w:cs="Times New Roman"/>
        </w:rPr>
        <w:t xml:space="preserve"> </w:t>
      </w:r>
      <w:r w:rsidR="00234420" w:rsidRPr="00091E94">
        <w:rPr>
          <w:rFonts w:cs="Times New Roman"/>
        </w:rPr>
        <w:t>This proposition might not, however, win immediate universal acclaim. With interdisciplinary studies</w:t>
      </w:r>
      <w:r w:rsidR="005A7BFA" w:rsidRPr="00091E94">
        <w:rPr>
          <w:rFonts w:cs="Times New Roman"/>
        </w:rPr>
        <w:t xml:space="preserve"> (especially when lawyers are involved), there is a risk </w:t>
      </w:r>
      <w:r w:rsidR="00775975" w:rsidRPr="00091E94">
        <w:rPr>
          <w:rFonts w:cs="Times New Roman"/>
        </w:rPr>
        <w:t>that methodological tools from other disciplines will not be used appropriately. A</w:t>
      </w:r>
      <w:r w:rsidR="006D3E3E" w:rsidRPr="00091E94">
        <w:rPr>
          <w:rFonts w:cs="Times New Roman"/>
        </w:rPr>
        <w:t xml:space="preserve">ccordingly, </w:t>
      </w:r>
      <w:r w:rsidR="00DD0437" w:rsidRPr="00091E94">
        <w:rPr>
          <w:rFonts w:cs="Times New Roman"/>
        </w:rPr>
        <w:t xml:space="preserve">when disciplinary lines are being crossed, those going across conventional boundaries must pay very careful attention to the methodological demands of </w:t>
      </w:r>
      <w:r w:rsidR="004E0832" w:rsidRPr="00091E94">
        <w:rPr>
          <w:rFonts w:cs="Times New Roman"/>
        </w:rPr>
        <w:t>the disciplines in question. When done well interdisciplinary scholarship can generate profound insights</w:t>
      </w:r>
      <w:r w:rsidR="00D2078C" w:rsidRPr="00091E94">
        <w:rPr>
          <w:rFonts w:cs="Times New Roman"/>
        </w:rPr>
        <w:t xml:space="preserve">. </w:t>
      </w:r>
    </w:p>
    <w:p w14:paraId="5808CEEA" w14:textId="77777777" w:rsidR="00B42FD9" w:rsidRPr="00091E94" w:rsidRDefault="00B42FD9" w:rsidP="00091E94">
      <w:pPr>
        <w:spacing w:after="0" w:line="276" w:lineRule="auto"/>
        <w:ind w:firstLine="720"/>
        <w:jc w:val="both"/>
        <w:rPr>
          <w:rFonts w:cs="Times New Roman"/>
        </w:rPr>
      </w:pPr>
    </w:p>
    <w:p w14:paraId="776A0CCC" w14:textId="3B60E477" w:rsidR="007D6D96" w:rsidRDefault="007D6D96" w:rsidP="00091E94">
      <w:pPr>
        <w:spacing w:after="0" w:line="276" w:lineRule="auto"/>
        <w:jc w:val="both"/>
        <w:rPr>
          <w:rFonts w:cs="Times New Roman"/>
          <w:b/>
          <w:bCs/>
        </w:rPr>
      </w:pPr>
      <w:r w:rsidRPr="00091E94">
        <w:rPr>
          <w:rFonts w:cs="Times New Roman"/>
          <w:b/>
          <w:bCs/>
        </w:rPr>
        <w:t xml:space="preserve">VI. </w:t>
      </w:r>
      <w:r w:rsidR="001D7D46" w:rsidRPr="00091E94">
        <w:rPr>
          <w:rFonts w:cs="Times New Roman"/>
          <w:b/>
          <w:bCs/>
        </w:rPr>
        <w:t>CONCLUSION</w:t>
      </w:r>
    </w:p>
    <w:p w14:paraId="0F297B21" w14:textId="77777777" w:rsidR="00091E94" w:rsidRPr="00091E94" w:rsidRDefault="00091E94" w:rsidP="00091E94">
      <w:pPr>
        <w:spacing w:after="0" w:line="276" w:lineRule="auto"/>
        <w:jc w:val="both"/>
        <w:rPr>
          <w:rFonts w:cs="Times New Roman"/>
          <w:b/>
          <w:bCs/>
        </w:rPr>
      </w:pPr>
    </w:p>
    <w:p w14:paraId="2519E2A2" w14:textId="3915208A" w:rsidR="00D60AE0" w:rsidRPr="00091E94" w:rsidRDefault="00B42FD9" w:rsidP="00091E94">
      <w:pPr>
        <w:spacing w:after="0" w:line="276" w:lineRule="auto"/>
        <w:jc w:val="both"/>
        <w:rPr>
          <w:rFonts w:cs="Times New Roman"/>
          <w:i/>
        </w:rPr>
      </w:pPr>
      <w:r w:rsidRPr="00091E94">
        <w:rPr>
          <w:rFonts w:cs="Times New Roman"/>
        </w:rPr>
        <w:t>In this chapter w</w:t>
      </w:r>
      <w:r w:rsidR="007D6D96" w:rsidRPr="00091E94">
        <w:rPr>
          <w:rFonts w:cs="Times New Roman"/>
        </w:rPr>
        <w:t xml:space="preserve">e have </w:t>
      </w:r>
      <w:proofErr w:type="gramStart"/>
      <w:r w:rsidRPr="00091E94">
        <w:rPr>
          <w:rFonts w:cs="Times New Roman"/>
        </w:rPr>
        <w:t>provided</w:t>
      </w:r>
      <w:r w:rsidR="007D6D96" w:rsidRPr="00091E94">
        <w:rPr>
          <w:rFonts w:cs="Times New Roman"/>
        </w:rPr>
        <w:t xml:space="preserve"> an introduction to</w:t>
      </w:r>
      <w:proofErr w:type="gramEnd"/>
      <w:r w:rsidR="007D6D96" w:rsidRPr="00091E94">
        <w:rPr>
          <w:rFonts w:cs="Times New Roman"/>
        </w:rPr>
        <w:t xml:space="preserve"> </w:t>
      </w:r>
      <w:r w:rsidRPr="00091E94">
        <w:rPr>
          <w:rFonts w:cs="Times New Roman"/>
        </w:rPr>
        <w:t>public law research</w:t>
      </w:r>
      <w:r w:rsidR="007D6D96" w:rsidRPr="00091E94">
        <w:rPr>
          <w:rFonts w:cs="Times New Roman"/>
        </w:rPr>
        <w:t xml:space="preserve"> </w:t>
      </w:r>
      <w:r w:rsidRPr="00091E94">
        <w:rPr>
          <w:rFonts w:cs="Times New Roman"/>
        </w:rPr>
        <w:t>concerning</w:t>
      </w:r>
      <w:r w:rsidR="007D6D96" w:rsidRPr="00091E94">
        <w:rPr>
          <w:rFonts w:cs="Times New Roman"/>
        </w:rPr>
        <w:t xml:space="preserve"> the administrative state, intended as a guide to those embarking on scholarly endeavours in </w:t>
      </w:r>
      <w:r w:rsidR="00967F0B" w:rsidRPr="00091E94">
        <w:rPr>
          <w:rFonts w:cs="Times New Roman"/>
        </w:rPr>
        <w:t xml:space="preserve">vast territory, much of which </w:t>
      </w:r>
      <w:r w:rsidRPr="00091E94">
        <w:rPr>
          <w:rFonts w:cs="Times New Roman"/>
        </w:rPr>
        <w:t xml:space="preserve">remains </w:t>
      </w:r>
      <w:r w:rsidR="00967F0B" w:rsidRPr="00091E94">
        <w:rPr>
          <w:rFonts w:cs="Times New Roman"/>
        </w:rPr>
        <w:t xml:space="preserve">uncharted. </w:t>
      </w:r>
      <w:r w:rsidR="000224B9" w:rsidRPr="00091E94">
        <w:rPr>
          <w:rFonts w:cs="Times New Roman"/>
        </w:rPr>
        <w:t>The</w:t>
      </w:r>
      <w:r w:rsidR="00967F0B" w:rsidRPr="00091E94">
        <w:rPr>
          <w:rFonts w:cs="Times New Roman"/>
        </w:rPr>
        <w:t xml:space="preserve"> basic distinction between internal and external perspectives</w:t>
      </w:r>
      <w:r w:rsidR="000224B9" w:rsidRPr="00091E94">
        <w:rPr>
          <w:rFonts w:cs="Times New Roman"/>
        </w:rPr>
        <w:t xml:space="preserve"> </w:t>
      </w:r>
      <w:r w:rsidR="00091E94" w:rsidRPr="00091E94">
        <w:rPr>
          <w:rFonts w:cs="Times New Roman"/>
        </w:rPr>
        <w:t>remains</w:t>
      </w:r>
      <w:r w:rsidR="00967F0B" w:rsidRPr="00091E94">
        <w:rPr>
          <w:rFonts w:cs="Times New Roman"/>
        </w:rPr>
        <w:t xml:space="preserve"> a useful navigational device, capable of orienting scholarly activities in </w:t>
      </w:r>
      <w:r w:rsidRPr="00091E94">
        <w:rPr>
          <w:rFonts w:cs="Times New Roman"/>
        </w:rPr>
        <w:t>this context</w:t>
      </w:r>
      <w:r w:rsidR="00B8149B" w:rsidRPr="00091E94">
        <w:rPr>
          <w:rFonts w:cs="Times New Roman"/>
        </w:rPr>
        <w:t xml:space="preserve"> and aiding in the identification of the necessary methodological tools. </w:t>
      </w:r>
      <w:r w:rsidR="001D7D46" w:rsidRPr="00091E94">
        <w:rPr>
          <w:rFonts w:cs="Times New Roman"/>
        </w:rPr>
        <w:t xml:space="preserve">We do not, however, wish to give the impression that the internal and external are hermetically sealed categories. </w:t>
      </w:r>
      <w:r w:rsidR="000224B9" w:rsidRPr="00091E94">
        <w:rPr>
          <w:rFonts w:cs="Times New Roman"/>
        </w:rPr>
        <w:t xml:space="preserve">They are navigational devices, not destinations in and of themselves. As we observed, recent </w:t>
      </w:r>
      <w:r w:rsidRPr="00091E94">
        <w:rPr>
          <w:rFonts w:cs="Times New Roman"/>
        </w:rPr>
        <w:t xml:space="preserve">scholarship has sought to </w:t>
      </w:r>
      <w:r w:rsidR="000224B9" w:rsidRPr="00091E94">
        <w:rPr>
          <w:rFonts w:cs="Times New Roman"/>
        </w:rPr>
        <w:t>straddle the internal/external divide</w:t>
      </w:r>
      <w:r w:rsidR="00091E94" w:rsidRPr="00091E94">
        <w:rPr>
          <w:rFonts w:cs="Times New Roman"/>
        </w:rPr>
        <w:t xml:space="preserve"> and adopt more methodological diversity</w:t>
      </w:r>
      <w:r w:rsidR="000224B9" w:rsidRPr="00091E94">
        <w:rPr>
          <w:rFonts w:cs="Times New Roman"/>
        </w:rPr>
        <w:t xml:space="preserve">, demonstrating that useful insights can be generated </w:t>
      </w:r>
      <w:r w:rsidR="002D44B9" w:rsidRPr="00091E94">
        <w:rPr>
          <w:rFonts w:cs="Times New Roman"/>
        </w:rPr>
        <w:t>by combining internal and external perspectives.</w:t>
      </w:r>
    </w:p>
    <w:sectPr w:rsidR="00D60AE0" w:rsidRPr="00091E94">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81E8E" w14:textId="77777777" w:rsidR="00871222" w:rsidRDefault="00871222" w:rsidP="00D60AE0">
      <w:pPr>
        <w:spacing w:after="0" w:line="240" w:lineRule="auto"/>
      </w:pPr>
      <w:r>
        <w:separator/>
      </w:r>
    </w:p>
  </w:endnote>
  <w:endnote w:type="continuationSeparator" w:id="0">
    <w:p w14:paraId="3D116CC8" w14:textId="77777777" w:rsidR="00871222" w:rsidRDefault="00871222" w:rsidP="00D60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6178599"/>
      <w:docPartObj>
        <w:docPartGallery w:val="Page Numbers (Bottom of Page)"/>
        <w:docPartUnique/>
      </w:docPartObj>
    </w:sdtPr>
    <w:sdtEndPr>
      <w:rPr>
        <w:rStyle w:val="PageNumber"/>
      </w:rPr>
    </w:sdtEndPr>
    <w:sdtContent>
      <w:p w14:paraId="5F512721" w14:textId="70086083" w:rsidR="006360B1" w:rsidRDefault="006360B1" w:rsidP="00906C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F3582D" w14:textId="77777777" w:rsidR="007547B1" w:rsidRDefault="00754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imes New Roman"/>
        <w:sz w:val="20"/>
        <w:szCs w:val="20"/>
      </w:rPr>
      <w:id w:val="2004243090"/>
      <w:docPartObj>
        <w:docPartGallery w:val="Page Numbers (Bottom of Page)"/>
        <w:docPartUnique/>
      </w:docPartObj>
    </w:sdtPr>
    <w:sdtEndPr>
      <w:rPr>
        <w:rStyle w:val="PageNumber"/>
        <w:sz w:val="24"/>
        <w:szCs w:val="24"/>
      </w:rPr>
    </w:sdtEndPr>
    <w:sdtContent>
      <w:p w14:paraId="06D0399F" w14:textId="79A325B3" w:rsidR="006360B1" w:rsidRPr="00817CF3" w:rsidRDefault="006360B1" w:rsidP="00906CA5">
        <w:pPr>
          <w:pStyle w:val="Footer"/>
          <w:framePr w:wrap="none" w:vAnchor="text" w:hAnchor="margin" w:xAlign="center" w:y="1"/>
          <w:rPr>
            <w:rStyle w:val="PageNumber"/>
            <w:rFonts w:cs="Times New Roman"/>
            <w:sz w:val="20"/>
            <w:szCs w:val="20"/>
          </w:rPr>
        </w:pPr>
        <w:r w:rsidRPr="00817CF3">
          <w:rPr>
            <w:rStyle w:val="PageNumber"/>
            <w:rFonts w:cs="Times New Roman"/>
            <w:sz w:val="20"/>
            <w:szCs w:val="20"/>
          </w:rPr>
          <w:fldChar w:fldCharType="begin"/>
        </w:r>
        <w:r w:rsidRPr="00817CF3">
          <w:rPr>
            <w:rStyle w:val="PageNumber"/>
            <w:rFonts w:cs="Times New Roman"/>
            <w:sz w:val="20"/>
            <w:szCs w:val="20"/>
          </w:rPr>
          <w:instrText xml:space="preserve"> PAGE </w:instrText>
        </w:r>
        <w:r w:rsidRPr="00817CF3">
          <w:rPr>
            <w:rStyle w:val="PageNumber"/>
            <w:rFonts w:cs="Times New Roman"/>
            <w:sz w:val="20"/>
            <w:szCs w:val="20"/>
          </w:rPr>
          <w:fldChar w:fldCharType="separate"/>
        </w:r>
        <w:r w:rsidRPr="00817CF3">
          <w:rPr>
            <w:rStyle w:val="PageNumber"/>
            <w:rFonts w:cs="Times New Roman"/>
            <w:noProof/>
            <w:sz w:val="20"/>
            <w:szCs w:val="20"/>
          </w:rPr>
          <w:t>1</w:t>
        </w:r>
        <w:r w:rsidRPr="00817CF3">
          <w:rPr>
            <w:rStyle w:val="PageNumber"/>
            <w:rFonts w:cs="Times New Roman"/>
            <w:sz w:val="20"/>
            <w:szCs w:val="20"/>
          </w:rPr>
          <w:fldChar w:fldCharType="end"/>
        </w:r>
      </w:p>
    </w:sdtContent>
  </w:sdt>
  <w:p w14:paraId="370C9BA5" w14:textId="77777777" w:rsidR="007547B1" w:rsidRDefault="00754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F2BF" w14:textId="77777777" w:rsidR="00871222" w:rsidRDefault="00871222" w:rsidP="00D60AE0">
      <w:pPr>
        <w:spacing w:after="0" w:line="240" w:lineRule="auto"/>
      </w:pPr>
      <w:r>
        <w:separator/>
      </w:r>
    </w:p>
  </w:footnote>
  <w:footnote w:type="continuationSeparator" w:id="0">
    <w:p w14:paraId="4D56A226" w14:textId="77777777" w:rsidR="00871222" w:rsidRDefault="00871222" w:rsidP="00D60AE0">
      <w:pPr>
        <w:spacing w:after="0" w:line="240" w:lineRule="auto"/>
      </w:pPr>
      <w:r>
        <w:continuationSeparator/>
      </w:r>
    </w:p>
  </w:footnote>
  <w:footnote w:id="1">
    <w:p w14:paraId="74A77779" w14:textId="0ABB6B2F" w:rsidR="006360B1" w:rsidRPr="00095610" w:rsidRDefault="006360B1"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sym w:font="Symbol" w:char="F02A"/>
      </w:r>
      <w:r w:rsidRPr="00095610">
        <w:rPr>
          <w:rFonts w:cs="Times New Roman"/>
          <w:sz w:val="20"/>
          <w:lang w:val="en-GB"/>
        </w:rPr>
        <w:t xml:space="preserve"> University Research Chair in Administrative Law &amp; Governance, University of Ottawa.</w:t>
      </w:r>
    </w:p>
  </w:footnote>
  <w:footnote w:id="2">
    <w:p w14:paraId="292C9E7F" w14:textId="6B8BBAFE" w:rsidR="006360B1" w:rsidRPr="00095610" w:rsidRDefault="006360B1"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sym w:font="Symbol" w:char="F02B"/>
      </w:r>
      <w:r w:rsidRPr="00095610">
        <w:rPr>
          <w:rFonts w:cs="Times New Roman"/>
          <w:sz w:val="20"/>
          <w:lang w:val="en-GB"/>
        </w:rPr>
        <w:t xml:space="preserve"> Senior Lecturer in Public Law, University of York.</w:t>
      </w:r>
    </w:p>
  </w:footnote>
  <w:footnote w:id="3">
    <w:p w14:paraId="1A0958E1" w14:textId="3A1D1E72" w:rsidR="00F00C4D" w:rsidRPr="00095610" w:rsidRDefault="00F00C4D"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 xml:space="preserve">There are, of course, other </w:t>
      </w:r>
      <w:r w:rsidR="0036411A" w:rsidRPr="00095610">
        <w:rPr>
          <w:rFonts w:cs="Times New Roman"/>
          <w:sz w:val="20"/>
          <w:lang w:val="en-GB"/>
        </w:rPr>
        <w:t>means of distinguishing</w:t>
      </w:r>
      <w:r w:rsidRPr="00095610">
        <w:rPr>
          <w:rFonts w:cs="Times New Roman"/>
          <w:sz w:val="20"/>
          <w:lang w:val="en-GB"/>
        </w:rPr>
        <w:t xml:space="preserve"> </w:t>
      </w:r>
      <w:r w:rsidR="0036411A" w:rsidRPr="00095610">
        <w:rPr>
          <w:rFonts w:cs="Times New Roman"/>
          <w:sz w:val="20"/>
          <w:lang w:val="en-GB"/>
        </w:rPr>
        <w:t xml:space="preserve">different </w:t>
      </w:r>
      <w:r w:rsidRPr="00095610">
        <w:rPr>
          <w:rFonts w:cs="Times New Roman"/>
          <w:sz w:val="20"/>
          <w:lang w:val="en-GB"/>
        </w:rPr>
        <w:t xml:space="preserve">scholarly approaches </w:t>
      </w:r>
      <w:r w:rsidR="0036411A" w:rsidRPr="00095610">
        <w:rPr>
          <w:rFonts w:cs="Times New Roman"/>
          <w:sz w:val="20"/>
          <w:lang w:val="en-GB"/>
        </w:rPr>
        <w:t>in this field</w:t>
      </w:r>
      <w:r w:rsidR="00241395" w:rsidRPr="00095610">
        <w:rPr>
          <w:rFonts w:cs="Times New Roman"/>
          <w:sz w:val="20"/>
          <w:lang w:val="en-GB"/>
        </w:rPr>
        <w:t>.</w:t>
      </w:r>
    </w:p>
  </w:footnote>
  <w:footnote w:id="4">
    <w:p w14:paraId="1070F2B3" w14:textId="2D3A5913"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w:t>
      </w:r>
      <w:r w:rsidR="00C61507" w:rsidRPr="00095610">
        <w:rPr>
          <w:rFonts w:cs="Times New Roman"/>
          <w:sz w:val="20"/>
          <w:lang w:val="en-GB"/>
        </w:rPr>
        <w:t xml:space="preserve">B. Wyman, </w:t>
      </w:r>
      <w:r w:rsidR="00C61507" w:rsidRPr="00095610">
        <w:rPr>
          <w:rFonts w:cs="Times New Roman"/>
          <w:i/>
          <w:sz w:val="20"/>
          <w:lang w:val="en-GB"/>
        </w:rPr>
        <w:t xml:space="preserve">The Principles of the Administrative Law Governing the Relations of Public Officers </w:t>
      </w:r>
      <w:r w:rsidR="00C61507" w:rsidRPr="00095610">
        <w:rPr>
          <w:rFonts w:cs="Times New Roman"/>
          <w:sz w:val="20"/>
          <w:lang w:val="en-GB"/>
        </w:rPr>
        <w:t>(Lawbook Exchange, 2014, first published 1903).</w:t>
      </w:r>
    </w:p>
  </w:footnote>
  <w:footnote w:id="5">
    <w:p w14:paraId="7102C28D" w14:textId="3D67271E" w:rsidR="00851F57" w:rsidRPr="00095610" w:rsidRDefault="00851F57"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For the leading account of functionalism in public, see: M. Loughlin, 'Modernism in British public law; 1919-79' [2014] </w:t>
      </w:r>
      <w:r w:rsidRPr="00095610">
        <w:rPr>
          <w:rFonts w:cs="Times New Roman"/>
          <w:i/>
          <w:iCs/>
          <w:sz w:val="20"/>
          <w:lang w:val="en-GB"/>
        </w:rPr>
        <w:t>Public Law</w:t>
      </w:r>
      <w:r w:rsidRPr="00095610">
        <w:rPr>
          <w:rFonts w:cs="Times New Roman"/>
          <w:sz w:val="20"/>
          <w:lang w:val="en-GB"/>
        </w:rPr>
        <w:t xml:space="preserve"> 56; M. Loughlin, 'The Functionalist Style in Public Law' (2005) 55 </w:t>
      </w:r>
      <w:r w:rsidRPr="00095610">
        <w:rPr>
          <w:rFonts w:cs="Times New Roman"/>
          <w:i/>
          <w:iCs/>
          <w:sz w:val="20"/>
          <w:lang w:val="en-GB"/>
        </w:rPr>
        <w:t>University of Toronto Law Journal</w:t>
      </w:r>
      <w:r w:rsidRPr="00095610">
        <w:rPr>
          <w:rFonts w:cs="Times New Roman"/>
          <w:sz w:val="20"/>
          <w:lang w:val="en-GB"/>
        </w:rPr>
        <w:t xml:space="preserve"> 361.</w:t>
      </w:r>
      <w:r w:rsidR="00241395" w:rsidRPr="00095610">
        <w:rPr>
          <w:rFonts w:cs="Times New Roman"/>
          <w:sz w:val="20"/>
          <w:lang w:val="en-GB"/>
        </w:rPr>
        <w:t xml:space="preserve"> See further: M. Loughlin, </w:t>
      </w:r>
      <w:r w:rsidR="00241395" w:rsidRPr="00095610">
        <w:rPr>
          <w:rFonts w:cs="Times New Roman"/>
          <w:i/>
          <w:iCs/>
          <w:sz w:val="20"/>
          <w:lang w:val="en-GB"/>
        </w:rPr>
        <w:t xml:space="preserve">Public </w:t>
      </w:r>
      <w:proofErr w:type="gramStart"/>
      <w:r w:rsidR="00241395" w:rsidRPr="00095610">
        <w:rPr>
          <w:rFonts w:cs="Times New Roman"/>
          <w:i/>
          <w:iCs/>
          <w:sz w:val="20"/>
          <w:lang w:val="en-GB"/>
        </w:rPr>
        <w:t>Law</w:t>
      </w:r>
      <w:proofErr w:type="gramEnd"/>
      <w:r w:rsidR="00241395" w:rsidRPr="00095610">
        <w:rPr>
          <w:rFonts w:cs="Times New Roman"/>
          <w:i/>
          <w:iCs/>
          <w:sz w:val="20"/>
          <w:lang w:val="en-GB"/>
        </w:rPr>
        <w:t xml:space="preserve"> and Political Theory </w:t>
      </w:r>
      <w:r w:rsidR="00241395" w:rsidRPr="00095610">
        <w:rPr>
          <w:rFonts w:cs="Times New Roman"/>
          <w:sz w:val="20"/>
          <w:lang w:val="en-GB"/>
        </w:rPr>
        <w:t>(Oxford University Press, 1992).</w:t>
      </w:r>
    </w:p>
  </w:footnote>
  <w:footnote w:id="6">
    <w:p w14:paraId="26D01995" w14:textId="124E97D8"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w:t>
      </w:r>
      <w:r w:rsidR="00C61507" w:rsidRPr="00095610">
        <w:rPr>
          <w:rFonts w:cs="Times New Roman"/>
          <w:sz w:val="20"/>
          <w:lang w:val="en-GB"/>
        </w:rPr>
        <w:t xml:space="preserve">A.V. Dicey, </w:t>
      </w:r>
      <w:r w:rsidR="00C61507" w:rsidRPr="00095610">
        <w:rPr>
          <w:rFonts w:cs="Times New Roman"/>
          <w:i/>
          <w:iCs/>
          <w:sz w:val="20"/>
          <w:lang w:val="en-GB"/>
        </w:rPr>
        <w:t>Law of the Constitution</w:t>
      </w:r>
      <w:r w:rsidR="00C61507" w:rsidRPr="00095610">
        <w:rPr>
          <w:rFonts w:cs="Times New Roman"/>
          <w:sz w:val="20"/>
          <w:lang w:val="en-GB"/>
        </w:rPr>
        <w:t xml:space="preserve"> (</w:t>
      </w:r>
      <w:r w:rsidR="00822875" w:rsidRPr="00095610">
        <w:rPr>
          <w:rFonts w:cs="Times New Roman"/>
          <w:sz w:val="20"/>
          <w:lang w:val="en-GB"/>
        </w:rPr>
        <w:t xml:space="preserve">Macmillan and Co., </w:t>
      </w:r>
      <w:r w:rsidR="00C61507" w:rsidRPr="00095610">
        <w:rPr>
          <w:rFonts w:cs="Times New Roman"/>
          <w:sz w:val="20"/>
          <w:lang w:val="en-GB"/>
        </w:rPr>
        <w:t>1885)</w:t>
      </w:r>
      <w:r w:rsidR="00822875" w:rsidRPr="00095610">
        <w:rPr>
          <w:rFonts w:cs="Times New Roman"/>
          <w:sz w:val="20"/>
          <w:lang w:val="en-GB"/>
        </w:rPr>
        <w:t>, pp.215-216</w:t>
      </w:r>
      <w:r w:rsidR="00C61507" w:rsidRPr="00095610">
        <w:rPr>
          <w:rFonts w:cs="Times New Roman"/>
          <w:sz w:val="20"/>
          <w:lang w:val="en-GB"/>
        </w:rPr>
        <w:t>.</w:t>
      </w:r>
    </w:p>
  </w:footnote>
  <w:footnote w:id="7">
    <w:p w14:paraId="187220E1" w14:textId="09974227"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B. Wyman, </w:t>
      </w:r>
      <w:r w:rsidRPr="00095610">
        <w:rPr>
          <w:rFonts w:cs="Times New Roman"/>
          <w:i/>
          <w:sz w:val="20"/>
          <w:lang w:val="en-GB"/>
        </w:rPr>
        <w:t xml:space="preserve">The Principles of the Administrative Law Governing the Relations of Public Officers </w:t>
      </w:r>
      <w:r w:rsidRPr="00095610">
        <w:rPr>
          <w:rFonts w:cs="Times New Roman"/>
          <w:sz w:val="20"/>
          <w:lang w:val="en-GB"/>
        </w:rPr>
        <w:t>(</w:t>
      </w:r>
      <w:r w:rsidR="008F1D69" w:rsidRPr="00095610">
        <w:rPr>
          <w:rFonts w:cs="Times New Roman"/>
          <w:sz w:val="20"/>
          <w:lang w:val="en-GB"/>
        </w:rPr>
        <w:t xml:space="preserve">Lawbook Exchange, 2014, first published </w:t>
      </w:r>
      <w:r w:rsidRPr="00095610">
        <w:rPr>
          <w:rFonts w:cs="Times New Roman"/>
          <w:sz w:val="20"/>
          <w:lang w:val="en-GB"/>
        </w:rPr>
        <w:t>1903), p.23.</w:t>
      </w:r>
    </w:p>
  </w:footnote>
  <w:footnote w:id="8">
    <w:p w14:paraId="6D64109B" w14:textId="77777777"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Ibid, p.1.</w:t>
      </w:r>
    </w:p>
  </w:footnote>
  <w:footnote w:id="9">
    <w:p w14:paraId="32DE0558" w14:textId="77777777"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w:t>
      </w:r>
      <w:r w:rsidRPr="00095610">
        <w:rPr>
          <w:rFonts w:eastAsia="Times New Roman" w:cs="Times New Roman"/>
          <w:sz w:val="20"/>
          <w:lang w:val="en-GB"/>
        </w:rPr>
        <w:t>Ibid, p.4.</w:t>
      </w:r>
    </w:p>
  </w:footnote>
  <w:footnote w:id="10">
    <w:p w14:paraId="3FC3D49E" w14:textId="648D73B2" w:rsidR="008F1D69"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w:t>
      </w:r>
      <w:r w:rsidR="008F1D69" w:rsidRPr="00095610">
        <w:rPr>
          <w:rFonts w:cs="Times New Roman"/>
          <w:sz w:val="20"/>
          <w:lang w:val="en-GB"/>
        </w:rPr>
        <w:t xml:space="preserve">K. Stack, ‘Reclaiming “the Real Subject” of Administrative Law’ in B. Wyman, </w:t>
      </w:r>
      <w:r w:rsidR="008F1D69" w:rsidRPr="00095610">
        <w:rPr>
          <w:rFonts w:cs="Times New Roman"/>
          <w:i/>
          <w:sz w:val="20"/>
          <w:lang w:val="en-GB"/>
        </w:rPr>
        <w:t xml:space="preserve">The Principles of the Administrative Law Governing the Relations of Public Officers </w:t>
      </w:r>
      <w:r w:rsidR="008F1D69" w:rsidRPr="00095610">
        <w:rPr>
          <w:rFonts w:cs="Times New Roman"/>
          <w:sz w:val="20"/>
          <w:lang w:val="en-GB"/>
        </w:rPr>
        <w:t>(Lawbook Exchange, 2014, first published 1903), p. XV.</w:t>
      </w:r>
    </w:p>
  </w:footnote>
  <w:footnote w:id="11">
    <w:p w14:paraId="13ADFDF4" w14:textId="77777777"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B. Wyman, </w:t>
      </w:r>
      <w:r w:rsidRPr="00095610">
        <w:rPr>
          <w:rFonts w:cs="Times New Roman"/>
          <w:i/>
          <w:sz w:val="20"/>
          <w:lang w:val="en-GB"/>
        </w:rPr>
        <w:t xml:space="preserve">The Principles of the Administrative Law Governing the Relations of Public Officers </w:t>
      </w:r>
      <w:r w:rsidRPr="00095610">
        <w:rPr>
          <w:rFonts w:cs="Times New Roman"/>
          <w:sz w:val="20"/>
          <w:lang w:val="en-GB"/>
        </w:rPr>
        <w:t>(1903), p.4, p.14.</w:t>
      </w:r>
    </w:p>
  </w:footnote>
  <w:footnote w:id="12">
    <w:p w14:paraId="14F42C98" w14:textId="77777777"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Ibid, p.14.</w:t>
      </w:r>
    </w:p>
  </w:footnote>
  <w:footnote w:id="13">
    <w:p w14:paraId="765F8A79" w14:textId="77777777" w:rsidR="00AA31F4" w:rsidRPr="00095610" w:rsidRDefault="00AA31F4"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Ibid, p.262.</w:t>
      </w:r>
    </w:p>
  </w:footnote>
  <w:footnote w:id="14">
    <w:p w14:paraId="37C9EFF3" w14:textId="329D07E2" w:rsidR="00DF36F0" w:rsidRPr="00095610" w:rsidRDefault="00DF36F0"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w:t>
      </w:r>
      <w:r w:rsidR="00C61507" w:rsidRPr="00095610">
        <w:rPr>
          <w:rFonts w:cs="Times New Roman"/>
          <w:sz w:val="20"/>
          <w:lang w:val="en-GB"/>
        </w:rPr>
        <w:t xml:space="preserve">C. Harlow and R. Rawlings, </w:t>
      </w:r>
      <w:proofErr w:type="gramStart"/>
      <w:r w:rsidR="00C61507" w:rsidRPr="00095610">
        <w:rPr>
          <w:rFonts w:cs="Times New Roman"/>
          <w:i/>
          <w:iCs/>
          <w:sz w:val="20"/>
          <w:lang w:val="en-GB"/>
        </w:rPr>
        <w:t>Law</w:t>
      </w:r>
      <w:proofErr w:type="gramEnd"/>
      <w:r w:rsidR="00C61507" w:rsidRPr="00095610">
        <w:rPr>
          <w:rFonts w:cs="Times New Roman"/>
          <w:i/>
          <w:iCs/>
          <w:sz w:val="20"/>
          <w:lang w:val="en-GB"/>
        </w:rPr>
        <w:t xml:space="preserve"> and Administration </w:t>
      </w:r>
      <w:r w:rsidR="00C61507" w:rsidRPr="00095610">
        <w:rPr>
          <w:rFonts w:cs="Times New Roman"/>
          <w:sz w:val="20"/>
          <w:lang w:val="en-GB"/>
        </w:rPr>
        <w:t>(3rd edn, Cambridge University Press, 2009), Ch.1.</w:t>
      </w:r>
    </w:p>
  </w:footnote>
  <w:footnote w:id="15">
    <w:p w14:paraId="500EA40D" w14:textId="3D27F584" w:rsidR="00DF36F0" w:rsidRPr="00095610" w:rsidRDefault="00DF36F0"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w:t>
      </w:r>
      <w:r w:rsidR="00C61507" w:rsidRPr="00095610">
        <w:rPr>
          <w:rFonts w:cs="Times New Roman"/>
          <w:sz w:val="20"/>
          <w:lang w:val="en-GB"/>
        </w:rPr>
        <w:t xml:space="preserve">J. Willis, ‘Three Approaches to Administrative Law: The Judicial, the Conceptual, and the Functional’ (1935) 1 </w:t>
      </w:r>
      <w:r w:rsidR="00C61507" w:rsidRPr="00095610">
        <w:rPr>
          <w:rFonts w:cs="Times New Roman"/>
          <w:i/>
          <w:iCs/>
          <w:sz w:val="20"/>
          <w:lang w:val="en-GB"/>
        </w:rPr>
        <w:t xml:space="preserve">University of Toronto Law Journal </w:t>
      </w:r>
      <w:r w:rsidR="00C61507" w:rsidRPr="00095610">
        <w:rPr>
          <w:rFonts w:cs="Times New Roman"/>
          <w:sz w:val="20"/>
          <w:lang w:val="en-GB"/>
        </w:rPr>
        <w:t>53.</w:t>
      </w:r>
    </w:p>
  </w:footnote>
  <w:footnote w:id="16">
    <w:p w14:paraId="0109C175" w14:textId="33D8F5FE" w:rsidR="00DF36F0" w:rsidRPr="00095610" w:rsidRDefault="00DF36F0" w:rsidP="00095610">
      <w:pPr>
        <w:pStyle w:val="FootnoteText"/>
        <w:snapToGrid w:val="0"/>
        <w:spacing w:before="100" w:beforeAutospacing="1" w:after="120"/>
        <w:jc w:val="both"/>
        <w:rPr>
          <w:rFonts w:cs="Times New Roman"/>
          <w:sz w:val="20"/>
          <w:lang w:val="en-GB"/>
        </w:rPr>
      </w:pPr>
      <w:r w:rsidRPr="00095610">
        <w:rPr>
          <w:rStyle w:val="FootnoteReference"/>
          <w:sz w:val="20"/>
          <w:lang w:val="en-GB"/>
        </w:rPr>
        <w:footnoteRef/>
      </w:r>
      <w:r w:rsidRPr="00095610">
        <w:rPr>
          <w:rFonts w:cs="Times New Roman"/>
          <w:sz w:val="20"/>
          <w:lang w:val="en-GB"/>
        </w:rPr>
        <w:t xml:space="preserve"> </w:t>
      </w:r>
      <w:r w:rsidR="00C61507" w:rsidRPr="00095610">
        <w:rPr>
          <w:rFonts w:cs="Times New Roman"/>
          <w:sz w:val="20"/>
          <w:lang w:val="en-GB"/>
        </w:rPr>
        <w:t>D.A. Farber and A.</w:t>
      </w:r>
      <w:r w:rsidR="00822875" w:rsidRPr="00095610">
        <w:rPr>
          <w:rFonts w:cs="Times New Roman"/>
          <w:sz w:val="20"/>
          <w:lang w:val="en-GB"/>
        </w:rPr>
        <w:t xml:space="preserve"> Joseph</w:t>
      </w:r>
      <w:r w:rsidR="00C61507" w:rsidRPr="00095610">
        <w:rPr>
          <w:rFonts w:cs="Times New Roman"/>
          <w:sz w:val="20"/>
          <w:lang w:val="en-GB"/>
        </w:rPr>
        <w:t xml:space="preserve"> O'Connell, ‘The Lost World of Administrative Law’ (2014) 92 </w:t>
      </w:r>
      <w:r w:rsidR="00C61507" w:rsidRPr="00095610">
        <w:rPr>
          <w:rFonts w:cs="Times New Roman"/>
          <w:i/>
          <w:iCs/>
          <w:sz w:val="20"/>
          <w:lang w:val="en-GB"/>
        </w:rPr>
        <w:t>Texas Law Review</w:t>
      </w:r>
      <w:r w:rsidR="00C61507" w:rsidRPr="00095610">
        <w:rPr>
          <w:rFonts w:cs="Times New Roman"/>
          <w:sz w:val="20"/>
          <w:lang w:val="en-GB"/>
        </w:rPr>
        <w:t xml:space="preserve"> 1137; G.E. Metzger and K.M. Stack, ‘Internal Administrative Law’ (2017) 115 </w:t>
      </w:r>
      <w:r w:rsidR="00C61507" w:rsidRPr="00095610">
        <w:rPr>
          <w:rFonts w:cs="Times New Roman"/>
          <w:i/>
          <w:iCs/>
          <w:sz w:val="20"/>
          <w:lang w:val="en-GB"/>
        </w:rPr>
        <w:t>Michigan Law Review</w:t>
      </w:r>
      <w:r w:rsidR="00C61507" w:rsidRPr="00095610">
        <w:rPr>
          <w:rFonts w:cs="Times New Roman"/>
          <w:sz w:val="20"/>
          <w:lang w:val="en-GB"/>
        </w:rPr>
        <w:t xml:space="preserve"> 1239.</w:t>
      </w:r>
    </w:p>
  </w:footnote>
  <w:footnote w:id="17">
    <w:p w14:paraId="623057E8" w14:textId="77777777"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P. Craig, </w:t>
      </w:r>
      <w:r w:rsidRPr="00095610">
        <w:rPr>
          <w:rFonts w:cs="Times New Roman"/>
          <w:i/>
          <w:sz w:val="20"/>
        </w:rPr>
        <w:t xml:space="preserve">UK, EU and Global Administrative Law: Foundations and Challenges </w:t>
      </w:r>
      <w:r w:rsidRPr="00095610">
        <w:rPr>
          <w:rFonts w:cs="Times New Roman"/>
          <w:sz w:val="20"/>
        </w:rPr>
        <w:t>(Cambridge University Press, 2015).</w:t>
      </w:r>
    </w:p>
  </w:footnote>
  <w:footnote w:id="18">
    <w:p w14:paraId="73A952D1" w14:textId="2EC90427" w:rsidR="00B6716F" w:rsidRPr="00095610" w:rsidRDefault="00B6716F" w:rsidP="00095610">
      <w:pPr>
        <w:pStyle w:val="FootnoteText"/>
        <w:snapToGrid w:val="0"/>
        <w:spacing w:before="100" w:beforeAutospacing="1" w:after="120"/>
        <w:jc w:val="both"/>
        <w:rPr>
          <w:rFonts w:cs="Times New Roman"/>
          <w:sz w:val="20"/>
          <w:highlight w:val="yellow"/>
          <w:lang w:val="en-GB"/>
        </w:rPr>
      </w:pPr>
      <w:r w:rsidRPr="00095610">
        <w:rPr>
          <w:rStyle w:val="FootnoteReference"/>
          <w:sz w:val="20"/>
        </w:rPr>
        <w:footnoteRef/>
      </w:r>
      <w:r w:rsidRPr="00095610">
        <w:rPr>
          <w:rFonts w:cs="Times New Roman"/>
          <w:sz w:val="20"/>
        </w:rPr>
        <w:t xml:space="preserve"> </w:t>
      </w:r>
      <w:r w:rsidR="00E50552" w:rsidRPr="00095610">
        <w:rPr>
          <w:rFonts w:cs="Times New Roman"/>
          <w:sz w:val="20"/>
          <w:lang w:val="en-GB"/>
        </w:rPr>
        <w:t xml:space="preserve">However, in the United States, the </w:t>
      </w:r>
      <w:r w:rsidR="00E50552" w:rsidRPr="00095610">
        <w:rPr>
          <w:rFonts w:cs="Times New Roman"/>
          <w:iCs/>
          <w:sz w:val="20"/>
          <w:lang w:val="en-GB"/>
        </w:rPr>
        <w:t>Administrative Procedure Act</w:t>
      </w:r>
      <w:r w:rsidR="00E50552" w:rsidRPr="00095610">
        <w:rPr>
          <w:rFonts w:cs="Times New Roman"/>
          <w:sz w:val="20"/>
          <w:lang w:val="en-GB"/>
        </w:rPr>
        <w:t xml:space="preserve"> looms so large as to largely eclipse the supervisory jurisdiction, see: </w:t>
      </w:r>
      <w:r w:rsidRPr="00095610">
        <w:rPr>
          <w:rFonts w:cs="Times New Roman"/>
          <w:sz w:val="20"/>
          <w:lang w:val="en-GB"/>
        </w:rPr>
        <w:t xml:space="preserve">K. E. Kovacs, </w:t>
      </w:r>
      <w:r w:rsidR="007B2205" w:rsidRPr="00095610">
        <w:rPr>
          <w:rFonts w:cs="Times New Roman"/>
          <w:sz w:val="20"/>
          <w:lang w:val="en-GB"/>
        </w:rPr>
        <w:t>‘</w:t>
      </w:r>
      <w:r w:rsidRPr="00095610">
        <w:rPr>
          <w:rFonts w:cs="Times New Roman"/>
          <w:sz w:val="20"/>
          <w:lang w:val="en-GB"/>
        </w:rPr>
        <w:t>Superstatute Theory and Administrative Common Law</w:t>
      </w:r>
      <w:r w:rsidR="007B2205" w:rsidRPr="00095610">
        <w:rPr>
          <w:rFonts w:cs="Times New Roman"/>
          <w:sz w:val="20"/>
          <w:lang w:val="en-GB"/>
        </w:rPr>
        <w:t>’</w:t>
      </w:r>
      <w:r w:rsidRPr="00095610">
        <w:rPr>
          <w:rFonts w:cs="Times New Roman"/>
          <w:sz w:val="20"/>
          <w:lang w:val="en-GB"/>
        </w:rPr>
        <w:t xml:space="preserve"> (2015) 90 </w:t>
      </w:r>
      <w:r w:rsidRPr="00095610">
        <w:rPr>
          <w:rFonts w:cs="Times New Roman"/>
          <w:i/>
          <w:iCs/>
          <w:sz w:val="20"/>
          <w:lang w:val="en-GB"/>
        </w:rPr>
        <w:t>Indiana Law Journal</w:t>
      </w:r>
      <w:r w:rsidRPr="00095610">
        <w:rPr>
          <w:rFonts w:cs="Times New Roman"/>
          <w:sz w:val="20"/>
          <w:lang w:val="en-GB"/>
        </w:rPr>
        <w:t xml:space="preserve"> 1207.</w:t>
      </w:r>
    </w:p>
  </w:footnote>
  <w:footnote w:id="19">
    <w:p w14:paraId="41DB1F93" w14:textId="7B1D5932" w:rsidR="00B6716F" w:rsidRPr="00095610" w:rsidRDefault="00B6716F" w:rsidP="00095610">
      <w:pPr>
        <w:pStyle w:val="FootnoteText"/>
        <w:snapToGrid w:val="0"/>
        <w:spacing w:before="100" w:beforeAutospacing="1" w:after="120"/>
        <w:jc w:val="both"/>
        <w:rPr>
          <w:rFonts w:cs="Times New Roman"/>
          <w:sz w:val="20"/>
          <w:highlight w:val="yellow"/>
        </w:rPr>
      </w:pPr>
      <w:r w:rsidRPr="00095610">
        <w:rPr>
          <w:rStyle w:val="FootnoteReference"/>
          <w:sz w:val="20"/>
        </w:rPr>
        <w:footnoteRef/>
      </w:r>
      <w:r w:rsidRPr="00095610">
        <w:rPr>
          <w:rFonts w:cs="Times New Roman"/>
          <w:sz w:val="20"/>
        </w:rPr>
        <w:t xml:space="preserve"> </w:t>
      </w:r>
      <w:r w:rsidRPr="00095610">
        <w:rPr>
          <w:rFonts w:cs="Times New Roman"/>
          <w:sz w:val="20"/>
          <w:lang w:val="en-GB"/>
        </w:rPr>
        <w:t xml:space="preserve">S.A. de Smith, </w:t>
      </w:r>
      <w:r w:rsidRPr="00095610">
        <w:rPr>
          <w:rFonts w:cs="Times New Roman"/>
          <w:i/>
          <w:sz w:val="20"/>
          <w:lang w:val="en-GB"/>
        </w:rPr>
        <w:t xml:space="preserve">Judicial Review of Administrative Action </w:t>
      </w:r>
      <w:r w:rsidRPr="00095610">
        <w:rPr>
          <w:rFonts w:cs="Times New Roman"/>
          <w:sz w:val="20"/>
          <w:lang w:val="en-GB"/>
        </w:rPr>
        <w:t>(Stevens &amp; Sons, 1959). See generally</w:t>
      </w:r>
      <w:r w:rsidR="00241395" w:rsidRPr="00095610">
        <w:rPr>
          <w:rFonts w:cs="Times New Roman"/>
          <w:sz w:val="20"/>
          <w:lang w:val="en-GB"/>
        </w:rPr>
        <w:t>:</w:t>
      </w:r>
      <w:r w:rsidRPr="00095610">
        <w:rPr>
          <w:rFonts w:cs="Times New Roman"/>
          <w:sz w:val="20"/>
          <w:lang w:val="en-GB"/>
        </w:rPr>
        <w:t xml:space="preserve"> </w:t>
      </w:r>
      <w:r w:rsidR="007247C2" w:rsidRPr="00095610">
        <w:rPr>
          <w:rFonts w:cs="Times New Roman"/>
          <w:sz w:val="20"/>
          <w:lang w:val="en-GB"/>
        </w:rPr>
        <w:t>P.</w:t>
      </w:r>
      <w:r w:rsidRPr="00095610">
        <w:rPr>
          <w:rFonts w:cs="Times New Roman"/>
          <w:sz w:val="20"/>
          <w:lang w:val="en-GB"/>
        </w:rPr>
        <w:t xml:space="preserve"> Daly, </w:t>
      </w:r>
      <w:r w:rsidR="007247C2" w:rsidRPr="00095610">
        <w:rPr>
          <w:rFonts w:cs="Times New Roman"/>
          <w:i/>
          <w:iCs/>
          <w:sz w:val="20"/>
          <w:lang w:val="en-GB"/>
        </w:rPr>
        <w:t>‘</w:t>
      </w:r>
      <w:r w:rsidRPr="00095610">
        <w:rPr>
          <w:rFonts w:cs="Times New Roman"/>
          <w:i/>
          <w:sz w:val="20"/>
        </w:rPr>
        <w:t xml:space="preserve">De Smith’s Judicial Review of Administrative Action </w:t>
      </w:r>
      <w:r w:rsidRPr="00095610">
        <w:rPr>
          <w:rFonts w:cs="Times New Roman"/>
          <w:sz w:val="20"/>
        </w:rPr>
        <w:t>(1959)</w:t>
      </w:r>
      <w:r w:rsidR="007247C2" w:rsidRPr="00095610">
        <w:rPr>
          <w:rFonts w:cs="Times New Roman"/>
          <w:sz w:val="20"/>
        </w:rPr>
        <w:t>’</w:t>
      </w:r>
      <w:r w:rsidRPr="00095610">
        <w:rPr>
          <w:rFonts w:cs="Times New Roman"/>
          <w:sz w:val="20"/>
        </w:rPr>
        <w:t xml:space="preserve"> in </w:t>
      </w:r>
      <w:r w:rsidR="00881638" w:rsidRPr="00095610">
        <w:rPr>
          <w:rFonts w:cs="Times New Roman"/>
          <w:sz w:val="20"/>
        </w:rPr>
        <w:t>P.</w:t>
      </w:r>
      <w:r w:rsidRPr="00095610">
        <w:rPr>
          <w:rFonts w:cs="Times New Roman"/>
          <w:sz w:val="20"/>
        </w:rPr>
        <w:t xml:space="preserve"> O’Brien and </w:t>
      </w:r>
      <w:r w:rsidR="00881638" w:rsidRPr="00095610">
        <w:rPr>
          <w:rFonts w:cs="Times New Roman"/>
          <w:sz w:val="20"/>
        </w:rPr>
        <w:t>B.</w:t>
      </w:r>
      <w:r w:rsidRPr="00095610">
        <w:rPr>
          <w:rFonts w:cs="Times New Roman"/>
          <w:sz w:val="20"/>
        </w:rPr>
        <w:t xml:space="preserve"> Yong </w:t>
      </w:r>
      <w:r w:rsidR="00881638" w:rsidRPr="00095610">
        <w:rPr>
          <w:rFonts w:cs="Times New Roman"/>
          <w:sz w:val="20"/>
        </w:rPr>
        <w:t>(</w:t>
      </w:r>
      <w:r w:rsidRPr="00095610">
        <w:rPr>
          <w:rFonts w:cs="Times New Roman"/>
          <w:sz w:val="20"/>
        </w:rPr>
        <w:t>eds</w:t>
      </w:r>
      <w:r w:rsidR="00881638" w:rsidRPr="00095610">
        <w:rPr>
          <w:rFonts w:cs="Times New Roman"/>
          <w:sz w:val="20"/>
        </w:rPr>
        <w:t>)</w:t>
      </w:r>
      <w:r w:rsidRPr="00095610">
        <w:rPr>
          <w:rFonts w:cs="Times New Roman"/>
          <w:sz w:val="20"/>
        </w:rPr>
        <w:t xml:space="preserve">, </w:t>
      </w:r>
      <w:r w:rsidRPr="00095610">
        <w:rPr>
          <w:rFonts w:cs="Times New Roman"/>
          <w:i/>
          <w:sz w:val="20"/>
        </w:rPr>
        <w:t xml:space="preserve">Landmark Texts in Public Law </w:t>
      </w:r>
      <w:r w:rsidRPr="00095610">
        <w:rPr>
          <w:rFonts w:cs="Times New Roman"/>
          <w:sz w:val="20"/>
        </w:rPr>
        <w:t>(Edward Elgar</w:t>
      </w:r>
      <w:r w:rsidR="00881638" w:rsidRPr="00095610">
        <w:rPr>
          <w:rFonts w:cs="Times New Roman"/>
          <w:sz w:val="20"/>
        </w:rPr>
        <w:t xml:space="preserve"> </w:t>
      </w:r>
      <w:r w:rsidRPr="00095610">
        <w:rPr>
          <w:rFonts w:cs="Times New Roman"/>
          <w:sz w:val="20"/>
        </w:rPr>
        <w:t>202</w:t>
      </w:r>
      <w:r w:rsidR="00881638" w:rsidRPr="00095610">
        <w:rPr>
          <w:rFonts w:cs="Times New Roman"/>
          <w:sz w:val="20"/>
        </w:rPr>
        <w:t>2</w:t>
      </w:r>
      <w:r w:rsidRPr="00095610">
        <w:rPr>
          <w:rFonts w:cs="Times New Roman"/>
          <w:sz w:val="20"/>
        </w:rPr>
        <w:t>).</w:t>
      </w:r>
    </w:p>
  </w:footnote>
  <w:footnote w:id="20">
    <w:p w14:paraId="0E5729CA" w14:textId="558E409B"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See </w:t>
      </w:r>
      <w:r w:rsidRPr="00095610">
        <w:rPr>
          <w:rFonts w:cs="Times New Roman"/>
          <w:i/>
          <w:iCs/>
          <w:sz w:val="20"/>
        </w:rPr>
        <w:t>e.g.</w:t>
      </w:r>
      <w:r w:rsidRPr="00095610">
        <w:rPr>
          <w:rFonts w:cs="Times New Roman"/>
          <w:sz w:val="20"/>
        </w:rPr>
        <w:t xml:space="preserve"> G. Hogan, D.G. Morgan</w:t>
      </w:r>
      <w:r w:rsidR="00881638" w:rsidRPr="00095610">
        <w:rPr>
          <w:rFonts w:cs="Times New Roman"/>
          <w:sz w:val="20"/>
        </w:rPr>
        <w:t>,</w:t>
      </w:r>
      <w:r w:rsidRPr="00095610">
        <w:rPr>
          <w:rFonts w:cs="Times New Roman"/>
          <w:sz w:val="20"/>
        </w:rPr>
        <w:t xml:space="preserve"> and P. Daly, </w:t>
      </w:r>
      <w:r w:rsidRPr="00095610">
        <w:rPr>
          <w:rFonts w:cs="Times New Roman"/>
          <w:i/>
          <w:sz w:val="20"/>
        </w:rPr>
        <w:t>Administrative Law in Ireland</w:t>
      </w:r>
      <w:r w:rsidRPr="00095610">
        <w:rPr>
          <w:rFonts w:cs="Times New Roman"/>
          <w:sz w:val="20"/>
        </w:rPr>
        <w:t xml:space="preserve"> (5th ed.,</w:t>
      </w:r>
      <w:r w:rsidRPr="00095610">
        <w:rPr>
          <w:rFonts w:cs="Times New Roman"/>
          <w:i/>
          <w:sz w:val="20"/>
        </w:rPr>
        <w:t xml:space="preserve"> </w:t>
      </w:r>
      <w:r w:rsidRPr="00095610">
        <w:rPr>
          <w:rFonts w:cs="Times New Roman"/>
          <w:sz w:val="20"/>
        </w:rPr>
        <w:t xml:space="preserve">Roundhall, 2019); P. Craig, </w:t>
      </w:r>
      <w:r w:rsidRPr="00095610">
        <w:rPr>
          <w:rFonts w:cs="Times New Roman"/>
          <w:i/>
          <w:sz w:val="20"/>
        </w:rPr>
        <w:t>Administrative Law</w:t>
      </w:r>
      <w:r w:rsidRPr="00095610">
        <w:rPr>
          <w:rFonts w:cs="Times New Roman"/>
          <w:sz w:val="20"/>
        </w:rPr>
        <w:t xml:space="preserve"> (8th ed., Sweet and Maxwell, 2016); P. Joseph, </w:t>
      </w:r>
      <w:r w:rsidRPr="00095610">
        <w:rPr>
          <w:rFonts w:cs="Times New Roman"/>
          <w:i/>
          <w:sz w:val="20"/>
        </w:rPr>
        <w:t xml:space="preserve">Constitutional and Administrative Law of New Zealand </w:t>
      </w:r>
      <w:r w:rsidRPr="00095610">
        <w:rPr>
          <w:rFonts w:cs="Times New Roman"/>
          <w:sz w:val="20"/>
        </w:rPr>
        <w:t>(4th ed., Thomson Reuters, 2014).</w:t>
      </w:r>
    </w:p>
  </w:footnote>
  <w:footnote w:id="21">
    <w:p w14:paraId="40EAE6A0" w14:textId="4183BCFE"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See </w:t>
      </w:r>
      <w:r w:rsidRPr="00095610">
        <w:rPr>
          <w:rFonts w:cs="Times New Roman"/>
          <w:i/>
          <w:iCs/>
          <w:sz w:val="20"/>
        </w:rPr>
        <w:t>e.g.</w:t>
      </w:r>
      <w:r w:rsidRPr="00095610">
        <w:rPr>
          <w:rFonts w:cs="Times New Roman"/>
          <w:sz w:val="20"/>
        </w:rPr>
        <w:t xml:space="preserve"> M. Aronson, M. Groves</w:t>
      </w:r>
      <w:r w:rsidR="00881638" w:rsidRPr="00095610">
        <w:rPr>
          <w:rFonts w:cs="Times New Roman"/>
          <w:sz w:val="20"/>
        </w:rPr>
        <w:t>,</w:t>
      </w:r>
      <w:r w:rsidRPr="00095610">
        <w:rPr>
          <w:rFonts w:cs="Times New Roman"/>
          <w:sz w:val="20"/>
        </w:rPr>
        <w:t xml:space="preserve"> and G. Weeks, </w:t>
      </w:r>
      <w:r w:rsidRPr="00095610">
        <w:rPr>
          <w:rFonts w:cs="Times New Roman"/>
          <w:i/>
          <w:sz w:val="20"/>
        </w:rPr>
        <w:t xml:space="preserve">Judicial Review of Administrative Action </w:t>
      </w:r>
      <w:r w:rsidRPr="00095610">
        <w:rPr>
          <w:rFonts w:cs="Times New Roman"/>
          <w:sz w:val="20"/>
        </w:rPr>
        <w:t>(6th ed., Thomson Reuters</w:t>
      </w:r>
      <w:r w:rsidR="00881638" w:rsidRPr="00095610">
        <w:rPr>
          <w:rFonts w:cs="Times New Roman"/>
          <w:sz w:val="20"/>
        </w:rPr>
        <w:t xml:space="preserve"> </w:t>
      </w:r>
      <w:r w:rsidRPr="00095610">
        <w:rPr>
          <w:rFonts w:cs="Times New Roman"/>
          <w:sz w:val="20"/>
        </w:rPr>
        <w:t>2018).</w:t>
      </w:r>
    </w:p>
  </w:footnote>
  <w:footnote w:id="22">
    <w:p w14:paraId="0E9E6377" w14:textId="77777777"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See </w:t>
      </w:r>
      <w:r w:rsidRPr="00095610">
        <w:rPr>
          <w:rFonts w:cs="Times New Roman"/>
          <w:i/>
          <w:iCs/>
          <w:sz w:val="20"/>
        </w:rPr>
        <w:t xml:space="preserve">e.g. </w:t>
      </w:r>
      <w:r w:rsidRPr="00095610">
        <w:rPr>
          <w:rFonts w:cs="Times New Roman"/>
          <w:sz w:val="20"/>
        </w:rPr>
        <w:t xml:space="preserve">E. Henderson, </w:t>
      </w:r>
      <w:r w:rsidRPr="00095610">
        <w:rPr>
          <w:rFonts w:cs="Times New Roman"/>
          <w:i/>
          <w:sz w:val="20"/>
        </w:rPr>
        <w:t xml:space="preserve">Foundations of English Administrative Law: Certiorari and Mandamus in the Seventeenth Century </w:t>
      </w:r>
      <w:r w:rsidRPr="00095610">
        <w:rPr>
          <w:rFonts w:cs="Times New Roman"/>
          <w:sz w:val="20"/>
        </w:rPr>
        <w:t xml:space="preserve">(Harvard University Press, 1963); A. Rubinstein, </w:t>
      </w:r>
      <w:r w:rsidRPr="00095610">
        <w:rPr>
          <w:rFonts w:cs="Times New Roman"/>
          <w:i/>
          <w:sz w:val="20"/>
        </w:rPr>
        <w:t xml:space="preserve">Jurisdiction and Illegality: A Study in Public Law </w:t>
      </w:r>
      <w:r w:rsidRPr="00095610">
        <w:rPr>
          <w:rFonts w:cs="Times New Roman"/>
          <w:sz w:val="20"/>
        </w:rPr>
        <w:t>(Clarendon Press, 1965).</w:t>
      </w:r>
    </w:p>
  </w:footnote>
  <w:footnote w:id="23">
    <w:p w14:paraId="6D5A8FD0" w14:textId="77777777"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See J. Allison in this volume.</w:t>
      </w:r>
    </w:p>
  </w:footnote>
  <w:footnote w:id="24">
    <w:p w14:paraId="464C189F" w14:textId="3F613370"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 xml:space="preserve">See </w:t>
      </w:r>
      <w:proofErr w:type="gramStart"/>
      <w:r w:rsidRPr="00095610">
        <w:rPr>
          <w:rFonts w:cs="Times New Roman"/>
          <w:i/>
          <w:iCs/>
          <w:sz w:val="20"/>
          <w:lang w:val="en-GB"/>
        </w:rPr>
        <w:t>e.g.</w:t>
      </w:r>
      <w:proofErr w:type="gramEnd"/>
      <w:r w:rsidRPr="00095610">
        <w:rPr>
          <w:rFonts w:cs="Times New Roman"/>
          <w:sz w:val="20"/>
          <w:lang w:val="en-GB"/>
        </w:rPr>
        <w:t xml:space="preserve"> J. Grant, </w:t>
      </w:r>
      <w:r w:rsidR="007247C2" w:rsidRPr="00095610">
        <w:rPr>
          <w:rFonts w:cs="Times New Roman"/>
          <w:sz w:val="20"/>
          <w:lang w:val="en-GB"/>
        </w:rPr>
        <w:t>‘</w:t>
      </w:r>
      <w:r w:rsidRPr="00095610">
        <w:rPr>
          <w:rFonts w:cs="Times New Roman"/>
          <w:sz w:val="20"/>
          <w:lang w:val="en-GB"/>
        </w:rPr>
        <w:t>Reason and Authority in Administrative Law</w:t>
      </w:r>
      <w:r w:rsidR="007247C2" w:rsidRPr="00095610">
        <w:rPr>
          <w:rFonts w:cs="Times New Roman"/>
          <w:sz w:val="20"/>
          <w:lang w:val="en-GB"/>
        </w:rPr>
        <w:t xml:space="preserve">’ </w:t>
      </w:r>
      <w:r w:rsidRPr="00095610">
        <w:rPr>
          <w:rFonts w:cs="Times New Roman"/>
          <w:sz w:val="20"/>
          <w:lang w:val="en-GB"/>
        </w:rPr>
        <w:t xml:space="preserve">(2017) 76 </w:t>
      </w:r>
      <w:r w:rsidRPr="00095610">
        <w:rPr>
          <w:rFonts w:cs="Times New Roman"/>
          <w:i/>
          <w:iCs/>
          <w:sz w:val="20"/>
          <w:lang w:val="en-GB"/>
        </w:rPr>
        <w:t>Cambridge Law Journal</w:t>
      </w:r>
      <w:r w:rsidRPr="00095610">
        <w:rPr>
          <w:rFonts w:cs="Times New Roman"/>
          <w:sz w:val="20"/>
          <w:lang w:val="en-GB"/>
        </w:rPr>
        <w:t xml:space="preserve"> 507.</w:t>
      </w:r>
    </w:p>
  </w:footnote>
  <w:footnote w:id="25">
    <w:p w14:paraId="7059618D" w14:textId="0A08C225" w:rsidR="00B6716F" w:rsidRPr="00095610" w:rsidRDefault="00B6716F" w:rsidP="00095610">
      <w:pPr>
        <w:pStyle w:val="FootnoteText"/>
        <w:snapToGrid w:val="0"/>
        <w:spacing w:before="100" w:beforeAutospacing="1" w:after="120"/>
        <w:jc w:val="both"/>
        <w:rPr>
          <w:rFonts w:cs="Times New Roman"/>
          <w:i/>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 xml:space="preserve">See </w:t>
      </w:r>
      <w:proofErr w:type="gramStart"/>
      <w:r w:rsidRPr="00095610">
        <w:rPr>
          <w:rFonts w:cs="Times New Roman"/>
          <w:i/>
          <w:iCs/>
          <w:sz w:val="20"/>
          <w:lang w:val="en-GB"/>
        </w:rPr>
        <w:t>e.g.</w:t>
      </w:r>
      <w:proofErr w:type="gramEnd"/>
      <w:r w:rsidRPr="00095610">
        <w:rPr>
          <w:rFonts w:cs="Times New Roman"/>
          <w:sz w:val="20"/>
          <w:lang w:val="en-GB"/>
        </w:rPr>
        <w:t xml:space="preserve"> P. Daly, </w:t>
      </w:r>
      <w:r w:rsidR="007247C2" w:rsidRPr="00095610">
        <w:rPr>
          <w:rFonts w:cs="Times New Roman"/>
          <w:sz w:val="20"/>
          <w:lang w:val="en-GB"/>
        </w:rPr>
        <w:t>‘</w:t>
      </w:r>
      <w:r w:rsidRPr="00095610">
        <w:rPr>
          <w:rFonts w:cs="Times New Roman"/>
          <w:sz w:val="20"/>
          <w:lang w:val="en-GB"/>
        </w:rPr>
        <w:t>Administrative Law: Characteristics, Legitimacy, Unity</w:t>
      </w:r>
      <w:r w:rsidR="007247C2" w:rsidRPr="00095610">
        <w:rPr>
          <w:rFonts w:cs="Times New Roman"/>
          <w:sz w:val="20"/>
          <w:lang w:val="en-GB"/>
        </w:rPr>
        <w:t xml:space="preserve">’ </w:t>
      </w:r>
      <w:r w:rsidRPr="00095610">
        <w:rPr>
          <w:rFonts w:cs="Times New Roman"/>
          <w:sz w:val="20"/>
          <w:lang w:val="en-GB"/>
        </w:rPr>
        <w:t xml:space="preserve">in M. Elliott, J. Varuhas and S. Wilson Stark </w:t>
      </w:r>
      <w:r w:rsidR="00881638" w:rsidRPr="00095610">
        <w:rPr>
          <w:rFonts w:cs="Times New Roman"/>
          <w:sz w:val="20"/>
          <w:lang w:val="en-GB"/>
        </w:rPr>
        <w:t>(</w:t>
      </w:r>
      <w:r w:rsidRPr="00095610">
        <w:rPr>
          <w:rFonts w:cs="Times New Roman"/>
          <w:sz w:val="20"/>
          <w:lang w:val="en-GB"/>
        </w:rPr>
        <w:t>eds</w:t>
      </w:r>
      <w:r w:rsidR="00881638" w:rsidRPr="00095610">
        <w:rPr>
          <w:rFonts w:cs="Times New Roman"/>
          <w:sz w:val="20"/>
          <w:lang w:val="en-GB"/>
        </w:rPr>
        <w:t>)</w:t>
      </w:r>
      <w:r w:rsidRPr="00095610">
        <w:rPr>
          <w:rFonts w:cs="Times New Roman"/>
          <w:sz w:val="20"/>
          <w:lang w:val="en-GB"/>
        </w:rPr>
        <w:t xml:space="preserve">, </w:t>
      </w:r>
      <w:r w:rsidRPr="00095610">
        <w:rPr>
          <w:rFonts w:cs="Times New Roman"/>
          <w:i/>
          <w:sz w:val="20"/>
          <w:lang w:val="en-GB"/>
        </w:rPr>
        <w:t xml:space="preserve">Unity of Public Law? Doctrinal, Theoretical and Comparative Perspectives </w:t>
      </w:r>
      <w:r w:rsidRPr="00095610">
        <w:rPr>
          <w:rFonts w:cs="Times New Roman"/>
          <w:sz w:val="20"/>
          <w:lang w:val="en-GB"/>
        </w:rPr>
        <w:t>(Hart</w:t>
      </w:r>
      <w:r w:rsidR="00881638" w:rsidRPr="00095610">
        <w:rPr>
          <w:rFonts w:cs="Times New Roman"/>
          <w:sz w:val="20"/>
          <w:lang w:val="en-GB"/>
        </w:rPr>
        <w:t xml:space="preserve"> </w:t>
      </w:r>
      <w:r w:rsidRPr="00095610">
        <w:rPr>
          <w:rFonts w:cs="Times New Roman"/>
          <w:sz w:val="20"/>
          <w:lang w:val="en-GB"/>
        </w:rPr>
        <w:t xml:space="preserve">2018); M. Elliott, </w:t>
      </w:r>
      <w:r w:rsidR="007247C2" w:rsidRPr="00095610">
        <w:rPr>
          <w:rFonts w:cs="Times New Roman"/>
          <w:sz w:val="20"/>
          <w:lang w:val="en-GB"/>
        </w:rPr>
        <w:t>‘</w:t>
      </w:r>
      <w:r w:rsidRPr="00095610">
        <w:rPr>
          <w:rFonts w:cs="Times New Roman"/>
          <w:sz w:val="20"/>
          <w:lang w:val="en-GB"/>
        </w:rPr>
        <w:t>Judicial Review’s Scope, Foundations and Purposes: Joining the Dots</w:t>
      </w:r>
      <w:r w:rsidR="007247C2" w:rsidRPr="00095610">
        <w:rPr>
          <w:rFonts w:cs="Times New Roman"/>
          <w:sz w:val="20"/>
          <w:lang w:val="en-GB"/>
        </w:rPr>
        <w:t>’</w:t>
      </w:r>
      <w:r w:rsidRPr="00095610">
        <w:rPr>
          <w:rFonts w:cs="Times New Roman"/>
          <w:sz w:val="20"/>
          <w:lang w:val="en-GB"/>
        </w:rPr>
        <w:t xml:space="preserve"> [2012] </w:t>
      </w:r>
      <w:r w:rsidRPr="00095610">
        <w:rPr>
          <w:rFonts w:cs="Times New Roman"/>
          <w:i/>
          <w:iCs/>
          <w:sz w:val="20"/>
          <w:lang w:val="en-GB"/>
        </w:rPr>
        <w:t xml:space="preserve">New Zealand Law Review </w:t>
      </w:r>
      <w:r w:rsidRPr="00095610">
        <w:rPr>
          <w:rFonts w:cs="Times New Roman"/>
          <w:sz w:val="20"/>
          <w:lang w:val="en-GB"/>
        </w:rPr>
        <w:t xml:space="preserve">75; T.R.S. Allan, </w:t>
      </w:r>
      <w:r w:rsidRPr="00095610">
        <w:rPr>
          <w:rFonts w:cs="Times New Roman"/>
          <w:i/>
          <w:sz w:val="20"/>
          <w:lang w:val="en-GB"/>
        </w:rPr>
        <w:t xml:space="preserve">The Sovereignty of Law: Freedom, Constitution and Common Law </w:t>
      </w:r>
      <w:r w:rsidRPr="00095610">
        <w:rPr>
          <w:rFonts w:cs="Times New Roman"/>
          <w:sz w:val="20"/>
          <w:lang w:val="en-GB"/>
        </w:rPr>
        <w:t>(Oxford University Press 2013).</w:t>
      </w:r>
    </w:p>
  </w:footnote>
  <w:footnote w:id="26">
    <w:p w14:paraId="30005D9A" w14:textId="38CCFC5F"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See </w:t>
      </w:r>
      <w:r w:rsidRPr="00095610">
        <w:rPr>
          <w:rFonts w:cs="Times New Roman"/>
          <w:i/>
          <w:iCs/>
          <w:sz w:val="20"/>
        </w:rPr>
        <w:t>e.g.</w:t>
      </w:r>
      <w:r w:rsidRPr="00095610">
        <w:rPr>
          <w:rFonts w:cs="Times New Roman"/>
          <w:sz w:val="20"/>
        </w:rPr>
        <w:t xml:space="preserve"> P. Cane, </w:t>
      </w:r>
      <w:r w:rsidRPr="00095610">
        <w:rPr>
          <w:rFonts w:cs="Times New Roman"/>
          <w:i/>
          <w:sz w:val="20"/>
        </w:rPr>
        <w:t xml:space="preserve">Controlling Administrative Power: An Historical Comparison </w:t>
      </w:r>
      <w:r w:rsidRPr="00095610">
        <w:rPr>
          <w:rFonts w:cs="Times New Roman"/>
          <w:sz w:val="20"/>
        </w:rPr>
        <w:t xml:space="preserve">(Cambridge University Press 2016); A. Vermeule, </w:t>
      </w:r>
      <w:r w:rsidRPr="00095610">
        <w:rPr>
          <w:rFonts w:cs="Times New Roman"/>
          <w:i/>
          <w:sz w:val="20"/>
        </w:rPr>
        <w:t>Judging under Uncertainty: An Institutional Theory of Legal Interpr</w:t>
      </w:r>
      <w:r w:rsidR="00881638" w:rsidRPr="00095610">
        <w:rPr>
          <w:rFonts w:cs="Times New Roman"/>
          <w:i/>
          <w:sz w:val="20"/>
        </w:rPr>
        <w:t>e</w:t>
      </w:r>
      <w:r w:rsidRPr="00095610">
        <w:rPr>
          <w:rFonts w:cs="Times New Roman"/>
          <w:i/>
          <w:sz w:val="20"/>
        </w:rPr>
        <w:t xml:space="preserve">tation </w:t>
      </w:r>
      <w:r w:rsidRPr="00095610">
        <w:rPr>
          <w:rFonts w:cs="Times New Roman"/>
          <w:sz w:val="20"/>
        </w:rPr>
        <w:t>(Harvard University Press 2006).</w:t>
      </w:r>
    </w:p>
  </w:footnote>
  <w:footnote w:id="27">
    <w:p w14:paraId="1913AEB2" w14:textId="54587E97"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 xml:space="preserve">See </w:t>
      </w:r>
      <w:proofErr w:type="gramStart"/>
      <w:r w:rsidRPr="00095610">
        <w:rPr>
          <w:rFonts w:cs="Times New Roman"/>
          <w:i/>
          <w:iCs/>
          <w:sz w:val="20"/>
          <w:lang w:val="en-GB"/>
        </w:rPr>
        <w:t>e.g.</w:t>
      </w:r>
      <w:proofErr w:type="gramEnd"/>
      <w:r w:rsidRPr="00095610">
        <w:rPr>
          <w:rFonts w:cs="Times New Roman"/>
          <w:sz w:val="20"/>
          <w:lang w:val="en-GB"/>
        </w:rPr>
        <w:t xml:space="preserve"> T. R. S. Allan, </w:t>
      </w:r>
      <w:r w:rsidRPr="00095610">
        <w:rPr>
          <w:rFonts w:cs="Times New Roman"/>
          <w:i/>
          <w:sz w:val="20"/>
          <w:lang w:val="en-GB"/>
        </w:rPr>
        <w:t xml:space="preserve">Constitutional Justice: A Liberal Theory of the Rule of Law </w:t>
      </w:r>
      <w:r w:rsidRPr="00095610">
        <w:rPr>
          <w:rFonts w:cs="Times New Roman"/>
          <w:sz w:val="20"/>
          <w:lang w:val="en-GB"/>
        </w:rPr>
        <w:t>(Oxford University Press 2001).</w:t>
      </w:r>
    </w:p>
  </w:footnote>
  <w:footnote w:id="28">
    <w:p w14:paraId="23219CA9" w14:textId="2AFAAB58" w:rsidR="00B6716F" w:rsidRPr="00095610" w:rsidRDefault="00B6716F" w:rsidP="00095610">
      <w:pPr>
        <w:pStyle w:val="FootnoteText"/>
        <w:snapToGrid w:val="0"/>
        <w:spacing w:before="100" w:beforeAutospacing="1" w:after="120"/>
        <w:jc w:val="both"/>
        <w:rPr>
          <w:rFonts w:cs="Times New Roman"/>
          <w:sz w:val="20"/>
          <w:highlight w:val="yellow"/>
          <w:lang w:val="en-GB"/>
        </w:rPr>
      </w:pPr>
      <w:r w:rsidRPr="00095610">
        <w:rPr>
          <w:rStyle w:val="FootnoteReference"/>
          <w:sz w:val="20"/>
        </w:rPr>
        <w:footnoteRef/>
      </w:r>
      <w:r w:rsidRPr="00095610">
        <w:rPr>
          <w:rFonts w:cs="Times New Roman"/>
          <w:sz w:val="20"/>
        </w:rPr>
        <w:t xml:space="preserve"> See </w:t>
      </w:r>
      <w:r w:rsidRPr="00095610">
        <w:rPr>
          <w:rFonts w:cs="Times New Roman"/>
          <w:i/>
          <w:iCs/>
          <w:sz w:val="20"/>
        </w:rPr>
        <w:t>e.g.</w:t>
      </w:r>
      <w:r w:rsidRPr="00095610">
        <w:rPr>
          <w:rFonts w:cs="Times New Roman"/>
          <w:sz w:val="20"/>
        </w:rPr>
        <w:t xml:space="preserve"> M. Seidenfeld, “A Civic Republican Justification for the Administrative State” (1992) 105 </w:t>
      </w:r>
      <w:r w:rsidRPr="00095610">
        <w:rPr>
          <w:rFonts w:cs="Times New Roman"/>
          <w:i/>
          <w:iCs/>
          <w:sz w:val="20"/>
        </w:rPr>
        <w:t xml:space="preserve">Harvard Law Review </w:t>
      </w:r>
      <w:r w:rsidRPr="00095610">
        <w:rPr>
          <w:rFonts w:cs="Times New Roman"/>
          <w:sz w:val="20"/>
        </w:rPr>
        <w:t>1511</w:t>
      </w:r>
      <w:r w:rsidR="00881638" w:rsidRPr="00095610">
        <w:rPr>
          <w:rFonts w:cs="Times New Roman"/>
          <w:sz w:val="20"/>
        </w:rPr>
        <w:t>.</w:t>
      </w:r>
    </w:p>
  </w:footnote>
  <w:footnote w:id="29">
    <w:p w14:paraId="5B83C97F" w14:textId="38C99A59"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 xml:space="preserve">See </w:t>
      </w:r>
      <w:proofErr w:type="gramStart"/>
      <w:r w:rsidRPr="00095610">
        <w:rPr>
          <w:rFonts w:cs="Times New Roman"/>
          <w:i/>
          <w:iCs/>
          <w:sz w:val="20"/>
          <w:lang w:val="en-GB"/>
        </w:rPr>
        <w:t>e.g.</w:t>
      </w:r>
      <w:proofErr w:type="gramEnd"/>
      <w:r w:rsidRPr="00095610">
        <w:rPr>
          <w:rFonts w:cs="Times New Roman"/>
          <w:sz w:val="20"/>
          <w:lang w:val="en-GB"/>
        </w:rPr>
        <w:t xml:space="preserve"> M. Liston, </w:t>
      </w:r>
      <w:r w:rsidR="00DB657E" w:rsidRPr="00095610">
        <w:rPr>
          <w:rFonts w:cs="Times New Roman"/>
          <w:sz w:val="20"/>
          <w:lang w:val="en-GB"/>
        </w:rPr>
        <w:t>‘</w:t>
      </w:r>
      <w:r w:rsidRPr="00095610">
        <w:rPr>
          <w:rFonts w:cs="Times New Roman"/>
          <w:sz w:val="20"/>
        </w:rPr>
        <w:t>The Most Opaque Branch? The (Un)accountable Growth of Executive Power in Modern Canadian Government”</w:t>
      </w:r>
      <w:r w:rsidRPr="00095610">
        <w:rPr>
          <w:rFonts w:cs="Times New Roman"/>
          <w:sz w:val="20"/>
          <w:lang w:val="en-GB"/>
        </w:rPr>
        <w:t xml:space="preserve"> in R. Albert, P. Daly and V. MacDonnell </w:t>
      </w:r>
      <w:r w:rsidR="00DB657E" w:rsidRPr="00095610">
        <w:rPr>
          <w:rFonts w:cs="Times New Roman"/>
          <w:sz w:val="20"/>
          <w:lang w:val="en-GB"/>
        </w:rPr>
        <w:t>(</w:t>
      </w:r>
      <w:r w:rsidRPr="00095610">
        <w:rPr>
          <w:rFonts w:cs="Times New Roman"/>
          <w:sz w:val="20"/>
          <w:lang w:val="en-GB"/>
        </w:rPr>
        <w:t>eds</w:t>
      </w:r>
      <w:r w:rsidR="00DB657E" w:rsidRPr="00095610">
        <w:rPr>
          <w:rFonts w:cs="Times New Roman"/>
          <w:sz w:val="20"/>
          <w:lang w:val="en-GB"/>
        </w:rPr>
        <w:t>)</w:t>
      </w:r>
      <w:r w:rsidRPr="00095610">
        <w:rPr>
          <w:rFonts w:cs="Times New Roman"/>
          <w:sz w:val="20"/>
          <w:lang w:val="en-GB"/>
        </w:rPr>
        <w:t xml:space="preserve">, </w:t>
      </w:r>
      <w:r w:rsidRPr="00095610">
        <w:rPr>
          <w:rFonts w:cs="Times New Roman"/>
          <w:i/>
          <w:sz w:val="20"/>
          <w:lang w:val="en-GB"/>
        </w:rPr>
        <w:t xml:space="preserve">The Canadian Constitution in Transition </w:t>
      </w:r>
      <w:r w:rsidRPr="00095610">
        <w:rPr>
          <w:rFonts w:cs="Times New Roman"/>
          <w:sz w:val="20"/>
          <w:lang w:val="en-GB"/>
        </w:rPr>
        <w:t>(University of Toronto Press 2019).</w:t>
      </w:r>
    </w:p>
  </w:footnote>
  <w:footnote w:id="30">
    <w:p w14:paraId="69D5FFA0" w14:textId="293311FD"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 xml:space="preserve">See </w:t>
      </w:r>
      <w:proofErr w:type="gramStart"/>
      <w:r w:rsidRPr="00095610">
        <w:rPr>
          <w:rFonts w:cs="Times New Roman"/>
          <w:i/>
          <w:iCs/>
          <w:sz w:val="20"/>
          <w:lang w:val="en-GB"/>
        </w:rPr>
        <w:t>e.g.</w:t>
      </w:r>
      <w:proofErr w:type="gramEnd"/>
      <w:r w:rsidRPr="00095610">
        <w:rPr>
          <w:rFonts w:cs="Times New Roman"/>
          <w:sz w:val="20"/>
          <w:lang w:val="en-GB"/>
        </w:rPr>
        <w:t xml:space="preserve"> </w:t>
      </w:r>
      <w:r w:rsidRPr="00095610">
        <w:rPr>
          <w:rFonts w:cs="Times New Roman"/>
          <w:sz w:val="20"/>
        </w:rPr>
        <w:t xml:space="preserve">R. Douglas Arnold, </w:t>
      </w:r>
      <w:r w:rsidRPr="00095610">
        <w:rPr>
          <w:rFonts w:cs="Times New Roman"/>
          <w:i/>
          <w:sz w:val="20"/>
        </w:rPr>
        <w:t xml:space="preserve">Congress and the Bureaucracy </w:t>
      </w:r>
      <w:r w:rsidRPr="00095610">
        <w:rPr>
          <w:rFonts w:cs="Times New Roman"/>
          <w:sz w:val="20"/>
        </w:rPr>
        <w:t xml:space="preserve">(New Haven: Yale University Press, 1979); M. Russell and M. Benton, </w:t>
      </w:r>
      <w:r w:rsidRPr="00095610">
        <w:rPr>
          <w:rFonts w:cs="Times New Roman"/>
          <w:i/>
          <w:iCs/>
          <w:sz w:val="20"/>
        </w:rPr>
        <w:t xml:space="preserve">Selective Influence: The Policy Impact of House of Commons Select Committee </w:t>
      </w:r>
      <w:r w:rsidRPr="00095610">
        <w:rPr>
          <w:rFonts w:cs="Times New Roman"/>
          <w:iCs/>
          <w:sz w:val="20"/>
        </w:rPr>
        <w:t>(Constitution Unit 2011).</w:t>
      </w:r>
    </w:p>
  </w:footnote>
  <w:footnote w:id="31">
    <w:p w14:paraId="51BC8BF1" w14:textId="2745DF98" w:rsidR="00B6716F" w:rsidRPr="00095610" w:rsidRDefault="00B6716F"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i/>
          <w:sz w:val="20"/>
        </w:rPr>
        <w:t xml:space="preserve">Parliamentary Scrutiny of Government Bills </w:t>
      </w:r>
      <w:r w:rsidRPr="00095610">
        <w:rPr>
          <w:rFonts w:cs="Times New Roman"/>
          <w:sz w:val="20"/>
        </w:rPr>
        <w:t>(Allen &amp; Unwin 1974).</w:t>
      </w:r>
    </w:p>
  </w:footnote>
  <w:footnote w:id="32">
    <w:p w14:paraId="49518F31" w14:textId="3E9F850A"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See especially M. Russell and D. Gover, </w:t>
      </w:r>
      <w:r w:rsidRPr="00095610">
        <w:rPr>
          <w:rFonts w:cs="Times New Roman"/>
          <w:i/>
          <w:sz w:val="20"/>
        </w:rPr>
        <w:t xml:space="preserve">Legislation at Westminster: Parliamentary Actors and Influence in the Making of British Law </w:t>
      </w:r>
      <w:r w:rsidRPr="00095610">
        <w:rPr>
          <w:rFonts w:cs="Times New Roman"/>
          <w:sz w:val="20"/>
        </w:rPr>
        <w:t>(Oxford University Press 2018).</w:t>
      </w:r>
    </w:p>
  </w:footnote>
  <w:footnote w:id="33">
    <w:p w14:paraId="58EF2131" w14:textId="399D30EB"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See </w:t>
      </w:r>
      <w:r w:rsidRPr="00095610">
        <w:rPr>
          <w:rFonts w:cs="Times New Roman"/>
          <w:i/>
          <w:iCs/>
          <w:sz w:val="20"/>
        </w:rPr>
        <w:t>e.g.</w:t>
      </w:r>
      <w:r w:rsidRPr="00095610">
        <w:rPr>
          <w:rFonts w:cs="Times New Roman"/>
          <w:sz w:val="20"/>
        </w:rPr>
        <w:t xml:space="preserve"> C.R. Sunstein, </w:t>
      </w:r>
      <w:r w:rsidRPr="00095610">
        <w:rPr>
          <w:rFonts w:cs="Times New Roman"/>
          <w:i/>
          <w:sz w:val="20"/>
        </w:rPr>
        <w:t xml:space="preserve">The Cost-Benefit Revolution </w:t>
      </w:r>
      <w:r w:rsidRPr="00095610">
        <w:rPr>
          <w:rFonts w:cs="Times New Roman"/>
          <w:sz w:val="20"/>
        </w:rPr>
        <w:t>(MIT Press 2018).</w:t>
      </w:r>
    </w:p>
  </w:footnote>
  <w:footnote w:id="34">
    <w:p w14:paraId="68D93F32" w14:textId="4BCF9D79"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A. Davies, </w:t>
      </w:r>
      <w:r w:rsidRPr="00095610">
        <w:rPr>
          <w:rFonts w:cs="Times New Roman"/>
          <w:i/>
          <w:iCs/>
          <w:sz w:val="20"/>
        </w:rPr>
        <w:t>The Public Law of Government Contracts</w:t>
      </w:r>
      <w:r w:rsidRPr="00095610">
        <w:rPr>
          <w:rFonts w:cs="Times New Roman"/>
          <w:sz w:val="20"/>
        </w:rPr>
        <w:t xml:space="preserve"> (Oxford University Press 2008), p.92.</w:t>
      </w:r>
    </w:p>
  </w:footnote>
  <w:footnote w:id="35">
    <w:p w14:paraId="715A5EAB" w14:textId="0E09F934"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C. Harlow, </w:t>
      </w:r>
      <w:r w:rsidRPr="00095610">
        <w:rPr>
          <w:rFonts w:cs="Times New Roman"/>
          <w:i/>
          <w:iCs/>
          <w:sz w:val="20"/>
        </w:rPr>
        <w:t>Accountability in the European Union</w:t>
      </w:r>
      <w:r w:rsidRPr="00095610">
        <w:rPr>
          <w:rFonts w:cs="Times New Roman"/>
          <w:sz w:val="20"/>
        </w:rPr>
        <w:t xml:space="preserve"> (Oxford University Press 2002),</w:t>
      </w:r>
      <w:r w:rsidR="00DB657E" w:rsidRPr="00095610">
        <w:rPr>
          <w:rFonts w:cs="Times New Roman"/>
          <w:sz w:val="20"/>
        </w:rPr>
        <w:t xml:space="preserve"> </w:t>
      </w:r>
      <w:r w:rsidRPr="00095610">
        <w:rPr>
          <w:rFonts w:cs="Times New Roman"/>
          <w:sz w:val="20"/>
        </w:rPr>
        <w:t>p.23.</w:t>
      </w:r>
    </w:p>
  </w:footnote>
  <w:footnote w:id="36">
    <w:p w14:paraId="32EEA97A" w14:textId="77777777"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See generally A. Ogus, </w:t>
      </w:r>
      <w:r w:rsidRPr="00095610">
        <w:rPr>
          <w:rFonts w:cs="Times New Roman"/>
          <w:i/>
          <w:sz w:val="20"/>
        </w:rPr>
        <w:t xml:space="preserve">Regulation: Legal Form and Economic Theory </w:t>
      </w:r>
      <w:r w:rsidRPr="00095610">
        <w:rPr>
          <w:rFonts w:cs="Times New Roman"/>
          <w:sz w:val="20"/>
        </w:rPr>
        <w:t>(Hart Publishing, 2004).</w:t>
      </w:r>
    </w:p>
  </w:footnote>
  <w:footnote w:id="37">
    <w:p w14:paraId="5AC70AE0" w14:textId="56367AB6" w:rsidR="00B6716F" w:rsidRPr="00095610" w:rsidRDefault="00B6716F" w:rsidP="00095610">
      <w:pPr>
        <w:pStyle w:val="FootnoteText"/>
        <w:snapToGrid w:val="0"/>
        <w:spacing w:before="100" w:beforeAutospacing="1" w:after="120"/>
        <w:jc w:val="both"/>
        <w:rPr>
          <w:rFonts w:cs="Times New Roman"/>
          <w:sz w:val="20"/>
          <w:highlight w:val="yellow"/>
        </w:rPr>
      </w:pPr>
      <w:r w:rsidRPr="00095610">
        <w:rPr>
          <w:rStyle w:val="FootnoteReference"/>
          <w:sz w:val="20"/>
        </w:rPr>
        <w:footnoteRef/>
      </w:r>
      <w:r w:rsidRPr="00095610">
        <w:rPr>
          <w:rFonts w:cs="Times New Roman"/>
          <w:sz w:val="20"/>
        </w:rPr>
        <w:t xml:space="preserve"> See generally M. Hertogh and R. Kirkham, </w:t>
      </w:r>
      <w:r w:rsidRPr="00095610">
        <w:rPr>
          <w:rFonts w:cs="Times New Roman"/>
          <w:i/>
          <w:sz w:val="20"/>
        </w:rPr>
        <w:t xml:space="preserve">Research Handbook on the Ombudsman </w:t>
      </w:r>
      <w:r w:rsidRPr="00095610">
        <w:rPr>
          <w:rFonts w:cs="Times New Roman"/>
          <w:sz w:val="20"/>
        </w:rPr>
        <w:t>(Edward Elgar 2018).</w:t>
      </w:r>
    </w:p>
  </w:footnote>
  <w:footnote w:id="38">
    <w:p w14:paraId="20F928F1" w14:textId="1BBC1E8A"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See generally, J. Mashaw, ‘Accountability and Institutional Design: Some Thoughts on the Grammar of Governance’; E. Rubin, ‘The Myth of Non-Bureaucratic Accountability and the Anti-Administrative Impulse’; and C. Scott, ‘Spontaneous Accountability’ in M. Dowdle (ed</w:t>
      </w:r>
      <w:r w:rsidR="00095610" w:rsidRPr="00095610">
        <w:rPr>
          <w:rFonts w:cs="Times New Roman"/>
          <w:sz w:val="20"/>
        </w:rPr>
        <w:t>)</w:t>
      </w:r>
      <w:r w:rsidRPr="00095610">
        <w:rPr>
          <w:rFonts w:cs="Times New Roman"/>
          <w:sz w:val="20"/>
        </w:rPr>
        <w:t>, Public Accountability: Designs, Dilemmas and Experiences (Cambridge University Press 2006).</w:t>
      </w:r>
    </w:p>
  </w:footnote>
  <w:footnote w:id="39">
    <w:p w14:paraId="68EF939A" w14:textId="77777777" w:rsidR="00B6716F" w:rsidRPr="00095610" w:rsidRDefault="00B6716F"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See further L. Thomson in this volume.</w:t>
      </w:r>
    </w:p>
  </w:footnote>
  <w:footnote w:id="40">
    <w:p w14:paraId="4749AECF" w14:textId="77777777" w:rsidR="0003108C" w:rsidRPr="00095610" w:rsidRDefault="0003108C" w:rsidP="00095610">
      <w:pPr>
        <w:pStyle w:val="FootnoteText"/>
        <w:snapToGrid w:val="0"/>
        <w:spacing w:before="100" w:beforeAutospacing="1" w:after="120"/>
        <w:jc w:val="both"/>
        <w:rPr>
          <w:rFonts w:cs="Times New Roman"/>
          <w:sz w:val="20"/>
        </w:rPr>
      </w:pPr>
      <w:r w:rsidRPr="00095610">
        <w:rPr>
          <w:rStyle w:val="FootnoteReference"/>
          <w:sz w:val="20"/>
        </w:rPr>
        <w:footnoteRef/>
      </w:r>
      <w:r w:rsidRPr="00095610">
        <w:rPr>
          <w:rFonts w:cs="Times New Roman"/>
          <w:sz w:val="20"/>
        </w:rPr>
        <w:t xml:space="preserve"> See </w:t>
      </w:r>
      <w:r w:rsidRPr="00095610">
        <w:rPr>
          <w:rFonts w:cs="Times New Roman"/>
          <w:i/>
          <w:iCs/>
          <w:sz w:val="20"/>
        </w:rPr>
        <w:t>e.g.</w:t>
      </w:r>
      <w:r w:rsidRPr="00095610">
        <w:rPr>
          <w:rFonts w:cs="Times New Roman"/>
          <w:sz w:val="20"/>
        </w:rPr>
        <w:t xml:space="preserve"> Government Legal Department, </w:t>
      </w:r>
      <w:r w:rsidRPr="00095610">
        <w:rPr>
          <w:rFonts w:cs="Times New Roman"/>
          <w:i/>
          <w:sz w:val="20"/>
        </w:rPr>
        <w:t xml:space="preserve">The Judge over your Shoulder: A Guide to Good Decision-Making </w:t>
      </w:r>
      <w:r w:rsidRPr="00095610">
        <w:rPr>
          <w:rFonts w:cs="Times New Roman"/>
          <w:sz w:val="20"/>
        </w:rPr>
        <w:t>(5th ed., 2018).</w:t>
      </w:r>
    </w:p>
  </w:footnote>
  <w:footnote w:id="41">
    <w:p w14:paraId="154DA272" w14:textId="0A86C96B" w:rsidR="00863DEE" w:rsidRPr="00095610" w:rsidRDefault="00863DEE" w:rsidP="00095610">
      <w:pPr>
        <w:snapToGrid w:val="0"/>
        <w:spacing w:before="100" w:beforeAutospacing="1" w:after="120" w:line="240" w:lineRule="auto"/>
        <w:jc w:val="both"/>
        <w:rPr>
          <w:rFonts w:cs="Times New Roman"/>
          <w:sz w:val="20"/>
          <w:szCs w:val="20"/>
        </w:rPr>
      </w:pPr>
      <w:r w:rsidRPr="00095610">
        <w:rPr>
          <w:rStyle w:val="FootnoteReference"/>
          <w:sz w:val="20"/>
          <w:szCs w:val="20"/>
        </w:rPr>
        <w:footnoteRef/>
      </w:r>
      <w:r w:rsidRPr="00095610">
        <w:rPr>
          <w:rFonts w:cs="Times New Roman"/>
          <w:sz w:val="20"/>
          <w:szCs w:val="20"/>
        </w:rPr>
        <w:t xml:space="preserve"> </w:t>
      </w:r>
      <w:r w:rsidR="00386B79" w:rsidRPr="00095610">
        <w:rPr>
          <w:rFonts w:cs="Times New Roman"/>
          <w:sz w:val="20"/>
          <w:szCs w:val="20"/>
        </w:rPr>
        <w:t xml:space="preserve">T. </w:t>
      </w:r>
      <w:r w:rsidR="009B3E2C" w:rsidRPr="00095610">
        <w:rPr>
          <w:rFonts w:cs="Times New Roman"/>
          <w:sz w:val="20"/>
          <w:szCs w:val="20"/>
        </w:rPr>
        <w:t xml:space="preserve">Poole, </w:t>
      </w:r>
      <w:r w:rsidR="00386B79" w:rsidRPr="00095610">
        <w:rPr>
          <w:rFonts w:cs="Times New Roman"/>
          <w:sz w:val="20"/>
          <w:szCs w:val="20"/>
        </w:rPr>
        <w:t>‘</w:t>
      </w:r>
      <w:r w:rsidR="009B3E2C" w:rsidRPr="00095610">
        <w:rPr>
          <w:rFonts w:cs="Times New Roman"/>
          <w:sz w:val="20"/>
          <w:szCs w:val="20"/>
        </w:rPr>
        <w:t>The reformation of English administrative law</w:t>
      </w:r>
      <w:r w:rsidR="00386B79" w:rsidRPr="00095610">
        <w:rPr>
          <w:rFonts w:cs="Times New Roman"/>
          <w:sz w:val="20"/>
          <w:szCs w:val="20"/>
        </w:rPr>
        <w:t>’ (2009) 68(1)</w:t>
      </w:r>
      <w:r w:rsidR="009B3E2C" w:rsidRPr="00095610">
        <w:rPr>
          <w:rFonts w:cs="Times New Roman"/>
          <w:sz w:val="20"/>
          <w:szCs w:val="20"/>
        </w:rPr>
        <w:t xml:space="preserve"> </w:t>
      </w:r>
      <w:r w:rsidR="009B3E2C" w:rsidRPr="00095610">
        <w:rPr>
          <w:rFonts w:cs="Times New Roman"/>
          <w:i/>
          <w:iCs/>
          <w:sz w:val="20"/>
          <w:szCs w:val="20"/>
        </w:rPr>
        <w:t>Cambridge Law Journal</w:t>
      </w:r>
      <w:r w:rsidR="009B3E2C" w:rsidRPr="00095610">
        <w:rPr>
          <w:rFonts w:cs="Times New Roman"/>
          <w:sz w:val="20"/>
          <w:szCs w:val="20"/>
        </w:rPr>
        <w:t xml:space="preserve"> 142, p.</w:t>
      </w:r>
      <w:r w:rsidRPr="00095610">
        <w:rPr>
          <w:rFonts w:cs="Times New Roman"/>
          <w:sz w:val="20"/>
          <w:szCs w:val="20"/>
        </w:rPr>
        <w:t>157</w:t>
      </w:r>
      <w:r w:rsidR="00386B79" w:rsidRPr="00095610">
        <w:rPr>
          <w:rFonts w:cs="Times New Roman"/>
          <w:sz w:val="20"/>
          <w:szCs w:val="20"/>
        </w:rPr>
        <w:t>.</w:t>
      </w:r>
    </w:p>
  </w:footnote>
  <w:footnote w:id="42">
    <w:p w14:paraId="02D5EE81" w14:textId="4E34199B" w:rsidR="00863DEE" w:rsidRPr="00095610" w:rsidRDefault="00863DEE" w:rsidP="00095610">
      <w:pPr>
        <w:snapToGrid w:val="0"/>
        <w:spacing w:before="100" w:beforeAutospacing="1" w:after="120" w:line="240" w:lineRule="auto"/>
        <w:jc w:val="both"/>
        <w:rPr>
          <w:rFonts w:cs="Times New Roman"/>
          <w:sz w:val="20"/>
          <w:szCs w:val="20"/>
          <w:highlight w:val="yellow"/>
        </w:rPr>
      </w:pPr>
      <w:r w:rsidRPr="00095610">
        <w:rPr>
          <w:rStyle w:val="FootnoteReference"/>
          <w:sz w:val="20"/>
          <w:szCs w:val="20"/>
        </w:rPr>
        <w:footnoteRef/>
      </w:r>
      <w:r w:rsidRPr="00095610">
        <w:rPr>
          <w:rFonts w:cs="Times New Roman"/>
          <w:sz w:val="20"/>
          <w:szCs w:val="20"/>
        </w:rPr>
        <w:t xml:space="preserve"> </w:t>
      </w:r>
      <w:r w:rsidR="00386B79" w:rsidRPr="00095610">
        <w:rPr>
          <w:rFonts w:cs="Times New Roman"/>
          <w:sz w:val="20"/>
          <w:szCs w:val="20"/>
        </w:rPr>
        <w:t xml:space="preserve">M. </w:t>
      </w:r>
      <w:r w:rsidR="009B3E2C" w:rsidRPr="00095610">
        <w:rPr>
          <w:rFonts w:cs="Times New Roman"/>
          <w:sz w:val="20"/>
          <w:szCs w:val="20"/>
        </w:rPr>
        <w:t xml:space="preserve">Adler, </w:t>
      </w:r>
      <w:r w:rsidR="00386B79" w:rsidRPr="00095610">
        <w:rPr>
          <w:rFonts w:cs="Times New Roman"/>
          <w:sz w:val="20"/>
          <w:szCs w:val="20"/>
        </w:rPr>
        <w:t>‘</w:t>
      </w:r>
      <w:r w:rsidR="009B3E2C" w:rsidRPr="00095610">
        <w:rPr>
          <w:rFonts w:cs="Times New Roman"/>
          <w:sz w:val="20"/>
          <w:szCs w:val="20"/>
        </w:rPr>
        <w:t>A Socio-Legal Approach to Administrative Justice</w:t>
      </w:r>
      <w:r w:rsidR="00386B79" w:rsidRPr="00095610">
        <w:rPr>
          <w:rFonts w:cs="Times New Roman"/>
          <w:sz w:val="20"/>
          <w:szCs w:val="20"/>
        </w:rPr>
        <w:t xml:space="preserve">’ (2003) 25(4) </w:t>
      </w:r>
      <w:r w:rsidR="009B3E2C" w:rsidRPr="00095610">
        <w:rPr>
          <w:rFonts w:cs="Times New Roman"/>
          <w:i/>
          <w:iCs/>
          <w:sz w:val="20"/>
          <w:szCs w:val="20"/>
        </w:rPr>
        <w:t>Law &amp; Policy</w:t>
      </w:r>
      <w:r w:rsidR="009B3E2C" w:rsidRPr="00095610">
        <w:rPr>
          <w:rFonts w:cs="Times New Roman"/>
          <w:sz w:val="20"/>
          <w:szCs w:val="20"/>
        </w:rPr>
        <w:t xml:space="preserve"> 323, p.</w:t>
      </w:r>
      <w:r w:rsidRPr="00095610">
        <w:rPr>
          <w:rFonts w:cs="Times New Roman"/>
          <w:sz w:val="20"/>
          <w:szCs w:val="20"/>
        </w:rPr>
        <w:t>336</w:t>
      </w:r>
      <w:r w:rsidR="009B3E2C" w:rsidRPr="00095610">
        <w:rPr>
          <w:rFonts w:cs="Times New Roman"/>
          <w:sz w:val="20"/>
          <w:szCs w:val="20"/>
        </w:rPr>
        <w:t>.</w:t>
      </w:r>
    </w:p>
  </w:footnote>
  <w:footnote w:id="43">
    <w:p w14:paraId="03EF9308" w14:textId="072D3BB0" w:rsidR="00260A25" w:rsidRPr="00095610" w:rsidRDefault="00260A25"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009B3E2C" w:rsidRPr="00095610">
        <w:rPr>
          <w:rFonts w:cs="Times New Roman"/>
          <w:sz w:val="20"/>
        </w:rPr>
        <w:t xml:space="preserve"> Martin identifies three broad approaches, but one approach accords with our </w:t>
      </w:r>
      <w:r w:rsidR="00386B79" w:rsidRPr="00095610">
        <w:rPr>
          <w:rFonts w:cs="Times New Roman"/>
          <w:sz w:val="20"/>
        </w:rPr>
        <w:t>“</w:t>
      </w:r>
      <w:r w:rsidR="009B3E2C" w:rsidRPr="00095610">
        <w:rPr>
          <w:rFonts w:cs="Times New Roman"/>
          <w:sz w:val="20"/>
        </w:rPr>
        <w:t>external perspective,</w:t>
      </w:r>
      <w:r w:rsidR="00386B79" w:rsidRPr="00095610">
        <w:rPr>
          <w:rFonts w:cs="Times New Roman"/>
          <w:sz w:val="20"/>
        </w:rPr>
        <w:t>”</w:t>
      </w:r>
      <w:r w:rsidR="009B3E2C" w:rsidRPr="00095610">
        <w:rPr>
          <w:rFonts w:cs="Times New Roman"/>
          <w:sz w:val="20"/>
        </w:rPr>
        <w:t xml:space="preserve"> see: R. Ma</w:t>
      </w:r>
      <w:r w:rsidR="00386B79" w:rsidRPr="00095610">
        <w:rPr>
          <w:rFonts w:cs="Times New Roman"/>
          <w:sz w:val="20"/>
        </w:rPr>
        <w:t>r</w:t>
      </w:r>
      <w:r w:rsidR="009B3E2C" w:rsidRPr="00095610">
        <w:rPr>
          <w:rFonts w:cs="Times New Roman"/>
          <w:sz w:val="20"/>
        </w:rPr>
        <w:t>tin, ‘</w:t>
      </w:r>
      <w:r w:rsidR="009B3E2C" w:rsidRPr="00095610">
        <w:rPr>
          <w:rFonts w:cs="Times New Roman"/>
          <w:sz w:val="20"/>
          <w:lang w:val="en-GB"/>
        </w:rPr>
        <w:t>Administrative Decision-Making on the Frontline</w:t>
      </w:r>
      <w:r w:rsidR="009B3E2C" w:rsidRPr="00095610">
        <w:rPr>
          <w:rFonts w:cs="Times New Roman"/>
          <w:sz w:val="20"/>
        </w:rPr>
        <w:t xml:space="preserve">’ in J. Tomlinson, M. Hertogh, R. Thomas, and R. Kirkham (eds), </w:t>
      </w:r>
      <w:r w:rsidR="009B3E2C" w:rsidRPr="00095610">
        <w:rPr>
          <w:rFonts w:cs="Times New Roman"/>
          <w:i/>
          <w:iCs/>
          <w:sz w:val="20"/>
        </w:rPr>
        <w:t xml:space="preserve">Oxford Handbook of Administrative Justice </w:t>
      </w:r>
      <w:r w:rsidR="009B3E2C" w:rsidRPr="00095610">
        <w:rPr>
          <w:rFonts w:cs="Times New Roman"/>
          <w:sz w:val="20"/>
        </w:rPr>
        <w:t>(Oxford University Press, 202</w:t>
      </w:r>
      <w:r w:rsidR="00095610" w:rsidRPr="00095610">
        <w:rPr>
          <w:rFonts w:cs="Times New Roman"/>
          <w:sz w:val="20"/>
        </w:rPr>
        <w:t>2</w:t>
      </w:r>
      <w:r w:rsidR="009B3E2C" w:rsidRPr="00095610">
        <w:rPr>
          <w:rFonts w:cs="Times New Roman"/>
          <w:sz w:val="20"/>
        </w:rPr>
        <w:t>).</w:t>
      </w:r>
    </w:p>
  </w:footnote>
  <w:footnote w:id="44">
    <w:p w14:paraId="330FBB40" w14:textId="6D578436" w:rsidR="00B67CE5" w:rsidRPr="00095610" w:rsidRDefault="00B67CE5" w:rsidP="00095610">
      <w:pPr>
        <w:snapToGrid w:val="0"/>
        <w:spacing w:before="100" w:beforeAutospacing="1" w:after="120" w:line="240" w:lineRule="auto"/>
        <w:jc w:val="both"/>
        <w:rPr>
          <w:rFonts w:cs="Times New Roman"/>
          <w:sz w:val="20"/>
          <w:szCs w:val="20"/>
        </w:rPr>
      </w:pPr>
      <w:r w:rsidRPr="00095610">
        <w:rPr>
          <w:rStyle w:val="FootnoteReference"/>
          <w:sz w:val="20"/>
          <w:szCs w:val="20"/>
        </w:rPr>
        <w:footnoteRef/>
      </w:r>
      <w:r w:rsidRPr="00095610">
        <w:rPr>
          <w:rFonts w:cs="Times New Roman"/>
          <w:sz w:val="20"/>
          <w:szCs w:val="20"/>
        </w:rPr>
        <w:t xml:space="preserve"> J.L. Mashaw, </w:t>
      </w:r>
      <w:r w:rsidRPr="00095610">
        <w:rPr>
          <w:rFonts w:cs="Times New Roman"/>
          <w:i/>
          <w:iCs/>
          <w:sz w:val="20"/>
          <w:szCs w:val="20"/>
        </w:rPr>
        <w:t>Bureaucratic justice: Managing social security disability claims</w:t>
      </w:r>
      <w:r w:rsidRPr="00095610">
        <w:rPr>
          <w:rFonts w:cs="Times New Roman"/>
          <w:sz w:val="20"/>
          <w:szCs w:val="20"/>
        </w:rPr>
        <w:t xml:space="preserve"> (Yale University Press 1983).</w:t>
      </w:r>
    </w:p>
  </w:footnote>
  <w:footnote w:id="45">
    <w:p w14:paraId="121F674F" w14:textId="1B50DC48" w:rsidR="00260A25" w:rsidRPr="00095610" w:rsidRDefault="00260A25"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009B3E2C" w:rsidRPr="00095610">
        <w:rPr>
          <w:rFonts w:cs="Times New Roman"/>
          <w:sz w:val="20"/>
          <w:lang w:val="en-GB"/>
        </w:rPr>
        <w:t xml:space="preserve">See J.L. Mashaw, ‘Models of Administrative Justice’ </w:t>
      </w:r>
      <w:r w:rsidR="009B3E2C" w:rsidRPr="00095610">
        <w:rPr>
          <w:rFonts w:cs="Times New Roman"/>
          <w:sz w:val="20"/>
        </w:rPr>
        <w:t xml:space="preserve">in J. Tomlinson, M. Hertogh, R. Thomas, and R. Kirkham (eds), </w:t>
      </w:r>
      <w:r w:rsidR="009B3E2C" w:rsidRPr="00095610">
        <w:rPr>
          <w:rFonts w:cs="Times New Roman"/>
          <w:i/>
          <w:iCs/>
          <w:sz w:val="20"/>
        </w:rPr>
        <w:t xml:space="preserve">Oxford Handbook of Administrative Justice </w:t>
      </w:r>
      <w:r w:rsidR="009B3E2C" w:rsidRPr="00095610">
        <w:rPr>
          <w:rFonts w:cs="Times New Roman"/>
          <w:sz w:val="20"/>
        </w:rPr>
        <w:t>(Oxford University Press 202</w:t>
      </w:r>
      <w:r w:rsidR="00095610" w:rsidRPr="00095610">
        <w:rPr>
          <w:rFonts w:cs="Times New Roman"/>
          <w:sz w:val="20"/>
        </w:rPr>
        <w:t>2</w:t>
      </w:r>
      <w:r w:rsidR="009B3E2C" w:rsidRPr="00095610">
        <w:rPr>
          <w:rFonts w:cs="Times New Roman"/>
          <w:sz w:val="20"/>
        </w:rPr>
        <w:t>).</w:t>
      </w:r>
    </w:p>
  </w:footnote>
  <w:footnote w:id="46">
    <w:p w14:paraId="044D4F9C" w14:textId="42977FB5" w:rsidR="00260A25" w:rsidRPr="00095610" w:rsidRDefault="00260A25" w:rsidP="00095610">
      <w:pPr>
        <w:snapToGrid w:val="0"/>
        <w:spacing w:before="100" w:beforeAutospacing="1" w:after="120" w:line="240" w:lineRule="auto"/>
        <w:jc w:val="both"/>
        <w:rPr>
          <w:rFonts w:cs="Times New Roman"/>
          <w:sz w:val="20"/>
          <w:szCs w:val="20"/>
        </w:rPr>
      </w:pPr>
      <w:r w:rsidRPr="00095610">
        <w:rPr>
          <w:rStyle w:val="FootnoteReference"/>
          <w:sz w:val="20"/>
          <w:szCs w:val="20"/>
        </w:rPr>
        <w:footnoteRef/>
      </w:r>
      <w:r w:rsidRPr="00095610">
        <w:rPr>
          <w:rFonts w:cs="Times New Roman"/>
          <w:sz w:val="20"/>
          <w:szCs w:val="20"/>
        </w:rPr>
        <w:t xml:space="preserve"> </w:t>
      </w:r>
      <w:r w:rsidR="00386B79" w:rsidRPr="00095610">
        <w:rPr>
          <w:rFonts w:cs="Times New Roman"/>
          <w:sz w:val="20"/>
          <w:szCs w:val="20"/>
        </w:rPr>
        <w:t xml:space="preserve">R. </w:t>
      </w:r>
      <w:r w:rsidR="009B3E2C" w:rsidRPr="00095610">
        <w:rPr>
          <w:rFonts w:cs="Times New Roman"/>
          <w:sz w:val="20"/>
          <w:szCs w:val="20"/>
        </w:rPr>
        <w:t xml:space="preserve">Kagan, </w:t>
      </w:r>
      <w:r w:rsidR="00386B79" w:rsidRPr="00095610">
        <w:rPr>
          <w:rFonts w:cs="Times New Roman"/>
          <w:sz w:val="20"/>
          <w:szCs w:val="20"/>
        </w:rPr>
        <w:t>‘</w:t>
      </w:r>
      <w:r w:rsidR="009B3E2C" w:rsidRPr="00095610">
        <w:rPr>
          <w:rFonts w:cs="Times New Roman"/>
          <w:sz w:val="20"/>
          <w:szCs w:val="20"/>
        </w:rPr>
        <w:t>The Organization of Administrative Justice Systems: The Role of Political Mistrust</w:t>
      </w:r>
      <w:r w:rsidR="00386B79" w:rsidRPr="00095610">
        <w:rPr>
          <w:rFonts w:cs="Times New Roman"/>
          <w:sz w:val="20"/>
          <w:szCs w:val="20"/>
        </w:rPr>
        <w:t>’ i</w:t>
      </w:r>
      <w:r w:rsidR="009B3E2C" w:rsidRPr="00095610">
        <w:rPr>
          <w:rFonts w:cs="Times New Roman"/>
          <w:sz w:val="20"/>
          <w:szCs w:val="20"/>
        </w:rPr>
        <w:t>n</w:t>
      </w:r>
      <w:r w:rsidR="00386B79" w:rsidRPr="00095610">
        <w:rPr>
          <w:rFonts w:cs="Times New Roman"/>
          <w:sz w:val="20"/>
          <w:szCs w:val="20"/>
        </w:rPr>
        <w:t xml:space="preserve"> M Adler (ed),</w:t>
      </w:r>
      <w:r w:rsidR="009B3E2C" w:rsidRPr="00095610">
        <w:rPr>
          <w:rFonts w:cs="Times New Roman"/>
          <w:sz w:val="20"/>
          <w:szCs w:val="20"/>
        </w:rPr>
        <w:t xml:space="preserve"> </w:t>
      </w:r>
      <w:r w:rsidR="009B3E2C" w:rsidRPr="00095610">
        <w:rPr>
          <w:rFonts w:cs="Times New Roman"/>
          <w:i/>
          <w:iCs/>
          <w:sz w:val="20"/>
          <w:szCs w:val="20"/>
        </w:rPr>
        <w:t>Administrative Justice in Contex</w:t>
      </w:r>
      <w:r w:rsidR="00386B79" w:rsidRPr="00095610">
        <w:rPr>
          <w:rFonts w:cs="Times New Roman"/>
          <w:i/>
          <w:iCs/>
          <w:sz w:val="20"/>
          <w:szCs w:val="20"/>
        </w:rPr>
        <w:t>t</w:t>
      </w:r>
      <w:r w:rsidR="009B3E2C" w:rsidRPr="00095610">
        <w:rPr>
          <w:rFonts w:cs="Times New Roman"/>
          <w:sz w:val="20"/>
          <w:szCs w:val="20"/>
        </w:rPr>
        <w:t xml:space="preserve"> </w:t>
      </w:r>
      <w:r w:rsidR="00386B79" w:rsidRPr="00095610">
        <w:rPr>
          <w:rFonts w:cs="Times New Roman"/>
          <w:sz w:val="20"/>
          <w:szCs w:val="20"/>
        </w:rPr>
        <w:t>(</w:t>
      </w:r>
      <w:r w:rsidR="009B3E2C" w:rsidRPr="00095610">
        <w:rPr>
          <w:rFonts w:cs="Times New Roman"/>
          <w:sz w:val="20"/>
          <w:szCs w:val="20"/>
        </w:rPr>
        <w:t>Hart</w:t>
      </w:r>
      <w:r w:rsidR="00386B79" w:rsidRPr="00095610">
        <w:rPr>
          <w:rFonts w:cs="Times New Roman"/>
          <w:sz w:val="20"/>
          <w:szCs w:val="20"/>
        </w:rPr>
        <w:t>, 2010)</w:t>
      </w:r>
      <w:r w:rsidR="009B3E2C" w:rsidRPr="00095610">
        <w:rPr>
          <w:rFonts w:cs="Times New Roman"/>
          <w:sz w:val="20"/>
          <w:szCs w:val="20"/>
        </w:rPr>
        <w:t>.</w:t>
      </w:r>
    </w:p>
  </w:footnote>
  <w:footnote w:id="47">
    <w:p w14:paraId="35860C15" w14:textId="36C24A2C" w:rsidR="00260A25" w:rsidRPr="00095610" w:rsidRDefault="00260A25"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00386B79" w:rsidRPr="00095610">
        <w:rPr>
          <w:rFonts w:cs="Times New Roman"/>
          <w:sz w:val="20"/>
        </w:rPr>
        <w:t xml:space="preserve">S. </w:t>
      </w:r>
      <w:r w:rsidR="009B3E2C" w:rsidRPr="00095610">
        <w:rPr>
          <w:rFonts w:cs="Times New Roman"/>
          <w:sz w:val="20"/>
        </w:rPr>
        <w:t xml:space="preserve">Halliday and </w:t>
      </w:r>
      <w:r w:rsidR="00386B79" w:rsidRPr="00095610">
        <w:rPr>
          <w:rFonts w:cs="Times New Roman"/>
          <w:sz w:val="20"/>
        </w:rPr>
        <w:t xml:space="preserve">C. </w:t>
      </w:r>
      <w:r w:rsidR="009B3E2C" w:rsidRPr="00095610">
        <w:rPr>
          <w:rFonts w:cs="Times New Roman"/>
          <w:sz w:val="20"/>
        </w:rPr>
        <w:t xml:space="preserve">Scott, </w:t>
      </w:r>
      <w:r w:rsidR="00386B79" w:rsidRPr="00095610">
        <w:rPr>
          <w:rFonts w:cs="Times New Roman"/>
          <w:sz w:val="20"/>
        </w:rPr>
        <w:t>‘</w:t>
      </w:r>
      <w:r w:rsidR="009B3E2C" w:rsidRPr="00095610">
        <w:rPr>
          <w:rFonts w:cs="Times New Roman"/>
          <w:sz w:val="20"/>
        </w:rPr>
        <w:t>A Cultural Analysis of Administrative Justice</w:t>
      </w:r>
      <w:r w:rsidR="00386B79" w:rsidRPr="00095610">
        <w:rPr>
          <w:rFonts w:cs="Times New Roman"/>
          <w:sz w:val="20"/>
        </w:rPr>
        <w:t>’</w:t>
      </w:r>
      <w:r w:rsidR="009B3E2C" w:rsidRPr="00095610">
        <w:rPr>
          <w:rFonts w:cs="Times New Roman"/>
          <w:sz w:val="20"/>
        </w:rPr>
        <w:t xml:space="preserve"> </w:t>
      </w:r>
      <w:r w:rsidR="00386B79" w:rsidRPr="00095610">
        <w:rPr>
          <w:rFonts w:cs="Times New Roman"/>
          <w:sz w:val="20"/>
        </w:rPr>
        <w:t xml:space="preserve">in M Adler (ed), </w:t>
      </w:r>
      <w:r w:rsidR="00386B79" w:rsidRPr="00095610">
        <w:rPr>
          <w:rFonts w:cs="Times New Roman"/>
          <w:i/>
          <w:iCs/>
          <w:sz w:val="20"/>
        </w:rPr>
        <w:t>Administrative Justice in Context</w:t>
      </w:r>
      <w:r w:rsidR="00386B79" w:rsidRPr="00095610">
        <w:rPr>
          <w:rFonts w:cs="Times New Roman"/>
          <w:sz w:val="20"/>
        </w:rPr>
        <w:t xml:space="preserve"> (Hart, 2010).</w:t>
      </w:r>
    </w:p>
  </w:footnote>
  <w:footnote w:id="48">
    <w:p w14:paraId="6E7B93D5" w14:textId="4130C432" w:rsidR="00B45791" w:rsidRPr="00095610" w:rsidRDefault="00B45791" w:rsidP="00095610">
      <w:pPr>
        <w:snapToGrid w:val="0"/>
        <w:spacing w:before="100" w:beforeAutospacing="1" w:after="120" w:line="240" w:lineRule="auto"/>
        <w:jc w:val="both"/>
        <w:rPr>
          <w:rFonts w:cs="Times New Roman"/>
          <w:sz w:val="20"/>
          <w:szCs w:val="20"/>
        </w:rPr>
      </w:pPr>
      <w:r w:rsidRPr="00095610">
        <w:rPr>
          <w:rStyle w:val="FootnoteReference"/>
          <w:sz w:val="20"/>
          <w:szCs w:val="20"/>
        </w:rPr>
        <w:footnoteRef/>
      </w:r>
      <w:r w:rsidRPr="00095610">
        <w:rPr>
          <w:rFonts w:cs="Times New Roman"/>
          <w:sz w:val="20"/>
          <w:szCs w:val="20"/>
        </w:rPr>
        <w:t xml:space="preserve"> </w:t>
      </w:r>
      <w:r w:rsidR="00386B79" w:rsidRPr="00095610">
        <w:rPr>
          <w:rFonts w:cs="Times New Roman"/>
          <w:sz w:val="20"/>
          <w:szCs w:val="20"/>
        </w:rPr>
        <w:t xml:space="preserve">See </w:t>
      </w:r>
      <w:proofErr w:type="gramStart"/>
      <w:r w:rsidR="00386B79" w:rsidRPr="00095610">
        <w:rPr>
          <w:rFonts w:cs="Times New Roman"/>
          <w:i/>
          <w:iCs/>
          <w:sz w:val="20"/>
          <w:szCs w:val="20"/>
        </w:rPr>
        <w:t>e.g.</w:t>
      </w:r>
      <w:proofErr w:type="gramEnd"/>
      <w:r w:rsidR="00386B79" w:rsidRPr="00095610">
        <w:rPr>
          <w:rFonts w:cs="Times New Roman"/>
          <w:i/>
          <w:iCs/>
          <w:sz w:val="20"/>
          <w:szCs w:val="20"/>
        </w:rPr>
        <w:t xml:space="preserve"> </w:t>
      </w:r>
      <w:r w:rsidR="00386B79" w:rsidRPr="00095610">
        <w:rPr>
          <w:rFonts w:cs="Times New Roman"/>
          <w:sz w:val="20"/>
          <w:szCs w:val="20"/>
        </w:rPr>
        <w:t xml:space="preserve">C. </w:t>
      </w:r>
      <w:r w:rsidR="009B3E2C" w:rsidRPr="00095610">
        <w:rPr>
          <w:rFonts w:cs="Times New Roman"/>
          <w:sz w:val="20"/>
          <w:szCs w:val="20"/>
        </w:rPr>
        <w:t>Harlow</w:t>
      </w:r>
      <w:r w:rsidR="00386B79" w:rsidRPr="00095610">
        <w:rPr>
          <w:rFonts w:cs="Times New Roman"/>
          <w:sz w:val="20"/>
          <w:szCs w:val="20"/>
        </w:rPr>
        <w:t>, ‘</w:t>
      </w:r>
      <w:r w:rsidR="009B3E2C" w:rsidRPr="00095610">
        <w:rPr>
          <w:rFonts w:cs="Times New Roman"/>
          <w:sz w:val="20"/>
          <w:szCs w:val="20"/>
        </w:rPr>
        <w:t>Accountability, New Public Management, and the Problems of the Child Support Agency</w:t>
      </w:r>
      <w:r w:rsidR="00386B79" w:rsidRPr="00095610">
        <w:rPr>
          <w:rFonts w:cs="Times New Roman"/>
          <w:sz w:val="20"/>
          <w:szCs w:val="20"/>
        </w:rPr>
        <w:t>’</w:t>
      </w:r>
      <w:r w:rsidR="009B3E2C" w:rsidRPr="00095610">
        <w:rPr>
          <w:rFonts w:cs="Times New Roman"/>
          <w:sz w:val="20"/>
          <w:szCs w:val="20"/>
        </w:rPr>
        <w:t xml:space="preserve"> </w:t>
      </w:r>
      <w:r w:rsidR="00386B79" w:rsidRPr="00095610">
        <w:rPr>
          <w:rFonts w:cs="Times New Roman"/>
          <w:sz w:val="20"/>
          <w:szCs w:val="20"/>
        </w:rPr>
        <w:t xml:space="preserve">(2002) 26(2) </w:t>
      </w:r>
      <w:r w:rsidR="009B3E2C" w:rsidRPr="00095610">
        <w:rPr>
          <w:rFonts w:cs="Times New Roman"/>
          <w:i/>
          <w:iCs/>
          <w:sz w:val="20"/>
          <w:szCs w:val="20"/>
        </w:rPr>
        <w:t>Journal of Law and Society</w:t>
      </w:r>
      <w:r w:rsidR="009B3E2C" w:rsidRPr="00095610">
        <w:rPr>
          <w:rFonts w:cs="Times New Roman"/>
          <w:sz w:val="20"/>
          <w:szCs w:val="20"/>
        </w:rPr>
        <w:t xml:space="preserve"> 150.</w:t>
      </w:r>
    </w:p>
  </w:footnote>
  <w:footnote w:id="49">
    <w:p w14:paraId="280BF8BE" w14:textId="2D38DF4B" w:rsidR="00B45791" w:rsidRPr="00095610" w:rsidRDefault="00B45791" w:rsidP="00095610">
      <w:pPr>
        <w:snapToGrid w:val="0"/>
        <w:spacing w:before="100" w:beforeAutospacing="1" w:after="120" w:line="240" w:lineRule="auto"/>
        <w:jc w:val="both"/>
        <w:rPr>
          <w:rFonts w:cs="Times New Roman"/>
          <w:color w:val="000000" w:themeColor="text1"/>
          <w:sz w:val="20"/>
          <w:szCs w:val="20"/>
        </w:rPr>
      </w:pPr>
      <w:r w:rsidRPr="00095610">
        <w:rPr>
          <w:rStyle w:val="FootnoteReference"/>
          <w:sz w:val="20"/>
          <w:szCs w:val="20"/>
        </w:rPr>
        <w:footnoteRef/>
      </w:r>
      <w:r w:rsidRPr="00095610">
        <w:rPr>
          <w:rFonts w:cs="Times New Roman"/>
          <w:sz w:val="20"/>
          <w:szCs w:val="20"/>
        </w:rPr>
        <w:t xml:space="preserve"> </w:t>
      </w:r>
      <w:r w:rsidR="009B3E2C" w:rsidRPr="00095610">
        <w:rPr>
          <w:rFonts w:cs="Times New Roman"/>
          <w:color w:val="000000" w:themeColor="text1"/>
          <w:sz w:val="20"/>
          <w:szCs w:val="20"/>
        </w:rPr>
        <w:t>J. Tomlinson, ‘Justice in Automated Administration’ (2020)</w:t>
      </w:r>
      <w:r w:rsidR="00095610" w:rsidRPr="00095610">
        <w:rPr>
          <w:rFonts w:cs="Times New Roman"/>
          <w:color w:val="000000" w:themeColor="text1"/>
          <w:sz w:val="20"/>
          <w:szCs w:val="20"/>
        </w:rPr>
        <w:t xml:space="preserve"> </w:t>
      </w:r>
      <w:r w:rsidR="00095610" w:rsidRPr="00095610">
        <w:rPr>
          <w:rFonts w:cs="Times New Roman"/>
          <w:iCs/>
          <w:color w:val="000000" w:themeColor="text1"/>
          <w:sz w:val="20"/>
          <w:szCs w:val="20"/>
        </w:rPr>
        <w:t xml:space="preserve">40(4) </w:t>
      </w:r>
      <w:r w:rsidR="00095610" w:rsidRPr="00095610">
        <w:rPr>
          <w:rFonts w:cs="Times New Roman"/>
          <w:i/>
          <w:color w:val="000000" w:themeColor="text1"/>
          <w:sz w:val="20"/>
          <w:szCs w:val="20"/>
        </w:rPr>
        <w:t>Oxford Journal of Legal Studies</w:t>
      </w:r>
      <w:r w:rsidR="00095610" w:rsidRPr="00095610">
        <w:rPr>
          <w:rFonts w:cs="Times New Roman"/>
          <w:iCs/>
          <w:color w:val="000000" w:themeColor="text1"/>
          <w:sz w:val="20"/>
          <w:szCs w:val="20"/>
        </w:rPr>
        <w:t xml:space="preserve"> 708.</w:t>
      </w:r>
    </w:p>
  </w:footnote>
  <w:footnote w:id="50">
    <w:p w14:paraId="5084AD30" w14:textId="631E6249" w:rsidR="00B32F78" w:rsidRPr="00095610" w:rsidRDefault="00B32F78"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000A4229" w:rsidRPr="00095610">
        <w:rPr>
          <w:rFonts w:cs="Times New Roman"/>
          <w:sz w:val="20"/>
          <w:lang w:val="en-GB"/>
        </w:rPr>
        <w:t xml:space="preserve"> M. Lipsky, </w:t>
      </w:r>
      <w:r w:rsidR="000A4229" w:rsidRPr="00095610">
        <w:rPr>
          <w:rFonts w:cs="Times New Roman"/>
          <w:i/>
          <w:iCs/>
          <w:sz w:val="20"/>
          <w:lang w:val="en-GB"/>
        </w:rPr>
        <w:t>Street-level Bureaucracy: Dilemmas of the Individual in Public Services</w:t>
      </w:r>
      <w:r w:rsidR="000A4229" w:rsidRPr="00095610">
        <w:rPr>
          <w:rFonts w:cs="Times New Roman"/>
          <w:sz w:val="20"/>
          <w:lang w:val="en-GB"/>
        </w:rPr>
        <w:t xml:space="preserve"> (Russell Sage Foundation, 1980). For an analysis of the influence of this work, see: N. Raaphorst, ‘Administrative Justice in Street-Level Decision Making: Equal treatment and responsiveness’ in </w:t>
      </w:r>
      <w:r w:rsidR="000A4229" w:rsidRPr="00095610">
        <w:rPr>
          <w:rFonts w:cs="Times New Roman"/>
          <w:sz w:val="20"/>
        </w:rPr>
        <w:t xml:space="preserve">J. Tomlinson, M. Hertogh, R. Thomas, and R. Kirkham (eds), </w:t>
      </w:r>
      <w:r w:rsidR="000A4229" w:rsidRPr="00095610">
        <w:rPr>
          <w:rFonts w:cs="Times New Roman"/>
          <w:i/>
          <w:iCs/>
          <w:sz w:val="20"/>
        </w:rPr>
        <w:t xml:space="preserve">Oxford Handbook of Administrative Justice </w:t>
      </w:r>
      <w:r w:rsidR="000A4229" w:rsidRPr="00095610">
        <w:rPr>
          <w:rFonts w:cs="Times New Roman"/>
          <w:sz w:val="20"/>
        </w:rPr>
        <w:t>(Oxford University Press 202</w:t>
      </w:r>
      <w:r w:rsidR="00095610" w:rsidRPr="00095610">
        <w:rPr>
          <w:rFonts w:cs="Times New Roman"/>
          <w:sz w:val="20"/>
        </w:rPr>
        <w:t>2</w:t>
      </w:r>
      <w:r w:rsidR="000A4229" w:rsidRPr="00095610">
        <w:rPr>
          <w:rFonts w:cs="Times New Roman"/>
          <w:sz w:val="20"/>
        </w:rPr>
        <w:t>).</w:t>
      </w:r>
    </w:p>
  </w:footnote>
  <w:footnote w:id="51">
    <w:p w14:paraId="3DAFFAF4" w14:textId="20E8B6CD" w:rsidR="004800BA" w:rsidRPr="00095610" w:rsidRDefault="004800BA"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00292C50" w:rsidRPr="00095610">
        <w:rPr>
          <w:rFonts w:cs="Times New Roman"/>
          <w:sz w:val="20"/>
        </w:rPr>
        <w:t xml:space="preserve">L. </w:t>
      </w:r>
      <w:r w:rsidR="00292C50" w:rsidRPr="00095610">
        <w:rPr>
          <w:rFonts w:cs="Times New Roman"/>
          <w:sz w:val="20"/>
          <w:lang w:val="en-GB"/>
        </w:rPr>
        <w:t xml:space="preserve">Sossin, ‘The Politics of Discretion: Towards a Critical Theory of Public Administration’ (1993) 36 </w:t>
      </w:r>
      <w:r w:rsidR="00292C50" w:rsidRPr="00095610">
        <w:rPr>
          <w:rFonts w:cs="Times New Roman"/>
          <w:i/>
          <w:iCs/>
          <w:sz w:val="20"/>
          <w:lang w:val="en-GB"/>
        </w:rPr>
        <w:t>Canadian Public Administration</w:t>
      </w:r>
      <w:r w:rsidR="00292C50" w:rsidRPr="00095610">
        <w:rPr>
          <w:rFonts w:cs="Times New Roman"/>
          <w:sz w:val="20"/>
          <w:lang w:val="en-GB"/>
        </w:rPr>
        <w:t xml:space="preserve"> 364.</w:t>
      </w:r>
    </w:p>
  </w:footnote>
  <w:footnote w:id="52">
    <w:p w14:paraId="61005041" w14:textId="15A2267B" w:rsidR="004800BA" w:rsidRPr="00095610" w:rsidRDefault="004800BA" w:rsidP="00095610">
      <w:pPr>
        <w:pStyle w:val="FootnoteText"/>
        <w:snapToGrid w:val="0"/>
        <w:spacing w:before="100" w:beforeAutospacing="1" w:after="120"/>
        <w:jc w:val="both"/>
        <w:rPr>
          <w:rFonts w:cs="Times New Roman"/>
          <w:sz w:val="20"/>
          <w:highlight w:val="yellow"/>
          <w:lang w:val="en-GB"/>
        </w:rPr>
      </w:pPr>
      <w:r w:rsidRPr="00095610">
        <w:rPr>
          <w:rStyle w:val="FootnoteReference"/>
          <w:sz w:val="20"/>
        </w:rPr>
        <w:footnoteRef/>
      </w:r>
      <w:r w:rsidR="00292C50" w:rsidRPr="00095610">
        <w:rPr>
          <w:rFonts w:cs="Times New Roman"/>
          <w:sz w:val="20"/>
          <w:lang w:val="en-GB"/>
        </w:rPr>
        <w:t xml:space="preserve"> R. Martin, ‘A “Culture of Justification”? Police Interpretation and Application of the Human Rights Act 1998’ in J. Varuhas and S. Stark (eds), </w:t>
      </w:r>
      <w:r w:rsidR="00292C50" w:rsidRPr="00095610">
        <w:rPr>
          <w:rFonts w:cs="Times New Roman"/>
          <w:i/>
          <w:iCs/>
          <w:sz w:val="20"/>
          <w:lang w:val="en-GB"/>
        </w:rPr>
        <w:t>The Frontiers of Public Law</w:t>
      </w:r>
      <w:r w:rsidR="00292C50" w:rsidRPr="00095610">
        <w:rPr>
          <w:rFonts w:cs="Times New Roman"/>
          <w:sz w:val="20"/>
          <w:lang w:val="en-GB"/>
        </w:rPr>
        <w:t xml:space="preserve"> (Hart, 2019).</w:t>
      </w:r>
    </w:p>
  </w:footnote>
  <w:footnote w:id="53">
    <w:p w14:paraId="5D6F01D2" w14:textId="70FE249F" w:rsidR="00B42FD9" w:rsidRPr="00095610" w:rsidRDefault="00B42FD9" w:rsidP="00095610">
      <w:pPr>
        <w:pStyle w:val="FootnoteText"/>
        <w:snapToGrid w:val="0"/>
        <w:spacing w:before="100" w:beforeAutospacing="1" w:after="120"/>
        <w:jc w:val="both"/>
        <w:rPr>
          <w:rFonts w:cs="Times New Roman"/>
          <w:sz w:val="20"/>
          <w:lang w:val="en-US"/>
        </w:rPr>
      </w:pPr>
      <w:r w:rsidRPr="00095610">
        <w:rPr>
          <w:rStyle w:val="FootnoteReference"/>
          <w:sz w:val="20"/>
        </w:rPr>
        <w:footnoteRef/>
      </w:r>
      <w:r w:rsidRPr="00095610">
        <w:rPr>
          <w:rFonts w:cs="Times New Roman"/>
          <w:sz w:val="20"/>
        </w:rPr>
        <w:t xml:space="preserve"> </w:t>
      </w:r>
      <w:r w:rsidRPr="00095610">
        <w:rPr>
          <w:rFonts w:cs="Times New Roman"/>
          <w:sz w:val="20"/>
          <w:lang w:val="en-US"/>
        </w:rPr>
        <w:t>See also P</w:t>
      </w:r>
      <w:r w:rsidR="00095610" w:rsidRPr="00095610">
        <w:rPr>
          <w:rFonts w:cs="Times New Roman"/>
          <w:sz w:val="20"/>
          <w:lang w:val="en-US"/>
        </w:rPr>
        <w:t>.</w:t>
      </w:r>
      <w:r w:rsidRPr="00095610">
        <w:rPr>
          <w:rFonts w:cs="Times New Roman"/>
          <w:sz w:val="20"/>
          <w:lang w:val="en-US"/>
        </w:rPr>
        <w:t xml:space="preserve"> Daly, </w:t>
      </w:r>
      <w:r w:rsidR="00095610" w:rsidRPr="00095610">
        <w:rPr>
          <w:rFonts w:cs="Times New Roman"/>
          <w:sz w:val="20"/>
          <w:lang w:val="en-US"/>
        </w:rPr>
        <w:t>‘</w:t>
      </w:r>
      <w:r w:rsidRPr="00095610">
        <w:rPr>
          <w:rFonts w:cs="Times New Roman"/>
          <w:sz w:val="20"/>
          <w:lang w:val="en-US"/>
        </w:rPr>
        <w:t>Plural Public Law</w:t>
      </w:r>
      <w:r w:rsidR="00095610" w:rsidRPr="00095610">
        <w:rPr>
          <w:rFonts w:cs="Times New Roman"/>
          <w:sz w:val="20"/>
          <w:lang w:val="en-US"/>
        </w:rPr>
        <w:t>’</w:t>
      </w:r>
      <w:r w:rsidRPr="00095610">
        <w:rPr>
          <w:rFonts w:cs="Times New Roman"/>
          <w:sz w:val="20"/>
          <w:lang w:val="en-US"/>
        </w:rPr>
        <w:t xml:space="preserve"> (2020) 51 </w:t>
      </w:r>
      <w:r w:rsidRPr="00095610">
        <w:rPr>
          <w:rFonts w:cs="Times New Roman"/>
          <w:i/>
          <w:iCs/>
          <w:sz w:val="20"/>
          <w:lang w:val="en-US"/>
        </w:rPr>
        <w:t xml:space="preserve">Ottawa Law Review </w:t>
      </w:r>
      <w:r w:rsidRPr="00095610">
        <w:rPr>
          <w:rFonts w:cs="Times New Roman"/>
          <w:sz w:val="20"/>
          <w:lang w:val="en-US"/>
        </w:rPr>
        <w:t>395.</w:t>
      </w:r>
    </w:p>
  </w:footnote>
  <w:footnote w:id="54">
    <w:p w14:paraId="0B43C64D" w14:textId="62EB6215" w:rsidR="00702BBB" w:rsidRPr="00095610" w:rsidRDefault="00702BBB" w:rsidP="00095610">
      <w:pPr>
        <w:pStyle w:val="FootnoteText"/>
        <w:snapToGrid w:val="0"/>
        <w:spacing w:before="100" w:beforeAutospacing="1" w:after="120"/>
        <w:jc w:val="both"/>
        <w:rPr>
          <w:rFonts w:cs="Times New Roman"/>
          <w:sz w:val="20"/>
          <w:lang w:val="en-GB"/>
        </w:rPr>
      </w:pPr>
      <w:r w:rsidRPr="00095610">
        <w:rPr>
          <w:rStyle w:val="FootnoteReference"/>
          <w:sz w:val="20"/>
        </w:rPr>
        <w:footnoteRef/>
      </w:r>
      <w:r w:rsidRPr="00095610">
        <w:rPr>
          <w:rFonts w:cs="Times New Roman"/>
          <w:sz w:val="20"/>
        </w:rPr>
        <w:t xml:space="preserve"> </w:t>
      </w:r>
      <w:r w:rsidRPr="00095610">
        <w:rPr>
          <w:rFonts w:cs="Times New Roman"/>
          <w:sz w:val="20"/>
          <w:lang w:val="en-GB"/>
        </w:rPr>
        <w:t>(Hart Publishing</w:t>
      </w:r>
      <w:r w:rsidR="00095610" w:rsidRPr="00095610">
        <w:rPr>
          <w:rFonts w:cs="Times New Roman"/>
          <w:sz w:val="20"/>
          <w:lang w:val="en-GB"/>
        </w:rPr>
        <w:t xml:space="preserve"> </w:t>
      </w:r>
      <w:r w:rsidRPr="00095610">
        <w:rPr>
          <w:rFonts w:cs="Times New Roman"/>
          <w:sz w:val="20"/>
          <w:lang w:val="en-GB"/>
        </w:rPr>
        <w:t>2016).</w:t>
      </w:r>
    </w:p>
  </w:footnote>
  <w:footnote w:id="55">
    <w:p w14:paraId="44D6B47A" w14:textId="278BD2A7" w:rsidR="004F4DCE" w:rsidRPr="00095610" w:rsidRDefault="004F4DCE" w:rsidP="00095610">
      <w:pPr>
        <w:pStyle w:val="FootnoteText"/>
        <w:snapToGrid w:val="0"/>
        <w:spacing w:before="100" w:beforeAutospacing="1" w:after="120"/>
        <w:jc w:val="both"/>
        <w:rPr>
          <w:rFonts w:cs="Times New Roman"/>
          <w:sz w:val="20"/>
          <w:highlight w:val="yellow"/>
          <w:lang w:val="en-US"/>
        </w:rPr>
      </w:pPr>
      <w:r w:rsidRPr="00095610">
        <w:rPr>
          <w:rStyle w:val="FootnoteReference"/>
          <w:sz w:val="20"/>
        </w:rPr>
        <w:footnoteRef/>
      </w:r>
      <w:r w:rsidRPr="00095610">
        <w:rPr>
          <w:rFonts w:cs="Times New Roman"/>
          <w:sz w:val="20"/>
        </w:rPr>
        <w:t xml:space="preserve"> </w:t>
      </w:r>
      <w:r w:rsidRPr="00095610">
        <w:rPr>
          <w:rFonts w:cs="Times New Roman"/>
          <w:sz w:val="20"/>
          <w:lang w:val="en-US"/>
        </w:rPr>
        <w:t>(</w:t>
      </w:r>
      <w:r w:rsidR="00095610" w:rsidRPr="00095610">
        <w:rPr>
          <w:rFonts w:cs="Times New Roman"/>
          <w:sz w:val="20"/>
          <w:lang w:val="en-GB"/>
        </w:rPr>
        <w:t>Hart Publishing</w:t>
      </w:r>
      <w:r w:rsidRPr="00095610">
        <w:rPr>
          <w:rFonts w:cs="Times New Roman"/>
          <w:sz w:val="20"/>
          <w:lang w:val="en-US"/>
        </w:rPr>
        <w:t xml:space="preserve"> 2020).</w:t>
      </w:r>
    </w:p>
  </w:footnote>
  <w:footnote w:id="56">
    <w:p w14:paraId="7C5585BC" w14:textId="2E08E447" w:rsidR="00167B0F" w:rsidRPr="00241395" w:rsidRDefault="00167B0F" w:rsidP="00095610">
      <w:pPr>
        <w:pStyle w:val="FootnoteText"/>
        <w:snapToGrid w:val="0"/>
        <w:spacing w:before="100" w:beforeAutospacing="1" w:after="120"/>
        <w:jc w:val="both"/>
        <w:rPr>
          <w:rFonts w:cs="Times New Roman"/>
          <w:sz w:val="20"/>
          <w:highlight w:val="yellow"/>
          <w:lang w:val="en-US"/>
        </w:rPr>
      </w:pPr>
      <w:r w:rsidRPr="00095610">
        <w:rPr>
          <w:rStyle w:val="FootnoteReference"/>
          <w:sz w:val="20"/>
        </w:rPr>
        <w:footnoteRef/>
      </w:r>
      <w:r w:rsidRPr="00095610">
        <w:rPr>
          <w:rFonts w:cs="Times New Roman"/>
          <w:sz w:val="20"/>
        </w:rPr>
        <w:t xml:space="preserve"> </w:t>
      </w:r>
      <w:r w:rsidR="00095610" w:rsidRPr="00095610">
        <w:rPr>
          <w:rFonts w:cs="Times New Roman"/>
          <w:sz w:val="20"/>
          <w:lang w:val="en-US"/>
        </w:rPr>
        <w:t>L.</w:t>
      </w:r>
      <w:r w:rsidRPr="00095610">
        <w:rPr>
          <w:rFonts w:cs="Times New Roman"/>
          <w:sz w:val="20"/>
          <w:lang w:val="en-US"/>
        </w:rPr>
        <w:t xml:space="preserve"> Fisher, </w:t>
      </w:r>
      <w:r w:rsidR="00095610" w:rsidRPr="00095610">
        <w:rPr>
          <w:rFonts w:cs="Times New Roman"/>
          <w:sz w:val="20"/>
          <w:lang w:val="en-US"/>
        </w:rPr>
        <w:t>‘</w:t>
      </w:r>
      <w:r w:rsidRPr="00095610">
        <w:rPr>
          <w:rFonts w:cs="Times New Roman"/>
          <w:sz w:val="20"/>
          <w:lang w:val="en-US"/>
        </w:rPr>
        <w:t>Should Administrative Law Scholars Be More Like Botanists?</w:t>
      </w:r>
      <w:r w:rsidR="00095610" w:rsidRPr="00095610">
        <w:rPr>
          <w:rFonts w:cs="Times New Roman"/>
          <w:sz w:val="20"/>
          <w:lang w:val="en-US"/>
        </w:rPr>
        <w:t>’ (</w:t>
      </w:r>
      <w:r w:rsidRPr="00095610">
        <w:rPr>
          <w:rFonts w:cs="Times New Roman"/>
          <w:i/>
          <w:iCs/>
          <w:sz w:val="20"/>
          <w:lang w:val="en-US"/>
        </w:rPr>
        <w:t>Admin Law Blog</w:t>
      </w:r>
      <w:r w:rsidRPr="00095610">
        <w:rPr>
          <w:rFonts w:cs="Times New Roman"/>
          <w:sz w:val="20"/>
          <w:lang w:val="en-US"/>
        </w:rPr>
        <w:t>, 17 November 202</w:t>
      </w:r>
      <w:r w:rsidR="00095610" w:rsidRPr="00095610">
        <w:rPr>
          <w:rFonts w:cs="Times New Roman"/>
          <w:sz w:val="20"/>
          <w:lang w:val="en-US"/>
        </w:rPr>
        <w:t>0) &lt;</w:t>
      </w:r>
      <w:r w:rsidR="00175540" w:rsidRPr="00095610">
        <w:rPr>
          <w:rFonts w:cs="Times New Roman"/>
          <w:sz w:val="20"/>
          <w:lang w:val="en-US"/>
        </w:rPr>
        <w:t>https://adminlawblog.org/2020/11/17/liz-fisher-should-administrative-law-scholars-be-more-like-botanists/</w:t>
      </w:r>
      <w:r w:rsidR="00095610" w:rsidRPr="00095610">
        <w:rPr>
          <w:rFonts w:cs="Times New Roman"/>
          <w:sz w:val="20"/>
          <w:lang w:val="en-US"/>
        </w:rPr>
        <w:t>&gt; (accessed 28 February).</w:t>
      </w:r>
    </w:p>
  </w:footnote>
  <w:footnote w:id="57">
    <w:p w14:paraId="68345487" w14:textId="74C2221D" w:rsidR="00153D99" w:rsidRPr="00153D99" w:rsidRDefault="00153D99">
      <w:pPr>
        <w:pStyle w:val="FootnoteText"/>
        <w:rPr>
          <w:lang w:val="en-GB"/>
        </w:rPr>
      </w:pPr>
      <w:r>
        <w:rPr>
          <w:rStyle w:val="FootnoteReference"/>
        </w:rPr>
        <w:footnoteRef/>
      </w:r>
      <w:r>
        <w:t xml:space="preserve"> </w:t>
      </w:r>
      <w:r w:rsidR="0057179A">
        <w:t xml:space="preserve">R. Martin, </w:t>
      </w:r>
      <w:r w:rsidR="0057179A" w:rsidRPr="0057179A">
        <w:rPr>
          <w:i/>
          <w:iCs/>
        </w:rPr>
        <w:t>Policing Human Rights: Law, Narratives, and Practice</w:t>
      </w:r>
      <w:r w:rsidR="0057179A">
        <w:t xml:space="preserve"> (Oxford University Press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71C4"/>
    <w:multiLevelType w:val="hybridMultilevel"/>
    <w:tmpl w:val="6EB0E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C24BED"/>
    <w:multiLevelType w:val="hybridMultilevel"/>
    <w:tmpl w:val="9BC6A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291923">
    <w:abstractNumId w:val="0"/>
  </w:num>
  <w:num w:numId="2" w16cid:durableId="1096635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33"/>
    <w:rsid w:val="00003F43"/>
    <w:rsid w:val="00003F9A"/>
    <w:rsid w:val="00020DF0"/>
    <w:rsid w:val="000224B9"/>
    <w:rsid w:val="0003108C"/>
    <w:rsid w:val="00060184"/>
    <w:rsid w:val="00091E94"/>
    <w:rsid w:val="00095610"/>
    <w:rsid w:val="000A4229"/>
    <w:rsid w:val="000B4F65"/>
    <w:rsid w:val="000D3333"/>
    <w:rsid w:val="001423B2"/>
    <w:rsid w:val="00144AD6"/>
    <w:rsid w:val="00153D99"/>
    <w:rsid w:val="00167B0F"/>
    <w:rsid w:val="00174BD9"/>
    <w:rsid w:val="00175540"/>
    <w:rsid w:val="001A0309"/>
    <w:rsid w:val="001C7218"/>
    <w:rsid w:val="001D7D46"/>
    <w:rsid w:val="001F052B"/>
    <w:rsid w:val="00225287"/>
    <w:rsid w:val="00234420"/>
    <w:rsid w:val="00241395"/>
    <w:rsid w:val="0024795F"/>
    <w:rsid w:val="00260A25"/>
    <w:rsid w:val="00292C50"/>
    <w:rsid w:val="002C62D6"/>
    <w:rsid w:val="002D44B9"/>
    <w:rsid w:val="002E63D3"/>
    <w:rsid w:val="002E6B0A"/>
    <w:rsid w:val="002F2A80"/>
    <w:rsid w:val="00316ED7"/>
    <w:rsid w:val="00330185"/>
    <w:rsid w:val="0036411A"/>
    <w:rsid w:val="00386B79"/>
    <w:rsid w:val="00387012"/>
    <w:rsid w:val="00387DD8"/>
    <w:rsid w:val="00391B62"/>
    <w:rsid w:val="0039305E"/>
    <w:rsid w:val="003A3D21"/>
    <w:rsid w:val="003D3199"/>
    <w:rsid w:val="003D7C0A"/>
    <w:rsid w:val="003E2937"/>
    <w:rsid w:val="0040460E"/>
    <w:rsid w:val="00435D6C"/>
    <w:rsid w:val="0044221B"/>
    <w:rsid w:val="00452AA8"/>
    <w:rsid w:val="004800BA"/>
    <w:rsid w:val="00492030"/>
    <w:rsid w:val="0049620D"/>
    <w:rsid w:val="004E0832"/>
    <w:rsid w:val="004F4DCE"/>
    <w:rsid w:val="00512B43"/>
    <w:rsid w:val="00513AEB"/>
    <w:rsid w:val="00556A2D"/>
    <w:rsid w:val="00562677"/>
    <w:rsid w:val="00570D97"/>
    <w:rsid w:val="0057179A"/>
    <w:rsid w:val="00590BBF"/>
    <w:rsid w:val="005A7BFA"/>
    <w:rsid w:val="005B3C69"/>
    <w:rsid w:val="005C034E"/>
    <w:rsid w:val="005C6674"/>
    <w:rsid w:val="0060592F"/>
    <w:rsid w:val="0062735A"/>
    <w:rsid w:val="006315FF"/>
    <w:rsid w:val="00635873"/>
    <w:rsid w:val="006360B1"/>
    <w:rsid w:val="00637427"/>
    <w:rsid w:val="00646DB9"/>
    <w:rsid w:val="00675BB6"/>
    <w:rsid w:val="00685A40"/>
    <w:rsid w:val="00687808"/>
    <w:rsid w:val="006A2965"/>
    <w:rsid w:val="006C48CE"/>
    <w:rsid w:val="006C4B36"/>
    <w:rsid w:val="006D3E3E"/>
    <w:rsid w:val="006E658E"/>
    <w:rsid w:val="00702BBB"/>
    <w:rsid w:val="007051C4"/>
    <w:rsid w:val="00713BE5"/>
    <w:rsid w:val="00722674"/>
    <w:rsid w:val="0072429E"/>
    <w:rsid w:val="007247C2"/>
    <w:rsid w:val="00730A67"/>
    <w:rsid w:val="00746CC1"/>
    <w:rsid w:val="007547B1"/>
    <w:rsid w:val="00775975"/>
    <w:rsid w:val="007B2205"/>
    <w:rsid w:val="007C7C07"/>
    <w:rsid w:val="007D6D96"/>
    <w:rsid w:val="00817CF3"/>
    <w:rsid w:val="00822875"/>
    <w:rsid w:val="00823881"/>
    <w:rsid w:val="00824294"/>
    <w:rsid w:val="00851F57"/>
    <w:rsid w:val="00855372"/>
    <w:rsid w:val="00863DEE"/>
    <w:rsid w:val="00866CFE"/>
    <w:rsid w:val="00871222"/>
    <w:rsid w:val="00874817"/>
    <w:rsid w:val="00881638"/>
    <w:rsid w:val="00884878"/>
    <w:rsid w:val="00890DFA"/>
    <w:rsid w:val="008C1CB6"/>
    <w:rsid w:val="008D3EE3"/>
    <w:rsid w:val="008F1D69"/>
    <w:rsid w:val="008F5BED"/>
    <w:rsid w:val="009051F6"/>
    <w:rsid w:val="00915E48"/>
    <w:rsid w:val="00920352"/>
    <w:rsid w:val="00962B00"/>
    <w:rsid w:val="00967F0B"/>
    <w:rsid w:val="00990459"/>
    <w:rsid w:val="009B3E2C"/>
    <w:rsid w:val="009C3A61"/>
    <w:rsid w:val="009D35DE"/>
    <w:rsid w:val="009F1F47"/>
    <w:rsid w:val="009F3180"/>
    <w:rsid w:val="00A619EF"/>
    <w:rsid w:val="00A65653"/>
    <w:rsid w:val="00A738EE"/>
    <w:rsid w:val="00A95089"/>
    <w:rsid w:val="00AA31F4"/>
    <w:rsid w:val="00AA53F5"/>
    <w:rsid w:val="00AB68CC"/>
    <w:rsid w:val="00AE0C14"/>
    <w:rsid w:val="00AE7355"/>
    <w:rsid w:val="00B14E81"/>
    <w:rsid w:val="00B32F78"/>
    <w:rsid w:val="00B42FD9"/>
    <w:rsid w:val="00B43BF6"/>
    <w:rsid w:val="00B45791"/>
    <w:rsid w:val="00B5586A"/>
    <w:rsid w:val="00B6716F"/>
    <w:rsid w:val="00B67CE5"/>
    <w:rsid w:val="00B74FE0"/>
    <w:rsid w:val="00B8149B"/>
    <w:rsid w:val="00C20444"/>
    <w:rsid w:val="00C22112"/>
    <w:rsid w:val="00C35795"/>
    <w:rsid w:val="00C61507"/>
    <w:rsid w:val="00C84AA9"/>
    <w:rsid w:val="00CD2372"/>
    <w:rsid w:val="00CD290C"/>
    <w:rsid w:val="00CE3A5A"/>
    <w:rsid w:val="00D01550"/>
    <w:rsid w:val="00D04944"/>
    <w:rsid w:val="00D11A8F"/>
    <w:rsid w:val="00D2078C"/>
    <w:rsid w:val="00D25385"/>
    <w:rsid w:val="00D25893"/>
    <w:rsid w:val="00D5109A"/>
    <w:rsid w:val="00D51919"/>
    <w:rsid w:val="00D60AE0"/>
    <w:rsid w:val="00D82732"/>
    <w:rsid w:val="00D85937"/>
    <w:rsid w:val="00D87977"/>
    <w:rsid w:val="00DB657E"/>
    <w:rsid w:val="00DD0437"/>
    <w:rsid w:val="00DD2DA6"/>
    <w:rsid w:val="00DF36F0"/>
    <w:rsid w:val="00E01C7D"/>
    <w:rsid w:val="00E02855"/>
    <w:rsid w:val="00E11AE6"/>
    <w:rsid w:val="00E405B3"/>
    <w:rsid w:val="00E50552"/>
    <w:rsid w:val="00E971FA"/>
    <w:rsid w:val="00EA56E0"/>
    <w:rsid w:val="00EB0BDE"/>
    <w:rsid w:val="00EE06CE"/>
    <w:rsid w:val="00EE2FB3"/>
    <w:rsid w:val="00EE3136"/>
    <w:rsid w:val="00EF45BE"/>
    <w:rsid w:val="00EF6B09"/>
    <w:rsid w:val="00F00C4D"/>
    <w:rsid w:val="00F01F01"/>
    <w:rsid w:val="00F56837"/>
    <w:rsid w:val="00F62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BD0C"/>
  <w15:chartTrackingRefBased/>
  <w15:docId w15:val="{949CCD9F-606A-48CA-A867-80FFC5B6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45BE"/>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556A2D"/>
    <w:pPr>
      <w:keepNext/>
      <w:keepLines/>
      <w:spacing w:before="240" w:after="240" w:line="259" w:lineRule="auto"/>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EF45BE"/>
    <w:pPr>
      <w:keepNext/>
      <w:keepLines/>
      <w:spacing w:before="40" w:after="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2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EF45BE"/>
    <w:rPr>
      <w:rFonts w:ascii="Times New Roman" w:eastAsiaTheme="majorEastAsia" w:hAnsi="Times New Roman" w:cstheme="majorBidi"/>
      <w:sz w:val="24"/>
      <w:szCs w:val="26"/>
      <w:u w:val="single"/>
    </w:rPr>
  </w:style>
  <w:style w:type="paragraph" w:styleId="Title">
    <w:name w:val="Title"/>
    <w:aliases w:val="Heading Three"/>
    <w:basedOn w:val="Normal"/>
    <w:next w:val="Normal"/>
    <w:link w:val="TitleChar"/>
    <w:uiPriority w:val="10"/>
    <w:qFormat/>
    <w:rsid w:val="00EF45BE"/>
    <w:pPr>
      <w:spacing w:after="0" w:line="240" w:lineRule="auto"/>
      <w:contextualSpacing/>
    </w:pPr>
    <w:rPr>
      <w:rFonts w:eastAsiaTheme="majorEastAsia" w:cstheme="majorBidi"/>
      <w:i/>
      <w:spacing w:val="-10"/>
      <w:kern w:val="28"/>
      <w:szCs w:val="56"/>
    </w:rPr>
  </w:style>
  <w:style w:type="character" w:customStyle="1" w:styleId="TitleChar">
    <w:name w:val="Title Char"/>
    <w:aliases w:val="Heading Three Char"/>
    <w:basedOn w:val="DefaultParagraphFont"/>
    <w:link w:val="Title"/>
    <w:uiPriority w:val="10"/>
    <w:rsid w:val="00EF45BE"/>
    <w:rPr>
      <w:rFonts w:ascii="Times New Roman" w:eastAsiaTheme="majorEastAsia" w:hAnsi="Times New Roman" w:cstheme="majorBidi"/>
      <w:i/>
      <w:spacing w:val="-10"/>
      <w:kern w:val="28"/>
      <w:sz w:val="24"/>
      <w:szCs w:val="56"/>
    </w:rPr>
  </w:style>
  <w:style w:type="paragraph" w:styleId="BalloonText">
    <w:name w:val="Balloon Text"/>
    <w:basedOn w:val="Normal"/>
    <w:link w:val="BalloonTextChar"/>
    <w:uiPriority w:val="99"/>
    <w:semiHidden/>
    <w:unhideWhenUsed/>
    <w:rsid w:val="0039305E"/>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39305E"/>
    <w:rPr>
      <w:rFonts w:ascii="Times New Roman" w:hAnsi="Times New Roman" w:cs="Times New Roman"/>
      <w:sz w:val="18"/>
      <w:szCs w:val="18"/>
      <w:lang w:val="en-CA"/>
    </w:rPr>
  </w:style>
  <w:style w:type="character" w:styleId="CommentReference">
    <w:name w:val="annotation reference"/>
    <w:basedOn w:val="DefaultParagraphFont"/>
    <w:uiPriority w:val="99"/>
    <w:semiHidden/>
    <w:unhideWhenUsed/>
    <w:rsid w:val="00C35795"/>
    <w:rPr>
      <w:sz w:val="18"/>
      <w:szCs w:val="18"/>
    </w:rPr>
  </w:style>
  <w:style w:type="paragraph" w:styleId="CommentText">
    <w:name w:val="annotation text"/>
    <w:basedOn w:val="Normal"/>
    <w:link w:val="CommentTextChar"/>
    <w:uiPriority w:val="99"/>
    <w:semiHidden/>
    <w:unhideWhenUsed/>
    <w:rsid w:val="00C35795"/>
    <w:pPr>
      <w:spacing w:line="240" w:lineRule="auto"/>
    </w:pPr>
    <w:rPr>
      <w:szCs w:val="24"/>
    </w:rPr>
  </w:style>
  <w:style w:type="character" w:customStyle="1" w:styleId="CommentTextChar">
    <w:name w:val="Comment Text Char"/>
    <w:basedOn w:val="DefaultParagraphFont"/>
    <w:link w:val="CommentText"/>
    <w:uiPriority w:val="99"/>
    <w:semiHidden/>
    <w:rsid w:val="00C35795"/>
    <w:rPr>
      <w:rFonts w:ascii="Times New Roman" w:hAnsi="Times New Roman"/>
      <w:sz w:val="24"/>
      <w:szCs w:val="24"/>
      <w:lang w:val="en-CA"/>
    </w:rPr>
  </w:style>
  <w:style w:type="paragraph" w:styleId="CommentSubject">
    <w:name w:val="annotation subject"/>
    <w:basedOn w:val="CommentText"/>
    <w:next w:val="CommentText"/>
    <w:link w:val="CommentSubjectChar"/>
    <w:uiPriority w:val="99"/>
    <w:semiHidden/>
    <w:unhideWhenUsed/>
    <w:rsid w:val="00C35795"/>
    <w:rPr>
      <w:b/>
      <w:bCs/>
      <w:sz w:val="20"/>
      <w:szCs w:val="20"/>
    </w:rPr>
  </w:style>
  <w:style w:type="character" w:customStyle="1" w:styleId="CommentSubjectChar">
    <w:name w:val="Comment Subject Char"/>
    <w:basedOn w:val="CommentTextChar"/>
    <w:link w:val="CommentSubject"/>
    <w:uiPriority w:val="99"/>
    <w:semiHidden/>
    <w:rsid w:val="00C35795"/>
    <w:rPr>
      <w:rFonts w:ascii="Times New Roman" w:hAnsi="Times New Roman"/>
      <w:b/>
      <w:bCs/>
      <w:sz w:val="20"/>
      <w:szCs w:val="20"/>
      <w:lang w:val="en-CA"/>
    </w:rPr>
  </w:style>
  <w:style w:type="paragraph" w:styleId="Header">
    <w:name w:val="header"/>
    <w:basedOn w:val="Normal"/>
    <w:link w:val="HeaderChar"/>
    <w:uiPriority w:val="99"/>
    <w:unhideWhenUsed/>
    <w:rsid w:val="00D60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AE0"/>
    <w:rPr>
      <w:rFonts w:ascii="Times New Roman" w:hAnsi="Times New Roman"/>
      <w:sz w:val="24"/>
      <w:lang w:val="en-CA"/>
    </w:rPr>
  </w:style>
  <w:style w:type="paragraph" w:styleId="Footer">
    <w:name w:val="footer"/>
    <w:basedOn w:val="Normal"/>
    <w:link w:val="FooterChar"/>
    <w:uiPriority w:val="99"/>
    <w:unhideWhenUsed/>
    <w:rsid w:val="00D60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AE0"/>
    <w:rPr>
      <w:rFonts w:ascii="Times New Roman" w:hAnsi="Times New Roman"/>
      <w:sz w:val="24"/>
      <w:lang w:val="en-CA"/>
    </w:rPr>
  </w:style>
  <w:style w:type="paragraph" w:styleId="FootnoteText">
    <w:name w:val="footnote text"/>
    <w:basedOn w:val="Normal"/>
    <w:link w:val="FootnoteTextChar"/>
    <w:uiPriority w:val="99"/>
    <w:rsid w:val="00AA31F4"/>
    <w:pPr>
      <w:spacing w:after="0" w:line="240" w:lineRule="auto"/>
    </w:pPr>
    <w:rPr>
      <w:rFonts w:eastAsia="Calibri" w:cs="Arial"/>
      <w:sz w:val="18"/>
      <w:szCs w:val="20"/>
      <w:lang w:val="nl-NL"/>
    </w:rPr>
  </w:style>
  <w:style w:type="character" w:customStyle="1" w:styleId="FootnoteTextChar">
    <w:name w:val="Footnote Text Char"/>
    <w:basedOn w:val="DefaultParagraphFont"/>
    <w:link w:val="FootnoteText"/>
    <w:uiPriority w:val="99"/>
    <w:rsid w:val="00AA31F4"/>
    <w:rPr>
      <w:rFonts w:ascii="Times New Roman" w:eastAsia="Calibri" w:hAnsi="Times New Roman" w:cs="Arial"/>
      <w:sz w:val="18"/>
      <w:szCs w:val="20"/>
      <w:lang w:val="nl-NL"/>
    </w:rPr>
  </w:style>
  <w:style w:type="character" w:styleId="FootnoteReference">
    <w:name w:val="footnote reference"/>
    <w:basedOn w:val="DefaultParagraphFont"/>
    <w:uiPriority w:val="99"/>
    <w:rsid w:val="00AA31F4"/>
    <w:rPr>
      <w:rFonts w:cs="Times New Roman"/>
      <w:vertAlign w:val="superscript"/>
    </w:rPr>
  </w:style>
  <w:style w:type="paragraph" w:styleId="ListParagraph">
    <w:name w:val="List Paragraph"/>
    <w:basedOn w:val="Normal"/>
    <w:uiPriority w:val="34"/>
    <w:qFormat/>
    <w:rsid w:val="009B3E2C"/>
    <w:pPr>
      <w:spacing w:after="0" w:line="240" w:lineRule="auto"/>
      <w:ind w:left="720"/>
      <w:contextualSpacing/>
    </w:pPr>
    <w:rPr>
      <w:rFonts w:asciiTheme="minorHAnsi" w:hAnsiTheme="minorHAnsi"/>
      <w:szCs w:val="24"/>
      <w:lang w:val="en-US"/>
    </w:rPr>
  </w:style>
  <w:style w:type="character" w:styleId="Hyperlink">
    <w:name w:val="Hyperlink"/>
    <w:basedOn w:val="DefaultParagraphFont"/>
    <w:uiPriority w:val="99"/>
    <w:unhideWhenUsed/>
    <w:rsid w:val="003D7C0A"/>
    <w:rPr>
      <w:color w:val="0563C1" w:themeColor="hyperlink"/>
      <w:u w:val="single"/>
    </w:rPr>
  </w:style>
  <w:style w:type="character" w:styleId="UnresolvedMention">
    <w:name w:val="Unresolved Mention"/>
    <w:basedOn w:val="DefaultParagraphFont"/>
    <w:uiPriority w:val="99"/>
    <w:rsid w:val="003D7C0A"/>
    <w:rPr>
      <w:color w:val="605E5C"/>
      <w:shd w:val="clear" w:color="auto" w:fill="E1DFDD"/>
    </w:rPr>
  </w:style>
  <w:style w:type="character" w:styleId="FollowedHyperlink">
    <w:name w:val="FollowedHyperlink"/>
    <w:basedOn w:val="DefaultParagraphFont"/>
    <w:uiPriority w:val="99"/>
    <w:semiHidden/>
    <w:unhideWhenUsed/>
    <w:rsid w:val="003D7C0A"/>
    <w:rPr>
      <w:color w:val="954F72" w:themeColor="followedHyperlink"/>
      <w:u w:val="single"/>
    </w:rPr>
  </w:style>
  <w:style w:type="character" w:styleId="PageNumber">
    <w:name w:val="page number"/>
    <w:basedOn w:val="DefaultParagraphFont"/>
    <w:uiPriority w:val="99"/>
    <w:semiHidden/>
    <w:unhideWhenUsed/>
    <w:rsid w:val="0063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4191">
      <w:bodyDiv w:val="1"/>
      <w:marLeft w:val="0"/>
      <w:marRight w:val="0"/>
      <w:marTop w:val="0"/>
      <w:marBottom w:val="0"/>
      <w:divBdr>
        <w:top w:val="none" w:sz="0" w:space="0" w:color="auto"/>
        <w:left w:val="none" w:sz="0" w:space="0" w:color="auto"/>
        <w:bottom w:val="none" w:sz="0" w:space="0" w:color="auto"/>
        <w:right w:val="none" w:sz="0" w:space="0" w:color="auto"/>
      </w:divBdr>
    </w:div>
    <w:div w:id="437021648">
      <w:bodyDiv w:val="1"/>
      <w:marLeft w:val="0"/>
      <w:marRight w:val="0"/>
      <w:marTop w:val="0"/>
      <w:marBottom w:val="0"/>
      <w:divBdr>
        <w:top w:val="none" w:sz="0" w:space="0" w:color="auto"/>
        <w:left w:val="none" w:sz="0" w:space="0" w:color="auto"/>
        <w:bottom w:val="none" w:sz="0" w:space="0" w:color="auto"/>
        <w:right w:val="none" w:sz="0" w:space="0" w:color="auto"/>
      </w:divBdr>
    </w:div>
    <w:div w:id="461339606">
      <w:bodyDiv w:val="1"/>
      <w:marLeft w:val="0"/>
      <w:marRight w:val="0"/>
      <w:marTop w:val="0"/>
      <w:marBottom w:val="0"/>
      <w:divBdr>
        <w:top w:val="none" w:sz="0" w:space="0" w:color="auto"/>
        <w:left w:val="none" w:sz="0" w:space="0" w:color="auto"/>
        <w:bottom w:val="none" w:sz="0" w:space="0" w:color="auto"/>
        <w:right w:val="none" w:sz="0" w:space="0" w:color="auto"/>
      </w:divBdr>
    </w:div>
    <w:div w:id="540022895">
      <w:bodyDiv w:val="1"/>
      <w:marLeft w:val="0"/>
      <w:marRight w:val="0"/>
      <w:marTop w:val="0"/>
      <w:marBottom w:val="0"/>
      <w:divBdr>
        <w:top w:val="none" w:sz="0" w:space="0" w:color="auto"/>
        <w:left w:val="none" w:sz="0" w:space="0" w:color="auto"/>
        <w:bottom w:val="none" w:sz="0" w:space="0" w:color="auto"/>
        <w:right w:val="none" w:sz="0" w:space="0" w:color="auto"/>
      </w:divBdr>
    </w:div>
    <w:div w:id="561597660">
      <w:bodyDiv w:val="1"/>
      <w:marLeft w:val="0"/>
      <w:marRight w:val="0"/>
      <w:marTop w:val="0"/>
      <w:marBottom w:val="0"/>
      <w:divBdr>
        <w:top w:val="none" w:sz="0" w:space="0" w:color="auto"/>
        <w:left w:val="none" w:sz="0" w:space="0" w:color="auto"/>
        <w:bottom w:val="none" w:sz="0" w:space="0" w:color="auto"/>
        <w:right w:val="none" w:sz="0" w:space="0" w:color="auto"/>
      </w:divBdr>
    </w:div>
    <w:div w:id="607665026">
      <w:bodyDiv w:val="1"/>
      <w:marLeft w:val="0"/>
      <w:marRight w:val="0"/>
      <w:marTop w:val="0"/>
      <w:marBottom w:val="0"/>
      <w:divBdr>
        <w:top w:val="none" w:sz="0" w:space="0" w:color="auto"/>
        <w:left w:val="none" w:sz="0" w:space="0" w:color="auto"/>
        <w:bottom w:val="none" w:sz="0" w:space="0" w:color="auto"/>
        <w:right w:val="none" w:sz="0" w:space="0" w:color="auto"/>
      </w:divBdr>
    </w:div>
    <w:div w:id="744449495">
      <w:bodyDiv w:val="1"/>
      <w:marLeft w:val="0"/>
      <w:marRight w:val="0"/>
      <w:marTop w:val="0"/>
      <w:marBottom w:val="0"/>
      <w:divBdr>
        <w:top w:val="none" w:sz="0" w:space="0" w:color="auto"/>
        <w:left w:val="none" w:sz="0" w:space="0" w:color="auto"/>
        <w:bottom w:val="none" w:sz="0" w:space="0" w:color="auto"/>
        <w:right w:val="none" w:sz="0" w:space="0" w:color="auto"/>
      </w:divBdr>
    </w:div>
    <w:div w:id="1135560109">
      <w:bodyDiv w:val="1"/>
      <w:marLeft w:val="0"/>
      <w:marRight w:val="0"/>
      <w:marTop w:val="0"/>
      <w:marBottom w:val="0"/>
      <w:divBdr>
        <w:top w:val="none" w:sz="0" w:space="0" w:color="auto"/>
        <w:left w:val="none" w:sz="0" w:space="0" w:color="auto"/>
        <w:bottom w:val="none" w:sz="0" w:space="0" w:color="auto"/>
        <w:right w:val="none" w:sz="0" w:space="0" w:color="auto"/>
      </w:divBdr>
    </w:div>
    <w:div w:id="1316568155">
      <w:bodyDiv w:val="1"/>
      <w:marLeft w:val="0"/>
      <w:marRight w:val="0"/>
      <w:marTop w:val="0"/>
      <w:marBottom w:val="0"/>
      <w:divBdr>
        <w:top w:val="none" w:sz="0" w:space="0" w:color="auto"/>
        <w:left w:val="none" w:sz="0" w:space="0" w:color="auto"/>
        <w:bottom w:val="none" w:sz="0" w:space="0" w:color="auto"/>
        <w:right w:val="none" w:sz="0" w:space="0" w:color="auto"/>
      </w:divBdr>
    </w:div>
    <w:div w:id="1330281877">
      <w:bodyDiv w:val="1"/>
      <w:marLeft w:val="0"/>
      <w:marRight w:val="0"/>
      <w:marTop w:val="0"/>
      <w:marBottom w:val="0"/>
      <w:divBdr>
        <w:top w:val="none" w:sz="0" w:space="0" w:color="auto"/>
        <w:left w:val="none" w:sz="0" w:space="0" w:color="auto"/>
        <w:bottom w:val="none" w:sz="0" w:space="0" w:color="auto"/>
        <w:right w:val="none" w:sz="0" w:space="0" w:color="auto"/>
      </w:divBdr>
    </w:div>
    <w:div w:id="1461611468">
      <w:bodyDiv w:val="1"/>
      <w:marLeft w:val="0"/>
      <w:marRight w:val="0"/>
      <w:marTop w:val="0"/>
      <w:marBottom w:val="0"/>
      <w:divBdr>
        <w:top w:val="none" w:sz="0" w:space="0" w:color="auto"/>
        <w:left w:val="none" w:sz="0" w:space="0" w:color="auto"/>
        <w:bottom w:val="none" w:sz="0" w:space="0" w:color="auto"/>
        <w:right w:val="none" w:sz="0" w:space="0" w:color="auto"/>
      </w:divBdr>
    </w:div>
    <w:div w:id="1575553976">
      <w:bodyDiv w:val="1"/>
      <w:marLeft w:val="0"/>
      <w:marRight w:val="0"/>
      <w:marTop w:val="0"/>
      <w:marBottom w:val="0"/>
      <w:divBdr>
        <w:top w:val="none" w:sz="0" w:space="0" w:color="auto"/>
        <w:left w:val="none" w:sz="0" w:space="0" w:color="auto"/>
        <w:bottom w:val="none" w:sz="0" w:space="0" w:color="auto"/>
        <w:right w:val="none" w:sz="0" w:space="0" w:color="auto"/>
      </w:divBdr>
    </w:div>
    <w:div w:id="2087140567">
      <w:bodyDiv w:val="1"/>
      <w:marLeft w:val="0"/>
      <w:marRight w:val="0"/>
      <w:marTop w:val="0"/>
      <w:marBottom w:val="0"/>
      <w:divBdr>
        <w:top w:val="none" w:sz="0" w:space="0" w:color="auto"/>
        <w:left w:val="none" w:sz="0" w:space="0" w:color="auto"/>
        <w:bottom w:val="none" w:sz="0" w:space="0" w:color="auto"/>
        <w:right w:val="none" w:sz="0" w:space="0" w:color="auto"/>
      </w:divBdr>
    </w:div>
    <w:div w:id="21374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265AD39A0A094F87A8FCFF5F6D5E8A" ma:contentTypeVersion="13" ma:contentTypeDescription="Create a new document." ma:contentTypeScope="" ma:versionID="bca3794c2f2f54d24c755f34dacfa4a0">
  <xsd:schema xmlns:xsd="http://www.w3.org/2001/XMLSchema" xmlns:xs="http://www.w3.org/2001/XMLSchema" xmlns:p="http://schemas.microsoft.com/office/2006/metadata/properties" xmlns:ns3="9bbff3ff-25e1-49e4-b2f6-19fd7d13c35a" xmlns:ns4="008c5177-433e-4ba4-9f6e-3a6cf3f3aa5c" targetNamespace="http://schemas.microsoft.com/office/2006/metadata/properties" ma:root="true" ma:fieldsID="31777f8e02d374e605e09a5c74b2fc2b" ns3:_="" ns4:_="">
    <xsd:import namespace="9bbff3ff-25e1-49e4-b2f6-19fd7d13c35a"/>
    <xsd:import namespace="008c5177-433e-4ba4-9f6e-3a6cf3f3aa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bff3ff-25e1-49e4-b2f6-19fd7d13c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8c5177-433e-4ba4-9f6e-3a6cf3f3a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C4276-2C0A-41E1-A749-12B3AE4DDDDD}">
  <ds:schemaRefs>
    <ds:schemaRef ds:uri="http://schemas.microsoft.com/sharepoint/v3/contenttype/forms"/>
  </ds:schemaRefs>
</ds:datastoreItem>
</file>

<file path=customXml/itemProps2.xml><?xml version="1.0" encoding="utf-8"?>
<ds:datastoreItem xmlns:ds="http://schemas.openxmlformats.org/officeDocument/2006/customXml" ds:itemID="{1D752A7B-B87C-4DC2-8E37-12AC128401E9}">
  <ds:schemaRefs>
    <ds:schemaRef ds:uri="http://schemas.openxmlformats.org/officeDocument/2006/bibliography"/>
  </ds:schemaRefs>
</ds:datastoreItem>
</file>

<file path=customXml/itemProps3.xml><?xml version="1.0" encoding="utf-8"?>
<ds:datastoreItem xmlns:ds="http://schemas.openxmlformats.org/officeDocument/2006/customXml" ds:itemID="{F398F6B6-AF81-446D-83DE-09598B29E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bff3ff-25e1-49e4-b2f6-19fd7d13c35a"/>
    <ds:schemaRef ds:uri="008c5177-433e-4ba4-9f6e-3a6cf3f3a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2E7DA2-9D09-413B-8228-8B4F8D19F2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4681</Words>
  <Characters>23829</Characters>
  <Application>Microsoft Office Word</Application>
  <DocSecurity>0</DocSecurity>
  <Lines>372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Daly</dc:creator>
  <cp:keywords/>
  <dc:description/>
  <cp:lastModifiedBy>Joe Tomlinson</cp:lastModifiedBy>
  <cp:revision>5</cp:revision>
  <cp:lastPrinted>2021-01-03T21:44:00Z</cp:lastPrinted>
  <dcterms:created xsi:type="dcterms:W3CDTF">2022-02-18T15:45:00Z</dcterms:created>
  <dcterms:modified xsi:type="dcterms:W3CDTF">2022-04-05T13:27:00Z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0x01010057265AD39A0A094F87A8FCFF5F6D5E8A</vt:lpwstr>
  </property>
</Properties>
</file>