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9F463" w14:textId="0ECA0226" w:rsidR="00D04EF2" w:rsidRPr="00C30D62" w:rsidRDefault="000B58F6" w:rsidP="00C30D62">
      <w:pPr>
        <w:jc w:val="center"/>
        <w:rPr>
          <w:rFonts w:ascii="Book Antiqua" w:hAnsi="Book Antiqua"/>
          <w:b/>
          <w:bCs/>
          <w:sz w:val="200"/>
          <w:szCs w:val="200"/>
        </w:rPr>
      </w:pPr>
      <w:r w:rsidRPr="00C30D62">
        <w:rPr>
          <w:rStyle w:val="CommentReference"/>
          <w:rFonts w:ascii="Book Antiqua" w:hAnsi="Book Antiqua"/>
          <w:sz w:val="48"/>
          <w:szCs w:val="48"/>
        </w:rPr>
        <w:t>1. Introduction</w:t>
      </w:r>
    </w:p>
    <w:p w14:paraId="02063BBE" w14:textId="02E6042C" w:rsidR="000B58F6" w:rsidRPr="00C30D62" w:rsidRDefault="000B58F6" w:rsidP="00C30D62">
      <w:pPr>
        <w:jc w:val="center"/>
        <w:rPr>
          <w:rFonts w:ascii="Book Antiqua" w:hAnsi="Book Antiqua"/>
        </w:rPr>
      </w:pPr>
      <w:r w:rsidRPr="00C30D62">
        <w:rPr>
          <w:rFonts w:ascii="Book Antiqua" w:hAnsi="Book Antiqua"/>
        </w:rPr>
        <w:t>Paul Daly and Joe Tomlinson</w:t>
      </w:r>
    </w:p>
    <w:p w14:paraId="3B65DE6C" w14:textId="734D617D" w:rsidR="003675CE" w:rsidRPr="00C30D62" w:rsidRDefault="003675CE" w:rsidP="00BE04A4">
      <w:pPr>
        <w:jc w:val="both"/>
        <w:rPr>
          <w:rFonts w:ascii="Book Antiqua" w:hAnsi="Book Antiqua"/>
        </w:rPr>
      </w:pPr>
      <w:r w:rsidRPr="00C30D62">
        <w:rPr>
          <w:rFonts w:ascii="Book Antiqua" w:hAnsi="Book Antiqua"/>
        </w:rPr>
        <w:t xml:space="preserve">Lawyers are notorious amongst scholars of the humanities and social sciences for failing to engage in detailed analysis of methodology. This perception is justified. As lawyers often – and in some cases exclusively – write to be read by </w:t>
      </w:r>
      <w:r w:rsidR="00DF6C12" w:rsidRPr="00C30D62">
        <w:rPr>
          <w:rFonts w:ascii="Book Antiqua" w:hAnsi="Book Antiqua"/>
        </w:rPr>
        <w:t xml:space="preserve">aspiring and </w:t>
      </w:r>
      <w:r w:rsidR="000B58F6" w:rsidRPr="00C30D62">
        <w:rPr>
          <w:rFonts w:ascii="Book Antiqua" w:hAnsi="Book Antiqua"/>
        </w:rPr>
        <w:t xml:space="preserve">1. </w:t>
      </w:r>
      <w:r w:rsidR="00DF6C12" w:rsidRPr="00C30D62">
        <w:rPr>
          <w:rFonts w:ascii="Book Antiqua" w:hAnsi="Book Antiqua"/>
        </w:rPr>
        <w:t>practicing lawyers (including judges)</w:t>
      </w:r>
      <w:r w:rsidRPr="00C30D62">
        <w:rPr>
          <w:rFonts w:ascii="Book Antiqua" w:hAnsi="Book Antiqua"/>
        </w:rPr>
        <w:t>, there is no need to discuss methodological matters. The legal community</w:t>
      </w:r>
      <w:r w:rsidR="00FD3BB8" w:rsidRPr="00C30D62">
        <w:rPr>
          <w:rFonts w:ascii="Book Antiqua" w:hAnsi="Book Antiqua"/>
        </w:rPr>
        <w:t xml:space="preserve"> of English-speaking common lawyers</w:t>
      </w:r>
      <w:r w:rsidRPr="00C30D62">
        <w:rPr>
          <w:rFonts w:ascii="Book Antiqua" w:hAnsi="Book Antiqua"/>
        </w:rPr>
        <w:t xml:space="preserve"> has its own understandings of what makes for sound legal argumentation and, </w:t>
      </w:r>
      <w:r w:rsidR="0052510D" w:rsidRPr="00C30D62">
        <w:rPr>
          <w:rFonts w:ascii="Book Antiqua" w:hAnsi="Book Antiqua"/>
        </w:rPr>
        <w:t xml:space="preserve">as </w:t>
      </w:r>
      <w:r w:rsidRPr="00C30D62">
        <w:rPr>
          <w:rFonts w:ascii="Book Antiqua" w:hAnsi="Book Antiqua"/>
        </w:rPr>
        <w:t xml:space="preserve">these understandings having been inculcated in members of the community in their law studies, little would be gained by spending precious time and space elaborating upon them in scholarly work. </w:t>
      </w:r>
    </w:p>
    <w:p w14:paraId="0CC517C9" w14:textId="4F5BD086" w:rsidR="00B12624" w:rsidRPr="00C30D62" w:rsidRDefault="00BD6D8A" w:rsidP="00BE04A4">
      <w:pPr>
        <w:jc w:val="both"/>
        <w:rPr>
          <w:rFonts w:ascii="Book Antiqua" w:hAnsi="Book Antiqua"/>
        </w:rPr>
      </w:pPr>
      <w:r w:rsidRPr="00C30D62">
        <w:rPr>
          <w:rFonts w:ascii="Book Antiqua" w:hAnsi="Book Antiqua"/>
        </w:rPr>
        <w:t xml:space="preserve">Increasingly, however, lawyers are coming under pressure to be more open about methodology. In part, the pressure results from </w:t>
      </w:r>
      <w:r w:rsidR="003675CE" w:rsidRPr="00C30D62">
        <w:rPr>
          <w:rFonts w:ascii="Book Antiqua" w:hAnsi="Book Antiqua"/>
        </w:rPr>
        <w:t xml:space="preserve">the increasing sophistication </w:t>
      </w:r>
      <w:r w:rsidR="004E7CF0" w:rsidRPr="00C30D62">
        <w:rPr>
          <w:rFonts w:ascii="Book Antiqua" w:hAnsi="Book Antiqua"/>
        </w:rPr>
        <w:t xml:space="preserve">and ambition </w:t>
      </w:r>
      <w:r w:rsidR="003675CE" w:rsidRPr="00C30D62">
        <w:rPr>
          <w:rFonts w:ascii="Book Antiqua" w:hAnsi="Book Antiqua"/>
        </w:rPr>
        <w:t xml:space="preserve">of </w:t>
      </w:r>
      <w:r w:rsidR="00096444" w:rsidRPr="00C30D62">
        <w:rPr>
          <w:rFonts w:ascii="Book Antiqua" w:hAnsi="Book Antiqua"/>
        </w:rPr>
        <w:t xml:space="preserve">legal </w:t>
      </w:r>
      <w:r w:rsidR="003675CE" w:rsidRPr="00C30D62">
        <w:rPr>
          <w:rFonts w:ascii="Book Antiqua" w:hAnsi="Book Antiqua"/>
        </w:rPr>
        <w:t>scholarship</w:t>
      </w:r>
      <w:r w:rsidRPr="00C30D62">
        <w:rPr>
          <w:rFonts w:ascii="Book Antiqua" w:hAnsi="Book Antiqua"/>
        </w:rPr>
        <w:t>. Where lawyers were w</w:t>
      </w:r>
      <w:r w:rsidR="00D7329D" w:rsidRPr="00C30D62">
        <w:rPr>
          <w:rFonts w:ascii="Book Antiqua" w:hAnsi="Book Antiqua"/>
        </w:rPr>
        <w:t xml:space="preserve">riting to develop arguments </w:t>
      </w:r>
      <w:r w:rsidR="004E7CF0" w:rsidRPr="00C30D62">
        <w:rPr>
          <w:rFonts w:ascii="Book Antiqua" w:hAnsi="Book Antiqua"/>
        </w:rPr>
        <w:t>about</w:t>
      </w:r>
      <w:r w:rsidR="005C0C32" w:rsidRPr="00C30D62">
        <w:rPr>
          <w:rFonts w:ascii="Book Antiqua" w:hAnsi="Book Antiqua"/>
        </w:rPr>
        <w:t xml:space="preserve"> how other participants in the legal community should develop the law,</w:t>
      </w:r>
      <w:r w:rsidR="00D7329D" w:rsidRPr="00C30D62">
        <w:rPr>
          <w:rFonts w:ascii="Book Antiqua" w:hAnsi="Book Antiqua"/>
        </w:rPr>
        <w:t xml:space="preserve"> </w:t>
      </w:r>
      <w:r w:rsidR="00E87E08" w:rsidRPr="00C30D62">
        <w:rPr>
          <w:rFonts w:ascii="Book Antiqua" w:hAnsi="Book Antiqua"/>
        </w:rPr>
        <w:t xml:space="preserve">shared understandings about </w:t>
      </w:r>
      <w:r w:rsidR="00D7329D" w:rsidRPr="00C30D62">
        <w:rPr>
          <w:rFonts w:ascii="Book Antiqua" w:hAnsi="Book Antiqua"/>
        </w:rPr>
        <w:t xml:space="preserve">methodology </w:t>
      </w:r>
      <w:r w:rsidR="00E87E08" w:rsidRPr="00C30D62">
        <w:rPr>
          <w:rFonts w:ascii="Book Antiqua" w:hAnsi="Book Antiqua"/>
        </w:rPr>
        <w:t>could safely be taken for granted</w:t>
      </w:r>
      <w:r w:rsidR="00596CD4" w:rsidRPr="00C30D62">
        <w:rPr>
          <w:rFonts w:ascii="Book Antiqua" w:hAnsi="Book Antiqua"/>
        </w:rPr>
        <w:t xml:space="preserve">: </w:t>
      </w:r>
      <w:r w:rsidR="00B12624" w:rsidRPr="00C30D62">
        <w:rPr>
          <w:rFonts w:ascii="Book Antiqua" w:hAnsi="Book Antiqua"/>
        </w:rPr>
        <w:t>the ultimate question was “would a judge find this convincing?”</w:t>
      </w:r>
      <w:r w:rsidR="00E87E08" w:rsidRPr="00C30D62">
        <w:rPr>
          <w:rFonts w:ascii="Book Antiqua" w:hAnsi="Book Antiqua"/>
        </w:rPr>
        <w:t xml:space="preserve"> </w:t>
      </w:r>
      <w:r w:rsidR="001E71D7" w:rsidRPr="00C30D62">
        <w:rPr>
          <w:rFonts w:ascii="Book Antiqua" w:hAnsi="Book Antiqua"/>
        </w:rPr>
        <w:t>Instinct and experience allowed lawyers to answer this ultimate question.</w:t>
      </w:r>
    </w:p>
    <w:p w14:paraId="74818CA8" w14:textId="33BF486D" w:rsidR="00D01AE7" w:rsidRPr="00C30D62" w:rsidRDefault="00E87E08" w:rsidP="00BE04A4">
      <w:pPr>
        <w:jc w:val="both"/>
        <w:rPr>
          <w:rFonts w:ascii="Book Antiqua" w:hAnsi="Book Antiqua"/>
        </w:rPr>
      </w:pPr>
      <w:r w:rsidRPr="00C30D62">
        <w:rPr>
          <w:rFonts w:ascii="Book Antiqua" w:hAnsi="Book Antiqua"/>
        </w:rPr>
        <w:t xml:space="preserve">But </w:t>
      </w:r>
      <w:r w:rsidR="005C0C32" w:rsidRPr="00C30D62">
        <w:rPr>
          <w:rFonts w:ascii="Book Antiqua" w:hAnsi="Book Antiqua"/>
        </w:rPr>
        <w:t xml:space="preserve">legal scholarship is, more and more, directed at other scholars and, sometimes, scholars in other fields. </w:t>
      </w:r>
      <w:r w:rsidR="006E7BE1" w:rsidRPr="00C30D62">
        <w:rPr>
          <w:rFonts w:ascii="Book Antiqua" w:hAnsi="Book Antiqua"/>
        </w:rPr>
        <w:t>Shared understandings about methodology can no longer be taken for granted. Indeed, a scholar proposing a particular approach to a problem might well meet with question</w:t>
      </w:r>
      <w:r w:rsidR="00D01AE7" w:rsidRPr="00C30D62">
        <w:rPr>
          <w:rFonts w:ascii="Book Antiqua" w:hAnsi="Book Antiqua"/>
        </w:rPr>
        <w:t>s such as</w:t>
      </w:r>
      <w:r w:rsidR="006E7BE1" w:rsidRPr="00C30D62">
        <w:rPr>
          <w:rFonts w:ascii="Book Antiqua" w:hAnsi="Book Antiqua"/>
        </w:rPr>
        <w:t>, “Why should I care?”</w:t>
      </w:r>
      <w:r w:rsidR="00D01AE7" w:rsidRPr="00C30D62">
        <w:rPr>
          <w:rFonts w:ascii="Book Antiqua" w:hAnsi="Book Antiqua"/>
        </w:rPr>
        <w:t xml:space="preserve"> or “Why should I agree with you</w:t>
      </w:r>
      <w:r w:rsidR="002E6DC7" w:rsidRPr="00C30D62">
        <w:rPr>
          <w:rFonts w:ascii="Book Antiqua" w:hAnsi="Book Antiqua"/>
        </w:rPr>
        <w:t>?</w:t>
      </w:r>
      <w:r w:rsidR="00D01AE7" w:rsidRPr="00C30D62">
        <w:rPr>
          <w:rFonts w:ascii="Book Antiqua" w:hAnsi="Book Antiqua"/>
        </w:rPr>
        <w:t>”</w:t>
      </w:r>
      <w:r w:rsidR="006E7BE1" w:rsidRPr="00C30D62">
        <w:rPr>
          <w:rFonts w:ascii="Book Antiqua" w:hAnsi="Book Antiqua"/>
        </w:rPr>
        <w:t xml:space="preserve"> </w:t>
      </w:r>
      <w:r w:rsidR="00D01AE7" w:rsidRPr="00C30D62">
        <w:rPr>
          <w:rFonts w:ascii="Book Antiqua" w:hAnsi="Book Antiqua"/>
        </w:rPr>
        <w:t>Persuasive answers to such</w:t>
      </w:r>
      <w:r w:rsidR="006E7BE1" w:rsidRPr="00C30D62">
        <w:rPr>
          <w:rFonts w:ascii="Book Antiqua" w:hAnsi="Book Antiqua"/>
        </w:rPr>
        <w:t xml:space="preserve"> question</w:t>
      </w:r>
      <w:r w:rsidR="00D01AE7" w:rsidRPr="00C30D62">
        <w:rPr>
          <w:rFonts w:ascii="Book Antiqua" w:hAnsi="Book Antiqua"/>
        </w:rPr>
        <w:t>s</w:t>
      </w:r>
      <w:r w:rsidR="006E7BE1" w:rsidRPr="00C30D62">
        <w:rPr>
          <w:rFonts w:ascii="Book Antiqua" w:hAnsi="Book Antiqua"/>
        </w:rPr>
        <w:t xml:space="preserve"> </w:t>
      </w:r>
      <w:r w:rsidR="00D01AE7" w:rsidRPr="00C30D62">
        <w:rPr>
          <w:rFonts w:ascii="Book Antiqua" w:hAnsi="Book Antiqua"/>
        </w:rPr>
        <w:t>often require some discussion of methodology.</w:t>
      </w:r>
      <w:r w:rsidR="00B158C8" w:rsidRPr="00C30D62">
        <w:rPr>
          <w:rFonts w:ascii="Book Antiqua" w:hAnsi="Book Antiqua"/>
        </w:rPr>
        <w:t xml:space="preserve"> </w:t>
      </w:r>
      <w:r w:rsidR="00276FCC" w:rsidRPr="00C30D62">
        <w:rPr>
          <w:rFonts w:ascii="Book Antiqua" w:hAnsi="Book Antiqua"/>
        </w:rPr>
        <w:t xml:space="preserve">Even if much legal scholarship is still directed at achieving practical change in the legal community, </w:t>
      </w:r>
      <w:r w:rsidR="00B34AE0" w:rsidRPr="00C30D62">
        <w:rPr>
          <w:rFonts w:ascii="Book Antiqua" w:hAnsi="Book Antiqua"/>
        </w:rPr>
        <w:t xml:space="preserve">even the scholars engaged in such work will find themselves being asked these questions. For </w:t>
      </w:r>
      <w:r w:rsidR="002019C5" w:rsidRPr="00C30D62">
        <w:rPr>
          <w:rFonts w:ascii="Book Antiqua" w:hAnsi="Book Antiqua"/>
        </w:rPr>
        <w:t xml:space="preserve">when questions begin to be posed – by examiners of doctoral theses, peer reviewers, editors at publishing houses, </w:t>
      </w:r>
      <w:r w:rsidR="0052510D" w:rsidRPr="00C30D62">
        <w:rPr>
          <w:rFonts w:ascii="Book Antiqua" w:hAnsi="Book Antiqua"/>
        </w:rPr>
        <w:t>colleagues,</w:t>
      </w:r>
      <w:r w:rsidR="00276FCC" w:rsidRPr="00C30D62">
        <w:rPr>
          <w:rFonts w:ascii="Book Antiqua" w:hAnsi="Book Antiqua"/>
        </w:rPr>
        <w:t xml:space="preserve"> and students </w:t>
      </w:r>
      <w:r w:rsidR="00B34AE0" w:rsidRPr="00C30D62">
        <w:rPr>
          <w:rFonts w:ascii="Book Antiqua" w:hAnsi="Book Antiqua"/>
        </w:rPr>
        <w:t xml:space="preserve">– they </w:t>
      </w:r>
      <w:r w:rsidR="00C7214C" w:rsidRPr="00C30D62">
        <w:rPr>
          <w:rFonts w:ascii="Book Antiqua" w:hAnsi="Book Antiqua"/>
        </w:rPr>
        <w:t xml:space="preserve">create expectations about the norms of legal scholarship: </w:t>
      </w:r>
      <w:r w:rsidR="00476B57" w:rsidRPr="00C30D62">
        <w:rPr>
          <w:rFonts w:ascii="Book Antiqua" w:hAnsi="Book Antiqua"/>
        </w:rPr>
        <w:t xml:space="preserve">it would not be fair to insist on methodological rigour from one doctoral student and let another pass </w:t>
      </w:r>
      <w:r w:rsidR="005B60F6" w:rsidRPr="00C30D62">
        <w:rPr>
          <w:rFonts w:ascii="Book Antiqua" w:hAnsi="Book Antiqua"/>
        </w:rPr>
        <w:t>based on unarticulated shared understandings about methodology.</w:t>
      </w:r>
      <w:r w:rsidR="009B490E" w:rsidRPr="00C30D62">
        <w:rPr>
          <w:rFonts w:ascii="Book Antiqua" w:hAnsi="Book Antiqua"/>
        </w:rPr>
        <w:t xml:space="preserve"> Even </w:t>
      </w:r>
      <w:r w:rsidR="000D012B" w:rsidRPr="00C30D62">
        <w:rPr>
          <w:rFonts w:ascii="Book Antiqua" w:hAnsi="Book Antiqua"/>
        </w:rPr>
        <w:t>successful authors of widely read treatises might therefore find themselves asked difficult questions about methodological approaches.</w:t>
      </w:r>
    </w:p>
    <w:p w14:paraId="47619E22" w14:textId="77777777" w:rsidR="009A1292" w:rsidRPr="00C30D62" w:rsidRDefault="00AB6D7B" w:rsidP="00BE04A4">
      <w:pPr>
        <w:jc w:val="both"/>
        <w:rPr>
          <w:rFonts w:ascii="Book Antiqua" w:hAnsi="Book Antiqua"/>
        </w:rPr>
      </w:pPr>
      <w:r w:rsidRPr="00C30D62">
        <w:rPr>
          <w:rFonts w:ascii="Book Antiqua" w:hAnsi="Book Antiqua"/>
        </w:rPr>
        <w:t>It is difficult to be certain about why legal scholarship has become increasingly sophisticated</w:t>
      </w:r>
      <w:r w:rsidR="0010443B" w:rsidRPr="00C30D62">
        <w:rPr>
          <w:rFonts w:ascii="Book Antiqua" w:hAnsi="Book Antiqua"/>
        </w:rPr>
        <w:t xml:space="preserve"> and ambitious</w:t>
      </w:r>
      <w:r w:rsidRPr="00C30D62">
        <w:rPr>
          <w:rFonts w:ascii="Book Antiqua" w:hAnsi="Book Antiqua"/>
        </w:rPr>
        <w:t xml:space="preserve">. But there are some obvious </w:t>
      </w:r>
      <w:r w:rsidR="00E94F72" w:rsidRPr="00C30D62">
        <w:rPr>
          <w:rFonts w:ascii="Book Antiqua" w:hAnsi="Book Antiqua"/>
        </w:rPr>
        <w:t xml:space="preserve">contributing factors. </w:t>
      </w:r>
    </w:p>
    <w:p w14:paraId="1BA4AC65" w14:textId="3339FF4C" w:rsidR="009A1292" w:rsidRPr="00C30D62" w:rsidRDefault="00E94F72" w:rsidP="00BE04A4">
      <w:pPr>
        <w:jc w:val="both"/>
        <w:rPr>
          <w:rFonts w:ascii="Book Antiqua" w:hAnsi="Book Antiqua"/>
        </w:rPr>
      </w:pPr>
      <w:r w:rsidRPr="00C30D62">
        <w:rPr>
          <w:rFonts w:ascii="Book Antiqua" w:hAnsi="Book Antiqua"/>
        </w:rPr>
        <w:t xml:space="preserve">First, a doctoral degree is now a de facto prerequisite for an academic appointment in </w:t>
      </w:r>
      <w:r w:rsidR="00FD3BB8" w:rsidRPr="00C30D62">
        <w:rPr>
          <w:rFonts w:ascii="Book Antiqua" w:hAnsi="Book Antiqua"/>
        </w:rPr>
        <w:t>common law jurisdictions.</w:t>
      </w:r>
      <w:r w:rsidR="0082238E" w:rsidRPr="00C30D62">
        <w:rPr>
          <w:rFonts w:ascii="Book Antiqua" w:hAnsi="Book Antiqua"/>
        </w:rPr>
        <w:t xml:space="preserve"> </w:t>
      </w:r>
      <w:r w:rsidR="004914DE" w:rsidRPr="00C30D62">
        <w:rPr>
          <w:rFonts w:ascii="Book Antiqua" w:hAnsi="Book Antiqua"/>
        </w:rPr>
        <w:t xml:space="preserve">Typically, the degree can only be awarded if the author of the doctoral thesis has made a significant contribution to knowledge in a particular domain. </w:t>
      </w:r>
      <w:r w:rsidR="0010443B" w:rsidRPr="00C30D62">
        <w:rPr>
          <w:rFonts w:ascii="Book Antiqua" w:hAnsi="Book Antiqua"/>
        </w:rPr>
        <w:t xml:space="preserve">It is much easier to satisfy this criterion with a more sophisticated and ambitious thesis. </w:t>
      </w:r>
      <w:r w:rsidR="009A1292" w:rsidRPr="00C30D62">
        <w:rPr>
          <w:rFonts w:ascii="Book Antiqua" w:hAnsi="Book Antiqua"/>
        </w:rPr>
        <w:t xml:space="preserve">And having started out one’s academic career with a sophisticated and ambitious thesis, </w:t>
      </w:r>
      <w:r w:rsidR="0073317F" w:rsidRPr="00C30D62">
        <w:rPr>
          <w:rFonts w:ascii="Book Antiqua" w:hAnsi="Book Antiqua"/>
        </w:rPr>
        <w:t>one will typically attempt to continue in the same vein.</w:t>
      </w:r>
    </w:p>
    <w:p w14:paraId="11A1ED8A" w14:textId="4C4A3FE9" w:rsidR="005B60F6" w:rsidRPr="00C30D62" w:rsidRDefault="0010443B" w:rsidP="00BE04A4">
      <w:pPr>
        <w:jc w:val="both"/>
        <w:rPr>
          <w:rFonts w:ascii="Book Antiqua" w:hAnsi="Book Antiqua"/>
        </w:rPr>
      </w:pPr>
      <w:r w:rsidRPr="00C30D62">
        <w:rPr>
          <w:rFonts w:ascii="Book Antiqua" w:hAnsi="Book Antiqua"/>
        </w:rPr>
        <w:t xml:space="preserve">Second, </w:t>
      </w:r>
      <w:r w:rsidR="001060F2" w:rsidRPr="00C30D62">
        <w:rPr>
          <w:rFonts w:ascii="Book Antiqua" w:hAnsi="Book Antiqua"/>
        </w:rPr>
        <w:t>access to research funding is a marker of professional success</w:t>
      </w:r>
      <w:r w:rsidR="00CA43C1" w:rsidRPr="00C30D62">
        <w:rPr>
          <w:rFonts w:ascii="Book Antiqua" w:hAnsi="Book Antiqua"/>
        </w:rPr>
        <w:t xml:space="preserve">. </w:t>
      </w:r>
      <w:r w:rsidR="001060F2" w:rsidRPr="00C30D62">
        <w:rPr>
          <w:rFonts w:ascii="Book Antiqua" w:hAnsi="Book Antiqua"/>
        </w:rPr>
        <w:t xml:space="preserve">Winning research funding increases the status both of members of law faculties or departments and the faculty/department as a whole. </w:t>
      </w:r>
      <w:r w:rsidR="00CA43C1" w:rsidRPr="00C30D62">
        <w:rPr>
          <w:rFonts w:ascii="Book Antiqua" w:hAnsi="Book Antiqua"/>
        </w:rPr>
        <w:t xml:space="preserve">More importantly, allows researchers to pursue more ambitious work than they </w:t>
      </w:r>
      <w:r w:rsidR="00CA43C1" w:rsidRPr="00C30D62">
        <w:rPr>
          <w:rFonts w:ascii="Book Antiqua" w:hAnsi="Book Antiqua"/>
        </w:rPr>
        <w:lastRenderedPageBreak/>
        <w:t xml:space="preserve">would otherwise be able to. </w:t>
      </w:r>
      <w:r w:rsidR="001060F2" w:rsidRPr="00C30D62">
        <w:rPr>
          <w:rFonts w:ascii="Book Antiqua" w:hAnsi="Book Antiqua"/>
        </w:rPr>
        <w:t xml:space="preserve">But research funding is, mostly, distributed by interdisciplinary panels of which the legal members will be a minority (if they are present at all). Sophistication and ambition go </w:t>
      </w:r>
      <w:r w:rsidR="00240B6E" w:rsidRPr="00C30D62">
        <w:rPr>
          <w:rFonts w:ascii="Book Antiqua" w:hAnsi="Book Antiqua"/>
        </w:rPr>
        <w:t xml:space="preserve">a long way to writing a strong funding application. </w:t>
      </w:r>
    </w:p>
    <w:p w14:paraId="377A0774" w14:textId="5B6442ED" w:rsidR="0073317F" w:rsidRPr="00C30D62" w:rsidRDefault="0073317F" w:rsidP="00BE04A4">
      <w:pPr>
        <w:jc w:val="both"/>
        <w:rPr>
          <w:rFonts w:ascii="Book Antiqua" w:hAnsi="Book Antiqua"/>
        </w:rPr>
      </w:pPr>
      <w:r w:rsidRPr="00C30D62">
        <w:rPr>
          <w:rFonts w:ascii="Book Antiqua" w:hAnsi="Book Antiqua"/>
        </w:rPr>
        <w:t xml:space="preserve">Third, </w:t>
      </w:r>
      <w:r w:rsidR="00235F3D" w:rsidRPr="00C30D62">
        <w:rPr>
          <w:rFonts w:ascii="Book Antiqua" w:hAnsi="Book Antiqua"/>
        </w:rPr>
        <w:t>in many countries, funding of law faculties or departments is tied to the production of</w:t>
      </w:r>
      <w:r w:rsidR="00AB53AC" w:rsidRPr="00C30D62">
        <w:rPr>
          <w:rFonts w:ascii="Book Antiqua" w:hAnsi="Book Antiqua"/>
        </w:rPr>
        <w:t xml:space="preserve"> high-quality,</w:t>
      </w:r>
      <w:r w:rsidR="00235F3D" w:rsidRPr="00C30D62">
        <w:rPr>
          <w:rFonts w:ascii="Book Antiqua" w:hAnsi="Book Antiqua"/>
        </w:rPr>
        <w:t xml:space="preserve"> impactful research. “Impact” </w:t>
      </w:r>
      <w:r w:rsidR="00AB53AC" w:rsidRPr="00C30D62">
        <w:rPr>
          <w:rFonts w:ascii="Book Antiqua" w:hAnsi="Book Antiqua"/>
        </w:rPr>
        <w:t>and “quality” are typically defined in broad terms</w:t>
      </w:r>
      <w:r w:rsidR="00763188" w:rsidRPr="00C30D62">
        <w:rPr>
          <w:rFonts w:ascii="Book Antiqua" w:hAnsi="Book Antiqua"/>
        </w:rPr>
        <w:t xml:space="preserve"> and interpreted by interdisciplinary panels. T</w:t>
      </w:r>
      <w:r w:rsidR="00AB53AC" w:rsidRPr="00C30D62">
        <w:rPr>
          <w:rFonts w:ascii="Book Antiqua" w:hAnsi="Book Antiqua"/>
        </w:rPr>
        <w:t xml:space="preserve">raditional legal scholarship </w:t>
      </w:r>
      <w:r w:rsidR="00763188" w:rsidRPr="00C30D62">
        <w:rPr>
          <w:rFonts w:ascii="Book Antiqua" w:hAnsi="Book Antiqua"/>
        </w:rPr>
        <w:t xml:space="preserve">can </w:t>
      </w:r>
      <w:r w:rsidR="00AB53AC" w:rsidRPr="00C30D62">
        <w:rPr>
          <w:rFonts w:ascii="Book Antiqua" w:hAnsi="Book Antiqua"/>
        </w:rPr>
        <w:t>certainly qualif</w:t>
      </w:r>
      <w:r w:rsidR="00763188" w:rsidRPr="00C30D62">
        <w:rPr>
          <w:rFonts w:ascii="Book Antiqua" w:hAnsi="Book Antiqua"/>
        </w:rPr>
        <w:t>y as impactful and of high quality</w:t>
      </w:r>
      <w:r w:rsidR="00AB53AC" w:rsidRPr="00C30D62">
        <w:rPr>
          <w:rFonts w:ascii="Book Antiqua" w:hAnsi="Book Antiqua"/>
        </w:rPr>
        <w:t xml:space="preserve">, but </w:t>
      </w:r>
      <w:r w:rsidR="00763188" w:rsidRPr="00C30D62">
        <w:rPr>
          <w:rFonts w:ascii="Book Antiqua" w:hAnsi="Book Antiqua"/>
        </w:rPr>
        <w:t xml:space="preserve">in terms of the “quality” metric in particular it is easier to make the case </w:t>
      </w:r>
      <w:r w:rsidR="004819DD" w:rsidRPr="00C30D62">
        <w:rPr>
          <w:rFonts w:ascii="Book Antiqua" w:hAnsi="Book Antiqua"/>
        </w:rPr>
        <w:t>for a high score in respect of scholarship which is self-consciously sophisticated and ambitious.</w:t>
      </w:r>
    </w:p>
    <w:p w14:paraId="3068644D" w14:textId="7B7B4FDD" w:rsidR="004819DD" w:rsidRPr="00C30D62" w:rsidRDefault="004819DD" w:rsidP="00BE04A4">
      <w:pPr>
        <w:jc w:val="both"/>
        <w:rPr>
          <w:rFonts w:ascii="Book Antiqua" w:hAnsi="Book Antiqua"/>
        </w:rPr>
      </w:pPr>
      <w:r w:rsidRPr="00C30D62">
        <w:rPr>
          <w:rFonts w:ascii="Book Antiqua" w:hAnsi="Book Antiqua"/>
        </w:rPr>
        <w:t xml:space="preserve">Fourth, the sheer </w:t>
      </w:r>
      <w:r w:rsidR="00AB1AAD" w:rsidRPr="00C30D62">
        <w:rPr>
          <w:rFonts w:ascii="Book Antiqua" w:hAnsi="Book Antiqua"/>
        </w:rPr>
        <w:t>number</w:t>
      </w:r>
      <w:r w:rsidRPr="00C30D62">
        <w:rPr>
          <w:rFonts w:ascii="Book Antiqua" w:hAnsi="Book Antiqua"/>
        </w:rPr>
        <w:t xml:space="preserve"> of legal scholars has increased dramaticall</w:t>
      </w:r>
      <w:r w:rsidR="001543F6" w:rsidRPr="00C30D62">
        <w:rPr>
          <w:rFonts w:ascii="Book Antiqua" w:hAnsi="Book Antiqua"/>
        </w:rPr>
        <w:t xml:space="preserve">y, as more and more universities around the world have opened law faculties. (This also has led to a dramatic increase in the number of legal scholars who have doctoral degrees.) </w:t>
      </w:r>
      <w:r w:rsidR="00152203" w:rsidRPr="00C30D62">
        <w:rPr>
          <w:rFonts w:ascii="Book Antiqua" w:hAnsi="Book Antiqua"/>
        </w:rPr>
        <w:t>This provokes competition, both in terms of upward mobility (moving from an institution with less desirable terms and conditions to one with better terms and conditions) and publication. With more legal scholars writing articles</w:t>
      </w:r>
      <w:r w:rsidR="00BF60B9" w:rsidRPr="00C30D62">
        <w:rPr>
          <w:rFonts w:ascii="Book Antiqua" w:hAnsi="Book Antiqua"/>
        </w:rPr>
        <w:t xml:space="preserve"> (in part because they will fare poorly in research assessment exercises if they do not)</w:t>
      </w:r>
      <w:r w:rsidR="00152203" w:rsidRPr="00C30D62">
        <w:rPr>
          <w:rFonts w:ascii="Book Antiqua" w:hAnsi="Book Antiqua"/>
        </w:rPr>
        <w:t xml:space="preserve">, law journals </w:t>
      </w:r>
      <w:r w:rsidR="00BF60B9" w:rsidRPr="00C30D62">
        <w:rPr>
          <w:rFonts w:ascii="Book Antiqua" w:hAnsi="Book Antiqua"/>
        </w:rPr>
        <w:t xml:space="preserve">have more submissions to choose from. </w:t>
      </w:r>
      <w:r w:rsidR="00C02B98" w:rsidRPr="00C30D62">
        <w:rPr>
          <w:rFonts w:ascii="Book Antiqua" w:hAnsi="Book Antiqua"/>
        </w:rPr>
        <w:t>Sophistication and ambition are powerful tools both in the hunt for more desirable jobs and accessing high-quality publication outlets.</w:t>
      </w:r>
    </w:p>
    <w:p w14:paraId="44B3D4C9" w14:textId="4EB6503A" w:rsidR="00C22AD2" w:rsidRPr="00C30D62" w:rsidRDefault="00C22AD2" w:rsidP="00BE04A4">
      <w:pPr>
        <w:jc w:val="both"/>
        <w:rPr>
          <w:rFonts w:ascii="Book Antiqua" w:hAnsi="Book Antiqua"/>
        </w:rPr>
      </w:pPr>
      <w:r w:rsidRPr="00C30D62">
        <w:rPr>
          <w:rFonts w:ascii="Book Antiqua" w:hAnsi="Book Antiqua"/>
        </w:rPr>
        <w:t xml:space="preserve">Fifth, the increasing sophistication and ambition of legal scholarship </w:t>
      </w:r>
      <w:r w:rsidR="00781A87" w:rsidRPr="00C30D62">
        <w:rPr>
          <w:rFonts w:ascii="Book Antiqua" w:hAnsi="Book Antiqua"/>
        </w:rPr>
        <w:t xml:space="preserve">makes for a clearer divide between legal scholarship and legal practice. </w:t>
      </w:r>
      <w:r w:rsidR="000E05A5" w:rsidRPr="00C30D62">
        <w:rPr>
          <w:rFonts w:ascii="Book Antiqua" w:hAnsi="Book Antiqua"/>
        </w:rPr>
        <w:t>A young lawyer hesitating between the academy and legal practice faces a fairly stark choice between the increasing sophistication and ambition of academic cloisters and the practical</w:t>
      </w:r>
      <w:r w:rsidR="00FE6E42" w:rsidRPr="00C30D62">
        <w:rPr>
          <w:rFonts w:ascii="Book Antiqua" w:hAnsi="Book Antiqua"/>
        </w:rPr>
        <w:t>, problem-solving role of a practicing lawyer</w:t>
      </w:r>
      <w:r w:rsidR="00FA06D7" w:rsidRPr="00C30D62">
        <w:rPr>
          <w:rFonts w:ascii="Book Antiqua" w:hAnsi="Book Antiqua"/>
        </w:rPr>
        <w:t xml:space="preserve">. Over time, the result is that those interested in producing sophisticated and ambitious scholarship self-select </w:t>
      </w:r>
      <w:r w:rsidR="009D4760" w:rsidRPr="00C30D62">
        <w:rPr>
          <w:rFonts w:ascii="Book Antiqua" w:hAnsi="Book Antiqua"/>
        </w:rPr>
        <w:t>into the academy, with the more practically minded tending to practice.</w:t>
      </w:r>
    </w:p>
    <w:p w14:paraId="0F6CB4CB" w14:textId="47E4AE50" w:rsidR="00BE04A4" w:rsidRPr="00C30D62" w:rsidRDefault="00D462BE" w:rsidP="00BE04A4">
      <w:pPr>
        <w:jc w:val="both"/>
        <w:rPr>
          <w:rFonts w:ascii="Book Antiqua" w:hAnsi="Book Antiqua"/>
        </w:rPr>
      </w:pPr>
      <w:r w:rsidRPr="00C30D62">
        <w:rPr>
          <w:rFonts w:ascii="Book Antiqua" w:hAnsi="Book Antiqua"/>
        </w:rPr>
        <w:t>Notice, lastly, that all of the above factors have a self-reinforcing quality</w:t>
      </w:r>
      <w:r w:rsidR="00591B3F" w:rsidRPr="00C30D62">
        <w:rPr>
          <w:rFonts w:ascii="Book Antiqua" w:hAnsi="Book Antiqua"/>
        </w:rPr>
        <w:t xml:space="preserve">, as they </w:t>
      </w:r>
      <w:r w:rsidR="00744477" w:rsidRPr="00C30D62">
        <w:rPr>
          <w:rFonts w:ascii="Book Antiqua" w:hAnsi="Book Antiqua"/>
        </w:rPr>
        <w:t>alter expectations about legal scholarship</w:t>
      </w:r>
      <w:r w:rsidRPr="00C30D62">
        <w:rPr>
          <w:rFonts w:ascii="Book Antiqua" w:hAnsi="Book Antiqua"/>
        </w:rPr>
        <w:t>.</w:t>
      </w:r>
      <w:r w:rsidR="00744477" w:rsidRPr="00C30D62">
        <w:rPr>
          <w:rFonts w:ascii="Book Antiqua" w:hAnsi="Book Antiqua"/>
        </w:rPr>
        <w:t xml:space="preserve"> For instance,</w:t>
      </w:r>
      <w:r w:rsidRPr="00C30D62">
        <w:rPr>
          <w:rFonts w:ascii="Book Antiqua" w:hAnsi="Book Antiqua"/>
        </w:rPr>
        <w:t xml:space="preserve"> </w:t>
      </w:r>
      <w:r w:rsidR="00744477" w:rsidRPr="00C30D62">
        <w:rPr>
          <w:rFonts w:ascii="Book Antiqua" w:hAnsi="Book Antiqua"/>
        </w:rPr>
        <w:t>t</w:t>
      </w:r>
      <w:r w:rsidR="00A221EF" w:rsidRPr="00C30D62">
        <w:rPr>
          <w:rFonts w:ascii="Book Antiqua" w:hAnsi="Book Antiqua"/>
        </w:rPr>
        <w:t xml:space="preserve">he more law faculties or departments are composed of the scholarly sophisticated and ambitious, the more </w:t>
      </w:r>
      <w:r w:rsidR="00F732C9" w:rsidRPr="00C30D62">
        <w:rPr>
          <w:rFonts w:ascii="Book Antiqua" w:hAnsi="Book Antiqua"/>
        </w:rPr>
        <w:t xml:space="preserve">they will rend to reproduce these tendencies over time: all things being equal, </w:t>
      </w:r>
      <w:r w:rsidR="00591B3F" w:rsidRPr="00C30D62">
        <w:rPr>
          <w:rFonts w:ascii="Book Antiqua" w:hAnsi="Book Antiqua"/>
        </w:rPr>
        <w:t xml:space="preserve">legal academics will hire colleagues who share similar interests. Similarly, </w:t>
      </w:r>
      <w:r w:rsidR="00744477" w:rsidRPr="00C30D62">
        <w:rPr>
          <w:rFonts w:ascii="Book Antiqua" w:hAnsi="Book Antiqua"/>
        </w:rPr>
        <w:t>if</w:t>
      </w:r>
      <w:r w:rsidR="00591B3F" w:rsidRPr="00C30D62">
        <w:rPr>
          <w:rFonts w:ascii="Book Antiqua" w:hAnsi="Book Antiqua"/>
        </w:rPr>
        <w:t xml:space="preserve"> </w:t>
      </w:r>
      <w:r w:rsidR="00323066" w:rsidRPr="00C30D62">
        <w:rPr>
          <w:rFonts w:ascii="Book Antiqua" w:hAnsi="Book Antiqua"/>
        </w:rPr>
        <w:t>submissions to funding rounds, research assessment exercises and publishers</w:t>
      </w:r>
      <w:r w:rsidR="00744477" w:rsidRPr="00C30D62">
        <w:rPr>
          <w:rFonts w:ascii="Book Antiqua" w:hAnsi="Book Antiqua"/>
        </w:rPr>
        <w:t xml:space="preserve"> are increasingly sophisticated </w:t>
      </w:r>
      <w:r w:rsidR="00323066" w:rsidRPr="00C30D62">
        <w:rPr>
          <w:rFonts w:ascii="Book Antiqua" w:hAnsi="Book Antiqua"/>
        </w:rPr>
        <w:t>and ambitious, increasingly sophisticated and ambitious scholarship will come to be expected by those bodies.</w:t>
      </w:r>
      <w:r w:rsidR="005A7B24" w:rsidRPr="00C30D62">
        <w:rPr>
          <w:rFonts w:ascii="Book Antiqua" w:hAnsi="Book Antiqua"/>
        </w:rPr>
        <w:t xml:space="preserve"> And the starker the divide between academic lawyers and practitioners, the more </w:t>
      </w:r>
      <w:r w:rsidR="006350C3" w:rsidRPr="00C30D62">
        <w:rPr>
          <w:rFonts w:ascii="Book Antiqua" w:hAnsi="Book Antiqua"/>
        </w:rPr>
        <w:t xml:space="preserve">academic lawyers will be expected to conform to the </w:t>
      </w:r>
      <w:r w:rsidR="00BE04A4" w:rsidRPr="00C30D62">
        <w:rPr>
          <w:rFonts w:ascii="Book Antiqua" w:hAnsi="Book Antiqua"/>
        </w:rPr>
        <w:t>archetype of the academic lawyer.</w:t>
      </w:r>
    </w:p>
    <w:p w14:paraId="562BB499" w14:textId="12AC3689" w:rsidR="00E56246" w:rsidRPr="00C30D62" w:rsidRDefault="00A75F17" w:rsidP="00BE04A4">
      <w:pPr>
        <w:jc w:val="both"/>
        <w:rPr>
          <w:rFonts w:ascii="Book Antiqua" w:hAnsi="Book Antiqua"/>
        </w:rPr>
      </w:pPr>
      <w:r w:rsidRPr="00C30D62">
        <w:rPr>
          <w:rFonts w:ascii="Book Antiqua" w:hAnsi="Book Antiqua"/>
        </w:rPr>
        <w:t>If nothing else, our analysis suggests that academic sophistication and ambition are here to stay. And even if our analysis is wrong</w:t>
      </w:r>
      <w:r w:rsidR="00BC630E" w:rsidRPr="00C30D62">
        <w:rPr>
          <w:rFonts w:ascii="Book Antiqua" w:hAnsi="Book Antiqua"/>
        </w:rPr>
        <w:t xml:space="preserve"> or overblown</w:t>
      </w:r>
      <w:r w:rsidRPr="00C30D62">
        <w:rPr>
          <w:rFonts w:ascii="Book Antiqua" w:hAnsi="Book Antiqua"/>
        </w:rPr>
        <w:t xml:space="preserve">, it remains the case that being a successful academic lawyer today – as a doctoral student, job candidate, </w:t>
      </w:r>
      <w:r w:rsidR="00BC630E" w:rsidRPr="00C30D62">
        <w:rPr>
          <w:rFonts w:ascii="Book Antiqua" w:hAnsi="Book Antiqua"/>
        </w:rPr>
        <w:t xml:space="preserve">funding applicant and so on – requires more attention than it did before to methodology. </w:t>
      </w:r>
      <w:r w:rsidR="00E56246" w:rsidRPr="00C30D62">
        <w:rPr>
          <w:rFonts w:ascii="Book Antiqua" w:hAnsi="Book Antiqua"/>
        </w:rPr>
        <w:t>Attention to methodology is important in order to be successful in hunting for jobs, funding and publications.</w:t>
      </w:r>
    </w:p>
    <w:p w14:paraId="73B4F03F" w14:textId="78E5D31F" w:rsidR="000E0D40" w:rsidRPr="00C30D62" w:rsidRDefault="000E0D40" w:rsidP="00BE04A4">
      <w:pPr>
        <w:jc w:val="both"/>
        <w:rPr>
          <w:rFonts w:ascii="Book Antiqua" w:hAnsi="Book Antiqua"/>
        </w:rPr>
      </w:pPr>
      <w:r w:rsidRPr="00C30D62">
        <w:rPr>
          <w:rFonts w:ascii="Book Antiqua" w:hAnsi="Book Antiqua"/>
        </w:rPr>
        <w:t>To these pragmatic considerations can be added principled justifications for taking methodology seriously. At root, methodology speaks to how we know what we know (or what we think we know).</w:t>
      </w:r>
      <w:r w:rsidR="006A473C" w:rsidRPr="00C30D62">
        <w:rPr>
          <w:rFonts w:ascii="Book Antiqua" w:hAnsi="Book Antiqua"/>
        </w:rPr>
        <w:t xml:space="preserve"> There is no downside to </w:t>
      </w:r>
      <w:r w:rsidR="0067485D" w:rsidRPr="00C30D62">
        <w:rPr>
          <w:rFonts w:ascii="Book Antiqua" w:hAnsi="Book Antiqua"/>
        </w:rPr>
        <w:t>learning about methodology and considering how exactly the author of an academic endeavour achieves its objective</w:t>
      </w:r>
      <w:r w:rsidR="00AF5EF7" w:rsidRPr="00C30D62">
        <w:rPr>
          <w:rFonts w:ascii="Book Antiqua" w:hAnsi="Book Antiqua"/>
        </w:rPr>
        <w:t xml:space="preserve">—save for the risk we may become too </w:t>
      </w:r>
      <w:r w:rsidR="00AF5EF7" w:rsidRPr="00C30D62">
        <w:rPr>
          <w:rFonts w:ascii="Book Antiqua" w:hAnsi="Book Antiqua"/>
        </w:rPr>
        <w:lastRenderedPageBreak/>
        <w:t>distracted by the specifics of methodology</w:t>
      </w:r>
      <w:r w:rsidR="0067485D" w:rsidRPr="00C30D62">
        <w:rPr>
          <w:rFonts w:ascii="Book Antiqua" w:hAnsi="Book Antiqua"/>
        </w:rPr>
        <w:t xml:space="preserve">. And there is significant upside: deliberation on methodology might prompt work which is more careful and sophisticated, even in </w:t>
      </w:r>
      <w:r w:rsidR="0088533D" w:rsidRPr="00C30D62">
        <w:rPr>
          <w:rFonts w:ascii="Book Antiqua" w:hAnsi="Book Antiqua"/>
        </w:rPr>
        <w:t>relatively traditional areas of scholarship.</w:t>
      </w:r>
      <w:r w:rsidR="00AF5EF7" w:rsidRPr="00C30D62">
        <w:rPr>
          <w:rFonts w:ascii="Book Antiqua" w:hAnsi="Book Antiqua"/>
        </w:rPr>
        <w:t xml:space="preserve"> It may also provide new wasy to understand and analyse questions.</w:t>
      </w:r>
      <w:r w:rsidRPr="00C30D62">
        <w:rPr>
          <w:rFonts w:ascii="Book Antiqua" w:hAnsi="Book Antiqua"/>
        </w:rPr>
        <w:t xml:space="preserve"> </w:t>
      </w:r>
      <w:r w:rsidR="0088533D" w:rsidRPr="00C30D62">
        <w:rPr>
          <w:rFonts w:ascii="Book Antiqua" w:hAnsi="Book Antiqua"/>
        </w:rPr>
        <w:t>We suggest, therefore, that d</w:t>
      </w:r>
      <w:r w:rsidR="00242404" w:rsidRPr="00C30D62">
        <w:rPr>
          <w:rFonts w:ascii="Book Antiqua" w:hAnsi="Book Antiqua"/>
        </w:rPr>
        <w:t xml:space="preserve">eliberating on how we conduct legal research </w:t>
      </w:r>
      <w:r w:rsidR="00851901" w:rsidRPr="00C30D62">
        <w:rPr>
          <w:rFonts w:ascii="Book Antiqua" w:hAnsi="Book Antiqua"/>
        </w:rPr>
        <w:t xml:space="preserve">can generate valuable insights about the approaches we take to producing </w:t>
      </w:r>
      <w:r w:rsidR="001A310A" w:rsidRPr="00C30D62">
        <w:rPr>
          <w:rFonts w:ascii="Book Antiqua" w:hAnsi="Book Antiqua"/>
        </w:rPr>
        <w:t>scholarly work</w:t>
      </w:r>
      <w:r w:rsidR="0088533D" w:rsidRPr="00C30D62">
        <w:rPr>
          <w:rFonts w:ascii="Book Antiqua" w:hAnsi="Book Antiqua"/>
        </w:rPr>
        <w:t xml:space="preserve"> and may end up enhancing the quality of our work.</w:t>
      </w:r>
    </w:p>
    <w:p w14:paraId="0224AEF9" w14:textId="53DD63B6" w:rsidR="00474110" w:rsidRPr="00C30D62" w:rsidRDefault="00474110" w:rsidP="00474110">
      <w:pPr>
        <w:jc w:val="center"/>
        <w:rPr>
          <w:rFonts w:ascii="Book Antiqua" w:hAnsi="Book Antiqua"/>
        </w:rPr>
      </w:pPr>
      <w:r w:rsidRPr="00C30D62">
        <w:rPr>
          <w:rFonts w:ascii="Book Antiqua" w:hAnsi="Book Antiqua"/>
        </w:rPr>
        <w:t>* * *</w:t>
      </w:r>
    </w:p>
    <w:p w14:paraId="74CB8736" w14:textId="07C73F32" w:rsidR="00E061F7" w:rsidRPr="00C30D62" w:rsidRDefault="00474110" w:rsidP="00AE716A">
      <w:pPr>
        <w:jc w:val="both"/>
        <w:rPr>
          <w:rFonts w:ascii="Book Antiqua" w:hAnsi="Book Antiqua"/>
        </w:rPr>
      </w:pPr>
      <w:r w:rsidRPr="00C30D62">
        <w:rPr>
          <w:rFonts w:ascii="Book Antiqua" w:hAnsi="Book Antiqua"/>
        </w:rPr>
        <w:t>The analysis above is directed at legal scholarship generally. But this book is about methodology in public law</w:t>
      </w:r>
      <w:r w:rsidR="001A310A" w:rsidRPr="00C30D62">
        <w:rPr>
          <w:rFonts w:ascii="Book Antiqua" w:hAnsi="Book Antiqua"/>
        </w:rPr>
        <w:t xml:space="preserve"> in the English-speaking common-law world</w:t>
      </w:r>
      <w:r w:rsidRPr="00C30D62">
        <w:rPr>
          <w:rFonts w:ascii="Book Antiqua" w:hAnsi="Book Antiqua"/>
        </w:rPr>
        <w:t xml:space="preserve">. </w:t>
      </w:r>
      <w:r w:rsidR="00E061F7" w:rsidRPr="00C30D62">
        <w:rPr>
          <w:rFonts w:ascii="Book Antiqua" w:hAnsi="Book Antiqua"/>
        </w:rPr>
        <w:t xml:space="preserve">To date, there is no general collection which speaks to methodology in public law. </w:t>
      </w:r>
      <w:r w:rsidRPr="00C30D62">
        <w:rPr>
          <w:rFonts w:ascii="Book Antiqua" w:hAnsi="Book Antiqua"/>
        </w:rPr>
        <w:t>Therefore, t</w:t>
      </w:r>
      <w:r w:rsidR="00E061F7" w:rsidRPr="00C30D62">
        <w:rPr>
          <w:rFonts w:ascii="Book Antiqua" w:hAnsi="Book Antiqua"/>
        </w:rPr>
        <w:t>his book fills a large and important gap in the legal literature by providing an overview of research methodologies in public law—a broad field of research comprising constitutional law, administrative law, legislation, regulation</w:t>
      </w:r>
      <w:r w:rsidR="00AF5EF7" w:rsidRPr="00C30D62">
        <w:rPr>
          <w:rFonts w:ascii="Book Antiqua" w:hAnsi="Book Antiqua"/>
        </w:rPr>
        <w:t>,</w:t>
      </w:r>
      <w:r w:rsidR="00E061F7" w:rsidRPr="00C30D62">
        <w:rPr>
          <w:rFonts w:ascii="Book Antiqua" w:hAnsi="Book Antiqua"/>
        </w:rPr>
        <w:t xml:space="preserve"> and legal theory. </w:t>
      </w:r>
      <w:r w:rsidR="00632082" w:rsidRPr="00C30D62">
        <w:rPr>
          <w:rFonts w:ascii="Book Antiqua" w:hAnsi="Book Antiqua"/>
        </w:rPr>
        <w:t>We do not seek to define “public law” any further than this</w:t>
      </w:r>
      <w:r w:rsidR="000630DD" w:rsidRPr="00C30D62">
        <w:rPr>
          <w:rFonts w:ascii="Book Antiqua" w:hAnsi="Book Antiqua"/>
        </w:rPr>
        <w:t xml:space="preserve">, for pragmatic and principled reasons. </w:t>
      </w:r>
      <w:r w:rsidR="00402E94" w:rsidRPr="00C30D62">
        <w:rPr>
          <w:rFonts w:ascii="Book Antiqua" w:hAnsi="Book Antiqua"/>
        </w:rPr>
        <w:t>From a pragmatic perspective</w:t>
      </w:r>
      <w:r w:rsidR="000630DD" w:rsidRPr="00C30D62">
        <w:rPr>
          <w:rFonts w:ascii="Book Antiqua" w:hAnsi="Book Antiqua"/>
        </w:rPr>
        <w:t xml:space="preserve">, any attempt to define public law is apt to upset at least some readers: a definition cannot, by definition, include everything; and some researchers might feel excluded by our definitional choices. </w:t>
      </w:r>
      <w:r w:rsidR="00402E94" w:rsidRPr="00C30D62">
        <w:rPr>
          <w:rFonts w:ascii="Book Antiqua" w:hAnsi="Book Antiqua"/>
        </w:rPr>
        <w:t>If attention to methodology is as important as we think it is, we should construct as big a tent as possible, to ensure that a multiplicity of voices and a plurality of perspectives are included. From a principled standpoint, defining “public law” in the common law tradition might be impossible</w:t>
      </w:r>
      <w:r w:rsidR="000E3985" w:rsidRPr="00C30D62">
        <w:rPr>
          <w:rFonts w:ascii="Book Antiqua" w:hAnsi="Book Antiqua"/>
        </w:rPr>
        <w:t xml:space="preserve"> and any attempt to do so would be highly contestable</w:t>
      </w:r>
      <w:r w:rsidR="00402E94" w:rsidRPr="00C30D62">
        <w:rPr>
          <w:rFonts w:ascii="Book Antiqua" w:hAnsi="Book Antiqua"/>
        </w:rPr>
        <w:t xml:space="preserve">. Whereas civilian systems have a fully worked-out </w:t>
      </w:r>
      <w:r w:rsidR="008B3164" w:rsidRPr="00C30D62">
        <w:rPr>
          <w:rFonts w:ascii="Book Antiqua" w:hAnsi="Book Antiqua"/>
        </w:rPr>
        <w:t>category of “public law”, common lawyers have no equivalent. Public law exists in the ether and cannot be distilled to its pure essence. The best we can do, therefore, is to focus our attention on the legal aspects of the creation and regulation of public power.</w:t>
      </w:r>
      <w:r w:rsidR="008B3164" w:rsidRPr="00C30D62">
        <w:rPr>
          <w:rStyle w:val="FootnoteReference"/>
          <w:rFonts w:ascii="Book Antiqua" w:hAnsi="Book Antiqua"/>
        </w:rPr>
        <w:footnoteReference w:id="1"/>
      </w:r>
    </w:p>
    <w:p w14:paraId="705C67B5" w14:textId="0E41595C" w:rsidR="00612A3E" w:rsidRPr="00C30D62" w:rsidRDefault="00C54CFF" w:rsidP="00AE716A">
      <w:pPr>
        <w:jc w:val="both"/>
        <w:rPr>
          <w:rFonts w:ascii="Book Antiqua" w:hAnsi="Book Antiqua"/>
        </w:rPr>
      </w:pPr>
      <w:r w:rsidRPr="00C30D62">
        <w:rPr>
          <w:rFonts w:ascii="Book Antiqua" w:hAnsi="Book Antiqua"/>
        </w:rPr>
        <w:t xml:space="preserve">Our concern is with methodology used by those who consider themselves to be public lawyers, not definitional debates about “public law”. </w:t>
      </w:r>
      <w:r w:rsidR="00612A3E" w:rsidRPr="00C30D62">
        <w:rPr>
          <w:rFonts w:ascii="Book Antiqua" w:hAnsi="Book Antiqua"/>
        </w:rPr>
        <w:t>Broadly speaking, the traditional approach to methodologies in public law is for them to go unspoken and hidden. This has often made public law a difficult subject for new researchers to approach as there is no “guide” to the key methodological approaches taken to public law. Our goal is to ensure that questions about methodology in public law are no longer unspoken and hidden, facilitating high-level research at every level of academia.</w:t>
      </w:r>
    </w:p>
    <w:p w14:paraId="48A4D684" w14:textId="1A7F7667" w:rsidR="00ED184F" w:rsidRPr="00C30D62" w:rsidRDefault="00ED184F" w:rsidP="00AE716A">
      <w:pPr>
        <w:jc w:val="both"/>
        <w:rPr>
          <w:rFonts w:ascii="Book Antiqua" w:hAnsi="Book Antiqua"/>
        </w:rPr>
      </w:pPr>
      <w:r w:rsidRPr="00C30D62">
        <w:rPr>
          <w:rFonts w:ascii="Book Antiqua" w:hAnsi="Book Antiqua"/>
        </w:rPr>
        <w:t>Without a</w:t>
      </w:r>
      <w:r w:rsidR="000E3985" w:rsidRPr="00C30D62">
        <w:rPr>
          <w:rFonts w:ascii="Book Antiqua" w:hAnsi="Book Antiqua"/>
        </w:rPr>
        <w:t xml:space="preserve">n </w:t>
      </w:r>
      <w:r w:rsidRPr="00C30D62">
        <w:rPr>
          <w:rFonts w:ascii="Book Antiqua" w:hAnsi="Book Antiqua"/>
        </w:rPr>
        <w:t>account of public law methodology, it is often difficult to convince academics from other fields of the desirability of funding research in public law</w:t>
      </w:r>
      <w:r w:rsidR="00140C23" w:rsidRPr="00C30D62">
        <w:rPr>
          <w:rFonts w:ascii="Book Antiqua" w:hAnsi="Book Antiqua"/>
        </w:rPr>
        <w:t>, the impact and quality of public law scholarship, the need to hire public law scholars as colleagues, and so on.</w:t>
      </w:r>
      <w:r w:rsidRPr="00C30D62">
        <w:rPr>
          <w:rFonts w:ascii="Book Antiqua" w:hAnsi="Book Antiqua"/>
        </w:rPr>
        <w:t xml:space="preserve"> Using this collection as a guide will</w:t>
      </w:r>
      <w:r w:rsidR="000E3985" w:rsidRPr="00C30D62">
        <w:rPr>
          <w:rFonts w:ascii="Book Antiqua" w:hAnsi="Book Antiqua"/>
        </w:rPr>
        <w:t>, we hope,</w:t>
      </w:r>
      <w:r w:rsidRPr="00C30D62">
        <w:rPr>
          <w:rFonts w:ascii="Book Antiqua" w:hAnsi="Book Antiqua"/>
        </w:rPr>
        <w:t xml:space="preserve"> enable public law academics to make stronger arguments</w:t>
      </w:r>
      <w:r w:rsidR="00140C23" w:rsidRPr="00C30D62">
        <w:rPr>
          <w:rFonts w:ascii="Book Antiqua" w:hAnsi="Book Antiqua"/>
        </w:rPr>
        <w:t xml:space="preserve"> about the importance of their scholarship</w:t>
      </w:r>
      <w:r w:rsidRPr="00C30D62">
        <w:rPr>
          <w:rFonts w:ascii="Book Antiqua" w:hAnsi="Book Antiqua"/>
        </w:rPr>
        <w:t>, which is vital both for the career progression of individuals and the health of research in public law.</w:t>
      </w:r>
    </w:p>
    <w:p w14:paraId="62D91270" w14:textId="0B36D537" w:rsidR="00C54AEF" w:rsidRPr="00C30D62" w:rsidRDefault="00795C7F" w:rsidP="00AE716A">
      <w:pPr>
        <w:jc w:val="both"/>
        <w:rPr>
          <w:rFonts w:ascii="Book Antiqua" w:hAnsi="Book Antiqua"/>
        </w:rPr>
      </w:pPr>
      <w:r w:rsidRPr="00C30D62">
        <w:rPr>
          <w:rFonts w:ascii="Book Antiqua" w:hAnsi="Book Antiqua"/>
        </w:rPr>
        <w:t>In what follows, you will find</w:t>
      </w:r>
      <w:r w:rsidR="00E061F7" w:rsidRPr="00C30D62">
        <w:rPr>
          <w:rFonts w:ascii="Book Antiqua" w:hAnsi="Book Antiqua"/>
        </w:rPr>
        <w:t xml:space="preserve"> short and accessible chapters on distinct methodological approaches within particular area</w:t>
      </w:r>
      <w:r w:rsidRPr="00C30D62">
        <w:rPr>
          <w:rFonts w:ascii="Book Antiqua" w:hAnsi="Book Antiqua"/>
        </w:rPr>
        <w:t>s</w:t>
      </w:r>
      <w:r w:rsidR="00E061F7" w:rsidRPr="00C30D62">
        <w:rPr>
          <w:rFonts w:ascii="Book Antiqua" w:hAnsi="Book Antiqua"/>
        </w:rPr>
        <w:t xml:space="preserve"> of </w:t>
      </w:r>
      <w:r w:rsidRPr="00C30D62">
        <w:rPr>
          <w:rFonts w:ascii="Book Antiqua" w:hAnsi="Book Antiqua"/>
        </w:rPr>
        <w:t>public law</w:t>
      </w:r>
      <w:r w:rsidR="000E3985" w:rsidRPr="00C30D62">
        <w:rPr>
          <w:rFonts w:ascii="Book Antiqua" w:hAnsi="Book Antiqua"/>
        </w:rPr>
        <w:t>, written by leaders in the field</w:t>
      </w:r>
      <w:r w:rsidR="00E061F7" w:rsidRPr="00C30D62">
        <w:rPr>
          <w:rFonts w:ascii="Book Antiqua" w:hAnsi="Book Antiqua"/>
        </w:rPr>
        <w:t xml:space="preserve">. Each chapter will provide a thorough introduction to the key features, </w:t>
      </w:r>
      <w:r w:rsidR="000E3985" w:rsidRPr="00C30D62">
        <w:rPr>
          <w:rFonts w:ascii="Book Antiqua" w:hAnsi="Book Antiqua"/>
        </w:rPr>
        <w:t>characteristics,</w:t>
      </w:r>
      <w:r w:rsidR="00E061F7" w:rsidRPr="00C30D62">
        <w:rPr>
          <w:rFonts w:ascii="Book Antiqua" w:hAnsi="Book Antiqua"/>
        </w:rPr>
        <w:t xml:space="preserve"> and challenges of a public law methodology. Students and scholars of public law will be able to look to this collection as a </w:t>
      </w:r>
      <w:r w:rsidR="00E061F7" w:rsidRPr="00C30D62">
        <w:rPr>
          <w:rFonts w:ascii="Book Antiqua" w:hAnsi="Book Antiqua"/>
        </w:rPr>
        <w:lastRenderedPageBreak/>
        <w:t>guide on the variety of ways of conducting research in public law</w:t>
      </w:r>
      <w:r w:rsidR="000E3985" w:rsidRPr="00C30D62">
        <w:rPr>
          <w:rFonts w:ascii="Book Antiqua" w:hAnsi="Book Antiqua"/>
        </w:rPr>
        <w:t xml:space="preserve">. </w:t>
      </w:r>
      <w:r w:rsidR="00C644EF" w:rsidRPr="00C30D62">
        <w:rPr>
          <w:rFonts w:ascii="Book Antiqua" w:hAnsi="Book Antiqua"/>
        </w:rPr>
        <w:t xml:space="preserve">Each chapter will address three </w:t>
      </w:r>
      <w:r w:rsidR="000E3985" w:rsidRPr="00C30D62">
        <w:rPr>
          <w:rFonts w:ascii="Book Antiqua" w:hAnsi="Book Antiqua"/>
        </w:rPr>
        <w:t>central questions. First, w</w:t>
      </w:r>
      <w:r w:rsidR="00C644EF" w:rsidRPr="00C30D62">
        <w:rPr>
          <w:rFonts w:ascii="Book Antiqua" w:hAnsi="Book Antiqua"/>
        </w:rPr>
        <w:t xml:space="preserve">hat unique perspective/insight does </w:t>
      </w:r>
      <w:r w:rsidR="000E3985" w:rsidRPr="00C30D62">
        <w:rPr>
          <w:rFonts w:ascii="Book Antiqua" w:hAnsi="Book Antiqua"/>
        </w:rPr>
        <w:t xml:space="preserve">the </w:t>
      </w:r>
      <w:r w:rsidR="00C644EF" w:rsidRPr="00C30D62">
        <w:rPr>
          <w:rFonts w:ascii="Book Antiqua" w:hAnsi="Book Antiqua"/>
        </w:rPr>
        <w:t>approach provide</w:t>
      </w:r>
      <w:r w:rsidR="000E3985" w:rsidRPr="00C30D62">
        <w:rPr>
          <w:rFonts w:ascii="Book Antiqua" w:hAnsi="Book Antiqua"/>
        </w:rPr>
        <w:t>? Second, w</w:t>
      </w:r>
      <w:r w:rsidR="00C644EF" w:rsidRPr="00C30D62">
        <w:rPr>
          <w:rFonts w:ascii="Book Antiqua" w:hAnsi="Book Antiqua"/>
        </w:rPr>
        <w:t xml:space="preserve">hat are the key features of this approach to public law research, i.e. how is this research conducted? </w:t>
      </w:r>
      <w:r w:rsidR="000E3985" w:rsidRPr="00C30D62">
        <w:rPr>
          <w:rFonts w:ascii="Book Antiqua" w:hAnsi="Book Antiqua"/>
        </w:rPr>
        <w:t>Third, w</w:t>
      </w:r>
      <w:r w:rsidR="00C644EF" w:rsidRPr="00C30D62">
        <w:rPr>
          <w:rFonts w:ascii="Book Antiqua" w:hAnsi="Book Antiqua"/>
        </w:rPr>
        <w:t>hat are the key challenges facing a researcher adopting this approach?</w:t>
      </w:r>
      <w:r w:rsidR="00D04EF2" w:rsidRPr="00C30D62">
        <w:rPr>
          <w:rFonts w:ascii="Book Antiqua" w:hAnsi="Book Antiqua"/>
        </w:rPr>
        <w:t xml:space="preserve"> We could not hope to include all methodologies which have been or could be applied to studying public law, but we have sought to include many of the most common approaches and, beyond that, a diverse range.</w:t>
      </w:r>
    </w:p>
    <w:p w14:paraId="4376588D" w14:textId="085EB1F1" w:rsidR="00784978" w:rsidRPr="00C30D62" w:rsidRDefault="00C54AEF" w:rsidP="00784978">
      <w:pPr>
        <w:jc w:val="center"/>
        <w:rPr>
          <w:rFonts w:ascii="Book Antiqua" w:hAnsi="Book Antiqua"/>
        </w:rPr>
      </w:pPr>
      <w:r w:rsidRPr="00C30D62">
        <w:rPr>
          <w:rFonts w:ascii="Book Antiqua" w:hAnsi="Book Antiqua"/>
        </w:rPr>
        <w:t>* * *</w:t>
      </w:r>
    </w:p>
    <w:p w14:paraId="0CC5B7EA" w14:textId="44B0E2F0" w:rsidR="0088533D" w:rsidRPr="00C30D62" w:rsidRDefault="00784978" w:rsidP="00AE716A">
      <w:pPr>
        <w:jc w:val="both"/>
        <w:rPr>
          <w:rFonts w:ascii="Book Antiqua" w:hAnsi="Book Antiqua"/>
        </w:rPr>
      </w:pPr>
      <w:r w:rsidRPr="00C30D62">
        <w:rPr>
          <w:rFonts w:ascii="Book Antiqua" w:hAnsi="Book Antiqua"/>
        </w:rPr>
        <w:t xml:space="preserve">We have separated the chapters into four categories: the traditional, the institutional, the </w:t>
      </w:r>
      <w:r w:rsidR="004C3AB6" w:rsidRPr="00C30D62">
        <w:rPr>
          <w:rFonts w:ascii="Book Antiqua" w:hAnsi="Book Antiqua"/>
        </w:rPr>
        <w:t>technical</w:t>
      </w:r>
      <w:r w:rsidR="003A5FB7" w:rsidRPr="00C30D62">
        <w:rPr>
          <w:rFonts w:ascii="Book Antiqua" w:hAnsi="Book Antiqua"/>
        </w:rPr>
        <w:t>,</w:t>
      </w:r>
      <w:r w:rsidR="004C3AB6" w:rsidRPr="00C30D62">
        <w:rPr>
          <w:rFonts w:ascii="Book Antiqua" w:hAnsi="Book Antiqua"/>
        </w:rPr>
        <w:t xml:space="preserve"> and the critical. </w:t>
      </w:r>
      <w:r w:rsidR="00D532D5" w:rsidRPr="00C30D62">
        <w:rPr>
          <w:rFonts w:ascii="Book Antiqua" w:hAnsi="Book Antiqua"/>
        </w:rPr>
        <w:t xml:space="preserve">The labels are, hopefully, self-explanatory. Traditional scholarship is doctrinal, historical and interpretive. Institutional scholarship focuses on institutions – we have chosen the </w:t>
      </w:r>
      <w:r w:rsidR="00AC1381" w:rsidRPr="00C30D62">
        <w:rPr>
          <w:rFonts w:ascii="Book Antiqua" w:hAnsi="Book Antiqua"/>
        </w:rPr>
        <w:t xml:space="preserve">well-known branches of government as the objects here (the legislative, </w:t>
      </w:r>
      <w:r w:rsidR="003A5FB7" w:rsidRPr="00C30D62">
        <w:rPr>
          <w:rFonts w:ascii="Book Antiqua" w:hAnsi="Book Antiqua"/>
        </w:rPr>
        <w:t>judicial,</w:t>
      </w:r>
      <w:r w:rsidR="00AC1381" w:rsidRPr="00C30D62">
        <w:rPr>
          <w:rFonts w:ascii="Book Antiqua" w:hAnsi="Book Antiqua"/>
        </w:rPr>
        <w:t xml:space="preserve"> and executive arms), though our lessons could be applied to other organs of public power as well. </w:t>
      </w:r>
      <w:r w:rsidR="007137F0" w:rsidRPr="00C30D62">
        <w:rPr>
          <w:rFonts w:ascii="Book Antiqua" w:hAnsi="Book Antiqua"/>
        </w:rPr>
        <w:t xml:space="preserve">By technical, we mean approaches which involve a degree of abstraction from the concerns of traditional scholarship, by engaging in theoretical reflection, comparative analysis or using empirical means. Lastly, </w:t>
      </w:r>
      <w:r w:rsidR="00D478D6" w:rsidRPr="00C30D62">
        <w:rPr>
          <w:rFonts w:ascii="Book Antiqua" w:hAnsi="Book Antiqua"/>
        </w:rPr>
        <w:t>in the critical section, we group contributions which seek to challenge the received wisdom generated by other methodological approaches.</w:t>
      </w:r>
    </w:p>
    <w:p w14:paraId="1688A60D" w14:textId="77777777" w:rsidR="00BA5885" w:rsidRPr="00C30D62" w:rsidRDefault="0088533D" w:rsidP="00AE716A">
      <w:pPr>
        <w:jc w:val="both"/>
        <w:rPr>
          <w:rFonts w:ascii="Book Antiqua" w:hAnsi="Book Antiqua"/>
        </w:rPr>
      </w:pPr>
      <w:r w:rsidRPr="00C30D62">
        <w:rPr>
          <w:rFonts w:ascii="Book Antiqua" w:hAnsi="Book Antiqua"/>
        </w:rPr>
        <w:t xml:space="preserve">In the </w:t>
      </w:r>
      <w:r w:rsidRPr="00C30D62">
        <w:rPr>
          <w:rFonts w:ascii="Book Antiqua" w:hAnsi="Book Antiqua"/>
          <w:b/>
          <w:bCs/>
        </w:rPr>
        <w:t>traditional</w:t>
      </w:r>
      <w:r w:rsidRPr="00C30D62">
        <w:rPr>
          <w:rFonts w:ascii="Book Antiqua" w:hAnsi="Book Antiqua"/>
        </w:rPr>
        <w:t xml:space="preserve"> category, we place three chapters: John Allison on historical approaches to public law; Farrah Ahmed and Adam Perry on interpretation; and </w:t>
      </w:r>
      <w:r w:rsidR="00BA5885" w:rsidRPr="00C30D62">
        <w:rPr>
          <w:rFonts w:ascii="Book Antiqua" w:hAnsi="Book Antiqua"/>
        </w:rPr>
        <w:t>Jason Varuhas on doctrinal scholarship.</w:t>
      </w:r>
    </w:p>
    <w:p w14:paraId="21C4AD4A" w14:textId="6DFBCDB9" w:rsidR="008A3F76" w:rsidRPr="00C30D62" w:rsidRDefault="00BA5885" w:rsidP="00AE716A">
      <w:pPr>
        <w:jc w:val="both"/>
        <w:rPr>
          <w:rFonts w:ascii="Book Antiqua" w:hAnsi="Book Antiqua"/>
        </w:rPr>
      </w:pPr>
      <w:r w:rsidRPr="00C30D62">
        <w:rPr>
          <w:rFonts w:ascii="Book Antiqua" w:hAnsi="Book Antiqua"/>
        </w:rPr>
        <w:t xml:space="preserve">Allison’s contribution is a reprint of his 2013 article – already a classic – entitled </w:t>
      </w:r>
      <w:r w:rsidR="00535042" w:rsidRPr="00C30D62">
        <w:rPr>
          <w:rFonts w:ascii="Book Antiqua" w:hAnsi="Book Antiqua"/>
        </w:rPr>
        <w:t>“History to Understand, and History to Reform, English Public Law”.</w:t>
      </w:r>
      <w:r w:rsidR="00535042" w:rsidRPr="00C30D62">
        <w:rPr>
          <w:rStyle w:val="FootnoteReference"/>
          <w:rFonts w:ascii="Book Antiqua" w:hAnsi="Book Antiqua"/>
        </w:rPr>
        <w:footnoteReference w:id="2"/>
      </w:r>
      <w:r w:rsidR="00217A5B" w:rsidRPr="00C30D62">
        <w:rPr>
          <w:rFonts w:ascii="Book Antiqua" w:hAnsi="Book Antiqua"/>
        </w:rPr>
        <w:t xml:space="preserve"> An obvious starting point is the proposition that understanding English public law requires an appreciation of history, both to understand key concepts (such as “the Crown”) and </w:t>
      </w:r>
      <w:r w:rsidR="00CB4948" w:rsidRPr="00C30D62">
        <w:rPr>
          <w:rFonts w:ascii="Book Antiqua" w:hAnsi="Book Antiqua"/>
        </w:rPr>
        <w:t xml:space="preserve">constitutional change. </w:t>
      </w:r>
      <w:r w:rsidR="00FC26A2" w:rsidRPr="00C30D62">
        <w:rPr>
          <w:rFonts w:ascii="Book Antiqua" w:hAnsi="Book Antiqua"/>
        </w:rPr>
        <w:t xml:space="preserve">This proposition, we would add, applies just as much to other jurisdictions as it does to England. </w:t>
      </w:r>
      <w:r w:rsidR="004F17A0" w:rsidRPr="00C30D62">
        <w:rPr>
          <w:rFonts w:ascii="Book Antiqua" w:hAnsi="Book Antiqua"/>
        </w:rPr>
        <w:t xml:space="preserve">Allison notes that an “orthodox historical account” of </w:t>
      </w:r>
      <w:r w:rsidR="009522E1" w:rsidRPr="00C30D62">
        <w:rPr>
          <w:rFonts w:ascii="Book Antiqua" w:hAnsi="Book Antiqua"/>
        </w:rPr>
        <w:t xml:space="preserve">legal history can be an aid to understanding. But such accounts </w:t>
      </w:r>
      <w:r w:rsidR="00954FD4" w:rsidRPr="00C30D62">
        <w:rPr>
          <w:rFonts w:ascii="Book Antiqua" w:hAnsi="Book Antiqua"/>
        </w:rPr>
        <w:t xml:space="preserve">are exceedingly difficult to produce, for they require significant time and resources, especially to uncover the “self-understanding” of </w:t>
      </w:r>
      <w:r w:rsidR="00031A07" w:rsidRPr="00C30D62">
        <w:rPr>
          <w:rFonts w:ascii="Book Antiqua" w:hAnsi="Book Antiqua"/>
        </w:rPr>
        <w:t xml:space="preserve">the key actors in producing legal change. </w:t>
      </w:r>
      <w:r w:rsidR="008A3F76" w:rsidRPr="00C30D62">
        <w:rPr>
          <w:rFonts w:ascii="Book Antiqua" w:hAnsi="Book Antiqua"/>
        </w:rPr>
        <w:t>Those who wish to do so must meet a demanding set of criteria:</w:t>
      </w:r>
    </w:p>
    <w:p w14:paraId="701013E9" w14:textId="6C4F2EF5" w:rsidR="008A3F76" w:rsidRPr="00C30D62" w:rsidRDefault="00323118" w:rsidP="00AE716A">
      <w:pPr>
        <w:ind w:left="720"/>
        <w:jc w:val="both"/>
        <w:rPr>
          <w:rFonts w:ascii="Book Antiqua" w:hAnsi="Book Antiqua"/>
        </w:rPr>
      </w:pPr>
      <w:r w:rsidRPr="00C30D62">
        <w:rPr>
          <w:rFonts w:ascii="Book Antiqua" w:hAnsi="Book Antiqua"/>
        </w:rPr>
        <w:t>Such an account is here characterised by the care, thoroughness and objectivity of its enquiry, the quality of its evidence, the accuracy with which it is communicated, and its attention to the self-understanding, for example, of those responsible for bringing about legal change, and the reasoning by which they justified it, whether in legislative innovation, the setting of precedent or the evolution of convention. An orthodox historical account of this kind derives its reliability from its character but is subject to constraints of time, resource and interest. It is difficult to produce, particularly where the available evidence is insubstantial, self-understanding is obscure and the extent of past complexity raises the risk of oversimplification.</w:t>
      </w:r>
    </w:p>
    <w:p w14:paraId="09A316EF" w14:textId="60BBC3FF" w:rsidR="009124B5" w:rsidRPr="00C30D62" w:rsidRDefault="00550303" w:rsidP="00AE716A">
      <w:pPr>
        <w:jc w:val="both"/>
        <w:rPr>
          <w:rFonts w:ascii="Book Antiqua" w:hAnsi="Book Antiqua"/>
        </w:rPr>
      </w:pPr>
      <w:r w:rsidRPr="00C30D62">
        <w:rPr>
          <w:rFonts w:ascii="Book Antiqua" w:hAnsi="Book Antiqua"/>
        </w:rPr>
        <w:t xml:space="preserve">It has become more common, Allison observes, for public lawyers </w:t>
      </w:r>
      <w:r w:rsidR="00B209B1" w:rsidRPr="00C30D62">
        <w:rPr>
          <w:rFonts w:ascii="Book Antiqua" w:hAnsi="Book Antiqua"/>
        </w:rPr>
        <w:t xml:space="preserve">to invoke history in support of </w:t>
      </w:r>
      <w:r w:rsidR="00767ED8" w:rsidRPr="00C30D62">
        <w:rPr>
          <w:rFonts w:ascii="Book Antiqua" w:hAnsi="Book Antiqua"/>
        </w:rPr>
        <w:t>arguments for or against a particular position in contemporary debates about public law</w:t>
      </w:r>
      <w:r w:rsidR="00DB5A40" w:rsidRPr="00C30D62">
        <w:rPr>
          <w:rFonts w:ascii="Book Antiqua" w:hAnsi="Book Antiqua"/>
        </w:rPr>
        <w:t xml:space="preserve">: </w:t>
      </w:r>
      <w:r w:rsidR="00DB5A40" w:rsidRPr="00C30D62">
        <w:rPr>
          <w:rFonts w:ascii="Book Antiqua" w:hAnsi="Book Antiqua"/>
        </w:rPr>
        <w:lastRenderedPageBreak/>
        <w:t xml:space="preserve">“political, social and normative” concerns about particular </w:t>
      </w:r>
      <w:r w:rsidR="008A3F76" w:rsidRPr="00C30D62">
        <w:rPr>
          <w:rFonts w:ascii="Book Antiqua" w:hAnsi="Book Antiqua"/>
        </w:rPr>
        <w:t>issues have prompted resort to history to reform public law “by reshaping its history, and thus our sense of the outcome, in the reconstruction of historic authorities or reappraisal of historical sources”</w:t>
      </w:r>
      <w:r w:rsidR="00767ED8" w:rsidRPr="00C30D62">
        <w:rPr>
          <w:rFonts w:ascii="Book Antiqua" w:hAnsi="Book Antiqua"/>
        </w:rPr>
        <w:t xml:space="preserve">. </w:t>
      </w:r>
      <w:r w:rsidR="005A6F34" w:rsidRPr="00C30D62">
        <w:rPr>
          <w:rFonts w:ascii="Book Antiqua" w:hAnsi="Book Antiqua"/>
        </w:rPr>
        <w:t xml:space="preserve">Done badly, such public law legal history </w:t>
      </w:r>
      <w:r w:rsidR="009124B5" w:rsidRPr="00C30D62">
        <w:rPr>
          <w:rFonts w:ascii="Book Antiqua" w:hAnsi="Book Antiqua"/>
        </w:rPr>
        <w:t xml:space="preserve">leads to accusations that those engaged in it are simply </w:t>
      </w:r>
      <w:r w:rsidR="003A5FB7" w:rsidRPr="00C30D62">
        <w:rPr>
          <w:rFonts w:ascii="Book Antiqua" w:hAnsi="Book Antiqua"/>
        </w:rPr>
        <w:t>cherry-picking</w:t>
      </w:r>
      <w:r w:rsidR="009124B5" w:rsidRPr="00C30D62">
        <w:rPr>
          <w:rFonts w:ascii="Book Antiqua" w:hAnsi="Book Antiqua"/>
        </w:rPr>
        <w:t xml:space="preserve"> sources which seem to support their positions.</w:t>
      </w:r>
    </w:p>
    <w:p w14:paraId="21C3EC15" w14:textId="7CB6A594" w:rsidR="00214733" w:rsidRPr="00C30D62" w:rsidRDefault="009124B5" w:rsidP="00AE716A">
      <w:pPr>
        <w:jc w:val="both"/>
        <w:rPr>
          <w:rFonts w:ascii="Book Antiqua" w:hAnsi="Book Antiqua"/>
        </w:rPr>
      </w:pPr>
      <w:r w:rsidRPr="00C30D62">
        <w:rPr>
          <w:rFonts w:ascii="Book Antiqua" w:hAnsi="Book Antiqua"/>
        </w:rPr>
        <w:t xml:space="preserve">Allison argues for a more robust approach. There are three ways in which resort to legal history can be useful for public lawyers: to </w:t>
      </w:r>
      <w:r w:rsidR="001C1CD5" w:rsidRPr="00C30D62">
        <w:rPr>
          <w:rFonts w:ascii="Book Antiqua" w:hAnsi="Book Antiqua"/>
        </w:rPr>
        <w:t xml:space="preserve">liberate us from the constraints of the past by demonstrating that the basis for the constraints has been eroded; </w:t>
      </w:r>
      <w:r w:rsidR="004037B5" w:rsidRPr="00C30D62">
        <w:rPr>
          <w:rFonts w:ascii="Book Antiqua" w:hAnsi="Book Antiqua"/>
        </w:rPr>
        <w:t xml:space="preserve">to liberate us from the “tyranny of the new” by justifying </w:t>
      </w:r>
      <w:r w:rsidR="00877E1B" w:rsidRPr="00C30D62">
        <w:rPr>
          <w:rFonts w:ascii="Book Antiqua" w:hAnsi="Book Antiqua"/>
        </w:rPr>
        <w:t xml:space="preserve">opposition to novel innovations; and to liberate us from the “hold of tradition, myth and prejudice”. </w:t>
      </w:r>
      <w:r w:rsidR="00020948" w:rsidRPr="00C30D62">
        <w:rPr>
          <w:rFonts w:ascii="Book Antiqua" w:hAnsi="Book Antiqua"/>
        </w:rPr>
        <w:t>These are perfectly valid ways for public lawyers to use history</w:t>
      </w:r>
      <w:r w:rsidR="00F3727B" w:rsidRPr="00C30D62">
        <w:rPr>
          <w:rFonts w:ascii="Book Antiqua" w:hAnsi="Book Antiqua"/>
        </w:rPr>
        <w:t>. B</w:t>
      </w:r>
      <w:r w:rsidR="00020948" w:rsidRPr="00C30D62">
        <w:rPr>
          <w:rFonts w:ascii="Book Antiqua" w:hAnsi="Book Antiqua"/>
        </w:rPr>
        <w:t>ut they come freighted with baggage</w:t>
      </w:r>
      <w:r w:rsidR="00560E2E" w:rsidRPr="00C30D62">
        <w:rPr>
          <w:rFonts w:ascii="Book Antiqua" w:hAnsi="Book Antiqua"/>
        </w:rPr>
        <w:t>. First, the traditional, Whig approach to English legal history</w:t>
      </w:r>
      <w:r w:rsidR="00C20044" w:rsidRPr="00C30D62">
        <w:rPr>
          <w:rFonts w:ascii="Book Antiqua" w:hAnsi="Book Antiqua"/>
        </w:rPr>
        <w:t xml:space="preserve">, which is highly selective, </w:t>
      </w:r>
      <w:r w:rsidR="00171406" w:rsidRPr="00C30D62">
        <w:rPr>
          <w:rFonts w:ascii="Book Antiqua" w:hAnsi="Book Antiqua"/>
        </w:rPr>
        <w:t>purposive and oriented towards the needs and concerns of the present</w:t>
      </w:r>
      <w:r w:rsidR="00560E2E" w:rsidRPr="00C30D62">
        <w:rPr>
          <w:rFonts w:ascii="Book Antiqua" w:hAnsi="Book Antiqua"/>
        </w:rPr>
        <w:t xml:space="preserve">. </w:t>
      </w:r>
      <w:r w:rsidR="00F3727B" w:rsidRPr="00C30D62">
        <w:rPr>
          <w:rFonts w:ascii="Book Antiqua" w:hAnsi="Book Antiqua"/>
        </w:rPr>
        <w:t xml:space="preserve">This is not problematic </w:t>
      </w:r>
      <w:r w:rsidR="00B17E09" w:rsidRPr="00C30D62">
        <w:rPr>
          <w:rFonts w:ascii="Book Antiqua" w:hAnsi="Book Antiqua"/>
          <w:i/>
          <w:iCs/>
        </w:rPr>
        <w:t>per se</w:t>
      </w:r>
      <w:r w:rsidR="00F3727B" w:rsidRPr="00C30D62">
        <w:rPr>
          <w:rFonts w:ascii="Book Antiqua" w:hAnsi="Book Antiqua"/>
        </w:rPr>
        <w:t xml:space="preserve">, as long as the Whig is </w:t>
      </w:r>
      <w:r w:rsidR="009F7355" w:rsidRPr="00C30D62">
        <w:rPr>
          <w:rFonts w:ascii="Book Antiqua" w:hAnsi="Book Antiqua"/>
        </w:rPr>
        <w:t>“</w:t>
      </w:r>
      <w:r w:rsidR="00F3727B" w:rsidRPr="00C30D62">
        <w:rPr>
          <w:rFonts w:ascii="Book Antiqua" w:hAnsi="Book Antiqua"/>
        </w:rPr>
        <w:t>transparent</w:t>
      </w:r>
      <w:r w:rsidR="009F7355" w:rsidRPr="00C30D62">
        <w:rPr>
          <w:rFonts w:ascii="Book Antiqua" w:hAnsi="Book Antiqua"/>
        </w:rPr>
        <w:t>ly reconstructive”</w:t>
      </w:r>
      <w:r w:rsidR="00F3727B" w:rsidRPr="00C30D62">
        <w:rPr>
          <w:rFonts w:ascii="Book Antiqua" w:hAnsi="Book Antiqua"/>
        </w:rPr>
        <w:t xml:space="preserve">, </w:t>
      </w:r>
      <w:r w:rsidR="00652DF2" w:rsidRPr="00C30D62">
        <w:rPr>
          <w:rFonts w:ascii="Book Antiqua" w:hAnsi="Book Antiqua"/>
        </w:rPr>
        <w:t>because then their approach can “readily be assessed”</w:t>
      </w:r>
      <w:r w:rsidR="009F7355" w:rsidRPr="00C30D62">
        <w:rPr>
          <w:rFonts w:ascii="Book Antiqua" w:hAnsi="Book Antiqua"/>
        </w:rPr>
        <w:t xml:space="preserve">. Second, the lawyer’s </w:t>
      </w:r>
      <w:r w:rsidR="00BB681C" w:rsidRPr="00C30D62">
        <w:rPr>
          <w:rFonts w:ascii="Book Antiqua" w:hAnsi="Book Antiqua"/>
        </w:rPr>
        <w:t xml:space="preserve">preoccupation with authority, which </w:t>
      </w:r>
      <w:r w:rsidR="007477F0" w:rsidRPr="00C30D62">
        <w:rPr>
          <w:rFonts w:ascii="Book Antiqua" w:hAnsi="Book Antiqua"/>
        </w:rPr>
        <w:t>leads them to use historical sources “to serve the lawyer’s practical legal purposes”.</w:t>
      </w:r>
      <w:r w:rsidR="0092053C" w:rsidRPr="00C30D62">
        <w:rPr>
          <w:rFonts w:ascii="Book Antiqua" w:hAnsi="Book Antiqua"/>
        </w:rPr>
        <w:t xml:space="preserve"> </w:t>
      </w:r>
      <w:r w:rsidR="00B17E09" w:rsidRPr="00C30D62">
        <w:rPr>
          <w:rFonts w:ascii="Book Antiqua" w:hAnsi="Book Antiqua"/>
        </w:rPr>
        <w:t xml:space="preserve">Again, this is not problematic </w:t>
      </w:r>
      <w:r w:rsidR="00B17E09" w:rsidRPr="00C30D62">
        <w:rPr>
          <w:rFonts w:ascii="Book Antiqua" w:hAnsi="Book Antiqua"/>
          <w:i/>
          <w:iCs/>
        </w:rPr>
        <w:t>per se</w:t>
      </w:r>
      <w:r w:rsidR="001350C1" w:rsidRPr="00C30D62">
        <w:rPr>
          <w:rFonts w:ascii="Book Antiqua" w:hAnsi="Book Antiqua"/>
        </w:rPr>
        <w:t>: there is a law/history divide and, as long as the public lawyer remains on the right side of the line</w:t>
      </w:r>
      <w:r w:rsidR="00E3495F" w:rsidRPr="00C30D62">
        <w:rPr>
          <w:rFonts w:ascii="Book Antiqua" w:hAnsi="Book Antiqua"/>
        </w:rPr>
        <w:t>, resort to historical sources is appropriate on condition that it is transparent</w:t>
      </w:r>
      <w:r w:rsidR="00B17E09" w:rsidRPr="00C30D62">
        <w:rPr>
          <w:rFonts w:ascii="Book Antiqua" w:hAnsi="Book Antiqua"/>
        </w:rPr>
        <w:t>.</w:t>
      </w:r>
      <w:r w:rsidR="00B17E09" w:rsidRPr="00C30D62">
        <w:rPr>
          <w:rFonts w:ascii="Book Antiqua" w:hAnsi="Book Antiqua"/>
          <w:i/>
          <w:iCs/>
        </w:rPr>
        <w:t xml:space="preserve"> </w:t>
      </w:r>
      <w:r w:rsidR="00E3495F" w:rsidRPr="00C30D62">
        <w:rPr>
          <w:rFonts w:ascii="Book Antiqua" w:hAnsi="Book Antiqua"/>
        </w:rPr>
        <w:t>What is inappropriate is to</w:t>
      </w:r>
      <w:r w:rsidR="00F72CEF" w:rsidRPr="00C30D62">
        <w:rPr>
          <w:rFonts w:ascii="Book Antiqua" w:hAnsi="Book Antiqua"/>
        </w:rPr>
        <w:t xml:space="preserve"> reconstruct history</w:t>
      </w:r>
      <w:r w:rsidR="0092053C" w:rsidRPr="00C30D62">
        <w:rPr>
          <w:rFonts w:ascii="Book Antiqua" w:hAnsi="Book Antiqua"/>
        </w:rPr>
        <w:t xml:space="preserve"> to serve practical legal purposes</w:t>
      </w:r>
      <w:r w:rsidR="00B17E09" w:rsidRPr="00C30D62">
        <w:rPr>
          <w:rFonts w:ascii="Book Antiqua" w:hAnsi="Book Antiqua"/>
        </w:rPr>
        <w:t xml:space="preserve"> and </w:t>
      </w:r>
      <w:r w:rsidR="00F72CEF" w:rsidRPr="00C30D62">
        <w:rPr>
          <w:rFonts w:ascii="Book Antiqua" w:hAnsi="Book Antiqua"/>
        </w:rPr>
        <w:t xml:space="preserve">then </w:t>
      </w:r>
      <w:r w:rsidR="00B17E09" w:rsidRPr="00C30D62">
        <w:rPr>
          <w:rFonts w:ascii="Book Antiqua" w:hAnsi="Book Antiqua"/>
        </w:rPr>
        <w:t>present</w:t>
      </w:r>
      <w:r w:rsidR="00F72CEF" w:rsidRPr="00C30D62">
        <w:rPr>
          <w:rFonts w:ascii="Book Antiqua" w:hAnsi="Book Antiqua"/>
        </w:rPr>
        <w:t xml:space="preserve"> the history</w:t>
      </w:r>
      <w:r w:rsidR="00B17E09" w:rsidRPr="00C30D62">
        <w:rPr>
          <w:rFonts w:ascii="Book Antiqua" w:hAnsi="Book Antiqua"/>
        </w:rPr>
        <w:t xml:space="preserve"> as “historically evident”</w:t>
      </w:r>
      <w:r w:rsidR="001350C1" w:rsidRPr="00C30D62">
        <w:rPr>
          <w:rFonts w:ascii="Book Antiqua" w:hAnsi="Book Antiqua"/>
        </w:rPr>
        <w:t>.</w:t>
      </w:r>
      <w:r w:rsidR="00837C5E" w:rsidRPr="00C30D62">
        <w:rPr>
          <w:rFonts w:ascii="Book Antiqua" w:hAnsi="Book Antiqua"/>
        </w:rPr>
        <w:t xml:space="preserve"> Ultimately, Allison argues for deliberative legal history in public law: deliberate in its choice of sources; transparent in its use of those sources; and deliberative </w:t>
      </w:r>
      <w:r w:rsidR="004E3517" w:rsidRPr="00C30D62">
        <w:rPr>
          <w:rFonts w:ascii="Book Antiqua" w:hAnsi="Book Antiqua"/>
        </w:rPr>
        <w:t>in its thorough reflection</w:t>
      </w:r>
      <w:r w:rsidR="007D22D3" w:rsidRPr="00C30D62">
        <w:rPr>
          <w:rFonts w:ascii="Book Antiqua" w:hAnsi="Book Antiqua"/>
        </w:rPr>
        <w:t xml:space="preserve"> on the difficulty of deriving from the past</w:t>
      </w:r>
      <w:r w:rsidR="00A75733" w:rsidRPr="00C30D62">
        <w:rPr>
          <w:rFonts w:ascii="Book Antiqua" w:hAnsi="Book Antiqua"/>
        </w:rPr>
        <w:t xml:space="preserve"> arguments</w:t>
      </w:r>
      <w:r w:rsidR="007D22D3" w:rsidRPr="00C30D62">
        <w:rPr>
          <w:rFonts w:ascii="Book Antiqua" w:hAnsi="Book Antiqua"/>
        </w:rPr>
        <w:t xml:space="preserve"> to support </w:t>
      </w:r>
      <w:r w:rsidR="00A75733" w:rsidRPr="00C30D62">
        <w:rPr>
          <w:rFonts w:ascii="Book Antiqua" w:hAnsi="Book Antiqua"/>
        </w:rPr>
        <w:t>positions developed for the present.</w:t>
      </w:r>
    </w:p>
    <w:p w14:paraId="6346B7F6" w14:textId="1E5AE90D" w:rsidR="00202914" w:rsidRPr="00C30D62" w:rsidRDefault="00214733" w:rsidP="00AE716A">
      <w:pPr>
        <w:jc w:val="both"/>
        <w:rPr>
          <w:rFonts w:ascii="Book Antiqua" w:hAnsi="Book Antiqua"/>
        </w:rPr>
      </w:pPr>
      <w:r w:rsidRPr="00C30D62">
        <w:rPr>
          <w:rFonts w:ascii="Book Antiqua" w:hAnsi="Book Antiqua"/>
        </w:rPr>
        <w:t xml:space="preserve">Interpretation is </w:t>
      </w:r>
      <w:r w:rsidR="005C69E1" w:rsidRPr="00C30D62">
        <w:rPr>
          <w:rFonts w:ascii="Book Antiqua" w:hAnsi="Book Antiqua"/>
        </w:rPr>
        <w:t>an important part of Allison’s approach to legal history.</w:t>
      </w:r>
      <w:r w:rsidR="000D5526" w:rsidRPr="00C30D62">
        <w:rPr>
          <w:rStyle w:val="FootnoteReference"/>
          <w:rFonts w:ascii="Book Antiqua" w:hAnsi="Book Antiqua"/>
        </w:rPr>
        <w:footnoteReference w:id="3"/>
      </w:r>
      <w:r w:rsidR="005C69E1" w:rsidRPr="00C30D62">
        <w:rPr>
          <w:rFonts w:ascii="Book Antiqua" w:hAnsi="Book Antiqua"/>
        </w:rPr>
        <w:t xml:space="preserve"> </w:t>
      </w:r>
      <w:r w:rsidR="000D5526" w:rsidRPr="00C30D62">
        <w:rPr>
          <w:rFonts w:ascii="Book Antiqua" w:hAnsi="Book Antiqua"/>
        </w:rPr>
        <w:t xml:space="preserve">Accordingly, </w:t>
      </w:r>
      <w:r w:rsidR="005C69E1" w:rsidRPr="00C30D62">
        <w:rPr>
          <w:rFonts w:ascii="Book Antiqua" w:hAnsi="Book Antiqua"/>
        </w:rPr>
        <w:t>Farrah Ahmed and Adam Perry’s chapter</w:t>
      </w:r>
      <w:r w:rsidR="000D5526" w:rsidRPr="00C30D62">
        <w:rPr>
          <w:rFonts w:ascii="Book Antiqua" w:hAnsi="Book Antiqua"/>
        </w:rPr>
        <w:t xml:space="preserve">, devoted to interpretation, follows </w:t>
      </w:r>
      <w:r w:rsidR="00CF0064" w:rsidRPr="00C30D62">
        <w:rPr>
          <w:rFonts w:ascii="Book Antiqua" w:hAnsi="Book Antiqua"/>
        </w:rPr>
        <w:t xml:space="preserve">logically from </w:t>
      </w:r>
      <w:r w:rsidR="003A5FB7" w:rsidRPr="00C30D62">
        <w:rPr>
          <w:rFonts w:ascii="Book Antiqua" w:hAnsi="Book Antiqua"/>
        </w:rPr>
        <w:t>it</w:t>
      </w:r>
      <w:r w:rsidR="00CF0064" w:rsidRPr="00C30D62">
        <w:rPr>
          <w:rFonts w:ascii="Book Antiqua" w:hAnsi="Book Antiqua"/>
        </w:rPr>
        <w:t>.</w:t>
      </w:r>
      <w:r w:rsidR="001604DF" w:rsidRPr="00C30D62">
        <w:rPr>
          <w:rFonts w:ascii="Book Antiqua" w:hAnsi="Book Antiqua"/>
        </w:rPr>
        <w:t xml:space="preserve"> Just as </w:t>
      </w:r>
      <w:r w:rsidR="003C0FB1" w:rsidRPr="00C30D62">
        <w:rPr>
          <w:rFonts w:ascii="Book Antiqua" w:hAnsi="Book Antiqua"/>
        </w:rPr>
        <w:t xml:space="preserve">the public lawyer doing legal history aims to achieve a rational reconstruction of the law, so too does a public lawyer using interpretive methodology </w:t>
      </w:r>
      <w:r w:rsidR="005856F5" w:rsidRPr="00C30D62">
        <w:rPr>
          <w:rFonts w:ascii="Book Antiqua" w:hAnsi="Book Antiqua"/>
        </w:rPr>
        <w:t xml:space="preserve">aim “at a rational reconstruction of the law”. </w:t>
      </w:r>
      <w:r w:rsidR="00202914" w:rsidRPr="00C30D62">
        <w:rPr>
          <w:rFonts w:ascii="Book Antiqua" w:hAnsi="Book Antiqua"/>
        </w:rPr>
        <w:t>The first step is to identify the relevant legal materials</w:t>
      </w:r>
      <w:r w:rsidR="005772EA" w:rsidRPr="00C30D62">
        <w:rPr>
          <w:rFonts w:ascii="Book Antiqua" w:hAnsi="Book Antiqua"/>
        </w:rPr>
        <w:t xml:space="preserve">, which are “pre-theoretically thought to belong together”. This </w:t>
      </w:r>
      <w:r w:rsidR="00A20A1B" w:rsidRPr="00C30D62">
        <w:rPr>
          <w:rFonts w:ascii="Book Antiqua" w:hAnsi="Book Antiqua"/>
        </w:rPr>
        <w:t>is a pre-interpretive stage, at which the interpreter relies on intuition and shared understandings about legal categories to identify the relevant legal materials.</w:t>
      </w:r>
      <w:r w:rsidR="00A20A1B" w:rsidRPr="00C30D62">
        <w:rPr>
          <w:rStyle w:val="FootnoteReference"/>
          <w:rFonts w:ascii="Book Antiqua" w:hAnsi="Book Antiqua"/>
        </w:rPr>
        <w:footnoteReference w:id="4"/>
      </w:r>
      <w:r w:rsidR="00A20A1B" w:rsidRPr="00C30D62">
        <w:rPr>
          <w:rFonts w:ascii="Book Antiqua" w:hAnsi="Book Antiqua"/>
        </w:rPr>
        <w:t xml:space="preserve"> Next, the interpreter posits a principle or set of principles </w:t>
      </w:r>
      <w:r w:rsidR="00A22738" w:rsidRPr="00C30D62">
        <w:rPr>
          <w:rFonts w:ascii="Book Antiqua" w:hAnsi="Book Antiqua"/>
        </w:rPr>
        <w:t xml:space="preserve">which relates factors in the materials to legal consequences. </w:t>
      </w:r>
      <w:r w:rsidR="00EC7EBC" w:rsidRPr="00C30D62">
        <w:rPr>
          <w:rFonts w:ascii="Book Antiqua" w:hAnsi="Book Antiqua"/>
        </w:rPr>
        <w:t xml:space="preserve">This is commonly described as the dimension of </w:t>
      </w:r>
      <w:r w:rsidR="003A5FB7" w:rsidRPr="00C30D62">
        <w:rPr>
          <w:rFonts w:ascii="Book Antiqua" w:hAnsi="Book Antiqua"/>
        </w:rPr>
        <w:t>‘</w:t>
      </w:r>
      <w:r w:rsidR="00EC7EBC" w:rsidRPr="00C30D62">
        <w:rPr>
          <w:rFonts w:ascii="Book Antiqua" w:hAnsi="Book Antiqua"/>
        </w:rPr>
        <w:t>fit</w:t>
      </w:r>
      <w:r w:rsidR="003A5FB7" w:rsidRPr="00C30D62">
        <w:rPr>
          <w:rFonts w:ascii="Book Antiqua" w:hAnsi="Book Antiqua"/>
        </w:rPr>
        <w:t>’</w:t>
      </w:r>
      <w:r w:rsidR="00EC7EBC" w:rsidRPr="00C30D62">
        <w:rPr>
          <w:rFonts w:ascii="Book Antiqua" w:hAnsi="Book Antiqua"/>
        </w:rPr>
        <w:t xml:space="preserve">. But what if more than one principle or set of principles ‘fits’ the materials? Then the interpreter </w:t>
      </w:r>
      <w:r w:rsidR="004B3F40" w:rsidRPr="00C30D62">
        <w:rPr>
          <w:rFonts w:ascii="Book Antiqua" w:hAnsi="Book Antiqua"/>
        </w:rPr>
        <w:t xml:space="preserve">“must decide which is most morally correct or sound” – the dimension of </w:t>
      </w:r>
      <w:r w:rsidR="003A5FB7" w:rsidRPr="00C30D62">
        <w:rPr>
          <w:rFonts w:ascii="Book Antiqua" w:hAnsi="Book Antiqua"/>
        </w:rPr>
        <w:t>‘</w:t>
      </w:r>
      <w:r w:rsidR="004B3F40" w:rsidRPr="00C30D62">
        <w:rPr>
          <w:rFonts w:ascii="Book Antiqua" w:hAnsi="Book Antiqua"/>
        </w:rPr>
        <w:t>justification</w:t>
      </w:r>
      <w:r w:rsidR="003A5FB7" w:rsidRPr="00C30D62">
        <w:rPr>
          <w:rFonts w:ascii="Book Antiqua" w:hAnsi="Book Antiqua"/>
        </w:rPr>
        <w:t>’</w:t>
      </w:r>
      <w:r w:rsidR="004B3F40" w:rsidRPr="00C30D62">
        <w:rPr>
          <w:rFonts w:ascii="Book Antiqua" w:hAnsi="Book Antiqua"/>
        </w:rPr>
        <w:t>.</w:t>
      </w:r>
      <w:r w:rsidR="00E718BA" w:rsidRPr="00C30D62">
        <w:rPr>
          <w:rFonts w:ascii="Book Antiqua" w:hAnsi="Book Antiqua"/>
        </w:rPr>
        <w:t xml:space="preserve"> Where fit and justification diverge, it is necessary to choose which to privilege: some prefer fit, some justification</w:t>
      </w:r>
      <w:r w:rsidR="003A5FB7" w:rsidRPr="00C30D62">
        <w:rPr>
          <w:rFonts w:ascii="Book Antiqua" w:hAnsi="Book Antiqua"/>
        </w:rPr>
        <w:t>,</w:t>
      </w:r>
      <w:r w:rsidR="00E718BA" w:rsidRPr="00C30D62">
        <w:rPr>
          <w:rFonts w:ascii="Book Antiqua" w:hAnsi="Book Antiqua"/>
        </w:rPr>
        <w:t xml:space="preserve"> and still others prefer to “engage in reflective equilibrium between the existing case law and morally ideal law, settling on a rationale which both fits and justifies the law to some extent”. </w:t>
      </w:r>
    </w:p>
    <w:p w14:paraId="670B2A2F" w14:textId="399BA53E" w:rsidR="0071357E" w:rsidRPr="00C30D62" w:rsidRDefault="005856F5" w:rsidP="00AE716A">
      <w:pPr>
        <w:jc w:val="both"/>
        <w:rPr>
          <w:rFonts w:ascii="Book Antiqua" w:hAnsi="Book Antiqua"/>
        </w:rPr>
      </w:pPr>
      <w:r w:rsidRPr="00C30D62">
        <w:rPr>
          <w:rFonts w:ascii="Book Antiqua" w:hAnsi="Book Antiqua"/>
        </w:rPr>
        <w:lastRenderedPageBreak/>
        <w:t xml:space="preserve">This exercise in reconstruction </w:t>
      </w:r>
      <w:r w:rsidR="00114EF7" w:rsidRPr="00C30D62">
        <w:rPr>
          <w:rFonts w:ascii="Book Antiqua" w:hAnsi="Book Antiqua"/>
        </w:rPr>
        <w:t xml:space="preserve">does not involve establishing </w:t>
      </w:r>
      <w:r w:rsidR="000425B6" w:rsidRPr="00C30D62">
        <w:rPr>
          <w:rFonts w:ascii="Book Antiqua" w:hAnsi="Book Antiqua"/>
        </w:rPr>
        <w:t xml:space="preserve">causal </w:t>
      </w:r>
      <w:r w:rsidR="00114EF7" w:rsidRPr="00C30D62">
        <w:rPr>
          <w:rFonts w:ascii="Book Antiqua" w:hAnsi="Book Antiqua"/>
        </w:rPr>
        <w:t xml:space="preserve">relationships, </w:t>
      </w:r>
      <w:r w:rsidR="000425B6" w:rsidRPr="00C30D62">
        <w:rPr>
          <w:rFonts w:ascii="Book Antiqua" w:hAnsi="Book Antiqua"/>
        </w:rPr>
        <w:t xml:space="preserve">nor </w:t>
      </w:r>
      <w:r w:rsidR="00114EF7" w:rsidRPr="00C30D62">
        <w:rPr>
          <w:rFonts w:ascii="Book Antiqua" w:hAnsi="Book Antiqua"/>
        </w:rPr>
        <w:t xml:space="preserve">is it </w:t>
      </w:r>
      <w:r w:rsidR="000425B6" w:rsidRPr="00C30D62">
        <w:rPr>
          <w:rFonts w:ascii="Book Antiqua" w:hAnsi="Book Antiqua"/>
        </w:rPr>
        <w:t xml:space="preserve">evaluative. It does not seek, as descriptive or </w:t>
      </w:r>
      <w:r w:rsidR="00114EF7" w:rsidRPr="00C30D62">
        <w:rPr>
          <w:rFonts w:ascii="Book Antiqua" w:hAnsi="Book Antiqua"/>
        </w:rPr>
        <w:t xml:space="preserve">orthodox </w:t>
      </w:r>
      <w:r w:rsidR="000425B6" w:rsidRPr="00C30D62">
        <w:rPr>
          <w:rFonts w:ascii="Book Antiqua" w:hAnsi="Book Antiqua"/>
        </w:rPr>
        <w:t xml:space="preserve">historical work does, to </w:t>
      </w:r>
      <w:r w:rsidR="006B0BC1" w:rsidRPr="00C30D62">
        <w:rPr>
          <w:rFonts w:ascii="Book Antiqua" w:hAnsi="Book Antiqua"/>
        </w:rPr>
        <w:t xml:space="preserve">demonstrate a causal relationship between principles </w:t>
      </w:r>
      <w:r w:rsidR="00594436" w:rsidRPr="00C30D62">
        <w:rPr>
          <w:rFonts w:ascii="Book Antiqua" w:hAnsi="Book Antiqua"/>
        </w:rPr>
        <w:t xml:space="preserve">or a set of principles and the legal rules used in particular cases. </w:t>
      </w:r>
      <w:r w:rsidR="006868EA" w:rsidRPr="00C30D62">
        <w:rPr>
          <w:rFonts w:ascii="Book Antiqua" w:hAnsi="Book Antiqua"/>
        </w:rPr>
        <w:t xml:space="preserve">Nor does it seek to evaluate legal rules by reference to a benchmark developed </w:t>
      </w:r>
      <w:r w:rsidR="005F6EC1" w:rsidRPr="00C30D62">
        <w:rPr>
          <w:rFonts w:ascii="Book Antiqua" w:hAnsi="Book Antiqua"/>
        </w:rPr>
        <w:t xml:space="preserve">independently of an analysis of the relevant legal materials. </w:t>
      </w:r>
      <w:r w:rsidR="00E4290B" w:rsidRPr="00C30D62">
        <w:rPr>
          <w:rFonts w:ascii="Book Antiqua" w:hAnsi="Book Antiqua"/>
        </w:rPr>
        <w:t>Moreover, a</w:t>
      </w:r>
      <w:r w:rsidR="0071357E" w:rsidRPr="00C30D62">
        <w:rPr>
          <w:rFonts w:ascii="Book Antiqua" w:hAnsi="Book Antiqua"/>
        </w:rPr>
        <w:t>n interpreter does not identify the law either, for ultimately that power resides in the hands of the judge (or other authoritative law-maker)</w:t>
      </w:r>
      <w:r w:rsidR="003A5FB7" w:rsidRPr="00C30D62">
        <w:rPr>
          <w:rFonts w:ascii="Book Antiqua" w:hAnsi="Book Antiqua"/>
        </w:rPr>
        <w:t xml:space="preserve">. </w:t>
      </w:r>
      <w:r w:rsidR="0071357E" w:rsidRPr="00C30D62">
        <w:rPr>
          <w:rFonts w:ascii="Book Antiqua" w:hAnsi="Book Antiqua"/>
        </w:rPr>
        <w:t xml:space="preserve">What </w:t>
      </w:r>
      <w:r w:rsidR="0071357E" w:rsidRPr="00C30D62">
        <w:rPr>
          <w:rFonts w:ascii="Book Antiqua" w:hAnsi="Book Antiqua"/>
          <w:i/>
          <w:iCs/>
        </w:rPr>
        <w:t xml:space="preserve">do </w:t>
      </w:r>
      <w:r w:rsidR="0071357E" w:rsidRPr="00C30D62">
        <w:rPr>
          <w:rFonts w:ascii="Book Antiqua" w:hAnsi="Book Antiqua"/>
        </w:rPr>
        <w:t>interpreters do, then? For Ahmed and Perry</w:t>
      </w:r>
      <w:r w:rsidR="00AA2158" w:rsidRPr="00C30D62">
        <w:rPr>
          <w:rFonts w:ascii="Book Antiqua" w:hAnsi="Book Antiqua"/>
        </w:rPr>
        <w:t xml:space="preserve">, an interpreter provides, first, a “prediction” as to how the law will develop: judges should be mindful of fit and justification and, as such, have a duty to develop the law in a way which is consistent with a rational reconstruction of the law. The interpreter also provides, second, </w:t>
      </w:r>
      <w:r w:rsidR="005518CF" w:rsidRPr="00C30D62">
        <w:rPr>
          <w:rFonts w:ascii="Book Antiqua" w:hAnsi="Book Antiqua"/>
        </w:rPr>
        <w:t>“prescriptions” about how the law should be developed: “</w:t>
      </w:r>
      <w:r w:rsidR="003A5FB7" w:rsidRPr="00C30D62">
        <w:rPr>
          <w:rFonts w:ascii="Book Antiqua" w:hAnsi="Book Antiqua"/>
        </w:rPr>
        <w:t>[t]</w:t>
      </w:r>
      <w:r w:rsidR="005518CF" w:rsidRPr="00C30D62">
        <w:rPr>
          <w:rFonts w:ascii="Book Antiqua" w:hAnsi="Book Antiqua"/>
        </w:rPr>
        <w:t xml:space="preserve">he theorist stands in the judge’s shoes and suggests the way in which he or she can fulfil his or her duty </w:t>
      </w:r>
      <w:r w:rsidR="005518CF" w:rsidRPr="00C30D62">
        <w:rPr>
          <w:rFonts w:ascii="Book Antiqua" w:hAnsi="Book Antiqua"/>
          <w:i/>
          <w:iCs/>
        </w:rPr>
        <w:t>qua</w:t>
      </w:r>
      <w:r w:rsidR="005518CF" w:rsidRPr="00C30D62">
        <w:rPr>
          <w:rFonts w:ascii="Book Antiqua" w:hAnsi="Book Antiqua"/>
        </w:rPr>
        <w:t xml:space="preserve"> judge”.</w:t>
      </w:r>
      <w:r w:rsidR="00CC5E95" w:rsidRPr="00C30D62">
        <w:rPr>
          <w:rFonts w:ascii="Book Antiqua" w:hAnsi="Book Antiqua"/>
        </w:rPr>
        <w:t xml:space="preserve"> Through consideration of three interpretive approaches – Colin Campbell on monopoly power; Christopher Forsyth on the void/voidable distinction; and Yoav Dotan on policies – Ahmed and Perry </w:t>
      </w:r>
      <w:r w:rsidR="00F469CF" w:rsidRPr="00C30D62">
        <w:rPr>
          <w:rFonts w:ascii="Book Antiqua" w:hAnsi="Book Antiqua"/>
        </w:rPr>
        <w:t>describe how an interpretive approach works and how fruitful it can be when done well.</w:t>
      </w:r>
    </w:p>
    <w:p w14:paraId="2BA0BC55" w14:textId="0901F013" w:rsidR="00323118" w:rsidRPr="00C30D62" w:rsidRDefault="00B84BFD" w:rsidP="00AE716A">
      <w:pPr>
        <w:jc w:val="both"/>
        <w:rPr>
          <w:rFonts w:ascii="Book Antiqua" w:hAnsi="Book Antiqua"/>
        </w:rPr>
      </w:pPr>
      <w:r w:rsidRPr="00C30D62">
        <w:rPr>
          <w:rFonts w:ascii="Book Antiqua" w:hAnsi="Book Antiqua"/>
        </w:rPr>
        <w:t xml:space="preserve">Jason Varuhas picks up the interpretation thread too in his chapter on doctrinal methods, as he sees interpretivism as the highest form of doctrinal scholarship. </w:t>
      </w:r>
      <w:r w:rsidR="00120217" w:rsidRPr="00C30D62">
        <w:rPr>
          <w:rFonts w:ascii="Book Antiqua" w:hAnsi="Book Antiqua"/>
        </w:rPr>
        <w:t xml:space="preserve">Varuhas distinguishes four forms of doctrinal </w:t>
      </w:r>
      <w:r w:rsidR="00916D79" w:rsidRPr="00C30D62">
        <w:rPr>
          <w:rFonts w:ascii="Book Antiqua" w:hAnsi="Book Antiqua"/>
        </w:rPr>
        <w:t>scholarship: description; derivation; systematization; and interpretativism.</w:t>
      </w:r>
      <w:r w:rsidR="00855680" w:rsidRPr="00C30D62">
        <w:rPr>
          <w:rFonts w:ascii="Book Antiqua" w:hAnsi="Book Antiqua"/>
        </w:rPr>
        <w:t xml:space="preserve"> Regardless of the particular form engaged in, </w:t>
      </w:r>
      <w:r w:rsidR="009E486A" w:rsidRPr="00C30D62">
        <w:rPr>
          <w:rFonts w:ascii="Book Antiqua" w:hAnsi="Book Antiqua"/>
        </w:rPr>
        <w:t xml:space="preserve">the scholar must adopt an “internal” point of view, </w:t>
      </w:r>
      <w:r w:rsidR="006F17F3" w:rsidRPr="00C30D62">
        <w:rPr>
          <w:rFonts w:ascii="Book Antiqua" w:hAnsi="Book Antiqua"/>
        </w:rPr>
        <w:t>“seeking to understand the law on its own terms, in the way that participants in the practice of law, such as lawyers and practitioners, understand it”</w:t>
      </w:r>
      <w:r w:rsidR="00594749" w:rsidRPr="00C30D62">
        <w:rPr>
          <w:rFonts w:ascii="Book Antiqua" w:hAnsi="Book Antiqua"/>
        </w:rPr>
        <w:t xml:space="preserve"> and to bring “order” to what may appear as “chaos”.</w:t>
      </w:r>
      <w:r w:rsidR="00617BE4" w:rsidRPr="00C30D62">
        <w:rPr>
          <w:rFonts w:ascii="Book Antiqua" w:hAnsi="Book Antiqua"/>
        </w:rPr>
        <w:t xml:space="preserve"> As a consequence, doctrinal scholarship</w:t>
      </w:r>
      <w:r w:rsidR="00594749" w:rsidRPr="00C30D62">
        <w:rPr>
          <w:rFonts w:ascii="Book Antiqua" w:hAnsi="Book Antiqua"/>
        </w:rPr>
        <w:t xml:space="preserve"> in all its forms</w:t>
      </w:r>
      <w:r w:rsidR="00617BE4" w:rsidRPr="00C30D62">
        <w:rPr>
          <w:rFonts w:ascii="Book Antiqua" w:hAnsi="Book Antiqua"/>
        </w:rPr>
        <w:t xml:space="preserve"> is committed to the</w:t>
      </w:r>
      <w:r w:rsidR="00594749" w:rsidRPr="00C30D62">
        <w:rPr>
          <w:rFonts w:ascii="Book Antiqua" w:hAnsi="Book Antiqua"/>
        </w:rPr>
        <w:t xml:space="preserve"> dual</w:t>
      </w:r>
      <w:r w:rsidR="00617BE4" w:rsidRPr="00C30D62">
        <w:rPr>
          <w:rFonts w:ascii="Book Antiqua" w:hAnsi="Book Antiqua"/>
        </w:rPr>
        <w:t xml:space="preserve"> proposition</w:t>
      </w:r>
      <w:r w:rsidR="00594749" w:rsidRPr="00C30D62">
        <w:rPr>
          <w:rFonts w:ascii="Book Antiqua" w:hAnsi="Book Antiqua"/>
        </w:rPr>
        <w:t>s</w:t>
      </w:r>
      <w:r w:rsidR="00617BE4" w:rsidRPr="00C30D62">
        <w:rPr>
          <w:rFonts w:ascii="Book Antiqua" w:hAnsi="Book Antiqua"/>
        </w:rPr>
        <w:t xml:space="preserve"> that the law is continuous over time and that it is rational (propositions with which more critical observers might disagree). </w:t>
      </w:r>
    </w:p>
    <w:p w14:paraId="2A63B0FE" w14:textId="3050B719" w:rsidR="00C16742" w:rsidRPr="00C30D62" w:rsidRDefault="00C16742" w:rsidP="00AE716A">
      <w:pPr>
        <w:jc w:val="both"/>
        <w:rPr>
          <w:rFonts w:ascii="Book Antiqua" w:hAnsi="Book Antiqua"/>
        </w:rPr>
      </w:pPr>
      <w:r w:rsidRPr="00C30D62">
        <w:rPr>
          <w:rFonts w:ascii="Book Antiqua" w:hAnsi="Book Antiqua"/>
        </w:rPr>
        <w:t>Description is</w:t>
      </w:r>
      <w:r w:rsidR="003A5FB7" w:rsidRPr="00C30D62">
        <w:rPr>
          <w:rFonts w:ascii="Book Antiqua" w:hAnsi="Book Antiqua"/>
        </w:rPr>
        <w:t xml:space="preserve"> suggested to be</w:t>
      </w:r>
      <w:r w:rsidRPr="00C30D62">
        <w:rPr>
          <w:rFonts w:ascii="Book Antiqua" w:hAnsi="Book Antiqua"/>
        </w:rPr>
        <w:t xml:space="preserve"> the least scholarly of </w:t>
      </w:r>
      <w:r w:rsidR="00C422D5" w:rsidRPr="00C30D62">
        <w:rPr>
          <w:rFonts w:ascii="Book Antiqua" w:hAnsi="Book Antiqua"/>
        </w:rPr>
        <w:t>doctrinal approaches. Involving the production of case bulletins or other information about decided cases, recent statutes and so on, it merely involves providing an account of what has happened.</w:t>
      </w:r>
    </w:p>
    <w:p w14:paraId="0C1AD216" w14:textId="3C25115F" w:rsidR="00961939" w:rsidRPr="00C30D62" w:rsidRDefault="00961939" w:rsidP="00AE716A">
      <w:pPr>
        <w:jc w:val="both"/>
        <w:rPr>
          <w:rFonts w:ascii="Book Antiqua" w:hAnsi="Book Antiqua"/>
        </w:rPr>
      </w:pPr>
      <w:r w:rsidRPr="00C30D62">
        <w:rPr>
          <w:rFonts w:ascii="Book Antiqua" w:hAnsi="Book Antiqua"/>
        </w:rPr>
        <w:t xml:space="preserve">Derivation </w:t>
      </w:r>
      <w:r w:rsidR="000B5729" w:rsidRPr="00C30D62">
        <w:rPr>
          <w:rFonts w:ascii="Book Antiqua" w:hAnsi="Book Antiqua"/>
        </w:rPr>
        <w:t xml:space="preserve">is a refined version of analogical reasoning. </w:t>
      </w:r>
      <w:r w:rsidR="00F2205C" w:rsidRPr="00C30D62">
        <w:rPr>
          <w:rFonts w:ascii="Book Antiqua" w:hAnsi="Book Antiqua"/>
        </w:rPr>
        <w:t>Factual analogical reasoning is capable of creating streams of cases which are materially similar but it is not capable of revealing the normative basis for a judge deciding a case one way rather than another. This is where derivation comes in</w:t>
      </w:r>
      <w:r w:rsidR="00404E13" w:rsidRPr="00C30D62">
        <w:rPr>
          <w:rFonts w:ascii="Book Antiqua" w:hAnsi="Book Antiqua"/>
        </w:rPr>
        <w:t>: it involves the “identification of legal propositions from legal materials”</w:t>
      </w:r>
      <w:r w:rsidR="00E6159E" w:rsidRPr="00C30D62">
        <w:rPr>
          <w:rFonts w:ascii="Book Antiqua" w:hAnsi="Book Antiqua"/>
        </w:rPr>
        <w:t>; this can be inductively, from individual decisions or streams of decisions</w:t>
      </w:r>
      <w:r w:rsidR="00574B0A" w:rsidRPr="00C30D62">
        <w:rPr>
          <w:rFonts w:ascii="Book Antiqua" w:hAnsi="Book Antiqua"/>
        </w:rPr>
        <w:t xml:space="preserve"> and give “shape and structure” to a previously “formless mass” of legal materials.</w:t>
      </w:r>
      <w:r w:rsidR="00A22DCC" w:rsidRPr="00C30D62">
        <w:rPr>
          <w:rFonts w:ascii="Book Antiqua" w:hAnsi="Book Antiqua"/>
        </w:rPr>
        <w:t xml:space="preserve"> The limits of derivation lie in the </w:t>
      </w:r>
      <w:r w:rsidR="0049569E" w:rsidRPr="00C30D62">
        <w:rPr>
          <w:rFonts w:ascii="Book Antiqua" w:hAnsi="Book Antiqua"/>
        </w:rPr>
        <w:t xml:space="preserve">fact that </w:t>
      </w:r>
      <w:r w:rsidR="00197929" w:rsidRPr="00C30D62">
        <w:rPr>
          <w:rFonts w:ascii="Book Antiqua" w:hAnsi="Book Antiqua"/>
        </w:rPr>
        <w:t>the semantic content of legal propositions is often debatable</w:t>
      </w:r>
      <w:r w:rsidR="001A02F7" w:rsidRPr="00C30D62">
        <w:rPr>
          <w:rFonts w:ascii="Book Antiqua" w:hAnsi="Book Antiqua"/>
        </w:rPr>
        <w:t xml:space="preserve">, with judges and lawyers endlessly disagreeing about the precise way to formulate a </w:t>
      </w:r>
      <w:r w:rsidR="000D70D4" w:rsidRPr="00C30D62">
        <w:rPr>
          <w:rFonts w:ascii="Book Antiqua" w:hAnsi="Book Antiqua"/>
        </w:rPr>
        <w:t>given</w:t>
      </w:r>
      <w:r w:rsidR="001A02F7" w:rsidRPr="00C30D62">
        <w:rPr>
          <w:rFonts w:ascii="Book Antiqua" w:hAnsi="Book Antiqua"/>
        </w:rPr>
        <w:t xml:space="preserve"> proposition.</w:t>
      </w:r>
      <w:r w:rsidR="00516CA8" w:rsidRPr="00C30D62">
        <w:rPr>
          <w:rFonts w:ascii="Book Antiqua" w:hAnsi="Book Antiqua"/>
        </w:rPr>
        <w:t xml:space="preserve"> One way, Varuhas suggests, to </w:t>
      </w:r>
      <w:r w:rsidR="000D70D4" w:rsidRPr="00C30D62">
        <w:rPr>
          <w:rFonts w:ascii="Book Antiqua" w:hAnsi="Book Antiqua"/>
        </w:rPr>
        <w:t>support a particular formulation is to demonstrate that it coheres within a system of related principles</w:t>
      </w:r>
      <w:r w:rsidR="00CE6C99" w:rsidRPr="00C30D62">
        <w:rPr>
          <w:rFonts w:ascii="Book Antiqua" w:hAnsi="Book Antiqua"/>
        </w:rPr>
        <w:t xml:space="preserve"> – this is the essence of systematization.</w:t>
      </w:r>
    </w:p>
    <w:p w14:paraId="4DFF4306" w14:textId="1666F10D" w:rsidR="000D70D4" w:rsidRPr="00C30D62" w:rsidRDefault="000D70D4" w:rsidP="00AE716A">
      <w:pPr>
        <w:jc w:val="both"/>
        <w:rPr>
          <w:rFonts w:ascii="Book Antiqua" w:hAnsi="Book Antiqua"/>
        </w:rPr>
      </w:pPr>
      <w:r w:rsidRPr="00C30D62">
        <w:rPr>
          <w:rFonts w:ascii="Book Antiqua" w:hAnsi="Book Antiqua"/>
        </w:rPr>
        <w:t xml:space="preserve">Systematization </w:t>
      </w:r>
      <w:r w:rsidR="00CD05DD" w:rsidRPr="00C30D62">
        <w:rPr>
          <w:rFonts w:ascii="Book Antiqua" w:hAnsi="Book Antiqua"/>
        </w:rPr>
        <w:t>is based on “the idea that legal propositions do not exist in isolation but form part of a broader network of interconnected norms”. The “paradigm” example is the legal treatise</w:t>
      </w:r>
      <w:r w:rsidR="00BD1C11" w:rsidRPr="00C30D62">
        <w:rPr>
          <w:rFonts w:ascii="Book Antiqua" w:hAnsi="Book Antiqua"/>
        </w:rPr>
        <w:t>, the authors of which conceptualize each derived legal proposition as part of a “</w:t>
      </w:r>
      <w:r w:rsidR="00D00596" w:rsidRPr="00C30D62">
        <w:rPr>
          <w:rFonts w:ascii="Book Antiqua" w:hAnsi="Book Antiqua"/>
        </w:rPr>
        <w:t>larger</w:t>
      </w:r>
      <w:r w:rsidR="00BD1C11" w:rsidRPr="00C30D62">
        <w:rPr>
          <w:rFonts w:ascii="Book Antiqua" w:hAnsi="Book Antiqua"/>
        </w:rPr>
        <w:t xml:space="preserve"> whole”. </w:t>
      </w:r>
      <w:r w:rsidR="00D00596" w:rsidRPr="00C30D62">
        <w:rPr>
          <w:rFonts w:ascii="Book Antiqua" w:hAnsi="Book Antiqua"/>
        </w:rPr>
        <w:t xml:space="preserve">These propositions are grouped horizontally, by their similarity to other propositions, and vertically, by their hierarchical relationship to other propositions. </w:t>
      </w:r>
      <w:r w:rsidR="00D047C1" w:rsidRPr="00C30D62">
        <w:rPr>
          <w:rFonts w:ascii="Book Antiqua" w:hAnsi="Book Antiqua"/>
        </w:rPr>
        <w:t xml:space="preserve">In this way a “map” of the law is presented. Whether this map represents reality is, ultimately, a question for members of the </w:t>
      </w:r>
      <w:r w:rsidR="00D047C1" w:rsidRPr="00C30D62">
        <w:rPr>
          <w:rFonts w:ascii="Book Antiqua" w:hAnsi="Book Antiqua"/>
        </w:rPr>
        <w:lastRenderedPageBreak/>
        <w:t>legal profession, who form an interpretive community</w:t>
      </w:r>
      <w:r w:rsidR="00D047C1" w:rsidRPr="00C30D62">
        <w:rPr>
          <w:rStyle w:val="FootnoteReference"/>
          <w:rFonts w:ascii="Book Antiqua" w:hAnsi="Book Antiqua"/>
        </w:rPr>
        <w:footnoteReference w:id="5"/>
      </w:r>
      <w:r w:rsidR="000335E0" w:rsidRPr="00C30D62">
        <w:rPr>
          <w:rFonts w:ascii="Book Antiqua" w:hAnsi="Book Antiqua"/>
        </w:rPr>
        <w:t xml:space="preserve"> charged with deciding what is plausible and what is not.</w:t>
      </w:r>
      <w:r w:rsidR="000606EF" w:rsidRPr="00C30D62">
        <w:rPr>
          <w:rFonts w:ascii="Book Antiqua" w:hAnsi="Book Antiqua"/>
        </w:rPr>
        <w:t xml:space="preserve"> Systematization can render the law coherent and accessible – what it cannot do, however, is provide a convincing normative basis for the law. This is where interpretivism comes in.</w:t>
      </w:r>
    </w:p>
    <w:p w14:paraId="063A2C3C" w14:textId="40B6DD0E" w:rsidR="000606EF" w:rsidRPr="00C30D62" w:rsidRDefault="000606EF" w:rsidP="00AE716A">
      <w:pPr>
        <w:jc w:val="both"/>
        <w:rPr>
          <w:rFonts w:ascii="Book Antiqua" w:hAnsi="Book Antiqua"/>
        </w:rPr>
      </w:pPr>
      <w:r w:rsidRPr="00C30D62">
        <w:rPr>
          <w:rFonts w:ascii="Book Antiqua" w:hAnsi="Book Antiqua"/>
        </w:rPr>
        <w:t xml:space="preserve">Interpretivism involves, as Ahmed and Perry described in the previous chapter, the rational reconstruction of the </w:t>
      </w:r>
      <w:r w:rsidR="00B646ED" w:rsidRPr="00C30D62">
        <w:rPr>
          <w:rFonts w:ascii="Book Antiqua" w:hAnsi="Book Antiqua"/>
        </w:rPr>
        <w:t>relevant legal materials (relevancy here being determined by the members of the interpretive community)</w:t>
      </w:r>
      <w:r w:rsidRPr="00C30D62">
        <w:rPr>
          <w:rFonts w:ascii="Book Antiqua" w:hAnsi="Book Antiqua"/>
        </w:rPr>
        <w:t>.</w:t>
      </w:r>
      <w:r w:rsidR="00811BE2" w:rsidRPr="00C30D62">
        <w:rPr>
          <w:rFonts w:ascii="Book Antiqua" w:hAnsi="Book Antiqua"/>
        </w:rPr>
        <w:t xml:space="preserve"> For Varuhas, it is the “highest form” of doctrinal scholarship, seeking to provide a </w:t>
      </w:r>
      <w:r w:rsidR="002D0001" w:rsidRPr="00C30D62">
        <w:rPr>
          <w:rFonts w:ascii="Book Antiqua" w:hAnsi="Book Antiqua"/>
        </w:rPr>
        <w:t>“worked-out explanatory theory of propositions or fields”.</w:t>
      </w:r>
      <w:r w:rsidR="001C7F89" w:rsidRPr="00C30D62">
        <w:rPr>
          <w:rFonts w:ascii="Book Antiqua" w:hAnsi="Book Antiqua"/>
        </w:rPr>
        <w:t xml:space="preserve"> Reflection is a key part of the interpretive process as it “involves explicit interrogation of the normative justification for particular propositions or fields, and refinement of one’s account of those propositions or fields by reference to that justification”. </w:t>
      </w:r>
      <w:r w:rsidR="002C4236" w:rsidRPr="00C30D62">
        <w:rPr>
          <w:rFonts w:ascii="Book Antiqua" w:hAnsi="Book Antiqua"/>
        </w:rPr>
        <w:t xml:space="preserve">This is the key difference between interpretivism and systematization, as the interpretive approach “involves revealing doctrinal patterns, </w:t>
      </w:r>
      <w:r w:rsidR="002C4236" w:rsidRPr="00C30D62">
        <w:rPr>
          <w:rFonts w:ascii="Book Antiqua" w:hAnsi="Book Antiqua"/>
          <w:i/>
          <w:iCs/>
        </w:rPr>
        <w:t>and</w:t>
      </w:r>
      <w:r w:rsidR="002C4236" w:rsidRPr="00C30D62">
        <w:rPr>
          <w:rFonts w:ascii="Book Antiqua" w:hAnsi="Book Antiqua"/>
        </w:rPr>
        <w:t xml:space="preserve"> then also explaining the reasons that underpin those patterns” (emphasis added). </w:t>
      </w:r>
      <w:r w:rsidR="0027534D" w:rsidRPr="00C30D62">
        <w:rPr>
          <w:rFonts w:ascii="Book Antiqua" w:hAnsi="Book Antiqua"/>
        </w:rPr>
        <w:t xml:space="preserve">Moreover, echoing Ahmed and Perry, Varuhas observes that interpretivism can provide predictions and prescriptions about the development of the law. </w:t>
      </w:r>
      <w:r w:rsidR="00373A05" w:rsidRPr="00C30D62">
        <w:rPr>
          <w:rFonts w:ascii="Book Antiqua" w:hAnsi="Book Antiqua"/>
        </w:rPr>
        <w:t>As against this must be weighted the risks of ‘normative capture’</w:t>
      </w:r>
      <w:r w:rsidR="005C6C70" w:rsidRPr="00C30D62">
        <w:rPr>
          <w:rFonts w:ascii="Book Antiqua" w:hAnsi="Book Antiqua"/>
        </w:rPr>
        <w:t xml:space="preserve"> and ‘the temptation of elegance’</w:t>
      </w:r>
      <w:r w:rsidR="00957D94" w:rsidRPr="00C30D62">
        <w:rPr>
          <w:rFonts w:ascii="Book Antiqua" w:hAnsi="Book Antiqua"/>
        </w:rPr>
        <w:t>. In both cases, justification overwhelms fit – a danger, Varuhas suggests, with “values-based” interpretive approaches, but less so with “</w:t>
      </w:r>
      <w:r w:rsidR="000A015F" w:rsidRPr="00C30D62">
        <w:rPr>
          <w:rFonts w:ascii="Book Antiqua" w:hAnsi="Book Antiqua"/>
        </w:rPr>
        <w:t>narrative” interpretive approaches.</w:t>
      </w:r>
      <w:r w:rsidR="000A015F" w:rsidRPr="00C30D62">
        <w:rPr>
          <w:rStyle w:val="FootnoteReference"/>
          <w:rFonts w:ascii="Book Antiqua" w:hAnsi="Book Antiqua"/>
        </w:rPr>
        <w:footnoteReference w:id="6"/>
      </w:r>
    </w:p>
    <w:p w14:paraId="205F9942" w14:textId="4DC986EE" w:rsidR="00C54AEF" w:rsidRPr="00C30D62" w:rsidRDefault="002222D9" w:rsidP="00AE716A">
      <w:pPr>
        <w:jc w:val="both"/>
        <w:rPr>
          <w:rFonts w:ascii="Book Antiqua" w:hAnsi="Book Antiqua"/>
        </w:rPr>
      </w:pPr>
      <w:r w:rsidRPr="00C30D62">
        <w:rPr>
          <w:rFonts w:ascii="Book Antiqua" w:hAnsi="Book Antiqua"/>
        </w:rPr>
        <w:t xml:space="preserve">In the </w:t>
      </w:r>
      <w:r w:rsidRPr="00C30D62">
        <w:rPr>
          <w:rFonts w:ascii="Book Antiqua" w:hAnsi="Book Antiqua"/>
          <w:b/>
          <w:bCs/>
        </w:rPr>
        <w:t>institutional category</w:t>
      </w:r>
      <w:r w:rsidRPr="00C30D62">
        <w:rPr>
          <w:rFonts w:ascii="Book Antiqua" w:hAnsi="Book Antiqua"/>
        </w:rPr>
        <w:t xml:space="preserve">, we place three more chapters, each targeting one of the central features of </w:t>
      </w:r>
      <w:r w:rsidR="00477118" w:rsidRPr="00C30D62">
        <w:rPr>
          <w:rFonts w:ascii="Book Antiqua" w:hAnsi="Book Antiqua"/>
        </w:rPr>
        <w:t>a common-law system:</w:t>
      </w:r>
      <w:r w:rsidR="00855CB5" w:rsidRPr="00C30D62">
        <w:rPr>
          <w:rFonts w:ascii="Book Antiqua" w:hAnsi="Book Antiqua"/>
        </w:rPr>
        <w:t xml:space="preserve"> the executive,</w:t>
      </w:r>
      <w:r w:rsidR="00477118" w:rsidRPr="00C30D62">
        <w:rPr>
          <w:rFonts w:ascii="Book Antiqua" w:hAnsi="Book Antiqua"/>
        </w:rPr>
        <w:t xml:space="preserve"> the legislature</w:t>
      </w:r>
      <w:r w:rsidR="00855CB5" w:rsidRPr="00C30D62">
        <w:rPr>
          <w:rFonts w:ascii="Book Antiqua" w:hAnsi="Book Antiqua"/>
        </w:rPr>
        <w:t xml:space="preserve"> and</w:t>
      </w:r>
      <w:r w:rsidR="00477118" w:rsidRPr="00C30D62">
        <w:rPr>
          <w:rFonts w:ascii="Book Antiqua" w:hAnsi="Book Antiqua"/>
        </w:rPr>
        <w:t xml:space="preserve"> the judiciary</w:t>
      </w:r>
      <w:r w:rsidR="00855CB5" w:rsidRPr="00C30D62">
        <w:rPr>
          <w:rFonts w:ascii="Book Antiqua" w:hAnsi="Book Antiqua"/>
        </w:rPr>
        <w:t>.</w:t>
      </w:r>
    </w:p>
    <w:p w14:paraId="106D62FE" w14:textId="78D155FB" w:rsidR="00855CB5" w:rsidRPr="00C30D62" w:rsidRDefault="003A5FB7" w:rsidP="00855CB5">
      <w:pPr>
        <w:jc w:val="both"/>
        <w:rPr>
          <w:rFonts w:ascii="Book Antiqua" w:hAnsi="Book Antiqua"/>
        </w:rPr>
      </w:pPr>
      <w:r w:rsidRPr="00C30D62">
        <w:rPr>
          <w:rFonts w:ascii="Book Antiqua" w:hAnsi="Book Antiqua"/>
        </w:rPr>
        <w:t>In our own chapter, we</w:t>
      </w:r>
      <w:r w:rsidR="00855CB5" w:rsidRPr="00C30D62">
        <w:rPr>
          <w:rFonts w:ascii="Book Antiqua" w:hAnsi="Book Antiqua"/>
        </w:rPr>
        <w:t xml:space="preserve"> tackle the administrative state by particular reference to the distinction between internal and external perspectives. This well-worn distinction has a respectable pedigree in analysis of public administration and remains helpful, though, as Daly and Tomlinson observe, more recent scholarship traverses the internal/external divide. </w:t>
      </w:r>
    </w:p>
    <w:p w14:paraId="4F7B5B0D" w14:textId="77777777" w:rsidR="00855CB5" w:rsidRPr="00C30D62" w:rsidRDefault="00855CB5" w:rsidP="00855CB5">
      <w:pPr>
        <w:jc w:val="both"/>
        <w:rPr>
          <w:rFonts w:ascii="Book Antiqua" w:hAnsi="Book Antiqua"/>
        </w:rPr>
      </w:pPr>
      <w:r w:rsidRPr="00C30D62">
        <w:rPr>
          <w:rFonts w:ascii="Book Antiqua" w:hAnsi="Book Antiqua"/>
        </w:rPr>
        <w:t xml:space="preserve">The external perspective involves looking at public administration from the outside, from the point of view of the judiciary (developing and applying the law of judicial review of administrative action), from a political standpoint (observing how the executive branch operates, by the application of raw power or tools such as cost-benefit analysis), or from a vantage point to focus on accountability mechanisms, such as ombuds or independent watchdogs. Academic work produced from the internal perspective is often descriptive or doctrinal but can also be normative; depending on the scholar’s orientation, different methodological tools may be appropriate. </w:t>
      </w:r>
    </w:p>
    <w:p w14:paraId="4A60E514" w14:textId="77777777" w:rsidR="00855CB5" w:rsidRPr="00C30D62" w:rsidRDefault="00855CB5" w:rsidP="00855CB5">
      <w:pPr>
        <w:jc w:val="both"/>
        <w:rPr>
          <w:rFonts w:ascii="Book Antiqua" w:hAnsi="Book Antiqua"/>
        </w:rPr>
      </w:pPr>
      <w:r w:rsidRPr="00C30D62">
        <w:rPr>
          <w:rFonts w:ascii="Book Antiqua" w:hAnsi="Book Antiqua"/>
        </w:rPr>
        <w:t xml:space="preserve">Scholars of the internal perspective, meanwhile, take as their typical starting point the proposition that administrative officials “are the primary actors in implementing public law”. Such work may involve evaluating the implementation process or relating the decisions of front-line actors to grander questions of constitutional theory and institutional design. It is common for those adopting the internal perspective to use empirical, or socio-legal methodology. This work shines much-needed light on the inner workings of bureaucracy and, sometimes (if not often) </w:t>
      </w:r>
      <w:r w:rsidRPr="00C30D62">
        <w:rPr>
          <w:rFonts w:ascii="Book Antiqua" w:hAnsi="Book Antiqua"/>
        </w:rPr>
        <w:lastRenderedPageBreak/>
        <w:t>demonstrates significant gaps between the ‘law in the books’ and the ‘law in action’, prompting reorientation of academic discussion from the external perspective.</w:t>
      </w:r>
    </w:p>
    <w:p w14:paraId="02410490" w14:textId="77777777" w:rsidR="00855CB5" w:rsidRPr="00C30D62" w:rsidRDefault="00855CB5" w:rsidP="00855CB5">
      <w:pPr>
        <w:jc w:val="both"/>
        <w:rPr>
          <w:rFonts w:ascii="Book Antiqua" w:hAnsi="Book Antiqua"/>
        </w:rPr>
      </w:pPr>
      <w:r w:rsidRPr="00C30D62">
        <w:rPr>
          <w:rFonts w:ascii="Book Antiqua" w:hAnsi="Book Antiqua"/>
        </w:rPr>
        <w:t xml:space="preserve">More recently, some scholars have adopted perspectives which are neither strictly internal nor strictly external. For example, socio-legal and empirical approaches have been deployed to shed light on the law of judicial review of administrative action: insights from the internal perspective have thereby influenced the external perspective on public administration. Accordingly, the internal/external distinction is no barrier to carrying out innovative work which blends methodological approaches. </w:t>
      </w:r>
    </w:p>
    <w:p w14:paraId="4C9C3CF6" w14:textId="636FD779" w:rsidR="00477118" w:rsidRPr="00C30D62" w:rsidRDefault="00855CB5" w:rsidP="00AE716A">
      <w:pPr>
        <w:jc w:val="both"/>
        <w:rPr>
          <w:rFonts w:ascii="Book Antiqua" w:hAnsi="Book Antiqua"/>
        </w:rPr>
      </w:pPr>
      <w:r w:rsidRPr="00C30D62">
        <w:rPr>
          <w:rFonts w:ascii="Book Antiqua" w:hAnsi="Book Antiqua"/>
        </w:rPr>
        <w:t xml:space="preserve">Political scientist </w:t>
      </w:r>
      <w:r w:rsidR="00477118" w:rsidRPr="00C30D62">
        <w:rPr>
          <w:rFonts w:ascii="Book Antiqua" w:hAnsi="Book Antiqua"/>
        </w:rPr>
        <w:t xml:space="preserve">Louise Thompson </w:t>
      </w:r>
      <w:r w:rsidR="00F51E6F" w:rsidRPr="00C30D62">
        <w:rPr>
          <w:rFonts w:ascii="Book Antiqua" w:hAnsi="Book Antiqua"/>
        </w:rPr>
        <w:t xml:space="preserve">describes public law and legislative studies as sharing the goal of developing “an enhanced understanding of parliament’s contribution to the legislative process and to the spaces within which there may be tension between politics and law”. </w:t>
      </w:r>
      <w:r w:rsidR="002D4AD4" w:rsidRPr="00C30D62">
        <w:rPr>
          <w:rFonts w:ascii="Book Antiqua" w:hAnsi="Book Antiqua"/>
        </w:rPr>
        <w:t xml:space="preserve">Put another way, there are public lawyers who are interested in legislative studies and scholars of legislatures who are interested in public law. Thompson’s chapter describes the challenges for </w:t>
      </w:r>
      <w:r w:rsidR="00C97577" w:rsidRPr="00C30D62">
        <w:rPr>
          <w:rFonts w:ascii="Book Antiqua" w:hAnsi="Book Antiqua"/>
        </w:rPr>
        <w:t>those working at the intersection of public law and legislative studies (from one side or the other) and sets out the different possible methodological approaches.</w:t>
      </w:r>
    </w:p>
    <w:p w14:paraId="39545202" w14:textId="279E879D" w:rsidR="00C97577" w:rsidRPr="00C30D62" w:rsidRDefault="00676F18" w:rsidP="00AE716A">
      <w:pPr>
        <w:jc w:val="both"/>
        <w:rPr>
          <w:rFonts w:ascii="Book Antiqua" w:hAnsi="Book Antiqua"/>
        </w:rPr>
      </w:pPr>
      <w:r w:rsidRPr="00C30D62">
        <w:rPr>
          <w:rFonts w:ascii="Book Antiqua" w:hAnsi="Book Antiqua"/>
        </w:rPr>
        <w:t xml:space="preserve">There is, to begin with, some conceptual undergrowth to clear: what is a legislature for? </w:t>
      </w:r>
      <w:r w:rsidR="008853EC" w:rsidRPr="00C30D62">
        <w:rPr>
          <w:rFonts w:ascii="Book Antiqua" w:hAnsi="Book Antiqua"/>
        </w:rPr>
        <w:t>Although Thompson focuses on Westminster, this is a key question for a researcher in any jurisdiction</w:t>
      </w:r>
      <w:r w:rsidR="00A2048F" w:rsidRPr="00C30D62">
        <w:rPr>
          <w:rFonts w:ascii="Book Antiqua" w:hAnsi="Book Antiqua"/>
        </w:rPr>
        <w:t xml:space="preserve">, and may receive different answers from country to country. </w:t>
      </w:r>
      <w:r w:rsidR="00285EB9" w:rsidRPr="00C30D62">
        <w:rPr>
          <w:rFonts w:ascii="Book Antiqua" w:hAnsi="Book Antiqua"/>
        </w:rPr>
        <w:t>With an answer in hand, the scholar may turn to the work of the legislature. But this work is abundant, as legislatures sit for long hours</w:t>
      </w:r>
      <w:r w:rsidR="007F523F" w:rsidRPr="00C30D62">
        <w:rPr>
          <w:rFonts w:ascii="Book Antiqua" w:hAnsi="Book Antiqua"/>
        </w:rPr>
        <w:t xml:space="preserve">, in the chamber and in committee rooms, and produce reams of material, from laws to delegated legislation to committee reports and </w:t>
      </w:r>
      <w:r w:rsidR="00E47741" w:rsidRPr="00C30D62">
        <w:rPr>
          <w:rFonts w:ascii="Book Antiqua" w:hAnsi="Book Antiqua"/>
        </w:rPr>
        <w:t xml:space="preserve">accounts of parliamentary debates. Furthermore, there is a “parliamentary spider’s web” of different actors, both within the legislature (the </w:t>
      </w:r>
      <w:r w:rsidR="00B50E05" w:rsidRPr="00C30D62">
        <w:rPr>
          <w:rFonts w:ascii="Book Antiqua" w:hAnsi="Book Antiqua"/>
        </w:rPr>
        <w:t xml:space="preserve">clerks responsible for good institutional governance) and outside it (government officials who control the legislative agenda). </w:t>
      </w:r>
      <w:r w:rsidR="00141B9D" w:rsidRPr="00C30D62">
        <w:rPr>
          <w:rFonts w:ascii="Book Antiqua" w:hAnsi="Book Antiqua"/>
        </w:rPr>
        <w:t>And the work is often hard to decipher: the drafting of statutes has been described as an “arty science”</w:t>
      </w:r>
      <w:r w:rsidR="00141B9D" w:rsidRPr="00C30D62">
        <w:rPr>
          <w:rStyle w:val="FootnoteReference"/>
          <w:rFonts w:ascii="Book Antiqua" w:hAnsi="Book Antiqua"/>
        </w:rPr>
        <w:footnoteReference w:id="7"/>
      </w:r>
      <w:r w:rsidR="00ED2419" w:rsidRPr="00C30D62">
        <w:rPr>
          <w:rFonts w:ascii="Book Antiqua" w:hAnsi="Book Antiqua"/>
        </w:rPr>
        <w:t xml:space="preserve"> and is difficult to understand without an appreciation of the artistic and scientific aspects of the drafter’s product. </w:t>
      </w:r>
    </w:p>
    <w:p w14:paraId="4A4DCF3B" w14:textId="77777777" w:rsidR="006A3080" w:rsidRPr="00C30D62" w:rsidRDefault="006A3080" w:rsidP="00AE716A">
      <w:pPr>
        <w:jc w:val="both"/>
        <w:rPr>
          <w:rFonts w:ascii="Book Antiqua" w:hAnsi="Book Antiqua"/>
        </w:rPr>
      </w:pPr>
      <w:r w:rsidRPr="00C30D62">
        <w:rPr>
          <w:rFonts w:ascii="Book Antiqua" w:hAnsi="Book Antiqua"/>
        </w:rPr>
        <w:t xml:space="preserve">In order to meet these challenges, the scholar must begin with </w:t>
      </w:r>
      <w:r w:rsidR="00ED2419" w:rsidRPr="00C30D62">
        <w:rPr>
          <w:rFonts w:ascii="Book Antiqua" w:hAnsi="Book Antiqua"/>
        </w:rPr>
        <w:t xml:space="preserve">careful </w:t>
      </w:r>
      <w:r w:rsidR="00997A57" w:rsidRPr="00C30D62">
        <w:rPr>
          <w:rFonts w:ascii="Book Antiqua" w:hAnsi="Book Antiqua"/>
        </w:rPr>
        <w:t>consideration of methodological approaches and case selection.</w:t>
      </w:r>
      <w:r w:rsidR="002442EE" w:rsidRPr="00C30D62">
        <w:rPr>
          <w:rFonts w:ascii="Book Antiqua" w:hAnsi="Book Antiqua"/>
        </w:rPr>
        <w:t xml:space="preserve"> Generally, one can distinguish between empirical studies which emphasize breadth and those which prefer depth: large versus small datasets, with conclusions cut </w:t>
      </w:r>
      <w:r w:rsidRPr="00C30D62">
        <w:rPr>
          <w:rFonts w:ascii="Book Antiqua" w:hAnsi="Book Antiqua"/>
        </w:rPr>
        <w:t>to meet the measure of the sample size. Either way, researchers must “carefully contain their studies so as to alleviate the risks of being overwhelmed and to enable more rigorous examination and analysis”.</w:t>
      </w:r>
    </w:p>
    <w:p w14:paraId="07FDA845" w14:textId="77777777" w:rsidR="00A57503" w:rsidRPr="00C30D62" w:rsidRDefault="007D7671" w:rsidP="00AE716A">
      <w:pPr>
        <w:jc w:val="both"/>
        <w:rPr>
          <w:rFonts w:ascii="Book Antiqua" w:hAnsi="Book Antiqua"/>
        </w:rPr>
      </w:pPr>
      <w:r w:rsidRPr="00C30D62">
        <w:rPr>
          <w:rFonts w:ascii="Book Antiqua" w:hAnsi="Book Antiqua"/>
        </w:rPr>
        <w:t xml:space="preserve">A further challenge is presented by the </w:t>
      </w:r>
      <w:r w:rsidR="00297C1B" w:rsidRPr="00C30D62">
        <w:rPr>
          <w:rFonts w:ascii="Book Antiqua" w:hAnsi="Book Antiqua"/>
        </w:rPr>
        <w:t xml:space="preserve">distinction between legislative capacity and legislative performance – what legislatures </w:t>
      </w:r>
      <w:r w:rsidR="00297C1B" w:rsidRPr="00C30D62">
        <w:rPr>
          <w:rFonts w:ascii="Book Antiqua" w:hAnsi="Book Antiqua"/>
          <w:i/>
          <w:iCs/>
        </w:rPr>
        <w:t xml:space="preserve">can </w:t>
      </w:r>
      <w:r w:rsidR="00297C1B" w:rsidRPr="00C30D62">
        <w:rPr>
          <w:rFonts w:ascii="Book Antiqua" w:hAnsi="Book Antiqua"/>
        </w:rPr>
        <w:t xml:space="preserve">do versus what legislatures </w:t>
      </w:r>
      <w:r w:rsidR="00297C1B" w:rsidRPr="00C30D62">
        <w:rPr>
          <w:rFonts w:ascii="Book Antiqua" w:hAnsi="Book Antiqua"/>
          <w:i/>
          <w:iCs/>
        </w:rPr>
        <w:t xml:space="preserve">actually </w:t>
      </w:r>
      <w:r w:rsidR="00297C1B" w:rsidRPr="00C30D62">
        <w:rPr>
          <w:rFonts w:ascii="Book Antiqua" w:hAnsi="Book Antiqua"/>
        </w:rPr>
        <w:t xml:space="preserve">do. </w:t>
      </w:r>
      <w:r w:rsidR="00797019" w:rsidRPr="00C30D62">
        <w:rPr>
          <w:rFonts w:ascii="Book Antiqua" w:hAnsi="Book Antiqua"/>
        </w:rPr>
        <w:t xml:space="preserve">Scholars </w:t>
      </w:r>
      <w:r w:rsidR="00DA01AE" w:rsidRPr="00C30D62">
        <w:rPr>
          <w:rFonts w:ascii="Book Antiqua" w:hAnsi="Book Antiqua"/>
        </w:rPr>
        <w:t xml:space="preserve">need to </w:t>
      </w:r>
      <w:r w:rsidR="00797019" w:rsidRPr="00C30D62">
        <w:rPr>
          <w:rFonts w:ascii="Book Antiqua" w:hAnsi="Book Antiqua"/>
        </w:rPr>
        <w:t xml:space="preserve">choose whether to focus on capacity or performance. </w:t>
      </w:r>
      <w:r w:rsidR="00DA01AE" w:rsidRPr="00C30D62">
        <w:rPr>
          <w:rFonts w:ascii="Book Antiqua" w:hAnsi="Book Antiqua"/>
        </w:rPr>
        <w:t xml:space="preserve">Once this choice is made, further challenges arise, as </w:t>
      </w:r>
      <w:r w:rsidR="00DA01AE" w:rsidRPr="00C30D62">
        <w:rPr>
          <w:rFonts w:ascii="Book Antiqua" w:hAnsi="Book Antiqua"/>
          <w:i/>
          <w:iCs/>
        </w:rPr>
        <w:t xml:space="preserve">measurement </w:t>
      </w:r>
      <w:r w:rsidR="00CF3B2D" w:rsidRPr="00C30D62">
        <w:rPr>
          <w:rFonts w:ascii="Book Antiqua" w:hAnsi="Book Antiqua"/>
        </w:rPr>
        <w:t xml:space="preserve">is very difficult, especially of performance. Great care must be taken, even with ostensibly objective measures such as votes in the legislature assembly, to ensure that one appreciates the context in which the votes were </w:t>
      </w:r>
      <w:r w:rsidR="00F041B3" w:rsidRPr="00C30D62">
        <w:rPr>
          <w:rFonts w:ascii="Book Antiqua" w:hAnsi="Book Antiqua"/>
        </w:rPr>
        <w:t xml:space="preserve">held. </w:t>
      </w:r>
    </w:p>
    <w:p w14:paraId="65BB90FE" w14:textId="66025DEF" w:rsidR="006A3080" w:rsidRPr="00C30D62" w:rsidRDefault="009F4F03" w:rsidP="00AE716A">
      <w:pPr>
        <w:jc w:val="both"/>
        <w:rPr>
          <w:rFonts w:ascii="Book Antiqua" w:hAnsi="Book Antiqua"/>
        </w:rPr>
      </w:pPr>
      <w:r w:rsidRPr="00C30D62">
        <w:rPr>
          <w:rFonts w:ascii="Book Antiqua" w:hAnsi="Book Antiqua"/>
        </w:rPr>
        <w:t xml:space="preserve">Furthermore, the necessarily descriptive endeavour of focusing on how members of legislatures vote on given matters </w:t>
      </w:r>
      <w:r w:rsidR="00AB7E20" w:rsidRPr="00C30D62">
        <w:rPr>
          <w:rFonts w:ascii="Book Antiqua" w:hAnsi="Book Antiqua"/>
        </w:rPr>
        <w:t xml:space="preserve">is potentially reductive and unhelpful. What is going on outside the walls </w:t>
      </w:r>
      <w:r w:rsidR="00AB7E20" w:rsidRPr="00C30D62">
        <w:rPr>
          <w:rFonts w:ascii="Book Antiqua" w:hAnsi="Book Antiqua"/>
        </w:rPr>
        <w:lastRenderedPageBreak/>
        <w:t>of the chamber</w:t>
      </w:r>
      <w:r w:rsidR="002458C1" w:rsidRPr="00C30D62">
        <w:rPr>
          <w:rFonts w:ascii="Book Antiqua" w:hAnsi="Book Antiqua"/>
        </w:rPr>
        <w:t xml:space="preserve"> might be more important </w:t>
      </w:r>
      <w:r w:rsidR="00DB118F" w:rsidRPr="00C30D62">
        <w:rPr>
          <w:rFonts w:ascii="Book Antiqua" w:hAnsi="Book Antiqua"/>
        </w:rPr>
        <w:t xml:space="preserve">than the votes held within the walls of the chamber. Hence the </w:t>
      </w:r>
      <w:r w:rsidR="007A02C1" w:rsidRPr="00C30D62">
        <w:rPr>
          <w:rFonts w:ascii="Book Antiqua" w:hAnsi="Book Antiqua"/>
        </w:rPr>
        <w:t>emphasis some scholars place on the “anticipated reactions” of members of legislatures to government proposals.</w:t>
      </w:r>
      <w:r w:rsidR="007A02C1" w:rsidRPr="00C30D62">
        <w:rPr>
          <w:rStyle w:val="FootnoteReference"/>
          <w:rFonts w:ascii="Book Antiqua" w:hAnsi="Book Antiqua"/>
        </w:rPr>
        <w:footnoteReference w:id="8"/>
      </w:r>
      <w:r w:rsidR="00AB7E20" w:rsidRPr="00C30D62">
        <w:rPr>
          <w:rFonts w:ascii="Book Antiqua" w:hAnsi="Book Antiqua"/>
        </w:rPr>
        <w:t xml:space="preserve"> </w:t>
      </w:r>
      <w:r w:rsidR="00523F68" w:rsidRPr="00C30D62">
        <w:rPr>
          <w:rFonts w:ascii="Book Antiqua" w:hAnsi="Book Antiqua"/>
        </w:rPr>
        <w:t>These are, of course, much harder to measure than votes; there is no obvious objective measure and, accordingly, interviews are “often the only source of data on the activity of parliamentary clerks, civil servants and parliamentary lawyers”.</w:t>
      </w:r>
      <w:r w:rsidR="00A57503" w:rsidRPr="00C30D62">
        <w:rPr>
          <w:rFonts w:ascii="Book Antiqua" w:hAnsi="Book Antiqua"/>
        </w:rPr>
        <w:t xml:space="preserve"> A “significant development in the field”, therefore, has been to meld quantitative measures, such as votes, with qualitative inputs in the form of interview data.</w:t>
      </w:r>
      <w:r w:rsidR="009E3775" w:rsidRPr="00C30D62">
        <w:rPr>
          <w:rFonts w:ascii="Book Antiqua" w:hAnsi="Book Antiqua"/>
        </w:rPr>
        <w:t xml:space="preserve"> Readily visible data points, such as votes, are used alongside qualitative analysis </w:t>
      </w:r>
      <w:r w:rsidR="00C02CDA" w:rsidRPr="00C30D62">
        <w:rPr>
          <w:rFonts w:ascii="Book Antiqua" w:hAnsi="Book Antiqua"/>
        </w:rPr>
        <w:t>to enhance contemporary understandings of what legislatures do.</w:t>
      </w:r>
    </w:p>
    <w:p w14:paraId="52C68C81" w14:textId="0B69FA58" w:rsidR="00477118" w:rsidRPr="00C30D62" w:rsidRDefault="00855CB5" w:rsidP="00AE716A">
      <w:pPr>
        <w:jc w:val="both"/>
        <w:rPr>
          <w:rFonts w:ascii="Book Antiqua" w:hAnsi="Book Antiqua"/>
        </w:rPr>
      </w:pPr>
      <w:r w:rsidRPr="00C30D62">
        <w:rPr>
          <w:rFonts w:ascii="Book Antiqua" w:hAnsi="Book Antiqua"/>
        </w:rPr>
        <w:t xml:space="preserve">Another political scientist, </w:t>
      </w:r>
      <w:r w:rsidR="00477118" w:rsidRPr="00C30D62">
        <w:rPr>
          <w:rFonts w:ascii="Book Antiqua" w:hAnsi="Book Antiqua"/>
        </w:rPr>
        <w:t>Emmett Macfarlane</w:t>
      </w:r>
      <w:r w:rsidRPr="00C30D62">
        <w:rPr>
          <w:rFonts w:ascii="Book Antiqua" w:hAnsi="Book Antiqua"/>
        </w:rPr>
        <w:t xml:space="preserve">, tackles the judiciary. </w:t>
      </w:r>
      <w:r w:rsidR="00B61751" w:rsidRPr="00C30D62">
        <w:rPr>
          <w:rFonts w:ascii="Book Antiqua" w:hAnsi="Book Antiqua"/>
        </w:rPr>
        <w:t xml:space="preserve">Whereas lawyers have typically studied judicial decision-making by reading the texts of judicial decisions, political scientists have used “observational methods to identify political trends and patterns in decisions over time”. </w:t>
      </w:r>
      <w:r w:rsidR="00413523" w:rsidRPr="00C30D62">
        <w:rPr>
          <w:rFonts w:ascii="Book Antiqua" w:hAnsi="Book Antiqua"/>
        </w:rPr>
        <w:t>These social sciences methods have led to the development of a number of competing approaches, which are the subject of Macfarlane’s contribution.</w:t>
      </w:r>
    </w:p>
    <w:p w14:paraId="716732A6" w14:textId="0E65317F" w:rsidR="004E51D9" w:rsidRPr="00C30D62" w:rsidRDefault="00A509B1" w:rsidP="00AE716A">
      <w:pPr>
        <w:jc w:val="both"/>
        <w:rPr>
          <w:rFonts w:ascii="Book Antiqua" w:hAnsi="Book Antiqua"/>
        </w:rPr>
      </w:pPr>
      <w:r w:rsidRPr="00C30D62">
        <w:rPr>
          <w:rFonts w:ascii="Book Antiqua" w:hAnsi="Book Antiqua"/>
        </w:rPr>
        <w:t xml:space="preserve">The first is the </w:t>
      </w:r>
      <w:r w:rsidR="000704D6" w:rsidRPr="00C30D62">
        <w:rPr>
          <w:rFonts w:ascii="Book Antiqua" w:hAnsi="Book Antiqua"/>
        </w:rPr>
        <w:t>modern attitudinal model. This model is based fundamentally on the proposition that judges are “primarily interested in effecting their personal policy preferences” and use their judicial decisions to achieve the</w:t>
      </w:r>
      <w:r w:rsidR="003406D8" w:rsidRPr="00C30D62">
        <w:rPr>
          <w:rFonts w:ascii="Book Antiqua" w:hAnsi="Book Antiqua"/>
        </w:rPr>
        <w:t>ir ideological goals</w:t>
      </w:r>
      <w:r w:rsidR="000704D6" w:rsidRPr="00C30D62">
        <w:rPr>
          <w:rFonts w:ascii="Book Antiqua" w:hAnsi="Book Antiqua"/>
        </w:rPr>
        <w:t xml:space="preserve">. </w:t>
      </w:r>
      <w:r w:rsidR="004730DA" w:rsidRPr="00C30D62">
        <w:rPr>
          <w:rFonts w:ascii="Book Antiqua" w:hAnsi="Book Antiqua"/>
        </w:rPr>
        <w:t xml:space="preserve">Proponents of this model are relatively uninterested in the reasons judges give for their decisions, which they see as designed to cloak the real reasons judges act in the way they do, which is to further their ideological commitments. </w:t>
      </w:r>
      <w:r w:rsidR="004E51D9" w:rsidRPr="00C30D62">
        <w:rPr>
          <w:rFonts w:ascii="Book Antiqua" w:hAnsi="Book Antiqua"/>
        </w:rPr>
        <w:t>The second is the strategic model</w:t>
      </w:r>
      <w:r w:rsidR="003406D8" w:rsidRPr="00C30D62">
        <w:rPr>
          <w:rFonts w:ascii="Book Antiqua" w:hAnsi="Book Antiqua"/>
        </w:rPr>
        <w:t>. On this model, ideology remains relevant but judges modulate their decision-making behaviour “to secure the support of their colleagues” and are also mindful of the likely “reaction of the other branches of government”</w:t>
      </w:r>
      <w:r w:rsidR="00650D54" w:rsidRPr="00C30D62">
        <w:rPr>
          <w:rFonts w:ascii="Book Antiqua" w:hAnsi="Book Antiqua"/>
        </w:rPr>
        <w:t xml:space="preserve"> to their decisions. </w:t>
      </w:r>
      <w:r w:rsidR="00AC4E5D" w:rsidRPr="00C30D62">
        <w:rPr>
          <w:rFonts w:ascii="Book Antiqua" w:hAnsi="Book Antiqua"/>
        </w:rPr>
        <w:t xml:space="preserve">The third is the historical institutionalist model. This model builds on </w:t>
      </w:r>
      <w:r w:rsidR="00385D9D" w:rsidRPr="00C30D62">
        <w:rPr>
          <w:rFonts w:ascii="Book Antiqua" w:hAnsi="Book Antiqua"/>
        </w:rPr>
        <w:t xml:space="preserve">the preceding models by presenting a “role-conception” account of judging in which judicial decision-making is “constrained and informed by institutional norms about the judicial role”. </w:t>
      </w:r>
      <w:r w:rsidR="00271F44" w:rsidRPr="00C30D62">
        <w:rPr>
          <w:rFonts w:ascii="Book Antiqua" w:hAnsi="Book Antiqua"/>
        </w:rPr>
        <w:t>Historical institutionalists are much more interested than their attitudinal and strategic counterparts in the reasons given for judicial decisions</w:t>
      </w:r>
      <w:r w:rsidR="00780CB7" w:rsidRPr="00C30D62">
        <w:rPr>
          <w:rFonts w:ascii="Book Antiqua" w:hAnsi="Book Antiqua"/>
        </w:rPr>
        <w:t xml:space="preserve">, which are inseparable from “the sense of obligation or duty that comes with perceiving one’s role as inherently meaningful”. </w:t>
      </w:r>
    </w:p>
    <w:p w14:paraId="5B2898DF" w14:textId="26EC66AC" w:rsidR="00AA1D66" w:rsidRPr="00C30D62" w:rsidRDefault="00B00B52" w:rsidP="00AE716A">
      <w:pPr>
        <w:jc w:val="both"/>
        <w:rPr>
          <w:rFonts w:ascii="Book Antiqua" w:hAnsi="Book Antiqua"/>
        </w:rPr>
      </w:pPr>
      <w:r w:rsidRPr="00C30D62">
        <w:rPr>
          <w:rFonts w:ascii="Book Antiqua" w:hAnsi="Book Antiqua"/>
        </w:rPr>
        <w:t xml:space="preserve">Proponents of these models are faced by various challenges. To begin with, </w:t>
      </w:r>
      <w:r w:rsidR="00D50DF5" w:rsidRPr="00C30D62">
        <w:rPr>
          <w:rFonts w:ascii="Book Antiqua" w:hAnsi="Book Antiqua"/>
        </w:rPr>
        <w:t>on the attitudinal model,</w:t>
      </w:r>
      <w:r w:rsidRPr="00C30D62">
        <w:rPr>
          <w:rFonts w:ascii="Book Antiqua" w:hAnsi="Book Antiqua"/>
        </w:rPr>
        <w:t xml:space="preserve"> is difficult to disentangle the </w:t>
      </w:r>
      <w:r w:rsidR="009572B5" w:rsidRPr="00C30D62">
        <w:rPr>
          <w:rFonts w:ascii="Book Antiqua" w:hAnsi="Book Antiqua"/>
        </w:rPr>
        <w:t>perceived influence of ideology from judges’ approaches to interpretation</w:t>
      </w:r>
      <w:r w:rsidR="007427A8" w:rsidRPr="00C30D62">
        <w:rPr>
          <w:rFonts w:ascii="Book Antiqua" w:hAnsi="Book Antiqua"/>
        </w:rPr>
        <w:t xml:space="preserve">: maybe judges vote the way they do because of </w:t>
      </w:r>
      <w:r w:rsidR="00990C84" w:rsidRPr="00C30D62">
        <w:rPr>
          <w:rFonts w:ascii="Book Antiqua" w:hAnsi="Book Antiqua"/>
        </w:rPr>
        <w:t xml:space="preserve">their particular approach to the law and the role of courts. Measuring ideology is </w:t>
      </w:r>
      <w:r w:rsidR="00D50DF5" w:rsidRPr="00C30D62">
        <w:rPr>
          <w:rFonts w:ascii="Book Antiqua" w:hAnsi="Book Antiqua"/>
        </w:rPr>
        <w:t>also</w:t>
      </w:r>
      <w:r w:rsidR="00990C84" w:rsidRPr="00C30D62">
        <w:rPr>
          <w:rFonts w:ascii="Book Antiqua" w:hAnsi="Book Antiqua"/>
        </w:rPr>
        <w:t xml:space="preserve"> difficult. </w:t>
      </w:r>
      <w:r w:rsidR="00D50DF5" w:rsidRPr="00C30D62">
        <w:rPr>
          <w:rFonts w:ascii="Book Antiqua" w:hAnsi="Book Antiqua"/>
        </w:rPr>
        <w:t>Even where</w:t>
      </w:r>
      <w:r w:rsidR="00990C84" w:rsidRPr="00C30D62">
        <w:rPr>
          <w:rFonts w:ascii="Book Antiqua" w:hAnsi="Book Antiqua"/>
        </w:rPr>
        <w:t xml:space="preserve"> scholars can draw upon </w:t>
      </w:r>
      <w:r w:rsidR="00D50DF5" w:rsidRPr="00C30D62">
        <w:rPr>
          <w:rFonts w:ascii="Book Antiqua" w:hAnsi="Book Antiqua"/>
        </w:rPr>
        <w:t>neat categorizations, as in the United States</w:t>
      </w:r>
      <w:r w:rsidR="006F742E" w:rsidRPr="00C30D62">
        <w:rPr>
          <w:rFonts w:ascii="Book Antiqua" w:hAnsi="Book Antiqua"/>
        </w:rPr>
        <w:t>, where</w:t>
      </w:r>
      <w:r w:rsidR="00990C84" w:rsidRPr="00C30D62">
        <w:rPr>
          <w:rFonts w:ascii="Book Antiqua" w:hAnsi="Book Antiqua"/>
        </w:rPr>
        <w:t xml:space="preserve"> ‘Democrat’ and ‘Republican’ </w:t>
      </w:r>
      <w:r w:rsidR="006F742E" w:rsidRPr="00C30D62">
        <w:rPr>
          <w:rFonts w:ascii="Book Antiqua" w:hAnsi="Book Antiqua"/>
        </w:rPr>
        <w:t xml:space="preserve">appointees can be easily distinguished, more work needs to be done, as </w:t>
      </w:r>
      <w:r w:rsidR="0078184A" w:rsidRPr="00C30D62">
        <w:rPr>
          <w:rFonts w:ascii="Book Antiqua" w:hAnsi="Book Antiqua"/>
        </w:rPr>
        <w:t xml:space="preserve">judges in these categories are not homogenous and need to be sorted into further sub-categories. </w:t>
      </w:r>
      <w:r w:rsidR="00D4795B" w:rsidRPr="00C30D62">
        <w:rPr>
          <w:rFonts w:ascii="Book Antiqua" w:hAnsi="Book Antiqua"/>
        </w:rPr>
        <w:t xml:space="preserve">These measurement challenges mean, Macfarlane warns, that the attitudinal model </w:t>
      </w:r>
      <w:r w:rsidR="00FA54CE" w:rsidRPr="00C30D62">
        <w:rPr>
          <w:rFonts w:ascii="Book Antiqua" w:hAnsi="Book Antiqua"/>
        </w:rPr>
        <w:t>frequently ends up generating measurement criteria from the analysis of the judicial votes it purports to measure.</w:t>
      </w:r>
    </w:p>
    <w:p w14:paraId="562BA45B" w14:textId="0C1204E9" w:rsidR="002963CB" w:rsidRPr="00C30D62" w:rsidRDefault="002963CB" w:rsidP="00AE716A">
      <w:pPr>
        <w:jc w:val="both"/>
        <w:rPr>
          <w:rFonts w:ascii="Book Antiqua" w:hAnsi="Book Antiqua"/>
        </w:rPr>
      </w:pPr>
      <w:r w:rsidRPr="00C30D62">
        <w:rPr>
          <w:rFonts w:ascii="Book Antiqua" w:hAnsi="Book Antiqua"/>
        </w:rPr>
        <w:t>The strategic approach suffers also from these difficulties. But in addition</w:t>
      </w:r>
      <w:r w:rsidR="002328CC" w:rsidRPr="00C30D62">
        <w:rPr>
          <w:rFonts w:ascii="Book Antiqua" w:hAnsi="Book Antiqua"/>
        </w:rPr>
        <w:t xml:space="preserve">, it is difficult to isolate “specific factors” which might influence judicial decisions, amongst the multitude of </w:t>
      </w:r>
      <w:r w:rsidR="002328CC" w:rsidRPr="00C30D62">
        <w:rPr>
          <w:rFonts w:ascii="Book Antiqua" w:hAnsi="Book Antiqua"/>
        </w:rPr>
        <w:lastRenderedPageBreak/>
        <w:t>considerations capable of influencing a judge’s strategic behaviour</w:t>
      </w:r>
      <w:r w:rsidR="0031374E" w:rsidRPr="00C30D62">
        <w:rPr>
          <w:rFonts w:ascii="Book Antiqua" w:hAnsi="Book Antiqua"/>
        </w:rPr>
        <w:t>, especially when access to data</w:t>
      </w:r>
      <w:r w:rsidR="00DB3499" w:rsidRPr="00C30D62">
        <w:rPr>
          <w:rFonts w:ascii="Book Antiqua" w:hAnsi="Book Antiqua"/>
        </w:rPr>
        <w:t xml:space="preserve"> about judicial deliberations is withheld (as it generally is).</w:t>
      </w:r>
    </w:p>
    <w:p w14:paraId="2A530562" w14:textId="53D01BEE" w:rsidR="004B78E7" w:rsidRPr="00C30D62" w:rsidRDefault="004B78E7" w:rsidP="00AE716A">
      <w:pPr>
        <w:jc w:val="both"/>
        <w:rPr>
          <w:rFonts w:ascii="Book Antiqua" w:hAnsi="Book Antiqua"/>
        </w:rPr>
      </w:pPr>
      <w:r w:rsidRPr="00C30D62">
        <w:rPr>
          <w:rFonts w:ascii="Book Antiqua" w:hAnsi="Book Antiqua"/>
        </w:rPr>
        <w:t>As for the historical institutionalist model, it is most often criticized for being insufficiently systematic</w:t>
      </w:r>
      <w:r w:rsidR="002D01DA" w:rsidRPr="00C30D62">
        <w:rPr>
          <w:rFonts w:ascii="Book Antiqua" w:hAnsi="Book Antiqua"/>
        </w:rPr>
        <w:t xml:space="preserve"> and leading to outcomes which are not generalizable. </w:t>
      </w:r>
      <w:r w:rsidR="00B873DF" w:rsidRPr="00C30D62">
        <w:rPr>
          <w:rFonts w:ascii="Book Antiqua" w:hAnsi="Book Antiqua"/>
        </w:rPr>
        <w:t xml:space="preserve">This is a result of the requirement for “thick description and a deeply contextualist understanding of a particular country, institution, or even case”. Lurking in the background here are debates over the merits of quantitative versus qualitative approaches to research. </w:t>
      </w:r>
    </w:p>
    <w:p w14:paraId="71CC6B20" w14:textId="72ECB801" w:rsidR="00BF71ED" w:rsidRPr="00C30D62" w:rsidRDefault="00BF71ED" w:rsidP="00AE716A">
      <w:pPr>
        <w:jc w:val="both"/>
        <w:rPr>
          <w:rFonts w:ascii="Book Antiqua" w:hAnsi="Book Antiqua"/>
        </w:rPr>
      </w:pPr>
      <w:r w:rsidRPr="00C30D62">
        <w:rPr>
          <w:rFonts w:ascii="Book Antiqua" w:hAnsi="Book Antiqua"/>
        </w:rPr>
        <w:t xml:space="preserve">Contemporary scholars have attempted to meet the challenges posed to each of these approaches by blending quantitative and qualitative approaches </w:t>
      </w:r>
      <w:r w:rsidR="00AD23E5" w:rsidRPr="00C30D62">
        <w:rPr>
          <w:rFonts w:ascii="Book Antiqua" w:hAnsi="Book Antiqua"/>
        </w:rPr>
        <w:t xml:space="preserve">and integrating components from the other models. </w:t>
      </w:r>
      <w:r w:rsidR="002B13B3" w:rsidRPr="00C30D62">
        <w:rPr>
          <w:rFonts w:ascii="Book Antiqua" w:hAnsi="Book Antiqua"/>
        </w:rPr>
        <w:t xml:space="preserve">Notably, scholars outside the United States – in Canada, Israel and the United Kingdom, for example – have </w:t>
      </w:r>
      <w:r w:rsidR="006A5BF9" w:rsidRPr="00C30D62">
        <w:rPr>
          <w:rFonts w:ascii="Book Antiqua" w:hAnsi="Book Antiqua"/>
        </w:rPr>
        <w:t>engaged in sophisticated studies of judicial decision-making. Taken together, contemporary scholarship has led to “increased pluralism and comparative insight”</w:t>
      </w:r>
      <w:r w:rsidR="00110ACB" w:rsidRPr="00C30D62">
        <w:rPr>
          <w:rFonts w:ascii="Book Antiqua" w:hAnsi="Book Antiqua"/>
        </w:rPr>
        <w:t>, as the literature has grown progressively more interdisciplinary, with economists, historians and psychologists joining the fray.</w:t>
      </w:r>
      <w:r w:rsidR="00054A60" w:rsidRPr="00C30D62">
        <w:rPr>
          <w:rFonts w:ascii="Book Antiqua" w:hAnsi="Book Antiqua"/>
        </w:rPr>
        <w:t xml:space="preserve"> Macfarlane goes so far as to suggest that only “methodological pluralism” will lead to a</w:t>
      </w:r>
      <w:r w:rsidR="00D11B13" w:rsidRPr="00C30D62">
        <w:rPr>
          <w:rFonts w:ascii="Book Antiqua" w:hAnsi="Book Antiqua"/>
        </w:rPr>
        <w:t>n “accurate depiction” of how courts make decisions.</w:t>
      </w:r>
    </w:p>
    <w:p w14:paraId="7E5BFCD7" w14:textId="362E0195" w:rsidR="00AC60EB" w:rsidRPr="00C30D62" w:rsidRDefault="00AC60EB" w:rsidP="00AE716A">
      <w:pPr>
        <w:jc w:val="both"/>
        <w:rPr>
          <w:rFonts w:ascii="Book Antiqua" w:hAnsi="Book Antiqua"/>
        </w:rPr>
      </w:pPr>
      <w:r w:rsidRPr="00C30D62">
        <w:rPr>
          <w:rFonts w:ascii="Book Antiqua" w:hAnsi="Book Antiqua"/>
        </w:rPr>
        <w:t xml:space="preserve">Under the </w:t>
      </w:r>
      <w:r w:rsidRPr="00C30D62">
        <w:rPr>
          <w:rFonts w:ascii="Book Antiqua" w:hAnsi="Book Antiqua"/>
          <w:b/>
          <w:bCs/>
        </w:rPr>
        <w:t xml:space="preserve">technical </w:t>
      </w:r>
      <w:r w:rsidRPr="00C30D62">
        <w:rPr>
          <w:rFonts w:ascii="Book Antiqua" w:hAnsi="Book Antiqua"/>
        </w:rPr>
        <w:t xml:space="preserve">heading are grouped </w:t>
      </w:r>
      <w:r w:rsidR="00E818D3" w:rsidRPr="00C30D62">
        <w:rPr>
          <w:rFonts w:ascii="Book Antiqua" w:hAnsi="Book Antiqua"/>
        </w:rPr>
        <w:t>three further chapters: Theunis Roux on comparative methodology; Martin Loughlin and Samuel Tschorne on theoretical approaches to public law</w:t>
      </w:r>
      <w:r w:rsidR="000E536E" w:rsidRPr="00C30D62">
        <w:rPr>
          <w:rFonts w:ascii="Book Antiqua" w:hAnsi="Book Antiqua"/>
        </w:rPr>
        <w:t>; and Sarah Nason on empirical research.</w:t>
      </w:r>
    </w:p>
    <w:p w14:paraId="18EF9B7F" w14:textId="501958BF" w:rsidR="00272271" w:rsidRPr="00C30D62" w:rsidRDefault="0054174D" w:rsidP="00272271">
      <w:pPr>
        <w:jc w:val="both"/>
        <w:rPr>
          <w:rFonts w:ascii="Book Antiqua" w:hAnsi="Book Antiqua"/>
        </w:rPr>
      </w:pPr>
      <w:r w:rsidRPr="00C30D62">
        <w:rPr>
          <w:rFonts w:ascii="Book Antiqua" w:hAnsi="Book Antiqua"/>
        </w:rPr>
        <w:t xml:space="preserve">The burgeoning field of comparative public law is the subject of Theunis Roux’s contribution. </w:t>
      </w:r>
      <w:r w:rsidR="004D0E13" w:rsidRPr="00C30D62">
        <w:rPr>
          <w:rFonts w:ascii="Book Antiqua" w:hAnsi="Book Antiqua"/>
        </w:rPr>
        <w:t xml:space="preserve">His starting point is the difficulty of defining public law. As he notes, </w:t>
      </w:r>
      <w:r w:rsidR="005E234F" w:rsidRPr="00C30D62">
        <w:rPr>
          <w:rFonts w:ascii="Book Antiqua" w:hAnsi="Book Antiqua"/>
        </w:rPr>
        <w:t xml:space="preserve">the term can cover constitutional and administrative law in common law systems, but can equally be used to refer </w:t>
      </w:r>
      <w:r w:rsidR="00A159F7" w:rsidRPr="00C30D62">
        <w:rPr>
          <w:rFonts w:ascii="Book Antiqua" w:hAnsi="Book Antiqua"/>
        </w:rPr>
        <w:t xml:space="preserve">to any regulation of the “exercise of public power”. In civilian systems, public law is another thing entirely, </w:t>
      </w:r>
      <w:r w:rsidR="00F31A95" w:rsidRPr="00C30D62">
        <w:rPr>
          <w:rFonts w:ascii="Book Antiqua" w:hAnsi="Book Antiqua"/>
        </w:rPr>
        <w:t xml:space="preserve">a “separate branch of law”. Some political scientists, moreover, use public law to denote </w:t>
      </w:r>
      <w:r w:rsidR="00BF3A4F" w:rsidRPr="00C30D62">
        <w:rPr>
          <w:rFonts w:ascii="Book Antiqua" w:hAnsi="Book Antiqua"/>
        </w:rPr>
        <w:t xml:space="preserve">research on the role of law and courts in the political system. Beyond terminological difficulties, </w:t>
      </w:r>
      <w:r w:rsidR="00BE03DD" w:rsidRPr="00C30D62">
        <w:rPr>
          <w:rFonts w:ascii="Book Antiqua" w:hAnsi="Book Antiqua"/>
        </w:rPr>
        <w:t xml:space="preserve">there is a </w:t>
      </w:r>
      <w:r w:rsidR="00913E9F" w:rsidRPr="00C30D62">
        <w:rPr>
          <w:rFonts w:ascii="Book Antiqua" w:hAnsi="Book Antiqua"/>
        </w:rPr>
        <w:t>spectrum</w:t>
      </w:r>
      <w:r w:rsidR="00BE03DD" w:rsidRPr="00C30D62">
        <w:rPr>
          <w:rFonts w:ascii="Book Antiqua" w:hAnsi="Book Antiqua"/>
        </w:rPr>
        <w:t xml:space="preserve"> </w:t>
      </w:r>
      <w:r w:rsidR="005E042F" w:rsidRPr="00C30D62">
        <w:rPr>
          <w:rFonts w:ascii="Book Antiqua" w:hAnsi="Book Antiqua"/>
        </w:rPr>
        <w:t>with</w:t>
      </w:r>
      <w:r w:rsidR="00BE03DD" w:rsidRPr="00C30D62">
        <w:rPr>
          <w:rFonts w:ascii="Book Antiqua" w:hAnsi="Book Antiqua"/>
        </w:rPr>
        <w:t xml:space="preserve"> those who see comparative public law</w:t>
      </w:r>
      <w:r w:rsidR="00A159F7" w:rsidRPr="00C30D62">
        <w:rPr>
          <w:rFonts w:ascii="Book Antiqua" w:hAnsi="Book Antiqua"/>
        </w:rPr>
        <w:t xml:space="preserve"> </w:t>
      </w:r>
      <w:r w:rsidR="007B1DEF" w:rsidRPr="00C30D62">
        <w:rPr>
          <w:rFonts w:ascii="Book Antiqua" w:hAnsi="Book Antiqua"/>
        </w:rPr>
        <w:t>“primary as a legal-research discipline”</w:t>
      </w:r>
      <w:r w:rsidR="005E042F" w:rsidRPr="00C30D62">
        <w:rPr>
          <w:rFonts w:ascii="Book Antiqua" w:hAnsi="Book Antiqua"/>
        </w:rPr>
        <w:t xml:space="preserve"> at one extreme</w:t>
      </w:r>
      <w:r w:rsidR="00C141FF" w:rsidRPr="00C30D62">
        <w:rPr>
          <w:rFonts w:ascii="Book Antiqua" w:hAnsi="Book Antiqua"/>
        </w:rPr>
        <w:t xml:space="preserve"> and those</w:t>
      </w:r>
      <w:r w:rsidR="005E042F" w:rsidRPr="00C30D62">
        <w:rPr>
          <w:rFonts w:ascii="Book Antiqua" w:hAnsi="Book Antiqua"/>
        </w:rPr>
        <w:t xml:space="preserve"> at the other extreme</w:t>
      </w:r>
      <w:r w:rsidR="00C141FF" w:rsidRPr="00C30D62">
        <w:rPr>
          <w:rFonts w:ascii="Book Antiqua" w:hAnsi="Book Antiqua"/>
        </w:rPr>
        <w:t xml:space="preserve"> who see it is a “multidisciplinary enterprise” with social science paradigms and methods playing a distinct role. </w:t>
      </w:r>
      <w:r w:rsidR="00272271" w:rsidRPr="00C30D62">
        <w:rPr>
          <w:rFonts w:ascii="Book Antiqua" w:hAnsi="Book Antiqua"/>
        </w:rPr>
        <w:t>But researchers may locate themselves on the spectrum between these two poles:</w:t>
      </w:r>
    </w:p>
    <w:p w14:paraId="4FE290EA" w14:textId="4AFD0A5B" w:rsidR="00272271" w:rsidRPr="00C30D62" w:rsidRDefault="00272271" w:rsidP="00272271">
      <w:pPr>
        <w:ind w:left="720"/>
        <w:jc w:val="both"/>
        <w:rPr>
          <w:rFonts w:ascii="Book Antiqua" w:hAnsi="Book Antiqua"/>
        </w:rPr>
      </w:pPr>
      <w:r w:rsidRPr="00C30D62">
        <w:rPr>
          <w:rFonts w:ascii="Book Antiqua" w:hAnsi="Book Antiqua"/>
        </w:rPr>
        <w:t>[I]t is probably best to think of comparative public law, not as a coherent research field, but as a convenient label for a range of different research agendas that are loosely connected to each other. For some people, the emphasis falls on legal doctrine, either from the perspective of a single jurisdiction looking outwards or from a more neutral perspective – looking down across several bodies of law. For others, the emphasis falls on the social and political context in which public law norms in different countries have evolved and their impact in turn on society. For yet another group, doctrine falls away altogether, with the focus falling instead on the social dynamics of the political system in which public power is exercised.</w:t>
      </w:r>
    </w:p>
    <w:p w14:paraId="2181FEF2" w14:textId="18E9B44E" w:rsidR="00A205D3" w:rsidRPr="00C30D62" w:rsidRDefault="00C142EE" w:rsidP="003E5FD2">
      <w:pPr>
        <w:jc w:val="both"/>
        <w:rPr>
          <w:rFonts w:ascii="Book Antiqua" w:hAnsi="Book Antiqua"/>
        </w:rPr>
      </w:pPr>
      <w:r w:rsidRPr="00C30D62">
        <w:rPr>
          <w:rFonts w:ascii="Book Antiqua" w:hAnsi="Book Antiqua"/>
        </w:rPr>
        <w:t>This, then, is the field of comparative public law, such as it is. Within the field, there are three main traditions: doctrinal</w:t>
      </w:r>
      <w:r w:rsidR="00A205D3" w:rsidRPr="00C30D62">
        <w:rPr>
          <w:rFonts w:ascii="Book Antiqua" w:hAnsi="Book Antiqua"/>
        </w:rPr>
        <w:t>, socio-legal and political science.</w:t>
      </w:r>
    </w:p>
    <w:p w14:paraId="58B6E1E3" w14:textId="32A3584D" w:rsidR="00A205D3" w:rsidRPr="00C30D62" w:rsidRDefault="00A205D3" w:rsidP="003E5FD2">
      <w:pPr>
        <w:jc w:val="both"/>
        <w:rPr>
          <w:rFonts w:ascii="Book Antiqua" w:hAnsi="Book Antiqua"/>
        </w:rPr>
      </w:pPr>
      <w:r w:rsidRPr="00C30D62">
        <w:rPr>
          <w:rFonts w:ascii="Book Antiqua" w:hAnsi="Book Antiqua"/>
        </w:rPr>
        <w:t xml:space="preserve">Researchers in the doctrinal tradition face, at first glance, imposing obstacles. </w:t>
      </w:r>
      <w:r w:rsidR="004C471B" w:rsidRPr="00C30D62">
        <w:rPr>
          <w:rFonts w:ascii="Book Antiqua" w:hAnsi="Book Antiqua"/>
        </w:rPr>
        <w:t>Public law, perhaps uniquely amongst fields of comparative legal inquiry,</w:t>
      </w:r>
      <w:r w:rsidR="006135C6" w:rsidRPr="00C30D62">
        <w:rPr>
          <w:rFonts w:ascii="Book Antiqua" w:hAnsi="Book Antiqua"/>
        </w:rPr>
        <w:t xml:space="preserve"> is widely thought to represent (in whole </w:t>
      </w:r>
      <w:r w:rsidR="006135C6" w:rsidRPr="00C30D62">
        <w:rPr>
          <w:rFonts w:ascii="Book Antiqua" w:hAnsi="Book Antiqua"/>
        </w:rPr>
        <w:lastRenderedPageBreak/>
        <w:t xml:space="preserve">or in part) underlying power relations in a particular society. Nonetheless, doctrinal researchers outside the United States have, by focusing on the search for “principled coherence” internal to </w:t>
      </w:r>
      <w:r w:rsidR="00633328" w:rsidRPr="00C30D62">
        <w:rPr>
          <w:rFonts w:ascii="Book Antiqua" w:hAnsi="Book Antiqua"/>
        </w:rPr>
        <w:t xml:space="preserve">public law in particular jurisdictions, </w:t>
      </w:r>
      <w:r w:rsidR="00ED732A" w:rsidRPr="00C30D62">
        <w:rPr>
          <w:rFonts w:ascii="Book Antiqua" w:hAnsi="Book Antiqua"/>
        </w:rPr>
        <w:t>engaged in comparative public law research without</w:t>
      </w:r>
      <w:r w:rsidR="005D2070" w:rsidRPr="00C30D62">
        <w:rPr>
          <w:rFonts w:ascii="Book Antiqua" w:hAnsi="Book Antiqua"/>
        </w:rPr>
        <w:t xml:space="preserve"> significant worries about whether law and politics are separable.</w:t>
      </w:r>
      <w:r w:rsidR="00ED732A" w:rsidRPr="00C30D62">
        <w:rPr>
          <w:rFonts w:ascii="Book Antiqua" w:hAnsi="Book Antiqua"/>
        </w:rPr>
        <w:t xml:space="preserve"> </w:t>
      </w:r>
      <w:r w:rsidR="00985C32" w:rsidRPr="00C30D62">
        <w:rPr>
          <w:rFonts w:ascii="Book Antiqua" w:hAnsi="Book Antiqua"/>
        </w:rPr>
        <w:t>Furthermore, public law</w:t>
      </w:r>
      <w:r w:rsidR="004C471B" w:rsidRPr="00C30D62">
        <w:rPr>
          <w:rFonts w:ascii="Book Antiqua" w:hAnsi="Book Antiqua"/>
        </w:rPr>
        <w:t xml:space="preserve"> is shaped by political, social and other factors which vary tremendously from jurisdiction to jurisdiction. </w:t>
      </w:r>
      <w:r w:rsidR="00C37A13" w:rsidRPr="00C30D62">
        <w:rPr>
          <w:rFonts w:ascii="Book Antiqua" w:hAnsi="Book Antiqua"/>
        </w:rPr>
        <w:t xml:space="preserve">This “cultural difference” obstacle has been surmounted </w:t>
      </w:r>
      <w:r w:rsidR="00001394" w:rsidRPr="00C30D62">
        <w:rPr>
          <w:rFonts w:ascii="Book Antiqua" w:hAnsi="Book Antiqua"/>
        </w:rPr>
        <w:t>or circumvented in two ways, “either by reducing the number of legal systems compared to a few closely related systems</w:t>
      </w:r>
      <w:r w:rsidR="007B3ACA" w:rsidRPr="00C30D62">
        <w:rPr>
          <w:rFonts w:ascii="Book Antiqua" w:hAnsi="Book Antiqua"/>
        </w:rPr>
        <w:t>”, as by studying concepts such as legitimate expectation in select common law jurisdictions only</w:t>
      </w:r>
      <w:r w:rsidR="00001394" w:rsidRPr="00C30D62">
        <w:rPr>
          <w:rFonts w:ascii="Book Antiqua" w:hAnsi="Book Antiqua"/>
        </w:rPr>
        <w:t xml:space="preserve"> </w:t>
      </w:r>
      <w:r w:rsidR="007B3ACA" w:rsidRPr="00C30D62">
        <w:rPr>
          <w:rFonts w:ascii="Book Antiqua" w:hAnsi="Book Antiqua"/>
        </w:rPr>
        <w:t xml:space="preserve">“or, </w:t>
      </w:r>
      <w:r w:rsidR="00001394" w:rsidRPr="00C30D62">
        <w:rPr>
          <w:rFonts w:ascii="Book Antiqua" w:hAnsi="Book Antiqua"/>
        </w:rPr>
        <w:t>conversely, by making the culturally determined nature of public law the focus of the inquiry”</w:t>
      </w:r>
      <w:r w:rsidR="007B3ACA" w:rsidRPr="00C30D62">
        <w:rPr>
          <w:rFonts w:ascii="Book Antiqua" w:hAnsi="Book Antiqua"/>
        </w:rPr>
        <w:t>, as by using a general concept such as proportionality and analyzing its reception</w:t>
      </w:r>
      <w:r w:rsidR="00C00FBC" w:rsidRPr="00C30D62">
        <w:rPr>
          <w:rFonts w:ascii="Book Antiqua" w:hAnsi="Book Antiqua"/>
        </w:rPr>
        <w:t xml:space="preserve"> by different legal cultures. A final difficulty is that in common law systems, public law is arguably not a </w:t>
      </w:r>
      <w:r w:rsidR="000C16DB" w:rsidRPr="00C30D62">
        <w:rPr>
          <w:rFonts w:ascii="Book Antiqua" w:hAnsi="Book Antiqua"/>
        </w:rPr>
        <w:t>distinct area of law at all, and certainly was not until recently. But taking a functional approach</w:t>
      </w:r>
      <w:r w:rsidR="00515977" w:rsidRPr="00C30D62">
        <w:rPr>
          <w:rFonts w:ascii="Book Antiqua" w:hAnsi="Book Antiqua"/>
        </w:rPr>
        <w:t>, focusing on the regulation of public law, allows the researcher to avoid hard questions about whether public law is a meaningful doctrinal category.</w:t>
      </w:r>
      <w:r w:rsidR="001F5179" w:rsidRPr="00C30D62">
        <w:rPr>
          <w:rFonts w:ascii="Book Antiqua" w:hAnsi="Book Antiqua"/>
        </w:rPr>
        <w:t xml:space="preserve"> With these obstacles avoided, there is a typology of doctrinal approaches to comparative public law research:</w:t>
      </w:r>
    </w:p>
    <w:p w14:paraId="3F7F5FB6" w14:textId="132C5C86" w:rsidR="001F5179" w:rsidRPr="00C30D62" w:rsidRDefault="001F5179" w:rsidP="001F5179">
      <w:pPr>
        <w:ind w:left="720"/>
        <w:jc w:val="both"/>
        <w:rPr>
          <w:rFonts w:ascii="Book Antiqua" w:hAnsi="Book Antiqua"/>
        </w:rPr>
      </w:pPr>
      <w:r w:rsidRPr="00C30D62">
        <w:rPr>
          <w:rFonts w:ascii="Book Antiqua" w:hAnsi="Book Antiqua"/>
        </w:rPr>
        <w:t>The first adopts the perspective of a single jurisdiction and looks to foreign law for guidance and instruction on the best interpretation of legal norms in that jurisdiction (Type 1). The second takes as its object of study a small number of closely connected legal systems and compares and contrasts the meaning of a given norm in each jurisdiction, either so as to contribute to enhanced understanding of the meaning of that norm in each of those jurisdictions (Type 2a) or to explain the reason behind the variation (Type 2b). The third type consists of legal harmonization work in which the researcher uses their understanding of the meaning of a norm in two or more jurisdictions to suggest ways in which the two meanings might be reconciled, with least violence to each (Type 3).</w:t>
      </w:r>
    </w:p>
    <w:p w14:paraId="27E64DB5" w14:textId="1A93B87A" w:rsidR="00913E9F" w:rsidRPr="00C30D62" w:rsidRDefault="00913E9F" w:rsidP="00FB02E8">
      <w:pPr>
        <w:jc w:val="both"/>
        <w:rPr>
          <w:rFonts w:ascii="Book Antiqua" w:hAnsi="Book Antiqua"/>
        </w:rPr>
      </w:pPr>
      <w:r w:rsidRPr="00C30D62">
        <w:rPr>
          <w:rFonts w:ascii="Book Antiqua" w:hAnsi="Book Antiqua"/>
        </w:rPr>
        <w:t>At the other end of the spectrum</w:t>
      </w:r>
      <w:r w:rsidR="00666DD9" w:rsidRPr="00C30D62">
        <w:rPr>
          <w:rFonts w:ascii="Book Antiqua" w:hAnsi="Book Antiqua"/>
        </w:rPr>
        <w:t>, socio-legal studies is a multidisciplinary field of inquiry “in its own right”</w:t>
      </w:r>
      <w:r w:rsidR="00EC7D14" w:rsidRPr="00C30D62">
        <w:rPr>
          <w:rFonts w:ascii="Book Antiqua" w:hAnsi="Book Antiqua"/>
        </w:rPr>
        <w:t xml:space="preserve"> </w:t>
      </w:r>
      <w:r w:rsidR="00406790" w:rsidRPr="00C30D62">
        <w:rPr>
          <w:rFonts w:ascii="Book Antiqua" w:hAnsi="Book Antiqua"/>
        </w:rPr>
        <w:t>featuring</w:t>
      </w:r>
      <w:r w:rsidR="00EC7D14" w:rsidRPr="00C30D62">
        <w:rPr>
          <w:rFonts w:ascii="Book Antiqua" w:hAnsi="Book Antiqua"/>
        </w:rPr>
        <w:t xml:space="preserve">, accordingly, a </w:t>
      </w:r>
      <w:r w:rsidR="00406790" w:rsidRPr="00C30D62">
        <w:rPr>
          <w:rFonts w:ascii="Book Antiqua" w:hAnsi="Book Antiqua"/>
        </w:rPr>
        <w:t xml:space="preserve">wide variety of research approaches. This research tends to focus </w:t>
      </w:r>
      <w:r w:rsidR="001E6CC3" w:rsidRPr="00C30D62">
        <w:rPr>
          <w:rFonts w:ascii="Book Antiqua" w:hAnsi="Book Antiqua"/>
        </w:rPr>
        <w:t>less on testing hypotheses as on illuminating complex social processes. Moreover, it tends to be “genuinely interdisciplinary in the sense that it treats law as a relatively autonomous social system with its own conceptual logic and immanent values, and not just as an empirically measurable phenomenon…”.</w:t>
      </w:r>
      <w:r w:rsidR="007504C9" w:rsidRPr="00C30D62">
        <w:rPr>
          <w:rFonts w:ascii="Book Antiqua" w:hAnsi="Book Antiqua"/>
        </w:rPr>
        <w:t xml:space="preserve"> There are two distinct types of </w:t>
      </w:r>
      <w:r w:rsidR="00AB5C22" w:rsidRPr="00C30D62">
        <w:rPr>
          <w:rFonts w:ascii="Book Antiqua" w:hAnsi="Book Antiqua"/>
        </w:rPr>
        <w:t xml:space="preserve">qualitative socio-legal research in comparative law. First, combining a lawyer’s insider perspective on legal norms with the external perspective of one or more social-science disciplines. </w:t>
      </w:r>
      <w:r w:rsidR="00FB02E8" w:rsidRPr="00C30D62">
        <w:rPr>
          <w:rFonts w:ascii="Book Antiqua" w:hAnsi="Book Antiqua"/>
        </w:rPr>
        <w:t xml:space="preserve">The goal is to understand the “operation and effect of legal norms” but – a clear point of distinction </w:t>
      </w:r>
      <w:r w:rsidR="00550886" w:rsidRPr="00C30D62">
        <w:rPr>
          <w:rFonts w:ascii="Book Antiqua" w:hAnsi="Book Antiqua"/>
        </w:rPr>
        <w:t xml:space="preserve">with doctrinal researchers – </w:t>
      </w:r>
      <w:r w:rsidR="00FB02E8" w:rsidRPr="00C30D62">
        <w:rPr>
          <w:rFonts w:ascii="Book Antiqua" w:hAnsi="Book Antiqua"/>
        </w:rPr>
        <w:t>“the ambition is usually not to improve the legal regulation of a given social problem, but rather to contribute to an autonomous body of social science knowledge”</w:t>
      </w:r>
      <w:r w:rsidR="00550886" w:rsidRPr="00C30D62">
        <w:rPr>
          <w:rFonts w:ascii="Book Antiqua" w:hAnsi="Book Antiqua"/>
        </w:rPr>
        <w:t xml:space="preserve">. </w:t>
      </w:r>
      <w:r w:rsidR="00491067" w:rsidRPr="00C30D62">
        <w:rPr>
          <w:rFonts w:ascii="Book Antiqua" w:hAnsi="Book Antiqua"/>
        </w:rPr>
        <w:t xml:space="preserve">Second, </w:t>
      </w:r>
      <w:r w:rsidR="00423B17" w:rsidRPr="00C30D62">
        <w:rPr>
          <w:rFonts w:ascii="Book Antiqua" w:hAnsi="Book Antiqua"/>
        </w:rPr>
        <w:t>engaging in area studies, whereby “common experience, such as a shared history of colonisation, say, serves to reduce the relevance of some of the harder-to-operationalise cultural variables that can hamper comparative work in public law”.</w:t>
      </w:r>
      <w:r w:rsidR="008D2108" w:rsidRPr="00C30D62">
        <w:rPr>
          <w:rFonts w:ascii="Book Antiqua" w:hAnsi="Book Antiqua"/>
        </w:rPr>
        <w:t xml:space="preserve"> This tends to involve focusing on countries in similar geographic regions</w:t>
      </w:r>
      <w:r w:rsidR="00EF6B62" w:rsidRPr="00C30D62">
        <w:rPr>
          <w:rFonts w:ascii="Book Antiqua" w:hAnsi="Book Antiqua"/>
        </w:rPr>
        <w:t xml:space="preserve">. </w:t>
      </w:r>
      <w:r w:rsidR="008A33CA" w:rsidRPr="00C30D62">
        <w:rPr>
          <w:rFonts w:ascii="Book Antiqua" w:hAnsi="Book Antiqua"/>
        </w:rPr>
        <w:t xml:space="preserve">With geographic proximity reducing the salience of background context and geo-politics as explanatory variables, it becomes possible </w:t>
      </w:r>
      <w:r w:rsidR="009E1248" w:rsidRPr="00C30D62">
        <w:rPr>
          <w:rFonts w:ascii="Book Antiqua" w:hAnsi="Book Antiqua"/>
        </w:rPr>
        <w:t>to ascribe differences in constitutional outcomes to “political and institutional choices”.</w:t>
      </w:r>
    </w:p>
    <w:p w14:paraId="3F8FFF4C" w14:textId="54585DEE" w:rsidR="00FC4DA4" w:rsidRPr="00C30D62" w:rsidRDefault="009E1248" w:rsidP="00FB02E8">
      <w:pPr>
        <w:jc w:val="both"/>
        <w:rPr>
          <w:rFonts w:ascii="Book Antiqua" w:hAnsi="Book Antiqua"/>
        </w:rPr>
      </w:pPr>
      <w:r w:rsidRPr="00C30D62">
        <w:rPr>
          <w:rFonts w:ascii="Book Antiqua" w:hAnsi="Book Antiqua"/>
        </w:rPr>
        <w:t xml:space="preserve">The last major approach to comparative public law is the </w:t>
      </w:r>
      <w:r w:rsidR="001F02FC" w:rsidRPr="00C30D62">
        <w:rPr>
          <w:rFonts w:ascii="Book Antiqua" w:hAnsi="Book Antiqua"/>
        </w:rPr>
        <w:t xml:space="preserve">comparative approach taken by American political scientists. Although at the beginning this approach was applied to domestic </w:t>
      </w:r>
      <w:r w:rsidR="001F02FC" w:rsidRPr="00C30D62">
        <w:rPr>
          <w:rFonts w:ascii="Book Antiqua" w:hAnsi="Book Antiqua"/>
        </w:rPr>
        <w:lastRenderedPageBreak/>
        <w:t>institutions, researchers in this tradition have</w:t>
      </w:r>
      <w:r w:rsidR="00003D52" w:rsidRPr="00C30D62">
        <w:rPr>
          <w:rFonts w:ascii="Book Antiqua" w:hAnsi="Book Antiqua"/>
        </w:rPr>
        <w:t>, since the end of the Cold War in 1989, used their techniques to study jurisdictions other than the United States.</w:t>
      </w:r>
      <w:r w:rsidR="006114A8" w:rsidRPr="00C30D62">
        <w:rPr>
          <w:rFonts w:ascii="Book Antiqua" w:hAnsi="Book Antiqua"/>
        </w:rPr>
        <w:t xml:space="preserve"> So, for example, the collapse of the Soviet Union and the resultant formation of new legal systems led to particular interest in institutions such as constitutional courts. </w:t>
      </w:r>
      <w:r w:rsidR="00E9164C" w:rsidRPr="00C30D62">
        <w:rPr>
          <w:rFonts w:ascii="Book Antiqua" w:hAnsi="Book Antiqua"/>
        </w:rPr>
        <w:t xml:space="preserve">The spread of American-style constitutionalism allowed behaviouralists, rational choice theorists and historical institutionalists to test their hypotheses </w:t>
      </w:r>
      <w:r w:rsidR="00A735AB" w:rsidRPr="00C30D62">
        <w:rPr>
          <w:rFonts w:ascii="Book Antiqua" w:hAnsi="Book Antiqua"/>
        </w:rPr>
        <w:t>and “generalise their insights”. This work does not focus simply on courts but also on public decision-making institutions generally</w:t>
      </w:r>
      <w:r w:rsidR="00FC4DA4" w:rsidRPr="00C30D62">
        <w:rPr>
          <w:rFonts w:ascii="Book Antiqua" w:hAnsi="Book Antiqua"/>
        </w:rPr>
        <w:t xml:space="preserve"> and, recently, has brought empirical methods to bear on matters such as the content of constitutions.</w:t>
      </w:r>
    </w:p>
    <w:p w14:paraId="5D1860DB" w14:textId="253C6FA4" w:rsidR="00FC4DA4" w:rsidRPr="00C30D62" w:rsidRDefault="00FC4DA4" w:rsidP="00FB02E8">
      <w:pPr>
        <w:jc w:val="both"/>
        <w:rPr>
          <w:rFonts w:ascii="Book Antiqua" w:hAnsi="Book Antiqua"/>
        </w:rPr>
      </w:pPr>
      <w:r w:rsidRPr="00C30D62">
        <w:rPr>
          <w:rFonts w:ascii="Book Antiqua" w:hAnsi="Book Antiqua"/>
        </w:rPr>
        <w:t xml:space="preserve">Roux concludes by making some suggestions about the future evolution of the field. </w:t>
      </w:r>
      <w:r w:rsidR="00A232AA" w:rsidRPr="00C30D62">
        <w:rPr>
          <w:rFonts w:ascii="Book Antiqua" w:hAnsi="Book Antiqua"/>
        </w:rPr>
        <w:t xml:space="preserve">Whilst acknowledging the benefits of a “big-tent, multidisciplinary conception of the field”, he </w:t>
      </w:r>
      <w:r w:rsidR="004E3D2E" w:rsidRPr="00C30D62">
        <w:rPr>
          <w:rFonts w:ascii="Book Antiqua" w:hAnsi="Book Antiqua"/>
        </w:rPr>
        <w:t>notes a major downside risk: “that scholars working in each paradigm would run the risk of ignoring findings emanating from the other paradigms that might assist them in their work or, indeed, challenge some of their settled assumptions”. Interdisciplinary work, by contrast, ensures that</w:t>
      </w:r>
      <w:r w:rsidR="009912D7" w:rsidRPr="00C30D62">
        <w:rPr>
          <w:rFonts w:ascii="Book Antiqua" w:hAnsi="Book Antiqua"/>
        </w:rPr>
        <w:t xml:space="preserve"> the dangers of tunnel vision are avoided. Yet, so far, there has been a lot of “easy talk” about interdisciplinary work</w:t>
      </w:r>
      <w:r w:rsidR="00D8207D" w:rsidRPr="00C30D62">
        <w:rPr>
          <w:rFonts w:ascii="Book Antiqua" w:hAnsi="Book Antiqua"/>
        </w:rPr>
        <w:t xml:space="preserve"> but “very little serious consideration” about feasibility. For Roux – and here there is a message for the aspiring researcher in comparative public law </w:t>
      </w:r>
      <w:r w:rsidR="00A93C1D" w:rsidRPr="00C30D62">
        <w:rPr>
          <w:rFonts w:ascii="Book Antiqua" w:hAnsi="Book Antiqua"/>
        </w:rPr>
        <w:t>–</w:t>
      </w:r>
      <w:r w:rsidR="00D8207D" w:rsidRPr="00C30D62">
        <w:rPr>
          <w:rFonts w:ascii="Book Antiqua" w:hAnsi="Book Antiqua"/>
        </w:rPr>
        <w:t xml:space="preserve"> </w:t>
      </w:r>
      <w:r w:rsidR="00A93C1D" w:rsidRPr="00C30D62">
        <w:rPr>
          <w:rFonts w:ascii="Book Antiqua" w:hAnsi="Book Antiqua"/>
        </w:rPr>
        <w:t>the chances of comparative public lawyers making “a practical contribution to fair and effective governance”</w:t>
      </w:r>
      <w:r w:rsidR="00A815D8" w:rsidRPr="00C30D62">
        <w:rPr>
          <w:rFonts w:ascii="Book Antiqua" w:hAnsi="Book Antiqua"/>
        </w:rPr>
        <w:t xml:space="preserve"> would be greatly enhanced </w:t>
      </w:r>
      <w:r w:rsidR="00A14635" w:rsidRPr="00C30D62">
        <w:rPr>
          <w:rFonts w:ascii="Book Antiqua" w:hAnsi="Book Antiqua"/>
        </w:rPr>
        <w:t>by interdisciplinary engagement.</w:t>
      </w:r>
    </w:p>
    <w:p w14:paraId="34E065AA" w14:textId="0FF4EB56" w:rsidR="00882A92" w:rsidRPr="00C30D62" w:rsidRDefault="0027556B" w:rsidP="00AE716A">
      <w:pPr>
        <w:jc w:val="both"/>
        <w:rPr>
          <w:rFonts w:ascii="Book Antiqua" w:hAnsi="Book Antiqua"/>
        </w:rPr>
      </w:pPr>
      <w:r w:rsidRPr="00C30D62">
        <w:rPr>
          <w:rFonts w:ascii="Book Antiqua" w:hAnsi="Book Antiqua"/>
        </w:rPr>
        <w:t>Martin Loughlin and Samuel Tschorne</w:t>
      </w:r>
      <w:r w:rsidR="00882A92" w:rsidRPr="00C30D62">
        <w:rPr>
          <w:rFonts w:ascii="Book Antiqua" w:hAnsi="Book Antiqua"/>
        </w:rPr>
        <w:t xml:space="preserve"> tackle theoretical approaches to public law. They </w:t>
      </w:r>
      <w:r w:rsidR="008172A9" w:rsidRPr="00C30D62">
        <w:rPr>
          <w:rFonts w:ascii="Book Antiqua" w:hAnsi="Book Antiqua"/>
        </w:rPr>
        <w:t>begin with the arresting proposition that there is widespread belief that</w:t>
      </w:r>
      <w:r w:rsidR="009C1F19" w:rsidRPr="00C30D62">
        <w:rPr>
          <w:rFonts w:ascii="Book Antiqua" w:hAnsi="Book Antiqua"/>
        </w:rPr>
        <w:t xml:space="preserve"> “traditional constitutional practices are coming to the end of their useful life”. Loughlin and Tschorne’s focus is the constitutional arrangements of the United Kingdom </w:t>
      </w:r>
      <w:r w:rsidR="00BF17CF" w:rsidRPr="00C30D62">
        <w:rPr>
          <w:rFonts w:ascii="Book Antiqua" w:hAnsi="Book Antiqua"/>
        </w:rPr>
        <w:t>(</w:t>
      </w:r>
      <w:r w:rsidR="009C1F19" w:rsidRPr="00C30D62">
        <w:rPr>
          <w:rFonts w:ascii="Book Antiqua" w:hAnsi="Book Antiqua"/>
        </w:rPr>
        <w:t>but</w:t>
      </w:r>
      <w:r w:rsidR="00BF17CF" w:rsidRPr="00C30D62">
        <w:rPr>
          <w:rFonts w:ascii="Book Antiqua" w:hAnsi="Book Antiqua"/>
        </w:rPr>
        <w:t xml:space="preserve"> we would add that</w:t>
      </w:r>
      <w:r w:rsidR="009C1F19" w:rsidRPr="00C30D62">
        <w:rPr>
          <w:rFonts w:ascii="Book Antiqua" w:hAnsi="Book Antiqua"/>
        </w:rPr>
        <w:t xml:space="preserve"> their account of the recent theoretical turn in public law scholarship carries force overseas as well</w:t>
      </w:r>
      <w:r w:rsidR="00BF17CF" w:rsidRPr="00C30D62">
        <w:rPr>
          <w:rFonts w:ascii="Book Antiqua" w:hAnsi="Book Antiqua"/>
        </w:rPr>
        <w:t xml:space="preserve">). </w:t>
      </w:r>
      <w:r w:rsidR="003E2487" w:rsidRPr="00C30D62">
        <w:rPr>
          <w:rFonts w:ascii="Book Antiqua" w:hAnsi="Book Antiqua"/>
        </w:rPr>
        <w:t xml:space="preserve">A “sustained exercise in conceptual and methodological diversification” over recent decades has led to a reconfiguration of the </w:t>
      </w:r>
      <w:r w:rsidR="00EA34F5" w:rsidRPr="00C30D62">
        <w:rPr>
          <w:rFonts w:ascii="Book Antiqua" w:hAnsi="Book Antiqua"/>
        </w:rPr>
        <w:t>subject</w:t>
      </w:r>
      <w:r w:rsidR="003E2487" w:rsidRPr="00C30D62">
        <w:rPr>
          <w:rFonts w:ascii="Book Antiqua" w:hAnsi="Book Antiqua"/>
        </w:rPr>
        <w:t xml:space="preserve"> of public law.  </w:t>
      </w:r>
      <w:r w:rsidR="00EA34F5" w:rsidRPr="00C30D62">
        <w:rPr>
          <w:rFonts w:ascii="Book Antiqua" w:hAnsi="Book Antiqua"/>
        </w:rPr>
        <w:t xml:space="preserve">Given the vastness of the field of inquiry, Loughlin and Tschorne identify three clusters of theoretical analysis in public law, choosing exemplars of each as a means of </w:t>
      </w:r>
      <w:r w:rsidR="00882A92" w:rsidRPr="00C30D62">
        <w:rPr>
          <w:rFonts w:ascii="Book Antiqua" w:hAnsi="Book Antiqua"/>
        </w:rPr>
        <w:t>describing different theoretical approaches to public law</w:t>
      </w:r>
      <w:r w:rsidR="00673ADB" w:rsidRPr="00C30D62">
        <w:rPr>
          <w:rFonts w:ascii="Book Antiqua" w:hAnsi="Book Antiqua"/>
        </w:rPr>
        <w:t xml:space="preserve">. These are constructivism, </w:t>
      </w:r>
      <w:r w:rsidR="008243F2" w:rsidRPr="00C30D62">
        <w:rPr>
          <w:rFonts w:ascii="Book Antiqua" w:hAnsi="Book Antiqua"/>
        </w:rPr>
        <w:t>deconstructivism and reconstructivism.</w:t>
      </w:r>
    </w:p>
    <w:p w14:paraId="41F4F6B1" w14:textId="493B1436" w:rsidR="008243F2" w:rsidRPr="00C30D62" w:rsidRDefault="008243F2" w:rsidP="00AE716A">
      <w:pPr>
        <w:jc w:val="both"/>
        <w:rPr>
          <w:rFonts w:ascii="Book Antiqua" w:hAnsi="Book Antiqua"/>
        </w:rPr>
      </w:pPr>
      <w:r w:rsidRPr="00C30D62">
        <w:rPr>
          <w:rFonts w:ascii="Book Antiqua" w:hAnsi="Book Antiqua"/>
        </w:rPr>
        <w:t>Constructivism involves “an inquiry into the normative foundations or justificatory principles of constitutional and administrative law” and, ultimately, painting the law in its best possible light</w:t>
      </w:r>
      <w:r w:rsidR="00D35688" w:rsidRPr="00C30D62">
        <w:rPr>
          <w:rFonts w:ascii="Book Antiqua" w:hAnsi="Book Antiqua"/>
        </w:rPr>
        <w:t xml:space="preserve"> given “certain higher principles of political morality extant in our community life”. </w:t>
      </w:r>
      <w:r w:rsidR="00FB189E" w:rsidRPr="00C30D62">
        <w:rPr>
          <w:rFonts w:ascii="Book Antiqua" w:hAnsi="Book Antiqua"/>
        </w:rPr>
        <w:t xml:space="preserve">Constructivists seek to answer pressing questions in public law by reference to these higher principles. </w:t>
      </w:r>
      <w:r w:rsidR="0028487B" w:rsidRPr="00C30D62">
        <w:rPr>
          <w:rFonts w:ascii="Book Antiqua" w:hAnsi="Book Antiqua"/>
        </w:rPr>
        <w:t>There are three main vari</w:t>
      </w:r>
      <w:r w:rsidR="00692BB1" w:rsidRPr="00C30D62">
        <w:rPr>
          <w:rFonts w:ascii="Book Antiqua" w:hAnsi="Book Antiqua"/>
        </w:rPr>
        <w:t xml:space="preserve">eties of constructivist thought which are distinguishable based on the higher principles – social, moral and political – upon which they rely.  </w:t>
      </w:r>
      <w:r w:rsidR="004D2D48" w:rsidRPr="00C30D62">
        <w:rPr>
          <w:rFonts w:ascii="Book Antiqua" w:hAnsi="Book Antiqua"/>
        </w:rPr>
        <w:t>A constructivist theory of public law based on critical social theory (like</w:t>
      </w:r>
      <w:r w:rsidR="00FA711E" w:rsidRPr="00C30D62">
        <w:rPr>
          <w:rFonts w:ascii="Book Antiqua" w:hAnsi="Book Antiqua"/>
        </w:rPr>
        <w:t xml:space="preserve"> Ian Harden and Norman Lewis’s </w:t>
      </w:r>
      <w:r w:rsidR="00FA711E" w:rsidRPr="00C30D62">
        <w:rPr>
          <w:rFonts w:ascii="Book Antiqua" w:hAnsi="Book Antiqua"/>
          <w:i/>
          <w:iCs/>
        </w:rPr>
        <w:t>The Noble Lie: The British Constitution and the Rule of Law</w:t>
      </w:r>
      <w:r w:rsidR="00FA711E" w:rsidRPr="00C30D62">
        <w:rPr>
          <w:rStyle w:val="FootnoteReference"/>
          <w:rFonts w:ascii="Book Antiqua" w:hAnsi="Book Antiqua"/>
        </w:rPr>
        <w:footnoteReference w:id="9"/>
      </w:r>
      <w:r w:rsidR="00FA711E" w:rsidRPr="00C30D62">
        <w:rPr>
          <w:rFonts w:ascii="Book Antiqua" w:hAnsi="Book Antiqua"/>
        </w:rPr>
        <w:t>)</w:t>
      </w:r>
      <w:r w:rsidR="00F2521E" w:rsidRPr="00C30D62">
        <w:rPr>
          <w:rFonts w:ascii="Book Antiqua" w:hAnsi="Book Antiqua"/>
        </w:rPr>
        <w:t xml:space="preserve"> seeks to interrogate whether political institutions </w:t>
      </w:r>
      <w:r w:rsidR="007B1E35" w:rsidRPr="00C30D62">
        <w:rPr>
          <w:rFonts w:ascii="Book Antiqua" w:hAnsi="Book Antiqua"/>
        </w:rPr>
        <w:t xml:space="preserve">are remaining true to the underlying principles which animate them. </w:t>
      </w:r>
      <w:r w:rsidR="00CE52B5" w:rsidRPr="00C30D62">
        <w:rPr>
          <w:rFonts w:ascii="Book Antiqua" w:hAnsi="Book Antiqua"/>
        </w:rPr>
        <w:t xml:space="preserve">Whereas a constructivist critical social theorist sees public law </w:t>
      </w:r>
      <w:r w:rsidR="00064982" w:rsidRPr="00C30D62">
        <w:rPr>
          <w:rFonts w:ascii="Book Antiqua" w:hAnsi="Book Antiqua"/>
        </w:rPr>
        <w:t xml:space="preserve">as a “power map”, a constructivist moral theorist sees it as </w:t>
      </w:r>
      <w:r w:rsidR="00E7588F" w:rsidRPr="00C30D62">
        <w:rPr>
          <w:rFonts w:ascii="Book Antiqua" w:hAnsi="Book Antiqua"/>
        </w:rPr>
        <w:t>“a set of [normative] principles”.</w:t>
      </w:r>
      <w:r w:rsidR="0044209B" w:rsidRPr="00C30D62">
        <w:rPr>
          <w:rFonts w:ascii="Book Antiqua" w:hAnsi="Book Antiqua"/>
        </w:rPr>
        <w:t xml:space="preserve"> For example, Professor TRS</w:t>
      </w:r>
      <w:r w:rsidR="002817C1" w:rsidRPr="00C30D62">
        <w:rPr>
          <w:rFonts w:ascii="Book Antiqua" w:hAnsi="Book Antiqua"/>
        </w:rPr>
        <w:t xml:space="preserve"> Allan’s </w:t>
      </w:r>
      <w:r w:rsidR="0044209B" w:rsidRPr="00C30D62">
        <w:rPr>
          <w:rFonts w:ascii="Book Antiqua" w:hAnsi="Book Antiqua"/>
        </w:rPr>
        <w:t>approach</w:t>
      </w:r>
      <w:r w:rsidR="0044209B" w:rsidRPr="00C30D62">
        <w:rPr>
          <w:rStyle w:val="FootnoteReference"/>
          <w:rFonts w:ascii="Book Antiqua" w:hAnsi="Book Antiqua"/>
        </w:rPr>
        <w:footnoteReference w:id="10"/>
      </w:r>
      <w:r w:rsidR="002817C1" w:rsidRPr="00C30D62">
        <w:rPr>
          <w:rFonts w:ascii="Book Antiqua" w:hAnsi="Book Antiqua"/>
        </w:rPr>
        <w:t xml:space="preserve"> is moral rather than political as </w:t>
      </w:r>
      <w:r w:rsidR="00E26317" w:rsidRPr="00C30D62">
        <w:rPr>
          <w:rFonts w:ascii="Book Antiqua" w:hAnsi="Book Antiqua"/>
        </w:rPr>
        <w:t>his prescriptions</w:t>
      </w:r>
      <w:r w:rsidR="002817C1" w:rsidRPr="00C30D62">
        <w:rPr>
          <w:rFonts w:ascii="Book Antiqua" w:hAnsi="Book Antiqua"/>
        </w:rPr>
        <w:t xml:space="preserve"> </w:t>
      </w:r>
      <w:r w:rsidR="00E26317" w:rsidRPr="00C30D62">
        <w:rPr>
          <w:rFonts w:ascii="Book Antiqua" w:hAnsi="Book Antiqua"/>
        </w:rPr>
        <w:t>are</w:t>
      </w:r>
      <w:r w:rsidR="002817C1" w:rsidRPr="00C30D62">
        <w:rPr>
          <w:rFonts w:ascii="Book Antiqua" w:hAnsi="Book Antiqua"/>
        </w:rPr>
        <w:t xml:space="preserve"> not based on a fully worked-out </w:t>
      </w:r>
      <w:r w:rsidR="002817C1" w:rsidRPr="00C30D62">
        <w:rPr>
          <w:rFonts w:ascii="Book Antiqua" w:hAnsi="Book Antiqua"/>
        </w:rPr>
        <w:lastRenderedPageBreak/>
        <w:t>theory of justice</w:t>
      </w:r>
      <w:r w:rsidR="00E26317" w:rsidRPr="00C30D62">
        <w:rPr>
          <w:rFonts w:ascii="Book Antiqua" w:hAnsi="Book Antiqua"/>
        </w:rPr>
        <w:t xml:space="preserve"> but derived, rather, from “the way in which a constitutional government should treat each individual citizen”.</w:t>
      </w:r>
      <w:r w:rsidR="00D35931" w:rsidRPr="00C30D62">
        <w:rPr>
          <w:rFonts w:ascii="Book Antiqua" w:hAnsi="Book Antiqua"/>
        </w:rPr>
        <w:t xml:space="preserve"> </w:t>
      </w:r>
      <w:r w:rsidR="00360CA0" w:rsidRPr="00C30D62">
        <w:rPr>
          <w:rFonts w:ascii="Book Antiqua" w:hAnsi="Book Antiqua"/>
        </w:rPr>
        <w:t>C</w:t>
      </w:r>
      <w:r w:rsidR="00D35931" w:rsidRPr="00C30D62">
        <w:rPr>
          <w:rFonts w:ascii="Book Antiqua" w:hAnsi="Book Antiqua"/>
        </w:rPr>
        <w:t>onstructivist political theorist</w:t>
      </w:r>
      <w:r w:rsidR="00360CA0" w:rsidRPr="00C30D62">
        <w:rPr>
          <w:rFonts w:ascii="Book Antiqua" w:hAnsi="Book Antiqua"/>
        </w:rPr>
        <w:t>s emerged in reaction, or as a counterweight to, their moralistic counterparts</w:t>
      </w:r>
      <w:r w:rsidR="009D2F7B" w:rsidRPr="00C30D62">
        <w:rPr>
          <w:rFonts w:ascii="Book Antiqua" w:hAnsi="Book Antiqua"/>
        </w:rPr>
        <w:t>, seeking “to vindicate both the essentially political character of the British constitution and the place of Parliament within it”</w:t>
      </w:r>
      <w:r w:rsidR="00472101" w:rsidRPr="00C30D62">
        <w:rPr>
          <w:rFonts w:ascii="Book Antiqua" w:hAnsi="Book Antiqua"/>
        </w:rPr>
        <w:t xml:space="preserve"> by elaborating a theory </w:t>
      </w:r>
      <w:r w:rsidR="00AF628A" w:rsidRPr="00C30D62">
        <w:rPr>
          <w:rFonts w:ascii="Book Antiqua" w:hAnsi="Book Antiqua"/>
        </w:rPr>
        <w:t>that is</w:t>
      </w:r>
      <w:r w:rsidR="00472101" w:rsidRPr="00C30D62">
        <w:rPr>
          <w:rFonts w:ascii="Book Antiqua" w:hAnsi="Book Antiqua"/>
        </w:rPr>
        <w:t xml:space="preserve"> “capable of explicitly positing the normative underpinnings, the values, that ground the political constitution”</w:t>
      </w:r>
      <w:r w:rsidR="00AF628A" w:rsidRPr="00C30D62">
        <w:rPr>
          <w:rFonts w:ascii="Book Antiqua" w:hAnsi="Book Antiqua"/>
        </w:rPr>
        <w:t>.</w:t>
      </w:r>
      <w:r w:rsidR="00D45929" w:rsidRPr="00C30D62">
        <w:rPr>
          <w:rFonts w:ascii="Book Antiqua" w:hAnsi="Book Antiqua"/>
        </w:rPr>
        <w:t xml:space="preserve"> </w:t>
      </w:r>
    </w:p>
    <w:p w14:paraId="2B75491A" w14:textId="5E20F79F" w:rsidR="000B6045" w:rsidRPr="00C30D62" w:rsidRDefault="000B6045" w:rsidP="00AE716A">
      <w:pPr>
        <w:jc w:val="both"/>
        <w:rPr>
          <w:rFonts w:ascii="Book Antiqua" w:hAnsi="Book Antiqua"/>
        </w:rPr>
      </w:pPr>
      <w:r w:rsidRPr="00C30D62">
        <w:rPr>
          <w:rFonts w:ascii="Book Antiqua" w:hAnsi="Book Antiqua"/>
        </w:rPr>
        <w:t>Deconstructivism</w:t>
      </w:r>
      <w:r w:rsidR="00D45929" w:rsidRPr="00C30D62">
        <w:rPr>
          <w:rFonts w:ascii="Book Antiqua" w:hAnsi="Book Antiqua"/>
        </w:rPr>
        <w:t xml:space="preserve"> takes issue with the key assumption of constructivism, that there is “one best interpretation that makes public law normatively compelling”. </w:t>
      </w:r>
      <w:r w:rsidR="005A4DA2" w:rsidRPr="00C30D62">
        <w:rPr>
          <w:rFonts w:ascii="Book Antiqua" w:hAnsi="Book Antiqua"/>
        </w:rPr>
        <w:t>Indeed, d</w:t>
      </w:r>
      <w:r w:rsidR="00217352" w:rsidRPr="00C30D62">
        <w:rPr>
          <w:rFonts w:ascii="Book Antiqua" w:hAnsi="Book Antiqua"/>
        </w:rPr>
        <w:t>econstructivists</w:t>
      </w:r>
      <w:r w:rsidR="005A4DA2" w:rsidRPr="00C30D62">
        <w:rPr>
          <w:rFonts w:ascii="Book Antiqua" w:hAnsi="Book Antiqua"/>
        </w:rPr>
        <w:t xml:space="preserve"> consider that theorizing about the British Constitution “overestimates the role of principles and tends to become estranged from constitutional practice”. </w:t>
      </w:r>
      <w:r w:rsidR="00472932" w:rsidRPr="00C30D62">
        <w:rPr>
          <w:rFonts w:ascii="Book Antiqua" w:hAnsi="Book Antiqua"/>
        </w:rPr>
        <w:t>Deconstructivists seek, accordingly, to “expose the realities of public law”</w:t>
      </w:r>
      <w:r w:rsidR="0000464C" w:rsidRPr="00C30D62">
        <w:rPr>
          <w:rFonts w:ascii="Book Antiqua" w:hAnsi="Book Antiqua"/>
        </w:rPr>
        <w:t>, focusing what actually happens in constitutional practice</w:t>
      </w:r>
      <w:r w:rsidR="00937C86" w:rsidRPr="00C30D62">
        <w:rPr>
          <w:rFonts w:ascii="Book Antiqua" w:hAnsi="Book Antiqua"/>
        </w:rPr>
        <w:t>, an approach which is avowedly descriptive.</w:t>
      </w:r>
      <w:r w:rsidR="007B344F" w:rsidRPr="00C30D62">
        <w:rPr>
          <w:rFonts w:ascii="Book Antiqua" w:hAnsi="Book Antiqua"/>
        </w:rPr>
        <w:t xml:space="preserve"> In the British tradition, deconstructivists are skeptical of Parliament and the judiciary as meaningful constraints on executive power</w:t>
      </w:r>
      <w:r w:rsidR="001646C3" w:rsidRPr="00C30D62">
        <w:rPr>
          <w:rFonts w:ascii="Book Antiqua" w:hAnsi="Book Antiqua"/>
        </w:rPr>
        <w:t xml:space="preserve"> – both Westminster and the courts are creatures of politics. </w:t>
      </w:r>
      <w:r w:rsidR="00F6542F" w:rsidRPr="00C30D62">
        <w:rPr>
          <w:rFonts w:ascii="Book Antiqua" w:hAnsi="Book Antiqua"/>
        </w:rPr>
        <w:t xml:space="preserve">The descriptive approach of deconstructivists is not necessarily normatively barren, however, </w:t>
      </w:r>
      <w:r w:rsidR="00B856EF" w:rsidRPr="00C30D62">
        <w:rPr>
          <w:rFonts w:ascii="Book Antiqua" w:hAnsi="Book Antiqua"/>
        </w:rPr>
        <w:t>as it may highlight the need for “political mechanisms” capable of meeting the challenges of a particular period, whatever they may happen to be.</w:t>
      </w:r>
    </w:p>
    <w:p w14:paraId="31C87A83" w14:textId="06C2A4D4" w:rsidR="00B856EF" w:rsidRPr="00C30D62" w:rsidRDefault="00AD5927" w:rsidP="00AE716A">
      <w:pPr>
        <w:jc w:val="both"/>
        <w:rPr>
          <w:rFonts w:ascii="Book Antiqua" w:hAnsi="Book Antiqua"/>
        </w:rPr>
      </w:pPr>
      <w:r w:rsidRPr="00C30D62">
        <w:rPr>
          <w:rFonts w:ascii="Book Antiqua" w:hAnsi="Book Antiqua"/>
        </w:rPr>
        <w:t xml:space="preserve">Reconstructivism also takes issue with the key assumption of constructivism and, in addition, rejects the </w:t>
      </w:r>
      <w:r w:rsidR="00EB3857" w:rsidRPr="00C30D62">
        <w:rPr>
          <w:rFonts w:ascii="Book Antiqua" w:hAnsi="Book Antiqua"/>
        </w:rPr>
        <w:t>thesis</w:t>
      </w:r>
      <w:r w:rsidRPr="00C30D62">
        <w:rPr>
          <w:rFonts w:ascii="Book Antiqua" w:hAnsi="Book Antiqua"/>
        </w:rPr>
        <w:t xml:space="preserve"> of deconstructivism</w:t>
      </w:r>
      <w:r w:rsidR="00EB3857" w:rsidRPr="00C30D62">
        <w:rPr>
          <w:rFonts w:ascii="Book Antiqua" w:hAnsi="Book Antiqua"/>
        </w:rPr>
        <w:t xml:space="preserve"> “that the logic of public law is to be found by unveiling power relationships and the clash of conflicting of interests”. </w:t>
      </w:r>
      <w:r w:rsidR="00A96BAB" w:rsidRPr="00C30D62">
        <w:rPr>
          <w:rFonts w:ascii="Book Antiqua" w:hAnsi="Book Antiqua"/>
        </w:rPr>
        <w:t xml:space="preserve">Rather, it accepts that “reason plays a constitutive role”. </w:t>
      </w:r>
      <w:r w:rsidR="00875706" w:rsidRPr="00C30D62">
        <w:rPr>
          <w:rFonts w:ascii="Book Antiqua" w:hAnsi="Book Antiqua"/>
        </w:rPr>
        <w:t xml:space="preserve">But to “reason” for a reconstructivist does not mean reasoning from higher-order social, moral or political principles in the constructivist mode. Instead, reason must be grounded in practice, “to offer a theory in public law that is empirical but not empiricist and normative but not normativist”. </w:t>
      </w:r>
      <w:r w:rsidR="00F209A3" w:rsidRPr="00C30D62">
        <w:rPr>
          <w:rFonts w:ascii="Book Antiqua" w:hAnsi="Book Antiqua"/>
        </w:rPr>
        <w:t xml:space="preserve">The fundamental premise is that social practices are meaningful to the participants, and the fundamental task, then, </w:t>
      </w:r>
      <w:r w:rsidR="00C20876" w:rsidRPr="00C30D62">
        <w:rPr>
          <w:rFonts w:ascii="Book Antiqua" w:hAnsi="Book Antiqua"/>
        </w:rPr>
        <w:t>“to render explicit and expand on an already existing know-how”. In setting out an empirical and normative theory, the goal is “to make sense of the plurality of competing rationalities that have historically shaped the field” of public law.</w:t>
      </w:r>
      <w:r w:rsidR="001115DC" w:rsidRPr="00C30D62">
        <w:rPr>
          <w:rFonts w:ascii="Book Antiqua" w:hAnsi="Book Antiqua"/>
        </w:rPr>
        <w:t xml:space="preserve"> For Loughlin – himself the exemplar of reconstructivist theories – the current dissatisfaction with Britain’s constitutional arrangements can only be understood </w:t>
      </w:r>
      <w:r w:rsidR="00731731" w:rsidRPr="00C30D62">
        <w:rPr>
          <w:rFonts w:ascii="Book Antiqua" w:hAnsi="Book Antiqua"/>
        </w:rPr>
        <w:t>through a “historically-oriented reconstruction</w:t>
      </w:r>
      <w:r w:rsidR="009F56BA" w:rsidRPr="00C30D62">
        <w:rPr>
          <w:rFonts w:ascii="Book Antiqua" w:hAnsi="Book Antiqua"/>
        </w:rPr>
        <w:t xml:space="preserve">” of constitutional change over time. </w:t>
      </w:r>
    </w:p>
    <w:p w14:paraId="3B5896D2" w14:textId="152FF30F" w:rsidR="000E536E" w:rsidRPr="00C30D62" w:rsidRDefault="005A27AB" w:rsidP="00AE716A">
      <w:pPr>
        <w:jc w:val="both"/>
        <w:rPr>
          <w:rFonts w:ascii="Book Antiqua" w:hAnsi="Book Antiqua"/>
        </w:rPr>
      </w:pPr>
      <w:r w:rsidRPr="00C30D62">
        <w:rPr>
          <w:rFonts w:ascii="Book Antiqua" w:hAnsi="Book Antiqua"/>
        </w:rPr>
        <w:t xml:space="preserve">These three theoretical approaches – constructivist, deconstructivist and reconstructivist – are prevalent in public law theory (and, again, we would observe that </w:t>
      </w:r>
      <w:r w:rsidR="00E36D93" w:rsidRPr="00C30D62">
        <w:rPr>
          <w:rFonts w:ascii="Book Antiqua" w:hAnsi="Book Antiqua"/>
        </w:rPr>
        <w:t xml:space="preserve">such approaches are evident in scholarship in other jurisdictions too). For Loughlin and Tschorne, however, only deconstructivist or reconstructivist approaches are </w:t>
      </w:r>
      <w:r w:rsidR="000725E3" w:rsidRPr="00C30D62">
        <w:rPr>
          <w:rFonts w:ascii="Book Antiqua" w:hAnsi="Book Antiqua"/>
        </w:rPr>
        <w:t xml:space="preserve">“purely scholarly” approaches, whereas constructivists invariably invoke theory to promote the author’s “own ideological dispositions”. </w:t>
      </w:r>
      <w:r w:rsidR="009A58DD" w:rsidRPr="00C30D62">
        <w:rPr>
          <w:rFonts w:ascii="Book Antiqua" w:hAnsi="Book Antiqua"/>
        </w:rPr>
        <w:t>For constructivists, this is a significant challenge (though, as some-time constructivists ourselves, we would retort that deconstru</w:t>
      </w:r>
      <w:r w:rsidR="000E536E" w:rsidRPr="00C30D62">
        <w:rPr>
          <w:rFonts w:ascii="Book Antiqua" w:hAnsi="Book Antiqua"/>
        </w:rPr>
        <w:t>ctivists and reconstructivists may sometimes struggle to respond convincingly when asked “what’s the point?”).</w:t>
      </w:r>
    </w:p>
    <w:p w14:paraId="579B9C79" w14:textId="2693C3F8" w:rsidR="00E818D3" w:rsidRPr="00C30D62" w:rsidRDefault="00B36FAC" w:rsidP="00AE716A">
      <w:pPr>
        <w:jc w:val="both"/>
        <w:rPr>
          <w:rFonts w:ascii="Book Antiqua" w:hAnsi="Book Antiqua"/>
        </w:rPr>
      </w:pPr>
      <w:r w:rsidRPr="00C30D62">
        <w:rPr>
          <w:rFonts w:ascii="Book Antiqua" w:hAnsi="Book Antiqua"/>
        </w:rPr>
        <w:t>Sarah Nason lays out</w:t>
      </w:r>
      <w:r w:rsidR="00A755B0" w:rsidRPr="00C30D62">
        <w:rPr>
          <w:rFonts w:ascii="Book Antiqua" w:hAnsi="Book Antiqua"/>
        </w:rPr>
        <w:t xml:space="preserve"> the</w:t>
      </w:r>
      <w:r w:rsidRPr="00C30D62">
        <w:rPr>
          <w:rFonts w:ascii="Book Antiqua" w:hAnsi="Book Antiqua"/>
        </w:rPr>
        <w:t xml:space="preserve"> quantitative, qualitative and </w:t>
      </w:r>
      <w:r w:rsidR="00A755B0" w:rsidRPr="00C30D62">
        <w:rPr>
          <w:rFonts w:ascii="Book Antiqua" w:hAnsi="Book Antiqua"/>
        </w:rPr>
        <w:t xml:space="preserve">computer-science methods which have been used in empirical research in public law. </w:t>
      </w:r>
      <w:r w:rsidR="00930D17" w:rsidRPr="00C30D62">
        <w:rPr>
          <w:rFonts w:ascii="Book Antiqua" w:hAnsi="Book Antiqua"/>
        </w:rPr>
        <w:t>In general, empirical research is a species of socio-legal research, which is concerned with the “nature and role of law in society”</w:t>
      </w:r>
      <w:r w:rsidR="00F520EE" w:rsidRPr="00C30D62">
        <w:rPr>
          <w:rFonts w:ascii="Book Antiqua" w:hAnsi="Book Antiqua"/>
        </w:rPr>
        <w:t xml:space="preserve">, motivated by a desire to introduce “scientific methodological rigour” to the study of phenomena in public law. Empirical approaches have grown </w:t>
      </w:r>
      <w:r w:rsidR="004D0D22" w:rsidRPr="00C30D62">
        <w:rPr>
          <w:rFonts w:ascii="Book Antiqua" w:hAnsi="Book Antiqua"/>
        </w:rPr>
        <w:t xml:space="preserve">in popularity in recent decades, especially in the United States and, more recently, in the United Kingdom and other common-law jurisdictions. </w:t>
      </w:r>
      <w:r w:rsidR="007517A6" w:rsidRPr="00C30D62">
        <w:rPr>
          <w:rFonts w:ascii="Book Antiqua" w:hAnsi="Book Antiqua"/>
        </w:rPr>
        <w:t xml:space="preserve">This is </w:t>
      </w:r>
      <w:r w:rsidR="007517A6" w:rsidRPr="00C30D62">
        <w:rPr>
          <w:rFonts w:ascii="Book Antiqua" w:hAnsi="Book Antiqua"/>
        </w:rPr>
        <w:lastRenderedPageBreak/>
        <w:t>unsurprising, Nason notes, as there has been</w:t>
      </w:r>
      <w:r w:rsidR="004D0D22" w:rsidRPr="00C30D62">
        <w:rPr>
          <w:rFonts w:ascii="Book Antiqua" w:hAnsi="Book Antiqua"/>
        </w:rPr>
        <w:t xml:space="preserve"> no shortage of constitutional and administrative change to study</w:t>
      </w:r>
      <w:r w:rsidR="007517A6" w:rsidRPr="00C30D62">
        <w:rPr>
          <w:rFonts w:ascii="Book Antiqua" w:hAnsi="Book Antiqua"/>
        </w:rPr>
        <w:t>.</w:t>
      </w:r>
    </w:p>
    <w:p w14:paraId="7DDCDEB5" w14:textId="333C6B35" w:rsidR="004B18B7" w:rsidRPr="00C30D62" w:rsidRDefault="008D4956" w:rsidP="00AE716A">
      <w:pPr>
        <w:jc w:val="both"/>
        <w:rPr>
          <w:rFonts w:ascii="Book Antiqua" w:hAnsi="Book Antiqua"/>
        </w:rPr>
      </w:pPr>
      <w:r w:rsidRPr="00C30D62">
        <w:rPr>
          <w:rFonts w:ascii="Book Antiqua" w:hAnsi="Book Antiqua"/>
        </w:rPr>
        <w:t xml:space="preserve">There are several “stages of activities” for the </w:t>
      </w:r>
      <w:r w:rsidR="00847E38" w:rsidRPr="00C30D62">
        <w:rPr>
          <w:rFonts w:ascii="Book Antiqua" w:hAnsi="Book Antiqua"/>
        </w:rPr>
        <w:t xml:space="preserve">budding </w:t>
      </w:r>
      <w:r w:rsidRPr="00C30D62">
        <w:rPr>
          <w:rFonts w:ascii="Book Antiqua" w:hAnsi="Book Antiqua"/>
        </w:rPr>
        <w:t xml:space="preserve">empirical public law researcher. </w:t>
      </w:r>
      <w:r w:rsidR="003401C8" w:rsidRPr="00C30D62">
        <w:rPr>
          <w:rFonts w:ascii="Book Antiqua" w:hAnsi="Book Antiqua"/>
        </w:rPr>
        <w:t xml:space="preserve">First, the researcher must “identify a researchable problem” (which might be accomplished by reference to work done by more traditional methods). Then, the researcher must conduct a literature and data review to </w:t>
      </w:r>
      <w:r w:rsidR="00C74AB6" w:rsidRPr="00C30D62">
        <w:rPr>
          <w:rFonts w:ascii="Book Antiqua" w:hAnsi="Book Antiqua"/>
        </w:rPr>
        <w:t xml:space="preserve">gather </w:t>
      </w:r>
      <w:r w:rsidR="00714F09" w:rsidRPr="00C30D62">
        <w:rPr>
          <w:rFonts w:ascii="Book Antiqua" w:hAnsi="Book Antiqua"/>
        </w:rPr>
        <w:t xml:space="preserve">existing evidence and design a research project. After that, it is necessary “to consider how the relevant problems or issues can be expressed as concepts that can then be concretised or operationalised as measurable phenomena”. This step is sometimes “left unarticulated” but is nonetheless centrally important. </w:t>
      </w:r>
      <w:r w:rsidR="00E42126" w:rsidRPr="00C30D62">
        <w:rPr>
          <w:rFonts w:ascii="Book Antiqua" w:hAnsi="Book Antiqua"/>
        </w:rPr>
        <w:t>For in order to observe concepts, the researcher must first clarify the concepts.</w:t>
      </w:r>
      <w:r w:rsidR="0015279C" w:rsidRPr="00C30D62">
        <w:rPr>
          <w:rFonts w:ascii="Book Antiqua" w:hAnsi="Book Antiqua"/>
        </w:rPr>
        <w:t xml:space="preserve"> Here, reliance on previous research done from a theoretical perspective is particularly helpful, underscoring how different methodologies in public law research can be complementary.</w:t>
      </w:r>
      <w:r w:rsidR="00847E38" w:rsidRPr="00C30D62">
        <w:rPr>
          <w:rFonts w:ascii="Book Antiqua" w:hAnsi="Book Antiqua"/>
        </w:rPr>
        <w:t xml:space="preserve"> </w:t>
      </w:r>
      <w:r w:rsidR="00B918E4" w:rsidRPr="00C30D62">
        <w:rPr>
          <w:rFonts w:ascii="Book Antiqua" w:hAnsi="Book Antiqua"/>
        </w:rPr>
        <w:t>This</w:t>
      </w:r>
      <w:r w:rsidR="00F66EE0" w:rsidRPr="00C30D62">
        <w:rPr>
          <w:rFonts w:ascii="Book Antiqua" w:hAnsi="Book Antiqua"/>
        </w:rPr>
        <w:t xml:space="preserve"> process of reflection leads to the formulation of a research question setting out the “overall aims and objectives of the research”.</w:t>
      </w:r>
      <w:r w:rsidR="004B18B7" w:rsidRPr="00C30D62">
        <w:rPr>
          <w:rFonts w:ascii="Book Antiqua" w:hAnsi="Book Antiqua"/>
        </w:rPr>
        <w:t xml:space="preserve"> This should be done by reference to considerations of epistemology: broadly speaking, the researcher has to determine whether to proceed </w:t>
      </w:r>
      <w:r w:rsidR="00E91620" w:rsidRPr="00C30D62">
        <w:rPr>
          <w:rFonts w:ascii="Book Antiqua" w:hAnsi="Book Antiqua"/>
        </w:rPr>
        <w:t>deductively (an approach often associated with quantitative methods) or inductively (more commonly thought to involve qualitative research)</w:t>
      </w:r>
      <w:r w:rsidR="0023681F" w:rsidRPr="00C30D62">
        <w:rPr>
          <w:rFonts w:ascii="Book Antiqua" w:hAnsi="Book Antiqua"/>
        </w:rPr>
        <w:t>.</w:t>
      </w:r>
      <w:r w:rsidR="00345D60" w:rsidRPr="00C30D62">
        <w:rPr>
          <w:rFonts w:ascii="Book Antiqua" w:hAnsi="Book Antiqua"/>
        </w:rPr>
        <w:t xml:space="preserve"> Lastly, the researcher must identify the evidence t</w:t>
      </w:r>
      <w:r w:rsidR="00F77A76" w:rsidRPr="00C30D62">
        <w:rPr>
          <w:rFonts w:ascii="Book Antiqua" w:hAnsi="Book Antiqua"/>
        </w:rPr>
        <w:t>hey wish to rely upon, which can be generated by observation of different groups</w:t>
      </w:r>
      <w:r w:rsidR="008E0A04" w:rsidRPr="00C30D62">
        <w:rPr>
          <w:rFonts w:ascii="Book Antiqua" w:hAnsi="Book Antiqua"/>
        </w:rPr>
        <w:t xml:space="preserve"> who have been randomly selected</w:t>
      </w:r>
      <w:r w:rsidR="00F77A76" w:rsidRPr="00C30D62">
        <w:rPr>
          <w:rFonts w:ascii="Book Antiqua" w:hAnsi="Book Antiqua"/>
        </w:rPr>
        <w:t xml:space="preserve">, quasi-experimental </w:t>
      </w:r>
      <w:r w:rsidR="008E0A04" w:rsidRPr="00C30D62">
        <w:rPr>
          <w:rFonts w:ascii="Book Antiqua" w:hAnsi="Book Antiqua"/>
        </w:rPr>
        <w:t>development with carefully chosen groups, or longitudinal studies</w:t>
      </w:r>
      <w:r w:rsidR="008A7EA8" w:rsidRPr="00C30D62">
        <w:rPr>
          <w:rFonts w:ascii="Book Antiqua" w:hAnsi="Book Antiqua"/>
        </w:rPr>
        <w:t xml:space="preserve"> of the same group over tie.</w:t>
      </w:r>
    </w:p>
    <w:p w14:paraId="218AFDC5" w14:textId="4475427B" w:rsidR="00A8389F" w:rsidRPr="00C30D62" w:rsidRDefault="008A7EA8" w:rsidP="00A8389F">
      <w:pPr>
        <w:jc w:val="both"/>
        <w:rPr>
          <w:rFonts w:ascii="Book Antiqua" w:hAnsi="Book Antiqua"/>
        </w:rPr>
      </w:pPr>
      <w:r w:rsidRPr="00C30D62">
        <w:rPr>
          <w:rFonts w:ascii="Book Antiqua" w:hAnsi="Book Antiqua"/>
        </w:rPr>
        <w:t xml:space="preserve">The primary methods are quantitative and qualitative. Quantitative methods </w:t>
      </w:r>
      <w:r w:rsidR="00731F3E" w:rsidRPr="00C30D62">
        <w:rPr>
          <w:rFonts w:ascii="Book Antiqua" w:hAnsi="Book Antiqua"/>
        </w:rPr>
        <w:t xml:space="preserve">involve “observing phenomena through, for example, statistical, mathematical, or computational techniques”, whereby the phenomena can be reduced to </w:t>
      </w:r>
      <w:r w:rsidR="00A607B3" w:rsidRPr="00C30D62">
        <w:rPr>
          <w:rFonts w:ascii="Book Antiqua" w:hAnsi="Book Antiqua"/>
        </w:rPr>
        <w:t>numerical form.</w:t>
      </w:r>
      <w:r w:rsidR="009B185C" w:rsidRPr="00C30D62">
        <w:rPr>
          <w:rFonts w:ascii="Book Antiqua" w:hAnsi="Book Antiqua"/>
        </w:rPr>
        <w:t xml:space="preserve"> Of course, in any data set there will be multiple </w:t>
      </w:r>
      <w:r w:rsidR="006D0C75" w:rsidRPr="00C30D62">
        <w:rPr>
          <w:rFonts w:ascii="Book Antiqua" w:hAnsi="Book Antiqua"/>
        </w:rPr>
        <w:t>variables which might account for the characteristics of the phenomena. The researcher must make choices</w:t>
      </w:r>
      <w:r w:rsidR="00866E26" w:rsidRPr="00C30D62">
        <w:rPr>
          <w:rFonts w:ascii="Book Antiqua" w:hAnsi="Book Antiqua"/>
        </w:rPr>
        <w:t xml:space="preserve"> about how and what to measure</w:t>
      </w:r>
      <w:r w:rsidR="006D0C75" w:rsidRPr="00C30D62">
        <w:rPr>
          <w:rFonts w:ascii="Book Antiqua" w:hAnsi="Book Antiqua"/>
        </w:rPr>
        <w:t xml:space="preserve">. These choices are assessed by reference to criteria of reliability – the extent to which the </w:t>
      </w:r>
      <w:r w:rsidR="00E50DAE" w:rsidRPr="00C30D62">
        <w:rPr>
          <w:rFonts w:ascii="Book Antiqua" w:hAnsi="Book Antiqua"/>
        </w:rPr>
        <w:t xml:space="preserve">study can be replicated – and validity – the extent to which a </w:t>
      </w:r>
      <w:r w:rsidR="00866E26" w:rsidRPr="00C30D62">
        <w:rPr>
          <w:rFonts w:ascii="Book Antiqua" w:hAnsi="Book Antiqua"/>
        </w:rPr>
        <w:t>measure reflects the underlying concept (for example, its alignment with prior evidence).</w:t>
      </w:r>
      <w:r w:rsidR="00BF6E5E" w:rsidRPr="00C30D62">
        <w:rPr>
          <w:rFonts w:ascii="Book Antiqua" w:hAnsi="Book Antiqua"/>
        </w:rPr>
        <w:t xml:space="preserve"> </w:t>
      </w:r>
      <w:r w:rsidR="00BD2ADA" w:rsidRPr="00C30D62">
        <w:rPr>
          <w:rFonts w:ascii="Book Antiqua" w:hAnsi="Book Antiqua"/>
        </w:rPr>
        <w:t xml:space="preserve">Once the key variables have been identified, the researcher must then translate them “into a form that can be systematically analyzed”. </w:t>
      </w:r>
      <w:r w:rsidR="00A8389F" w:rsidRPr="00C30D62">
        <w:rPr>
          <w:rFonts w:ascii="Book Antiqua" w:hAnsi="Book Antiqua"/>
        </w:rPr>
        <w:t>This process is “coding”</w:t>
      </w:r>
      <w:r w:rsidR="00F71FCB" w:rsidRPr="00C30D62">
        <w:rPr>
          <w:rFonts w:ascii="Book Antiqua" w:hAnsi="Book Antiqua"/>
        </w:rPr>
        <w:t xml:space="preserve">. </w:t>
      </w:r>
      <w:r w:rsidR="00C20922" w:rsidRPr="00C30D62">
        <w:rPr>
          <w:rFonts w:ascii="Book Antiqua" w:hAnsi="Book Antiqua"/>
        </w:rPr>
        <w:t xml:space="preserve">Statistical methods must then be brought to bear </w:t>
      </w:r>
      <w:r w:rsidR="00B17797" w:rsidRPr="00C30D62">
        <w:rPr>
          <w:rFonts w:ascii="Book Antiqua" w:hAnsi="Book Antiqua"/>
        </w:rPr>
        <w:t>in analyzing the data, drawing descriptive or causal inferences</w:t>
      </w:r>
      <w:r w:rsidR="00B415AC" w:rsidRPr="00C30D62">
        <w:rPr>
          <w:rFonts w:ascii="Book Antiqua" w:hAnsi="Book Antiqua"/>
        </w:rPr>
        <w:t>, and ensuring that any inferences drawn are statistically significant.</w:t>
      </w:r>
    </w:p>
    <w:p w14:paraId="51E9D235" w14:textId="0C439656" w:rsidR="008111B5" w:rsidRPr="00C30D62" w:rsidRDefault="008111B5" w:rsidP="00A8389F">
      <w:pPr>
        <w:jc w:val="both"/>
        <w:rPr>
          <w:rFonts w:ascii="Book Antiqua" w:hAnsi="Book Antiqua"/>
        </w:rPr>
      </w:pPr>
      <w:r w:rsidRPr="00C30D62">
        <w:rPr>
          <w:rFonts w:ascii="Book Antiqua" w:hAnsi="Book Antiqua"/>
        </w:rPr>
        <w:t>By contrast, qualitative methods are interpretive, as they aim to “capture the meanings participants ascribe to issues, situations and occurrences and … explain these in a meaningful way”.</w:t>
      </w:r>
      <w:r w:rsidR="00932566" w:rsidRPr="00C30D62">
        <w:rPr>
          <w:rFonts w:ascii="Book Antiqua" w:hAnsi="Book Antiqua"/>
        </w:rPr>
        <w:t xml:space="preserve"> Here the data sets are usually smaller, </w:t>
      </w:r>
      <w:r w:rsidR="006E0BC2" w:rsidRPr="00C30D62">
        <w:rPr>
          <w:rFonts w:ascii="Book Antiqua" w:hAnsi="Book Antiqua"/>
        </w:rPr>
        <w:t>though</w:t>
      </w:r>
      <w:r w:rsidR="00932566" w:rsidRPr="00C30D62">
        <w:rPr>
          <w:rFonts w:ascii="Book Antiqua" w:hAnsi="Book Antiqua"/>
        </w:rPr>
        <w:t xml:space="preserve"> researchers must be as cautious as they are with quantitative methods to </w:t>
      </w:r>
      <w:r w:rsidR="00643C1F" w:rsidRPr="00C30D62">
        <w:rPr>
          <w:rFonts w:ascii="Book Antiqua" w:hAnsi="Book Antiqua"/>
        </w:rPr>
        <w:t xml:space="preserve">ensure that samples are appropriate. </w:t>
      </w:r>
      <w:r w:rsidR="006E0BC2" w:rsidRPr="00C30D62">
        <w:rPr>
          <w:rFonts w:ascii="Book Antiqua" w:hAnsi="Book Antiqua"/>
        </w:rPr>
        <w:t xml:space="preserve">A significant difference is that </w:t>
      </w:r>
      <w:r w:rsidR="00F71FCB" w:rsidRPr="00C30D62">
        <w:rPr>
          <w:rFonts w:ascii="Book Antiqua" w:hAnsi="Book Antiqua"/>
        </w:rPr>
        <w:t xml:space="preserve">researchers using </w:t>
      </w:r>
      <w:r w:rsidR="006E0BC2" w:rsidRPr="00C30D62">
        <w:rPr>
          <w:rFonts w:ascii="Book Antiqua" w:hAnsi="Book Antiqua"/>
        </w:rPr>
        <w:t xml:space="preserve">qualitative </w:t>
      </w:r>
      <w:r w:rsidR="00F71FCB" w:rsidRPr="00C30D62">
        <w:rPr>
          <w:rFonts w:ascii="Book Antiqua" w:hAnsi="Book Antiqua"/>
        </w:rPr>
        <w:t>methods</w:t>
      </w:r>
      <w:r w:rsidR="006E0BC2" w:rsidRPr="00C30D62">
        <w:rPr>
          <w:rFonts w:ascii="Book Antiqua" w:hAnsi="Book Antiqua"/>
        </w:rPr>
        <w:t xml:space="preserve"> </w:t>
      </w:r>
      <w:r w:rsidR="001C3BDC" w:rsidRPr="00C30D62">
        <w:rPr>
          <w:rFonts w:ascii="Book Antiqua" w:hAnsi="Book Antiqua"/>
        </w:rPr>
        <w:t xml:space="preserve">“interpose themselves” between the raw data and conclusions, as </w:t>
      </w:r>
      <w:r w:rsidR="00F71FCB" w:rsidRPr="00C30D62">
        <w:rPr>
          <w:rFonts w:ascii="Book Antiqua" w:hAnsi="Book Antiqua"/>
        </w:rPr>
        <w:t>they</w:t>
      </w:r>
      <w:r w:rsidR="001C3BDC" w:rsidRPr="00C30D62">
        <w:rPr>
          <w:rFonts w:ascii="Book Antiqua" w:hAnsi="Book Antiqua"/>
        </w:rPr>
        <w:t xml:space="preserve"> may “fluidly redesign their research to meet changing conditions, perceptions and findings”. </w:t>
      </w:r>
      <w:r w:rsidR="00A90D7B" w:rsidRPr="00C30D62">
        <w:rPr>
          <w:rFonts w:ascii="Book Antiqua" w:hAnsi="Book Antiqua"/>
        </w:rPr>
        <w:t xml:space="preserve">(In this they are not unlike the interpreters of doctrinal materials described by Ahmed and Perry, and Varuhas.) </w:t>
      </w:r>
      <w:r w:rsidR="008F6AB1" w:rsidRPr="00C30D62">
        <w:rPr>
          <w:rFonts w:ascii="Book Antiqua" w:hAnsi="Book Antiqua"/>
        </w:rPr>
        <w:t xml:space="preserve">Furthermore, </w:t>
      </w:r>
      <w:r w:rsidR="00F71FCB" w:rsidRPr="00C30D62">
        <w:rPr>
          <w:rFonts w:ascii="Book Antiqua" w:hAnsi="Book Antiqua"/>
        </w:rPr>
        <w:t xml:space="preserve">scholars employing </w:t>
      </w:r>
      <w:r w:rsidR="008F6AB1" w:rsidRPr="00C30D62">
        <w:rPr>
          <w:rFonts w:ascii="Book Antiqua" w:hAnsi="Book Antiqua"/>
        </w:rPr>
        <w:t>qualitative</w:t>
      </w:r>
      <w:r w:rsidR="00F71FCB" w:rsidRPr="00C30D62">
        <w:rPr>
          <w:rFonts w:ascii="Book Antiqua" w:hAnsi="Book Antiqua"/>
        </w:rPr>
        <w:t xml:space="preserve"> methods</w:t>
      </w:r>
      <w:r w:rsidR="008F6AB1" w:rsidRPr="00C30D62">
        <w:rPr>
          <w:rFonts w:ascii="Book Antiqua" w:hAnsi="Book Antiqua"/>
        </w:rPr>
        <w:t xml:space="preserve"> tend to stress dependability and integrity as criteria rather than the reliability and validity which are the touchstones for quantitative researchers. </w:t>
      </w:r>
      <w:r w:rsidR="0053122C" w:rsidRPr="00C30D62">
        <w:rPr>
          <w:rFonts w:ascii="Book Antiqua" w:hAnsi="Book Antiqua"/>
        </w:rPr>
        <w:t xml:space="preserve">Their approach to coding will also differ, with </w:t>
      </w:r>
      <w:r w:rsidR="00C84C4D" w:rsidRPr="00C30D62">
        <w:rPr>
          <w:rFonts w:ascii="Book Antiqua" w:hAnsi="Book Antiqua"/>
        </w:rPr>
        <w:t>classical content analysis, discourse analysis and grounded theory method all plausible approaches.</w:t>
      </w:r>
      <w:r w:rsidR="00B923FC" w:rsidRPr="00C30D62">
        <w:rPr>
          <w:rFonts w:ascii="Book Antiqua" w:hAnsi="Book Antiqua"/>
        </w:rPr>
        <w:t xml:space="preserve"> </w:t>
      </w:r>
    </w:p>
    <w:p w14:paraId="17EB21AF" w14:textId="3018E841" w:rsidR="00693572" w:rsidRPr="00C30D62" w:rsidRDefault="00693572" w:rsidP="00A8389F">
      <w:pPr>
        <w:jc w:val="both"/>
        <w:rPr>
          <w:rFonts w:ascii="Book Antiqua" w:hAnsi="Book Antiqua"/>
        </w:rPr>
      </w:pPr>
      <w:r w:rsidRPr="00C30D62">
        <w:rPr>
          <w:rFonts w:ascii="Book Antiqua" w:hAnsi="Book Antiqua"/>
        </w:rPr>
        <w:lastRenderedPageBreak/>
        <w:t>Quantitative and qualitative methods can be blended, of course. Advances in technology have also made it possible to assemble large data sets and code them</w:t>
      </w:r>
      <w:r w:rsidR="00E9648B" w:rsidRPr="00C30D62">
        <w:rPr>
          <w:rFonts w:ascii="Book Antiqua" w:hAnsi="Book Antiqua"/>
        </w:rPr>
        <w:t>. And technological advances have allowed empirical researchers to open new frontiers</w:t>
      </w:r>
      <w:r w:rsidR="00EE5814" w:rsidRPr="00C30D62">
        <w:rPr>
          <w:rFonts w:ascii="Book Antiqua" w:hAnsi="Book Antiqua"/>
        </w:rPr>
        <w:t xml:space="preserve"> by using methods such as</w:t>
      </w:r>
      <w:r w:rsidR="000A530A" w:rsidRPr="00C30D62">
        <w:rPr>
          <w:rFonts w:ascii="Book Antiqua" w:hAnsi="Book Antiqua"/>
        </w:rPr>
        <w:t xml:space="preserve"> </w:t>
      </w:r>
      <w:r w:rsidR="00EE5814" w:rsidRPr="00C30D62">
        <w:rPr>
          <w:rFonts w:ascii="Book Antiqua" w:hAnsi="Book Antiqua"/>
        </w:rPr>
        <w:t>c</w:t>
      </w:r>
      <w:r w:rsidR="000A530A" w:rsidRPr="00C30D62">
        <w:rPr>
          <w:rFonts w:ascii="Book Antiqua" w:hAnsi="Book Antiqua"/>
        </w:rPr>
        <w:t>orpus linguistics and automated content analysis</w:t>
      </w:r>
      <w:r w:rsidR="00EE5814" w:rsidRPr="00C30D62">
        <w:rPr>
          <w:rFonts w:ascii="Book Antiqua" w:hAnsi="Book Antiqua"/>
        </w:rPr>
        <w:t xml:space="preserve">. These methods set machines to work on large data sets with a view to </w:t>
      </w:r>
      <w:r w:rsidR="00420662" w:rsidRPr="00C30D62">
        <w:rPr>
          <w:rFonts w:ascii="Book Antiqua" w:hAnsi="Book Antiqua"/>
        </w:rPr>
        <w:t xml:space="preserve">uncovering the meaning or architecture of legal texts by making links to other texts which are </w:t>
      </w:r>
      <w:r w:rsidR="00AF0FD6" w:rsidRPr="00C30D62">
        <w:rPr>
          <w:rFonts w:ascii="Book Antiqua" w:hAnsi="Book Antiqua"/>
        </w:rPr>
        <w:t xml:space="preserve">relevant. This relevancy is not obvious on the face of the texts, but is </w:t>
      </w:r>
      <w:r w:rsidR="00E3026C" w:rsidRPr="00C30D62">
        <w:rPr>
          <w:rFonts w:ascii="Book Antiqua" w:hAnsi="Book Antiqua"/>
        </w:rPr>
        <w:t xml:space="preserve">immanent in </w:t>
      </w:r>
      <w:r w:rsidR="00D23708" w:rsidRPr="00C30D62">
        <w:rPr>
          <w:rFonts w:ascii="Book Antiqua" w:hAnsi="Book Antiqua"/>
        </w:rPr>
        <w:t>the</w:t>
      </w:r>
      <w:r w:rsidR="00E3026C" w:rsidRPr="00C30D62">
        <w:rPr>
          <w:rFonts w:ascii="Book Antiqua" w:hAnsi="Book Antiqua"/>
        </w:rPr>
        <w:t xml:space="preserve"> larger body of materials</w:t>
      </w:r>
      <w:r w:rsidR="00D23708" w:rsidRPr="00C30D62">
        <w:rPr>
          <w:rFonts w:ascii="Book Antiqua" w:hAnsi="Book Antiqua"/>
        </w:rPr>
        <w:t xml:space="preserve"> combed by the machine. Human researchers are not irrelevant, however, as they must set the machine to work and </w:t>
      </w:r>
      <w:r w:rsidR="00A072F8" w:rsidRPr="00C30D62">
        <w:rPr>
          <w:rFonts w:ascii="Book Antiqua" w:hAnsi="Book Antiqua"/>
        </w:rPr>
        <w:t>use their critical faculties to assess the machines’ output. Again, the lesson is that empirical legal research in public law does not exist in a hermetically sealed compartment</w:t>
      </w:r>
      <w:r w:rsidR="0058783C" w:rsidRPr="00C30D62">
        <w:rPr>
          <w:rFonts w:ascii="Book Antiqua" w:hAnsi="Book Antiqua"/>
        </w:rPr>
        <w:t>. Rather, other methodological approaches can contribute to informed empirical analysis.</w:t>
      </w:r>
    </w:p>
    <w:p w14:paraId="4692C77A" w14:textId="1E247144" w:rsidR="00A14635" w:rsidRPr="00C30D62" w:rsidRDefault="00A14635" w:rsidP="00A8389F">
      <w:pPr>
        <w:jc w:val="both"/>
        <w:rPr>
          <w:rFonts w:ascii="Book Antiqua" w:hAnsi="Book Antiqua"/>
        </w:rPr>
      </w:pPr>
      <w:r w:rsidRPr="00C30D62">
        <w:rPr>
          <w:rFonts w:ascii="Book Antiqua" w:hAnsi="Book Antiqua"/>
        </w:rPr>
        <w:t xml:space="preserve">Lastly, in the </w:t>
      </w:r>
      <w:r w:rsidRPr="00C30D62">
        <w:rPr>
          <w:rFonts w:ascii="Book Antiqua" w:hAnsi="Book Antiqua"/>
          <w:b/>
          <w:bCs/>
        </w:rPr>
        <w:t xml:space="preserve">critical </w:t>
      </w:r>
      <w:r w:rsidRPr="00C30D62">
        <w:rPr>
          <w:rFonts w:ascii="Book Antiqua" w:hAnsi="Book Antiqua"/>
        </w:rPr>
        <w:t xml:space="preserve">category are grouped the contributions of </w:t>
      </w:r>
      <w:r w:rsidR="00297C82" w:rsidRPr="00C30D62">
        <w:rPr>
          <w:rFonts w:ascii="Book Antiqua" w:hAnsi="Book Antiqua"/>
        </w:rPr>
        <w:t>Paul O’Connell on Marxism and Helen Carr and Edward Kirton-Darling on socio-legal studies. It is worth acknowledging at the outset that there are many more critical approaches than are catered for in this collection. The exigencies of assembling an edited collection during the COVID-19 pandemic meant that</w:t>
      </w:r>
      <w:r w:rsidR="00B56097" w:rsidRPr="00C30D62">
        <w:rPr>
          <w:rFonts w:ascii="Book Antiqua" w:hAnsi="Book Antiqua"/>
        </w:rPr>
        <w:t xml:space="preserve">, unfortunately, this collection lacks chapters on feminist or critical race theory. Nonetheless, Carr and Kirton-Darling provide a roadmap for such research and, in his deconstructive approach to legal doctrine – albeit from a Marxist rather than feminist or critical race perspective – O’Connell </w:t>
      </w:r>
      <w:r w:rsidR="007C4E61" w:rsidRPr="00C30D62">
        <w:rPr>
          <w:rFonts w:ascii="Book Antiqua" w:hAnsi="Book Antiqua"/>
        </w:rPr>
        <w:t>demonstrates the methodological tools which may be used by feminist or critical race researchers.</w:t>
      </w:r>
    </w:p>
    <w:p w14:paraId="771A0F12" w14:textId="72BDA5D8" w:rsidR="007C4E61" w:rsidRPr="00C30D62" w:rsidRDefault="00026551" w:rsidP="00B54623">
      <w:pPr>
        <w:jc w:val="both"/>
        <w:rPr>
          <w:rFonts w:ascii="Book Antiqua" w:hAnsi="Book Antiqua"/>
        </w:rPr>
      </w:pPr>
      <w:r w:rsidRPr="00C30D62">
        <w:rPr>
          <w:rFonts w:ascii="Book Antiqua" w:hAnsi="Book Antiqua"/>
        </w:rPr>
        <w:t xml:space="preserve">The Marxist approach to public law is one possible critical approach. </w:t>
      </w:r>
      <w:r w:rsidR="00AD7617" w:rsidRPr="00C30D62">
        <w:rPr>
          <w:rFonts w:ascii="Book Antiqua" w:hAnsi="Book Antiqua"/>
        </w:rPr>
        <w:t xml:space="preserve">On the Marxist approach, </w:t>
      </w:r>
      <w:r w:rsidR="00D457DF" w:rsidRPr="00C30D62">
        <w:rPr>
          <w:rFonts w:ascii="Book Antiqua" w:hAnsi="Book Antiqua"/>
        </w:rPr>
        <w:t>the emergence of the capitalist mode of production as the dominant mode of production produces a formal separation of economic power and political power. The role of public</w:t>
      </w:r>
      <w:r w:rsidR="00673993" w:rsidRPr="00C30D62">
        <w:rPr>
          <w:rFonts w:ascii="Book Antiqua" w:hAnsi="Book Antiqua"/>
        </w:rPr>
        <w:t xml:space="preserve"> law</w:t>
      </w:r>
      <w:r w:rsidR="00D457DF" w:rsidRPr="00C30D62">
        <w:rPr>
          <w:rFonts w:ascii="Book Antiqua" w:hAnsi="Book Antiqua"/>
        </w:rPr>
        <w:t xml:space="preserve"> is to constitute and constrain this political power</w:t>
      </w:r>
      <w:r w:rsidR="00673993" w:rsidRPr="00C30D62">
        <w:rPr>
          <w:rFonts w:ascii="Book Antiqua" w:hAnsi="Book Antiqua"/>
        </w:rPr>
        <w:t xml:space="preserve"> – by doing so</w:t>
      </w:r>
      <w:r w:rsidR="00D457DF" w:rsidRPr="00C30D62">
        <w:rPr>
          <w:rFonts w:ascii="Book Antiqua" w:hAnsi="Book Antiqua"/>
        </w:rPr>
        <w:t xml:space="preserve"> in</w:t>
      </w:r>
      <w:r w:rsidR="00673993" w:rsidRPr="00C30D62">
        <w:rPr>
          <w:rFonts w:ascii="Book Antiqua" w:hAnsi="Book Antiqua"/>
        </w:rPr>
        <w:t xml:space="preserve"> an</w:t>
      </w:r>
      <w:r w:rsidR="00D457DF" w:rsidRPr="00C30D62">
        <w:rPr>
          <w:rFonts w:ascii="Book Antiqua" w:hAnsi="Book Antiqua"/>
        </w:rPr>
        <w:t xml:space="preserve"> ostensibly neutral fashion</w:t>
      </w:r>
      <w:r w:rsidR="00673993" w:rsidRPr="00C30D62">
        <w:rPr>
          <w:rFonts w:ascii="Book Antiqua" w:hAnsi="Book Antiqua"/>
        </w:rPr>
        <w:t xml:space="preserve">, public law lends legitimacy to the state or political order in capitalist societies. </w:t>
      </w:r>
      <w:r w:rsidR="00C66580" w:rsidRPr="00C30D62">
        <w:rPr>
          <w:rFonts w:ascii="Book Antiqua" w:hAnsi="Book Antiqua"/>
        </w:rPr>
        <w:t xml:space="preserve">Whereas, however, a conventional view of public law sees a “sharp division” between politics and law, critical theorists recognize </w:t>
      </w:r>
      <w:r w:rsidR="008F5F5C" w:rsidRPr="00C30D62">
        <w:rPr>
          <w:rFonts w:ascii="Book Antiqua" w:hAnsi="Book Antiqua"/>
        </w:rPr>
        <w:t xml:space="preserve">the “systemic, deep interpenetration” of law and political power. For Marxists, </w:t>
      </w:r>
      <w:r w:rsidR="00B54623" w:rsidRPr="00C30D62">
        <w:rPr>
          <w:rFonts w:ascii="Book Antiqua" w:hAnsi="Book Antiqua"/>
        </w:rPr>
        <w:t>analysis of public law involves highlighting the “material, social and historical relationships</w:t>
      </w:r>
      <w:r w:rsidR="008F5F5C" w:rsidRPr="00C30D62">
        <w:rPr>
          <w:rFonts w:ascii="Book Antiqua" w:hAnsi="Book Antiqua"/>
        </w:rPr>
        <w:t xml:space="preserve"> </w:t>
      </w:r>
      <w:r w:rsidR="00B54623" w:rsidRPr="00C30D62">
        <w:rPr>
          <w:rFonts w:ascii="Book Antiqua" w:hAnsi="Book Antiqua"/>
        </w:rPr>
        <w:t>of power that condition the doctrines and institutions of public law, and how these in turn sustain and legitimate the extant capitalist system”.</w:t>
      </w:r>
    </w:p>
    <w:p w14:paraId="70904B9F" w14:textId="456A4603" w:rsidR="00C20E15" w:rsidRPr="00C30D62" w:rsidRDefault="00C20E15" w:rsidP="00047BF0">
      <w:pPr>
        <w:jc w:val="both"/>
        <w:rPr>
          <w:rFonts w:ascii="Book Antiqua" w:hAnsi="Book Antiqua"/>
        </w:rPr>
      </w:pPr>
      <w:r w:rsidRPr="00C30D62">
        <w:rPr>
          <w:rFonts w:ascii="Book Antiqua" w:hAnsi="Book Antiqua"/>
        </w:rPr>
        <w:t>Marxism has two central methodological elements: historical materialism and class antagonism. Historical materialism</w:t>
      </w:r>
      <w:r w:rsidR="0097134F" w:rsidRPr="00C30D62">
        <w:rPr>
          <w:rFonts w:ascii="Book Antiqua" w:hAnsi="Book Antiqua"/>
        </w:rPr>
        <w:t xml:space="preserve"> “seeks out the material basis of ideas and institutions in a given historical period [and] further stresses the historicity of ideas and institutions”. Our “juridical relationships and institutional forms” are products of this material basis and historicity</w:t>
      </w:r>
      <w:r w:rsidR="00FB29EB" w:rsidRPr="00C30D62">
        <w:rPr>
          <w:rFonts w:ascii="Book Antiqua" w:hAnsi="Book Antiqua"/>
        </w:rPr>
        <w:t xml:space="preserve"> and must be situated “in a broader historical and materialist context”. </w:t>
      </w:r>
      <w:r w:rsidR="00EC7956" w:rsidRPr="00C30D62">
        <w:rPr>
          <w:rFonts w:ascii="Book Antiqua" w:hAnsi="Book Antiqua"/>
        </w:rPr>
        <w:t>Class antagonism explains the “motor force of historical change”, namely, divisions and struggles between different social class</w:t>
      </w:r>
      <w:r w:rsidR="00025D5A" w:rsidRPr="00C30D62">
        <w:rPr>
          <w:rFonts w:ascii="Book Antiqua" w:hAnsi="Book Antiqua"/>
        </w:rPr>
        <w:t>es. In the capitalist system, the division and struggle between workers and capitalists</w:t>
      </w:r>
      <w:r w:rsidR="00047BF0" w:rsidRPr="00C30D62">
        <w:rPr>
          <w:rFonts w:ascii="Book Antiqua" w:hAnsi="Book Antiqua"/>
        </w:rPr>
        <w:t xml:space="preserve"> creates a “fundamental tension”, as “the existence and prosperity of one of these classes [the capitalists] is structurally dependent on the exploitation and degradation of the other [the workers]”.</w:t>
      </w:r>
      <w:r w:rsidR="00D6071E" w:rsidRPr="00C30D62">
        <w:rPr>
          <w:rFonts w:ascii="Book Antiqua" w:hAnsi="Book Antiqua"/>
        </w:rPr>
        <w:t xml:space="preserve"> This leads to inequality which “law and state power play a crucial role in sanctioning</w:t>
      </w:r>
      <w:r w:rsidR="00585A32" w:rsidRPr="00C30D62">
        <w:rPr>
          <w:rFonts w:ascii="Book Antiqua" w:hAnsi="Book Antiqua"/>
        </w:rPr>
        <w:t>, legitimating and reproducing…</w:t>
      </w:r>
      <w:r w:rsidR="00D6071E" w:rsidRPr="00C30D62">
        <w:rPr>
          <w:rFonts w:ascii="Book Antiqua" w:hAnsi="Book Antiqua"/>
        </w:rPr>
        <w:t>”</w:t>
      </w:r>
      <w:r w:rsidR="00585A32" w:rsidRPr="00C30D62">
        <w:rPr>
          <w:rFonts w:ascii="Book Antiqua" w:hAnsi="Book Antiqua"/>
        </w:rPr>
        <w:t xml:space="preserve"> Ultimately, the Marxist view is that law serves to </w:t>
      </w:r>
      <w:r w:rsidR="00D068B7" w:rsidRPr="00C30D62">
        <w:rPr>
          <w:rFonts w:ascii="Book Antiqua" w:hAnsi="Book Antiqua"/>
        </w:rPr>
        <w:t xml:space="preserve">“uphold the interests of the dominant class in capitalist society” (and one can appreciate how a feminist or critical race theorist could come to a similar conclusion, though identifying </w:t>
      </w:r>
      <w:r w:rsidR="00E96D09" w:rsidRPr="00C30D62">
        <w:rPr>
          <w:rFonts w:ascii="Book Antiqua" w:hAnsi="Book Antiqua"/>
        </w:rPr>
        <w:t>the dominant class differently).</w:t>
      </w:r>
    </w:p>
    <w:p w14:paraId="190CAF3E" w14:textId="7F5C8481" w:rsidR="00E96D09" w:rsidRPr="00C30D62" w:rsidRDefault="00E96D09" w:rsidP="009D46A7">
      <w:pPr>
        <w:jc w:val="both"/>
        <w:rPr>
          <w:rFonts w:ascii="Book Antiqua" w:hAnsi="Book Antiqua"/>
        </w:rPr>
      </w:pPr>
      <w:r w:rsidRPr="00C30D62">
        <w:rPr>
          <w:rFonts w:ascii="Book Antiqua" w:hAnsi="Book Antiqua"/>
        </w:rPr>
        <w:lastRenderedPageBreak/>
        <w:t>From th</w:t>
      </w:r>
      <w:r w:rsidR="00DD2DC1" w:rsidRPr="00C30D62">
        <w:rPr>
          <w:rFonts w:ascii="Book Antiqua" w:hAnsi="Book Antiqua"/>
        </w:rPr>
        <w:t xml:space="preserve">is position, Marxists can deconstruct legal phenomena, </w:t>
      </w:r>
      <w:r w:rsidR="0046437A" w:rsidRPr="00C30D62">
        <w:rPr>
          <w:rFonts w:ascii="Book Antiqua" w:hAnsi="Book Antiqua"/>
        </w:rPr>
        <w:t>drawing attention to the “obscured relations” which are hidden beneath the façade of public law. O’Connell uses Brexit as an example,</w:t>
      </w:r>
      <w:r w:rsidR="009D46A7" w:rsidRPr="00C30D62">
        <w:rPr>
          <w:rFonts w:ascii="Book Antiqua" w:hAnsi="Book Antiqua"/>
        </w:rPr>
        <w:t xml:space="preserve"> situating “the Brexit conjuncture in a broader historical context [that] looks to the competing class interests and forces that shaped the conjuncture, to explain how this in turn impacted on public law”.</w:t>
      </w:r>
      <w:r w:rsidR="00C97A50" w:rsidRPr="00C30D62">
        <w:rPr>
          <w:rFonts w:ascii="Book Antiqua" w:hAnsi="Book Antiqua"/>
        </w:rPr>
        <w:t xml:space="preserve"> Debates about neat points of constitutional law – the role of referendums, the relationship between domestic and EU law, the use of the prerogative – miss the bigger point that Brexit is a product of </w:t>
      </w:r>
      <w:r w:rsidR="008719F3" w:rsidRPr="00C30D62">
        <w:rPr>
          <w:rFonts w:ascii="Book Antiqua" w:hAnsi="Book Antiqua"/>
        </w:rPr>
        <w:t xml:space="preserve">an “ongoing structural crisis in the capitalist system”. And the debates are also naïve, in that they </w:t>
      </w:r>
      <w:r w:rsidR="001F1B77" w:rsidRPr="00C30D62">
        <w:rPr>
          <w:rFonts w:ascii="Book Antiqua" w:hAnsi="Book Antiqua"/>
        </w:rPr>
        <w:t>fail to notice that judicial intervention grew out of the longer process of “neoliberal reconstitution” of Britain’s constitutional arrangements.</w:t>
      </w:r>
    </w:p>
    <w:p w14:paraId="1B54398F" w14:textId="27D3BD03" w:rsidR="009D41D0" w:rsidRPr="00C30D62" w:rsidRDefault="009D41D0" w:rsidP="004A69A0">
      <w:pPr>
        <w:jc w:val="both"/>
        <w:rPr>
          <w:rFonts w:ascii="Book Antiqua" w:hAnsi="Book Antiqua"/>
        </w:rPr>
      </w:pPr>
      <w:r w:rsidRPr="00C30D62">
        <w:rPr>
          <w:rFonts w:ascii="Book Antiqua" w:hAnsi="Book Antiqua"/>
        </w:rPr>
        <w:t>Marxist public lawyers need not necessarily engage in deconstruction. There is also a reconstructive aspect to their work. Notably, the development of “socialist constitutionalism” lends a “productive element” to the Marxist public law project.</w:t>
      </w:r>
      <w:r w:rsidR="00561DC2" w:rsidRPr="00C30D62">
        <w:rPr>
          <w:rFonts w:ascii="Book Antiqua" w:hAnsi="Book Antiqua"/>
        </w:rPr>
        <w:t xml:space="preserve"> </w:t>
      </w:r>
      <w:r w:rsidR="004A69A0" w:rsidRPr="00C30D62">
        <w:rPr>
          <w:rFonts w:ascii="Book Antiqua" w:hAnsi="Book Antiqua"/>
        </w:rPr>
        <w:t>This involves the development of “institutional arrangements that expand democracy and increase working class self-activity and confidence”, inspired by rejection of “the public/private, state/civil society binary which is central to liberal legalism”.</w:t>
      </w:r>
      <w:r w:rsidR="00DC2AD7" w:rsidRPr="00C30D62">
        <w:rPr>
          <w:rFonts w:ascii="Book Antiqua" w:hAnsi="Book Antiqua"/>
        </w:rPr>
        <w:t xml:space="preserve"> Socialist constitutionalism thereby seeks to reform existing institutions and form new ones as “alternative sites of working class power”.</w:t>
      </w:r>
      <w:r w:rsidR="00C52C3E" w:rsidRPr="00C30D62">
        <w:rPr>
          <w:rFonts w:ascii="Book Antiqua" w:hAnsi="Book Antiqua"/>
        </w:rPr>
        <w:t xml:space="preserve"> Examples are provided by proposals for Workers’ Councils and, more recently, community wealth-building initiatives.</w:t>
      </w:r>
      <w:r w:rsidR="008C2E7E" w:rsidRPr="00C30D62">
        <w:rPr>
          <w:rFonts w:ascii="Book Antiqua" w:hAnsi="Book Antiqua"/>
        </w:rPr>
        <w:t xml:space="preserve"> Similarly, feminist and critical race scholars can, having deconstructed existing institutions, propose concrete reforms or “new institutional forms” altogether, which are not beholden to </w:t>
      </w:r>
      <w:r w:rsidR="0004141A" w:rsidRPr="00C30D62">
        <w:rPr>
          <w:rFonts w:ascii="Book Antiqua" w:hAnsi="Book Antiqua"/>
        </w:rPr>
        <w:t>prevailing</w:t>
      </w:r>
      <w:r w:rsidR="008C2E7E" w:rsidRPr="00C30D62">
        <w:rPr>
          <w:rFonts w:ascii="Book Antiqua" w:hAnsi="Book Antiqua"/>
        </w:rPr>
        <w:t xml:space="preserve"> power structures.</w:t>
      </w:r>
      <w:r w:rsidR="00C52C3E" w:rsidRPr="00C30D62">
        <w:rPr>
          <w:rFonts w:ascii="Book Antiqua" w:hAnsi="Book Antiqua"/>
        </w:rPr>
        <w:t xml:space="preserve"> </w:t>
      </w:r>
      <w:r w:rsidR="0004141A" w:rsidRPr="00C30D62">
        <w:rPr>
          <w:rFonts w:ascii="Book Antiqua" w:hAnsi="Book Antiqua"/>
        </w:rPr>
        <w:t>Shared by advocates of all critical approaches is O’Connell’s aphorism that “[t]he fetishised character of legal rules and principles within liberal legalist, or bourgeois, frameworks conceal more than they reveal about the nature of law and processes of legal and social change”.</w:t>
      </w:r>
    </w:p>
    <w:p w14:paraId="0106D8DC" w14:textId="2FE9C45C" w:rsidR="00EF076A" w:rsidRPr="00C30D62" w:rsidRDefault="00EF076A" w:rsidP="004A69A0">
      <w:pPr>
        <w:jc w:val="both"/>
        <w:rPr>
          <w:rFonts w:ascii="Book Antiqua" w:hAnsi="Book Antiqua"/>
        </w:rPr>
      </w:pPr>
      <w:r w:rsidRPr="00C30D62">
        <w:rPr>
          <w:rFonts w:ascii="Book Antiqua" w:hAnsi="Book Antiqua"/>
        </w:rPr>
        <w:t>Helen Carr and Ed Kirton-Darling provide a</w:t>
      </w:r>
      <w:r w:rsidR="00EA529D" w:rsidRPr="00C30D62">
        <w:rPr>
          <w:rFonts w:ascii="Book Antiqua" w:hAnsi="Book Antiqua"/>
        </w:rPr>
        <w:t xml:space="preserve">n analysis of possible methodological approaches </w:t>
      </w:r>
      <w:r w:rsidRPr="00C30D62">
        <w:rPr>
          <w:rFonts w:ascii="Book Antiqua" w:hAnsi="Book Antiqua"/>
        </w:rPr>
        <w:t>for the socio-legal public lawyer.</w:t>
      </w:r>
      <w:r w:rsidR="00EA529D" w:rsidRPr="00C30D62">
        <w:rPr>
          <w:rFonts w:ascii="Book Antiqua" w:hAnsi="Book Antiqua"/>
        </w:rPr>
        <w:t xml:space="preserve"> Eschewing the </w:t>
      </w:r>
      <w:r w:rsidR="00B67C40" w:rsidRPr="00C30D62">
        <w:rPr>
          <w:rFonts w:ascii="Book Antiqua" w:hAnsi="Book Antiqua"/>
        </w:rPr>
        <w:t>possibility of drawing up a “template” for a successful socio-legal research project, because research is inherently “unstable and uncertain”</w:t>
      </w:r>
      <w:r w:rsidR="009463FF" w:rsidRPr="00C30D62">
        <w:rPr>
          <w:rFonts w:ascii="Book Antiqua" w:hAnsi="Book Antiqua"/>
        </w:rPr>
        <w:t xml:space="preserve"> and socio-legal research quite “catholic”</w:t>
      </w:r>
      <w:r w:rsidR="00BC6888" w:rsidRPr="00C30D62">
        <w:rPr>
          <w:rFonts w:ascii="Book Antiqua" w:hAnsi="Book Antiqua"/>
        </w:rPr>
        <w:t xml:space="preserve">, they offer a series of helpful </w:t>
      </w:r>
      <w:r w:rsidR="00A22563" w:rsidRPr="00C30D62">
        <w:rPr>
          <w:rFonts w:ascii="Book Antiqua" w:hAnsi="Book Antiqua"/>
        </w:rPr>
        <w:t>“</w:t>
      </w:r>
      <w:r w:rsidR="00BC6888" w:rsidRPr="00C30D62">
        <w:rPr>
          <w:rFonts w:ascii="Book Antiqua" w:hAnsi="Book Antiqua"/>
        </w:rPr>
        <w:t>pointers</w:t>
      </w:r>
      <w:r w:rsidR="00A22563" w:rsidRPr="00C30D62">
        <w:rPr>
          <w:rFonts w:ascii="Book Antiqua" w:hAnsi="Book Antiqua"/>
        </w:rPr>
        <w:t>” and consider some “practical and pragmatic issues”</w:t>
      </w:r>
      <w:r w:rsidR="00BC6888" w:rsidRPr="00C30D62">
        <w:rPr>
          <w:rFonts w:ascii="Book Antiqua" w:hAnsi="Book Antiqua"/>
        </w:rPr>
        <w:t>.</w:t>
      </w:r>
    </w:p>
    <w:p w14:paraId="5F8C530E" w14:textId="281ACA88" w:rsidR="00BC6888" w:rsidRPr="00C30D62" w:rsidRDefault="00BC6888" w:rsidP="00E26DBE">
      <w:pPr>
        <w:jc w:val="both"/>
        <w:rPr>
          <w:rFonts w:ascii="Book Antiqua" w:hAnsi="Book Antiqua"/>
        </w:rPr>
      </w:pPr>
      <w:r w:rsidRPr="00C30D62">
        <w:rPr>
          <w:rFonts w:ascii="Book Antiqua" w:hAnsi="Book Antiqua"/>
        </w:rPr>
        <w:t>At the outset, they note the general orientation of their work as socio-legal public lawyers</w:t>
      </w:r>
      <w:r w:rsidR="009463FF" w:rsidRPr="00C30D62">
        <w:rPr>
          <w:rFonts w:ascii="Book Antiqua" w:hAnsi="Book Antiqua"/>
        </w:rPr>
        <w:t xml:space="preserve"> interested in problematizing the state</w:t>
      </w:r>
      <w:r w:rsidR="00D25140" w:rsidRPr="00C30D62">
        <w:rPr>
          <w:rFonts w:ascii="Book Antiqua" w:hAnsi="Book Antiqua"/>
        </w:rPr>
        <w:t xml:space="preserve">, the public/private divide, individuals who are “excluded” or “marginally included” in legal structures and </w:t>
      </w:r>
      <w:r w:rsidR="00F02A56" w:rsidRPr="00C30D62">
        <w:rPr>
          <w:rFonts w:ascii="Book Antiqua" w:hAnsi="Book Antiqua"/>
        </w:rPr>
        <w:t>“all the ways in which power and the relationship between the (broadly understood) state and citizen is mediated…”</w:t>
      </w:r>
      <w:r w:rsidR="0090035B" w:rsidRPr="00C30D62">
        <w:rPr>
          <w:rFonts w:ascii="Book Antiqua" w:hAnsi="Book Antiqua"/>
        </w:rPr>
        <w:t xml:space="preserve"> This calls for a rejection of conventional thinking</w:t>
      </w:r>
      <w:r w:rsidR="00921105" w:rsidRPr="00C30D62">
        <w:rPr>
          <w:rFonts w:ascii="Book Antiqua" w:hAnsi="Book Antiqua"/>
        </w:rPr>
        <w:t>, where theory is helpful, both in highlighting connections which doctrinal legal categories obscure and in simply thinking differently.</w:t>
      </w:r>
      <w:r w:rsidR="001706F3" w:rsidRPr="00C30D62">
        <w:rPr>
          <w:rFonts w:ascii="Book Antiqua" w:hAnsi="Book Antiqua"/>
        </w:rPr>
        <w:t xml:space="preserve"> One useful theoretical approach is Foucault’s scholarship on governmentality</w:t>
      </w:r>
      <w:r w:rsidR="00AE2EB4" w:rsidRPr="00C30D62">
        <w:rPr>
          <w:rFonts w:ascii="Book Antiqua" w:hAnsi="Book Antiqua"/>
        </w:rPr>
        <w:t xml:space="preserve">, which focuses attention on the </w:t>
      </w:r>
      <w:r w:rsidR="001D0D69" w:rsidRPr="00C30D62">
        <w:rPr>
          <w:rFonts w:ascii="Book Antiqua" w:hAnsi="Book Antiqua"/>
        </w:rPr>
        <w:t>“myriad” relationships between the various actors who administer the law and the relationship between law and norms.</w:t>
      </w:r>
      <w:r w:rsidR="00E26DBE" w:rsidRPr="00C30D62">
        <w:rPr>
          <w:rFonts w:ascii="Book Antiqua" w:hAnsi="Book Antiqua"/>
        </w:rPr>
        <w:t xml:space="preserve"> Another theoretical approach is Cowan’s legal consciousness approach, based on the insight that “law is experienced in everyday life outwith the terrain marked by formal legality”.</w:t>
      </w:r>
      <w:r w:rsidR="00E26DBE" w:rsidRPr="00C30D62">
        <w:rPr>
          <w:rStyle w:val="FootnoteReference"/>
          <w:rFonts w:ascii="Book Antiqua" w:hAnsi="Book Antiqua"/>
        </w:rPr>
        <w:footnoteReference w:id="11"/>
      </w:r>
      <w:r w:rsidR="00BC6601" w:rsidRPr="00C30D62">
        <w:rPr>
          <w:rFonts w:ascii="Book Antiqua" w:hAnsi="Book Antiqua"/>
        </w:rPr>
        <w:t xml:space="preserve"> A still further possibility, especially for those concerned that theory will become a “metanarrative of oppression”</w:t>
      </w:r>
      <w:r w:rsidR="00C90650" w:rsidRPr="00C30D62">
        <w:rPr>
          <w:rFonts w:ascii="Book Antiqua" w:hAnsi="Book Antiqua"/>
        </w:rPr>
        <w:t>, is utopian studies, whose adherents seek to draw on the “innovative and the radical</w:t>
      </w:r>
      <w:r w:rsidR="00F61968" w:rsidRPr="00C30D62">
        <w:rPr>
          <w:rFonts w:ascii="Book Antiqua" w:hAnsi="Book Antiqua"/>
        </w:rPr>
        <w:t>” to imagine “more progressive futures”.</w:t>
      </w:r>
    </w:p>
    <w:p w14:paraId="26D89827" w14:textId="7915A9E1" w:rsidR="00F61968" w:rsidRPr="00C30D62" w:rsidRDefault="00F61968" w:rsidP="00553522">
      <w:pPr>
        <w:jc w:val="both"/>
        <w:rPr>
          <w:rFonts w:ascii="Book Antiqua" w:hAnsi="Book Antiqua"/>
        </w:rPr>
      </w:pPr>
      <w:r w:rsidRPr="00C30D62">
        <w:rPr>
          <w:rFonts w:ascii="Book Antiqua" w:hAnsi="Book Antiqua"/>
        </w:rPr>
        <w:lastRenderedPageBreak/>
        <w:t xml:space="preserve">Carr and Kirton-Darling offer some caveats to the use of theory, however. To begin with, the researcher should be clear about </w:t>
      </w:r>
      <w:r w:rsidR="002A4E59" w:rsidRPr="00C30D62">
        <w:rPr>
          <w:rFonts w:ascii="Book Antiqua" w:hAnsi="Book Antiqua"/>
        </w:rPr>
        <w:t xml:space="preserve">why they are using a particular theory and the contribution it is designed to make to the researcher’s work. </w:t>
      </w:r>
      <w:r w:rsidR="006420B1" w:rsidRPr="00C30D62">
        <w:rPr>
          <w:rFonts w:ascii="Book Antiqua" w:hAnsi="Book Antiqua"/>
        </w:rPr>
        <w:t xml:space="preserve">Use of the theory should also be sustained through the researcher’s work. But the theory should not drive the research: adhering too close to a theory </w:t>
      </w:r>
      <w:r w:rsidR="00553522" w:rsidRPr="00C30D62">
        <w:rPr>
          <w:rFonts w:ascii="Book Antiqua" w:hAnsi="Book Antiqua"/>
        </w:rPr>
        <w:t>“such that all of your conceptual effort goes into trying to make the theory work in a particular context, runs the risk that the entire project becomes incoherent”.</w:t>
      </w:r>
    </w:p>
    <w:p w14:paraId="4F230FC1" w14:textId="11DC8668" w:rsidR="00553522" w:rsidRPr="00C30D62" w:rsidRDefault="00553522" w:rsidP="00972E90">
      <w:pPr>
        <w:jc w:val="both"/>
        <w:rPr>
          <w:rFonts w:ascii="Book Antiqua" w:hAnsi="Book Antiqua"/>
        </w:rPr>
      </w:pPr>
      <w:r w:rsidRPr="00C30D62">
        <w:rPr>
          <w:rFonts w:ascii="Book Antiqua" w:hAnsi="Book Antiqua"/>
        </w:rPr>
        <w:t>With theory – appropriately caveated – in hand</w:t>
      </w:r>
      <w:r w:rsidR="00E70E61" w:rsidRPr="00C30D62">
        <w:rPr>
          <w:rFonts w:ascii="Book Antiqua" w:hAnsi="Book Antiqua"/>
        </w:rPr>
        <w:t>, the researcher must also be careful to have accurately identified their research problem</w:t>
      </w:r>
      <w:r w:rsidR="00AD6DF2" w:rsidRPr="00C30D62">
        <w:rPr>
          <w:rFonts w:ascii="Book Antiqua" w:hAnsi="Book Antiqua"/>
        </w:rPr>
        <w:t>, considering how others have approached it and not making undue assumptions about the past (for instance, that social divisions in the United Kingdom began during the Thatcher</w:t>
      </w:r>
      <w:r w:rsidR="00D010B5" w:rsidRPr="00C30D62">
        <w:rPr>
          <w:rFonts w:ascii="Book Antiqua" w:hAnsi="Book Antiqua"/>
        </w:rPr>
        <w:t>’s time as Prime Minister)</w:t>
      </w:r>
      <w:r w:rsidR="00AD6DF2" w:rsidRPr="00C30D62">
        <w:rPr>
          <w:rFonts w:ascii="Book Antiqua" w:hAnsi="Book Antiqua"/>
        </w:rPr>
        <w:t>.</w:t>
      </w:r>
      <w:r w:rsidR="00972E90" w:rsidRPr="00C30D62">
        <w:rPr>
          <w:rFonts w:ascii="Book Antiqua" w:hAnsi="Book Antiqua"/>
        </w:rPr>
        <w:t xml:space="preserve"> In particular, “any claims to the uniqueness of contemporary social problems needs to be made with great care”. In fully appreciating the relevant perspectives on a given research problem, </w:t>
      </w:r>
      <w:r w:rsidR="000E0C48" w:rsidRPr="00C30D62">
        <w:rPr>
          <w:rFonts w:ascii="Book Antiqua" w:hAnsi="Book Antiqua"/>
        </w:rPr>
        <w:t>it is useful to reach across disciplinary divides</w:t>
      </w:r>
      <w:r w:rsidR="008F4038" w:rsidRPr="00C30D62">
        <w:rPr>
          <w:rFonts w:ascii="Book Antiqua" w:hAnsi="Book Antiqua"/>
        </w:rPr>
        <w:t xml:space="preserve"> – </w:t>
      </w:r>
      <w:r w:rsidR="000E0C48" w:rsidRPr="00C30D62">
        <w:rPr>
          <w:rFonts w:ascii="Book Antiqua" w:hAnsi="Book Antiqua"/>
        </w:rPr>
        <w:t>the social sciences and the humanities can each be helpful in contextualizing research problems</w:t>
      </w:r>
      <w:r w:rsidR="008F4038" w:rsidRPr="00C30D62">
        <w:rPr>
          <w:rFonts w:ascii="Book Antiqua" w:hAnsi="Book Antiqua"/>
        </w:rPr>
        <w:t xml:space="preserve"> – and to consult with practitioners outside academia. </w:t>
      </w:r>
      <w:r w:rsidR="00F55AF2" w:rsidRPr="00C30D62">
        <w:rPr>
          <w:rFonts w:ascii="Book Antiqua" w:hAnsi="Book Antiqua"/>
        </w:rPr>
        <w:t>Here, again, however, there is an important caveat, as without “long-term immersion” in a field (such as history)</w:t>
      </w:r>
      <w:r w:rsidR="002E4B26" w:rsidRPr="00C30D62">
        <w:rPr>
          <w:rFonts w:ascii="Book Antiqua" w:hAnsi="Book Antiqua"/>
        </w:rPr>
        <w:t>, the socio-legal researcher will be a ‘lawyer doing history’ rather than a legal historian or a historian proper.</w:t>
      </w:r>
      <w:r w:rsidR="002864B8" w:rsidRPr="00C30D62">
        <w:rPr>
          <w:rFonts w:ascii="Book Antiqua" w:hAnsi="Book Antiqua"/>
        </w:rPr>
        <w:t xml:space="preserve"> This requires some modesty on the researcher’s part, “as well as being respectful of the expertise of others and the ways in which their interventions might fit as responses in ongoing conversations in other disciplines”.</w:t>
      </w:r>
      <w:r w:rsidR="00EB12D5" w:rsidRPr="00C30D62">
        <w:rPr>
          <w:rFonts w:ascii="Book Antiqua" w:hAnsi="Book Antiqua"/>
        </w:rPr>
        <w:t xml:space="preserve"> Furthermore, the researcher must be alive to the risk of becoming too embedded in the research project</w:t>
      </w:r>
      <w:r w:rsidR="00AD53EA" w:rsidRPr="00C30D62">
        <w:rPr>
          <w:rFonts w:ascii="Book Antiqua" w:hAnsi="Book Antiqua"/>
        </w:rPr>
        <w:t xml:space="preserve">, as </w:t>
      </w:r>
      <w:r w:rsidR="00EB12D5" w:rsidRPr="00C30D62">
        <w:rPr>
          <w:rFonts w:ascii="Book Antiqua" w:hAnsi="Book Antiqua"/>
        </w:rPr>
        <w:t>getting too close to the legal details and intricacies of a research problem may cause a socio-legal project to collapse in</w:t>
      </w:r>
      <w:r w:rsidR="00C03DC8" w:rsidRPr="00C30D62">
        <w:rPr>
          <w:rFonts w:ascii="Book Antiqua" w:hAnsi="Book Antiqua"/>
        </w:rPr>
        <w:t>to a “law first account”</w:t>
      </w:r>
      <w:r w:rsidR="00AD53EA" w:rsidRPr="00C30D62">
        <w:rPr>
          <w:rFonts w:ascii="Book Antiqua" w:hAnsi="Book Antiqua"/>
        </w:rPr>
        <w:t xml:space="preserve">. Moreover, </w:t>
      </w:r>
      <w:r w:rsidR="00EE63B0" w:rsidRPr="00C30D62">
        <w:rPr>
          <w:rFonts w:ascii="Book Antiqua" w:hAnsi="Book Antiqua"/>
        </w:rPr>
        <w:t>the researcher may become “overly present” and fail to notice what is “missing” from the research problem</w:t>
      </w:r>
      <w:r w:rsidR="00EC2159" w:rsidRPr="00C30D62">
        <w:rPr>
          <w:rFonts w:ascii="Book Antiqua" w:hAnsi="Book Antiqua"/>
        </w:rPr>
        <w:t>. This leads Carr and Kirton-Darling to reflect on the utility of critical approaches, from a feminist or race perspective, in effective socio-legal studies:</w:t>
      </w:r>
    </w:p>
    <w:p w14:paraId="4C774855" w14:textId="340A72B6" w:rsidR="00EE63B0" w:rsidRPr="00C30D62" w:rsidRDefault="002C2D69" w:rsidP="002C2D69">
      <w:pPr>
        <w:ind w:left="720"/>
        <w:jc w:val="both"/>
        <w:rPr>
          <w:rFonts w:ascii="Book Antiqua" w:hAnsi="Book Antiqua"/>
        </w:rPr>
      </w:pPr>
      <w:r w:rsidRPr="00C30D62">
        <w:rPr>
          <w:rFonts w:ascii="Book Antiqua" w:hAnsi="Book Antiqua"/>
        </w:rPr>
        <w:t>It is all the more important then to consciously interrogate your research project from the outset. Ask who is missing from previous accounts you have read and what the implications are. If you can, refocus your work, extend your research questions and examine your empirical methods. Remember that gender and race may be relevant in more contexts than you might imagine. So for instance when considering street homelessness it is not only that the accounts of women are missing, but that the role of masculinity in shaping legal and policy responses to homelessness has been overlooked. As a first step one simple audit you can do is of your references: is there anyone other than white male academics. If not, this might suggest you have overlooked key perspectives. This is obviously not to suggest that race and gender are the sole ways in which exclusion occurs, or that background predetermines perspective, but is a way to provoke reflection on what is missing – which we would suggest should go on to include reflections on class and the ways accounts might privilege wealth and ability over poverty and disability.</w:t>
      </w:r>
    </w:p>
    <w:p w14:paraId="6754D473" w14:textId="70395DA0" w:rsidR="006A1A43" w:rsidRPr="00C30D62" w:rsidRDefault="006A1A43" w:rsidP="002C2D69">
      <w:pPr>
        <w:jc w:val="both"/>
        <w:rPr>
          <w:rFonts w:ascii="Book Antiqua" w:hAnsi="Book Antiqua"/>
        </w:rPr>
      </w:pPr>
      <w:r w:rsidRPr="00C30D62">
        <w:rPr>
          <w:rFonts w:ascii="Book Antiqua" w:hAnsi="Book Antiqua"/>
        </w:rPr>
        <w:t xml:space="preserve">Lastly, Carr and Kirton-Darling address the institutional environment in which research takes place. </w:t>
      </w:r>
      <w:r w:rsidR="00E77DC1" w:rsidRPr="00C30D62">
        <w:rPr>
          <w:rFonts w:ascii="Book Antiqua" w:hAnsi="Book Antiqua"/>
        </w:rPr>
        <w:t>Socio-legal scholars are not exempt from requirements of academic rigour. A research project requires “critical reflection and detailed planning”</w:t>
      </w:r>
      <w:r w:rsidR="00684F36" w:rsidRPr="00C30D62">
        <w:rPr>
          <w:rFonts w:ascii="Book Antiqua" w:hAnsi="Book Antiqua"/>
        </w:rPr>
        <w:t xml:space="preserve">. This may require adjustment over the </w:t>
      </w:r>
      <w:r w:rsidR="00684F36" w:rsidRPr="00C30D62">
        <w:rPr>
          <w:rFonts w:ascii="Book Antiqua" w:hAnsi="Book Antiqua"/>
        </w:rPr>
        <w:lastRenderedPageBreak/>
        <w:t>course of the project, but this adjustment should be conducted according to the norms of socio-legal inquiry.</w:t>
      </w:r>
      <w:r w:rsidR="00D35607" w:rsidRPr="00C30D62">
        <w:rPr>
          <w:rStyle w:val="FootnoteReference"/>
          <w:rFonts w:ascii="Book Antiqua" w:hAnsi="Book Antiqua"/>
        </w:rPr>
        <w:footnoteReference w:id="12"/>
      </w:r>
    </w:p>
    <w:p w14:paraId="66B3CE45" w14:textId="77777777" w:rsidR="00F61968" w:rsidRPr="00C30D62" w:rsidRDefault="00F61968" w:rsidP="00E26DBE">
      <w:pPr>
        <w:jc w:val="both"/>
        <w:rPr>
          <w:rFonts w:ascii="Book Antiqua" w:hAnsi="Book Antiqua"/>
        </w:rPr>
      </w:pPr>
    </w:p>
    <w:p w14:paraId="14BC4FFB" w14:textId="77777777" w:rsidR="00A22563" w:rsidRPr="00C30D62" w:rsidRDefault="00A22563" w:rsidP="00F02A56">
      <w:pPr>
        <w:jc w:val="both"/>
        <w:rPr>
          <w:rFonts w:ascii="Book Antiqua" w:hAnsi="Book Antiqua"/>
        </w:rPr>
      </w:pPr>
    </w:p>
    <w:p w14:paraId="7CE4F508" w14:textId="4DB23F69" w:rsidR="0004141A" w:rsidRPr="00C30D62" w:rsidRDefault="0004141A" w:rsidP="0004141A">
      <w:pPr>
        <w:jc w:val="center"/>
        <w:rPr>
          <w:rFonts w:ascii="Book Antiqua" w:hAnsi="Book Antiqua"/>
        </w:rPr>
      </w:pPr>
      <w:r w:rsidRPr="00C30D62">
        <w:rPr>
          <w:rFonts w:ascii="Book Antiqua" w:hAnsi="Book Antiqua"/>
        </w:rPr>
        <w:t>* * *</w:t>
      </w:r>
    </w:p>
    <w:p w14:paraId="4A377ED4" w14:textId="4591D42D" w:rsidR="0004141A" w:rsidRPr="00C30D62" w:rsidRDefault="0004141A" w:rsidP="00D02535">
      <w:pPr>
        <w:jc w:val="both"/>
        <w:rPr>
          <w:rFonts w:ascii="Book Antiqua" w:hAnsi="Book Antiqua"/>
        </w:rPr>
      </w:pPr>
      <w:r w:rsidRPr="00C30D62">
        <w:rPr>
          <w:rFonts w:ascii="Book Antiqua" w:hAnsi="Book Antiqua"/>
        </w:rPr>
        <w:t>Having outlined the contributions</w:t>
      </w:r>
      <w:r w:rsidR="00D010B5" w:rsidRPr="00C30D62">
        <w:rPr>
          <w:rFonts w:ascii="Book Antiqua" w:hAnsi="Book Antiqua"/>
        </w:rPr>
        <w:t xml:space="preserve"> this book makes</w:t>
      </w:r>
      <w:r w:rsidRPr="00C30D62">
        <w:rPr>
          <w:rFonts w:ascii="Book Antiqua" w:hAnsi="Book Antiqua"/>
        </w:rPr>
        <w:t xml:space="preserve"> in some detail, it is possible now to highlight some recurring themes, which are central to </w:t>
      </w:r>
      <w:r w:rsidR="00632082" w:rsidRPr="00C30D62">
        <w:rPr>
          <w:rFonts w:ascii="Book Antiqua" w:hAnsi="Book Antiqua"/>
        </w:rPr>
        <w:t>effective reflection on methodology in public law.</w:t>
      </w:r>
    </w:p>
    <w:p w14:paraId="6918763B" w14:textId="1D9A5849" w:rsidR="00317AD9" w:rsidRPr="00C30D62" w:rsidRDefault="00317AD9" w:rsidP="00D02535">
      <w:pPr>
        <w:jc w:val="both"/>
        <w:rPr>
          <w:rFonts w:ascii="Book Antiqua" w:hAnsi="Book Antiqua"/>
        </w:rPr>
      </w:pPr>
      <w:r w:rsidRPr="00C30D62">
        <w:rPr>
          <w:rFonts w:ascii="Book Antiqua" w:hAnsi="Book Antiqua"/>
        </w:rPr>
        <w:t xml:space="preserve">By far the most significant is the desirability of transparency. As the contributions to this collection amply demonstrate, there is a plurality of </w:t>
      </w:r>
      <w:r w:rsidR="0093754E" w:rsidRPr="00C30D62">
        <w:rPr>
          <w:rFonts w:ascii="Book Antiqua" w:hAnsi="Book Antiqua"/>
        </w:rPr>
        <w:t xml:space="preserve">approaches to methodology in public law. </w:t>
      </w:r>
      <w:r w:rsidR="00D658A2" w:rsidRPr="00C30D62">
        <w:rPr>
          <w:rFonts w:ascii="Book Antiqua" w:hAnsi="Book Antiqua"/>
        </w:rPr>
        <w:t xml:space="preserve">It is incumbent upon the public law researcher to describe, in a transparent way, the approach that they are choosing to take to their research. </w:t>
      </w:r>
      <w:r w:rsidR="00F35BA8" w:rsidRPr="00C30D62">
        <w:rPr>
          <w:rFonts w:ascii="Book Antiqua" w:hAnsi="Book Antiqua"/>
        </w:rPr>
        <w:t>Whatever approach one takes, there are methodological choices to make, which come freighted with commitments, assumptions and methods. If these are visible, they can be discussed and reflected upon, with colleagues, doctoral supervisors, journal referees, editors and so on. But if they are not visible, the researcher runs the risk – heightened by greater attention to methodology in the legal community – of being accused of promoting a hidden agenda</w:t>
      </w:r>
      <w:r w:rsidR="004E7655" w:rsidRPr="00C30D62">
        <w:rPr>
          <w:rFonts w:ascii="Book Antiqua" w:hAnsi="Book Antiqua"/>
        </w:rPr>
        <w:t>, relying on fallacious or outmoded assumptions or using defective methods.</w:t>
      </w:r>
    </w:p>
    <w:p w14:paraId="3A036D2D" w14:textId="7793E1A5" w:rsidR="00C54CFF" w:rsidRPr="00C30D62" w:rsidRDefault="004E7655" w:rsidP="00D02535">
      <w:pPr>
        <w:jc w:val="both"/>
        <w:rPr>
          <w:rFonts w:ascii="Book Antiqua" w:hAnsi="Book Antiqua"/>
        </w:rPr>
      </w:pPr>
      <w:r w:rsidRPr="00C30D62">
        <w:rPr>
          <w:rFonts w:ascii="Book Antiqua" w:hAnsi="Book Antiqua"/>
        </w:rPr>
        <w:t>Another important theme</w:t>
      </w:r>
      <w:r w:rsidR="00C54CFF" w:rsidRPr="00C30D62">
        <w:rPr>
          <w:rFonts w:ascii="Book Antiqua" w:hAnsi="Book Antiqua"/>
        </w:rPr>
        <w:t xml:space="preserve"> relates to the difference between an internal and external perspective. Traditional approaches invariably adopt an internal perspective, seeking to make sense of the law from the inside out. Critical approaches, by contrast, </w:t>
      </w:r>
      <w:r w:rsidR="00D02535" w:rsidRPr="00C30D62">
        <w:rPr>
          <w:rFonts w:ascii="Book Antiqua" w:hAnsi="Book Antiqua"/>
        </w:rPr>
        <w:t xml:space="preserve">bring external perspectives to bear on the law, demonstrating how participant’s self-understandings neglect important details or are based on unexpressed assumptions. </w:t>
      </w:r>
      <w:r w:rsidR="008A2975" w:rsidRPr="00C30D62">
        <w:rPr>
          <w:rFonts w:ascii="Book Antiqua" w:hAnsi="Book Antiqua"/>
        </w:rPr>
        <w:t xml:space="preserve">Sometimes, a methodological approach to public law might include both internal and external perspectives, as with the </w:t>
      </w:r>
      <w:r w:rsidR="003C1337" w:rsidRPr="00C30D62">
        <w:rPr>
          <w:rFonts w:ascii="Book Antiqua" w:hAnsi="Book Antiqua"/>
        </w:rPr>
        <w:t>social constructivist approach described by Loughlin and Tschorne, the socio-legal strand of comparative public law identified by Roux and some of Nason’s empirical scholarship.</w:t>
      </w:r>
      <w:r w:rsidRPr="00C30D62">
        <w:rPr>
          <w:rFonts w:ascii="Book Antiqua" w:hAnsi="Book Antiqua"/>
        </w:rPr>
        <w:t xml:space="preserve"> As with methodological choices in general, </w:t>
      </w:r>
      <w:r w:rsidR="00D010B5" w:rsidRPr="00C30D62">
        <w:rPr>
          <w:rFonts w:ascii="Book Antiqua" w:hAnsi="Book Antiqua"/>
        </w:rPr>
        <w:t>it is usually helpful that a</w:t>
      </w:r>
      <w:r w:rsidRPr="00C30D62">
        <w:rPr>
          <w:rFonts w:ascii="Book Antiqua" w:hAnsi="Book Antiqua"/>
        </w:rPr>
        <w:t xml:space="preserve"> researcher’s stance relative to the internal and external perspective</w:t>
      </w:r>
      <w:r w:rsidR="00D010B5" w:rsidRPr="00C30D62">
        <w:rPr>
          <w:rFonts w:ascii="Book Antiqua" w:hAnsi="Book Antiqua"/>
        </w:rPr>
        <w:t xml:space="preserve"> is</w:t>
      </w:r>
      <w:r w:rsidRPr="00C30D62">
        <w:rPr>
          <w:rFonts w:ascii="Book Antiqua" w:hAnsi="Book Antiqua"/>
        </w:rPr>
        <w:t xml:space="preserve"> made clear.</w:t>
      </w:r>
    </w:p>
    <w:p w14:paraId="4FCAA692" w14:textId="1DEABC53" w:rsidR="001C084D" w:rsidRPr="00C30D62" w:rsidRDefault="001C084D" w:rsidP="00D02535">
      <w:pPr>
        <w:jc w:val="both"/>
        <w:rPr>
          <w:rFonts w:ascii="Book Antiqua" w:hAnsi="Book Antiqua"/>
        </w:rPr>
      </w:pPr>
      <w:r w:rsidRPr="00C30D62">
        <w:rPr>
          <w:rFonts w:ascii="Book Antiqua" w:hAnsi="Book Antiqua"/>
        </w:rPr>
        <w:t xml:space="preserve">We would also highlight something implicit in the contributions, which is the need for epistemic humility. There is no unified field theory of law or legal systems. These living phenomena can be observed, studied and criticized from a variety of methodological perspectives. No one methodological approach reigns supreme over the others. </w:t>
      </w:r>
      <w:r w:rsidR="00226137" w:rsidRPr="00C30D62">
        <w:rPr>
          <w:rFonts w:ascii="Book Antiqua" w:hAnsi="Book Antiqua"/>
        </w:rPr>
        <w:t>Accordingly, e</w:t>
      </w:r>
      <w:r w:rsidRPr="00C30D62">
        <w:rPr>
          <w:rFonts w:ascii="Book Antiqua" w:hAnsi="Book Antiqua"/>
        </w:rPr>
        <w:t xml:space="preserve">ach can only be assessed on its own merits. </w:t>
      </w:r>
      <w:r w:rsidR="00745F10" w:rsidRPr="00C30D62">
        <w:rPr>
          <w:rFonts w:ascii="Book Antiqua" w:hAnsi="Book Antiqua"/>
        </w:rPr>
        <w:t>The ‘goodness’ or ‘success’ of a</w:t>
      </w:r>
      <w:r w:rsidRPr="00C30D62">
        <w:rPr>
          <w:rFonts w:ascii="Book Antiqua" w:hAnsi="Book Antiqua"/>
        </w:rPr>
        <w:t xml:space="preserve"> socio-legal or empirical project </w:t>
      </w:r>
      <w:r w:rsidR="00745F10" w:rsidRPr="00C30D62">
        <w:rPr>
          <w:rFonts w:ascii="Book Antiqua" w:hAnsi="Book Antiqua"/>
        </w:rPr>
        <w:t xml:space="preserve">falls to be judged by reference to its compliance with the criteria for a ‘good’ or ‘successful’ socio-legal or empirical project. It cannot be </w:t>
      </w:r>
      <w:r w:rsidR="003E6B68" w:rsidRPr="00C30D62">
        <w:rPr>
          <w:rFonts w:ascii="Book Antiqua" w:hAnsi="Book Antiqua"/>
        </w:rPr>
        <w:t>‘bad’ or a ‘failure’ because its results differ from those preferred by a comparative or doctrinal public lawyer.</w:t>
      </w:r>
    </w:p>
    <w:p w14:paraId="115F3DB1" w14:textId="7F446502" w:rsidR="00C54AEF" w:rsidRPr="00C30D62" w:rsidRDefault="00765712" w:rsidP="00E4588D">
      <w:pPr>
        <w:jc w:val="both"/>
        <w:rPr>
          <w:rFonts w:ascii="Book Antiqua" w:hAnsi="Book Antiqua"/>
        </w:rPr>
      </w:pPr>
      <w:r w:rsidRPr="00C30D62">
        <w:rPr>
          <w:rFonts w:ascii="Book Antiqua" w:hAnsi="Book Antiqua"/>
        </w:rPr>
        <w:t>Lastly, we note the desirability of discussion between adherents to different methodological approaches. Nason observes, for instance, that</w:t>
      </w:r>
      <w:r w:rsidR="006A61F8" w:rsidRPr="00C30D62">
        <w:rPr>
          <w:rFonts w:ascii="Book Antiqua" w:hAnsi="Book Antiqua"/>
        </w:rPr>
        <w:t xml:space="preserve"> empirical public law scholarship is often based on </w:t>
      </w:r>
      <w:r w:rsidR="003D3A2E" w:rsidRPr="00C30D62">
        <w:rPr>
          <w:rFonts w:ascii="Book Antiqua" w:hAnsi="Book Antiqua"/>
        </w:rPr>
        <w:t>hypotheses or thoughts prompted by doctrinal or theoretical thinking about public law.</w:t>
      </w:r>
      <w:r w:rsidR="00D04EF2" w:rsidRPr="00C30D62">
        <w:rPr>
          <w:rFonts w:ascii="Book Antiqua" w:hAnsi="Book Antiqua"/>
        </w:rPr>
        <w:t xml:space="preserve"> Similarly, empirical work may make doctrinal lawyers rethink their subject.</w:t>
      </w:r>
      <w:r w:rsidR="003D3A2E" w:rsidRPr="00C30D62">
        <w:rPr>
          <w:rFonts w:ascii="Book Antiqua" w:hAnsi="Book Antiqua"/>
        </w:rPr>
        <w:t xml:space="preserve"> Indeed, public lawyers can </w:t>
      </w:r>
      <w:r w:rsidR="003D3A2E" w:rsidRPr="00C30D62">
        <w:rPr>
          <w:rFonts w:ascii="Book Antiqua" w:hAnsi="Book Antiqua"/>
        </w:rPr>
        <w:lastRenderedPageBreak/>
        <w:t xml:space="preserve">learn a great deal from those following other methodological approaches. Without necessarily adopting the approaches themselves, public lawyers can enhance their own research by </w:t>
      </w:r>
      <w:r w:rsidR="00666C20" w:rsidRPr="00C30D62">
        <w:rPr>
          <w:rFonts w:ascii="Book Antiqua" w:hAnsi="Book Antiqua"/>
        </w:rPr>
        <w:t xml:space="preserve">rigorously assessing their commitments, </w:t>
      </w:r>
      <w:r w:rsidR="00D04EF2" w:rsidRPr="00C30D62">
        <w:rPr>
          <w:rFonts w:ascii="Book Antiqua" w:hAnsi="Book Antiqua"/>
        </w:rPr>
        <w:t>assumptions,</w:t>
      </w:r>
      <w:r w:rsidR="00666C20" w:rsidRPr="00C30D62">
        <w:rPr>
          <w:rFonts w:ascii="Book Antiqua" w:hAnsi="Book Antiqua"/>
        </w:rPr>
        <w:t xml:space="preserve"> and methods in the light of </w:t>
      </w:r>
      <w:r w:rsidR="00BF0B24" w:rsidRPr="00C30D62">
        <w:rPr>
          <w:rFonts w:ascii="Book Antiqua" w:hAnsi="Book Antiqua"/>
        </w:rPr>
        <w:t>work done by others.</w:t>
      </w:r>
    </w:p>
    <w:sectPr w:rsidR="00C54AEF" w:rsidRPr="00C30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D357F" w14:textId="77777777" w:rsidR="00F91CB4" w:rsidRDefault="00F91CB4" w:rsidP="00535042">
      <w:pPr>
        <w:spacing w:after="0" w:line="240" w:lineRule="auto"/>
      </w:pPr>
      <w:r>
        <w:separator/>
      </w:r>
    </w:p>
  </w:endnote>
  <w:endnote w:type="continuationSeparator" w:id="0">
    <w:p w14:paraId="5FE712A9" w14:textId="77777777" w:rsidR="00F91CB4" w:rsidRDefault="00F91CB4" w:rsidP="0053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Light">
    <w:altName w:val="GILL SANS LIGHT"/>
    <w:panose1 w:val="020B0302020104020203"/>
    <w:charset w:val="B1"/>
    <w:family w:val="swiss"/>
    <w:pitch w:val="variable"/>
    <w:sig w:usb0="80000A67" w:usb1="00000000" w:usb2="00000000" w:usb3="00000000" w:csb0="000001F7" w:csb1="00000000"/>
  </w:font>
  <w:font w:name="Gill Sans">
    <w:panose1 w:val="020B0502020104020203"/>
    <w:charset w:val="B1"/>
    <w:family w:val="swiss"/>
    <w:pitch w:val="variable"/>
    <w:sig w:usb0="80000A67" w:usb1="00000000" w:usb2="00000000" w:usb3="00000000" w:csb0="000001F7"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5337" w14:textId="77777777" w:rsidR="00F91CB4" w:rsidRDefault="00F91CB4" w:rsidP="00535042">
      <w:pPr>
        <w:spacing w:after="0" w:line="240" w:lineRule="auto"/>
      </w:pPr>
      <w:r>
        <w:separator/>
      </w:r>
    </w:p>
  </w:footnote>
  <w:footnote w:type="continuationSeparator" w:id="0">
    <w:p w14:paraId="5DFCF017" w14:textId="77777777" w:rsidR="00F91CB4" w:rsidRDefault="00F91CB4" w:rsidP="00535042">
      <w:pPr>
        <w:spacing w:after="0" w:line="240" w:lineRule="auto"/>
      </w:pPr>
      <w:r>
        <w:continuationSeparator/>
      </w:r>
    </w:p>
  </w:footnote>
  <w:footnote w:id="1">
    <w:p w14:paraId="43422E11" w14:textId="53F999DC" w:rsidR="008B3164" w:rsidRDefault="008B3164">
      <w:pPr>
        <w:pStyle w:val="FootnoteText"/>
      </w:pPr>
      <w:r>
        <w:rPr>
          <w:rStyle w:val="FootnoteReference"/>
        </w:rPr>
        <w:footnoteRef/>
      </w:r>
      <w:r>
        <w:t xml:space="preserve"> Varuhas Taxonomy chapter.</w:t>
      </w:r>
    </w:p>
  </w:footnote>
  <w:footnote w:id="2">
    <w:p w14:paraId="316245F1" w14:textId="2DA8CB63" w:rsidR="00535042" w:rsidRPr="00BD1776" w:rsidRDefault="00535042">
      <w:pPr>
        <w:pStyle w:val="FootnoteText"/>
      </w:pPr>
      <w:r>
        <w:rPr>
          <w:rStyle w:val="FootnoteReference"/>
        </w:rPr>
        <w:footnoteRef/>
      </w:r>
      <w:r>
        <w:t xml:space="preserve"> </w:t>
      </w:r>
      <w:r w:rsidR="00BD1776">
        <w:t>(</w:t>
      </w:r>
      <w:r>
        <w:t>2013</w:t>
      </w:r>
      <w:r w:rsidR="00BD1776">
        <w:t xml:space="preserve">) 72 </w:t>
      </w:r>
      <w:r w:rsidR="00BD1776">
        <w:rPr>
          <w:i/>
          <w:iCs/>
        </w:rPr>
        <w:t xml:space="preserve">Cambridge Law Journal </w:t>
      </w:r>
      <w:r w:rsidR="00BD1776">
        <w:t>526.</w:t>
      </w:r>
    </w:p>
  </w:footnote>
  <w:footnote w:id="3">
    <w:p w14:paraId="65D41F46" w14:textId="5B2C258E" w:rsidR="000D5526" w:rsidRDefault="000D5526">
      <w:pPr>
        <w:pStyle w:val="FootnoteText"/>
      </w:pPr>
      <w:r>
        <w:rPr>
          <w:rStyle w:val="FootnoteReference"/>
        </w:rPr>
        <w:footnoteRef/>
      </w:r>
      <w:r>
        <w:t xml:space="preserve"> See, in particular, his description of Coke’s celebration of Magna Carta:</w:t>
      </w:r>
    </w:p>
    <w:p w14:paraId="47A99652" w14:textId="053BF1C5" w:rsidR="000D5526" w:rsidRDefault="000D5526" w:rsidP="000D5526">
      <w:pPr>
        <w:pStyle w:val="FootnoteText"/>
        <w:ind w:left="720"/>
      </w:pPr>
      <w:r>
        <w:t>The basic reconstructive features of his celebration of Magna Carta were, first, the abstraction of a causa or purpose from a complexity of facts, secondly, the ex post facto imputation of the causa as the prima causa or principal purpose from the perspective of the present rather than that of the past and, thirdly, the actionality of the causa as a motive, or reason of principle or policy, for acting.</w:t>
      </w:r>
    </w:p>
  </w:footnote>
  <w:footnote w:id="4">
    <w:p w14:paraId="6E43F215" w14:textId="08D0DBA0" w:rsidR="00A20A1B" w:rsidRDefault="00A20A1B">
      <w:pPr>
        <w:pStyle w:val="FootnoteText"/>
      </w:pPr>
      <w:r>
        <w:rPr>
          <w:rStyle w:val="FootnoteReference"/>
        </w:rPr>
        <w:footnoteRef/>
      </w:r>
      <w:r>
        <w:t xml:space="preserve"> See further Varuhas, Daly. </w:t>
      </w:r>
    </w:p>
  </w:footnote>
  <w:footnote w:id="5">
    <w:p w14:paraId="18DB5D1E" w14:textId="59691B03" w:rsidR="00D047C1" w:rsidRDefault="00D047C1">
      <w:pPr>
        <w:pStyle w:val="FootnoteText"/>
      </w:pPr>
      <w:r>
        <w:rPr>
          <w:rStyle w:val="FootnoteReference"/>
        </w:rPr>
        <w:footnoteRef/>
      </w:r>
      <w:r>
        <w:t xml:space="preserve"> </w:t>
      </w:r>
    </w:p>
  </w:footnote>
  <w:footnote w:id="6">
    <w:p w14:paraId="424B3D6C" w14:textId="1FCAF4B5" w:rsidR="000A015F" w:rsidRDefault="000A015F">
      <w:pPr>
        <w:pStyle w:val="FootnoteText"/>
      </w:pPr>
      <w:r>
        <w:rPr>
          <w:rStyle w:val="FootnoteReference"/>
        </w:rPr>
        <w:footnoteRef/>
      </w:r>
      <w:r>
        <w:t xml:space="preserve"> On this, as members of the “values-based” camp, we demur, and retort that “narrative” approaches might well feature</w:t>
      </w:r>
      <w:r w:rsidR="00EE72E5">
        <w:t xml:space="preserve"> high levels of normative capture.</w:t>
      </w:r>
    </w:p>
  </w:footnote>
  <w:footnote w:id="7">
    <w:p w14:paraId="6D176D04" w14:textId="350DDEAC" w:rsidR="00141B9D" w:rsidRDefault="00141B9D">
      <w:pPr>
        <w:pStyle w:val="FootnoteText"/>
      </w:pPr>
      <w:r>
        <w:rPr>
          <w:rStyle w:val="FootnoteReference"/>
        </w:rPr>
        <w:footnoteRef/>
      </w:r>
      <w:r>
        <w:t xml:space="preserve"> Xanthaki.</w:t>
      </w:r>
    </w:p>
  </w:footnote>
  <w:footnote w:id="8">
    <w:p w14:paraId="42E141C3" w14:textId="3C4A41EB" w:rsidR="007A02C1" w:rsidRDefault="007A02C1">
      <w:pPr>
        <w:pStyle w:val="FootnoteText"/>
      </w:pPr>
      <w:r>
        <w:rPr>
          <w:rStyle w:val="FootnoteReference"/>
        </w:rPr>
        <w:footnoteRef/>
      </w:r>
      <w:r>
        <w:t xml:space="preserve"> Russell and Gover.</w:t>
      </w:r>
    </w:p>
  </w:footnote>
  <w:footnote w:id="9">
    <w:p w14:paraId="04FC91B1" w14:textId="710DF051" w:rsidR="00FA711E" w:rsidRDefault="00FA711E">
      <w:pPr>
        <w:pStyle w:val="FootnoteText"/>
      </w:pPr>
      <w:r>
        <w:rPr>
          <w:rStyle w:val="FootnoteReference"/>
        </w:rPr>
        <w:footnoteRef/>
      </w:r>
      <w:r>
        <w:t xml:space="preserve"> Hutchinson, 1986.</w:t>
      </w:r>
    </w:p>
  </w:footnote>
  <w:footnote w:id="10">
    <w:p w14:paraId="0961AABE" w14:textId="021C6FD8" w:rsidR="0044209B" w:rsidRPr="00D35931" w:rsidRDefault="0044209B">
      <w:pPr>
        <w:pStyle w:val="FootnoteText"/>
      </w:pPr>
      <w:r>
        <w:rPr>
          <w:rStyle w:val="FootnoteReference"/>
        </w:rPr>
        <w:footnoteRef/>
      </w:r>
      <w:r>
        <w:t xml:space="preserve"> See e.g. </w:t>
      </w:r>
      <w:r>
        <w:rPr>
          <w:i/>
          <w:iCs/>
        </w:rPr>
        <w:t>The Sovereignty of Law</w:t>
      </w:r>
      <w:r w:rsidR="00D35931">
        <w:rPr>
          <w:i/>
          <w:iCs/>
        </w:rPr>
        <w:t xml:space="preserve">: Freedom, Constitution and Common Law </w:t>
      </w:r>
      <w:r w:rsidR="00D35931">
        <w:t>(Oxford University Press, Oxford, 2013).</w:t>
      </w:r>
    </w:p>
  </w:footnote>
  <w:footnote w:id="11">
    <w:p w14:paraId="0F859F6A" w14:textId="6477B230" w:rsidR="00E26DBE" w:rsidRDefault="00E26DBE">
      <w:pPr>
        <w:pStyle w:val="FootnoteText"/>
      </w:pPr>
      <w:r>
        <w:rPr>
          <w:rStyle w:val="FootnoteReference"/>
        </w:rPr>
        <w:footnoteRef/>
      </w:r>
      <w:r>
        <w:t xml:space="preserve"> </w:t>
      </w:r>
      <w:r w:rsidR="007D26CF">
        <w:t>“Legal Consciousness: Some Observations” (2004) 67 Modern Law Review 928, at 929.</w:t>
      </w:r>
    </w:p>
  </w:footnote>
  <w:footnote w:id="12">
    <w:p w14:paraId="63C9BD8E" w14:textId="6887DC42" w:rsidR="00D35607" w:rsidRPr="00095D62" w:rsidRDefault="00D35607">
      <w:pPr>
        <w:pStyle w:val="FootnoteText"/>
      </w:pPr>
      <w:r>
        <w:rPr>
          <w:rStyle w:val="FootnoteReference"/>
        </w:rPr>
        <w:footnoteRef/>
      </w:r>
      <w:r>
        <w:t xml:space="preserve"> </w:t>
      </w:r>
      <w:r w:rsidR="00BF4743">
        <w:t xml:space="preserve">S Halliday and </w:t>
      </w:r>
      <w:r w:rsidR="00095D62">
        <w:t xml:space="preserve">P Schmidt, </w:t>
      </w:r>
      <w:r w:rsidR="00095D62">
        <w:rPr>
          <w:i/>
          <w:iCs/>
        </w:rPr>
        <w:t xml:space="preserve">Conducting Law and Society Research: Reflections on Methods and Practices </w:t>
      </w:r>
      <w:r w:rsidR="00095D62">
        <w:t>(Cambridge, 2009), at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30A98"/>
    <w:multiLevelType w:val="hybridMultilevel"/>
    <w:tmpl w:val="27EE19B0"/>
    <w:lvl w:ilvl="0" w:tplc="BDC82BFE">
      <w:start w:val="3"/>
      <w:numFmt w:val="bullet"/>
      <w:lvlText w:val="-"/>
      <w:lvlJc w:val="left"/>
      <w:pPr>
        <w:ind w:left="840" w:hanging="360"/>
      </w:pPr>
      <w:rPr>
        <w:rFonts w:ascii="Gill Sans Light" w:eastAsia="Gill Sans" w:hAnsi="Gill Sans Light" w:cs="Gill Sans Light"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002660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CE"/>
    <w:rsid w:val="00001394"/>
    <w:rsid w:val="00003D52"/>
    <w:rsid w:val="0000464C"/>
    <w:rsid w:val="000152F4"/>
    <w:rsid w:val="00020948"/>
    <w:rsid w:val="00025D5A"/>
    <w:rsid w:val="00026551"/>
    <w:rsid w:val="00031A07"/>
    <w:rsid w:val="000335E0"/>
    <w:rsid w:val="0004141A"/>
    <w:rsid w:val="000425B6"/>
    <w:rsid w:val="00047BF0"/>
    <w:rsid w:val="00054A60"/>
    <w:rsid w:val="000606EF"/>
    <w:rsid w:val="000630DD"/>
    <w:rsid w:val="00064982"/>
    <w:rsid w:val="000704D6"/>
    <w:rsid w:val="000725E3"/>
    <w:rsid w:val="00095D62"/>
    <w:rsid w:val="00096444"/>
    <w:rsid w:val="000A015F"/>
    <w:rsid w:val="000A02DC"/>
    <w:rsid w:val="000A530A"/>
    <w:rsid w:val="000B5729"/>
    <w:rsid w:val="000B58F6"/>
    <w:rsid w:val="000B6045"/>
    <w:rsid w:val="000B670E"/>
    <w:rsid w:val="000C16DB"/>
    <w:rsid w:val="000D012B"/>
    <w:rsid w:val="000D5526"/>
    <w:rsid w:val="000D70D4"/>
    <w:rsid w:val="000E05A5"/>
    <w:rsid w:val="000E0C48"/>
    <w:rsid w:val="000E0D40"/>
    <w:rsid w:val="000E3985"/>
    <w:rsid w:val="000E536E"/>
    <w:rsid w:val="0010443B"/>
    <w:rsid w:val="001060F2"/>
    <w:rsid w:val="00110ACB"/>
    <w:rsid w:val="001115DC"/>
    <w:rsid w:val="00114EF7"/>
    <w:rsid w:val="00120217"/>
    <w:rsid w:val="001350C1"/>
    <w:rsid w:val="00140C23"/>
    <w:rsid w:val="00141B9D"/>
    <w:rsid w:val="00152203"/>
    <w:rsid w:val="0015279C"/>
    <w:rsid w:val="001543F6"/>
    <w:rsid w:val="001604DF"/>
    <w:rsid w:val="001646C3"/>
    <w:rsid w:val="001706F3"/>
    <w:rsid w:val="00171406"/>
    <w:rsid w:val="00175A25"/>
    <w:rsid w:val="00193479"/>
    <w:rsid w:val="00194B76"/>
    <w:rsid w:val="00197929"/>
    <w:rsid w:val="001A02F7"/>
    <w:rsid w:val="001A310A"/>
    <w:rsid w:val="001C084D"/>
    <w:rsid w:val="001C1CD5"/>
    <w:rsid w:val="001C3BDC"/>
    <w:rsid w:val="001C7F89"/>
    <w:rsid w:val="001D0D69"/>
    <w:rsid w:val="001E6CC3"/>
    <w:rsid w:val="001E71D7"/>
    <w:rsid w:val="001F02FC"/>
    <w:rsid w:val="001F1B77"/>
    <w:rsid w:val="001F5179"/>
    <w:rsid w:val="002019C5"/>
    <w:rsid w:val="00202914"/>
    <w:rsid w:val="00214733"/>
    <w:rsid w:val="00217352"/>
    <w:rsid w:val="00217A5B"/>
    <w:rsid w:val="002222D9"/>
    <w:rsid w:val="00226137"/>
    <w:rsid w:val="002328CC"/>
    <w:rsid w:val="00235F3D"/>
    <w:rsid w:val="0023681F"/>
    <w:rsid w:val="00240B6E"/>
    <w:rsid w:val="00242404"/>
    <w:rsid w:val="002442EE"/>
    <w:rsid w:val="002458C1"/>
    <w:rsid w:val="00271F44"/>
    <w:rsid w:val="00272271"/>
    <w:rsid w:val="0027534D"/>
    <w:rsid w:val="0027556B"/>
    <w:rsid w:val="00276FCC"/>
    <w:rsid w:val="002817C1"/>
    <w:rsid w:val="0028487B"/>
    <w:rsid w:val="00285EB9"/>
    <w:rsid w:val="002864B8"/>
    <w:rsid w:val="00295846"/>
    <w:rsid w:val="002963CB"/>
    <w:rsid w:val="00297C1B"/>
    <w:rsid w:val="00297C82"/>
    <w:rsid w:val="002A4E59"/>
    <w:rsid w:val="002B13B3"/>
    <w:rsid w:val="002B17EF"/>
    <w:rsid w:val="002C2D69"/>
    <w:rsid w:val="002C4236"/>
    <w:rsid w:val="002D0001"/>
    <w:rsid w:val="002D01DA"/>
    <w:rsid w:val="002D4AD4"/>
    <w:rsid w:val="002E4B26"/>
    <w:rsid w:val="002E6DC7"/>
    <w:rsid w:val="0031374E"/>
    <w:rsid w:val="00317AD9"/>
    <w:rsid w:val="00323066"/>
    <w:rsid w:val="00323118"/>
    <w:rsid w:val="003401C8"/>
    <w:rsid w:val="003406D8"/>
    <w:rsid w:val="00345D60"/>
    <w:rsid w:val="00360CA0"/>
    <w:rsid w:val="00364AF6"/>
    <w:rsid w:val="003675CE"/>
    <w:rsid w:val="00373A05"/>
    <w:rsid w:val="00385D9D"/>
    <w:rsid w:val="003947A0"/>
    <w:rsid w:val="00394AAD"/>
    <w:rsid w:val="003A5FB7"/>
    <w:rsid w:val="003C0FB1"/>
    <w:rsid w:val="003C1337"/>
    <w:rsid w:val="003D3A2E"/>
    <w:rsid w:val="003E2487"/>
    <w:rsid w:val="003E5FD2"/>
    <w:rsid w:val="003E6B68"/>
    <w:rsid w:val="00402E94"/>
    <w:rsid w:val="004037B5"/>
    <w:rsid w:val="004045DA"/>
    <w:rsid w:val="00404E13"/>
    <w:rsid w:val="00406790"/>
    <w:rsid w:val="00413523"/>
    <w:rsid w:val="00420662"/>
    <w:rsid w:val="00423B17"/>
    <w:rsid w:val="0044209B"/>
    <w:rsid w:val="0046437A"/>
    <w:rsid w:val="00472101"/>
    <w:rsid w:val="00472932"/>
    <w:rsid w:val="004730DA"/>
    <w:rsid w:val="00474110"/>
    <w:rsid w:val="00476B57"/>
    <w:rsid w:val="00477118"/>
    <w:rsid w:val="004819DD"/>
    <w:rsid w:val="00491067"/>
    <w:rsid w:val="004914DE"/>
    <w:rsid w:val="0049569E"/>
    <w:rsid w:val="004A69A0"/>
    <w:rsid w:val="004B18B7"/>
    <w:rsid w:val="004B3F40"/>
    <w:rsid w:val="004B78E7"/>
    <w:rsid w:val="004C3AB6"/>
    <w:rsid w:val="004C471B"/>
    <w:rsid w:val="004D0D22"/>
    <w:rsid w:val="004D0E13"/>
    <w:rsid w:val="004D0FD5"/>
    <w:rsid w:val="004D2D48"/>
    <w:rsid w:val="004E3517"/>
    <w:rsid w:val="004E3D2E"/>
    <w:rsid w:val="004E51D9"/>
    <w:rsid w:val="004E69ED"/>
    <w:rsid w:val="004E7655"/>
    <w:rsid w:val="004E7CF0"/>
    <w:rsid w:val="004F17A0"/>
    <w:rsid w:val="00515977"/>
    <w:rsid w:val="00516CA8"/>
    <w:rsid w:val="00523F68"/>
    <w:rsid w:val="0052510D"/>
    <w:rsid w:val="0053122C"/>
    <w:rsid w:val="00535042"/>
    <w:rsid w:val="0054174D"/>
    <w:rsid w:val="00550303"/>
    <w:rsid w:val="00550886"/>
    <w:rsid w:val="005518CF"/>
    <w:rsid w:val="00553522"/>
    <w:rsid w:val="00560E2E"/>
    <w:rsid w:val="00561DC2"/>
    <w:rsid w:val="005645ED"/>
    <w:rsid w:val="00574B0A"/>
    <w:rsid w:val="005772EA"/>
    <w:rsid w:val="005856F5"/>
    <w:rsid w:val="00585A32"/>
    <w:rsid w:val="0058783C"/>
    <w:rsid w:val="00591B3F"/>
    <w:rsid w:val="00594436"/>
    <w:rsid w:val="00594749"/>
    <w:rsid w:val="00596CD4"/>
    <w:rsid w:val="005A27AB"/>
    <w:rsid w:val="005A4DA2"/>
    <w:rsid w:val="005A6F34"/>
    <w:rsid w:val="005A7B24"/>
    <w:rsid w:val="005B60F6"/>
    <w:rsid w:val="005C0C32"/>
    <w:rsid w:val="005C69E1"/>
    <w:rsid w:val="005C6C70"/>
    <w:rsid w:val="005D2070"/>
    <w:rsid w:val="005E042F"/>
    <w:rsid w:val="005E234F"/>
    <w:rsid w:val="005F6EC1"/>
    <w:rsid w:val="006114A8"/>
    <w:rsid w:val="00612A3E"/>
    <w:rsid w:val="006135C6"/>
    <w:rsid w:val="00617BE4"/>
    <w:rsid w:val="006245E0"/>
    <w:rsid w:val="00632082"/>
    <w:rsid w:val="00633328"/>
    <w:rsid w:val="006350C3"/>
    <w:rsid w:val="006420B1"/>
    <w:rsid w:val="00643C1F"/>
    <w:rsid w:val="00650D54"/>
    <w:rsid w:val="00652DF2"/>
    <w:rsid w:val="00666C20"/>
    <w:rsid w:val="00666DD9"/>
    <w:rsid w:val="00673993"/>
    <w:rsid w:val="00673ADB"/>
    <w:rsid w:val="0067485D"/>
    <w:rsid w:val="00676F18"/>
    <w:rsid w:val="00684F36"/>
    <w:rsid w:val="006868EA"/>
    <w:rsid w:val="00692BB1"/>
    <w:rsid w:val="00693572"/>
    <w:rsid w:val="006A1A43"/>
    <w:rsid w:val="006A3080"/>
    <w:rsid w:val="006A473C"/>
    <w:rsid w:val="006A5BF9"/>
    <w:rsid w:val="006A61F8"/>
    <w:rsid w:val="006B0BC1"/>
    <w:rsid w:val="006D0C75"/>
    <w:rsid w:val="006E0BC2"/>
    <w:rsid w:val="006E7BE1"/>
    <w:rsid w:val="006F17F3"/>
    <w:rsid w:val="006F742E"/>
    <w:rsid w:val="0071357E"/>
    <w:rsid w:val="007137F0"/>
    <w:rsid w:val="00714F09"/>
    <w:rsid w:val="00715904"/>
    <w:rsid w:val="00731731"/>
    <w:rsid w:val="00731F3E"/>
    <w:rsid w:val="0073317F"/>
    <w:rsid w:val="007427A8"/>
    <w:rsid w:val="00744477"/>
    <w:rsid w:val="0074510A"/>
    <w:rsid w:val="00745F10"/>
    <w:rsid w:val="007477F0"/>
    <w:rsid w:val="007504C9"/>
    <w:rsid w:val="007517A6"/>
    <w:rsid w:val="00763188"/>
    <w:rsid w:val="00765712"/>
    <w:rsid w:val="00767ED8"/>
    <w:rsid w:val="00780CB7"/>
    <w:rsid w:val="0078184A"/>
    <w:rsid w:val="00781A87"/>
    <w:rsid w:val="00784978"/>
    <w:rsid w:val="00795C7F"/>
    <w:rsid w:val="00797019"/>
    <w:rsid w:val="007A02C1"/>
    <w:rsid w:val="007B1DEF"/>
    <w:rsid w:val="007B1E35"/>
    <w:rsid w:val="007B344F"/>
    <w:rsid w:val="007B3ACA"/>
    <w:rsid w:val="007B4761"/>
    <w:rsid w:val="007C4E61"/>
    <w:rsid w:val="007D22D3"/>
    <w:rsid w:val="007D26CF"/>
    <w:rsid w:val="007D7671"/>
    <w:rsid w:val="007F052A"/>
    <w:rsid w:val="007F523F"/>
    <w:rsid w:val="008111B5"/>
    <w:rsid w:val="00811BE2"/>
    <w:rsid w:val="008172A9"/>
    <w:rsid w:val="0082238E"/>
    <w:rsid w:val="008243F2"/>
    <w:rsid w:val="00837C5E"/>
    <w:rsid w:val="00847E38"/>
    <w:rsid w:val="00851901"/>
    <w:rsid w:val="00855680"/>
    <w:rsid w:val="00855CB5"/>
    <w:rsid w:val="00856A41"/>
    <w:rsid w:val="00866E26"/>
    <w:rsid w:val="008719F3"/>
    <w:rsid w:val="00875706"/>
    <w:rsid w:val="00877E1B"/>
    <w:rsid w:val="00882A92"/>
    <w:rsid w:val="0088533D"/>
    <w:rsid w:val="008853EC"/>
    <w:rsid w:val="008A2975"/>
    <w:rsid w:val="008A33CA"/>
    <w:rsid w:val="008A3F76"/>
    <w:rsid w:val="008A7EA8"/>
    <w:rsid w:val="008B3164"/>
    <w:rsid w:val="008C2E7E"/>
    <w:rsid w:val="008D2108"/>
    <w:rsid w:val="008D4956"/>
    <w:rsid w:val="008E0A04"/>
    <w:rsid w:val="008F4038"/>
    <w:rsid w:val="008F5F5C"/>
    <w:rsid w:val="008F6AB1"/>
    <w:rsid w:val="0090035B"/>
    <w:rsid w:val="009124B5"/>
    <w:rsid w:val="00913E9F"/>
    <w:rsid w:val="00916D79"/>
    <w:rsid w:val="0092053C"/>
    <w:rsid w:val="00921105"/>
    <w:rsid w:val="00930D17"/>
    <w:rsid w:val="00932566"/>
    <w:rsid w:val="0093754E"/>
    <w:rsid w:val="00937C86"/>
    <w:rsid w:val="00943684"/>
    <w:rsid w:val="009463FF"/>
    <w:rsid w:val="009522E1"/>
    <w:rsid w:val="00954FD4"/>
    <w:rsid w:val="009572B5"/>
    <w:rsid w:val="00957D94"/>
    <w:rsid w:val="00961939"/>
    <w:rsid w:val="0097134F"/>
    <w:rsid w:val="00972E90"/>
    <w:rsid w:val="00985C32"/>
    <w:rsid w:val="00990C84"/>
    <w:rsid w:val="009912D7"/>
    <w:rsid w:val="00997A57"/>
    <w:rsid w:val="009A1292"/>
    <w:rsid w:val="009A58DD"/>
    <w:rsid w:val="009B185C"/>
    <w:rsid w:val="009B490E"/>
    <w:rsid w:val="009C10FB"/>
    <w:rsid w:val="009C1F19"/>
    <w:rsid w:val="009D23BC"/>
    <w:rsid w:val="009D2F7B"/>
    <w:rsid w:val="009D41D0"/>
    <w:rsid w:val="009D46A7"/>
    <w:rsid w:val="009D4760"/>
    <w:rsid w:val="009E1248"/>
    <w:rsid w:val="009E3775"/>
    <w:rsid w:val="009E486A"/>
    <w:rsid w:val="009F4F03"/>
    <w:rsid w:val="009F56BA"/>
    <w:rsid w:val="009F7355"/>
    <w:rsid w:val="00A008B2"/>
    <w:rsid w:val="00A072F8"/>
    <w:rsid w:val="00A14635"/>
    <w:rsid w:val="00A159F7"/>
    <w:rsid w:val="00A2048F"/>
    <w:rsid w:val="00A205D3"/>
    <w:rsid w:val="00A20A1B"/>
    <w:rsid w:val="00A221EF"/>
    <w:rsid w:val="00A22563"/>
    <w:rsid w:val="00A22738"/>
    <w:rsid w:val="00A22DCC"/>
    <w:rsid w:val="00A232AA"/>
    <w:rsid w:val="00A509B1"/>
    <w:rsid w:val="00A57503"/>
    <w:rsid w:val="00A607B3"/>
    <w:rsid w:val="00A735AB"/>
    <w:rsid w:val="00A755B0"/>
    <w:rsid w:val="00A75733"/>
    <w:rsid w:val="00A75F17"/>
    <w:rsid w:val="00A815D8"/>
    <w:rsid w:val="00A8389F"/>
    <w:rsid w:val="00A90D7B"/>
    <w:rsid w:val="00A93C1D"/>
    <w:rsid w:val="00A96BAB"/>
    <w:rsid w:val="00AA1D66"/>
    <w:rsid w:val="00AA2158"/>
    <w:rsid w:val="00AB1AAD"/>
    <w:rsid w:val="00AB53AC"/>
    <w:rsid w:val="00AB5C22"/>
    <w:rsid w:val="00AB6D7B"/>
    <w:rsid w:val="00AB7E20"/>
    <w:rsid w:val="00AC1381"/>
    <w:rsid w:val="00AC4E5D"/>
    <w:rsid w:val="00AC60EB"/>
    <w:rsid w:val="00AD23E5"/>
    <w:rsid w:val="00AD53EA"/>
    <w:rsid w:val="00AD5927"/>
    <w:rsid w:val="00AD6DF2"/>
    <w:rsid w:val="00AD7617"/>
    <w:rsid w:val="00AE2EB4"/>
    <w:rsid w:val="00AE716A"/>
    <w:rsid w:val="00AF0FD6"/>
    <w:rsid w:val="00AF2719"/>
    <w:rsid w:val="00AF39EF"/>
    <w:rsid w:val="00AF5EF7"/>
    <w:rsid w:val="00AF628A"/>
    <w:rsid w:val="00B00B52"/>
    <w:rsid w:val="00B12624"/>
    <w:rsid w:val="00B158C8"/>
    <w:rsid w:val="00B17797"/>
    <w:rsid w:val="00B17E09"/>
    <w:rsid w:val="00B209B1"/>
    <w:rsid w:val="00B34AE0"/>
    <w:rsid w:val="00B36FAC"/>
    <w:rsid w:val="00B415AC"/>
    <w:rsid w:val="00B50E05"/>
    <w:rsid w:val="00B54623"/>
    <w:rsid w:val="00B56097"/>
    <w:rsid w:val="00B61751"/>
    <w:rsid w:val="00B646ED"/>
    <w:rsid w:val="00B67C40"/>
    <w:rsid w:val="00B84BFD"/>
    <w:rsid w:val="00B856EF"/>
    <w:rsid w:val="00B873DF"/>
    <w:rsid w:val="00B918E4"/>
    <w:rsid w:val="00B923FC"/>
    <w:rsid w:val="00BA5885"/>
    <w:rsid w:val="00BB681C"/>
    <w:rsid w:val="00BC630E"/>
    <w:rsid w:val="00BC6601"/>
    <w:rsid w:val="00BC6888"/>
    <w:rsid w:val="00BD1776"/>
    <w:rsid w:val="00BD1C11"/>
    <w:rsid w:val="00BD2ADA"/>
    <w:rsid w:val="00BD6D8A"/>
    <w:rsid w:val="00BE03DD"/>
    <w:rsid w:val="00BE04A4"/>
    <w:rsid w:val="00BF0B24"/>
    <w:rsid w:val="00BF17CF"/>
    <w:rsid w:val="00BF3A4F"/>
    <w:rsid w:val="00BF4743"/>
    <w:rsid w:val="00BF60B9"/>
    <w:rsid w:val="00BF6E5E"/>
    <w:rsid w:val="00BF71ED"/>
    <w:rsid w:val="00C00FBC"/>
    <w:rsid w:val="00C02B98"/>
    <w:rsid w:val="00C02CDA"/>
    <w:rsid w:val="00C03DC8"/>
    <w:rsid w:val="00C141FF"/>
    <w:rsid w:val="00C142EE"/>
    <w:rsid w:val="00C16742"/>
    <w:rsid w:val="00C20044"/>
    <w:rsid w:val="00C20876"/>
    <w:rsid w:val="00C20922"/>
    <w:rsid w:val="00C20E15"/>
    <w:rsid w:val="00C22AD2"/>
    <w:rsid w:val="00C30D62"/>
    <w:rsid w:val="00C37A13"/>
    <w:rsid w:val="00C400C9"/>
    <w:rsid w:val="00C422D5"/>
    <w:rsid w:val="00C52C3E"/>
    <w:rsid w:val="00C54AEF"/>
    <w:rsid w:val="00C54CFF"/>
    <w:rsid w:val="00C644EF"/>
    <w:rsid w:val="00C66580"/>
    <w:rsid w:val="00C7214C"/>
    <w:rsid w:val="00C74AB6"/>
    <w:rsid w:val="00C76CA7"/>
    <w:rsid w:val="00C84C4D"/>
    <w:rsid w:val="00C90650"/>
    <w:rsid w:val="00C97577"/>
    <w:rsid w:val="00C97A50"/>
    <w:rsid w:val="00CA43C1"/>
    <w:rsid w:val="00CB4948"/>
    <w:rsid w:val="00CC182A"/>
    <w:rsid w:val="00CC22E3"/>
    <w:rsid w:val="00CC5E95"/>
    <w:rsid w:val="00CD05DD"/>
    <w:rsid w:val="00CE52B5"/>
    <w:rsid w:val="00CE6C99"/>
    <w:rsid w:val="00CF0064"/>
    <w:rsid w:val="00CF3B2D"/>
    <w:rsid w:val="00D00596"/>
    <w:rsid w:val="00D010B5"/>
    <w:rsid w:val="00D01ACB"/>
    <w:rsid w:val="00D01AE7"/>
    <w:rsid w:val="00D02535"/>
    <w:rsid w:val="00D047C1"/>
    <w:rsid w:val="00D04EF2"/>
    <w:rsid w:val="00D068B7"/>
    <w:rsid w:val="00D11B13"/>
    <w:rsid w:val="00D23708"/>
    <w:rsid w:val="00D23BE3"/>
    <w:rsid w:val="00D25140"/>
    <w:rsid w:val="00D35607"/>
    <w:rsid w:val="00D35688"/>
    <w:rsid w:val="00D35931"/>
    <w:rsid w:val="00D457DF"/>
    <w:rsid w:val="00D45929"/>
    <w:rsid w:val="00D462BE"/>
    <w:rsid w:val="00D478D6"/>
    <w:rsid w:val="00D4795B"/>
    <w:rsid w:val="00D50DF5"/>
    <w:rsid w:val="00D52EB8"/>
    <w:rsid w:val="00D532D5"/>
    <w:rsid w:val="00D6071E"/>
    <w:rsid w:val="00D658A2"/>
    <w:rsid w:val="00D7329D"/>
    <w:rsid w:val="00D8207D"/>
    <w:rsid w:val="00DA01AE"/>
    <w:rsid w:val="00DB118F"/>
    <w:rsid w:val="00DB3499"/>
    <w:rsid w:val="00DB5A40"/>
    <w:rsid w:val="00DC2AD7"/>
    <w:rsid w:val="00DD2DC1"/>
    <w:rsid w:val="00DF6C12"/>
    <w:rsid w:val="00E036B6"/>
    <w:rsid w:val="00E061F7"/>
    <w:rsid w:val="00E26317"/>
    <w:rsid w:val="00E26DBE"/>
    <w:rsid w:val="00E3026C"/>
    <w:rsid w:val="00E3495F"/>
    <w:rsid w:val="00E36D93"/>
    <w:rsid w:val="00E42126"/>
    <w:rsid w:val="00E4290B"/>
    <w:rsid w:val="00E4588D"/>
    <w:rsid w:val="00E47741"/>
    <w:rsid w:val="00E50DAE"/>
    <w:rsid w:val="00E56246"/>
    <w:rsid w:val="00E6159E"/>
    <w:rsid w:val="00E70E61"/>
    <w:rsid w:val="00E718BA"/>
    <w:rsid w:val="00E7588F"/>
    <w:rsid w:val="00E77DC1"/>
    <w:rsid w:val="00E818D3"/>
    <w:rsid w:val="00E87E08"/>
    <w:rsid w:val="00E91620"/>
    <w:rsid w:val="00E9164C"/>
    <w:rsid w:val="00E94F72"/>
    <w:rsid w:val="00E9648B"/>
    <w:rsid w:val="00E96D09"/>
    <w:rsid w:val="00E976C2"/>
    <w:rsid w:val="00EA34F5"/>
    <w:rsid w:val="00EA529D"/>
    <w:rsid w:val="00EB12D5"/>
    <w:rsid w:val="00EB3857"/>
    <w:rsid w:val="00EC2159"/>
    <w:rsid w:val="00EC7956"/>
    <w:rsid w:val="00EC7D14"/>
    <w:rsid w:val="00EC7EBC"/>
    <w:rsid w:val="00ED184F"/>
    <w:rsid w:val="00ED2419"/>
    <w:rsid w:val="00ED732A"/>
    <w:rsid w:val="00EE5814"/>
    <w:rsid w:val="00EE63B0"/>
    <w:rsid w:val="00EE72E5"/>
    <w:rsid w:val="00EF076A"/>
    <w:rsid w:val="00EF6B62"/>
    <w:rsid w:val="00F02A56"/>
    <w:rsid w:val="00F041B3"/>
    <w:rsid w:val="00F209A3"/>
    <w:rsid w:val="00F2205C"/>
    <w:rsid w:val="00F243AF"/>
    <w:rsid w:val="00F2521E"/>
    <w:rsid w:val="00F31A95"/>
    <w:rsid w:val="00F35BA8"/>
    <w:rsid w:val="00F3727B"/>
    <w:rsid w:val="00F469CF"/>
    <w:rsid w:val="00F506D8"/>
    <w:rsid w:val="00F51E6F"/>
    <w:rsid w:val="00F520EE"/>
    <w:rsid w:val="00F55AF2"/>
    <w:rsid w:val="00F61968"/>
    <w:rsid w:val="00F6542F"/>
    <w:rsid w:val="00F66EE0"/>
    <w:rsid w:val="00F71FCB"/>
    <w:rsid w:val="00F72CEF"/>
    <w:rsid w:val="00F732C9"/>
    <w:rsid w:val="00F77A76"/>
    <w:rsid w:val="00F91CB4"/>
    <w:rsid w:val="00FA06D7"/>
    <w:rsid w:val="00FA24C6"/>
    <w:rsid w:val="00FA393D"/>
    <w:rsid w:val="00FA54CE"/>
    <w:rsid w:val="00FA711E"/>
    <w:rsid w:val="00FB02E8"/>
    <w:rsid w:val="00FB189E"/>
    <w:rsid w:val="00FB29EB"/>
    <w:rsid w:val="00FB3E6F"/>
    <w:rsid w:val="00FC26A2"/>
    <w:rsid w:val="00FC4DA4"/>
    <w:rsid w:val="00FD3BB8"/>
    <w:rsid w:val="00F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82B9"/>
  <w15:chartTrackingRefBased/>
  <w15:docId w15:val="{006B4C59-B017-447A-AE72-C19FCF52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110"/>
    <w:pPr>
      <w:ind w:left="720"/>
      <w:contextualSpacing/>
    </w:pPr>
  </w:style>
  <w:style w:type="paragraph" w:styleId="FootnoteText">
    <w:name w:val="footnote text"/>
    <w:basedOn w:val="Normal"/>
    <w:link w:val="FootnoteTextChar"/>
    <w:uiPriority w:val="99"/>
    <w:semiHidden/>
    <w:unhideWhenUsed/>
    <w:rsid w:val="005350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042"/>
    <w:rPr>
      <w:sz w:val="20"/>
      <w:szCs w:val="20"/>
    </w:rPr>
  </w:style>
  <w:style w:type="character" w:styleId="FootnoteReference">
    <w:name w:val="footnote reference"/>
    <w:basedOn w:val="DefaultParagraphFont"/>
    <w:uiPriority w:val="99"/>
    <w:semiHidden/>
    <w:unhideWhenUsed/>
    <w:rsid w:val="00535042"/>
    <w:rPr>
      <w:vertAlign w:val="superscript"/>
    </w:rPr>
  </w:style>
  <w:style w:type="character" w:styleId="CommentReference">
    <w:name w:val="annotation reference"/>
    <w:basedOn w:val="DefaultParagraphFont"/>
    <w:uiPriority w:val="99"/>
    <w:semiHidden/>
    <w:unhideWhenUsed/>
    <w:rsid w:val="00E9648B"/>
    <w:rPr>
      <w:sz w:val="16"/>
      <w:szCs w:val="16"/>
    </w:rPr>
  </w:style>
  <w:style w:type="paragraph" w:styleId="CommentText">
    <w:name w:val="annotation text"/>
    <w:basedOn w:val="Normal"/>
    <w:link w:val="CommentTextChar"/>
    <w:uiPriority w:val="99"/>
    <w:semiHidden/>
    <w:unhideWhenUsed/>
    <w:rsid w:val="00E9648B"/>
    <w:pPr>
      <w:spacing w:line="240" w:lineRule="auto"/>
    </w:pPr>
    <w:rPr>
      <w:sz w:val="20"/>
      <w:szCs w:val="20"/>
    </w:rPr>
  </w:style>
  <w:style w:type="character" w:customStyle="1" w:styleId="CommentTextChar">
    <w:name w:val="Comment Text Char"/>
    <w:basedOn w:val="DefaultParagraphFont"/>
    <w:link w:val="CommentText"/>
    <w:uiPriority w:val="99"/>
    <w:semiHidden/>
    <w:rsid w:val="00E9648B"/>
    <w:rPr>
      <w:sz w:val="20"/>
      <w:szCs w:val="20"/>
    </w:rPr>
  </w:style>
  <w:style w:type="paragraph" w:styleId="CommentSubject">
    <w:name w:val="annotation subject"/>
    <w:basedOn w:val="CommentText"/>
    <w:next w:val="CommentText"/>
    <w:link w:val="CommentSubjectChar"/>
    <w:uiPriority w:val="99"/>
    <w:semiHidden/>
    <w:unhideWhenUsed/>
    <w:rsid w:val="00E9648B"/>
    <w:rPr>
      <w:b/>
      <w:bCs/>
    </w:rPr>
  </w:style>
  <w:style w:type="character" w:customStyle="1" w:styleId="CommentSubjectChar">
    <w:name w:val="Comment Subject Char"/>
    <w:basedOn w:val="CommentTextChar"/>
    <w:link w:val="CommentSubject"/>
    <w:uiPriority w:val="99"/>
    <w:semiHidden/>
    <w:rsid w:val="00E9648B"/>
    <w:rPr>
      <w:b/>
      <w:bCs/>
      <w:sz w:val="20"/>
      <w:szCs w:val="20"/>
    </w:rPr>
  </w:style>
  <w:style w:type="paragraph" w:styleId="Revision">
    <w:name w:val="Revision"/>
    <w:hidden/>
    <w:uiPriority w:val="99"/>
    <w:semiHidden/>
    <w:rsid w:val="005251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D491D-B8EA-0946-A919-2E2816DF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10043</Words>
  <Characters>55242</Characters>
  <Application>Microsoft Office Word</Application>
  <DocSecurity>0</DocSecurity>
  <Lines>767</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Daly</dc:creator>
  <cp:keywords/>
  <dc:description/>
  <cp:lastModifiedBy>Joe Tomlinson</cp:lastModifiedBy>
  <cp:revision>4</cp:revision>
  <dcterms:created xsi:type="dcterms:W3CDTF">2022-02-10T13:55:00Z</dcterms:created>
  <dcterms:modified xsi:type="dcterms:W3CDTF">2022-06-14T11:48:00Z</dcterms:modified>
</cp:coreProperties>
</file>