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23" w:type="dxa"/>
        <w:tblInd w:w="108" w:type="dxa"/>
        <w:tblBorders>
          <w:right w:val="single" w:sz="4" w:space="0" w:color="auto"/>
        </w:tblBorders>
        <w:tblLayout w:type="fixed"/>
        <w:tblLook w:val="0000" w:firstRow="0" w:lastRow="0" w:firstColumn="0" w:lastColumn="0" w:noHBand="0" w:noVBand="0"/>
      </w:tblPr>
      <w:tblGrid>
        <w:gridCol w:w="1883"/>
        <w:gridCol w:w="1434"/>
        <w:gridCol w:w="2730"/>
        <w:gridCol w:w="3349"/>
        <w:gridCol w:w="27"/>
      </w:tblGrid>
      <w:tr w:rsidR="00F061A3" w:rsidRPr="009D7173" w14:paraId="4938D465" w14:textId="77777777" w:rsidTr="009D3EB7">
        <w:trPr>
          <w:gridAfter w:val="1"/>
          <w:wAfter w:w="27" w:type="dxa"/>
        </w:trPr>
        <w:tc>
          <w:tcPr>
            <w:tcW w:w="3317" w:type="dxa"/>
            <w:gridSpan w:val="2"/>
          </w:tcPr>
          <w:p w14:paraId="4D5C24B6" w14:textId="77777777" w:rsidR="00F061A3" w:rsidRPr="009D7173" w:rsidRDefault="0039115C">
            <w:pPr>
              <w:rPr>
                <w:rFonts w:ascii="Verdana" w:hAnsi="Verdana"/>
                <w:b/>
                <w:color w:val="1F497D"/>
                <w:lang w:val="en-GB"/>
              </w:rPr>
            </w:pPr>
            <w:r w:rsidRPr="009D7173">
              <w:rPr>
                <w:rFonts w:ascii="Verdana" w:hAnsi="Verdana"/>
                <w:b/>
                <w:color w:val="1F497D"/>
                <w:lang w:val="en-GB"/>
              </w:rPr>
              <w:t xml:space="preserve">European Social </w:t>
            </w:r>
          </w:p>
          <w:p w14:paraId="62F9451D" w14:textId="77777777" w:rsidR="00F061A3" w:rsidRPr="009D7173" w:rsidRDefault="0039115C">
            <w:pPr>
              <w:rPr>
                <w:rFonts w:ascii="Verdana" w:hAnsi="Verdana"/>
                <w:lang w:val="en-GB"/>
              </w:rPr>
            </w:pPr>
            <w:r w:rsidRPr="009D7173">
              <w:rPr>
                <w:rFonts w:ascii="Verdana" w:hAnsi="Verdana"/>
                <w:b/>
                <w:color w:val="1F497D"/>
                <w:lang w:val="en-GB"/>
              </w:rPr>
              <w:t>Policy Network</w:t>
            </w:r>
          </w:p>
        </w:tc>
        <w:tc>
          <w:tcPr>
            <w:tcW w:w="2730" w:type="dxa"/>
            <w:vAlign w:val="center"/>
          </w:tcPr>
          <w:p w14:paraId="0FDD5210" w14:textId="77777777" w:rsidR="00F061A3" w:rsidRPr="009D7173" w:rsidRDefault="008B5787">
            <w:pPr>
              <w:spacing w:before="240"/>
              <w:rPr>
                <w:rFonts w:ascii="Verdana" w:hAnsi="Verdana"/>
                <w:b/>
                <w:lang w:val="en-GB"/>
              </w:rPr>
            </w:pPr>
            <w:r>
              <w:rPr>
                <w:rFonts w:ascii="Verdana" w:hAnsi="Verdana"/>
                <w:noProof/>
              </w:rPr>
              <mc:AlternateContent>
                <mc:Choice Requires="wps">
                  <w:drawing>
                    <wp:anchor distT="0" distB="0" distL="114300" distR="114300" simplePos="0" relativeHeight="251657728" behindDoc="1" locked="0" layoutInCell="1" allowOverlap="1" wp14:anchorId="788CADE6" wp14:editId="47F8594C">
                      <wp:simplePos x="0" y="0"/>
                      <wp:positionH relativeFrom="column">
                        <wp:posOffset>141605</wp:posOffset>
                      </wp:positionH>
                      <wp:positionV relativeFrom="paragraph">
                        <wp:posOffset>147955</wp:posOffset>
                      </wp:positionV>
                      <wp:extent cx="1191895" cy="313055"/>
                      <wp:effectExtent l="6350" t="7620" r="1905" b="3175"/>
                      <wp:wrapNone/>
                      <wp:docPr id="1" name="Round Single Corner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895" cy="313055"/>
                              </a:xfrm>
                              <a:custGeom>
                                <a:avLst/>
                                <a:gdLst>
                                  <a:gd name="T0" fmla="*/ 0 w 257449"/>
                                  <a:gd name="T1" fmla="*/ 0 h 67620"/>
                                  <a:gd name="T2" fmla="*/ 24428086 w 257449"/>
                                  <a:gd name="T3" fmla="*/ 0 h 67620"/>
                                  <a:gd name="T4" fmla="*/ 24428003 w 257449"/>
                                  <a:gd name="T5" fmla="*/ 0 h 67620"/>
                                  <a:gd name="T6" fmla="*/ 25546402 w 257449"/>
                                  <a:gd name="T7" fmla="*/ 1118308 h 67620"/>
                                  <a:gd name="T8" fmla="*/ 25546509 w 257449"/>
                                  <a:gd name="T9" fmla="*/ 6709831 h 67620"/>
                                  <a:gd name="T10" fmla="*/ 0 w 257449"/>
                                  <a:gd name="T11" fmla="*/ 6709831 h 67620"/>
                                  <a:gd name="T12" fmla="*/ 0 60000 65536"/>
                                  <a:gd name="T13" fmla="*/ 0 60000 65536"/>
                                  <a:gd name="T14" fmla="*/ 0 60000 65536"/>
                                  <a:gd name="T15" fmla="*/ 0 60000 65536"/>
                                  <a:gd name="T16" fmla="*/ 0 60000 65536"/>
                                  <a:gd name="T17" fmla="*/ 0 60000 65536"/>
                                  <a:gd name="T18" fmla="*/ 0 w 257449"/>
                                  <a:gd name="T19" fmla="*/ 0 h 67620"/>
                                  <a:gd name="T20" fmla="*/ 257449 w 257449"/>
                                  <a:gd name="T21" fmla="*/ 67620 h 67620"/>
                                </a:gdLst>
                                <a:ahLst/>
                                <a:cxnLst>
                                  <a:cxn ang="T12">
                                    <a:pos x="T0" y="T1"/>
                                  </a:cxn>
                                  <a:cxn ang="T13">
                                    <a:pos x="T2" y="T3"/>
                                  </a:cxn>
                                  <a:cxn ang="T14">
                                    <a:pos x="T4" y="T5"/>
                                  </a:cxn>
                                  <a:cxn ang="T15">
                                    <a:pos x="T6" y="T7"/>
                                  </a:cxn>
                                  <a:cxn ang="T16">
                                    <a:pos x="T8" y="T9"/>
                                  </a:cxn>
                                  <a:cxn ang="T17">
                                    <a:pos x="T10" y="T11"/>
                                  </a:cxn>
                                </a:cxnLst>
                                <a:rect l="T18" t="T19" r="T20" b="T21"/>
                                <a:pathLst>
                                  <a:path w="257449" h="67620">
                                    <a:moveTo>
                                      <a:pt x="0" y="0"/>
                                    </a:moveTo>
                                    <a:lnTo>
                                      <a:pt x="246178" y="0"/>
                                    </a:lnTo>
                                    <a:lnTo>
                                      <a:pt x="246177" y="0"/>
                                    </a:lnTo>
                                    <a:cubicBezTo>
                                      <a:pt x="252402" y="0"/>
                                      <a:pt x="257448" y="5045"/>
                                      <a:pt x="257448" y="11270"/>
                                    </a:cubicBezTo>
                                    <a:lnTo>
                                      <a:pt x="257449" y="67620"/>
                                    </a:lnTo>
                                    <a:lnTo>
                                      <a:pt x="0" y="67620"/>
                                    </a:lnTo>
                                    <a:lnTo>
                                      <a:pt x="0" y="0"/>
                                    </a:lnTo>
                                    <a:close/>
                                  </a:path>
                                </a:pathLst>
                              </a:custGeom>
                              <a:gradFill rotWithShape="1">
                                <a:gsLst>
                                  <a:gs pos="0">
                                    <a:srgbClr val="284A71"/>
                                  </a:gs>
                                  <a:gs pos="50000">
                                    <a:srgbClr val="3A6AA3"/>
                                  </a:gs>
                                  <a:gs pos="100000">
                                    <a:srgbClr val="4680C5"/>
                                  </a:gs>
                                </a:gsLst>
                                <a:path path="rect">
                                  <a:fillToRect l="100000" b="10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33A62" id="Round Single Corner Rectangle 4" o:spid="_x0000_s1026" style="position:absolute;margin-left:11.15pt;margin-top:11.65pt;width:93.85pt;height:2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7449,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" path="m,l246178,r-1,c252402,,257448,5045,257448,11270r1,56350l,67620,,xe" fillcolor="#284a71" stroked="f">
                      <v:fill color2="#4680c5" rotate="t" focusposition="1" focussize="" colors="0 #284a71;.5 #3a6aa3;1 #4680c5" focus="100%" type="gradientRadial">
                        <o:fill v:ext="view" type="gradientCenter"/>
                      </v:fill>
                      <v:path o:connecttype="custom" o:connectlocs="0,0;113093131,0;113092747,0;118270527,5177343;118271022,31063977;0,31063977" o:connectangles="0,0,0,0,0,0" textboxrect="0,0,257449,67620"/>
                    </v:shape>
                  </w:pict>
                </mc:Fallback>
              </mc:AlternateContent>
            </w:r>
            <w:r w:rsidR="0039115C" w:rsidRPr="009D7173">
              <w:rPr>
                <w:rFonts w:ascii="Verdana" w:hAnsi="Verdana"/>
                <w:b/>
                <w:color w:val="FFFFFF"/>
                <w:highlight w:val="black"/>
                <w:lang w:val="en-GB"/>
              </w:rPr>
              <w:t xml:space="preserve"> Flash Report </w:t>
            </w:r>
            <w:r w:rsidR="0039115C" w:rsidRPr="009D7173">
              <w:rPr>
                <w:rFonts w:ascii="Verdana" w:hAnsi="Verdana"/>
                <w:b/>
                <w:color w:val="FFFFFF"/>
                <w:lang w:val="en-GB"/>
              </w:rPr>
              <w:t xml:space="preserve">     </w:t>
            </w:r>
          </w:p>
        </w:tc>
        <w:tc>
          <w:tcPr>
            <w:tcW w:w="3349" w:type="dxa"/>
            <w:tcBorders>
              <w:right w:val="nil"/>
            </w:tcBorders>
            <w:vAlign w:val="center"/>
          </w:tcPr>
          <w:p w14:paraId="38A1F233" w14:textId="77777777" w:rsidR="00F061A3" w:rsidRPr="009D7173" w:rsidRDefault="0039115C">
            <w:pPr>
              <w:jc w:val="right"/>
              <w:rPr>
                <w:rFonts w:ascii="Verdana" w:hAnsi="Verdana"/>
                <w:b/>
                <w:lang w:val="en-GB"/>
              </w:rPr>
            </w:pPr>
            <w:r w:rsidRPr="009D7173">
              <w:rPr>
                <w:rFonts w:ascii="Verdana" w:hAnsi="Verdana"/>
                <w:b/>
                <w:lang w:val="en-GB"/>
              </w:rPr>
              <w:t>Social Policies in Brief</w:t>
            </w:r>
          </w:p>
          <w:p w14:paraId="37D565D2" w14:textId="32F76DDA" w:rsidR="00F061A3" w:rsidRPr="009D7173" w:rsidRDefault="00383CAD">
            <w:pPr>
              <w:jc w:val="right"/>
              <w:rPr>
                <w:rFonts w:ascii="Verdana" w:hAnsi="Verdana"/>
                <w:lang w:val="en-GB"/>
              </w:rPr>
            </w:pPr>
            <w:r>
              <w:rPr>
                <w:rFonts w:ascii="Verdana" w:hAnsi="Verdana"/>
                <w:lang w:val="en-GB"/>
              </w:rPr>
              <w:t>May</w:t>
            </w:r>
            <w:r w:rsidR="007614D0">
              <w:rPr>
                <w:rFonts w:ascii="Verdana" w:hAnsi="Verdana"/>
                <w:lang w:val="en-GB"/>
              </w:rPr>
              <w:t xml:space="preserve"> 2022</w:t>
            </w:r>
          </w:p>
          <w:p w14:paraId="10AFF438" w14:textId="77777777" w:rsidR="00F061A3" w:rsidRPr="009D7173" w:rsidRDefault="00B94AEE" w:rsidP="002009D3">
            <w:pPr>
              <w:jc w:val="right"/>
              <w:rPr>
                <w:rFonts w:ascii="Verdana" w:hAnsi="Verdana"/>
                <w:lang w:val="en-GB"/>
              </w:rPr>
            </w:pPr>
            <w:r w:rsidRPr="009D7173">
              <w:rPr>
                <w:rFonts w:ascii="Verdana" w:hAnsi="Verdana"/>
                <w:lang w:val="en-GB"/>
              </w:rPr>
              <w:t>United Kingdom</w:t>
            </w:r>
          </w:p>
        </w:tc>
      </w:tr>
      <w:tr w:rsidR="00F061A3" w:rsidRPr="009D7173" w14:paraId="76E1B935" w14:textId="77777777" w:rsidTr="009D3EB7">
        <w:tblPrEx>
          <w:tblBorders>
            <w:top w:val="single" w:sz="4" w:space="0" w:color="auto"/>
            <w:left w:val="single" w:sz="4" w:space="0" w:color="auto"/>
            <w:bottom w:val="single" w:sz="4" w:space="0" w:color="auto"/>
            <w:insideH w:val="single" w:sz="4" w:space="0" w:color="auto"/>
            <w:insideV w:val="single" w:sz="4" w:space="0" w:color="auto"/>
          </w:tblBorders>
        </w:tblPrEx>
        <w:trPr>
          <w:trHeight w:val="280"/>
        </w:trPr>
        <w:tc>
          <w:tcPr>
            <w:tcW w:w="1883" w:type="dxa"/>
          </w:tcPr>
          <w:p w14:paraId="24390E8B" w14:textId="77777777" w:rsidR="00F061A3" w:rsidRPr="009D7173" w:rsidRDefault="00464FE0" w:rsidP="00933C05">
            <w:pPr>
              <w:spacing w:line="264" w:lineRule="auto"/>
              <w:rPr>
                <w:rFonts w:ascii="Verdana" w:hAnsi="Verdana"/>
                <w:b/>
                <w:color w:val="FF7400"/>
                <w:lang w:val="en-GB"/>
              </w:rPr>
            </w:pPr>
            <w:r w:rsidRPr="009D7173">
              <w:rPr>
                <w:rFonts w:ascii="Verdana" w:hAnsi="Verdana"/>
                <w:b/>
                <w:color w:val="FF7400"/>
                <w:lang w:val="en-GB"/>
              </w:rPr>
              <w:t>Them</w:t>
            </w:r>
            <w:r w:rsidR="00933C05" w:rsidRPr="009D7173">
              <w:rPr>
                <w:rFonts w:ascii="Verdana" w:hAnsi="Verdana"/>
                <w:b/>
                <w:color w:val="FF7400"/>
                <w:lang w:val="en-GB"/>
              </w:rPr>
              <w:t>e</w:t>
            </w:r>
            <w:r w:rsidR="0039115C" w:rsidRPr="009D7173">
              <w:rPr>
                <w:rFonts w:ascii="Verdana" w:hAnsi="Verdana"/>
                <w:b/>
                <w:color w:val="FF7400"/>
                <w:lang w:val="en-GB"/>
              </w:rPr>
              <w:t>:</w:t>
            </w:r>
          </w:p>
        </w:tc>
        <w:tc>
          <w:tcPr>
            <w:tcW w:w="7540" w:type="dxa"/>
            <w:gridSpan w:val="4"/>
          </w:tcPr>
          <w:p w14:paraId="3BEFBAE5" w14:textId="35A248E3" w:rsidR="00F061A3" w:rsidRPr="009D3EB7" w:rsidRDefault="007614D0" w:rsidP="009F285B">
            <w:pPr>
              <w:rPr>
                <w:rFonts w:ascii="Verdana" w:hAnsi="Verdana" w:cs="Arial"/>
                <w:lang w:val="en-GB"/>
              </w:rPr>
            </w:pPr>
            <w:r>
              <w:rPr>
                <w:rFonts w:ascii="Verdana" w:hAnsi="Verdana"/>
                <w:lang w:val="en-GB"/>
              </w:rPr>
              <w:t xml:space="preserve">Social </w:t>
            </w:r>
            <w:r w:rsidR="009F285B">
              <w:rPr>
                <w:rFonts w:ascii="Verdana" w:hAnsi="Verdana"/>
                <w:lang w:val="en-GB"/>
              </w:rPr>
              <w:t>inclusion</w:t>
            </w:r>
            <w:r w:rsidR="0097082C">
              <w:rPr>
                <w:rFonts w:ascii="Verdana" w:hAnsi="Verdana"/>
                <w:lang w:val="en-GB"/>
              </w:rPr>
              <w:t xml:space="preserve">; </w:t>
            </w:r>
            <w:r w:rsidR="0097082C" w:rsidRPr="0097082C">
              <w:rPr>
                <w:rFonts w:ascii="Verdana" w:hAnsi="Verdana"/>
                <w:lang w:val="en-GB"/>
              </w:rPr>
              <w:t>Broad social policy orientations</w:t>
            </w:r>
          </w:p>
        </w:tc>
      </w:tr>
      <w:tr w:rsidR="00F061A3" w:rsidRPr="009D7173" w14:paraId="09AB124A" w14:textId="77777777" w:rsidTr="009D3EB7">
        <w:tblPrEx>
          <w:tblBorders>
            <w:top w:val="single" w:sz="4" w:space="0" w:color="auto"/>
            <w:left w:val="single" w:sz="4" w:space="0" w:color="auto"/>
            <w:bottom w:val="single" w:sz="4" w:space="0" w:color="auto"/>
            <w:insideH w:val="single" w:sz="4" w:space="0" w:color="auto"/>
            <w:insideV w:val="single" w:sz="4" w:space="0" w:color="auto"/>
          </w:tblBorders>
        </w:tblPrEx>
        <w:trPr>
          <w:trHeight w:val="386"/>
        </w:trPr>
        <w:tc>
          <w:tcPr>
            <w:tcW w:w="1883" w:type="dxa"/>
          </w:tcPr>
          <w:p w14:paraId="4C8B142C" w14:textId="77777777" w:rsidR="00F061A3" w:rsidRPr="009D7173" w:rsidRDefault="0039115C">
            <w:pPr>
              <w:spacing w:line="264" w:lineRule="auto"/>
              <w:rPr>
                <w:rFonts w:ascii="Verdana" w:hAnsi="Verdana"/>
                <w:b/>
                <w:color w:val="FF7400"/>
                <w:lang w:val="en-GB"/>
              </w:rPr>
            </w:pPr>
            <w:r w:rsidRPr="009D7173">
              <w:rPr>
                <w:rFonts w:ascii="Verdana" w:hAnsi="Verdana"/>
                <w:b/>
                <w:color w:val="FF7400"/>
                <w:lang w:val="en-GB"/>
              </w:rPr>
              <w:t>Title:</w:t>
            </w:r>
          </w:p>
        </w:tc>
        <w:tc>
          <w:tcPr>
            <w:tcW w:w="7540" w:type="dxa"/>
            <w:gridSpan w:val="4"/>
          </w:tcPr>
          <w:p w14:paraId="0E91C7CF" w14:textId="34504B56" w:rsidR="00F061A3" w:rsidRPr="009D3EB7" w:rsidRDefault="007614D0" w:rsidP="009D3EB7">
            <w:pPr>
              <w:rPr>
                <w:rFonts w:ascii="Verdana" w:hAnsi="Verdana" w:cs="Arial"/>
                <w:lang w:val="en-GB"/>
              </w:rPr>
            </w:pPr>
            <w:r>
              <w:rPr>
                <w:rFonts w:ascii="Verdana" w:hAnsi="Verdana"/>
                <w:lang w:val="en-GB"/>
              </w:rPr>
              <w:t>Impact of inflation on low-income households</w:t>
            </w:r>
            <w:r w:rsidR="009F285B">
              <w:rPr>
                <w:rFonts w:ascii="Verdana" w:hAnsi="Verdana"/>
                <w:lang w:val="en-GB"/>
              </w:rPr>
              <w:t xml:space="preserve"> in the UK</w:t>
            </w:r>
          </w:p>
        </w:tc>
      </w:tr>
      <w:tr w:rsidR="00F061A3" w:rsidRPr="009D7173" w14:paraId="481B8D85" w14:textId="77777777" w:rsidTr="009D3EB7">
        <w:tblPrEx>
          <w:tblBorders>
            <w:top w:val="single" w:sz="4" w:space="0" w:color="auto"/>
            <w:left w:val="single" w:sz="4" w:space="0" w:color="auto"/>
            <w:bottom w:val="single" w:sz="4" w:space="0" w:color="auto"/>
            <w:insideH w:val="single" w:sz="4" w:space="0" w:color="auto"/>
            <w:insideV w:val="single" w:sz="4" w:space="0" w:color="auto"/>
          </w:tblBorders>
        </w:tblPrEx>
        <w:tc>
          <w:tcPr>
            <w:tcW w:w="1883" w:type="dxa"/>
          </w:tcPr>
          <w:p w14:paraId="02E95C4E" w14:textId="77777777" w:rsidR="00F061A3" w:rsidRPr="009D7173" w:rsidRDefault="0039115C">
            <w:pPr>
              <w:spacing w:line="264" w:lineRule="auto"/>
              <w:rPr>
                <w:rFonts w:ascii="Verdana" w:hAnsi="Verdana"/>
                <w:b/>
                <w:color w:val="FF7400"/>
                <w:lang w:val="en-GB"/>
              </w:rPr>
            </w:pPr>
            <w:r w:rsidRPr="009D7173">
              <w:rPr>
                <w:rFonts w:ascii="Verdana" w:hAnsi="Verdana"/>
                <w:b/>
                <w:color w:val="FF7400"/>
                <w:lang w:val="en-GB"/>
              </w:rPr>
              <w:t>Abstract:</w:t>
            </w:r>
          </w:p>
        </w:tc>
        <w:tc>
          <w:tcPr>
            <w:tcW w:w="7540" w:type="dxa"/>
            <w:gridSpan w:val="4"/>
          </w:tcPr>
          <w:p w14:paraId="4D86D162" w14:textId="3DAB371D" w:rsidR="00F061A3" w:rsidRPr="009D3EB7" w:rsidRDefault="007614D0" w:rsidP="000316DB">
            <w:pPr>
              <w:jc w:val="both"/>
              <w:rPr>
                <w:rFonts w:ascii="Verdana" w:hAnsi="Verdana" w:cs="Arial"/>
                <w:lang w:val="en-GB" w:eastAsia="en-GB"/>
              </w:rPr>
            </w:pPr>
            <w:r>
              <w:rPr>
                <w:rFonts w:ascii="Verdana" w:hAnsi="Verdana" w:cs="Arial"/>
                <w:lang w:val="en-GB" w:eastAsia="en-GB"/>
              </w:rPr>
              <w:t xml:space="preserve">The UK rate of inflation rose to </w:t>
            </w:r>
            <w:r w:rsidR="00795A00">
              <w:rPr>
                <w:rFonts w:ascii="Verdana" w:hAnsi="Verdana" w:cs="Arial"/>
                <w:lang w:val="en-GB" w:eastAsia="en-GB"/>
              </w:rPr>
              <w:t>9</w:t>
            </w:r>
            <w:r>
              <w:rPr>
                <w:rFonts w:ascii="Verdana" w:hAnsi="Verdana" w:cs="Arial"/>
                <w:lang w:val="en-GB" w:eastAsia="en-GB"/>
              </w:rPr>
              <w:t xml:space="preserve">% in </w:t>
            </w:r>
            <w:r w:rsidR="00795A00">
              <w:rPr>
                <w:rFonts w:ascii="Verdana" w:hAnsi="Verdana" w:cs="Arial"/>
                <w:lang w:val="en-GB" w:eastAsia="en-GB"/>
              </w:rPr>
              <w:t>April</w:t>
            </w:r>
            <w:r>
              <w:rPr>
                <w:rFonts w:ascii="Verdana" w:hAnsi="Verdana" w:cs="Arial"/>
                <w:lang w:val="en-GB" w:eastAsia="en-GB"/>
              </w:rPr>
              <w:t xml:space="preserve"> 2022, the highest rate for three decades. A cap on domestic fuel prices </w:t>
            </w:r>
            <w:r w:rsidR="00795A00">
              <w:rPr>
                <w:rFonts w:ascii="Verdana" w:hAnsi="Verdana" w:cs="Arial"/>
                <w:lang w:val="en-GB" w:eastAsia="en-GB"/>
              </w:rPr>
              <w:t xml:space="preserve">also </w:t>
            </w:r>
            <w:r>
              <w:rPr>
                <w:rFonts w:ascii="Verdana" w:hAnsi="Verdana" w:cs="Arial"/>
                <w:lang w:val="en-GB" w:eastAsia="en-GB"/>
              </w:rPr>
              <w:t>increased in April which will double household</w:t>
            </w:r>
            <w:r w:rsidR="00284576">
              <w:rPr>
                <w:rFonts w:ascii="Verdana" w:hAnsi="Verdana" w:cs="Arial"/>
                <w:lang w:val="en-GB" w:eastAsia="en-GB"/>
              </w:rPr>
              <w:t>’s</w:t>
            </w:r>
            <w:r>
              <w:rPr>
                <w:rFonts w:ascii="Verdana" w:hAnsi="Verdana" w:cs="Arial"/>
                <w:lang w:val="en-GB" w:eastAsia="en-GB"/>
              </w:rPr>
              <w:t xml:space="preserve"> fuel bills</w:t>
            </w:r>
            <w:r w:rsidR="0059056C">
              <w:rPr>
                <w:rFonts w:ascii="Verdana" w:hAnsi="Verdana" w:cs="Arial"/>
                <w:lang w:val="en-GB" w:eastAsia="en-GB"/>
              </w:rPr>
              <w:t>.</w:t>
            </w:r>
            <w:r>
              <w:rPr>
                <w:rFonts w:ascii="Verdana" w:hAnsi="Verdana" w:cs="Arial"/>
                <w:lang w:val="en-GB" w:eastAsia="en-GB"/>
              </w:rPr>
              <w:t xml:space="preserve"> </w:t>
            </w:r>
            <w:r w:rsidR="00795A00">
              <w:rPr>
                <w:rFonts w:ascii="Verdana" w:hAnsi="Verdana" w:cs="Arial"/>
                <w:lang w:val="en-GB" w:eastAsia="en-GB"/>
              </w:rPr>
              <w:t xml:space="preserve">Initially the government did rather little to respond to </w:t>
            </w:r>
            <w:r w:rsidR="00284576">
              <w:rPr>
                <w:rFonts w:ascii="Verdana" w:hAnsi="Verdana" w:cs="Arial"/>
                <w:lang w:val="en-GB" w:eastAsia="en-GB"/>
              </w:rPr>
              <w:t>what is being called “</w:t>
            </w:r>
            <w:r w:rsidR="0059056C">
              <w:rPr>
                <w:rFonts w:ascii="Verdana" w:hAnsi="Verdana" w:cs="Arial"/>
                <w:lang w:val="en-GB" w:eastAsia="en-GB"/>
              </w:rPr>
              <w:t>The Cost</w:t>
            </w:r>
            <w:r w:rsidR="00557D09">
              <w:rPr>
                <w:rFonts w:ascii="Verdana" w:hAnsi="Verdana" w:cs="Arial"/>
                <w:lang w:val="en-GB" w:eastAsia="en-GB"/>
              </w:rPr>
              <w:t>-</w:t>
            </w:r>
            <w:r w:rsidR="0059056C">
              <w:rPr>
                <w:rFonts w:ascii="Verdana" w:hAnsi="Verdana" w:cs="Arial"/>
                <w:lang w:val="en-GB" w:eastAsia="en-GB"/>
              </w:rPr>
              <w:t>of</w:t>
            </w:r>
            <w:r w:rsidR="00557D09">
              <w:rPr>
                <w:rFonts w:ascii="Verdana" w:hAnsi="Verdana" w:cs="Arial"/>
                <w:lang w:val="en-GB" w:eastAsia="en-GB"/>
              </w:rPr>
              <w:t>-</w:t>
            </w:r>
            <w:r w:rsidR="00284576">
              <w:rPr>
                <w:rFonts w:ascii="Verdana" w:hAnsi="Verdana" w:cs="Arial"/>
                <w:lang w:val="en-GB" w:eastAsia="en-GB"/>
              </w:rPr>
              <w:t>Living Crisis”</w:t>
            </w:r>
            <w:r w:rsidR="00C6081E">
              <w:rPr>
                <w:rFonts w:ascii="Verdana" w:hAnsi="Verdana" w:cs="Arial"/>
                <w:lang w:val="en-GB" w:eastAsia="en-GB"/>
              </w:rPr>
              <w:t>, especially for those with low incomes</w:t>
            </w:r>
            <w:r w:rsidR="00300A29">
              <w:rPr>
                <w:rFonts w:ascii="Verdana" w:hAnsi="Verdana" w:cs="Arial"/>
                <w:lang w:val="en-GB" w:eastAsia="en-GB"/>
              </w:rPr>
              <w:t xml:space="preserve">. </w:t>
            </w:r>
            <w:r w:rsidR="00795A00">
              <w:rPr>
                <w:rFonts w:ascii="Verdana" w:hAnsi="Verdana" w:cs="Arial"/>
                <w:lang w:val="en-GB" w:eastAsia="en-GB"/>
              </w:rPr>
              <w:t>However when the energy regulator announced that there would be a further 32% increase in the fuel cap in October 2022 the Chancellor announced a package of support costing £37 (€</w:t>
            </w:r>
            <w:r w:rsidR="00C44DDD">
              <w:rPr>
                <w:rFonts w:ascii="Verdana" w:hAnsi="Verdana" w:cs="Arial"/>
                <w:lang w:val="en-GB" w:eastAsia="en-GB"/>
              </w:rPr>
              <w:t xml:space="preserve">43.7) billion this year. </w:t>
            </w:r>
          </w:p>
        </w:tc>
      </w:tr>
      <w:tr w:rsidR="00F061A3" w:rsidRPr="009D7173" w14:paraId="7B488F9C" w14:textId="77777777" w:rsidTr="009D3EB7">
        <w:tblPrEx>
          <w:tblBorders>
            <w:top w:val="single" w:sz="4" w:space="0" w:color="auto"/>
            <w:left w:val="single" w:sz="4" w:space="0" w:color="auto"/>
            <w:bottom w:val="single" w:sz="4" w:space="0" w:color="auto"/>
            <w:insideH w:val="single" w:sz="4" w:space="0" w:color="auto"/>
            <w:insideV w:val="single" w:sz="4" w:space="0" w:color="auto"/>
          </w:tblBorders>
        </w:tblPrEx>
        <w:trPr>
          <w:trHeight w:val="416"/>
        </w:trPr>
        <w:tc>
          <w:tcPr>
            <w:tcW w:w="1883" w:type="dxa"/>
          </w:tcPr>
          <w:p w14:paraId="64110DE4" w14:textId="77777777" w:rsidR="00F061A3" w:rsidRPr="007C45B8" w:rsidRDefault="007C45B8" w:rsidP="00FD4093">
            <w:pPr>
              <w:spacing w:line="264" w:lineRule="auto"/>
              <w:rPr>
                <w:rFonts w:ascii="Verdana" w:hAnsi="Verdana"/>
                <w:b/>
                <w:color w:val="FF7400"/>
                <w:lang w:val="en-GB"/>
              </w:rPr>
            </w:pPr>
            <w:r>
              <w:rPr>
                <w:rFonts w:ascii="Verdana" w:hAnsi="Verdana"/>
                <w:b/>
                <w:color w:val="FF7400"/>
                <w:lang w:val="en-GB"/>
              </w:rPr>
              <w:t>Descrip</w:t>
            </w:r>
            <w:r w:rsidRPr="007C45B8">
              <w:rPr>
                <w:rFonts w:ascii="Verdana" w:hAnsi="Verdana"/>
                <w:b/>
                <w:color w:val="FF7400"/>
                <w:lang w:val="en-GB"/>
              </w:rPr>
              <w:t>t</w:t>
            </w:r>
            <w:r>
              <w:rPr>
                <w:rFonts w:ascii="Verdana" w:hAnsi="Verdana"/>
                <w:b/>
                <w:color w:val="FF7400"/>
                <w:lang w:val="en-GB"/>
              </w:rPr>
              <w:t>i</w:t>
            </w:r>
            <w:r w:rsidR="0039115C" w:rsidRPr="007C45B8">
              <w:rPr>
                <w:rFonts w:ascii="Verdana" w:hAnsi="Verdana"/>
                <w:b/>
                <w:color w:val="FF7400"/>
                <w:lang w:val="en-GB"/>
              </w:rPr>
              <w:t>on:</w:t>
            </w:r>
          </w:p>
        </w:tc>
        <w:tc>
          <w:tcPr>
            <w:tcW w:w="7540" w:type="dxa"/>
            <w:gridSpan w:val="4"/>
          </w:tcPr>
          <w:p w14:paraId="24CCEF55" w14:textId="49F2BEAB" w:rsidR="00D354BD" w:rsidRDefault="0059056C" w:rsidP="009D3EB7">
            <w:pPr>
              <w:jc w:val="both"/>
              <w:rPr>
                <w:rFonts w:ascii="Verdana" w:hAnsi="Verdana"/>
                <w:lang w:val="en-GB"/>
              </w:rPr>
            </w:pPr>
            <w:r>
              <w:rPr>
                <w:rFonts w:ascii="Verdana" w:hAnsi="Verdana"/>
                <w:lang w:val="en-GB"/>
              </w:rPr>
              <w:t xml:space="preserve">In </w:t>
            </w:r>
            <w:r w:rsidR="001D7600">
              <w:rPr>
                <w:rFonts w:ascii="Verdana" w:hAnsi="Verdana"/>
                <w:lang w:val="en-GB"/>
              </w:rPr>
              <w:t>September</w:t>
            </w:r>
            <w:r>
              <w:rPr>
                <w:rFonts w:ascii="Verdana" w:hAnsi="Verdana"/>
                <w:lang w:val="en-GB"/>
              </w:rPr>
              <w:t xml:space="preserve"> 2021 inflation was 3.</w:t>
            </w:r>
            <w:r w:rsidR="001D7600">
              <w:rPr>
                <w:rFonts w:ascii="Verdana" w:hAnsi="Verdana"/>
                <w:lang w:val="en-GB"/>
              </w:rPr>
              <w:t>1</w:t>
            </w:r>
            <w:r>
              <w:rPr>
                <w:rFonts w:ascii="Verdana" w:hAnsi="Verdana"/>
                <w:lang w:val="en-GB"/>
              </w:rPr>
              <w:t xml:space="preserve">%. This is an important number because by convention the inflation rate in the previous </w:t>
            </w:r>
            <w:r w:rsidR="001D7600">
              <w:rPr>
                <w:rFonts w:ascii="Verdana" w:hAnsi="Verdana"/>
                <w:lang w:val="en-GB"/>
              </w:rPr>
              <w:t>September</w:t>
            </w:r>
            <w:r>
              <w:rPr>
                <w:rFonts w:ascii="Verdana" w:hAnsi="Verdana"/>
                <w:lang w:val="en-GB"/>
              </w:rPr>
              <w:t xml:space="preserve"> determines the increase in most social security benefits in the following April. So</w:t>
            </w:r>
            <w:r w:rsidR="005B796F">
              <w:rPr>
                <w:rFonts w:ascii="Verdana" w:hAnsi="Verdana"/>
                <w:lang w:val="en-GB"/>
              </w:rPr>
              <w:t>,</w:t>
            </w:r>
            <w:r>
              <w:rPr>
                <w:rFonts w:ascii="Verdana" w:hAnsi="Verdana"/>
                <w:lang w:val="en-GB"/>
              </w:rPr>
              <w:t xml:space="preserve"> in April </w:t>
            </w:r>
            <w:r w:rsidR="00284576">
              <w:rPr>
                <w:rFonts w:ascii="Verdana" w:hAnsi="Verdana"/>
                <w:lang w:val="en-GB"/>
              </w:rPr>
              <w:t xml:space="preserve">2022, </w:t>
            </w:r>
            <w:r>
              <w:rPr>
                <w:rFonts w:ascii="Verdana" w:hAnsi="Verdana"/>
                <w:lang w:val="en-GB"/>
              </w:rPr>
              <w:t>benefits went up by 3.</w:t>
            </w:r>
            <w:r w:rsidR="001D7600">
              <w:rPr>
                <w:rFonts w:ascii="Verdana" w:hAnsi="Verdana"/>
                <w:lang w:val="en-GB"/>
              </w:rPr>
              <w:t>1</w:t>
            </w:r>
            <w:r>
              <w:rPr>
                <w:rFonts w:ascii="Verdana" w:hAnsi="Verdana"/>
                <w:lang w:val="en-GB"/>
              </w:rPr>
              <w:t>%</w:t>
            </w:r>
            <w:r w:rsidR="005B796F">
              <w:rPr>
                <w:rFonts w:ascii="Verdana" w:hAnsi="Verdana"/>
                <w:lang w:val="en-GB"/>
              </w:rPr>
              <w:t xml:space="preserve"> but prices we</w:t>
            </w:r>
            <w:r w:rsidR="00C44DDD">
              <w:rPr>
                <w:rFonts w:ascii="Verdana" w:hAnsi="Verdana"/>
                <w:lang w:val="en-GB"/>
              </w:rPr>
              <w:t>re then rising by 9%</w:t>
            </w:r>
            <w:r w:rsidR="005B796F">
              <w:rPr>
                <w:rFonts w:ascii="Verdana" w:hAnsi="Verdana"/>
                <w:lang w:val="en-GB"/>
              </w:rPr>
              <w:t>. The usual exception to thi</w:t>
            </w:r>
            <w:r w:rsidR="009F285B">
              <w:rPr>
                <w:rFonts w:ascii="Verdana" w:hAnsi="Verdana"/>
                <w:lang w:val="en-GB"/>
              </w:rPr>
              <w:t xml:space="preserve">s convention is that the state </w:t>
            </w:r>
            <w:r w:rsidR="005B796F">
              <w:rPr>
                <w:rFonts w:ascii="Verdana" w:hAnsi="Verdana"/>
                <w:lang w:val="en-GB"/>
              </w:rPr>
              <w:t>pens</w:t>
            </w:r>
            <w:r w:rsidR="00284576">
              <w:rPr>
                <w:rFonts w:ascii="Verdana" w:hAnsi="Verdana"/>
                <w:lang w:val="en-GB"/>
              </w:rPr>
              <w:t>ion is normally covered by the “triple lock”</w:t>
            </w:r>
            <w:r w:rsidR="005B796F">
              <w:rPr>
                <w:rFonts w:ascii="Verdana" w:hAnsi="Verdana"/>
                <w:lang w:val="en-GB"/>
              </w:rPr>
              <w:t xml:space="preserve"> which increases pensions by the best of </w:t>
            </w:r>
            <w:r w:rsidR="00284576">
              <w:rPr>
                <w:rFonts w:ascii="Verdana" w:hAnsi="Verdana"/>
                <w:lang w:val="en-GB"/>
              </w:rPr>
              <w:t xml:space="preserve">the following three elements: </w:t>
            </w:r>
            <w:r w:rsidR="005B796F">
              <w:rPr>
                <w:rFonts w:ascii="Verdana" w:hAnsi="Verdana"/>
                <w:lang w:val="en-GB"/>
              </w:rPr>
              <w:t xml:space="preserve">prices, </w:t>
            </w:r>
            <w:proofErr w:type="gramStart"/>
            <w:r w:rsidR="005B796F">
              <w:rPr>
                <w:rFonts w:ascii="Verdana" w:hAnsi="Verdana"/>
                <w:lang w:val="en-GB"/>
              </w:rPr>
              <w:t>wages</w:t>
            </w:r>
            <w:proofErr w:type="gramEnd"/>
            <w:r w:rsidR="005B796F">
              <w:rPr>
                <w:rFonts w:ascii="Verdana" w:hAnsi="Verdana"/>
                <w:lang w:val="en-GB"/>
              </w:rPr>
              <w:t xml:space="preserve"> or </w:t>
            </w:r>
            <w:r w:rsidR="006A103B">
              <w:rPr>
                <w:rFonts w:ascii="Verdana" w:hAnsi="Verdana"/>
                <w:lang w:val="en-GB"/>
              </w:rPr>
              <w:t xml:space="preserve">a minimum of </w:t>
            </w:r>
            <w:r w:rsidR="005B796F">
              <w:rPr>
                <w:rFonts w:ascii="Verdana" w:hAnsi="Verdana"/>
                <w:lang w:val="en-GB"/>
              </w:rPr>
              <w:t>2.</w:t>
            </w:r>
            <w:r w:rsidR="00300A29">
              <w:rPr>
                <w:rFonts w:ascii="Verdana" w:hAnsi="Verdana"/>
                <w:lang w:val="en-GB"/>
              </w:rPr>
              <w:t>5</w:t>
            </w:r>
            <w:r w:rsidR="005B796F">
              <w:rPr>
                <w:rFonts w:ascii="Verdana" w:hAnsi="Verdana"/>
                <w:lang w:val="en-GB"/>
              </w:rPr>
              <w:t>%. In October 2021</w:t>
            </w:r>
            <w:r w:rsidR="00D05E2C">
              <w:rPr>
                <w:rFonts w:ascii="Verdana" w:hAnsi="Verdana"/>
                <w:lang w:val="en-GB"/>
              </w:rPr>
              <w:t>,</w:t>
            </w:r>
            <w:r w:rsidR="005B796F">
              <w:rPr>
                <w:rFonts w:ascii="Verdana" w:hAnsi="Verdana"/>
                <w:lang w:val="en-GB"/>
              </w:rPr>
              <w:t xml:space="preserve"> wages were increasing by 8% thanks mainly </w:t>
            </w:r>
            <w:r w:rsidR="00300A29">
              <w:rPr>
                <w:rFonts w:ascii="Verdana" w:hAnsi="Verdana"/>
                <w:lang w:val="en-GB"/>
              </w:rPr>
              <w:t>to</w:t>
            </w:r>
            <w:r w:rsidR="005B796F">
              <w:rPr>
                <w:rFonts w:ascii="Verdana" w:hAnsi="Verdana"/>
                <w:lang w:val="en-GB"/>
              </w:rPr>
              <w:t xml:space="preserve"> employment emerging from the </w:t>
            </w:r>
            <w:r w:rsidR="00300A29">
              <w:rPr>
                <w:rFonts w:ascii="Verdana" w:hAnsi="Verdana"/>
                <w:lang w:val="en-GB"/>
              </w:rPr>
              <w:t>pandemic</w:t>
            </w:r>
            <w:r w:rsidR="005B796F">
              <w:rPr>
                <w:rFonts w:ascii="Verdana" w:hAnsi="Verdana"/>
                <w:lang w:val="en-GB"/>
              </w:rPr>
              <w:t>. As a result</w:t>
            </w:r>
            <w:r w:rsidR="00D05E2C">
              <w:rPr>
                <w:rFonts w:ascii="Verdana" w:hAnsi="Verdana"/>
                <w:lang w:val="en-GB"/>
              </w:rPr>
              <w:t>,</w:t>
            </w:r>
            <w:r w:rsidR="005B796F">
              <w:rPr>
                <w:rFonts w:ascii="Verdana" w:hAnsi="Verdana"/>
                <w:lang w:val="en-GB"/>
              </w:rPr>
              <w:t xml:space="preserve"> the government decided to drop the triple lock for this uprating </w:t>
            </w:r>
            <w:r w:rsidR="006A103B" w:rsidRPr="006A103B">
              <w:rPr>
                <w:rFonts w:ascii="Verdana" w:hAnsi="Verdana"/>
                <w:lang w:val="en-GB"/>
              </w:rPr>
              <w:t xml:space="preserve">and </w:t>
            </w:r>
            <w:r w:rsidR="00E03AF2">
              <w:rPr>
                <w:rFonts w:ascii="Verdana" w:hAnsi="Verdana"/>
                <w:lang w:val="en-GB"/>
              </w:rPr>
              <w:t>increase the state pension only by inflation (3.</w:t>
            </w:r>
            <w:r w:rsidR="00A865C4">
              <w:rPr>
                <w:rFonts w:ascii="Verdana" w:hAnsi="Verdana"/>
                <w:lang w:val="en-GB"/>
              </w:rPr>
              <w:t>1</w:t>
            </w:r>
            <w:r w:rsidR="00E03AF2">
              <w:rPr>
                <w:rFonts w:ascii="Verdana" w:hAnsi="Verdana"/>
                <w:lang w:val="en-GB"/>
              </w:rPr>
              <w:t>%)</w:t>
            </w:r>
            <w:r w:rsidR="00A865C4">
              <w:rPr>
                <w:rFonts w:ascii="Verdana" w:hAnsi="Verdana"/>
                <w:lang w:val="en-GB"/>
              </w:rPr>
              <w:t>.</w:t>
            </w:r>
            <w:r w:rsidR="006A103B" w:rsidRPr="006A103B">
              <w:rPr>
                <w:rFonts w:ascii="Verdana" w:hAnsi="Verdana"/>
                <w:lang w:val="en-GB"/>
              </w:rPr>
              <w:t xml:space="preserve"> </w:t>
            </w:r>
          </w:p>
          <w:p w14:paraId="67B4EE71" w14:textId="2DD30482" w:rsidR="0036138A" w:rsidRDefault="0036138A" w:rsidP="009D3EB7">
            <w:pPr>
              <w:jc w:val="both"/>
              <w:rPr>
                <w:rFonts w:ascii="Verdana" w:hAnsi="Verdana"/>
                <w:lang w:val="en-GB"/>
              </w:rPr>
            </w:pPr>
            <w:r>
              <w:rPr>
                <w:rFonts w:ascii="Verdana" w:hAnsi="Verdana"/>
                <w:lang w:val="en-GB"/>
              </w:rPr>
              <w:t>The pressures on low-income households had already been exacerbated by the decision of the government in October 2021 to end the £20 (€</w:t>
            </w:r>
            <w:r w:rsidR="008F2F61">
              <w:rPr>
                <w:rFonts w:ascii="Verdana" w:hAnsi="Verdana"/>
                <w:lang w:val="en-GB"/>
              </w:rPr>
              <w:t xml:space="preserve">24) </w:t>
            </w:r>
            <w:r>
              <w:rPr>
                <w:rFonts w:ascii="Verdana" w:hAnsi="Verdana"/>
                <w:lang w:val="en-GB"/>
              </w:rPr>
              <w:t xml:space="preserve">per week uplift in </w:t>
            </w:r>
            <w:r w:rsidR="001D7600">
              <w:rPr>
                <w:rFonts w:ascii="Verdana" w:hAnsi="Verdana"/>
                <w:lang w:val="en-GB"/>
              </w:rPr>
              <w:t xml:space="preserve">the standard allowance for </w:t>
            </w:r>
            <w:r>
              <w:rPr>
                <w:rFonts w:ascii="Verdana" w:hAnsi="Verdana"/>
                <w:lang w:val="en-GB"/>
              </w:rPr>
              <w:t xml:space="preserve">Universal Credit and </w:t>
            </w:r>
            <w:r w:rsidR="001D7600">
              <w:rPr>
                <w:rFonts w:ascii="Verdana" w:hAnsi="Verdana"/>
                <w:lang w:val="en-GB"/>
              </w:rPr>
              <w:t>the basic rate of Working Tax Credit</w:t>
            </w:r>
            <w:r>
              <w:rPr>
                <w:rFonts w:ascii="Verdana" w:hAnsi="Verdana"/>
                <w:lang w:val="en-GB"/>
              </w:rPr>
              <w:t xml:space="preserve"> which had been introduced to mitigate the impact of the pandemic. The latest poverty estimates covering 2020/21 reveal that this uplift had been the main reason for a reduction in both </w:t>
            </w:r>
            <w:r w:rsidR="000316DB">
              <w:rPr>
                <w:rFonts w:ascii="Verdana" w:hAnsi="Verdana"/>
                <w:lang w:val="en-GB"/>
              </w:rPr>
              <w:t xml:space="preserve">relative poverty (income less than 60% of the current median) and </w:t>
            </w:r>
            <w:r>
              <w:rPr>
                <w:rFonts w:ascii="Verdana" w:hAnsi="Verdana"/>
                <w:lang w:val="en-GB"/>
              </w:rPr>
              <w:t xml:space="preserve">absolute </w:t>
            </w:r>
            <w:r w:rsidR="00E03AF2">
              <w:rPr>
                <w:rFonts w:ascii="Verdana" w:hAnsi="Verdana"/>
                <w:lang w:val="en-GB"/>
              </w:rPr>
              <w:t xml:space="preserve">poverty (income less than 60% </w:t>
            </w:r>
            <w:r w:rsidR="00385AB7">
              <w:rPr>
                <w:rFonts w:ascii="Verdana" w:hAnsi="Verdana"/>
                <w:lang w:val="en-GB"/>
              </w:rPr>
              <w:t xml:space="preserve">of the </w:t>
            </w:r>
            <w:r w:rsidR="00E03AF2">
              <w:rPr>
                <w:rFonts w:ascii="Verdana" w:hAnsi="Verdana"/>
                <w:lang w:val="en-GB"/>
              </w:rPr>
              <w:t>median</w:t>
            </w:r>
            <w:r w:rsidR="00385AB7">
              <w:rPr>
                <w:rFonts w:ascii="Verdana" w:hAnsi="Verdana"/>
                <w:lang w:val="en-GB"/>
              </w:rPr>
              <w:t xml:space="preserve"> anchored in 2018 and adjusted for inflation) </w:t>
            </w:r>
            <w:r>
              <w:rPr>
                <w:rFonts w:ascii="Verdana" w:hAnsi="Verdana"/>
                <w:lang w:val="en-GB"/>
              </w:rPr>
              <w:t>rates in that year (</w:t>
            </w:r>
            <w:r w:rsidR="00C4248C">
              <w:rPr>
                <w:rFonts w:ascii="Verdana" w:hAnsi="Verdana"/>
                <w:lang w:val="en-GB"/>
              </w:rPr>
              <w:t>Department for Wor</w:t>
            </w:r>
            <w:r w:rsidR="000316DB">
              <w:rPr>
                <w:rFonts w:ascii="Verdana" w:hAnsi="Verdana"/>
                <w:lang w:val="en-GB"/>
              </w:rPr>
              <w:t>k</w:t>
            </w:r>
            <w:r w:rsidR="00C4248C">
              <w:rPr>
                <w:rFonts w:ascii="Verdana" w:hAnsi="Verdana"/>
                <w:lang w:val="en-GB"/>
              </w:rPr>
              <w:t xml:space="preserve"> and Pensions, 2022</w:t>
            </w:r>
            <w:r w:rsidR="008F2F61">
              <w:rPr>
                <w:rFonts w:ascii="Verdana" w:hAnsi="Verdana"/>
                <w:lang w:val="en-GB"/>
              </w:rPr>
              <w:t>)</w:t>
            </w:r>
            <w:r>
              <w:rPr>
                <w:rFonts w:ascii="Verdana" w:hAnsi="Verdana"/>
                <w:lang w:val="en-GB"/>
              </w:rPr>
              <w:t>.</w:t>
            </w:r>
            <w:r w:rsidR="008F2F61">
              <w:rPr>
                <w:rFonts w:ascii="Verdana" w:hAnsi="Verdana"/>
                <w:lang w:val="en-GB"/>
              </w:rPr>
              <w:t xml:space="preserve"> The percentage of individuals in relative poverty fell by two percentage points </w:t>
            </w:r>
            <w:r w:rsidR="000316DB">
              <w:rPr>
                <w:rFonts w:ascii="Verdana" w:hAnsi="Verdana"/>
                <w:lang w:val="en-GB"/>
              </w:rPr>
              <w:t xml:space="preserve">(from </w:t>
            </w:r>
            <w:r w:rsidR="00C44DDD">
              <w:rPr>
                <w:rFonts w:ascii="Verdana" w:hAnsi="Verdana"/>
                <w:lang w:val="en-GB"/>
              </w:rPr>
              <w:t>18</w:t>
            </w:r>
            <w:r w:rsidR="000316DB">
              <w:rPr>
                <w:rFonts w:ascii="Verdana" w:hAnsi="Verdana"/>
                <w:lang w:val="en-GB"/>
              </w:rPr>
              <w:t xml:space="preserve">% to </w:t>
            </w:r>
            <w:r w:rsidR="00C44DDD">
              <w:rPr>
                <w:rFonts w:ascii="Verdana" w:hAnsi="Verdana"/>
                <w:lang w:val="en-GB"/>
              </w:rPr>
              <w:t>16</w:t>
            </w:r>
            <w:r w:rsidR="000316DB">
              <w:rPr>
                <w:rFonts w:ascii="Verdana" w:hAnsi="Verdana"/>
                <w:lang w:val="en-GB"/>
              </w:rPr>
              <w:t>%</w:t>
            </w:r>
            <w:r w:rsidR="00C44DDD">
              <w:rPr>
                <w:rFonts w:ascii="Verdana" w:hAnsi="Verdana"/>
                <w:lang w:val="en-GB"/>
              </w:rPr>
              <w:t xml:space="preserve"> before housing costs and from 22% to 20% after housing costs</w:t>
            </w:r>
            <w:r w:rsidR="000316DB">
              <w:rPr>
                <w:rFonts w:ascii="Verdana" w:hAnsi="Verdana"/>
                <w:lang w:val="en-GB"/>
              </w:rPr>
              <w:t xml:space="preserve">) </w:t>
            </w:r>
            <w:r w:rsidR="008F2F61">
              <w:rPr>
                <w:rFonts w:ascii="Verdana" w:hAnsi="Verdana"/>
                <w:lang w:val="en-GB"/>
              </w:rPr>
              <w:t xml:space="preserve">and absolute poverty fell by one percentage point both before and after </w:t>
            </w:r>
            <w:r w:rsidR="008F2F61">
              <w:rPr>
                <w:rFonts w:ascii="Verdana" w:hAnsi="Verdana"/>
                <w:lang w:val="en-GB"/>
              </w:rPr>
              <w:lastRenderedPageBreak/>
              <w:t xml:space="preserve">housing costs </w:t>
            </w:r>
            <w:r w:rsidR="000316DB">
              <w:rPr>
                <w:rFonts w:ascii="Verdana" w:hAnsi="Verdana"/>
                <w:lang w:val="en-GB"/>
              </w:rPr>
              <w:t xml:space="preserve">(from </w:t>
            </w:r>
            <w:r w:rsidR="00C44DDD">
              <w:rPr>
                <w:rFonts w:ascii="Verdana" w:hAnsi="Verdana"/>
                <w:lang w:val="en-GB"/>
              </w:rPr>
              <w:t>14</w:t>
            </w:r>
            <w:r w:rsidR="000316DB">
              <w:rPr>
                <w:rFonts w:ascii="Verdana" w:hAnsi="Verdana"/>
                <w:lang w:val="en-GB"/>
              </w:rPr>
              <w:t xml:space="preserve">% to </w:t>
            </w:r>
            <w:r w:rsidR="00C44DDD">
              <w:rPr>
                <w:rFonts w:ascii="Verdana" w:hAnsi="Verdana"/>
                <w:lang w:val="en-GB"/>
              </w:rPr>
              <w:t>13</w:t>
            </w:r>
            <w:r w:rsidR="000316DB">
              <w:rPr>
                <w:rFonts w:ascii="Verdana" w:hAnsi="Verdana"/>
                <w:lang w:val="en-GB"/>
              </w:rPr>
              <w:t xml:space="preserve">% and from </w:t>
            </w:r>
            <w:r w:rsidR="00C44DDD">
              <w:rPr>
                <w:rFonts w:ascii="Verdana" w:hAnsi="Verdana"/>
                <w:lang w:val="en-GB"/>
              </w:rPr>
              <w:t>18</w:t>
            </w:r>
            <w:r w:rsidR="000316DB">
              <w:rPr>
                <w:rFonts w:ascii="Verdana" w:hAnsi="Verdana"/>
                <w:lang w:val="en-GB"/>
              </w:rPr>
              <w:t xml:space="preserve">% to </w:t>
            </w:r>
            <w:r w:rsidR="00C44DDD">
              <w:rPr>
                <w:rFonts w:ascii="Verdana" w:hAnsi="Verdana"/>
                <w:lang w:val="en-GB"/>
              </w:rPr>
              <w:t>17</w:t>
            </w:r>
            <w:r w:rsidR="000316DB">
              <w:rPr>
                <w:rFonts w:ascii="Verdana" w:hAnsi="Verdana"/>
                <w:lang w:val="en-GB"/>
              </w:rPr>
              <w:t xml:space="preserve">%, respectively) </w:t>
            </w:r>
            <w:r w:rsidR="008F2F61">
              <w:rPr>
                <w:rFonts w:ascii="Verdana" w:hAnsi="Verdana"/>
                <w:lang w:val="en-GB"/>
              </w:rPr>
              <w:t>between 2019/20 and 2020/21.</w:t>
            </w:r>
            <w:r w:rsidR="00220CF5">
              <w:rPr>
                <w:rFonts w:ascii="Verdana" w:hAnsi="Verdana"/>
                <w:lang w:val="en-GB"/>
              </w:rPr>
              <w:t xml:space="preserve"> </w:t>
            </w:r>
          </w:p>
          <w:p w14:paraId="6B3F1470" w14:textId="479B7E92" w:rsidR="00220CF5" w:rsidRDefault="00220CF5" w:rsidP="00383CAD">
            <w:pPr>
              <w:jc w:val="both"/>
              <w:rPr>
                <w:rFonts w:ascii="Verdana" w:hAnsi="Verdana"/>
                <w:lang w:val="en-GB"/>
              </w:rPr>
            </w:pPr>
            <w:r>
              <w:rPr>
                <w:rFonts w:ascii="Verdana" w:hAnsi="Verdana"/>
                <w:lang w:val="en-GB"/>
              </w:rPr>
              <w:t xml:space="preserve">In the Spring </w:t>
            </w:r>
            <w:r w:rsidR="001D7600">
              <w:rPr>
                <w:rFonts w:ascii="Verdana" w:hAnsi="Verdana"/>
                <w:lang w:val="en-GB"/>
              </w:rPr>
              <w:t>2022 B</w:t>
            </w:r>
            <w:r>
              <w:rPr>
                <w:rFonts w:ascii="Verdana" w:hAnsi="Verdana"/>
                <w:lang w:val="en-GB"/>
              </w:rPr>
              <w:t>udget</w:t>
            </w:r>
            <w:r w:rsidR="00D05E2C">
              <w:rPr>
                <w:rFonts w:ascii="Verdana" w:hAnsi="Verdana"/>
                <w:lang w:val="en-GB"/>
              </w:rPr>
              <w:t>,</w:t>
            </w:r>
            <w:r>
              <w:rPr>
                <w:rFonts w:ascii="Verdana" w:hAnsi="Verdana"/>
                <w:lang w:val="en-GB"/>
              </w:rPr>
              <w:t xml:space="preserve"> it was expected that the </w:t>
            </w:r>
            <w:r w:rsidR="00B81EAB">
              <w:rPr>
                <w:rFonts w:ascii="Verdana" w:hAnsi="Verdana"/>
                <w:lang w:val="en-GB"/>
              </w:rPr>
              <w:t xml:space="preserve">UK </w:t>
            </w:r>
            <w:r>
              <w:rPr>
                <w:rFonts w:ascii="Verdana" w:hAnsi="Verdana"/>
                <w:lang w:val="en-GB"/>
              </w:rPr>
              <w:t xml:space="preserve">Chancellor would announce </w:t>
            </w:r>
            <w:r w:rsidR="001D7600">
              <w:rPr>
                <w:rFonts w:ascii="Verdana" w:hAnsi="Verdana"/>
                <w:lang w:val="en-GB"/>
              </w:rPr>
              <w:t xml:space="preserve">specific </w:t>
            </w:r>
            <w:r>
              <w:rPr>
                <w:rFonts w:ascii="Verdana" w:hAnsi="Verdana"/>
                <w:lang w:val="en-GB"/>
              </w:rPr>
              <w:t xml:space="preserve">measures to mitigate price rises or protect incomes by increasing </w:t>
            </w:r>
            <w:r w:rsidR="00557D09">
              <w:rPr>
                <w:rFonts w:ascii="Verdana" w:hAnsi="Verdana"/>
                <w:lang w:val="en-GB"/>
              </w:rPr>
              <w:t>benefits by actual inflation</w:t>
            </w:r>
            <w:r>
              <w:rPr>
                <w:rFonts w:ascii="Verdana" w:hAnsi="Verdana"/>
                <w:lang w:val="en-GB"/>
              </w:rPr>
              <w:t xml:space="preserve">. </w:t>
            </w:r>
            <w:r w:rsidR="00557D09">
              <w:rPr>
                <w:rFonts w:ascii="Verdana" w:hAnsi="Verdana"/>
                <w:lang w:val="en-GB"/>
              </w:rPr>
              <w:t>The Scottish Government doubled t</w:t>
            </w:r>
            <w:r w:rsidR="001D7600">
              <w:rPr>
                <w:rFonts w:ascii="Verdana" w:hAnsi="Verdana"/>
                <w:lang w:val="en-GB"/>
              </w:rPr>
              <w:t>he</w:t>
            </w:r>
            <w:r w:rsidR="00557D09">
              <w:rPr>
                <w:rFonts w:ascii="Verdana" w:hAnsi="Verdana"/>
                <w:lang w:val="en-GB"/>
              </w:rPr>
              <w:t xml:space="preserve"> Scottish Child Payment </w:t>
            </w:r>
            <w:r w:rsidR="00FA56BE">
              <w:rPr>
                <w:rFonts w:ascii="Verdana" w:hAnsi="Verdana"/>
                <w:lang w:val="en-GB"/>
              </w:rPr>
              <w:t>to £20 (€24) per child per week</w:t>
            </w:r>
            <w:r w:rsidR="00A865C4">
              <w:rPr>
                <w:rFonts w:ascii="Verdana" w:hAnsi="Verdana"/>
                <w:lang w:val="en-GB"/>
              </w:rPr>
              <w:t xml:space="preserve"> </w:t>
            </w:r>
            <w:r w:rsidR="00557D09">
              <w:rPr>
                <w:rFonts w:ascii="Verdana" w:hAnsi="Verdana"/>
                <w:lang w:val="en-GB"/>
              </w:rPr>
              <w:t xml:space="preserve">in April </w:t>
            </w:r>
            <w:r w:rsidR="00D05E2C">
              <w:rPr>
                <w:rFonts w:ascii="Verdana" w:hAnsi="Verdana"/>
                <w:lang w:val="en-GB"/>
              </w:rPr>
              <w:t xml:space="preserve">2022 </w:t>
            </w:r>
            <w:r w:rsidR="00557D09">
              <w:rPr>
                <w:rFonts w:ascii="Verdana" w:hAnsi="Verdana"/>
                <w:lang w:val="en-GB"/>
              </w:rPr>
              <w:t>and promised to increase it again in October</w:t>
            </w:r>
            <w:r w:rsidR="00D05E2C">
              <w:rPr>
                <w:rFonts w:ascii="Verdana" w:hAnsi="Verdana"/>
                <w:lang w:val="en-GB"/>
              </w:rPr>
              <w:t xml:space="preserve"> 2022</w:t>
            </w:r>
            <w:r w:rsidR="00557D09">
              <w:rPr>
                <w:rFonts w:ascii="Verdana" w:hAnsi="Verdana"/>
                <w:lang w:val="en-GB"/>
              </w:rPr>
              <w:t xml:space="preserve">. </w:t>
            </w:r>
            <w:r>
              <w:rPr>
                <w:rFonts w:ascii="Verdana" w:hAnsi="Verdana"/>
                <w:lang w:val="en-GB"/>
              </w:rPr>
              <w:t>But</w:t>
            </w:r>
            <w:r w:rsidR="00557D09">
              <w:rPr>
                <w:rFonts w:ascii="Verdana" w:hAnsi="Verdana"/>
                <w:lang w:val="en-GB"/>
              </w:rPr>
              <w:t xml:space="preserve"> the UK </w:t>
            </w:r>
            <w:r w:rsidR="00300A29">
              <w:rPr>
                <w:rFonts w:ascii="Verdana" w:hAnsi="Verdana"/>
                <w:lang w:val="en-GB"/>
              </w:rPr>
              <w:t xml:space="preserve">Chancellor </w:t>
            </w:r>
            <w:r w:rsidR="00557D09">
              <w:rPr>
                <w:rFonts w:ascii="Verdana" w:hAnsi="Verdana"/>
                <w:lang w:val="en-GB"/>
              </w:rPr>
              <w:t xml:space="preserve">merely announced an increase in the funds </w:t>
            </w:r>
            <w:r w:rsidR="00FA56BE">
              <w:rPr>
                <w:rFonts w:ascii="Verdana" w:hAnsi="Verdana"/>
                <w:lang w:val="en-GB"/>
              </w:rPr>
              <w:t>that local government can use to make discretionary payments to people in hardship</w:t>
            </w:r>
            <w:r w:rsidR="00557D09">
              <w:rPr>
                <w:rFonts w:ascii="Verdana" w:hAnsi="Verdana"/>
                <w:lang w:val="en-GB"/>
              </w:rPr>
              <w:t xml:space="preserve">; a temporary £150 </w:t>
            </w:r>
            <w:r w:rsidR="00300A29">
              <w:rPr>
                <w:rFonts w:ascii="Verdana" w:hAnsi="Verdana"/>
                <w:lang w:val="en-GB"/>
              </w:rPr>
              <w:t xml:space="preserve">(€180) </w:t>
            </w:r>
            <w:r w:rsidR="00557D09">
              <w:rPr>
                <w:rFonts w:ascii="Verdana" w:hAnsi="Verdana"/>
                <w:lang w:val="en-GB"/>
              </w:rPr>
              <w:t xml:space="preserve">reduction in Council Tax payable by those in the lower rate bands (based on </w:t>
            </w:r>
            <w:r w:rsidR="00FA56BE">
              <w:rPr>
                <w:rFonts w:ascii="Verdana" w:hAnsi="Verdana"/>
                <w:lang w:val="en-GB"/>
              </w:rPr>
              <w:t xml:space="preserve">the </w:t>
            </w:r>
            <w:r w:rsidR="00557D09">
              <w:rPr>
                <w:rFonts w:ascii="Verdana" w:hAnsi="Verdana"/>
                <w:lang w:val="en-GB"/>
              </w:rPr>
              <w:t>value</w:t>
            </w:r>
            <w:r w:rsidR="00FA56BE">
              <w:rPr>
                <w:rFonts w:ascii="Verdana" w:hAnsi="Verdana"/>
                <w:lang w:val="en-GB"/>
              </w:rPr>
              <w:t xml:space="preserve"> of the house</w:t>
            </w:r>
            <w:r w:rsidR="00557D09">
              <w:rPr>
                <w:rFonts w:ascii="Verdana" w:hAnsi="Verdana"/>
                <w:lang w:val="en-GB"/>
              </w:rPr>
              <w:t>); an increase in the Warm Homes Discount</w:t>
            </w:r>
            <w:r w:rsidR="00FA56BE">
              <w:rPr>
                <w:rFonts w:ascii="Verdana" w:hAnsi="Verdana"/>
                <w:lang w:val="en-GB"/>
              </w:rPr>
              <w:t>, a scheme</w:t>
            </w:r>
            <w:r w:rsidR="00557D09">
              <w:rPr>
                <w:rFonts w:ascii="Verdana" w:hAnsi="Verdana"/>
                <w:lang w:val="en-GB"/>
              </w:rPr>
              <w:t xml:space="preserve"> run by energy companies </w:t>
            </w:r>
            <w:r w:rsidR="00FA56BE">
              <w:rPr>
                <w:rFonts w:ascii="Verdana" w:hAnsi="Verdana"/>
                <w:lang w:val="en-GB"/>
              </w:rPr>
              <w:t xml:space="preserve">to reduce energy costs </w:t>
            </w:r>
            <w:r w:rsidR="00557D09">
              <w:rPr>
                <w:rFonts w:ascii="Verdana" w:hAnsi="Verdana"/>
                <w:lang w:val="en-GB"/>
              </w:rPr>
              <w:t>for poorer consumers and funded by other consumers</w:t>
            </w:r>
            <w:r w:rsidR="00300A29">
              <w:rPr>
                <w:rFonts w:ascii="Verdana" w:hAnsi="Verdana"/>
                <w:lang w:val="en-GB"/>
              </w:rPr>
              <w:t>; and a 5p (6c) a litre cut in fuel duty</w:t>
            </w:r>
            <w:r w:rsidR="00557D09">
              <w:rPr>
                <w:rFonts w:ascii="Verdana" w:hAnsi="Verdana"/>
                <w:lang w:val="en-GB"/>
              </w:rPr>
              <w:t xml:space="preserve">. </w:t>
            </w:r>
            <w:r w:rsidR="001D7600">
              <w:rPr>
                <w:rFonts w:ascii="Verdana" w:hAnsi="Verdana"/>
                <w:lang w:val="en-GB"/>
              </w:rPr>
              <w:t xml:space="preserve">There was also a reduction in fuel bills for consumers, but to be paid back over future years. </w:t>
            </w:r>
            <w:r w:rsidR="006C0469">
              <w:rPr>
                <w:rFonts w:ascii="Verdana" w:hAnsi="Verdana"/>
                <w:lang w:val="en-GB"/>
              </w:rPr>
              <w:t xml:space="preserve">An already announced increase in the </w:t>
            </w:r>
            <w:r w:rsidR="00CA44C4">
              <w:rPr>
                <w:rFonts w:ascii="Verdana" w:hAnsi="Verdana"/>
                <w:lang w:val="en-GB"/>
              </w:rPr>
              <w:t xml:space="preserve">national </w:t>
            </w:r>
            <w:r w:rsidR="006C0469">
              <w:rPr>
                <w:rFonts w:ascii="Verdana" w:hAnsi="Verdana"/>
                <w:lang w:val="en-GB"/>
              </w:rPr>
              <w:t xml:space="preserve">minimum wage in April </w:t>
            </w:r>
            <w:r w:rsidR="00766D70">
              <w:rPr>
                <w:rFonts w:ascii="Verdana" w:hAnsi="Verdana"/>
                <w:lang w:val="en-GB"/>
              </w:rPr>
              <w:t xml:space="preserve">2022 </w:t>
            </w:r>
            <w:r w:rsidR="0022361F">
              <w:rPr>
                <w:rFonts w:ascii="Verdana" w:hAnsi="Verdana"/>
                <w:lang w:val="en-GB"/>
              </w:rPr>
              <w:t xml:space="preserve">would </w:t>
            </w:r>
            <w:r w:rsidR="006C0469">
              <w:rPr>
                <w:rFonts w:ascii="Verdana" w:hAnsi="Verdana"/>
                <w:lang w:val="en-GB"/>
              </w:rPr>
              <w:t>provide some relief for low wage earners</w:t>
            </w:r>
            <w:r w:rsidR="00383CAD">
              <w:rPr>
                <w:rFonts w:ascii="Verdana" w:hAnsi="Verdana"/>
                <w:lang w:val="en-GB"/>
              </w:rPr>
              <w:t xml:space="preserve"> but this </w:t>
            </w:r>
            <w:r w:rsidR="0022361F">
              <w:rPr>
                <w:rFonts w:ascii="Verdana" w:hAnsi="Verdana"/>
                <w:lang w:val="en-GB"/>
              </w:rPr>
              <w:t>was</w:t>
            </w:r>
            <w:r w:rsidR="00383CAD">
              <w:rPr>
                <w:rFonts w:ascii="Verdana" w:hAnsi="Verdana"/>
                <w:lang w:val="en-GB"/>
              </w:rPr>
              <w:t xml:space="preserve"> offset by the decision to increase National Insurance Contributions, a broadly regressive tax. </w:t>
            </w:r>
            <w:r w:rsidR="00A865C4">
              <w:rPr>
                <w:rFonts w:ascii="Verdana" w:hAnsi="Verdana"/>
                <w:lang w:val="en-GB"/>
              </w:rPr>
              <w:t>The Office for Budget Responsibility (2022</w:t>
            </w:r>
            <w:r w:rsidR="0022361F">
              <w:rPr>
                <w:rFonts w:ascii="Verdana" w:hAnsi="Verdana"/>
                <w:lang w:val="en-GB"/>
              </w:rPr>
              <w:t>a</w:t>
            </w:r>
            <w:r w:rsidR="00A865C4">
              <w:rPr>
                <w:rFonts w:ascii="Verdana" w:hAnsi="Verdana"/>
                <w:lang w:val="en-GB"/>
              </w:rPr>
              <w:t>) also predict</w:t>
            </w:r>
            <w:r w:rsidR="00F67112">
              <w:rPr>
                <w:rFonts w:ascii="Verdana" w:hAnsi="Verdana"/>
                <w:lang w:val="en-GB"/>
              </w:rPr>
              <w:t>ed</w:t>
            </w:r>
            <w:r w:rsidR="00A865C4">
              <w:rPr>
                <w:rFonts w:ascii="Verdana" w:hAnsi="Verdana"/>
                <w:lang w:val="en-GB"/>
              </w:rPr>
              <w:t xml:space="preserve"> that real wages w</w:t>
            </w:r>
            <w:r w:rsidR="00F67112">
              <w:rPr>
                <w:rFonts w:ascii="Verdana" w:hAnsi="Verdana"/>
                <w:lang w:val="en-GB"/>
              </w:rPr>
              <w:t>ould</w:t>
            </w:r>
            <w:r w:rsidR="00A865C4">
              <w:rPr>
                <w:rFonts w:ascii="Verdana" w:hAnsi="Verdana"/>
                <w:lang w:val="en-GB"/>
              </w:rPr>
              <w:t xml:space="preserve"> fall by 3.6% over 2022. </w:t>
            </w:r>
            <w:r w:rsidR="00D05E2C">
              <w:rPr>
                <w:rFonts w:ascii="Verdana" w:hAnsi="Verdana"/>
                <w:lang w:val="en-GB"/>
              </w:rPr>
              <w:t xml:space="preserve">The Chancellor </w:t>
            </w:r>
            <w:r w:rsidR="006C0469">
              <w:rPr>
                <w:rFonts w:ascii="Verdana" w:hAnsi="Verdana"/>
                <w:lang w:val="en-GB"/>
              </w:rPr>
              <w:t>also promised that with these measures he would be able to cut income tax before the next election.</w:t>
            </w:r>
          </w:p>
          <w:p w14:paraId="71523F05" w14:textId="4E94FF81" w:rsidR="00746692" w:rsidRPr="009D3EB7" w:rsidRDefault="00746692" w:rsidP="00383CAD">
            <w:pPr>
              <w:jc w:val="both"/>
              <w:rPr>
                <w:rFonts w:ascii="Verdana" w:hAnsi="Verdana"/>
                <w:lang w:val="en-GB"/>
              </w:rPr>
            </w:pPr>
            <w:r>
              <w:rPr>
                <w:rFonts w:ascii="Verdana" w:hAnsi="Verdana"/>
                <w:lang w:val="en-GB"/>
              </w:rPr>
              <w:t>After criticism of paucity of this package and the announcement by the energy regulator that fuel prices would rise by an additional 34% in October</w:t>
            </w:r>
            <w:r w:rsidR="002C08BC">
              <w:rPr>
                <w:rFonts w:ascii="Verdana" w:hAnsi="Verdana"/>
                <w:lang w:val="en-GB"/>
              </w:rPr>
              <w:t>,</w:t>
            </w:r>
            <w:r>
              <w:rPr>
                <w:rFonts w:ascii="Verdana" w:hAnsi="Verdana"/>
                <w:lang w:val="en-GB"/>
              </w:rPr>
              <w:t xml:space="preserve"> the UK Chancellor announced </w:t>
            </w:r>
            <w:r w:rsidR="00F67112">
              <w:rPr>
                <w:rFonts w:ascii="Verdana" w:hAnsi="Verdana"/>
                <w:lang w:val="en-GB"/>
              </w:rPr>
              <w:t xml:space="preserve">in May 2022 </w:t>
            </w:r>
            <w:r>
              <w:rPr>
                <w:rFonts w:ascii="Verdana" w:hAnsi="Verdana"/>
                <w:lang w:val="en-GB"/>
              </w:rPr>
              <w:t xml:space="preserve">a new package of measures including a £400 (€472) grant to all energy customers, a £650 (€767) payment to all households receiving means-tested benefits, </w:t>
            </w:r>
            <w:r w:rsidR="002C08BC">
              <w:rPr>
                <w:rFonts w:ascii="Verdana" w:hAnsi="Verdana"/>
                <w:lang w:val="en-GB"/>
              </w:rPr>
              <w:t xml:space="preserve">a £300 (€354) payment to all pensioner households and £150 (€177) </w:t>
            </w:r>
            <w:r w:rsidR="00F67112">
              <w:rPr>
                <w:rFonts w:ascii="Verdana" w:hAnsi="Verdana"/>
                <w:lang w:val="en-GB"/>
              </w:rPr>
              <w:t xml:space="preserve">payment </w:t>
            </w:r>
            <w:r w:rsidR="002C08BC">
              <w:rPr>
                <w:rFonts w:ascii="Verdana" w:hAnsi="Verdana"/>
                <w:lang w:val="en-GB"/>
              </w:rPr>
              <w:t xml:space="preserve">for those receiving disablement benefits </w:t>
            </w:r>
          </w:p>
        </w:tc>
      </w:tr>
      <w:tr w:rsidR="00F061A3" w:rsidRPr="009D7173" w14:paraId="2D8DC019" w14:textId="77777777" w:rsidTr="009D3EB7">
        <w:tblPrEx>
          <w:tblBorders>
            <w:top w:val="single" w:sz="4" w:space="0" w:color="auto"/>
            <w:left w:val="single" w:sz="4" w:space="0" w:color="auto"/>
            <w:bottom w:val="single" w:sz="4" w:space="0" w:color="auto"/>
            <w:insideH w:val="single" w:sz="4" w:space="0" w:color="auto"/>
            <w:insideV w:val="single" w:sz="4" w:space="0" w:color="auto"/>
          </w:tblBorders>
        </w:tblPrEx>
        <w:tc>
          <w:tcPr>
            <w:tcW w:w="1883" w:type="dxa"/>
          </w:tcPr>
          <w:p w14:paraId="29BA49FC" w14:textId="3B4ABE16" w:rsidR="00F061A3" w:rsidRPr="009D7173" w:rsidRDefault="0039115C">
            <w:pPr>
              <w:spacing w:line="264" w:lineRule="auto"/>
              <w:rPr>
                <w:rFonts w:ascii="Verdana" w:hAnsi="Verdana"/>
                <w:b/>
                <w:color w:val="FF7400"/>
                <w:lang w:val="en-GB"/>
              </w:rPr>
            </w:pPr>
            <w:r w:rsidRPr="009D7173">
              <w:rPr>
                <w:rFonts w:ascii="Verdana" w:hAnsi="Verdana"/>
                <w:b/>
                <w:color w:val="FF7400"/>
                <w:lang w:val="en-GB"/>
              </w:rPr>
              <w:lastRenderedPageBreak/>
              <w:t>Outlook  Commentary:</w:t>
            </w:r>
          </w:p>
        </w:tc>
        <w:tc>
          <w:tcPr>
            <w:tcW w:w="7540" w:type="dxa"/>
            <w:gridSpan w:val="4"/>
          </w:tcPr>
          <w:p w14:paraId="6707B3E8" w14:textId="2466A0E7" w:rsidR="00EA5F20" w:rsidRPr="009D3EB7" w:rsidRDefault="002C08BC" w:rsidP="00B81EAB">
            <w:pPr>
              <w:tabs>
                <w:tab w:val="left" w:pos="3240"/>
              </w:tabs>
              <w:jc w:val="both"/>
              <w:rPr>
                <w:rFonts w:ascii="Verdana" w:hAnsi="Verdana" w:cs="Arial"/>
                <w:lang w:val="en-GB"/>
              </w:rPr>
            </w:pPr>
            <w:r>
              <w:rPr>
                <w:rFonts w:ascii="Verdana" w:hAnsi="Verdana" w:cs="Arial"/>
                <w:lang w:val="en-GB"/>
              </w:rPr>
              <w:t>T</w:t>
            </w:r>
            <w:r w:rsidR="00300A29">
              <w:rPr>
                <w:rFonts w:ascii="Verdana" w:hAnsi="Verdana" w:cs="Arial"/>
                <w:lang w:val="en-GB"/>
              </w:rPr>
              <w:t xml:space="preserve">he inflation rate </w:t>
            </w:r>
            <w:r w:rsidR="00CA44C4">
              <w:rPr>
                <w:rFonts w:ascii="Verdana" w:hAnsi="Verdana" w:cs="Arial"/>
                <w:lang w:val="en-GB"/>
              </w:rPr>
              <w:t>in September</w:t>
            </w:r>
            <w:r w:rsidR="00300A29">
              <w:rPr>
                <w:rFonts w:ascii="Verdana" w:hAnsi="Verdana" w:cs="Arial"/>
                <w:lang w:val="en-GB"/>
              </w:rPr>
              <w:t xml:space="preserve"> will determine the uprating of the basic minimum benefits that come into effect in April 2023</w:t>
            </w:r>
            <w:r w:rsidR="00CA44C4">
              <w:rPr>
                <w:rFonts w:ascii="Verdana" w:hAnsi="Verdana" w:cs="Arial"/>
                <w:lang w:val="en-GB"/>
              </w:rPr>
              <w:t>,</w:t>
            </w:r>
            <w:r w:rsidR="00300A29">
              <w:rPr>
                <w:rFonts w:ascii="Verdana" w:hAnsi="Verdana" w:cs="Arial"/>
                <w:lang w:val="en-GB"/>
              </w:rPr>
              <w:t xml:space="preserve"> meanwhile the level of benefits will be at their lowest real level for 50 years. </w:t>
            </w:r>
            <w:r>
              <w:rPr>
                <w:rFonts w:ascii="Verdana" w:hAnsi="Verdana" w:cs="Arial"/>
                <w:lang w:val="en-GB"/>
              </w:rPr>
              <w:t xml:space="preserve">This package will certainly mitigate </w:t>
            </w:r>
            <w:r w:rsidR="00C46338">
              <w:rPr>
                <w:rFonts w:ascii="Verdana" w:hAnsi="Verdana" w:cs="Arial"/>
                <w:lang w:val="en-GB"/>
              </w:rPr>
              <w:t>the cost-of-living crisis for this year. The Resolution Foundation (2022</w:t>
            </w:r>
            <w:r w:rsidR="0022361F">
              <w:rPr>
                <w:rFonts w:ascii="Verdana" w:hAnsi="Verdana" w:cs="Arial"/>
                <w:lang w:val="en-GB"/>
              </w:rPr>
              <w:t>b</w:t>
            </w:r>
            <w:r w:rsidR="00C46338">
              <w:rPr>
                <w:rFonts w:ascii="Verdana" w:hAnsi="Verdana" w:cs="Arial"/>
                <w:lang w:val="en-GB"/>
              </w:rPr>
              <w:t xml:space="preserve">) described the package as “big and well targeted” and progressive. Together with other tax measures all except the </w:t>
            </w:r>
            <w:r w:rsidR="00285744">
              <w:rPr>
                <w:rFonts w:ascii="Verdana" w:hAnsi="Verdana" w:cs="Arial"/>
                <w:lang w:val="en-GB"/>
              </w:rPr>
              <w:t xml:space="preserve">top decile of the household income distribution will have gained. Overall the package offsets 82% of the rise in energy prices and over 90% for the poorest households in 2022/23. The only slight reservation about the </w:t>
            </w:r>
            <w:r w:rsidR="00285744">
              <w:rPr>
                <w:rFonts w:ascii="Verdana" w:hAnsi="Verdana" w:cs="Arial"/>
                <w:lang w:val="en-GB"/>
              </w:rPr>
              <w:lastRenderedPageBreak/>
              <w:t>package is that the flat rate household payments make no allowance for variations in household size or composition.</w:t>
            </w:r>
          </w:p>
        </w:tc>
      </w:tr>
      <w:tr w:rsidR="00F061A3" w:rsidRPr="009D7173" w14:paraId="471A8FE1" w14:textId="77777777" w:rsidTr="009D3EB7">
        <w:tblPrEx>
          <w:tblBorders>
            <w:top w:val="single" w:sz="4" w:space="0" w:color="auto"/>
            <w:left w:val="single" w:sz="4" w:space="0" w:color="auto"/>
            <w:bottom w:val="single" w:sz="4" w:space="0" w:color="auto"/>
            <w:insideH w:val="single" w:sz="4" w:space="0" w:color="auto"/>
            <w:insideV w:val="single" w:sz="4" w:space="0" w:color="auto"/>
          </w:tblBorders>
        </w:tblPrEx>
        <w:trPr>
          <w:trHeight w:val="992"/>
        </w:trPr>
        <w:tc>
          <w:tcPr>
            <w:tcW w:w="1883" w:type="dxa"/>
          </w:tcPr>
          <w:p w14:paraId="320F3961" w14:textId="77777777" w:rsidR="00F061A3" w:rsidRPr="009D7173" w:rsidRDefault="0039115C">
            <w:pPr>
              <w:spacing w:line="264" w:lineRule="auto"/>
              <w:rPr>
                <w:rFonts w:ascii="Verdana" w:hAnsi="Verdana"/>
                <w:b/>
                <w:color w:val="FF7400"/>
                <w:lang w:val="en-GB"/>
              </w:rPr>
            </w:pPr>
            <w:r w:rsidRPr="009D7173">
              <w:rPr>
                <w:rFonts w:ascii="Verdana" w:hAnsi="Verdana"/>
                <w:b/>
                <w:color w:val="FF7400"/>
                <w:lang w:val="en-GB"/>
              </w:rPr>
              <w:lastRenderedPageBreak/>
              <w:t>Further reading:</w:t>
            </w:r>
          </w:p>
        </w:tc>
        <w:tc>
          <w:tcPr>
            <w:tcW w:w="7540" w:type="dxa"/>
            <w:gridSpan w:val="4"/>
          </w:tcPr>
          <w:p w14:paraId="34752F53" w14:textId="54826C02" w:rsidR="00F67112" w:rsidRDefault="0022361F" w:rsidP="00C46338">
            <w:pPr>
              <w:rPr>
                <w:rFonts w:ascii="Verdana" w:hAnsi="Verdana" w:cs="Arial"/>
                <w:bCs/>
                <w:lang w:val="en-GB" w:eastAsia="en-GB"/>
              </w:rPr>
            </w:pPr>
            <w:r w:rsidRPr="0022361F">
              <w:rPr>
                <w:rFonts w:ascii="Verdana" w:hAnsi="Verdana" w:cs="Arial"/>
                <w:bCs/>
                <w:lang w:val="en-GB" w:eastAsia="en-GB"/>
              </w:rPr>
              <w:t>Resolution Foundation (2022</w:t>
            </w:r>
            <w:r>
              <w:rPr>
                <w:rFonts w:ascii="Verdana" w:hAnsi="Verdana" w:cs="Arial"/>
                <w:bCs/>
                <w:lang w:val="en-GB" w:eastAsia="en-GB"/>
              </w:rPr>
              <w:t>a</w:t>
            </w:r>
            <w:r w:rsidRPr="0022361F">
              <w:rPr>
                <w:rFonts w:ascii="Verdana" w:hAnsi="Verdana" w:cs="Arial"/>
                <w:bCs/>
                <w:lang w:val="en-GB" w:eastAsia="en-GB"/>
              </w:rPr>
              <w:t xml:space="preserve">) Inflation Nation - Putting Spring Statement 2022 in context, Briefing, March 2022. </w:t>
            </w:r>
            <w:hyperlink r:id="rId9" w:history="1">
              <w:r w:rsidR="00F67112" w:rsidRPr="00880433">
                <w:rPr>
                  <w:rStyle w:val="Hyperlink"/>
                  <w:rFonts w:ascii="Verdana" w:hAnsi="Verdana" w:cs="Arial"/>
                  <w:bCs/>
                  <w:lang w:val="en-GB" w:eastAsia="en-GB"/>
                </w:rPr>
                <w:t>https://www.resolutionfoundation.org/app/uploads/2022/03/Inflation-nation.pdf</w:t>
              </w:r>
            </w:hyperlink>
          </w:p>
          <w:p w14:paraId="5E48FC09" w14:textId="7E412648" w:rsidR="00C46338" w:rsidRDefault="00C46338" w:rsidP="00C46338">
            <w:pPr>
              <w:rPr>
                <w:rFonts w:ascii="Verdana" w:hAnsi="Verdana" w:cs="Arial"/>
                <w:bCs/>
                <w:lang w:val="en-GB" w:eastAsia="en-GB"/>
              </w:rPr>
            </w:pPr>
            <w:r>
              <w:rPr>
                <w:rFonts w:ascii="Verdana" w:hAnsi="Verdana" w:cs="Arial"/>
                <w:bCs/>
                <w:lang w:val="en-GB" w:eastAsia="en-GB"/>
              </w:rPr>
              <w:t>Resolution Foundation (2022</w:t>
            </w:r>
            <w:r w:rsidR="0022361F">
              <w:rPr>
                <w:rFonts w:ascii="Verdana" w:hAnsi="Verdana" w:cs="Arial"/>
                <w:bCs/>
                <w:lang w:val="en-GB" w:eastAsia="en-GB"/>
              </w:rPr>
              <w:t>b</w:t>
            </w:r>
            <w:r>
              <w:rPr>
                <w:rFonts w:ascii="Verdana" w:hAnsi="Verdana" w:cs="Arial"/>
                <w:bCs/>
                <w:lang w:val="en-GB" w:eastAsia="en-GB"/>
              </w:rPr>
              <w:t xml:space="preserve">). Back on Target: </w:t>
            </w:r>
            <w:r w:rsidRPr="00C46338">
              <w:rPr>
                <w:rFonts w:ascii="Verdana" w:hAnsi="Verdana" w:cs="Arial"/>
                <w:bCs/>
                <w:lang w:val="en-GB" w:eastAsia="en-GB"/>
              </w:rPr>
              <w:t>Analysis of the Government’s additional cost of living support</w:t>
            </w:r>
            <w:r>
              <w:rPr>
                <w:rFonts w:ascii="Verdana" w:hAnsi="Verdana" w:cs="Arial"/>
                <w:bCs/>
                <w:lang w:val="en-GB" w:eastAsia="en-GB"/>
              </w:rPr>
              <w:t xml:space="preserve">, </w:t>
            </w:r>
            <w:r w:rsidRPr="00C46338">
              <w:rPr>
                <w:rFonts w:ascii="Verdana" w:hAnsi="Verdana" w:cs="Arial"/>
                <w:bCs/>
                <w:lang w:val="en-GB" w:eastAsia="en-GB"/>
              </w:rPr>
              <w:t>27 May 2022</w:t>
            </w:r>
            <w:r>
              <w:rPr>
                <w:rFonts w:ascii="Verdana" w:hAnsi="Verdana" w:cs="Arial"/>
                <w:bCs/>
                <w:lang w:val="en-GB" w:eastAsia="en-GB"/>
              </w:rPr>
              <w:t xml:space="preserve">. </w:t>
            </w:r>
            <w:hyperlink r:id="rId10" w:history="1">
              <w:r w:rsidRPr="00880433">
                <w:rPr>
                  <w:rStyle w:val="Hyperlink"/>
                  <w:rFonts w:ascii="Verdana" w:hAnsi="Verdana" w:cs="Arial"/>
                  <w:bCs/>
                  <w:lang w:val="en-GB" w:eastAsia="en-GB"/>
                </w:rPr>
                <w:t>https://www.resolutionfoundation.org/publications/back-on-target/</w:t>
              </w:r>
            </w:hyperlink>
          </w:p>
          <w:p w14:paraId="6AAA0AA1" w14:textId="79477BBB" w:rsidR="001D2E3B" w:rsidRDefault="001D2E3B" w:rsidP="009D3EB7">
            <w:pPr>
              <w:rPr>
                <w:rFonts w:ascii="Verdana" w:hAnsi="Verdana" w:cs="Arial"/>
                <w:bCs/>
                <w:lang w:val="en-GB" w:eastAsia="en-GB"/>
              </w:rPr>
            </w:pPr>
            <w:r w:rsidRPr="001D2E3B">
              <w:rPr>
                <w:rFonts w:ascii="Verdana" w:hAnsi="Verdana" w:cs="Arial"/>
                <w:bCs/>
                <w:lang w:val="en-GB" w:eastAsia="en-GB"/>
              </w:rPr>
              <w:t>House of Commons Briefing (2022)</w:t>
            </w:r>
            <w:r>
              <w:rPr>
                <w:rFonts w:ascii="Verdana" w:hAnsi="Verdana" w:cs="Arial"/>
                <w:bCs/>
                <w:lang w:val="en-GB" w:eastAsia="en-GB"/>
              </w:rPr>
              <w:t xml:space="preserve">. </w:t>
            </w:r>
            <w:hyperlink r:id="rId11" w:history="1">
              <w:r>
                <w:rPr>
                  <w:rStyle w:val="Hyperlink"/>
                  <w:rFonts w:ascii="Verdana" w:hAnsi="Verdana"/>
                </w:rPr>
                <w:t>Rising Cost of living in the UK</w:t>
              </w:r>
            </w:hyperlink>
          </w:p>
          <w:p w14:paraId="26518A86" w14:textId="63813DA8" w:rsidR="00300A29" w:rsidRDefault="00300A29" w:rsidP="009D3EB7">
            <w:pPr>
              <w:rPr>
                <w:rFonts w:ascii="Verdana" w:hAnsi="Verdana" w:cs="Arial"/>
                <w:bCs/>
                <w:lang w:val="en-GB" w:eastAsia="en-GB"/>
              </w:rPr>
            </w:pPr>
            <w:r>
              <w:rPr>
                <w:rFonts w:ascii="Verdana" w:hAnsi="Verdana" w:cs="Arial"/>
                <w:bCs/>
                <w:lang w:val="en-GB" w:eastAsia="en-GB"/>
              </w:rPr>
              <w:t>Department for Work and Pensions (2022)</w:t>
            </w:r>
            <w:r w:rsidR="001D2E3B">
              <w:rPr>
                <w:rFonts w:ascii="Verdana" w:hAnsi="Verdana" w:cs="Arial"/>
                <w:bCs/>
                <w:lang w:val="en-GB" w:eastAsia="en-GB"/>
              </w:rPr>
              <w:t>.</w:t>
            </w:r>
            <w:r>
              <w:rPr>
                <w:rFonts w:ascii="Verdana" w:hAnsi="Verdana" w:cs="Arial"/>
                <w:bCs/>
                <w:lang w:val="en-GB" w:eastAsia="en-GB"/>
              </w:rPr>
              <w:t xml:space="preserve"> </w:t>
            </w:r>
            <w:hyperlink r:id="rId12" w:history="1">
              <w:r w:rsidR="001D2E3B">
                <w:rPr>
                  <w:rStyle w:val="Hyperlink"/>
                  <w:rFonts w:ascii="Verdana" w:hAnsi="Verdana" w:cs="Arial"/>
                  <w:bCs/>
                  <w:lang w:val="en-GB" w:eastAsia="en-GB"/>
                </w:rPr>
                <w:t>Households below average income: an analysis of the income distribution FYE 1995 to FYE 2021</w:t>
              </w:r>
            </w:hyperlink>
            <w:r w:rsidR="00C4248C">
              <w:rPr>
                <w:rFonts w:ascii="Verdana" w:hAnsi="Verdana" w:cs="Arial"/>
                <w:bCs/>
                <w:lang w:val="en-GB" w:eastAsia="en-GB"/>
              </w:rPr>
              <w:t>. Updated 8 April 2022</w:t>
            </w:r>
            <w:r w:rsidR="00C4248C" w:rsidRPr="00C4248C">
              <w:rPr>
                <w:rFonts w:ascii="Verdana" w:hAnsi="Verdana" w:cs="Arial"/>
                <w:bCs/>
                <w:lang w:val="en-GB" w:eastAsia="en-GB"/>
              </w:rPr>
              <w:t xml:space="preserve"> </w:t>
            </w:r>
          </w:p>
          <w:p w14:paraId="78A0AD05" w14:textId="3191AC24" w:rsidR="00300A29" w:rsidRPr="009D3EB7" w:rsidRDefault="00300A29" w:rsidP="001D2E3B">
            <w:pPr>
              <w:rPr>
                <w:rFonts w:ascii="Verdana" w:hAnsi="Verdana" w:cs="Arial"/>
                <w:bCs/>
                <w:lang w:val="en-GB" w:eastAsia="en-GB"/>
              </w:rPr>
            </w:pPr>
            <w:r>
              <w:rPr>
                <w:rFonts w:ascii="Verdana" w:hAnsi="Verdana" w:cs="Arial"/>
                <w:bCs/>
                <w:lang w:val="en-GB" w:eastAsia="en-GB"/>
              </w:rPr>
              <w:t>Office for budget responsibility (2022)</w:t>
            </w:r>
            <w:r w:rsidR="001D2E3B">
              <w:rPr>
                <w:rFonts w:ascii="Verdana" w:hAnsi="Verdana" w:cs="Arial"/>
                <w:bCs/>
                <w:lang w:val="en-GB" w:eastAsia="en-GB"/>
              </w:rPr>
              <w:t>.</w:t>
            </w:r>
            <w:r>
              <w:rPr>
                <w:rFonts w:ascii="Verdana" w:hAnsi="Verdana" w:cs="Arial"/>
                <w:bCs/>
                <w:lang w:val="en-GB" w:eastAsia="en-GB"/>
              </w:rPr>
              <w:t xml:space="preserve"> </w:t>
            </w:r>
            <w:hyperlink r:id="rId13" w:history="1">
              <w:r w:rsidR="001D2E3B">
                <w:rPr>
                  <w:rStyle w:val="Hyperlink"/>
                  <w:rFonts w:ascii="Verdana" w:hAnsi="Verdana" w:cs="Arial"/>
                  <w:bCs/>
                  <w:lang w:val="en-GB" w:eastAsia="en-GB"/>
                </w:rPr>
                <w:t>Economic and Fiscal Outlook</w:t>
              </w:r>
            </w:hyperlink>
          </w:p>
        </w:tc>
      </w:tr>
      <w:tr w:rsidR="00F061A3" w:rsidRPr="009D7173" w14:paraId="384551DA" w14:textId="77777777" w:rsidTr="009D3EB7">
        <w:tblPrEx>
          <w:tblBorders>
            <w:top w:val="single" w:sz="4" w:space="0" w:color="auto"/>
            <w:left w:val="single" w:sz="4" w:space="0" w:color="auto"/>
            <w:bottom w:val="single" w:sz="4" w:space="0" w:color="auto"/>
            <w:insideH w:val="single" w:sz="4" w:space="0" w:color="auto"/>
            <w:insideV w:val="single" w:sz="4" w:space="0" w:color="auto"/>
          </w:tblBorders>
        </w:tblPrEx>
        <w:trPr>
          <w:trHeight w:val="425"/>
        </w:trPr>
        <w:tc>
          <w:tcPr>
            <w:tcW w:w="1883" w:type="dxa"/>
          </w:tcPr>
          <w:p w14:paraId="610E7657" w14:textId="77777777" w:rsidR="00F061A3" w:rsidRPr="009D7173" w:rsidRDefault="0039115C">
            <w:pPr>
              <w:spacing w:line="264" w:lineRule="auto"/>
              <w:rPr>
                <w:rFonts w:ascii="Verdana" w:hAnsi="Verdana"/>
                <w:b/>
                <w:lang w:val="en-GB"/>
              </w:rPr>
            </w:pPr>
            <w:r w:rsidRPr="009D7173">
              <w:rPr>
                <w:rFonts w:ascii="Verdana" w:hAnsi="Verdana"/>
                <w:b/>
                <w:color w:val="FF7400"/>
                <w:lang w:val="en-GB"/>
              </w:rPr>
              <w:t>Author:</w:t>
            </w:r>
          </w:p>
        </w:tc>
        <w:tc>
          <w:tcPr>
            <w:tcW w:w="7540" w:type="dxa"/>
            <w:gridSpan w:val="4"/>
          </w:tcPr>
          <w:p w14:paraId="02DECC03" w14:textId="3F3635D3" w:rsidR="00E72FF4" w:rsidRPr="009D3EB7" w:rsidRDefault="007614D0" w:rsidP="009D3EB7">
            <w:pPr>
              <w:rPr>
                <w:rFonts w:ascii="Verdana" w:hAnsi="Verdana" w:cs="Arial"/>
                <w:lang w:val="en-GB"/>
              </w:rPr>
            </w:pPr>
            <w:r>
              <w:rPr>
                <w:rFonts w:ascii="Verdana" w:hAnsi="Verdana"/>
                <w:lang w:val="en-GB"/>
              </w:rPr>
              <w:t>Jonathan Bradshaw</w:t>
            </w:r>
            <w:r w:rsidR="00D32D6E" w:rsidRPr="009D3EB7">
              <w:rPr>
                <w:rFonts w:ascii="Verdana" w:hAnsi="Verdana"/>
              </w:rPr>
              <w:t xml:space="preserve"> (</w:t>
            </w:r>
            <w:hyperlink r:id="rId14" w:history="1">
              <w:r w:rsidRPr="00DD378A">
                <w:rPr>
                  <w:rStyle w:val="Hyperlink"/>
                  <w:rFonts w:ascii="Verdana" w:hAnsi="Verdana"/>
                </w:rPr>
                <w:t>jonathan.bradshaw@york.ac.uk</w:t>
              </w:r>
            </w:hyperlink>
            <w:r>
              <w:rPr>
                <w:rFonts w:ascii="Verdana" w:hAnsi="Verdana"/>
              </w:rPr>
              <w:t>)</w:t>
            </w:r>
            <w:r w:rsidR="001D2E3B">
              <w:rPr>
                <w:rFonts w:ascii="Verdana" w:hAnsi="Verdana"/>
              </w:rPr>
              <w:t>,</w:t>
            </w:r>
            <w:r>
              <w:rPr>
                <w:rFonts w:ascii="Verdana" w:hAnsi="Verdana"/>
              </w:rPr>
              <w:t xml:space="preserve"> </w:t>
            </w:r>
            <w:proofErr w:type="spellStart"/>
            <w:r>
              <w:rPr>
                <w:rFonts w:ascii="Verdana" w:hAnsi="Verdana"/>
              </w:rPr>
              <w:t>Univer</w:t>
            </w:r>
            <w:r w:rsidR="00BC6281" w:rsidRPr="009D3EB7">
              <w:rPr>
                <w:rFonts w:ascii="Verdana" w:hAnsi="Verdana"/>
                <w:lang w:val="en-GB"/>
              </w:rPr>
              <w:t>sity</w:t>
            </w:r>
            <w:proofErr w:type="spellEnd"/>
            <w:r w:rsidR="00BC6281" w:rsidRPr="009D3EB7">
              <w:rPr>
                <w:rFonts w:ascii="Verdana" w:hAnsi="Verdana"/>
                <w:lang w:val="en-GB"/>
              </w:rPr>
              <w:t xml:space="preserve"> of York</w:t>
            </w:r>
          </w:p>
        </w:tc>
      </w:tr>
    </w:tbl>
    <w:p w14:paraId="5661EBF7" w14:textId="77777777" w:rsidR="00F061A3" w:rsidRPr="009D7173" w:rsidRDefault="00F061A3" w:rsidP="002E4DB3">
      <w:pPr>
        <w:pStyle w:val="Bodytext"/>
        <w:rPr>
          <w:lang w:val="en-GB"/>
        </w:rPr>
      </w:pPr>
    </w:p>
    <w:sectPr w:rsidR="00F061A3" w:rsidRPr="009D7173" w:rsidSect="00E504A3">
      <w:headerReference w:type="default" r:id="rId15"/>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E9401" w14:textId="77777777" w:rsidR="00C46927" w:rsidRDefault="00C46927">
      <w:pPr>
        <w:spacing w:after="0" w:line="240" w:lineRule="auto"/>
      </w:pPr>
      <w:r>
        <w:separator/>
      </w:r>
    </w:p>
  </w:endnote>
  <w:endnote w:type="continuationSeparator" w:id="0">
    <w:p w14:paraId="396C4691" w14:textId="77777777" w:rsidR="00C46927" w:rsidRDefault="00C46927">
      <w:pPr>
        <w:spacing w:after="0" w:line="240" w:lineRule="auto"/>
      </w:pPr>
      <w:r>
        <w:continuationSeparator/>
      </w:r>
    </w:p>
  </w:endnote>
  <w:endnote w:type="continuationNotice" w:id="1">
    <w:p w14:paraId="550959C6" w14:textId="77777777" w:rsidR="00C46927" w:rsidRDefault="00C469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C Square Sans Pro Medium">
    <w:charset w:val="00"/>
    <w:family w:val="swiss"/>
    <w:pitch w:val="variable"/>
    <w:sig w:usb0="A00002B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5B294" w14:textId="77777777" w:rsidR="00C46927" w:rsidRDefault="00C46927">
      <w:pPr>
        <w:spacing w:after="0" w:line="240" w:lineRule="auto"/>
      </w:pPr>
      <w:r>
        <w:separator/>
      </w:r>
    </w:p>
  </w:footnote>
  <w:footnote w:type="continuationSeparator" w:id="0">
    <w:p w14:paraId="6CC1E4E0" w14:textId="77777777" w:rsidR="00C46927" w:rsidRDefault="00C46927">
      <w:pPr>
        <w:spacing w:after="0" w:line="240" w:lineRule="auto"/>
      </w:pPr>
      <w:r>
        <w:continuationSeparator/>
      </w:r>
    </w:p>
  </w:footnote>
  <w:footnote w:type="continuationNotice" w:id="1">
    <w:p w14:paraId="0965F90D" w14:textId="77777777" w:rsidR="00C46927" w:rsidRDefault="00C469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A4CE" w14:textId="1F90F0B1" w:rsidR="00B344D3" w:rsidRDefault="00A34C3E">
    <w:pPr>
      <w:pStyle w:val="Header"/>
      <w:jc w:val="center"/>
    </w:pPr>
    <w:r>
      <w:fldChar w:fldCharType="begin"/>
    </w:r>
    <w:r>
      <w:instrText xml:space="preserve"> PAGE   \* MERGEFORMAT </w:instrText>
    </w:r>
    <w:r>
      <w:fldChar w:fldCharType="separate"/>
    </w:r>
    <w:r w:rsidR="001D2E3B">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032A4"/>
    <w:multiLevelType w:val="hybridMultilevel"/>
    <w:tmpl w:val="CAD04644"/>
    <w:lvl w:ilvl="0" w:tplc="A36C04F0">
      <w:numFmt w:val="bullet"/>
      <w:lvlText w:val=""/>
      <w:lvlJc w:val="left"/>
      <w:pPr>
        <w:ind w:left="720" w:hanging="360"/>
      </w:pPr>
      <w:rPr>
        <w:rFonts w:ascii="Symbol" w:eastAsia="Calibr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B5F51B2"/>
    <w:multiLevelType w:val="multilevel"/>
    <w:tmpl w:val="1B5F51B2"/>
    <w:lvl w:ilvl="0">
      <w:start w:val="2"/>
      <w:numFmt w:val="bullet"/>
      <w:lvlText w:val=""/>
      <w:lvlJc w:val="left"/>
      <w:pPr>
        <w:ind w:left="720" w:hanging="360"/>
      </w:pPr>
      <w:rPr>
        <w:rFonts w:ascii="Wingdings" w:eastAsia="Calibri"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2A1F3288"/>
    <w:multiLevelType w:val="hybridMultilevel"/>
    <w:tmpl w:val="E5A0C446"/>
    <w:lvl w:ilvl="0" w:tplc="0878233A">
      <w:start w:val="202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4B4BA3"/>
    <w:multiLevelType w:val="hybridMultilevel"/>
    <w:tmpl w:val="CE3A2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57404DD"/>
    <w:multiLevelType w:val="hybridMultilevel"/>
    <w:tmpl w:val="6EE0E9B8"/>
    <w:lvl w:ilvl="0" w:tplc="97CC150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B44E5B"/>
    <w:multiLevelType w:val="hybridMultilevel"/>
    <w:tmpl w:val="90F22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8F2D98"/>
    <w:multiLevelType w:val="hybridMultilevel"/>
    <w:tmpl w:val="DD78F7F4"/>
    <w:lvl w:ilvl="0" w:tplc="20248428">
      <w:start w:val="1"/>
      <w:numFmt w:val="decimal"/>
      <w:lvlText w:val="%1)"/>
      <w:lvlJc w:val="left"/>
      <w:pPr>
        <w:ind w:left="360" w:hanging="360"/>
      </w:pPr>
      <w:rPr>
        <w:rFonts w:hint="default"/>
        <w:color w:val="000000" w:themeColor="text1"/>
        <w:u w:color="00000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1947B54"/>
    <w:multiLevelType w:val="hybridMultilevel"/>
    <w:tmpl w:val="57C8FB18"/>
    <w:lvl w:ilvl="0" w:tplc="760876FE">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7"/>
  </w:num>
  <w:num w:numId="5">
    <w:abstractNumId w:val="5"/>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0"/>
  <w:noPunctuationKerning/>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 w:id="1"/>
  </w:footnotePr>
  <w:endnotePr>
    <w:endnote w:id="-1"/>
    <w:endnote w:id="0"/>
    <w:endnote w:id="1"/>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1A3"/>
    <w:rsid w:val="00000ECC"/>
    <w:rsid w:val="00002EDC"/>
    <w:rsid w:val="00004492"/>
    <w:rsid w:val="000044E0"/>
    <w:rsid w:val="0000472B"/>
    <w:rsid w:val="000102C9"/>
    <w:rsid w:val="0001549D"/>
    <w:rsid w:val="00015FD2"/>
    <w:rsid w:val="00017B84"/>
    <w:rsid w:val="0002082D"/>
    <w:rsid w:val="00022573"/>
    <w:rsid w:val="0002532F"/>
    <w:rsid w:val="00026E03"/>
    <w:rsid w:val="000306D8"/>
    <w:rsid w:val="000316DB"/>
    <w:rsid w:val="000324EE"/>
    <w:rsid w:val="0003336D"/>
    <w:rsid w:val="000379C1"/>
    <w:rsid w:val="00041E77"/>
    <w:rsid w:val="0004373E"/>
    <w:rsid w:val="000450FB"/>
    <w:rsid w:val="000468A0"/>
    <w:rsid w:val="00046B17"/>
    <w:rsid w:val="00046B8F"/>
    <w:rsid w:val="00047DB4"/>
    <w:rsid w:val="000608E9"/>
    <w:rsid w:val="00061CE9"/>
    <w:rsid w:val="00062610"/>
    <w:rsid w:val="000645A3"/>
    <w:rsid w:val="00070350"/>
    <w:rsid w:val="00070B58"/>
    <w:rsid w:val="00074976"/>
    <w:rsid w:val="00083057"/>
    <w:rsid w:val="000844FE"/>
    <w:rsid w:val="0008512D"/>
    <w:rsid w:val="00085E4C"/>
    <w:rsid w:val="000A228B"/>
    <w:rsid w:val="000A31F1"/>
    <w:rsid w:val="000A47B0"/>
    <w:rsid w:val="000A731B"/>
    <w:rsid w:val="000B4AC0"/>
    <w:rsid w:val="000B519F"/>
    <w:rsid w:val="000B6ED4"/>
    <w:rsid w:val="000C0164"/>
    <w:rsid w:val="000C4419"/>
    <w:rsid w:val="000D08CC"/>
    <w:rsid w:val="000D2B03"/>
    <w:rsid w:val="000F1614"/>
    <w:rsid w:val="000F3792"/>
    <w:rsid w:val="000F7EB6"/>
    <w:rsid w:val="0010102F"/>
    <w:rsid w:val="001063F8"/>
    <w:rsid w:val="001065E3"/>
    <w:rsid w:val="001101D6"/>
    <w:rsid w:val="001123A9"/>
    <w:rsid w:val="001127D6"/>
    <w:rsid w:val="001205B4"/>
    <w:rsid w:val="00122083"/>
    <w:rsid w:val="001321E2"/>
    <w:rsid w:val="00133409"/>
    <w:rsid w:val="00133B9F"/>
    <w:rsid w:val="00137574"/>
    <w:rsid w:val="00141A8A"/>
    <w:rsid w:val="00142ADB"/>
    <w:rsid w:val="00142BF0"/>
    <w:rsid w:val="00150095"/>
    <w:rsid w:val="0015095B"/>
    <w:rsid w:val="001521A7"/>
    <w:rsid w:val="00152AD8"/>
    <w:rsid w:val="00155C5B"/>
    <w:rsid w:val="0016086E"/>
    <w:rsid w:val="001634CA"/>
    <w:rsid w:val="001651CC"/>
    <w:rsid w:val="00173329"/>
    <w:rsid w:val="00177727"/>
    <w:rsid w:val="001833E8"/>
    <w:rsid w:val="0019332D"/>
    <w:rsid w:val="001A4808"/>
    <w:rsid w:val="001A5A9B"/>
    <w:rsid w:val="001B24AE"/>
    <w:rsid w:val="001B331E"/>
    <w:rsid w:val="001C0AA5"/>
    <w:rsid w:val="001C3075"/>
    <w:rsid w:val="001D1F9B"/>
    <w:rsid w:val="001D2E3B"/>
    <w:rsid w:val="001D5ADC"/>
    <w:rsid w:val="001D7600"/>
    <w:rsid w:val="001D7C2A"/>
    <w:rsid w:val="001E445E"/>
    <w:rsid w:val="001E686A"/>
    <w:rsid w:val="001F2B4F"/>
    <w:rsid w:val="001F73E4"/>
    <w:rsid w:val="002009D3"/>
    <w:rsid w:val="002026BA"/>
    <w:rsid w:val="0020296B"/>
    <w:rsid w:val="002029EE"/>
    <w:rsid w:val="0020546D"/>
    <w:rsid w:val="00207AD3"/>
    <w:rsid w:val="002134EF"/>
    <w:rsid w:val="00217E12"/>
    <w:rsid w:val="00220CF5"/>
    <w:rsid w:val="00221186"/>
    <w:rsid w:val="002212A4"/>
    <w:rsid w:val="0022361F"/>
    <w:rsid w:val="0022581D"/>
    <w:rsid w:val="0023267E"/>
    <w:rsid w:val="00233C77"/>
    <w:rsid w:val="00235D61"/>
    <w:rsid w:val="00236502"/>
    <w:rsid w:val="00236E6D"/>
    <w:rsid w:val="00245F65"/>
    <w:rsid w:val="002469C7"/>
    <w:rsid w:val="00253CEF"/>
    <w:rsid w:val="0025752A"/>
    <w:rsid w:val="002609B7"/>
    <w:rsid w:val="00270F7E"/>
    <w:rsid w:val="002719AB"/>
    <w:rsid w:val="00282CA4"/>
    <w:rsid w:val="00282DF7"/>
    <w:rsid w:val="00284576"/>
    <w:rsid w:val="00285744"/>
    <w:rsid w:val="00294A4F"/>
    <w:rsid w:val="00296A89"/>
    <w:rsid w:val="002974B6"/>
    <w:rsid w:val="002A2AEA"/>
    <w:rsid w:val="002B09E5"/>
    <w:rsid w:val="002B4B15"/>
    <w:rsid w:val="002C08BC"/>
    <w:rsid w:val="002C4003"/>
    <w:rsid w:val="002C5424"/>
    <w:rsid w:val="002C7338"/>
    <w:rsid w:val="002D04B3"/>
    <w:rsid w:val="002D4DC5"/>
    <w:rsid w:val="002E2C4B"/>
    <w:rsid w:val="002E47C9"/>
    <w:rsid w:val="002E4DB3"/>
    <w:rsid w:val="002F3B92"/>
    <w:rsid w:val="002F759B"/>
    <w:rsid w:val="00300A29"/>
    <w:rsid w:val="003026E6"/>
    <w:rsid w:val="00305500"/>
    <w:rsid w:val="003058EF"/>
    <w:rsid w:val="0030617B"/>
    <w:rsid w:val="00306BBC"/>
    <w:rsid w:val="00313BE7"/>
    <w:rsid w:val="00315D15"/>
    <w:rsid w:val="00320540"/>
    <w:rsid w:val="00321A91"/>
    <w:rsid w:val="00322DE9"/>
    <w:rsid w:val="00331985"/>
    <w:rsid w:val="00334A8C"/>
    <w:rsid w:val="00340D0E"/>
    <w:rsid w:val="003434D8"/>
    <w:rsid w:val="003437CC"/>
    <w:rsid w:val="003449BE"/>
    <w:rsid w:val="00345155"/>
    <w:rsid w:val="00347319"/>
    <w:rsid w:val="00347B93"/>
    <w:rsid w:val="003522AC"/>
    <w:rsid w:val="00353457"/>
    <w:rsid w:val="00355C00"/>
    <w:rsid w:val="0036138A"/>
    <w:rsid w:val="00366670"/>
    <w:rsid w:val="00366A3E"/>
    <w:rsid w:val="003673FA"/>
    <w:rsid w:val="00367993"/>
    <w:rsid w:val="00375586"/>
    <w:rsid w:val="00383CAD"/>
    <w:rsid w:val="00385AB7"/>
    <w:rsid w:val="0039115C"/>
    <w:rsid w:val="0039290C"/>
    <w:rsid w:val="00397DF7"/>
    <w:rsid w:val="003B10B6"/>
    <w:rsid w:val="003B79CE"/>
    <w:rsid w:val="003C213B"/>
    <w:rsid w:val="003C42D4"/>
    <w:rsid w:val="003C68F7"/>
    <w:rsid w:val="003D1B3E"/>
    <w:rsid w:val="003D31C2"/>
    <w:rsid w:val="003D60D8"/>
    <w:rsid w:val="003E21C8"/>
    <w:rsid w:val="003F6053"/>
    <w:rsid w:val="003F65AC"/>
    <w:rsid w:val="00403FD3"/>
    <w:rsid w:val="00406623"/>
    <w:rsid w:val="004075FB"/>
    <w:rsid w:val="00414FD2"/>
    <w:rsid w:val="00415E45"/>
    <w:rsid w:val="00421373"/>
    <w:rsid w:val="00421EF1"/>
    <w:rsid w:val="0042589C"/>
    <w:rsid w:val="004277D4"/>
    <w:rsid w:val="004367F6"/>
    <w:rsid w:val="00437B31"/>
    <w:rsid w:val="00441F18"/>
    <w:rsid w:val="00452A7E"/>
    <w:rsid w:val="00453CC5"/>
    <w:rsid w:val="004634D2"/>
    <w:rsid w:val="00464F94"/>
    <w:rsid w:val="00464FE0"/>
    <w:rsid w:val="00471745"/>
    <w:rsid w:val="00477DE8"/>
    <w:rsid w:val="0048262E"/>
    <w:rsid w:val="00483D1C"/>
    <w:rsid w:val="00484047"/>
    <w:rsid w:val="0048644A"/>
    <w:rsid w:val="0049066E"/>
    <w:rsid w:val="00490987"/>
    <w:rsid w:val="00496B6F"/>
    <w:rsid w:val="004A42BE"/>
    <w:rsid w:val="004A556A"/>
    <w:rsid w:val="004A5ABF"/>
    <w:rsid w:val="004B3350"/>
    <w:rsid w:val="004B5970"/>
    <w:rsid w:val="004B5F47"/>
    <w:rsid w:val="004C3E93"/>
    <w:rsid w:val="004D4856"/>
    <w:rsid w:val="004D4DF2"/>
    <w:rsid w:val="004F0A94"/>
    <w:rsid w:val="004F52F9"/>
    <w:rsid w:val="005017E9"/>
    <w:rsid w:val="00503CA7"/>
    <w:rsid w:val="0050611A"/>
    <w:rsid w:val="005068CD"/>
    <w:rsid w:val="0050777C"/>
    <w:rsid w:val="00507EA3"/>
    <w:rsid w:val="00511595"/>
    <w:rsid w:val="005130D3"/>
    <w:rsid w:val="00514F98"/>
    <w:rsid w:val="0051725E"/>
    <w:rsid w:val="005220B9"/>
    <w:rsid w:val="005239E5"/>
    <w:rsid w:val="00525E61"/>
    <w:rsid w:val="005269D7"/>
    <w:rsid w:val="005377BE"/>
    <w:rsid w:val="00551798"/>
    <w:rsid w:val="005537F0"/>
    <w:rsid w:val="0055704B"/>
    <w:rsid w:val="00557D09"/>
    <w:rsid w:val="0057052A"/>
    <w:rsid w:val="00574174"/>
    <w:rsid w:val="0057417D"/>
    <w:rsid w:val="00574F93"/>
    <w:rsid w:val="005768F4"/>
    <w:rsid w:val="005823F8"/>
    <w:rsid w:val="005842D6"/>
    <w:rsid w:val="00585CDE"/>
    <w:rsid w:val="0059056C"/>
    <w:rsid w:val="005929E3"/>
    <w:rsid w:val="005A0774"/>
    <w:rsid w:val="005A3C45"/>
    <w:rsid w:val="005B0BA6"/>
    <w:rsid w:val="005B1E2E"/>
    <w:rsid w:val="005B2398"/>
    <w:rsid w:val="005B6C7A"/>
    <w:rsid w:val="005B75B5"/>
    <w:rsid w:val="005B796F"/>
    <w:rsid w:val="005B7D8C"/>
    <w:rsid w:val="005D1567"/>
    <w:rsid w:val="005D1E50"/>
    <w:rsid w:val="005D2A4E"/>
    <w:rsid w:val="005D37D5"/>
    <w:rsid w:val="005E0DF9"/>
    <w:rsid w:val="005E366D"/>
    <w:rsid w:val="005E58B0"/>
    <w:rsid w:val="005F37DE"/>
    <w:rsid w:val="005F6F31"/>
    <w:rsid w:val="00605D90"/>
    <w:rsid w:val="00606121"/>
    <w:rsid w:val="00607CE5"/>
    <w:rsid w:val="006132A7"/>
    <w:rsid w:val="006248E7"/>
    <w:rsid w:val="00631077"/>
    <w:rsid w:val="00632365"/>
    <w:rsid w:val="006376EB"/>
    <w:rsid w:val="00640FA8"/>
    <w:rsid w:val="00642546"/>
    <w:rsid w:val="00645833"/>
    <w:rsid w:val="0065199C"/>
    <w:rsid w:val="006519BF"/>
    <w:rsid w:val="00652C3C"/>
    <w:rsid w:val="00657E69"/>
    <w:rsid w:val="0066031D"/>
    <w:rsid w:val="00660399"/>
    <w:rsid w:val="006655F6"/>
    <w:rsid w:val="00675369"/>
    <w:rsid w:val="0067650A"/>
    <w:rsid w:val="00680226"/>
    <w:rsid w:val="00683DCB"/>
    <w:rsid w:val="006856A6"/>
    <w:rsid w:val="006A103B"/>
    <w:rsid w:val="006A5B1C"/>
    <w:rsid w:val="006A5DF8"/>
    <w:rsid w:val="006A7733"/>
    <w:rsid w:val="006B251D"/>
    <w:rsid w:val="006B4317"/>
    <w:rsid w:val="006B78AF"/>
    <w:rsid w:val="006C00CE"/>
    <w:rsid w:val="006C0469"/>
    <w:rsid w:val="006C2A9D"/>
    <w:rsid w:val="006C2EB9"/>
    <w:rsid w:val="006C398F"/>
    <w:rsid w:val="006D473D"/>
    <w:rsid w:val="006D7923"/>
    <w:rsid w:val="006E6E2D"/>
    <w:rsid w:val="006E7351"/>
    <w:rsid w:val="006F2FF3"/>
    <w:rsid w:val="006F37CE"/>
    <w:rsid w:val="00700F91"/>
    <w:rsid w:val="00704ACF"/>
    <w:rsid w:val="0071094B"/>
    <w:rsid w:val="00711F44"/>
    <w:rsid w:val="00714469"/>
    <w:rsid w:val="00723B69"/>
    <w:rsid w:val="00724721"/>
    <w:rsid w:val="007248B3"/>
    <w:rsid w:val="00724BDB"/>
    <w:rsid w:val="007261E3"/>
    <w:rsid w:val="00732649"/>
    <w:rsid w:val="0073636E"/>
    <w:rsid w:val="00740DD9"/>
    <w:rsid w:val="00742067"/>
    <w:rsid w:val="00744EC2"/>
    <w:rsid w:val="00746692"/>
    <w:rsid w:val="007500DD"/>
    <w:rsid w:val="0075710A"/>
    <w:rsid w:val="00757945"/>
    <w:rsid w:val="007614D0"/>
    <w:rsid w:val="00766D70"/>
    <w:rsid w:val="007750BF"/>
    <w:rsid w:val="007779E9"/>
    <w:rsid w:val="00782598"/>
    <w:rsid w:val="00787389"/>
    <w:rsid w:val="00795A00"/>
    <w:rsid w:val="00795B5F"/>
    <w:rsid w:val="007A189C"/>
    <w:rsid w:val="007A3A6B"/>
    <w:rsid w:val="007A5BAC"/>
    <w:rsid w:val="007B5BBD"/>
    <w:rsid w:val="007B7906"/>
    <w:rsid w:val="007C0622"/>
    <w:rsid w:val="007C122A"/>
    <w:rsid w:val="007C36FE"/>
    <w:rsid w:val="007C3C39"/>
    <w:rsid w:val="007C45B8"/>
    <w:rsid w:val="007D1226"/>
    <w:rsid w:val="007D2108"/>
    <w:rsid w:val="007E2E5E"/>
    <w:rsid w:val="007E3DDE"/>
    <w:rsid w:val="007E4873"/>
    <w:rsid w:val="007E6393"/>
    <w:rsid w:val="007E6512"/>
    <w:rsid w:val="007E7BD7"/>
    <w:rsid w:val="007E7CE6"/>
    <w:rsid w:val="007F25F5"/>
    <w:rsid w:val="00800CA9"/>
    <w:rsid w:val="00802BCF"/>
    <w:rsid w:val="00816C05"/>
    <w:rsid w:val="00821504"/>
    <w:rsid w:val="00827896"/>
    <w:rsid w:val="00827911"/>
    <w:rsid w:val="008337B8"/>
    <w:rsid w:val="00833E8A"/>
    <w:rsid w:val="008407C4"/>
    <w:rsid w:val="008425F9"/>
    <w:rsid w:val="00844683"/>
    <w:rsid w:val="00860071"/>
    <w:rsid w:val="0086058D"/>
    <w:rsid w:val="00860DFD"/>
    <w:rsid w:val="008623D9"/>
    <w:rsid w:val="008644BA"/>
    <w:rsid w:val="00866003"/>
    <w:rsid w:val="0086674D"/>
    <w:rsid w:val="00871E05"/>
    <w:rsid w:val="00876E13"/>
    <w:rsid w:val="00881300"/>
    <w:rsid w:val="008A2BA8"/>
    <w:rsid w:val="008A5E58"/>
    <w:rsid w:val="008A65A2"/>
    <w:rsid w:val="008A79BE"/>
    <w:rsid w:val="008B4F7D"/>
    <w:rsid w:val="008B5787"/>
    <w:rsid w:val="008B63BC"/>
    <w:rsid w:val="008B7579"/>
    <w:rsid w:val="008B7881"/>
    <w:rsid w:val="008B78B6"/>
    <w:rsid w:val="008C0972"/>
    <w:rsid w:val="008C2129"/>
    <w:rsid w:val="008C3D04"/>
    <w:rsid w:val="008C4C63"/>
    <w:rsid w:val="008D3559"/>
    <w:rsid w:val="008D3872"/>
    <w:rsid w:val="008D445E"/>
    <w:rsid w:val="008F194C"/>
    <w:rsid w:val="008F2F61"/>
    <w:rsid w:val="008F5CDC"/>
    <w:rsid w:val="00902293"/>
    <w:rsid w:val="009106BB"/>
    <w:rsid w:val="009117C9"/>
    <w:rsid w:val="00913AEB"/>
    <w:rsid w:val="00914693"/>
    <w:rsid w:val="00916A02"/>
    <w:rsid w:val="00916FF5"/>
    <w:rsid w:val="00933C05"/>
    <w:rsid w:val="0093436B"/>
    <w:rsid w:val="009406F1"/>
    <w:rsid w:val="00944917"/>
    <w:rsid w:val="00946914"/>
    <w:rsid w:val="00950AF3"/>
    <w:rsid w:val="00952891"/>
    <w:rsid w:val="0095684E"/>
    <w:rsid w:val="00961374"/>
    <w:rsid w:val="0096196A"/>
    <w:rsid w:val="0097082C"/>
    <w:rsid w:val="009723B8"/>
    <w:rsid w:val="009745DA"/>
    <w:rsid w:val="009836CE"/>
    <w:rsid w:val="00990570"/>
    <w:rsid w:val="009931D0"/>
    <w:rsid w:val="00997D85"/>
    <w:rsid w:val="009B0D42"/>
    <w:rsid w:val="009B38FF"/>
    <w:rsid w:val="009B3FD4"/>
    <w:rsid w:val="009B64A7"/>
    <w:rsid w:val="009C03ED"/>
    <w:rsid w:val="009C1982"/>
    <w:rsid w:val="009C4306"/>
    <w:rsid w:val="009D1633"/>
    <w:rsid w:val="009D1B6E"/>
    <w:rsid w:val="009D28E1"/>
    <w:rsid w:val="009D3EB7"/>
    <w:rsid w:val="009D7173"/>
    <w:rsid w:val="009F0FB0"/>
    <w:rsid w:val="009F285B"/>
    <w:rsid w:val="009F330C"/>
    <w:rsid w:val="009F5B78"/>
    <w:rsid w:val="009F6B97"/>
    <w:rsid w:val="00A005F5"/>
    <w:rsid w:val="00A00CD7"/>
    <w:rsid w:val="00A12EB1"/>
    <w:rsid w:val="00A20B6F"/>
    <w:rsid w:val="00A32EAA"/>
    <w:rsid w:val="00A34C3E"/>
    <w:rsid w:val="00A35132"/>
    <w:rsid w:val="00A40607"/>
    <w:rsid w:val="00A43098"/>
    <w:rsid w:val="00A44824"/>
    <w:rsid w:val="00A52845"/>
    <w:rsid w:val="00A60903"/>
    <w:rsid w:val="00A60DED"/>
    <w:rsid w:val="00A61664"/>
    <w:rsid w:val="00A61E75"/>
    <w:rsid w:val="00A63D7E"/>
    <w:rsid w:val="00A642CE"/>
    <w:rsid w:val="00A6508A"/>
    <w:rsid w:val="00A65529"/>
    <w:rsid w:val="00A65E63"/>
    <w:rsid w:val="00A67FE4"/>
    <w:rsid w:val="00A74253"/>
    <w:rsid w:val="00A76354"/>
    <w:rsid w:val="00A865C4"/>
    <w:rsid w:val="00A91939"/>
    <w:rsid w:val="00A92C05"/>
    <w:rsid w:val="00A940F4"/>
    <w:rsid w:val="00AA6C4F"/>
    <w:rsid w:val="00AB55DE"/>
    <w:rsid w:val="00AB6B31"/>
    <w:rsid w:val="00AC5A7B"/>
    <w:rsid w:val="00AC65A1"/>
    <w:rsid w:val="00AD187B"/>
    <w:rsid w:val="00AD32B1"/>
    <w:rsid w:val="00AD4582"/>
    <w:rsid w:val="00AE07DE"/>
    <w:rsid w:val="00AE1791"/>
    <w:rsid w:val="00AF252C"/>
    <w:rsid w:val="00AF2C34"/>
    <w:rsid w:val="00AF61B2"/>
    <w:rsid w:val="00B1403E"/>
    <w:rsid w:val="00B14FCB"/>
    <w:rsid w:val="00B23D4A"/>
    <w:rsid w:val="00B25C96"/>
    <w:rsid w:val="00B265D4"/>
    <w:rsid w:val="00B303E4"/>
    <w:rsid w:val="00B344D3"/>
    <w:rsid w:val="00B34DB1"/>
    <w:rsid w:val="00B3699A"/>
    <w:rsid w:val="00B4171E"/>
    <w:rsid w:val="00B4272E"/>
    <w:rsid w:val="00B459EB"/>
    <w:rsid w:val="00B46C16"/>
    <w:rsid w:val="00B51872"/>
    <w:rsid w:val="00B6012B"/>
    <w:rsid w:val="00B63805"/>
    <w:rsid w:val="00B8180A"/>
    <w:rsid w:val="00B81921"/>
    <w:rsid w:val="00B81EAB"/>
    <w:rsid w:val="00B94AEE"/>
    <w:rsid w:val="00B95CF4"/>
    <w:rsid w:val="00BA1C5E"/>
    <w:rsid w:val="00BA36F1"/>
    <w:rsid w:val="00BA49E9"/>
    <w:rsid w:val="00BA7029"/>
    <w:rsid w:val="00BB0722"/>
    <w:rsid w:val="00BB2155"/>
    <w:rsid w:val="00BC051A"/>
    <w:rsid w:val="00BC148E"/>
    <w:rsid w:val="00BC3C6D"/>
    <w:rsid w:val="00BC6281"/>
    <w:rsid w:val="00BD4309"/>
    <w:rsid w:val="00BD783B"/>
    <w:rsid w:val="00BD7BAC"/>
    <w:rsid w:val="00BE4557"/>
    <w:rsid w:val="00BE61E6"/>
    <w:rsid w:val="00BE6B4F"/>
    <w:rsid w:val="00BF0AD8"/>
    <w:rsid w:val="00BF4D40"/>
    <w:rsid w:val="00BF60EE"/>
    <w:rsid w:val="00BF75A3"/>
    <w:rsid w:val="00C0190D"/>
    <w:rsid w:val="00C10FC2"/>
    <w:rsid w:val="00C164EA"/>
    <w:rsid w:val="00C17F86"/>
    <w:rsid w:val="00C24BD0"/>
    <w:rsid w:val="00C27D59"/>
    <w:rsid w:val="00C34541"/>
    <w:rsid w:val="00C3523E"/>
    <w:rsid w:val="00C3524B"/>
    <w:rsid w:val="00C40338"/>
    <w:rsid w:val="00C4248C"/>
    <w:rsid w:val="00C44DDD"/>
    <w:rsid w:val="00C459A8"/>
    <w:rsid w:val="00C45DF0"/>
    <w:rsid w:val="00C461AF"/>
    <w:rsid w:val="00C46338"/>
    <w:rsid w:val="00C46927"/>
    <w:rsid w:val="00C50667"/>
    <w:rsid w:val="00C53919"/>
    <w:rsid w:val="00C5596A"/>
    <w:rsid w:val="00C56314"/>
    <w:rsid w:val="00C6081E"/>
    <w:rsid w:val="00C620C5"/>
    <w:rsid w:val="00C65057"/>
    <w:rsid w:val="00C67E71"/>
    <w:rsid w:val="00C738CA"/>
    <w:rsid w:val="00C74882"/>
    <w:rsid w:val="00C75F9A"/>
    <w:rsid w:val="00C814D2"/>
    <w:rsid w:val="00C853EB"/>
    <w:rsid w:val="00C87002"/>
    <w:rsid w:val="00C912D7"/>
    <w:rsid w:val="00C95AD9"/>
    <w:rsid w:val="00C95C1B"/>
    <w:rsid w:val="00CA07A8"/>
    <w:rsid w:val="00CA2B74"/>
    <w:rsid w:val="00CA2FB3"/>
    <w:rsid w:val="00CA31E1"/>
    <w:rsid w:val="00CA44C4"/>
    <w:rsid w:val="00CA5D3A"/>
    <w:rsid w:val="00CB1FA3"/>
    <w:rsid w:val="00CC1F4D"/>
    <w:rsid w:val="00CC3B6D"/>
    <w:rsid w:val="00CC457F"/>
    <w:rsid w:val="00CC4608"/>
    <w:rsid w:val="00CC7C1C"/>
    <w:rsid w:val="00CD4F69"/>
    <w:rsid w:val="00CE35D6"/>
    <w:rsid w:val="00CF4C28"/>
    <w:rsid w:val="00D026D5"/>
    <w:rsid w:val="00D05E2C"/>
    <w:rsid w:val="00D110AA"/>
    <w:rsid w:val="00D131A0"/>
    <w:rsid w:val="00D1421B"/>
    <w:rsid w:val="00D1550F"/>
    <w:rsid w:val="00D16165"/>
    <w:rsid w:val="00D201FF"/>
    <w:rsid w:val="00D2278F"/>
    <w:rsid w:val="00D2528D"/>
    <w:rsid w:val="00D25ADD"/>
    <w:rsid w:val="00D323A5"/>
    <w:rsid w:val="00D32D6E"/>
    <w:rsid w:val="00D340F6"/>
    <w:rsid w:val="00D3537D"/>
    <w:rsid w:val="00D354BD"/>
    <w:rsid w:val="00D45C36"/>
    <w:rsid w:val="00D53140"/>
    <w:rsid w:val="00D53150"/>
    <w:rsid w:val="00D57E19"/>
    <w:rsid w:val="00D6169F"/>
    <w:rsid w:val="00D64147"/>
    <w:rsid w:val="00D73CB3"/>
    <w:rsid w:val="00D8017B"/>
    <w:rsid w:val="00D80FBE"/>
    <w:rsid w:val="00D8264F"/>
    <w:rsid w:val="00D840A5"/>
    <w:rsid w:val="00D850F6"/>
    <w:rsid w:val="00D87121"/>
    <w:rsid w:val="00D944DC"/>
    <w:rsid w:val="00D978F8"/>
    <w:rsid w:val="00DA4EF4"/>
    <w:rsid w:val="00DB1A7E"/>
    <w:rsid w:val="00DB65D0"/>
    <w:rsid w:val="00DC1DB0"/>
    <w:rsid w:val="00DC40D4"/>
    <w:rsid w:val="00DC4A74"/>
    <w:rsid w:val="00DD0D1C"/>
    <w:rsid w:val="00DD2D69"/>
    <w:rsid w:val="00DD60DF"/>
    <w:rsid w:val="00DE1914"/>
    <w:rsid w:val="00DE354C"/>
    <w:rsid w:val="00DE55A7"/>
    <w:rsid w:val="00DE6904"/>
    <w:rsid w:val="00DE7903"/>
    <w:rsid w:val="00DF0433"/>
    <w:rsid w:val="00DF33AA"/>
    <w:rsid w:val="00DF35CA"/>
    <w:rsid w:val="00DF6CD2"/>
    <w:rsid w:val="00DF7086"/>
    <w:rsid w:val="00DF7D74"/>
    <w:rsid w:val="00E03236"/>
    <w:rsid w:val="00E033E9"/>
    <w:rsid w:val="00E03AF2"/>
    <w:rsid w:val="00E04F8F"/>
    <w:rsid w:val="00E0652B"/>
    <w:rsid w:val="00E14A9C"/>
    <w:rsid w:val="00E22D3C"/>
    <w:rsid w:val="00E234BC"/>
    <w:rsid w:val="00E25A26"/>
    <w:rsid w:val="00E363FC"/>
    <w:rsid w:val="00E504A3"/>
    <w:rsid w:val="00E52F6C"/>
    <w:rsid w:val="00E56C1D"/>
    <w:rsid w:val="00E72FF4"/>
    <w:rsid w:val="00E77EDA"/>
    <w:rsid w:val="00E810BE"/>
    <w:rsid w:val="00E82764"/>
    <w:rsid w:val="00E8778E"/>
    <w:rsid w:val="00E90A7A"/>
    <w:rsid w:val="00E91C46"/>
    <w:rsid w:val="00E92414"/>
    <w:rsid w:val="00EA0986"/>
    <w:rsid w:val="00EA0AD9"/>
    <w:rsid w:val="00EA20F8"/>
    <w:rsid w:val="00EA43D6"/>
    <w:rsid w:val="00EA5471"/>
    <w:rsid w:val="00EA5F20"/>
    <w:rsid w:val="00EB1349"/>
    <w:rsid w:val="00EC223E"/>
    <w:rsid w:val="00EC4371"/>
    <w:rsid w:val="00EC6323"/>
    <w:rsid w:val="00EE300E"/>
    <w:rsid w:val="00EE74D3"/>
    <w:rsid w:val="00EF22EC"/>
    <w:rsid w:val="00EF2B84"/>
    <w:rsid w:val="00EF2F19"/>
    <w:rsid w:val="00EF6E3F"/>
    <w:rsid w:val="00EF74E1"/>
    <w:rsid w:val="00EF7FBD"/>
    <w:rsid w:val="00F01F10"/>
    <w:rsid w:val="00F0310C"/>
    <w:rsid w:val="00F036C6"/>
    <w:rsid w:val="00F05CBC"/>
    <w:rsid w:val="00F061A3"/>
    <w:rsid w:val="00F10751"/>
    <w:rsid w:val="00F12E12"/>
    <w:rsid w:val="00F13330"/>
    <w:rsid w:val="00F22113"/>
    <w:rsid w:val="00F23A40"/>
    <w:rsid w:val="00F25D0F"/>
    <w:rsid w:val="00F30A6B"/>
    <w:rsid w:val="00F34AD1"/>
    <w:rsid w:val="00F35EC1"/>
    <w:rsid w:val="00F40137"/>
    <w:rsid w:val="00F417FA"/>
    <w:rsid w:val="00F41E37"/>
    <w:rsid w:val="00F446E1"/>
    <w:rsid w:val="00F50300"/>
    <w:rsid w:val="00F56ABB"/>
    <w:rsid w:val="00F67112"/>
    <w:rsid w:val="00F674DE"/>
    <w:rsid w:val="00F67E0E"/>
    <w:rsid w:val="00F67FA5"/>
    <w:rsid w:val="00F767D9"/>
    <w:rsid w:val="00F81AFA"/>
    <w:rsid w:val="00F913F6"/>
    <w:rsid w:val="00F9424F"/>
    <w:rsid w:val="00FA0B0D"/>
    <w:rsid w:val="00FA20E6"/>
    <w:rsid w:val="00FA56BE"/>
    <w:rsid w:val="00FA79BD"/>
    <w:rsid w:val="00FB0EA8"/>
    <w:rsid w:val="00FB5BD0"/>
    <w:rsid w:val="00FC22D1"/>
    <w:rsid w:val="00FC2C3B"/>
    <w:rsid w:val="00FC5FF5"/>
    <w:rsid w:val="00FD4093"/>
    <w:rsid w:val="00FE2D6B"/>
    <w:rsid w:val="00FE4F3D"/>
    <w:rsid w:val="00FF0738"/>
    <w:rsid w:val="00FF5075"/>
    <w:rsid w:val="00FF67B9"/>
    <w:rsid w:val="00FF7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5F4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04A3"/>
    <w:pPr>
      <w:spacing w:after="160" w:line="259" w:lineRule="auto"/>
    </w:pPr>
    <w:rPr>
      <w:rFonts w:ascii="Calibri" w:eastAsia="Calibri" w:hAnsi="Calibri"/>
      <w:sz w:val="22"/>
      <w:szCs w:val="22"/>
      <w:lang w:val="en-US" w:eastAsia="en-US"/>
    </w:rPr>
  </w:style>
  <w:style w:type="paragraph" w:styleId="Heading1">
    <w:name w:val="heading 1"/>
    <w:basedOn w:val="Normal"/>
    <w:next w:val="Normal"/>
    <w:link w:val="Heading1Char"/>
    <w:uiPriority w:val="9"/>
    <w:qFormat/>
    <w:rsid w:val="00E504A3"/>
    <w:pPr>
      <w:keepNext/>
      <w:keepLines/>
      <w:spacing w:before="60" w:after="60" w:line="240" w:lineRule="auto"/>
      <w:jc w:val="center"/>
      <w:outlineLvl w:val="0"/>
    </w:pPr>
    <w:rPr>
      <w:rFonts w:ascii="Arial" w:hAnsi="Arial"/>
      <w:b/>
      <w:bCs/>
      <w:color w:val="44546A"/>
      <w:sz w:val="28"/>
      <w:szCs w:val="28"/>
    </w:rPr>
  </w:style>
  <w:style w:type="paragraph" w:styleId="Heading2">
    <w:name w:val="heading 2"/>
    <w:basedOn w:val="Normal"/>
    <w:next w:val="Normal"/>
    <w:link w:val="Heading2Char"/>
    <w:uiPriority w:val="9"/>
    <w:unhideWhenUsed/>
    <w:qFormat/>
    <w:rsid w:val="00E504A3"/>
    <w:pPr>
      <w:keepNext/>
      <w:keepLines/>
      <w:spacing w:before="40" w:after="0"/>
      <w:outlineLvl w:val="1"/>
    </w:pPr>
    <w:rPr>
      <w:rFonts w:ascii="Calibri Light" w:hAnsi="Calibri Light"/>
      <w:color w:val="2D73B3"/>
      <w:sz w:val="26"/>
      <w:szCs w:val="26"/>
    </w:rPr>
  </w:style>
  <w:style w:type="paragraph" w:styleId="Heading3">
    <w:name w:val="heading 3"/>
    <w:basedOn w:val="Normal"/>
    <w:next w:val="Normal"/>
    <w:link w:val="Heading3Char"/>
    <w:uiPriority w:val="9"/>
    <w:unhideWhenUsed/>
    <w:qFormat/>
    <w:rsid w:val="00E504A3"/>
    <w:pPr>
      <w:keepNext/>
      <w:keepLines/>
      <w:tabs>
        <w:tab w:val="left" w:pos="567"/>
      </w:tabs>
      <w:spacing w:before="240" w:after="120" w:line="240" w:lineRule="auto"/>
      <w:jc w:val="both"/>
      <w:outlineLvl w:val="2"/>
    </w:pPr>
    <w:rPr>
      <w:rFonts w:ascii="Verdana" w:hAnsi="Verdana"/>
      <w:b/>
      <w:bCs/>
      <w:i/>
      <w:color w:val="26367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04A3"/>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rsid w:val="00E504A3"/>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sid w:val="00E504A3"/>
    <w:rPr>
      <w:b/>
      <w:bCs/>
    </w:rPr>
  </w:style>
  <w:style w:type="paragraph" w:styleId="Footer">
    <w:name w:val="footer"/>
    <w:basedOn w:val="Normal"/>
    <w:link w:val="FooterChar"/>
    <w:uiPriority w:val="99"/>
    <w:unhideWhenUsed/>
    <w:rsid w:val="00E504A3"/>
    <w:pPr>
      <w:tabs>
        <w:tab w:val="center" w:pos="4703"/>
        <w:tab w:val="right" w:pos="9406"/>
      </w:tabs>
      <w:spacing w:after="0" w:line="240" w:lineRule="auto"/>
    </w:pPr>
  </w:style>
  <w:style w:type="paragraph" w:styleId="FootnoteText">
    <w:name w:val="footnote text"/>
    <w:aliases w:val="Tekst przypisu,Tekst przypisu Znak Znak Znak Znak,Tekst przypisu Znak Znak Znak Znak Znak,Tekst przypisu Znak Znak Znak Znak Znak Znak Znak,Tekst przypisu Znak Znak Znak Znak Znak Znak Znak Znak Zn,Text poznámky pod čiarou 007,C,footnote,f"/>
    <w:basedOn w:val="Normal"/>
    <w:link w:val="FootnoteTextChar"/>
    <w:uiPriority w:val="99"/>
    <w:unhideWhenUsed/>
    <w:qFormat/>
    <w:rsid w:val="00E504A3"/>
    <w:pPr>
      <w:spacing w:after="0" w:line="240" w:lineRule="auto"/>
    </w:pPr>
    <w:rPr>
      <w:sz w:val="20"/>
      <w:szCs w:val="20"/>
    </w:rPr>
  </w:style>
  <w:style w:type="paragraph" w:styleId="Header">
    <w:name w:val="header"/>
    <w:basedOn w:val="Normal"/>
    <w:link w:val="HeaderChar"/>
    <w:uiPriority w:val="99"/>
    <w:unhideWhenUsed/>
    <w:rsid w:val="00E504A3"/>
    <w:pPr>
      <w:tabs>
        <w:tab w:val="center" w:pos="4703"/>
        <w:tab w:val="right" w:pos="9406"/>
      </w:tabs>
      <w:spacing w:after="0" w:line="240" w:lineRule="auto"/>
    </w:pPr>
  </w:style>
  <w:style w:type="paragraph" w:styleId="NormalWeb">
    <w:name w:val="Normal (Web)"/>
    <w:basedOn w:val="Normal"/>
    <w:uiPriority w:val="99"/>
    <w:semiHidden/>
    <w:unhideWhenUsed/>
    <w:rsid w:val="00E504A3"/>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E504A3"/>
    <w:rPr>
      <w:sz w:val="16"/>
      <w:szCs w:val="16"/>
    </w:rPr>
  </w:style>
  <w:style w:type="character" w:styleId="Emphasis">
    <w:name w:val="Emphasis"/>
    <w:uiPriority w:val="20"/>
    <w:qFormat/>
    <w:rsid w:val="00E504A3"/>
    <w:rPr>
      <w:b/>
      <w:bCs/>
    </w:rPr>
  </w:style>
  <w:style w:type="character" w:styleId="FootnoteReference">
    <w:name w:val="footnote reference"/>
    <w:aliases w:val="Footnotes refss,Fussnota,Footnote symbol,-E Fußnotenzeichen,stylish,Footnote Refernece,BVI fnr,Fußnotenzeichen_Raxen,callout,Footnote Reference Number,Appel note de bas de p,Footnote Reference Superscript,Times 10 Point,E FNZ, BVI fnr"/>
    <w:link w:val="FootnoteReferneceCarcter"/>
    <w:unhideWhenUsed/>
    <w:qFormat/>
    <w:rsid w:val="00E504A3"/>
    <w:rPr>
      <w:vertAlign w:val="superscript"/>
    </w:rPr>
  </w:style>
  <w:style w:type="character" w:styleId="Hyperlink">
    <w:name w:val="Hyperlink"/>
    <w:uiPriority w:val="99"/>
    <w:unhideWhenUsed/>
    <w:rsid w:val="00E504A3"/>
    <w:rPr>
      <w:color w:val="0000FF"/>
      <w:u w:val="single"/>
    </w:rPr>
  </w:style>
  <w:style w:type="paragraph" w:customStyle="1" w:styleId="Header2">
    <w:name w:val="Header 2"/>
    <w:basedOn w:val="Normal"/>
    <w:qFormat/>
    <w:rsid w:val="00E504A3"/>
    <w:pPr>
      <w:keepNext/>
      <w:spacing w:before="360" w:after="120" w:line="240" w:lineRule="auto"/>
      <w:ind w:left="1276" w:hanging="425"/>
    </w:pPr>
    <w:rPr>
      <w:rFonts w:ascii="Arial" w:eastAsia="Times New Roman" w:hAnsi="Arial"/>
      <w:b/>
      <w:color w:val="000080"/>
      <w:sz w:val="26"/>
      <w:szCs w:val="24"/>
    </w:rPr>
  </w:style>
  <w:style w:type="paragraph" w:customStyle="1" w:styleId="Bodytext">
    <w:name w:val="Bodytext"/>
    <w:link w:val="BodytextChar"/>
    <w:qFormat/>
    <w:rsid w:val="00E504A3"/>
    <w:pPr>
      <w:jc w:val="both"/>
    </w:pPr>
    <w:rPr>
      <w:rFonts w:ascii="Verdana" w:hAnsi="Verdana"/>
      <w:lang w:val="en-US" w:eastAsia="zh-CN"/>
    </w:rPr>
  </w:style>
  <w:style w:type="paragraph" w:customStyle="1" w:styleId="ListParagraph1">
    <w:name w:val="List Paragraph1"/>
    <w:basedOn w:val="Normal"/>
    <w:uiPriority w:val="34"/>
    <w:qFormat/>
    <w:rsid w:val="00E504A3"/>
    <w:pPr>
      <w:spacing w:after="0" w:line="360" w:lineRule="auto"/>
      <w:ind w:left="720"/>
    </w:pPr>
    <w:rPr>
      <w:rFonts w:ascii="Segoe UI" w:eastAsia="Times New Roman" w:hAnsi="Segoe UI"/>
      <w:sz w:val="20"/>
      <w:szCs w:val="24"/>
    </w:rPr>
  </w:style>
  <w:style w:type="paragraph" w:customStyle="1" w:styleId="Header4">
    <w:name w:val="Header 4"/>
    <w:basedOn w:val="Normal"/>
    <w:link w:val="Header4Char"/>
    <w:qFormat/>
    <w:rsid w:val="00E504A3"/>
    <w:pPr>
      <w:keepNext/>
      <w:spacing w:before="360" w:after="120" w:line="240" w:lineRule="auto"/>
      <w:jc w:val="both"/>
    </w:pPr>
    <w:rPr>
      <w:rFonts w:ascii="Arial" w:eastAsia="Times New Roman" w:hAnsi="Arial"/>
      <w:b/>
      <w:color w:val="000080"/>
    </w:rPr>
  </w:style>
  <w:style w:type="paragraph" w:customStyle="1" w:styleId="Default">
    <w:name w:val="Default"/>
    <w:rsid w:val="00E504A3"/>
    <w:pPr>
      <w:autoSpaceDE w:val="0"/>
      <w:autoSpaceDN w:val="0"/>
      <w:adjustRightInd w:val="0"/>
      <w:spacing w:after="200" w:line="276" w:lineRule="auto"/>
    </w:pPr>
    <w:rPr>
      <w:rFonts w:eastAsia="Times New Roman"/>
      <w:color w:val="000000"/>
      <w:sz w:val="24"/>
      <w:szCs w:val="24"/>
      <w:lang w:val="en-US" w:eastAsia="zh-CN"/>
    </w:rPr>
  </w:style>
  <w:style w:type="character" w:customStyle="1" w:styleId="BodytextChar">
    <w:name w:val="Bodytext Char"/>
    <w:link w:val="Bodytext"/>
    <w:rsid w:val="00E504A3"/>
    <w:rPr>
      <w:rFonts w:ascii="Verdana" w:hAnsi="Verdana"/>
      <w:sz w:val="20"/>
    </w:rPr>
  </w:style>
  <w:style w:type="character" w:customStyle="1" w:styleId="PlaceholderText1">
    <w:name w:val="Placeholder Text1"/>
    <w:uiPriority w:val="99"/>
    <w:semiHidden/>
    <w:rsid w:val="00E504A3"/>
    <w:rPr>
      <w:color w:val="808080"/>
    </w:rPr>
  </w:style>
  <w:style w:type="character" w:customStyle="1" w:styleId="Heading1Char">
    <w:name w:val="Heading 1 Char"/>
    <w:link w:val="Heading1"/>
    <w:uiPriority w:val="9"/>
    <w:rsid w:val="00E504A3"/>
    <w:rPr>
      <w:rFonts w:ascii="Arial" w:hAnsi="Arial"/>
      <w:b/>
      <w:bCs/>
      <w:color w:val="44546A"/>
      <w:sz w:val="28"/>
      <w:szCs w:val="28"/>
    </w:rPr>
  </w:style>
  <w:style w:type="character" w:customStyle="1" w:styleId="Heading2Char">
    <w:name w:val="Heading 2 Char"/>
    <w:link w:val="Heading2"/>
    <w:uiPriority w:val="9"/>
    <w:rsid w:val="00E504A3"/>
    <w:rPr>
      <w:rFonts w:ascii="Calibri Light" w:hAnsi="Calibri Light"/>
      <w:color w:val="2D73B3"/>
      <w:sz w:val="26"/>
      <w:szCs w:val="26"/>
    </w:rPr>
  </w:style>
  <w:style w:type="character" w:customStyle="1" w:styleId="FootnoteTextChar">
    <w:name w:val="Footnote Text Char"/>
    <w:aliases w:val="Tekst przypisu Char,Tekst przypisu Znak Znak Znak Znak Char,Tekst przypisu Znak Znak Znak Znak Znak Char,Tekst przypisu Znak Znak Znak Znak Znak Znak Znak Char,Tekst przypisu Znak Znak Znak Znak Znak Znak Znak Znak Zn Char,C Char"/>
    <w:link w:val="FootnoteText"/>
    <w:uiPriority w:val="99"/>
    <w:qFormat/>
    <w:rsid w:val="00E504A3"/>
    <w:rPr>
      <w:sz w:val="20"/>
      <w:szCs w:val="20"/>
    </w:rPr>
  </w:style>
  <w:style w:type="character" w:customStyle="1" w:styleId="st1">
    <w:name w:val="st1"/>
    <w:basedOn w:val="DefaultParagraphFont"/>
    <w:rsid w:val="00E504A3"/>
  </w:style>
  <w:style w:type="character" w:customStyle="1" w:styleId="Header4Char">
    <w:name w:val="Header 4 Char"/>
    <w:link w:val="Header4"/>
    <w:rsid w:val="00E504A3"/>
    <w:rPr>
      <w:rFonts w:ascii="Arial" w:eastAsia="Times New Roman" w:hAnsi="Arial" w:cs="Times New Roman"/>
      <w:b/>
      <w:color w:val="000080"/>
    </w:rPr>
  </w:style>
  <w:style w:type="character" w:customStyle="1" w:styleId="A1">
    <w:name w:val="A1"/>
    <w:uiPriority w:val="99"/>
    <w:rsid w:val="00E504A3"/>
    <w:rPr>
      <w:rFonts w:cs="EC Square Sans Pro Medium"/>
      <w:color w:val="000000"/>
      <w:sz w:val="56"/>
      <w:szCs w:val="56"/>
    </w:rPr>
  </w:style>
  <w:style w:type="character" w:customStyle="1" w:styleId="HeaderChar">
    <w:name w:val="Header Char"/>
    <w:basedOn w:val="DefaultParagraphFont"/>
    <w:link w:val="Header"/>
    <w:uiPriority w:val="99"/>
    <w:rsid w:val="00E504A3"/>
  </w:style>
  <w:style w:type="character" w:customStyle="1" w:styleId="FooterChar">
    <w:name w:val="Footer Char"/>
    <w:basedOn w:val="DefaultParagraphFont"/>
    <w:link w:val="Footer"/>
    <w:uiPriority w:val="99"/>
    <w:rsid w:val="00E504A3"/>
  </w:style>
  <w:style w:type="character" w:customStyle="1" w:styleId="CommentTextChar">
    <w:name w:val="Comment Text Char"/>
    <w:link w:val="CommentText"/>
    <w:uiPriority w:val="99"/>
    <w:rsid w:val="00E504A3"/>
    <w:rPr>
      <w:sz w:val="20"/>
      <w:szCs w:val="20"/>
    </w:rPr>
  </w:style>
  <w:style w:type="character" w:customStyle="1" w:styleId="CommentSubjectChar">
    <w:name w:val="Comment Subject Char"/>
    <w:link w:val="CommentSubject"/>
    <w:uiPriority w:val="99"/>
    <w:semiHidden/>
    <w:rsid w:val="00E504A3"/>
    <w:rPr>
      <w:b/>
      <w:bCs/>
      <w:sz w:val="20"/>
      <w:szCs w:val="20"/>
    </w:rPr>
  </w:style>
  <w:style w:type="character" w:customStyle="1" w:styleId="BalloonTextChar">
    <w:name w:val="Balloon Text Char"/>
    <w:link w:val="BalloonText"/>
    <w:uiPriority w:val="99"/>
    <w:semiHidden/>
    <w:rsid w:val="00E504A3"/>
    <w:rPr>
      <w:rFonts w:ascii="Tahoma" w:hAnsi="Tahoma" w:cs="Tahoma"/>
      <w:sz w:val="16"/>
      <w:szCs w:val="16"/>
    </w:rPr>
  </w:style>
  <w:style w:type="character" w:customStyle="1" w:styleId="Heading3Char">
    <w:name w:val="Heading 3 Char"/>
    <w:link w:val="Heading3"/>
    <w:uiPriority w:val="9"/>
    <w:rsid w:val="00E504A3"/>
    <w:rPr>
      <w:rFonts w:ascii="Verdana" w:hAnsi="Verdana"/>
      <w:b/>
      <w:bCs/>
      <w:i/>
      <w:color w:val="263673"/>
      <w:sz w:val="20"/>
    </w:rPr>
  </w:style>
  <w:style w:type="character" w:styleId="FollowedHyperlink">
    <w:name w:val="FollowedHyperlink"/>
    <w:basedOn w:val="DefaultParagraphFont"/>
    <w:semiHidden/>
    <w:unhideWhenUsed/>
    <w:rsid w:val="00514F98"/>
    <w:rPr>
      <w:color w:val="800080" w:themeColor="followedHyperlink"/>
      <w:u w:val="single"/>
    </w:rPr>
  </w:style>
  <w:style w:type="paragraph" w:styleId="Revision">
    <w:name w:val="Revision"/>
    <w:hidden/>
    <w:uiPriority w:val="99"/>
    <w:semiHidden/>
    <w:rsid w:val="00BD4309"/>
    <w:rPr>
      <w:rFonts w:ascii="Calibri" w:eastAsia="Calibri" w:hAnsi="Calibri"/>
      <w:sz w:val="22"/>
      <w:szCs w:val="22"/>
      <w:lang w:val="en-US" w:eastAsia="en-US"/>
    </w:rPr>
  </w:style>
  <w:style w:type="character" w:customStyle="1" w:styleId="UnresolvedMention1">
    <w:name w:val="Unresolved Mention1"/>
    <w:basedOn w:val="DefaultParagraphFont"/>
    <w:uiPriority w:val="99"/>
    <w:semiHidden/>
    <w:unhideWhenUsed/>
    <w:rsid w:val="00511595"/>
    <w:rPr>
      <w:color w:val="808080"/>
      <w:shd w:val="clear" w:color="auto" w:fill="E6E6E6"/>
    </w:rPr>
  </w:style>
  <w:style w:type="character" w:customStyle="1" w:styleId="UnresolvedMention2">
    <w:name w:val="Unresolved Mention2"/>
    <w:basedOn w:val="DefaultParagraphFont"/>
    <w:uiPriority w:val="99"/>
    <w:semiHidden/>
    <w:unhideWhenUsed/>
    <w:rsid w:val="003E21C8"/>
    <w:rPr>
      <w:color w:val="808080"/>
      <w:shd w:val="clear" w:color="auto" w:fill="E6E6E6"/>
    </w:rPr>
  </w:style>
  <w:style w:type="character" w:customStyle="1" w:styleId="UnresolvedMention3">
    <w:name w:val="Unresolved Mention3"/>
    <w:basedOn w:val="DefaultParagraphFont"/>
    <w:uiPriority w:val="99"/>
    <w:semiHidden/>
    <w:unhideWhenUsed/>
    <w:rsid w:val="002719AB"/>
    <w:rPr>
      <w:color w:val="605E5C"/>
      <w:shd w:val="clear" w:color="auto" w:fill="E1DFDD"/>
    </w:rPr>
  </w:style>
  <w:style w:type="character" w:customStyle="1" w:styleId="UnresolvedMention4">
    <w:name w:val="Unresolved Mention4"/>
    <w:basedOn w:val="DefaultParagraphFont"/>
    <w:uiPriority w:val="99"/>
    <w:semiHidden/>
    <w:unhideWhenUsed/>
    <w:rsid w:val="002A2AEA"/>
    <w:rPr>
      <w:color w:val="605E5C"/>
      <w:shd w:val="clear" w:color="auto" w:fill="E1DFDD"/>
    </w:rPr>
  </w:style>
  <w:style w:type="character" w:customStyle="1" w:styleId="UnresolvedMention5">
    <w:name w:val="Unresolved Mention5"/>
    <w:basedOn w:val="DefaultParagraphFont"/>
    <w:uiPriority w:val="99"/>
    <w:semiHidden/>
    <w:unhideWhenUsed/>
    <w:rsid w:val="00D2278F"/>
    <w:rPr>
      <w:color w:val="605E5C"/>
      <w:shd w:val="clear" w:color="auto" w:fill="E1DFDD"/>
    </w:rPr>
  </w:style>
  <w:style w:type="character" w:customStyle="1" w:styleId="UnresolvedMention6">
    <w:name w:val="Unresolved Mention6"/>
    <w:basedOn w:val="DefaultParagraphFont"/>
    <w:uiPriority w:val="99"/>
    <w:semiHidden/>
    <w:unhideWhenUsed/>
    <w:rsid w:val="00B303E4"/>
    <w:rPr>
      <w:color w:val="605E5C"/>
      <w:shd w:val="clear" w:color="auto" w:fill="E1DFDD"/>
    </w:rPr>
  </w:style>
  <w:style w:type="character" w:customStyle="1" w:styleId="UnresolvedMention7">
    <w:name w:val="Unresolved Mention7"/>
    <w:basedOn w:val="DefaultParagraphFont"/>
    <w:uiPriority w:val="99"/>
    <w:semiHidden/>
    <w:unhideWhenUsed/>
    <w:rsid w:val="00F05CBC"/>
    <w:rPr>
      <w:color w:val="605E5C"/>
      <w:shd w:val="clear" w:color="auto" w:fill="E1DFDD"/>
    </w:rPr>
  </w:style>
  <w:style w:type="paragraph" w:styleId="ListParagraph">
    <w:name w:val="List Paragraph"/>
    <w:basedOn w:val="Normal"/>
    <w:uiPriority w:val="34"/>
    <w:qFormat/>
    <w:rsid w:val="00BC6281"/>
    <w:pPr>
      <w:spacing w:line="256" w:lineRule="auto"/>
      <w:ind w:left="720"/>
      <w:contextualSpacing/>
    </w:pPr>
  </w:style>
  <w:style w:type="paragraph" w:customStyle="1" w:styleId="FootnoteReferneceCarcter">
    <w:name w:val="Footnote Refernece Carácter"/>
    <w:aliases w:val="ftref Carácter,4_G Carácter"/>
    <w:basedOn w:val="Normal"/>
    <w:link w:val="FootnoteReference"/>
    <w:rsid w:val="00C24BD0"/>
    <w:pPr>
      <w:spacing w:before="120" w:line="240" w:lineRule="exact"/>
      <w:jc w:val="both"/>
    </w:pPr>
    <w:rPr>
      <w:rFonts w:ascii="Times New Roman" w:eastAsia="SimSun" w:hAnsi="Times New Roman"/>
      <w:sz w:val="20"/>
      <w:szCs w:val="20"/>
      <w:vertAlign w:val="superscript"/>
      <w:lang w:val="en-GB" w:eastAsia="en-GB"/>
    </w:rPr>
  </w:style>
  <w:style w:type="character" w:customStyle="1" w:styleId="UnresolvedMention8">
    <w:name w:val="Unresolved Mention8"/>
    <w:basedOn w:val="DefaultParagraphFont"/>
    <w:uiPriority w:val="99"/>
    <w:semiHidden/>
    <w:unhideWhenUsed/>
    <w:rsid w:val="007614D0"/>
    <w:rPr>
      <w:color w:val="605E5C"/>
      <w:shd w:val="clear" w:color="auto" w:fill="E1DFDD"/>
    </w:rPr>
  </w:style>
  <w:style w:type="character" w:styleId="PlaceholderText">
    <w:name w:val="Placeholder Text"/>
    <w:basedOn w:val="DefaultParagraphFont"/>
    <w:uiPriority w:val="99"/>
    <w:semiHidden/>
    <w:rsid w:val="00FA56BE"/>
    <w:rPr>
      <w:color w:val="808080"/>
    </w:rPr>
  </w:style>
  <w:style w:type="character" w:customStyle="1" w:styleId="UnresolvedMention9">
    <w:name w:val="Unresolved Mention9"/>
    <w:basedOn w:val="DefaultParagraphFont"/>
    <w:uiPriority w:val="99"/>
    <w:semiHidden/>
    <w:unhideWhenUsed/>
    <w:rsid w:val="00383CAD"/>
    <w:rPr>
      <w:color w:val="605E5C"/>
      <w:shd w:val="clear" w:color="auto" w:fill="E1DFDD"/>
    </w:rPr>
  </w:style>
  <w:style w:type="character" w:styleId="UnresolvedMention">
    <w:name w:val="Unresolved Mention"/>
    <w:basedOn w:val="DefaultParagraphFont"/>
    <w:uiPriority w:val="99"/>
    <w:semiHidden/>
    <w:unhideWhenUsed/>
    <w:rsid w:val="00C46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917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br.uk/docs/dlm_uploads/CCS0222366764-001_OBR-EFO-March-2022_Web-Accessible-2.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uk/government/statistics/households-below-average-income-for-financial-years-ending-1995-to-202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searchbriefings.files.parliament.uk/documents/CBP-9428/CBP-9428.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resolutionfoundation.org/publications/back-on-target/" TargetMode="External"/><Relationship Id="rId4" Type="http://schemas.openxmlformats.org/officeDocument/2006/relationships/styles" Target="styles.xml"/><Relationship Id="rId9" Type="http://schemas.openxmlformats.org/officeDocument/2006/relationships/hyperlink" Target="https://www.resolutionfoundation.org/app/uploads/2022/03/Inflation-nation.pdf" TargetMode="External"/><Relationship Id="rId14" Type="http://schemas.openxmlformats.org/officeDocument/2006/relationships/hyperlink" Target="mailto:jonathan.bradshaw@york.ac.u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5D8359-BCF3-4B0E-8837-93C379500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2022-05-31T09:19:00Z</dcterms:created>
  <dcterms:modified xsi:type="dcterms:W3CDTF">2022-05-31T09:19:00Z</dcterms:modified>
</cp:coreProperties>
</file>