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27FFA2" w14:textId="77777777" w:rsidR="00A23BE2" w:rsidRDefault="00307EB3">
      <w:pPr>
        <w:spacing w:before="240" w:after="240" w:line="360" w:lineRule="auto"/>
        <w:jc w:val="both"/>
        <w:rPr>
          <w:rFonts w:ascii="Calibri" w:eastAsia="Calibri" w:hAnsi="Calibri" w:cs="Calibri"/>
          <w:b/>
          <w:sz w:val="24"/>
          <w:szCs w:val="24"/>
        </w:rPr>
      </w:pPr>
      <w:r>
        <w:rPr>
          <w:rFonts w:ascii="Calibri" w:eastAsia="Calibri" w:hAnsi="Calibri" w:cs="Calibri"/>
          <w:b/>
          <w:sz w:val="24"/>
          <w:szCs w:val="24"/>
          <w:highlight w:val="white"/>
        </w:rPr>
        <w:t xml:space="preserve">Human and animal subsistence in northern Iberia during the Late Chalcolithic-Bronze Age : biomolecular insights from Muela de Borja, Ebro </w:t>
      </w:r>
      <w:r>
        <w:rPr>
          <w:rFonts w:ascii="Calibri" w:eastAsia="Calibri" w:hAnsi="Calibri" w:cs="Calibri"/>
          <w:b/>
          <w:sz w:val="24"/>
          <w:szCs w:val="24"/>
        </w:rPr>
        <w:t>Valley</w:t>
      </w:r>
    </w:p>
    <w:p w14:paraId="6286C50A"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Laura C. Viñas-Caron</w:t>
      </w:r>
      <w:r>
        <w:rPr>
          <w:rFonts w:ascii="Calibri" w:eastAsia="Calibri" w:hAnsi="Calibri" w:cs="Calibri"/>
          <w:sz w:val="24"/>
          <w:szCs w:val="24"/>
          <w:vertAlign w:val="superscript"/>
        </w:rPr>
        <w:t>1,2*</w:t>
      </w:r>
      <w:r>
        <w:rPr>
          <w:rFonts w:ascii="Calibri" w:eastAsia="Calibri" w:hAnsi="Calibri" w:cs="Calibri"/>
          <w:sz w:val="24"/>
          <w:szCs w:val="24"/>
        </w:rPr>
        <w:t>, Isidro Aguilera</w:t>
      </w:r>
      <w:r>
        <w:rPr>
          <w:rFonts w:ascii="Calibri" w:eastAsia="Calibri" w:hAnsi="Calibri" w:cs="Calibri"/>
          <w:sz w:val="24"/>
          <w:szCs w:val="24"/>
          <w:vertAlign w:val="superscript"/>
        </w:rPr>
        <w:t>3</w:t>
      </w:r>
      <w:r>
        <w:rPr>
          <w:rFonts w:ascii="Calibri" w:eastAsia="Calibri" w:hAnsi="Calibri" w:cs="Calibri"/>
          <w:sz w:val="24"/>
          <w:szCs w:val="24"/>
        </w:rPr>
        <w:t>, Tina Jakob</w:t>
      </w:r>
      <w:r>
        <w:rPr>
          <w:rFonts w:ascii="Calibri" w:eastAsia="Calibri" w:hAnsi="Calibri" w:cs="Calibri"/>
          <w:sz w:val="24"/>
          <w:szCs w:val="24"/>
          <w:vertAlign w:val="superscript"/>
        </w:rPr>
        <w:t>4</w:t>
      </w:r>
      <w:r>
        <w:rPr>
          <w:rFonts w:ascii="Calibri" w:eastAsia="Calibri" w:hAnsi="Calibri" w:cs="Calibri"/>
          <w:sz w:val="24"/>
          <w:szCs w:val="24"/>
        </w:rPr>
        <w:t>, Joe W. Walser III</w:t>
      </w:r>
      <w:r>
        <w:rPr>
          <w:rFonts w:ascii="Calibri" w:eastAsia="Calibri" w:hAnsi="Calibri" w:cs="Calibri"/>
          <w:sz w:val="24"/>
          <w:szCs w:val="24"/>
          <w:vertAlign w:val="superscript"/>
        </w:rPr>
        <w:t>5</w:t>
      </w:r>
      <w:r>
        <w:rPr>
          <w:rFonts w:ascii="Calibri" w:eastAsia="Calibri" w:hAnsi="Calibri" w:cs="Calibri"/>
          <w:sz w:val="24"/>
          <w:szCs w:val="24"/>
        </w:rPr>
        <w:t>, Luke Spindler</w:t>
      </w:r>
      <w:r>
        <w:rPr>
          <w:rFonts w:ascii="Calibri" w:eastAsia="Calibri" w:hAnsi="Calibri" w:cs="Calibri"/>
          <w:sz w:val="24"/>
          <w:szCs w:val="24"/>
          <w:vertAlign w:val="superscript"/>
        </w:rPr>
        <w:t>1,6</w:t>
      </w:r>
      <w:r>
        <w:rPr>
          <w:rFonts w:ascii="Calibri" w:eastAsia="Calibri" w:hAnsi="Calibri" w:cs="Calibri"/>
          <w:sz w:val="24"/>
          <w:szCs w:val="24"/>
          <w:highlight w:val="white"/>
        </w:rPr>
        <w:t>, Maria Fontanals-</w:t>
      </w:r>
      <w:r>
        <w:rPr>
          <w:rFonts w:ascii="Calibri" w:eastAsia="Calibri" w:hAnsi="Calibri" w:cs="Calibri"/>
          <w:sz w:val="24"/>
          <w:szCs w:val="24"/>
          <w:highlight w:val="white"/>
        </w:rPr>
        <w:t>Coll</w:t>
      </w:r>
      <w:r>
        <w:rPr>
          <w:rFonts w:ascii="Calibri" w:eastAsia="Calibri" w:hAnsi="Calibri" w:cs="Calibri"/>
          <w:sz w:val="24"/>
          <w:szCs w:val="24"/>
          <w:vertAlign w:val="superscript"/>
        </w:rPr>
        <w:t>1</w:t>
      </w:r>
      <w:r>
        <w:rPr>
          <w:rFonts w:ascii="Calibri" w:eastAsia="Calibri" w:hAnsi="Calibri" w:cs="Calibri"/>
          <w:sz w:val="24"/>
          <w:szCs w:val="24"/>
          <w:highlight w:val="white"/>
        </w:rPr>
        <w:t xml:space="preserve">, </w:t>
      </w:r>
      <w:r>
        <w:rPr>
          <w:rFonts w:ascii="Calibri" w:eastAsia="Calibri" w:hAnsi="Calibri" w:cs="Calibri"/>
          <w:sz w:val="24"/>
          <w:szCs w:val="24"/>
        </w:rPr>
        <w:t>Michelle Alexander</w:t>
      </w:r>
      <w:r>
        <w:rPr>
          <w:rFonts w:ascii="Calibri" w:eastAsia="Calibri" w:hAnsi="Calibri" w:cs="Calibri"/>
          <w:sz w:val="24"/>
          <w:szCs w:val="24"/>
          <w:vertAlign w:val="superscript"/>
        </w:rPr>
        <w:t>1</w:t>
      </w:r>
    </w:p>
    <w:p w14:paraId="6741ECA5" w14:textId="77777777" w:rsidR="00A23BE2" w:rsidRDefault="00307EB3">
      <w:pPr>
        <w:spacing w:before="240" w:after="240" w:line="240" w:lineRule="auto"/>
        <w:rPr>
          <w:rFonts w:ascii="Calibri" w:eastAsia="Calibri" w:hAnsi="Calibri" w:cs="Calibri"/>
          <w:sz w:val="24"/>
          <w:szCs w:val="24"/>
        </w:rPr>
      </w:pPr>
      <w:r>
        <w:rPr>
          <w:rFonts w:ascii="Calibri" w:eastAsia="Calibri" w:hAnsi="Calibri" w:cs="Calibri"/>
          <w:sz w:val="24"/>
          <w:szCs w:val="24"/>
        </w:rPr>
        <w:t>1. BioArCh, Department of Archaeology, University of York, York, UK</w:t>
      </w:r>
    </w:p>
    <w:p w14:paraId="672051E0" w14:textId="77777777" w:rsidR="00A23BE2" w:rsidRDefault="00307EB3">
      <w:pPr>
        <w:spacing w:before="240" w:after="240" w:line="240" w:lineRule="auto"/>
        <w:rPr>
          <w:rFonts w:ascii="Calibri" w:eastAsia="Calibri" w:hAnsi="Calibri" w:cs="Calibri"/>
          <w:sz w:val="24"/>
          <w:szCs w:val="24"/>
        </w:rPr>
      </w:pPr>
      <w:r>
        <w:rPr>
          <w:rFonts w:ascii="Calibri" w:eastAsia="Calibri" w:hAnsi="Calibri" w:cs="Calibri"/>
          <w:sz w:val="24"/>
          <w:szCs w:val="24"/>
        </w:rPr>
        <w:t>2. GLOBE Institute, University of Copenhagen, Copenhagen, Denmark</w:t>
      </w:r>
    </w:p>
    <w:p w14:paraId="5DF1F9B5" w14:textId="77777777" w:rsidR="00A23BE2" w:rsidRDefault="00307EB3">
      <w:pPr>
        <w:spacing w:before="240" w:after="240" w:line="240" w:lineRule="auto"/>
        <w:rPr>
          <w:rFonts w:ascii="Calibri" w:eastAsia="Calibri" w:hAnsi="Calibri" w:cs="Calibri"/>
          <w:sz w:val="24"/>
          <w:szCs w:val="24"/>
        </w:rPr>
      </w:pPr>
      <w:r>
        <w:rPr>
          <w:rFonts w:ascii="Calibri" w:eastAsia="Calibri" w:hAnsi="Calibri" w:cs="Calibri"/>
          <w:sz w:val="24"/>
          <w:szCs w:val="24"/>
        </w:rPr>
        <w:t>3. Museo de Zaragoza, Gobierno de Aragón, Zaragoza, Spain</w:t>
      </w:r>
    </w:p>
    <w:p w14:paraId="27056DD8" w14:textId="77777777" w:rsidR="00A23BE2" w:rsidRDefault="00307EB3">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4. Department of Archaeology, Durham </w:t>
      </w:r>
      <w:r>
        <w:rPr>
          <w:rFonts w:ascii="Calibri" w:eastAsia="Calibri" w:hAnsi="Calibri" w:cs="Calibri"/>
          <w:sz w:val="24"/>
          <w:szCs w:val="24"/>
        </w:rPr>
        <w:t>University, Durham, UK</w:t>
      </w:r>
    </w:p>
    <w:p w14:paraId="1653D030" w14:textId="77777777" w:rsidR="00A23BE2" w:rsidRDefault="00307EB3">
      <w:pPr>
        <w:spacing w:before="240" w:after="240" w:line="240" w:lineRule="auto"/>
        <w:rPr>
          <w:rFonts w:ascii="Calibri" w:eastAsia="Calibri" w:hAnsi="Calibri" w:cs="Calibri"/>
          <w:sz w:val="24"/>
          <w:szCs w:val="24"/>
        </w:rPr>
      </w:pPr>
      <w:r>
        <w:rPr>
          <w:rFonts w:ascii="Calibri" w:eastAsia="Calibri" w:hAnsi="Calibri" w:cs="Calibri"/>
          <w:sz w:val="24"/>
          <w:szCs w:val="24"/>
        </w:rPr>
        <w:t>5. National Museum of Iceland, Reykjavik, Iceland</w:t>
      </w:r>
    </w:p>
    <w:p w14:paraId="28667750" w14:textId="77777777" w:rsidR="00A23BE2" w:rsidRDefault="00307EB3">
      <w:pPr>
        <w:spacing w:before="240" w:after="240" w:line="240" w:lineRule="auto"/>
        <w:rPr>
          <w:rFonts w:ascii="Calibri" w:eastAsia="Calibri" w:hAnsi="Calibri" w:cs="Calibri"/>
          <w:sz w:val="24"/>
          <w:szCs w:val="24"/>
        </w:rPr>
      </w:pPr>
      <w:r>
        <w:rPr>
          <w:rFonts w:ascii="Calibri" w:eastAsia="Calibri" w:hAnsi="Calibri" w:cs="Calibri"/>
          <w:sz w:val="24"/>
          <w:szCs w:val="24"/>
        </w:rPr>
        <w:t>6. School of Archaeology, University of Oxford, Oxford, UK</w:t>
      </w:r>
    </w:p>
    <w:p w14:paraId="7DFC028A" w14:textId="77777777" w:rsidR="00A23BE2" w:rsidRDefault="00A23BE2">
      <w:pPr>
        <w:spacing w:before="240" w:after="240" w:line="360" w:lineRule="auto"/>
        <w:rPr>
          <w:rFonts w:ascii="Calibri" w:eastAsia="Calibri" w:hAnsi="Calibri" w:cs="Calibri"/>
          <w:sz w:val="24"/>
          <w:szCs w:val="24"/>
        </w:rPr>
      </w:pPr>
    </w:p>
    <w:p w14:paraId="47FA571A" w14:textId="77777777" w:rsidR="00A23BE2" w:rsidRDefault="00307EB3">
      <w:pPr>
        <w:spacing w:before="240" w:after="240" w:line="360" w:lineRule="auto"/>
        <w:rPr>
          <w:rFonts w:ascii="Calibri" w:eastAsia="Calibri" w:hAnsi="Calibri" w:cs="Calibri"/>
          <w:sz w:val="24"/>
          <w:szCs w:val="24"/>
        </w:rPr>
      </w:pPr>
      <w:r>
        <w:rPr>
          <w:rFonts w:ascii="Calibri" w:eastAsia="Calibri" w:hAnsi="Calibri" w:cs="Calibri"/>
          <w:sz w:val="24"/>
          <w:szCs w:val="24"/>
        </w:rPr>
        <w:t>*Corresponding author contact: laura@palaeome.org</w:t>
      </w:r>
    </w:p>
    <w:p w14:paraId="69EC5ABB" w14:textId="77777777" w:rsidR="00A23BE2" w:rsidRDefault="00A23BE2">
      <w:pPr>
        <w:spacing w:before="240" w:after="240" w:line="360" w:lineRule="auto"/>
        <w:rPr>
          <w:rFonts w:ascii="Calibri" w:eastAsia="Calibri" w:hAnsi="Calibri" w:cs="Calibri"/>
          <w:sz w:val="24"/>
          <w:szCs w:val="24"/>
        </w:rPr>
      </w:pPr>
    </w:p>
    <w:p w14:paraId="005493D4" w14:textId="04899580" w:rsidR="00A23BE2" w:rsidRDefault="00307EB3">
      <w:pPr>
        <w:spacing w:before="240" w:after="240" w:line="240" w:lineRule="auto"/>
        <w:rPr>
          <w:rFonts w:ascii="Calibri" w:eastAsia="Calibri" w:hAnsi="Calibri" w:cs="Calibri"/>
          <w:sz w:val="24"/>
          <w:szCs w:val="24"/>
        </w:rPr>
      </w:pPr>
      <w:r>
        <w:br w:type="page"/>
      </w:r>
    </w:p>
    <w:p w14:paraId="47B7D753" w14:textId="77777777" w:rsidR="00A23BE2" w:rsidRDefault="00307EB3">
      <w:pPr>
        <w:spacing w:before="240" w:after="240" w:line="360" w:lineRule="auto"/>
        <w:jc w:val="both"/>
        <w:rPr>
          <w:rFonts w:ascii="Calibri" w:eastAsia="Calibri" w:hAnsi="Calibri" w:cs="Calibri"/>
          <w:b/>
          <w:sz w:val="24"/>
          <w:szCs w:val="24"/>
        </w:rPr>
      </w:pPr>
      <w:r>
        <w:rPr>
          <w:rFonts w:ascii="Calibri" w:eastAsia="Calibri" w:hAnsi="Calibri" w:cs="Calibri"/>
          <w:b/>
          <w:sz w:val="24"/>
          <w:szCs w:val="24"/>
        </w:rPr>
        <w:lastRenderedPageBreak/>
        <w:t>Abstract</w:t>
      </w:r>
    </w:p>
    <w:p w14:paraId="72CC648A"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This study explores human diet and animal management strategies in multiple Late Chalcolithic and Bronze Age (2550-1200 cal BCE) sites (Moncín, Majaladares, El Estrechuelo and El Balcón) located in Muela de Borja in the Ebro Valley, Northern Iberia, throug</w:t>
      </w:r>
      <w:r>
        <w:rPr>
          <w:rFonts w:ascii="Calibri" w:eastAsia="Calibri" w:hAnsi="Calibri" w:cs="Calibri"/>
          <w:sz w:val="24"/>
          <w:szCs w:val="24"/>
        </w:rPr>
        <w:t>h the application of stable carbon (δ</w:t>
      </w:r>
      <w:r>
        <w:rPr>
          <w:rFonts w:ascii="Calibri" w:eastAsia="Calibri" w:hAnsi="Calibri" w:cs="Calibri"/>
          <w:sz w:val="24"/>
          <w:szCs w:val="24"/>
          <w:vertAlign w:val="superscript"/>
        </w:rPr>
        <w:t>13</w:t>
      </w:r>
      <w:r>
        <w:rPr>
          <w:rFonts w:ascii="Calibri" w:eastAsia="Calibri" w:hAnsi="Calibri" w:cs="Calibri"/>
          <w:sz w:val="24"/>
          <w:szCs w:val="24"/>
        </w:rPr>
        <w:t>C) and nitrogen (δ</w:t>
      </w:r>
      <w:r>
        <w:rPr>
          <w:rFonts w:ascii="Calibri" w:eastAsia="Calibri" w:hAnsi="Calibri" w:cs="Calibri"/>
          <w:sz w:val="24"/>
          <w:szCs w:val="24"/>
          <w:vertAlign w:val="superscript"/>
        </w:rPr>
        <w:t>15</w:t>
      </w:r>
      <w:r>
        <w:rPr>
          <w:rFonts w:ascii="Calibri" w:eastAsia="Calibri" w:hAnsi="Calibri" w:cs="Calibri"/>
          <w:sz w:val="24"/>
          <w:szCs w:val="24"/>
        </w:rPr>
        <w:t xml:space="preserve">N) isotope analysis and </w:t>
      </w:r>
      <w:r>
        <w:rPr>
          <w:rFonts w:ascii="Calibri" w:eastAsia="Calibri" w:hAnsi="Calibri" w:cs="Calibri"/>
          <w:sz w:val="24"/>
          <w:szCs w:val="24"/>
          <w:highlight w:val="white"/>
        </w:rPr>
        <w:t>zooarchaeology by mass spectrometry (</w:t>
      </w:r>
      <w:r>
        <w:rPr>
          <w:rFonts w:ascii="Calibri" w:eastAsia="Calibri" w:hAnsi="Calibri" w:cs="Calibri"/>
          <w:sz w:val="24"/>
          <w:szCs w:val="24"/>
        </w:rPr>
        <w:t>ZooMS). Thirty-three animal and nine human bones were analysed across the four sites. ZooMS enabled us to identify a number of fragmente</w:t>
      </w:r>
      <w:r>
        <w:rPr>
          <w:rFonts w:ascii="Calibri" w:eastAsia="Calibri" w:hAnsi="Calibri" w:cs="Calibri"/>
          <w:sz w:val="24"/>
          <w:szCs w:val="24"/>
        </w:rPr>
        <w:t xml:space="preserve">d animal bones whose species representation reflected that of the wider zooarchaeological assemblage. The isotopic results complemented by a Bayesian stable isotope mixing model (BSIMM) indicate that all </w:t>
      </w:r>
      <w:r>
        <w:rPr>
          <w:rFonts w:ascii="Calibri" w:eastAsia="Calibri" w:hAnsi="Calibri" w:cs="Calibri"/>
          <w:sz w:val="24"/>
          <w:szCs w:val="24"/>
          <w:highlight w:val="white"/>
        </w:rPr>
        <w:t>humans had a relatively uniform diet consisting of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terrestrial plant and animal resources, despite representing a range of burial sites and a broad chronology. In contrast, animals had a highly variable diet, which suggests the existence of diverse feeding and management strategies within and between spe</w:t>
      </w:r>
      <w:r>
        <w:rPr>
          <w:rFonts w:ascii="Calibri" w:eastAsia="Calibri" w:hAnsi="Calibri" w:cs="Calibri"/>
          <w:sz w:val="24"/>
          <w:szCs w:val="24"/>
          <w:highlight w:val="white"/>
        </w:rPr>
        <w:t xml:space="preserve">cies. When comparing data from these sites to other published sites of a similar chronology, we see regional patterns in </w:t>
      </w:r>
      <w:r>
        <w:rPr>
          <w:rFonts w:ascii="Calibri" w:eastAsia="Calibri" w:hAnsi="Calibri" w:cs="Calibri"/>
          <w:sz w:val="24"/>
          <w:szCs w:val="24"/>
        </w:rPr>
        <w:t>δ</w:t>
      </w:r>
      <w:r>
        <w:rPr>
          <w:rFonts w:ascii="Calibri" w:eastAsia="Calibri" w:hAnsi="Calibri" w:cs="Calibri"/>
          <w:sz w:val="24"/>
          <w:szCs w:val="24"/>
          <w:vertAlign w:val="superscript"/>
        </w:rPr>
        <w:t>13</w:t>
      </w:r>
      <w:r>
        <w:rPr>
          <w:rFonts w:ascii="Calibri" w:eastAsia="Calibri" w:hAnsi="Calibri" w:cs="Calibri"/>
          <w:sz w:val="24"/>
          <w:szCs w:val="24"/>
        </w:rPr>
        <w:t>C</w:t>
      </w:r>
      <w:r>
        <w:rPr>
          <w:rFonts w:ascii="Calibri" w:eastAsia="Calibri" w:hAnsi="Calibri" w:cs="Calibri"/>
          <w:sz w:val="24"/>
          <w:szCs w:val="24"/>
          <w:highlight w:val="white"/>
        </w:rPr>
        <w:t xml:space="preserve"> and </w:t>
      </w:r>
      <w:r>
        <w:rPr>
          <w:rFonts w:ascii="Calibri" w:eastAsia="Calibri" w:hAnsi="Calibri" w:cs="Calibri"/>
          <w:sz w:val="24"/>
          <w:szCs w:val="24"/>
        </w:rPr>
        <w:t>δ</w:t>
      </w:r>
      <w:r>
        <w:rPr>
          <w:rFonts w:ascii="Calibri" w:eastAsia="Calibri" w:hAnsi="Calibri" w:cs="Calibri"/>
          <w:sz w:val="24"/>
          <w:szCs w:val="24"/>
          <w:vertAlign w:val="superscript"/>
        </w:rPr>
        <w:t>15</w:t>
      </w:r>
      <w:r>
        <w:rPr>
          <w:rFonts w:ascii="Calibri" w:eastAsia="Calibri" w:hAnsi="Calibri" w:cs="Calibri"/>
          <w:sz w:val="24"/>
          <w:szCs w:val="24"/>
        </w:rPr>
        <w:t>N</w:t>
      </w:r>
      <w:r>
        <w:rPr>
          <w:rFonts w:ascii="Calibri" w:eastAsia="Calibri" w:hAnsi="Calibri" w:cs="Calibri"/>
          <w:sz w:val="24"/>
          <w:szCs w:val="24"/>
          <w:highlight w:val="white"/>
        </w:rPr>
        <w:t xml:space="preserve"> that reflect environmental differentiation. These results provide a deeper understanding of the diversity of human and an</w:t>
      </w:r>
      <w:r>
        <w:rPr>
          <w:rFonts w:ascii="Calibri" w:eastAsia="Calibri" w:hAnsi="Calibri" w:cs="Calibri"/>
          <w:sz w:val="24"/>
          <w:szCs w:val="24"/>
          <w:highlight w:val="white"/>
        </w:rPr>
        <w:t xml:space="preserve">imal dietary practices during the Late Chalcolithic and Bronze Age in the Ebro Valley and Northern Iberia. </w:t>
      </w:r>
    </w:p>
    <w:p w14:paraId="263A051C"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b/>
          <w:sz w:val="24"/>
          <w:szCs w:val="24"/>
        </w:rPr>
        <w:t>Keywords</w:t>
      </w:r>
    </w:p>
    <w:p w14:paraId="1AE2CA22"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Diet, animal husbandry, stable isotopes, ZooMS, prehistory, Spain</w:t>
      </w:r>
    </w:p>
    <w:p w14:paraId="09712E5B" w14:textId="77777777" w:rsidR="00A23BE2" w:rsidRDefault="00307EB3">
      <w:pPr>
        <w:spacing w:before="240" w:after="240" w:line="360" w:lineRule="auto"/>
        <w:jc w:val="both"/>
        <w:rPr>
          <w:rFonts w:ascii="Calibri" w:eastAsia="Calibri" w:hAnsi="Calibri" w:cs="Calibri"/>
          <w:b/>
          <w:sz w:val="24"/>
          <w:szCs w:val="24"/>
        </w:rPr>
      </w:pPr>
      <w:r>
        <w:rPr>
          <w:rFonts w:ascii="Calibri" w:eastAsia="Calibri" w:hAnsi="Calibri" w:cs="Calibri"/>
          <w:b/>
          <w:sz w:val="24"/>
          <w:szCs w:val="24"/>
        </w:rPr>
        <w:t>Authors’ contributions</w:t>
      </w:r>
    </w:p>
    <w:p w14:paraId="560C0EC8" w14:textId="77777777" w:rsidR="00A23BE2" w:rsidRDefault="00307EB3">
      <w:pPr>
        <w:spacing w:before="240" w:after="240" w:line="360" w:lineRule="auto"/>
        <w:jc w:val="both"/>
        <w:rPr>
          <w:rFonts w:ascii="Calibri" w:eastAsia="Calibri" w:hAnsi="Calibri" w:cs="Calibri"/>
          <w:b/>
          <w:sz w:val="24"/>
          <w:szCs w:val="24"/>
        </w:rPr>
      </w:pPr>
      <w:r>
        <w:rPr>
          <w:rFonts w:ascii="Calibri" w:eastAsia="Calibri" w:hAnsi="Calibri" w:cs="Calibri"/>
          <w:sz w:val="24"/>
          <w:szCs w:val="24"/>
        </w:rPr>
        <w:t>MA and IA designed the research. IA provided sampl</w:t>
      </w:r>
      <w:r>
        <w:rPr>
          <w:rFonts w:ascii="Calibri" w:eastAsia="Calibri" w:hAnsi="Calibri" w:cs="Calibri"/>
          <w:sz w:val="24"/>
          <w:szCs w:val="24"/>
        </w:rPr>
        <w:t>es and contextual information. TJ and JWW conducted the osteoarchaeological analysis and interpretation. LCVC and LS performed the stable isotope and ZooMS experiments. LCVC, MA and MFC performed data analysis and interpretation. LCVC wrote the original dr</w:t>
      </w:r>
      <w:r>
        <w:rPr>
          <w:rFonts w:ascii="Calibri" w:eastAsia="Calibri" w:hAnsi="Calibri" w:cs="Calibri"/>
          <w:sz w:val="24"/>
          <w:szCs w:val="24"/>
        </w:rPr>
        <w:t>aft, with critical input from MA and MFC. All authors reviewed and approved the manuscript.</w:t>
      </w:r>
    </w:p>
    <w:p w14:paraId="279FF190" w14:textId="77777777" w:rsidR="00A23BE2" w:rsidRDefault="00307EB3">
      <w:pPr>
        <w:pStyle w:val="Heading4"/>
        <w:spacing w:before="240" w:after="240" w:line="360" w:lineRule="auto"/>
        <w:rPr>
          <w:rFonts w:ascii="Calibri" w:eastAsia="Calibri" w:hAnsi="Calibri" w:cs="Calibri"/>
          <w:b/>
          <w:color w:val="000000"/>
        </w:rPr>
      </w:pPr>
      <w:bookmarkStart w:id="0" w:name="_heading=h.30j0zll" w:colFirst="0" w:colLast="0"/>
      <w:bookmarkEnd w:id="0"/>
      <w:r>
        <w:rPr>
          <w:rFonts w:ascii="Calibri" w:eastAsia="Calibri" w:hAnsi="Calibri" w:cs="Calibri"/>
          <w:b/>
          <w:color w:val="000000"/>
        </w:rPr>
        <w:t>Acknowledgments</w:t>
      </w:r>
    </w:p>
    <w:p w14:paraId="3E02F229" w14:textId="77777777" w:rsidR="00A23BE2" w:rsidRDefault="00307EB3">
      <w:pPr>
        <w:spacing w:before="240" w:after="240" w:line="360" w:lineRule="auto"/>
        <w:jc w:val="both"/>
        <w:rPr>
          <w:rFonts w:ascii="Calibri" w:eastAsia="Calibri" w:hAnsi="Calibri" w:cs="Calibri"/>
          <w:b/>
          <w:sz w:val="24"/>
          <w:szCs w:val="24"/>
          <w:highlight w:val="white"/>
        </w:rPr>
      </w:pPr>
      <w:r>
        <w:rPr>
          <w:rFonts w:ascii="Calibri" w:eastAsia="Calibri" w:hAnsi="Calibri" w:cs="Calibri"/>
          <w:sz w:val="24"/>
          <w:szCs w:val="24"/>
          <w:highlight w:val="white"/>
        </w:rPr>
        <w:t>We thank Matthew Von Tersch and Krista McGrath from BioArCh, University of York, for assistance in Mass Spectrometry and ZooMS. Thanks also go to Helen Goodchild for creating the maps and James Nottingham who aided us with zooarchaeological identifications</w:t>
      </w:r>
      <w:r>
        <w:rPr>
          <w:rFonts w:ascii="Calibri" w:eastAsia="Calibri" w:hAnsi="Calibri" w:cs="Calibri"/>
          <w:sz w:val="24"/>
          <w:szCs w:val="24"/>
          <w:highlight w:val="white"/>
        </w:rPr>
        <w:t xml:space="preserve">, both at the Department of </w:t>
      </w:r>
      <w:r>
        <w:rPr>
          <w:rFonts w:ascii="Calibri" w:eastAsia="Calibri" w:hAnsi="Calibri" w:cs="Calibri"/>
          <w:sz w:val="24"/>
          <w:szCs w:val="24"/>
          <w:highlight w:val="white"/>
        </w:rPr>
        <w:lastRenderedPageBreak/>
        <w:t xml:space="preserve">Archaeology, University of York. We also thank Simon Hickinbotham, University of York, for assistance with Bacollite software and Ricardo Fernandes, Max Planck Institute for the Science of Human History, with IsoMemo. </w:t>
      </w:r>
      <w:r>
        <w:br w:type="page"/>
      </w:r>
    </w:p>
    <w:p w14:paraId="1210E85D" w14:textId="77777777" w:rsidR="00A23BE2" w:rsidRDefault="00307EB3">
      <w:pPr>
        <w:pStyle w:val="Heading4"/>
        <w:numPr>
          <w:ilvl w:val="0"/>
          <w:numId w:val="1"/>
        </w:numPr>
        <w:spacing w:before="240" w:after="240" w:line="360" w:lineRule="auto"/>
        <w:ind w:left="360"/>
        <w:jc w:val="both"/>
        <w:rPr>
          <w:rFonts w:ascii="Calibri" w:eastAsia="Calibri" w:hAnsi="Calibri" w:cs="Calibri"/>
        </w:rPr>
      </w:pPr>
      <w:r>
        <w:rPr>
          <w:rFonts w:ascii="Calibri" w:eastAsia="Calibri" w:hAnsi="Calibri" w:cs="Calibri"/>
          <w:b/>
          <w:color w:val="000000"/>
        </w:rPr>
        <w:lastRenderedPageBreak/>
        <w:t>Introduc</w:t>
      </w:r>
      <w:r>
        <w:rPr>
          <w:rFonts w:ascii="Calibri" w:eastAsia="Calibri" w:hAnsi="Calibri" w:cs="Calibri"/>
          <w:b/>
          <w:color w:val="000000"/>
        </w:rPr>
        <w:t>tion</w:t>
      </w:r>
      <w:r>
        <w:rPr>
          <w:rFonts w:ascii="Calibri" w:eastAsia="Calibri" w:hAnsi="Calibri" w:cs="Calibri"/>
        </w:rPr>
        <w:t xml:space="preserve"> </w:t>
      </w:r>
    </w:p>
    <w:p w14:paraId="2DAEE69E" w14:textId="77777777" w:rsidR="00A23BE2" w:rsidRDefault="00307EB3">
      <w:pPr>
        <w:spacing w:before="240" w:after="240" w:line="360" w:lineRule="auto"/>
        <w:jc w:val="both"/>
        <w:rPr>
          <w:rFonts w:ascii="Calibri" w:eastAsia="Calibri" w:hAnsi="Calibri" w:cs="Calibri"/>
          <w:b/>
          <w:sz w:val="24"/>
          <w:szCs w:val="24"/>
        </w:rPr>
      </w:pPr>
      <w:r>
        <w:rPr>
          <w:rFonts w:ascii="Calibri" w:eastAsia="Calibri" w:hAnsi="Calibri" w:cs="Calibri"/>
          <w:sz w:val="24"/>
          <w:szCs w:val="24"/>
        </w:rPr>
        <w:t>The late third and second millennium BCE, corresponding to the Late Chalcolithic and Bronze Age in the Iberian Peninsula, is considered to be a time of increasing social differentiation and connectivity that reshaped early farming societies. It is in</w:t>
      </w:r>
      <w:r>
        <w:rPr>
          <w:rFonts w:ascii="Calibri" w:eastAsia="Calibri" w:hAnsi="Calibri" w:cs="Calibri"/>
          <w:sz w:val="24"/>
          <w:szCs w:val="24"/>
        </w:rPr>
        <w:t xml:space="preserve"> this time period that we see the introduction of new forms of agriculture that increased the productivity and variety of cereals cultivated, most notably millets in the Bronze Age (Buxó and Piqué 2008; Moreno-Larrazabal et al. 2015), but also the wider us</w:t>
      </w:r>
      <w:r>
        <w:rPr>
          <w:rFonts w:ascii="Calibri" w:eastAsia="Calibri" w:hAnsi="Calibri" w:cs="Calibri"/>
          <w:sz w:val="24"/>
          <w:szCs w:val="24"/>
        </w:rPr>
        <w:t>e of animal by-products beyond meat (Sherratt 1983; Greenfield 2010). While the archaeological record provides some hints at the nature of subsistence patterns during this period, there are still many aspects which remain unclear. Stable isotope analysis i</w:t>
      </w:r>
      <w:r>
        <w:rPr>
          <w:rFonts w:ascii="Calibri" w:eastAsia="Calibri" w:hAnsi="Calibri" w:cs="Calibri"/>
          <w:sz w:val="24"/>
          <w:szCs w:val="24"/>
        </w:rPr>
        <w:t>s increasingly applied to dietary studies in the Iberian Peninsula and potentially offers a deeper understanding of not only past diets and economies but also farming and animal husbandry practices. Carbon and nitrogen stable isotope data has made a signif</w:t>
      </w:r>
      <w:r>
        <w:rPr>
          <w:rFonts w:ascii="Calibri" w:eastAsia="Calibri" w:hAnsi="Calibri" w:cs="Calibri"/>
          <w:sz w:val="24"/>
          <w:szCs w:val="24"/>
        </w:rPr>
        <w:t xml:space="preserve">icant contribution to the debates surrounding the introduction of millet in the Bronze Age (López-Costa et al. 2015) as well as the incorporation of irrigation practices and manuring during this period (Araus et al. 1997; Ferrio Díaz et al. 2005; Aguilera </w:t>
      </w:r>
      <w:r>
        <w:rPr>
          <w:rFonts w:ascii="Calibri" w:eastAsia="Calibri" w:hAnsi="Calibri" w:cs="Calibri"/>
          <w:sz w:val="24"/>
          <w:szCs w:val="24"/>
        </w:rPr>
        <w:t xml:space="preserve">et al. 2008; Mora-González et al. 2016, 2018; Knipper et al. 2020). Furthermore, social asymmetries that start to occur in the material culture from many parts of the Iberian Peninsula at this time period appear to be mirrored by human dietary differences </w:t>
      </w:r>
      <w:r>
        <w:rPr>
          <w:rFonts w:ascii="Calibri" w:eastAsia="Calibri" w:hAnsi="Calibri" w:cs="Calibri"/>
          <w:sz w:val="24"/>
          <w:szCs w:val="24"/>
        </w:rPr>
        <w:t>(e.g. Waterman et al. 2016; Fernández-Crespo and Schulting 2017; Díaz-Zorita Bonilla et al. 2019; Molina-González et al. 2019; Knipper et al. 2020), although not universally. The degree to which dietary trends were widespread or distinctive across all regi</w:t>
      </w:r>
      <w:r>
        <w:rPr>
          <w:rFonts w:ascii="Calibri" w:eastAsia="Calibri" w:hAnsi="Calibri" w:cs="Calibri"/>
          <w:sz w:val="24"/>
          <w:szCs w:val="24"/>
        </w:rPr>
        <w:t>ons of the peninsula during the Chalcolithic and Bronze Age remains unexplored. This is particularly notable given the mosaic of cultural and environmental variability that exists in the Iberian Peninsula (López-Costa and Alexander 2019).</w:t>
      </w:r>
    </w:p>
    <w:p w14:paraId="29D20308"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Studies so far in</w:t>
      </w:r>
      <w:r>
        <w:rPr>
          <w:rFonts w:ascii="Calibri" w:eastAsia="Calibri" w:hAnsi="Calibri" w:cs="Calibri"/>
          <w:sz w:val="24"/>
          <w:szCs w:val="24"/>
        </w:rPr>
        <w:t>dicate that societies in southern Iberia experienced greater social inequality than communities from the north during this period, demonstrated by new hilltop settlements, individual burial practices and differentiated material culture indicating the prese</w:t>
      </w:r>
      <w:r>
        <w:rPr>
          <w:rFonts w:ascii="Calibri" w:eastAsia="Calibri" w:hAnsi="Calibri" w:cs="Calibri"/>
          <w:sz w:val="24"/>
          <w:szCs w:val="24"/>
        </w:rPr>
        <w:t>nce of hierarchy in organisation, as in the well-studied Early Bronze Age Argar culture (2200-1550 BCE) (Lull et al. 2011; 2015). In the north, however, populations present a general continuity in settlement and burial practice, despite certain novelties i</w:t>
      </w:r>
      <w:r>
        <w:rPr>
          <w:rFonts w:ascii="Calibri" w:eastAsia="Calibri" w:hAnsi="Calibri" w:cs="Calibri"/>
          <w:sz w:val="24"/>
          <w:szCs w:val="24"/>
        </w:rPr>
        <w:t>n ceramic technologies (e.g. Beaker ceramics) or metallurgical practices (Lillios 2019). This has recently been argued to be an indicator that these groups were more stable and resilient than those of the south (Blanco-González et al. 2018) despite a genet</w:t>
      </w:r>
      <w:r>
        <w:rPr>
          <w:rFonts w:ascii="Calibri" w:eastAsia="Calibri" w:hAnsi="Calibri" w:cs="Calibri"/>
          <w:sz w:val="24"/>
          <w:szCs w:val="24"/>
        </w:rPr>
        <w:t xml:space="preserve">ic turnover observed in the whole peninsula during the Chalcolithic and Bronze Age transition (Olalde et al. 2019; </w:t>
      </w:r>
      <w:r>
        <w:rPr>
          <w:rFonts w:ascii="Calibri" w:eastAsia="Calibri" w:hAnsi="Calibri" w:cs="Calibri"/>
          <w:sz w:val="24"/>
          <w:szCs w:val="24"/>
        </w:rPr>
        <w:lastRenderedPageBreak/>
        <w:t>Villalba-Mouco et al. 2021). Our current understanding of the societies of northeast Iberia during the Late Chalcolithic and Bronze Age, howe</w:t>
      </w:r>
      <w:r>
        <w:rPr>
          <w:rFonts w:ascii="Calibri" w:eastAsia="Calibri" w:hAnsi="Calibri" w:cs="Calibri"/>
          <w:sz w:val="24"/>
          <w:szCs w:val="24"/>
        </w:rPr>
        <w:t>ver, is patchy, partly due to the elusive nature of the archaeological evidence in this period and uneven research history. The sites that do exist are typically small and defined by clusters of underground features frequently interpreted as storage pits a</w:t>
      </w:r>
      <w:r>
        <w:rPr>
          <w:rFonts w:ascii="Calibri" w:eastAsia="Calibri" w:hAnsi="Calibri" w:cs="Calibri"/>
          <w:sz w:val="24"/>
          <w:szCs w:val="24"/>
        </w:rPr>
        <w:t>nd other domestic facilities (Lillios 2019). More permanent sites have, however, occasionally been identified, particularly in upland areas, such as those under consideration here from the Ebro valley e.g. Moncín and Majaladares, and caves also continued t</w:t>
      </w:r>
      <w:r>
        <w:rPr>
          <w:rFonts w:ascii="Calibri" w:eastAsia="Calibri" w:hAnsi="Calibri" w:cs="Calibri"/>
          <w:sz w:val="24"/>
          <w:szCs w:val="24"/>
        </w:rPr>
        <w:t>o be occupied as burial and habitation spaces. The varied nature of the sites themselves attests to the diversity of local groups that were present across Northern Iberia, living in a mosaic of environments, with differing material cultures and subsistence</w:t>
      </w:r>
      <w:r>
        <w:rPr>
          <w:rFonts w:ascii="Calibri" w:eastAsia="Calibri" w:hAnsi="Calibri" w:cs="Calibri"/>
          <w:sz w:val="24"/>
          <w:szCs w:val="24"/>
        </w:rPr>
        <w:t xml:space="preserve"> strategies. </w:t>
      </w:r>
    </w:p>
    <w:p w14:paraId="78CB1641"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The diet of humans and animals they subsisted on provides information on individual and community choices influenced by environmental factors, resource availability and social preferences (López-Costas and Alexander 2019). In this paper, we a</w:t>
      </w:r>
      <w:r>
        <w:rPr>
          <w:rFonts w:ascii="Calibri" w:eastAsia="Calibri" w:hAnsi="Calibri" w:cs="Calibri"/>
          <w:sz w:val="24"/>
          <w:szCs w:val="24"/>
        </w:rPr>
        <w:t>im to reconstruct past human and animal diets from a prehistoric population that lived in the Muela de Borja Plateau, Ebro Valley, between ca. 2550 to 1200 cal BCE. To that end, we applied stable carbon (δ</w:t>
      </w:r>
      <w:r>
        <w:rPr>
          <w:rFonts w:ascii="Calibri" w:eastAsia="Calibri" w:hAnsi="Calibri" w:cs="Calibri"/>
          <w:sz w:val="24"/>
          <w:szCs w:val="24"/>
          <w:vertAlign w:val="superscript"/>
        </w:rPr>
        <w:t>13</w:t>
      </w:r>
      <w:r>
        <w:rPr>
          <w:rFonts w:ascii="Calibri" w:eastAsia="Calibri" w:hAnsi="Calibri" w:cs="Calibri"/>
          <w:sz w:val="24"/>
          <w:szCs w:val="24"/>
        </w:rPr>
        <w:t>C) and nitrogen (δ</w:t>
      </w:r>
      <w:r>
        <w:rPr>
          <w:rFonts w:ascii="Calibri" w:eastAsia="Calibri" w:hAnsi="Calibri" w:cs="Calibri"/>
          <w:sz w:val="24"/>
          <w:szCs w:val="24"/>
          <w:vertAlign w:val="superscript"/>
        </w:rPr>
        <w:t>15</w:t>
      </w:r>
      <w:r>
        <w:rPr>
          <w:rFonts w:ascii="Calibri" w:eastAsia="Calibri" w:hAnsi="Calibri" w:cs="Calibri"/>
          <w:sz w:val="24"/>
          <w:szCs w:val="24"/>
        </w:rPr>
        <w:t xml:space="preserve">N) isotope analysis to human </w:t>
      </w:r>
      <w:r>
        <w:rPr>
          <w:rFonts w:ascii="Calibri" w:eastAsia="Calibri" w:hAnsi="Calibri" w:cs="Calibri"/>
          <w:sz w:val="24"/>
          <w:szCs w:val="24"/>
        </w:rPr>
        <w:t>(n=9) and animal (n=33) remains from multiple sites located in the Muela de Borja (Moncín, Majaladares, El Estrechuelo and El Balcón) and compared this data to published isotopic datasets from contemporary populations from across the northern Iberian Penin</w:t>
      </w:r>
      <w:r>
        <w:rPr>
          <w:rFonts w:ascii="Calibri" w:eastAsia="Calibri" w:hAnsi="Calibri" w:cs="Calibri"/>
          <w:sz w:val="24"/>
          <w:szCs w:val="24"/>
        </w:rPr>
        <w:t xml:space="preserve">sula. Animal samples were also subject to </w:t>
      </w:r>
      <w:r>
        <w:rPr>
          <w:rFonts w:ascii="Calibri" w:eastAsia="Calibri" w:hAnsi="Calibri" w:cs="Calibri"/>
          <w:sz w:val="24"/>
          <w:szCs w:val="24"/>
          <w:highlight w:val="white"/>
        </w:rPr>
        <w:t>zooarchaeology by mass spectrometry (</w:t>
      </w:r>
      <w:r>
        <w:rPr>
          <w:rFonts w:ascii="Calibri" w:eastAsia="Calibri" w:hAnsi="Calibri" w:cs="Calibri"/>
          <w:sz w:val="24"/>
          <w:szCs w:val="24"/>
        </w:rPr>
        <w:t>ZooMS) to assign species to unidentifiable bone fragments and distinguish morphologically challenging species (e.g. sheep and goat). Collectively, this biomolecular approach pro</w:t>
      </w:r>
      <w:r>
        <w:rPr>
          <w:rFonts w:ascii="Calibri" w:eastAsia="Calibri" w:hAnsi="Calibri" w:cs="Calibri"/>
          <w:sz w:val="24"/>
          <w:szCs w:val="24"/>
        </w:rPr>
        <w:t>vides a detailed overview of human dietary patterns and animal management practices during the Late Chalcolithic and Bronze Age and sheds light on how subsistence choices affected the economic development of local communities and their environmental resili</w:t>
      </w:r>
      <w:r>
        <w:rPr>
          <w:rFonts w:ascii="Calibri" w:eastAsia="Calibri" w:hAnsi="Calibri" w:cs="Calibri"/>
          <w:sz w:val="24"/>
          <w:szCs w:val="24"/>
        </w:rPr>
        <w:t xml:space="preserve">ence. </w:t>
      </w:r>
    </w:p>
    <w:p w14:paraId="2221BF57" w14:textId="77777777" w:rsidR="00A23BE2" w:rsidRDefault="00307EB3">
      <w:pPr>
        <w:pStyle w:val="Heading4"/>
        <w:numPr>
          <w:ilvl w:val="0"/>
          <w:numId w:val="1"/>
        </w:numPr>
        <w:spacing w:before="240" w:after="240" w:line="360" w:lineRule="auto"/>
        <w:ind w:left="360"/>
        <w:jc w:val="both"/>
        <w:rPr>
          <w:rFonts w:ascii="Calibri" w:eastAsia="Calibri" w:hAnsi="Calibri" w:cs="Calibri"/>
          <w:b/>
          <w:color w:val="000000"/>
        </w:rPr>
      </w:pPr>
      <w:r>
        <w:rPr>
          <w:rFonts w:ascii="Calibri" w:eastAsia="Calibri" w:hAnsi="Calibri" w:cs="Calibri"/>
          <w:b/>
          <w:color w:val="000000"/>
        </w:rPr>
        <w:t>Background to the archaeological sites</w:t>
      </w:r>
      <w:r>
        <w:rPr>
          <w:rFonts w:ascii="Calibri" w:eastAsia="Calibri" w:hAnsi="Calibri" w:cs="Calibri"/>
        </w:rPr>
        <w:t xml:space="preserve"> </w:t>
      </w:r>
    </w:p>
    <w:p w14:paraId="03B62CAC"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The Muela de Borja Plateau is a geostructural unit of 50 km² that rises to 805 metres in height with views to the wooded Moncayo Mountain Massif, to the west, and the Ebro River, to the east, with its floodpla</w:t>
      </w:r>
      <w:r>
        <w:rPr>
          <w:rFonts w:ascii="Calibri" w:eastAsia="Calibri" w:hAnsi="Calibri" w:cs="Calibri"/>
          <w:sz w:val="24"/>
          <w:szCs w:val="24"/>
        </w:rPr>
        <w:t>ins and green areas (</w:t>
      </w:r>
      <w:r>
        <w:rPr>
          <w:rFonts w:ascii="Calibri" w:eastAsia="Calibri" w:hAnsi="Calibri" w:cs="Calibri"/>
          <w:sz w:val="24"/>
          <w:szCs w:val="24"/>
          <w:highlight w:val="white"/>
        </w:rPr>
        <w:t>Harrison 2007</w:t>
      </w:r>
      <w:r>
        <w:rPr>
          <w:rFonts w:ascii="Calibri" w:eastAsia="Calibri" w:hAnsi="Calibri" w:cs="Calibri"/>
          <w:sz w:val="24"/>
          <w:szCs w:val="24"/>
        </w:rPr>
        <w:t>). These favourable geographical conditions (altitude, prominence, topography, and water provision) softened the semiarid climate and vegetation of the region and facilitated the development of a prehistoric community from</w:t>
      </w:r>
      <w:r>
        <w:rPr>
          <w:rFonts w:ascii="Calibri" w:eastAsia="Calibri" w:hAnsi="Calibri" w:cs="Calibri"/>
          <w:sz w:val="24"/>
          <w:szCs w:val="24"/>
        </w:rPr>
        <w:t xml:space="preserve"> which 42 sites have been </w:t>
      </w:r>
      <w:r>
        <w:rPr>
          <w:rFonts w:ascii="Calibri" w:eastAsia="Calibri" w:hAnsi="Calibri" w:cs="Calibri"/>
          <w:sz w:val="24"/>
          <w:szCs w:val="24"/>
        </w:rPr>
        <w:lastRenderedPageBreak/>
        <w:t xml:space="preserve">identified and investigated to date (see Aguilera 2017). Four of these sites are under consideration here, situated in the highest part of the plateau, close to water sources </w:t>
      </w:r>
      <w:r>
        <w:rPr>
          <w:rFonts w:ascii="Calibri" w:eastAsia="Calibri" w:hAnsi="Calibri" w:cs="Calibri"/>
          <w:sz w:val="24"/>
          <w:szCs w:val="24"/>
          <w:highlight w:val="white"/>
        </w:rPr>
        <w:t>(Fig. 1)</w:t>
      </w:r>
      <w:r>
        <w:rPr>
          <w:rFonts w:ascii="Calibri" w:eastAsia="Calibri" w:hAnsi="Calibri" w:cs="Calibri"/>
          <w:sz w:val="24"/>
          <w:szCs w:val="24"/>
        </w:rPr>
        <w:t xml:space="preserve">. These sites were chosen due to the available </w:t>
      </w:r>
      <w:r>
        <w:rPr>
          <w:rFonts w:ascii="Calibri" w:eastAsia="Calibri" w:hAnsi="Calibri" w:cs="Calibri"/>
          <w:sz w:val="24"/>
          <w:szCs w:val="24"/>
        </w:rPr>
        <w:t>information on the diversity of the flora and fauna and a rich funerary record that allows us to understand the territorial organisation and history of the human community. The four sites are outlined below.</w:t>
      </w:r>
    </w:p>
    <w:p w14:paraId="7EDC8192"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i/>
          <w:sz w:val="24"/>
          <w:szCs w:val="24"/>
          <w:highlight w:val="white"/>
        </w:rPr>
        <w:t>Moncín</w:t>
      </w:r>
    </w:p>
    <w:p w14:paraId="6C63BBFE"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The site of Moncín is located in the Muela de Borja (UTM coordinates: X= 617322; Y= 4635386). The archaeological excavations began in 1979, conducted by R. J. Harrison, and lasted until 1987. This complex site consists of an open-air settlement (Moncín ext</w:t>
      </w:r>
      <w:r>
        <w:rPr>
          <w:rFonts w:ascii="Calibri" w:eastAsia="Calibri" w:hAnsi="Calibri" w:cs="Calibri"/>
          <w:sz w:val="24"/>
          <w:szCs w:val="24"/>
          <w:highlight w:val="white"/>
        </w:rPr>
        <w:t>.), a large cave with both a funerary and residential use (Moncín I and II), and, finally, a small burial cavity (Moncín III). Radiocarbon (</w:t>
      </w:r>
      <w:r>
        <w:rPr>
          <w:rFonts w:ascii="Calibri" w:eastAsia="Calibri" w:hAnsi="Calibri" w:cs="Calibri"/>
          <w:sz w:val="24"/>
          <w:szCs w:val="24"/>
          <w:highlight w:val="white"/>
          <w:vertAlign w:val="superscript"/>
        </w:rPr>
        <w:t>14</w:t>
      </w:r>
      <w:r>
        <w:rPr>
          <w:rFonts w:ascii="Calibri" w:eastAsia="Calibri" w:hAnsi="Calibri" w:cs="Calibri"/>
          <w:sz w:val="24"/>
          <w:szCs w:val="24"/>
          <w:highlight w:val="white"/>
        </w:rPr>
        <w:t>C) dating of the open-air site indicates that human populations occupied the settlement from approximately 2550 to</w:t>
      </w:r>
      <w:r>
        <w:rPr>
          <w:rFonts w:ascii="Calibri" w:eastAsia="Calibri" w:hAnsi="Calibri" w:cs="Calibri"/>
          <w:sz w:val="24"/>
          <w:szCs w:val="24"/>
          <w:highlight w:val="white"/>
        </w:rPr>
        <w:t xml:space="preserve"> 1250 cal BCE, that is, from the Late Chalcolithic to the Late Bronze Age (Harrison et al. 1994). Despite the disturbance of the archaeological layers by later human activities, excavations revealed the presence of numerous artefacts, including a repertory</w:t>
      </w:r>
      <w:r>
        <w:rPr>
          <w:rFonts w:ascii="Calibri" w:eastAsia="Calibri" w:hAnsi="Calibri" w:cs="Calibri"/>
          <w:sz w:val="24"/>
          <w:szCs w:val="24"/>
          <w:highlight w:val="white"/>
        </w:rPr>
        <w:t xml:space="preserve"> of ceramics from the distinctive Bell Beaker Maritime style (2550-2350 cal BCE) included within the Late Chalcolithic; the  regional Bell Beaker Ciempozuelos style (2350-2000 cal BCE); the so-called “Epicampaniform”, that comprises the Arbolí type, repres</w:t>
      </w:r>
      <w:r>
        <w:rPr>
          <w:rFonts w:ascii="Calibri" w:eastAsia="Calibri" w:hAnsi="Calibri" w:cs="Calibri"/>
          <w:sz w:val="24"/>
          <w:szCs w:val="24"/>
          <w:highlight w:val="white"/>
        </w:rPr>
        <w:t>entative of the Early Bronze Age (2000-1700 cal BCE) in northeast Iberia; and, finally, the Cogotas I style during the Late Bronze Age (1500-1200 cal BCE). Notably, 21 rectangular dwellings built of timber frames resting on stone bases, with hard clay floo</w:t>
      </w:r>
      <w:r>
        <w:rPr>
          <w:rFonts w:ascii="Calibri" w:eastAsia="Calibri" w:hAnsi="Calibri" w:cs="Calibri"/>
          <w:sz w:val="24"/>
          <w:szCs w:val="24"/>
          <w:highlight w:val="white"/>
        </w:rPr>
        <w:t>rs and central hearths, were identified in the site, which does not present any internal organisation. Underground silos were also documented, arranged in the centre of the site. Additionally, it was possible to recover an assemblage of scattered human rem</w:t>
      </w:r>
      <w:r>
        <w:rPr>
          <w:rFonts w:ascii="Calibri" w:eastAsia="Calibri" w:hAnsi="Calibri" w:cs="Calibri"/>
          <w:sz w:val="24"/>
          <w:szCs w:val="24"/>
          <w:highlight w:val="white"/>
        </w:rPr>
        <w:t xml:space="preserve">ains belonging to different individuals dating to 2200-1750 cal BCE, which covers the Late Chalcolithic-Early Bronze Age phases. </w:t>
      </w:r>
      <w:r>
        <w:rPr>
          <w:rFonts w:ascii="Calibri" w:eastAsia="Calibri" w:hAnsi="Calibri" w:cs="Calibri"/>
          <w:sz w:val="24"/>
          <w:szCs w:val="24"/>
          <w:highlight w:val="white"/>
        </w:rPr>
        <w:tab/>
      </w:r>
    </w:p>
    <w:p w14:paraId="492FE626"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The large cave Moncín I-II contained various human remains in different chambers and, most remarkably, several cave paintings</w:t>
      </w:r>
      <w:r>
        <w:rPr>
          <w:rFonts w:ascii="Calibri" w:eastAsia="Calibri" w:hAnsi="Calibri" w:cs="Calibri"/>
          <w:sz w:val="24"/>
          <w:szCs w:val="24"/>
          <w:highlight w:val="white"/>
        </w:rPr>
        <w:t xml:space="preserve"> consisting of anthropomorphic and geometric figures. AMS dating of two human bones from different individuals provided an estimated age of 1902-1735 cal BCE that, together with the presence of Bell Beaker sherds from the Ciempozuelos type, indicates a Lat</w:t>
      </w:r>
      <w:r>
        <w:rPr>
          <w:rFonts w:ascii="Calibri" w:eastAsia="Calibri" w:hAnsi="Calibri" w:cs="Calibri"/>
          <w:sz w:val="24"/>
          <w:szCs w:val="24"/>
          <w:highlight w:val="white"/>
        </w:rPr>
        <w:t>e Chalcolithic chronology and that it was used at least until the Middle Bronze Age (1700-1500 cal BCE) and Late Bronze Age (1500-1200 cal BCE), as denoted by the recovery of Proto-Cogotas and Cogotas I pottery. Finally, Moncín III consisted of a secondary</w:t>
      </w:r>
      <w:r>
        <w:rPr>
          <w:rFonts w:ascii="Calibri" w:eastAsia="Calibri" w:hAnsi="Calibri" w:cs="Calibri"/>
          <w:sz w:val="24"/>
          <w:szCs w:val="24"/>
          <w:highlight w:val="white"/>
        </w:rPr>
        <w:t xml:space="preserve"> burial deposition. Partial human bones </w:t>
      </w:r>
      <w:r>
        <w:rPr>
          <w:rFonts w:ascii="Calibri" w:eastAsia="Calibri" w:hAnsi="Calibri" w:cs="Calibri"/>
          <w:sz w:val="24"/>
          <w:szCs w:val="24"/>
          <w:highlight w:val="white"/>
        </w:rPr>
        <w:lastRenderedPageBreak/>
        <w:t>belonging to 4 individuals were found without any associated burial goods, and AMS dating of one of the bones revealed that the cave was used around 1624 cal BCE (Middle Bronze Age).</w:t>
      </w:r>
    </w:p>
    <w:p w14:paraId="4D9D28C7" w14:textId="77777777" w:rsidR="00A23BE2" w:rsidRDefault="00307EB3">
      <w:pPr>
        <w:spacing w:before="240" w:after="240" w:line="360" w:lineRule="auto"/>
        <w:jc w:val="both"/>
        <w:rPr>
          <w:rFonts w:ascii="Calibri" w:eastAsia="Calibri" w:hAnsi="Calibri" w:cs="Calibri"/>
          <w:i/>
          <w:sz w:val="24"/>
          <w:szCs w:val="24"/>
          <w:highlight w:val="white"/>
        </w:rPr>
      </w:pPr>
      <w:r>
        <w:rPr>
          <w:rFonts w:ascii="Calibri" w:eastAsia="Calibri" w:hAnsi="Calibri" w:cs="Calibri"/>
          <w:i/>
          <w:sz w:val="24"/>
          <w:szCs w:val="24"/>
          <w:highlight w:val="white"/>
        </w:rPr>
        <w:t>Majaladares</w:t>
      </w:r>
    </w:p>
    <w:p w14:paraId="2132467E"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The Majaladares site </w:t>
      </w:r>
      <w:r>
        <w:rPr>
          <w:rFonts w:ascii="Calibri" w:eastAsia="Calibri" w:hAnsi="Calibri" w:cs="Calibri"/>
          <w:sz w:val="24"/>
          <w:szCs w:val="24"/>
          <w:highlight w:val="white"/>
        </w:rPr>
        <w:t xml:space="preserve">is similarly located in the Muela of Borja, approximately 3 km from Moncín (X=614664; Y=4636819). It consists of an open-air settlement (Majaladares ext.), two caves used as a dwelling and burial space (Majaladares I and II) that originally must have been </w:t>
      </w:r>
      <w:r>
        <w:rPr>
          <w:rFonts w:ascii="Calibri" w:eastAsia="Calibri" w:hAnsi="Calibri" w:cs="Calibri"/>
          <w:sz w:val="24"/>
          <w:szCs w:val="24"/>
          <w:highlight w:val="white"/>
        </w:rPr>
        <w:t>a single cave, and, finally, a third cavity (Majaladares III) with exclusive funerary use. Excavations in the open-air site took place in 1990-1994 and 1999 and revealed a rich archaeological sequence dating from 2350 to 1250 cal BCE, which ranges from the</w:t>
      </w:r>
      <w:r>
        <w:rPr>
          <w:rFonts w:ascii="Calibri" w:eastAsia="Calibri" w:hAnsi="Calibri" w:cs="Calibri"/>
          <w:sz w:val="24"/>
          <w:szCs w:val="24"/>
          <w:highlight w:val="white"/>
        </w:rPr>
        <w:t xml:space="preserve"> Late Chalcolithic to the Late Bronze Age (Harrison 2007). It extends over three terraces and has been subject to processes of re-deposition, resulting in the removal of the materials, including Ciempozuelos, Epicampaniform and Cogotas I pottery. As in Mon</w:t>
      </w:r>
      <w:r>
        <w:rPr>
          <w:rFonts w:ascii="Calibri" w:eastAsia="Calibri" w:hAnsi="Calibri" w:cs="Calibri"/>
          <w:sz w:val="24"/>
          <w:szCs w:val="24"/>
          <w:highlight w:val="white"/>
        </w:rPr>
        <w:t>cín, timber and stone buildings with central hearths were documented, but no storage pits could be found. Moreover, during the excavations, some human bone fragments were identified.</w:t>
      </w:r>
    </w:p>
    <w:p w14:paraId="20C70E57"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Between 1986 and 1988, excavations were carried out in Majaladares II cav</w:t>
      </w:r>
      <w:r>
        <w:rPr>
          <w:rFonts w:ascii="Calibri" w:eastAsia="Calibri" w:hAnsi="Calibri" w:cs="Calibri"/>
          <w:sz w:val="24"/>
          <w:szCs w:val="24"/>
          <w:highlight w:val="white"/>
        </w:rPr>
        <w:t xml:space="preserve">e, under the direction of I. Aguilera. The work brought to light three different occupation phases that altogether, according to radiocarbon dating of wood charcoal and fauna, started around 2350 cal BCE and ended in 1500 cal BCE (Late Chalcolithic-Middle </w:t>
      </w:r>
      <w:r>
        <w:rPr>
          <w:rFonts w:ascii="Calibri" w:eastAsia="Calibri" w:hAnsi="Calibri" w:cs="Calibri"/>
          <w:sz w:val="24"/>
          <w:szCs w:val="24"/>
          <w:highlight w:val="white"/>
        </w:rPr>
        <w:t>Bronze Age), with a period of decline during the Early Bronze Age . Among the abundant archaeological artefacts found on the site, there were Bell Beaker, Epicampaniform and Cogotas I pottery. There is evidence of fauna, wood charcoal, and seeds, as well a</w:t>
      </w:r>
      <w:r>
        <w:rPr>
          <w:rFonts w:ascii="Calibri" w:eastAsia="Calibri" w:hAnsi="Calibri" w:cs="Calibri"/>
          <w:sz w:val="24"/>
          <w:szCs w:val="24"/>
          <w:highlight w:val="white"/>
        </w:rPr>
        <w:t xml:space="preserve">s disarticulated human remains. </w:t>
      </w:r>
    </w:p>
    <w:p w14:paraId="0F7DECC9" w14:textId="77777777" w:rsidR="00A23BE2" w:rsidRDefault="00307EB3">
      <w:pPr>
        <w:spacing w:before="240" w:after="240" w:line="360" w:lineRule="auto"/>
        <w:jc w:val="both"/>
        <w:rPr>
          <w:rFonts w:ascii="Calibri" w:eastAsia="Calibri" w:hAnsi="Calibri" w:cs="Calibri"/>
          <w:i/>
          <w:sz w:val="24"/>
          <w:szCs w:val="24"/>
          <w:highlight w:val="white"/>
        </w:rPr>
      </w:pPr>
      <w:r>
        <w:rPr>
          <w:rFonts w:ascii="Calibri" w:eastAsia="Calibri" w:hAnsi="Calibri" w:cs="Calibri"/>
          <w:i/>
          <w:sz w:val="24"/>
          <w:szCs w:val="24"/>
          <w:highlight w:val="white"/>
        </w:rPr>
        <w:t>El Estrechuelo</w:t>
      </w:r>
    </w:p>
    <w:p w14:paraId="6CF191F1"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El Estrechuelo (X=616006; Y=4635950) was discovered in 1981 by I. Aguilera and partially excavated in 1984. It is a small sepulchral cave with accumulative secondary burials close to an open-air living area (</w:t>
      </w:r>
      <w:r>
        <w:rPr>
          <w:rFonts w:ascii="Calibri" w:eastAsia="Calibri" w:hAnsi="Calibri" w:cs="Calibri"/>
          <w:sz w:val="24"/>
          <w:szCs w:val="24"/>
          <w:highlight w:val="white"/>
        </w:rPr>
        <w:t>Aguilera 1986). It contains at least six individuals that were found entirely disarticulated with a small number of ceramic fragments, some belonging to the Late Bell Beaker phase (Epicampaniform, 2000-1700 cal BCE). AMS dating of two human bones showed th</w:t>
      </w:r>
      <w:r>
        <w:rPr>
          <w:rFonts w:ascii="Calibri" w:eastAsia="Calibri" w:hAnsi="Calibri" w:cs="Calibri"/>
          <w:sz w:val="24"/>
          <w:szCs w:val="24"/>
          <w:highlight w:val="white"/>
        </w:rPr>
        <w:t>at the cave was used over a long period (2355 and 1335 cal BCE).</w:t>
      </w:r>
    </w:p>
    <w:p w14:paraId="0A78A9DD" w14:textId="77777777" w:rsidR="00A23BE2" w:rsidRDefault="00307EB3">
      <w:pPr>
        <w:spacing w:before="240" w:after="240" w:line="360" w:lineRule="auto"/>
        <w:jc w:val="both"/>
        <w:rPr>
          <w:rFonts w:ascii="Calibri" w:eastAsia="Calibri" w:hAnsi="Calibri" w:cs="Calibri"/>
          <w:i/>
          <w:sz w:val="24"/>
          <w:szCs w:val="24"/>
          <w:highlight w:val="white"/>
        </w:rPr>
      </w:pPr>
      <w:r>
        <w:rPr>
          <w:rFonts w:ascii="Calibri" w:eastAsia="Calibri" w:hAnsi="Calibri" w:cs="Calibri"/>
          <w:i/>
          <w:sz w:val="24"/>
          <w:szCs w:val="24"/>
          <w:highlight w:val="white"/>
        </w:rPr>
        <w:t>El Balcón</w:t>
      </w:r>
    </w:p>
    <w:p w14:paraId="5219388F"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highlight w:val="white"/>
        </w:rPr>
        <w:lastRenderedPageBreak/>
        <w:t>El Balcón (X=615069; Y=4637555) was discovered in 1978 by I. Aguilera through a superficial prospection. It includes an open-air site and a rock shelter where a human femur, belongi</w:t>
      </w:r>
      <w:r>
        <w:rPr>
          <w:rFonts w:ascii="Calibri" w:eastAsia="Calibri" w:hAnsi="Calibri" w:cs="Calibri"/>
          <w:sz w:val="24"/>
          <w:szCs w:val="24"/>
          <w:highlight w:val="white"/>
        </w:rPr>
        <w:t>ng to an adult, was discovered, along with other archaeological materials that denote a residential use (Aguilera 1985, unpublished report). The presence of incised and impressed pottery (Bell Beaker Ciempozuelos, 2350-2000 cal BCE) indicates a Late Chalco</w:t>
      </w:r>
      <w:r>
        <w:rPr>
          <w:rFonts w:ascii="Calibri" w:eastAsia="Calibri" w:hAnsi="Calibri" w:cs="Calibri"/>
          <w:sz w:val="24"/>
          <w:szCs w:val="24"/>
          <w:highlight w:val="white"/>
        </w:rPr>
        <w:t>lithic chronology.</w:t>
      </w:r>
    </w:p>
    <w:p w14:paraId="2C9BA569" w14:textId="77777777" w:rsidR="00A23BE2" w:rsidRDefault="00307EB3">
      <w:pPr>
        <w:numPr>
          <w:ilvl w:val="0"/>
          <w:numId w:val="1"/>
        </w:numPr>
        <w:pBdr>
          <w:top w:val="nil"/>
          <w:left w:val="nil"/>
          <w:bottom w:val="nil"/>
          <w:right w:val="nil"/>
          <w:between w:val="nil"/>
        </w:pBdr>
        <w:spacing w:before="240" w:after="240" w:line="360" w:lineRule="auto"/>
        <w:ind w:left="360"/>
        <w:jc w:val="both"/>
        <w:rPr>
          <w:rFonts w:ascii="Calibri" w:eastAsia="Calibri" w:hAnsi="Calibri" w:cs="Calibri"/>
          <w:b/>
          <w:color w:val="000000"/>
          <w:sz w:val="24"/>
          <w:szCs w:val="24"/>
        </w:rPr>
      </w:pPr>
      <w:bookmarkStart w:id="1" w:name="_heading=h.1fob9te" w:colFirst="0" w:colLast="0"/>
      <w:bookmarkEnd w:id="1"/>
      <w:r>
        <w:rPr>
          <w:rFonts w:ascii="Calibri" w:eastAsia="Calibri" w:hAnsi="Calibri" w:cs="Calibri"/>
          <w:b/>
          <w:color w:val="000000"/>
          <w:sz w:val="24"/>
          <w:szCs w:val="24"/>
        </w:rPr>
        <w:t>The osteoarchaeological assemblage</w:t>
      </w:r>
    </w:p>
    <w:p w14:paraId="6A25705A" w14:textId="77777777" w:rsidR="00A23BE2" w:rsidRDefault="00307EB3">
      <w:pPr>
        <w:spacing w:before="240" w:after="240" w:line="360" w:lineRule="auto"/>
        <w:jc w:val="both"/>
        <w:rPr>
          <w:rFonts w:ascii="Calibri" w:eastAsia="Calibri" w:hAnsi="Calibri" w:cs="Calibri"/>
          <w:sz w:val="24"/>
          <w:szCs w:val="24"/>
        </w:rPr>
      </w:pPr>
      <w:bookmarkStart w:id="2" w:name="_heading=h.3znysh7" w:colFirst="0" w:colLast="0"/>
      <w:bookmarkEnd w:id="2"/>
      <w:r>
        <w:rPr>
          <w:rFonts w:ascii="Calibri" w:eastAsia="Calibri" w:hAnsi="Calibri" w:cs="Calibri"/>
          <w:color w:val="000000"/>
          <w:sz w:val="24"/>
          <w:szCs w:val="24"/>
          <w:highlight w:val="white"/>
        </w:rPr>
        <w:t>The human individuals from La Muela de Borja were mainly buried in caves, generally inside natural cavities, but some remains were found dispersed outside the caves mixed with domestic archaeological sediments. The skeletal remains were found completely di</w:t>
      </w:r>
      <w:r>
        <w:rPr>
          <w:rFonts w:ascii="Calibri" w:eastAsia="Calibri" w:hAnsi="Calibri" w:cs="Calibri"/>
          <w:color w:val="000000"/>
          <w:sz w:val="24"/>
          <w:szCs w:val="24"/>
          <w:highlight w:val="white"/>
        </w:rPr>
        <w:t>sarticulated and without burial goods due to the different phases of the funerary practices of these communities: a previous removal of the flesh by natural means; the collection of clean bones; and their final deposition in cavities and natural holes insi</w:t>
      </w:r>
      <w:r>
        <w:rPr>
          <w:rFonts w:ascii="Calibri" w:eastAsia="Calibri" w:hAnsi="Calibri" w:cs="Calibri"/>
          <w:color w:val="000000"/>
          <w:sz w:val="24"/>
          <w:szCs w:val="24"/>
          <w:highlight w:val="white"/>
        </w:rPr>
        <w:t xml:space="preserve">de the studied caves. However, it is also possible that some of these remains represent disturbed primary burials. In some instances, bones showed evidence for rodent gnawing. </w:t>
      </w:r>
      <w:r>
        <w:rPr>
          <w:rFonts w:ascii="Calibri" w:eastAsia="Calibri" w:hAnsi="Calibri" w:cs="Calibri"/>
          <w:sz w:val="24"/>
          <w:szCs w:val="24"/>
        </w:rPr>
        <w:t xml:space="preserve">  </w:t>
      </w:r>
    </w:p>
    <w:p w14:paraId="39542A47" w14:textId="77777777" w:rsidR="00A23BE2" w:rsidRDefault="00307EB3">
      <w:pPr>
        <w:spacing w:before="240" w:after="240" w:line="360" w:lineRule="auto"/>
        <w:jc w:val="both"/>
        <w:rPr>
          <w:rFonts w:ascii="Calibri" w:eastAsia="Calibri" w:hAnsi="Calibri" w:cs="Calibri"/>
          <w:color w:val="000000"/>
          <w:sz w:val="24"/>
          <w:szCs w:val="24"/>
        </w:rPr>
      </w:pPr>
      <w:r>
        <w:rPr>
          <w:rFonts w:ascii="Calibri" w:eastAsia="Calibri" w:hAnsi="Calibri" w:cs="Calibri"/>
          <w:color w:val="000000"/>
          <w:sz w:val="24"/>
          <w:szCs w:val="24"/>
        </w:rPr>
        <w:t>The incompleteness of the skeletons prevented the full anthropological study of all the individuals potentially buried in each site, although the preservation was generally good. Preliminary studies of the human osteological remains found in Muela de Borja</w:t>
      </w:r>
      <w:r>
        <w:rPr>
          <w:rFonts w:ascii="Calibri" w:eastAsia="Calibri" w:hAnsi="Calibri" w:cs="Calibri"/>
          <w:color w:val="000000"/>
          <w:sz w:val="24"/>
          <w:szCs w:val="24"/>
        </w:rPr>
        <w:t xml:space="preserve"> (Musgrave 1994; Jakob and Walser 2016, unpublished report; Aguilera 2017), estimated a minimum number of individuals (MNI) of 44: 25 from Moncín; 9 from Majaladares; 6 from El Estrechuelo; 1 from El Balcón; 1 from El Barranco de la Albaradilla; and 2 from</w:t>
      </w:r>
      <w:r>
        <w:rPr>
          <w:rFonts w:ascii="Calibri" w:eastAsia="Calibri" w:hAnsi="Calibri" w:cs="Calibri"/>
          <w:color w:val="000000"/>
          <w:sz w:val="24"/>
          <w:szCs w:val="24"/>
        </w:rPr>
        <w:t xml:space="preserve"> La Calleja. The morphological sex could be determined for a total of 15 adults (5 females and 10 males), but the sex of 24 individuals (9 adults, 18 subadults and 2 of unknown age) remains undetermined (Table 1).</w:t>
      </w:r>
    </w:p>
    <w:p w14:paraId="6CE6A9C0" w14:textId="77777777" w:rsidR="00A23BE2" w:rsidRDefault="00307EB3">
      <w:pPr>
        <w:spacing w:after="200" w:line="360" w:lineRule="auto"/>
        <w:jc w:val="both"/>
        <w:rPr>
          <w:rFonts w:ascii="Calibri" w:eastAsia="Calibri" w:hAnsi="Calibri" w:cs="Calibri"/>
          <w:color w:val="000000"/>
          <w:sz w:val="24"/>
          <w:szCs w:val="24"/>
        </w:rPr>
      </w:pPr>
      <w:r>
        <w:rPr>
          <w:rFonts w:ascii="Calibri" w:eastAsia="Calibri" w:hAnsi="Calibri" w:cs="Calibri"/>
          <w:color w:val="000000"/>
          <w:sz w:val="24"/>
          <w:szCs w:val="24"/>
        </w:rPr>
        <w:t>Sex determination was carried out using st</w:t>
      </w:r>
      <w:r>
        <w:rPr>
          <w:rFonts w:ascii="Calibri" w:eastAsia="Calibri" w:hAnsi="Calibri" w:cs="Calibri"/>
          <w:color w:val="000000"/>
          <w:sz w:val="24"/>
          <w:szCs w:val="24"/>
        </w:rPr>
        <w:t>andard osteological techniques, as described by Buikstra and Ubelaker (1994). Assessment of biological sex relies on the preservation of the skull and the pelvis and can only be carried out once sexual characteristics have developed, during late puberty an</w:t>
      </w:r>
      <w:r>
        <w:rPr>
          <w:rFonts w:ascii="Calibri" w:eastAsia="Calibri" w:hAnsi="Calibri" w:cs="Calibri"/>
          <w:color w:val="000000"/>
          <w:sz w:val="24"/>
          <w:szCs w:val="24"/>
        </w:rPr>
        <w:t>d early adulthood. Therefore, no attempt was made to estimate sex in individuals younger than 18 years. Since no pelvic remains were present, sex estimation relied on morphological features of the cranium and mandible, as well as metric evaluation of sexua</w:t>
      </w:r>
      <w:r>
        <w:rPr>
          <w:rFonts w:ascii="Calibri" w:eastAsia="Calibri" w:hAnsi="Calibri" w:cs="Calibri"/>
          <w:color w:val="000000"/>
          <w:sz w:val="24"/>
          <w:szCs w:val="24"/>
        </w:rPr>
        <w:t xml:space="preserve">lly dimorphic areas of long bones. </w:t>
      </w:r>
    </w:p>
    <w:p w14:paraId="680B2149" w14:textId="77777777" w:rsidR="00A23BE2" w:rsidRDefault="00307EB3">
      <w:pPr>
        <w:spacing w:after="200" w:line="360" w:lineRule="auto"/>
        <w:jc w:val="both"/>
        <w:rPr>
          <w:rFonts w:ascii="Calibri" w:eastAsia="Calibri" w:hAnsi="Calibri" w:cs="Calibri"/>
          <w:sz w:val="24"/>
          <w:szCs w:val="24"/>
        </w:rPr>
      </w:pPr>
      <w:r>
        <w:rPr>
          <w:rFonts w:ascii="Calibri" w:eastAsia="Calibri" w:hAnsi="Calibri" w:cs="Calibri"/>
          <w:color w:val="000000"/>
          <w:sz w:val="24"/>
          <w:szCs w:val="24"/>
        </w:rPr>
        <w:lastRenderedPageBreak/>
        <w:t>Non-adult and adult age was determined using standard age estimation methods, as outlined in Scheuer and Black (2000) and Brothwell (1981). Age estimation of non-adult individuals is most reliant using dental development</w:t>
      </w:r>
      <w:r>
        <w:rPr>
          <w:rFonts w:ascii="Calibri" w:eastAsia="Calibri" w:hAnsi="Calibri" w:cs="Calibri"/>
          <w:color w:val="000000"/>
          <w:sz w:val="24"/>
          <w:szCs w:val="24"/>
        </w:rPr>
        <w:t xml:space="preserve"> and eruption criteria. However, no teeth were recovered from any of the non-adult skeletal remains and therefore age estimation is based on long bone length and fusion of epiphyses. The subadults from the different sites ranged between 0.5 and 12.5 years.</w:t>
      </w:r>
      <w:r>
        <w:rPr>
          <w:rFonts w:ascii="Calibri" w:eastAsia="Calibri" w:hAnsi="Calibri" w:cs="Calibri"/>
          <w:color w:val="000000"/>
          <w:sz w:val="24"/>
          <w:szCs w:val="24"/>
        </w:rPr>
        <w:t xml:space="preserve"> Age estimation of adult remains had to be based on dental wear since no other anatomical areas used for age estimation such as the pubic symphysis or auricular surface were preserved. However, age estimation of adult individuals can be inaccurate and, in </w:t>
      </w:r>
      <w:r>
        <w:rPr>
          <w:rFonts w:ascii="Calibri" w:eastAsia="Calibri" w:hAnsi="Calibri" w:cs="Calibri"/>
          <w:color w:val="000000"/>
          <w:sz w:val="24"/>
          <w:szCs w:val="24"/>
        </w:rPr>
        <w:t>many cases, no precise age other than ‘adult’ (&gt;18 years) could be established.</w:t>
      </w:r>
    </w:p>
    <w:p w14:paraId="0E08D526"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The available anthropological data did not provide any meaningful information on the demography of the population but gave some insights into skeletal morphology. Stature for m</w:t>
      </w:r>
      <w:r>
        <w:rPr>
          <w:rFonts w:ascii="Calibri" w:eastAsia="Calibri" w:hAnsi="Calibri" w:cs="Calibri"/>
          <w:sz w:val="24"/>
          <w:szCs w:val="24"/>
        </w:rPr>
        <w:t xml:space="preserve">ale and female adults was probably slightly higher compared to published data from the same time periods and geographical area (Lalueza-Fox 1998), but this is only based on the measurement of a small number of completely preserved long bones (N=10) (Jakob </w:t>
      </w:r>
      <w:r>
        <w:rPr>
          <w:rFonts w:ascii="Calibri" w:eastAsia="Calibri" w:hAnsi="Calibri" w:cs="Calibri"/>
          <w:sz w:val="24"/>
          <w:szCs w:val="24"/>
        </w:rPr>
        <w:t>and Walser 2016, unpublished report). Some postcranial signs, such as the high prevalence of the third trochanter or Allen’s Fossa, might suggest an intense activity connected to walking through rough and rugged mountainous areas (Lozanoff et al. 1985; Göh</w:t>
      </w:r>
      <w:r>
        <w:rPr>
          <w:rFonts w:ascii="Calibri" w:eastAsia="Calibri" w:hAnsi="Calibri" w:cs="Calibri"/>
          <w:sz w:val="24"/>
          <w:szCs w:val="24"/>
        </w:rPr>
        <w:t>ring 2021). A rare anatomical variant (</w:t>
      </w:r>
      <w:r>
        <w:rPr>
          <w:rFonts w:ascii="Calibri" w:eastAsia="Calibri" w:hAnsi="Calibri" w:cs="Calibri"/>
          <w:i/>
          <w:sz w:val="24"/>
          <w:szCs w:val="24"/>
        </w:rPr>
        <w:t>concha bullosa</w:t>
      </w:r>
      <w:r>
        <w:rPr>
          <w:rFonts w:ascii="Calibri" w:eastAsia="Calibri" w:hAnsi="Calibri" w:cs="Calibri"/>
          <w:sz w:val="24"/>
          <w:szCs w:val="24"/>
        </w:rPr>
        <w:t xml:space="preserve">), which predisposes to infections such as sinusitis, was present in a male from El Estrechuelo, and this probably represents one of the oldest examples reported so far (Mays et al. 2011, 2014). </w:t>
      </w:r>
    </w:p>
    <w:p w14:paraId="03E5CE4D"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Despite</w:t>
      </w:r>
      <w:r>
        <w:rPr>
          <w:rFonts w:ascii="Calibri" w:eastAsia="Calibri" w:hAnsi="Calibri" w:cs="Calibri"/>
          <w:sz w:val="24"/>
          <w:szCs w:val="24"/>
        </w:rPr>
        <w:t xml:space="preserve"> the small number of skeletal elements available for analysis, a relatively high prevalence of traumatic lesions in the form of healed fractures and soft-tissue trauma (entheseal changes) and joint diseases (degenerative joint disease and osteoarthritis) w</w:t>
      </w:r>
      <w:r>
        <w:rPr>
          <w:rFonts w:ascii="Calibri" w:eastAsia="Calibri" w:hAnsi="Calibri" w:cs="Calibri"/>
          <w:sz w:val="24"/>
          <w:szCs w:val="24"/>
        </w:rPr>
        <w:t>ere described. Some non-specific infectious disease (affecting the visceral aspect of ribs, one lower leg bone and the endocranial aspect of an adult frontal bone) and two benign bone tumours (osteomata) were also reported among the sites. The palaeopathol</w:t>
      </w:r>
      <w:r>
        <w:rPr>
          <w:rFonts w:ascii="Calibri" w:eastAsia="Calibri" w:hAnsi="Calibri" w:cs="Calibri"/>
          <w:sz w:val="24"/>
          <w:szCs w:val="24"/>
        </w:rPr>
        <w:t>ogical analysis did not show any sign of interpersonal violence, and oral health (caries, calculus) was good overall. However, ante-mortem tooth loss was frequent. Some teeth (e.g. incisors) are rarely lost during life and deliberate removal (dental avulsi</w:t>
      </w:r>
      <w:r>
        <w:rPr>
          <w:rFonts w:ascii="Calibri" w:eastAsia="Calibri" w:hAnsi="Calibri" w:cs="Calibri"/>
          <w:sz w:val="24"/>
          <w:szCs w:val="24"/>
        </w:rPr>
        <w:t>on) has to be considered. Non-specific stress indicators (</w:t>
      </w:r>
      <w:r>
        <w:rPr>
          <w:rFonts w:ascii="Calibri" w:eastAsia="Calibri" w:hAnsi="Calibri" w:cs="Calibri"/>
          <w:i/>
          <w:sz w:val="24"/>
          <w:szCs w:val="24"/>
        </w:rPr>
        <w:t xml:space="preserve">cribra orbitalia </w:t>
      </w:r>
      <w:r>
        <w:rPr>
          <w:rFonts w:ascii="Calibri" w:eastAsia="Calibri" w:hAnsi="Calibri" w:cs="Calibri"/>
          <w:sz w:val="24"/>
          <w:szCs w:val="24"/>
        </w:rPr>
        <w:t>and enamel hypoplasia) related to potential nutritional and/or disease suffered by the non-adult population were also observed, but in only a minimum of three individuals. It is imp</w:t>
      </w:r>
      <w:r>
        <w:rPr>
          <w:rFonts w:ascii="Calibri" w:eastAsia="Calibri" w:hAnsi="Calibri" w:cs="Calibri"/>
          <w:sz w:val="24"/>
          <w:szCs w:val="24"/>
        </w:rPr>
        <w:t xml:space="preserve">ortant to highlight that all the interpretations provided by the osteological analyses must be tentative due to the incomplete nature of the osteological data. </w:t>
      </w:r>
    </w:p>
    <w:p w14:paraId="22281BFE" w14:textId="77777777" w:rsidR="00A23BE2" w:rsidRDefault="00307EB3">
      <w:pPr>
        <w:pStyle w:val="Heading4"/>
        <w:numPr>
          <w:ilvl w:val="0"/>
          <w:numId w:val="1"/>
        </w:numPr>
        <w:spacing w:before="240" w:after="240" w:line="360" w:lineRule="auto"/>
        <w:ind w:left="360"/>
        <w:jc w:val="both"/>
        <w:rPr>
          <w:rFonts w:ascii="Calibri" w:eastAsia="Calibri" w:hAnsi="Calibri" w:cs="Calibri"/>
          <w:b/>
          <w:color w:val="000000"/>
        </w:rPr>
      </w:pPr>
      <w:r>
        <w:rPr>
          <w:rFonts w:ascii="Calibri" w:eastAsia="Calibri" w:hAnsi="Calibri" w:cs="Calibri"/>
          <w:b/>
          <w:color w:val="000000"/>
        </w:rPr>
        <w:lastRenderedPageBreak/>
        <w:t>Zooarchaeological and archaeobotanical evidence for diet</w:t>
      </w:r>
    </w:p>
    <w:p w14:paraId="77C6A5B4"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Based on the information obtained from</w:t>
      </w:r>
      <w:r>
        <w:rPr>
          <w:rFonts w:ascii="Calibri" w:eastAsia="Calibri" w:hAnsi="Calibri" w:cs="Calibri"/>
          <w:sz w:val="24"/>
          <w:szCs w:val="24"/>
          <w:highlight w:val="white"/>
        </w:rPr>
        <w:t xml:space="preserve"> the analysis of the faunal assemblages (Legge 1994; Legge 2007), the most abundant remains were sheep/goat (50.5% and 26.8% for Moncín and Majaladares Ext., respectively) and cattle (14.0% and 15.3%), with horses also prominent (8.9% and 24.5%), and only </w:t>
      </w:r>
      <w:r>
        <w:rPr>
          <w:rFonts w:ascii="Calibri" w:eastAsia="Calibri" w:hAnsi="Calibri" w:cs="Calibri"/>
          <w:sz w:val="24"/>
          <w:szCs w:val="24"/>
          <w:highlight w:val="white"/>
        </w:rPr>
        <w:t>a few pigs (6.1% and 6.2%) (Fig. 2). Horses were used as a source of meat, as evidenced by fractures and cut marks (Legge 2007, p. 174). Wild resources also played a significant role in the economy and diet. Hunting is evidenced by numerous remains of wild</w:t>
      </w:r>
      <w:r>
        <w:rPr>
          <w:rFonts w:ascii="Calibri" w:eastAsia="Calibri" w:hAnsi="Calibri" w:cs="Calibri"/>
          <w:sz w:val="24"/>
          <w:szCs w:val="24"/>
          <w:highlight w:val="white"/>
        </w:rPr>
        <w:t xml:space="preserve"> animals such as lynx, the wildcat, the badger, the rabbit and particularly the red deer, which was found in relatively high percentages (20.5% and 25.9%), all hunted for their skins, fur, meat and antler (Legge 2007, pp. 172-73).</w:t>
      </w:r>
      <w:r>
        <w:rPr>
          <w:rFonts w:ascii="Calibri" w:eastAsia="Calibri" w:hAnsi="Calibri" w:cs="Calibri"/>
          <w:sz w:val="24"/>
          <w:szCs w:val="24"/>
        </w:rPr>
        <w:t xml:space="preserve"> Other species present in </w:t>
      </w:r>
      <w:r>
        <w:rPr>
          <w:rFonts w:ascii="Calibri" w:eastAsia="Calibri" w:hAnsi="Calibri" w:cs="Calibri"/>
          <w:sz w:val="24"/>
          <w:szCs w:val="24"/>
        </w:rPr>
        <w:t xml:space="preserve">the sites in lower proportions are roe deer, dogs, wolves, foxes or brown bear. </w:t>
      </w:r>
    </w:p>
    <w:p w14:paraId="1ACFE0B4"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Mortality patterns suggest that the husbandry of sheep and goats was directed towards meat, dairy and wool productions as similar distributions of young and adult specimens we</w:t>
      </w:r>
      <w:r>
        <w:rPr>
          <w:rFonts w:ascii="Calibri" w:eastAsia="Calibri" w:hAnsi="Calibri" w:cs="Calibri"/>
          <w:sz w:val="24"/>
          <w:szCs w:val="24"/>
          <w:highlight w:val="white"/>
        </w:rPr>
        <w:t>re found, while there is good evidence that the cattle herds were kept mainly for the exploitation of dairy products and meat, to a lesser extent. In Moncín, in particular, there is a prominence of old females (&gt;8 years) and 30% of the individuals were und</w:t>
      </w:r>
      <w:r>
        <w:rPr>
          <w:rFonts w:ascii="Calibri" w:eastAsia="Calibri" w:hAnsi="Calibri" w:cs="Calibri"/>
          <w:sz w:val="24"/>
          <w:szCs w:val="24"/>
          <w:highlight w:val="white"/>
        </w:rPr>
        <w:t>er a month old. Also, zooarchaeological evidence of traction-related pathologies in bovids from Moncín may indicate the use of these animals for agriculture (Legge 1994). However, given the lack of plough marks or remains of the ploughs themselves, it is d</w:t>
      </w:r>
      <w:r>
        <w:rPr>
          <w:rFonts w:ascii="Calibri" w:eastAsia="Calibri" w:hAnsi="Calibri" w:cs="Calibri"/>
          <w:sz w:val="24"/>
          <w:szCs w:val="24"/>
          <w:highlight w:val="white"/>
        </w:rPr>
        <w:t xml:space="preserve">ifficult to determine the extent to which communities may have employed plough cultivation in Muela de Borja. </w:t>
      </w:r>
    </w:p>
    <w:p w14:paraId="33EC2C0A"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Cereal remains from the sites were dominated by wheat (</w:t>
      </w:r>
      <w:r>
        <w:rPr>
          <w:rFonts w:ascii="Calibri" w:eastAsia="Calibri" w:hAnsi="Calibri" w:cs="Calibri"/>
          <w:i/>
          <w:sz w:val="24"/>
          <w:szCs w:val="24"/>
          <w:highlight w:val="white"/>
        </w:rPr>
        <w:t>Triticum durum</w:t>
      </w:r>
      <w:r>
        <w:rPr>
          <w:rFonts w:ascii="Calibri" w:eastAsia="Calibri" w:hAnsi="Calibri" w:cs="Calibri"/>
          <w:sz w:val="24"/>
          <w:szCs w:val="24"/>
          <w:highlight w:val="white"/>
        </w:rPr>
        <w:t>), followed by barley (</w:t>
      </w:r>
      <w:r>
        <w:rPr>
          <w:rFonts w:ascii="Calibri" w:eastAsia="Calibri" w:hAnsi="Calibri" w:cs="Calibri"/>
          <w:i/>
          <w:sz w:val="24"/>
          <w:szCs w:val="24"/>
          <w:highlight w:val="white"/>
        </w:rPr>
        <w:t>Hordeum vulgare</w:t>
      </w:r>
      <w:r>
        <w:rPr>
          <w:rFonts w:ascii="Calibri" w:eastAsia="Calibri" w:hAnsi="Calibri" w:cs="Calibri"/>
          <w:sz w:val="24"/>
          <w:szCs w:val="24"/>
          <w:highlight w:val="white"/>
        </w:rPr>
        <w:t>) (Wetterstrom 1994; Alcolea et al. 20</w:t>
      </w:r>
      <w:r>
        <w:rPr>
          <w:rFonts w:ascii="Calibri" w:eastAsia="Calibri" w:hAnsi="Calibri" w:cs="Calibri"/>
          <w:sz w:val="24"/>
          <w:szCs w:val="24"/>
          <w:highlight w:val="white"/>
        </w:rPr>
        <w:t>18). Pulses, including lentils (</w:t>
      </w:r>
      <w:r>
        <w:rPr>
          <w:rFonts w:ascii="Calibri" w:eastAsia="Calibri" w:hAnsi="Calibri" w:cs="Calibri"/>
          <w:i/>
          <w:sz w:val="24"/>
          <w:szCs w:val="24"/>
          <w:highlight w:val="white"/>
        </w:rPr>
        <w:t>Lens culinaris</w:t>
      </w:r>
      <w:r>
        <w:rPr>
          <w:rFonts w:ascii="Calibri" w:eastAsia="Calibri" w:hAnsi="Calibri" w:cs="Calibri"/>
          <w:sz w:val="24"/>
          <w:szCs w:val="24"/>
          <w:highlight w:val="white"/>
        </w:rPr>
        <w:t>), were cultivated, and there is evidence of flax (</w:t>
      </w:r>
      <w:r>
        <w:rPr>
          <w:rFonts w:ascii="Calibri" w:eastAsia="Calibri" w:hAnsi="Calibri" w:cs="Calibri"/>
          <w:i/>
          <w:sz w:val="24"/>
          <w:szCs w:val="24"/>
          <w:highlight w:val="white"/>
        </w:rPr>
        <w:t>Linum usitatissimum</w:t>
      </w:r>
      <w:r>
        <w:rPr>
          <w:rFonts w:ascii="Calibri" w:eastAsia="Calibri" w:hAnsi="Calibri" w:cs="Calibri"/>
          <w:sz w:val="24"/>
          <w:szCs w:val="24"/>
          <w:highlight w:val="white"/>
        </w:rPr>
        <w:t>). Wild fruits, especially acorns (</w:t>
      </w:r>
      <w:r>
        <w:rPr>
          <w:rFonts w:ascii="Calibri" w:eastAsia="Calibri" w:hAnsi="Calibri" w:cs="Calibri"/>
          <w:i/>
          <w:sz w:val="24"/>
          <w:szCs w:val="24"/>
          <w:highlight w:val="white"/>
        </w:rPr>
        <w:t>Quercus</w:t>
      </w:r>
      <w:r>
        <w:rPr>
          <w:rFonts w:ascii="Calibri" w:eastAsia="Calibri" w:hAnsi="Calibri" w:cs="Calibri"/>
          <w:sz w:val="24"/>
          <w:szCs w:val="24"/>
          <w:highlight w:val="white"/>
        </w:rPr>
        <w:t xml:space="preserve"> sp.), were consumed. Finally, a range of weed species was commonly reported, including grasses su</w:t>
      </w:r>
      <w:r>
        <w:rPr>
          <w:rFonts w:ascii="Calibri" w:eastAsia="Calibri" w:hAnsi="Calibri" w:cs="Calibri"/>
          <w:sz w:val="24"/>
          <w:szCs w:val="24"/>
          <w:highlight w:val="white"/>
        </w:rPr>
        <w:t xml:space="preserve">ch as </w:t>
      </w:r>
      <w:r>
        <w:rPr>
          <w:rFonts w:ascii="Calibri" w:eastAsia="Calibri" w:hAnsi="Calibri" w:cs="Calibri"/>
          <w:i/>
          <w:sz w:val="24"/>
          <w:szCs w:val="24"/>
          <w:highlight w:val="white"/>
        </w:rPr>
        <w:t>Chenopodium</w:t>
      </w:r>
      <w:r>
        <w:rPr>
          <w:rFonts w:ascii="Calibri" w:eastAsia="Calibri" w:hAnsi="Calibri" w:cs="Calibri"/>
          <w:sz w:val="24"/>
          <w:szCs w:val="24"/>
          <w:highlight w:val="white"/>
        </w:rPr>
        <w:t xml:space="preserve">, </w:t>
      </w:r>
      <w:r>
        <w:rPr>
          <w:rFonts w:ascii="Calibri" w:eastAsia="Calibri" w:hAnsi="Calibri" w:cs="Calibri"/>
          <w:i/>
          <w:sz w:val="24"/>
          <w:szCs w:val="24"/>
          <w:highlight w:val="white"/>
        </w:rPr>
        <w:t>Polygonum</w:t>
      </w:r>
      <w:r>
        <w:rPr>
          <w:rFonts w:ascii="Calibri" w:eastAsia="Calibri" w:hAnsi="Calibri" w:cs="Calibri"/>
          <w:sz w:val="24"/>
          <w:szCs w:val="24"/>
          <w:highlight w:val="white"/>
        </w:rPr>
        <w:t xml:space="preserve">, </w:t>
      </w:r>
      <w:r>
        <w:rPr>
          <w:rFonts w:ascii="Calibri" w:eastAsia="Calibri" w:hAnsi="Calibri" w:cs="Calibri"/>
          <w:i/>
          <w:sz w:val="24"/>
          <w:szCs w:val="24"/>
          <w:highlight w:val="white"/>
        </w:rPr>
        <w:t>Malva</w:t>
      </w:r>
      <w:r>
        <w:rPr>
          <w:rFonts w:ascii="Calibri" w:eastAsia="Calibri" w:hAnsi="Calibri" w:cs="Calibri"/>
          <w:sz w:val="24"/>
          <w:szCs w:val="24"/>
          <w:highlight w:val="white"/>
        </w:rPr>
        <w:t xml:space="preserve"> and </w:t>
      </w:r>
      <w:r>
        <w:rPr>
          <w:rFonts w:ascii="Calibri" w:eastAsia="Calibri" w:hAnsi="Calibri" w:cs="Calibri"/>
          <w:i/>
          <w:sz w:val="24"/>
          <w:szCs w:val="24"/>
          <w:highlight w:val="white"/>
        </w:rPr>
        <w:t xml:space="preserve">Rumex </w:t>
      </w:r>
      <w:r>
        <w:rPr>
          <w:rFonts w:ascii="Calibri" w:eastAsia="Calibri" w:hAnsi="Calibri" w:cs="Calibri"/>
          <w:sz w:val="24"/>
          <w:szCs w:val="24"/>
          <w:highlight w:val="white"/>
        </w:rPr>
        <w:t xml:space="preserve">(Wetterstrom 1994; Alcolea et al. 2018). </w:t>
      </w:r>
    </w:p>
    <w:p w14:paraId="06623C86"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Altogether, these communities had a diversified economy relying on herding and specialised hunting and a plant economy based on farming wheat and barley, with some pulses and complementary collecting of wild fruits and plants.</w:t>
      </w:r>
    </w:p>
    <w:p w14:paraId="01B89FB3" w14:textId="77777777" w:rsidR="00A23BE2" w:rsidRDefault="00307EB3">
      <w:pPr>
        <w:pStyle w:val="Heading4"/>
        <w:numPr>
          <w:ilvl w:val="0"/>
          <w:numId w:val="1"/>
        </w:numPr>
        <w:spacing w:before="240" w:after="240" w:line="360" w:lineRule="auto"/>
        <w:ind w:left="360"/>
        <w:jc w:val="both"/>
        <w:rPr>
          <w:rFonts w:ascii="Calibri" w:eastAsia="Calibri" w:hAnsi="Calibri" w:cs="Calibri"/>
          <w:b/>
          <w:color w:val="000000"/>
        </w:rPr>
      </w:pPr>
      <w:r>
        <w:rPr>
          <w:rFonts w:ascii="Calibri" w:eastAsia="Calibri" w:hAnsi="Calibri" w:cs="Calibri"/>
          <w:b/>
          <w:color w:val="000000"/>
        </w:rPr>
        <w:lastRenderedPageBreak/>
        <w:t>Stable isotope analysis for d</w:t>
      </w:r>
      <w:r>
        <w:rPr>
          <w:rFonts w:ascii="Calibri" w:eastAsia="Calibri" w:hAnsi="Calibri" w:cs="Calibri"/>
          <w:b/>
          <w:color w:val="000000"/>
        </w:rPr>
        <w:t>ietary reconstruction</w:t>
      </w:r>
    </w:p>
    <w:p w14:paraId="22D3404A"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Carbon (δ13C) and nitrogen (δ15N) stable isotope analysis has proven to be an invaluable tool for reconstructing changes in diet, animal husbandry practices and environmental conditions. This method is based on the principle that the </w:t>
      </w:r>
      <w:r>
        <w:rPr>
          <w:rFonts w:ascii="Calibri" w:eastAsia="Calibri" w:hAnsi="Calibri" w:cs="Calibri"/>
          <w:sz w:val="24"/>
          <w:szCs w:val="24"/>
          <w:highlight w:val="white"/>
        </w:rPr>
        <w:t xml:space="preserve">carbon and nitrogen isotopic values of the foods consumed by humans and animals are recorded in their tissues after (somewhat) predictable isotope fractionation (DeNiro and Epstein 1978, 1981). Stable isotope analysis in bone collagen reflects the protein </w:t>
      </w:r>
      <w:r>
        <w:rPr>
          <w:rFonts w:ascii="Calibri" w:eastAsia="Calibri" w:hAnsi="Calibri" w:cs="Calibri"/>
          <w:sz w:val="24"/>
          <w:szCs w:val="24"/>
          <w:highlight w:val="white"/>
        </w:rPr>
        <w:t>component of an individual’s diet rather than the whole diet and provides a dietary average of the foods consumed during the last years of life as bone is continually being remodelled (Hedges et al. 2007).</w:t>
      </w:r>
    </w:p>
    <w:p w14:paraId="1D561B72"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Carbon isotope values are commonly used to discrim</w:t>
      </w:r>
      <w:r>
        <w:rPr>
          <w:rFonts w:ascii="Calibri" w:eastAsia="Calibri" w:hAnsi="Calibri" w:cs="Calibri"/>
          <w:sz w:val="24"/>
          <w:szCs w:val="24"/>
          <w:highlight w:val="white"/>
        </w:rPr>
        <w:t>inate the intake of plants with different photosynthetic pathways (i.e.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and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plants include cereals such as wheat and barley and most fruits and vegetables found in Europe, while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xml:space="preserve"> plants are represented by tropical grasses and crops such as mai</w:t>
      </w:r>
      <w:r>
        <w:rPr>
          <w:rFonts w:ascii="Calibri" w:eastAsia="Calibri" w:hAnsi="Calibri" w:cs="Calibri"/>
          <w:sz w:val="24"/>
          <w:szCs w:val="24"/>
          <w:highlight w:val="white"/>
        </w:rPr>
        <w:t>ze, sorghum, sugarcane and millet. In this region,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xml:space="preserve"> plants are relatively rare, but millet has been identified from the Early-Middle Bronze Age in northeast Iberia and so may have been available to the individuals sampled from the area (Alonso and Bouby </w:t>
      </w:r>
      <w:r>
        <w:rPr>
          <w:rFonts w:ascii="Calibri" w:eastAsia="Calibri" w:hAnsi="Calibri" w:cs="Calibri"/>
          <w:sz w:val="24"/>
          <w:szCs w:val="24"/>
          <w:highlight w:val="white"/>
        </w:rPr>
        <w:t>2017; Tarongi 2017).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xml:space="preserve"> plants generally display higher values than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plants, with average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values of −12‰ and −26‰, respectively (Smith and Epstein 1971; O’Leary 1981). Carbon values can also be employed to elucidate the contribution of terrestrial o</w:t>
      </w:r>
      <w:r>
        <w:rPr>
          <w:rFonts w:ascii="Calibri" w:eastAsia="Calibri" w:hAnsi="Calibri" w:cs="Calibri"/>
          <w:sz w:val="24"/>
          <w:szCs w:val="24"/>
          <w:highlight w:val="white"/>
        </w:rPr>
        <w:t xml:space="preserve">r marine resources in the diet, as the latter are enriched in </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(Schoeninger and DeNiro 1984).</w:t>
      </w:r>
    </w:p>
    <w:p w14:paraId="0B67B69D"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Nitrogen isotope values can be used to assess the position that an individual occupies in the food chain. The widely accepted value for isotopic spacing betwee</w:t>
      </w:r>
      <w:r>
        <w:rPr>
          <w:rFonts w:ascii="Calibri" w:eastAsia="Calibri" w:hAnsi="Calibri" w:cs="Calibri"/>
          <w:sz w:val="24"/>
          <w:szCs w:val="24"/>
          <w:highlight w:val="white"/>
        </w:rPr>
        <w:t>n diet and consumer tissue is 3–5‰, although this value may be higher (Bocherens and Drucker 2003; O’Connell et al. 2012). Because of this, individuals with mostly animal protein in their diet have higher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than those consuming mainly plants (Hed</w:t>
      </w:r>
      <w:r>
        <w:rPr>
          <w:rFonts w:ascii="Calibri" w:eastAsia="Calibri" w:hAnsi="Calibri" w:cs="Calibri"/>
          <w:sz w:val="24"/>
          <w:szCs w:val="24"/>
          <w:highlight w:val="white"/>
        </w:rPr>
        <w:t>ges and Reynard 2007). Furthermore, as aquatic food chains tend to be longer than terrestrial ones, marine and freshwater resources usually exhibit higher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than terrestrial resources (Schoeninger et al. 1983). This difference can help to disting</w:t>
      </w:r>
      <w:r>
        <w:rPr>
          <w:rFonts w:ascii="Calibri" w:eastAsia="Calibri" w:hAnsi="Calibri" w:cs="Calibri"/>
          <w:sz w:val="24"/>
          <w:szCs w:val="24"/>
          <w:highlight w:val="white"/>
        </w:rPr>
        <w:t>uish between the consumption of aquatic or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xml:space="preserve"> foods when samples are </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C-enriched. However, it is highly unlikely that aquatic resources are of consequence here, given the site location, and although freshwater fish may have conceivably been available, the</w:t>
      </w:r>
      <w:r>
        <w:rPr>
          <w:rFonts w:ascii="Calibri" w:eastAsia="Calibri" w:hAnsi="Calibri" w:cs="Calibri"/>
          <w:sz w:val="24"/>
          <w:szCs w:val="24"/>
          <w:highlight w:val="white"/>
        </w:rPr>
        <w:t>re is no evidence for this in the zooarchaeological record from the sites.</w:t>
      </w:r>
    </w:p>
    <w:p w14:paraId="24D5627A"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Finally, isotopic results must be interpreted cautiously since carbon and nitrogen isotope variation in animal and human tissues could reflect environmental factors affecting the so</w:t>
      </w:r>
      <w:r>
        <w:rPr>
          <w:rFonts w:ascii="Calibri" w:eastAsia="Calibri" w:hAnsi="Calibri" w:cs="Calibri"/>
          <w:sz w:val="24"/>
          <w:szCs w:val="24"/>
          <w:highlight w:val="white"/>
        </w:rPr>
        <w:t>il-plant system at the base of the food chain (e.g. temperature, precipitation, aridity, salinity, soil composition or manuring) as well as physiologic and metabolic factors (e.g. Szpak 2014; Reitsema 2013). Thus, analysing the values of humans, animals an</w:t>
      </w:r>
      <w:r>
        <w:rPr>
          <w:rFonts w:ascii="Calibri" w:eastAsia="Calibri" w:hAnsi="Calibri" w:cs="Calibri"/>
          <w:sz w:val="24"/>
          <w:szCs w:val="24"/>
          <w:highlight w:val="white"/>
        </w:rPr>
        <w:t xml:space="preserve">d plants together, wherever possible, can offer further information about past human and animal diets.  </w:t>
      </w:r>
      <w:r>
        <w:rPr>
          <w:rFonts w:ascii="Calibri" w:eastAsia="Calibri" w:hAnsi="Calibri" w:cs="Calibri"/>
          <w:sz w:val="24"/>
          <w:szCs w:val="24"/>
          <w:highlight w:val="white"/>
        </w:rPr>
        <w:tab/>
      </w:r>
    </w:p>
    <w:p w14:paraId="292FBA10" w14:textId="77777777" w:rsidR="00A23BE2" w:rsidRDefault="00307EB3">
      <w:pPr>
        <w:pStyle w:val="Heading4"/>
        <w:numPr>
          <w:ilvl w:val="0"/>
          <w:numId w:val="1"/>
        </w:numPr>
        <w:spacing w:before="240" w:after="240" w:line="360" w:lineRule="auto"/>
        <w:ind w:left="360"/>
        <w:jc w:val="both"/>
        <w:rPr>
          <w:rFonts w:ascii="Calibri" w:eastAsia="Calibri" w:hAnsi="Calibri" w:cs="Calibri"/>
          <w:b/>
          <w:color w:val="000000"/>
        </w:rPr>
      </w:pPr>
      <w:r>
        <w:rPr>
          <w:rFonts w:ascii="Calibri" w:eastAsia="Calibri" w:hAnsi="Calibri" w:cs="Calibri"/>
          <w:b/>
          <w:color w:val="000000"/>
        </w:rPr>
        <w:t>Materials</w:t>
      </w:r>
    </w:p>
    <w:p w14:paraId="2701C630"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highlight w:val="white"/>
        </w:rPr>
        <w:t>A total of 9 individual humans from the range of sites and different deposition types, inside and outside caves, were selected for δ13C and δ15N isotope analysis (Table 2). Samples were</w:t>
      </w:r>
      <w:r>
        <w:rPr>
          <w:rFonts w:ascii="Calibri" w:eastAsia="Calibri" w:hAnsi="Calibri" w:cs="Calibri"/>
          <w:sz w:val="24"/>
          <w:szCs w:val="24"/>
        </w:rPr>
        <w:t xml:space="preserve"> taken from bone and belong to different skeletal elements, depending o</w:t>
      </w:r>
      <w:r>
        <w:rPr>
          <w:rFonts w:ascii="Calibri" w:eastAsia="Calibri" w:hAnsi="Calibri" w:cs="Calibri"/>
          <w:sz w:val="24"/>
          <w:szCs w:val="24"/>
        </w:rPr>
        <w:t>n their availability and overall preservation. When selecting samples for destructive analysis, we were interested to explore through the use of biomolecular analysis the potential information of fragmentary remains that were not to be used for museum disp</w:t>
      </w:r>
      <w:r>
        <w:rPr>
          <w:rFonts w:ascii="Calibri" w:eastAsia="Calibri" w:hAnsi="Calibri" w:cs="Calibri"/>
          <w:sz w:val="24"/>
          <w:szCs w:val="24"/>
        </w:rPr>
        <w:t>lay. Other criteria included the selection of samples representing a range of different sites and locations to avoid sampling the same individual twice. Sex and age were assigned morphologically as described in the osteoarchaeological section and represent</w:t>
      </w:r>
      <w:r>
        <w:rPr>
          <w:rFonts w:ascii="Calibri" w:eastAsia="Calibri" w:hAnsi="Calibri" w:cs="Calibri"/>
          <w:sz w:val="24"/>
          <w:szCs w:val="24"/>
        </w:rPr>
        <w:t xml:space="preserve"> adults (&gt;18 years) in the majority with one non-adult (BAA7, 2.5-5.5 years). </w:t>
      </w:r>
    </w:p>
    <w:p w14:paraId="0A1CF921" w14:textId="77777777" w:rsidR="00A23BE2" w:rsidRDefault="00307EB3">
      <w:pPr>
        <w:spacing w:before="240" w:after="240" w:line="360" w:lineRule="auto"/>
        <w:jc w:val="both"/>
        <w:rPr>
          <w:rFonts w:ascii="Calibri" w:eastAsia="Calibri" w:hAnsi="Calibri" w:cs="Calibri"/>
          <w:b/>
          <w:color w:val="131413"/>
          <w:sz w:val="24"/>
          <w:szCs w:val="24"/>
          <w:highlight w:val="white"/>
        </w:rPr>
      </w:pPr>
      <w:r>
        <w:rPr>
          <w:rFonts w:ascii="Calibri" w:eastAsia="Calibri" w:hAnsi="Calibri" w:cs="Calibri"/>
          <w:sz w:val="24"/>
          <w:szCs w:val="24"/>
        </w:rPr>
        <w:t xml:space="preserve">These samples were combined with faunal data from Moncín and Majaladares to provide an isotopic baseline </w:t>
      </w:r>
      <w:r>
        <w:rPr>
          <w:rFonts w:ascii="Calibri" w:eastAsia="Calibri" w:hAnsi="Calibri" w:cs="Calibri"/>
          <w:sz w:val="24"/>
          <w:szCs w:val="24"/>
          <w:highlight w:val="white"/>
        </w:rPr>
        <w:t>for understanding human diet but also to examine questions related to en</w:t>
      </w:r>
      <w:r>
        <w:rPr>
          <w:rFonts w:ascii="Calibri" w:eastAsia="Calibri" w:hAnsi="Calibri" w:cs="Calibri"/>
          <w:sz w:val="24"/>
          <w:szCs w:val="24"/>
          <w:highlight w:val="white"/>
        </w:rPr>
        <w:t>vironmental variability and animal husbandry practices. Animal bones were previously studied using zooarchaeological methods, but identification was not always possible due to the high fragmentation of the remains. To explore the potential of these fragmen</w:t>
      </w:r>
      <w:r>
        <w:rPr>
          <w:rFonts w:ascii="Calibri" w:eastAsia="Calibri" w:hAnsi="Calibri" w:cs="Calibri"/>
          <w:sz w:val="24"/>
          <w:szCs w:val="24"/>
          <w:highlight w:val="white"/>
        </w:rPr>
        <w:t>tary remains but also ensure taxonomic diversity, we selected 33 animal remains, including 10 samples that could be either sheep or goat (Ovis aries/Capra hircus), 5 cattle (Bos taurus), 1 deer (Cervidae), 1 horse (Equus caballus) and 16 unidentifiable bon</w:t>
      </w:r>
      <w:r>
        <w:rPr>
          <w:rFonts w:ascii="Calibri" w:eastAsia="Calibri" w:hAnsi="Calibri" w:cs="Calibri"/>
          <w:sz w:val="24"/>
          <w:szCs w:val="24"/>
          <w:highlight w:val="white"/>
        </w:rPr>
        <w:t xml:space="preserve">e fragments (Table 3). </w:t>
      </w:r>
    </w:p>
    <w:p w14:paraId="148E2ABA" w14:textId="77777777" w:rsidR="00A23BE2" w:rsidRDefault="00307EB3">
      <w:pPr>
        <w:pStyle w:val="Heading4"/>
        <w:numPr>
          <w:ilvl w:val="0"/>
          <w:numId w:val="1"/>
        </w:numPr>
        <w:spacing w:before="240" w:after="240" w:line="360" w:lineRule="auto"/>
        <w:ind w:left="360"/>
        <w:jc w:val="both"/>
        <w:rPr>
          <w:rFonts w:ascii="Calibri" w:eastAsia="Calibri" w:hAnsi="Calibri" w:cs="Calibri"/>
          <w:b/>
          <w:color w:val="000000"/>
        </w:rPr>
      </w:pPr>
      <w:r>
        <w:rPr>
          <w:rFonts w:ascii="Calibri" w:eastAsia="Calibri" w:hAnsi="Calibri" w:cs="Calibri"/>
          <w:b/>
          <w:color w:val="000000"/>
        </w:rPr>
        <w:t>Biomolecular methods</w:t>
      </w:r>
    </w:p>
    <w:p w14:paraId="2D09DCD7" w14:textId="77777777" w:rsidR="00A23BE2" w:rsidRDefault="00307EB3">
      <w:pPr>
        <w:pStyle w:val="Heading5"/>
        <w:numPr>
          <w:ilvl w:val="1"/>
          <w:numId w:val="1"/>
        </w:numPr>
        <w:spacing w:after="240" w:line="360" w:lineRule="auto"/>
        <w:ind w:left="720"/>
        <w:jc w:val="both"/>
        <w:rPr>
          <w:rFonts w:ascii="Calibri" w:eastAsia="Calibri" w:hAnsi="Calibri" w:cs="Calibri"/>
          <w:b/>
          <w:color w:val="000000"/>
          <w:sz w:val="24"/>
          <w:szCs w:val="24"/>
        </w:rPr>
      </w:pPr>
      <w:r>
        <w:rPr>
          <w:rFonts w:ascii="Calibri" w:eastAsia="Calibri" w:hAnsi="Calibri" w:cs="Calibri"/>
          <w:b/>
          <w:color w:val="000000"/>
          <w:sz w:val="24"/>
          <w:szCs w:val="24"/>
        </w:rPr>
        <w:t>Collagen extraction and stable isotope analysis</w:t>
      </w:r>
    </w:p>
    <w:p w14:paraId="6E69F194"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Collagen extraction and stable isotope analysis were performed at the BioArCh laboratories in the Department of Archaeology, University of York (UK). Bone collagen</w:t>
      </w:r>
      <w:r>
        <w:rPr>
          <w:rFonts w:ascii="Calibri" w:eastAsia="Calibri" w:hAnsi="Calibri" w:cs="Calibri"/>
          <w:sz w:val="24"/>
          <w:szCs w:val="24"/>
          <w:highlight w:val="white"/>
        </w:rPr>
        <w:t xml:space="preserve"> was extracted following the </w:t>
      </w:r>
      <w:r>
        <w:rPr>
          <w:rFonts w:ascii="Calibri" w:eastAsia="Calibri" w:hAnsi="Calibri" w:cs="Calibri"/>
          <w:sz w:val="24"/>
          <w:szCs w:val="24"/>
          <w:highlight w:val="white"/>
        </w:rPr>
        <w:lastRenderedPageBreak/>
        <w:t>method described by Longin (1971) with modifications proposed by Brown et al. (1988). The surface of the bone was cleaned by air-abrasion to remove any possible surface contaminants and then approximately 300-400 mg of clean bo</w:t>
      </w:r>
      <w:r>
        <w:rPr>
          <w:rFonts w:ascii="Calibri" w:eastAsia="Calibri" w:hAnsi="Calibri" w:cs="Calibri"/>
          <w:sz w:val="24"/>
          <w:szCs w:val="24"/>
          <w:highlight w:val="white"/>
        </w:rPr>
        <w:t>ne was obtained. Bone fragments were demineralised using 0.6 M hydrochloric acid (HCl), at 4°C until fully demineralized, then rinsed with ultrapure water and gelatinised with pH3 HCl at 80°C for 48 hours. The supernatant containing the collagen was eeze-f</w:t>
      </w:r>
      <w:r>
        <w:rPr>
          <w:rFonts w:ascii="Calibri" w:eastAsia="Calibri" w:hAnsi="Calibri" w:cs="Calibri"/>
          <w:sz w:val="24"/>
          <w:szCs w:val="24"/>
          <w:highlight w:val="white"/>
        </w:rPr>
        <w:t>iltered and then ultrafiltered (30 kDa Amicon ultrafilters). The samples were frozen and freeze dried for 48 h. Finally, collagen extracts were weighed in duplicate into tin capsules (0.9-1.1 mg) and were analysed by EA-IRMS in a Sercon GSL elemental analy</w:t>
      </w:r>
      <w:r>
        <w:rPr>
          <w:rFonts w:ascii="Calibri" w:eastAsia="Calibri" w:hAnsi="Calibri" w:cs="Calibri"/>
          <w:sz w:val="24"/>
          <w:szCs w:val="24"/>
          <w:highlight w:val="white"/>
        </w:rPr>
        <w:t xml:space="preserve">ser coupled to a Sercon 20-22 </w:t>
      </w:r>
      <w:r>
        <w:rPr>
          <w:rFonts w:ascii="Calibri" w:eastAsia="Calibri" w:hAnsi="Calibri" w:cs="Calibri"/>
          <w:sz w:val="24"/>
          <w:szCs w:val="24"/>
        </w:rPr>
        <w:t xml:space="preserve">continuous flow isotope ratio mass spectrometer </w:t>
      </w:r>
      <w:r>
        <w:rPr>
          <w:rFonts w:ascii="Calibri" w:eastAsia="Calibri" w:hAnsi="Calibri" w:cs="Calibri"/>
          <w:sz w:val="24"/>
          <w:szCs w:val="24"/>
          <w:highlight w:val="white"/>
        </w:rPr>
        <w:t>(Sercon, Crewe, UK). Results are reported as per mil (‰) relative to the internationally accepted standards of VPDB for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and AIR for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w:t>
      </w:r>
    </w:p>
    <w:p w14:paraId="7165B3EC"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Overall accuracy of the measurements was determined according to Kragten (1994) by combining uncertainties in the values of standard reference materials and sample replicates within each analytical run. </w:t>
      </w:r>
      <w:r>
        <w:rPr>
          <w:rFonts w:ascii="Calibri" w:eastAsia="Calibri" w:hAnsi="Calibri" w:cs="Calibri"/>
          <w:sz w:val="24"/>
          <w:szCs w:val="24"/>
        </w:rPr>
        <w:t>These were international standards IAEA 600 (caffeine</w:t>
      </w:r>
      <w:r>
        <w:rPr>
          <w:rFonts w:ascii="Calibri" w:eastAsia="Calibri" w:hAnsi="Calibri" w:cs="Calibri"/>
          <w:sz w:val="24"/>
          <w:szCs w:val="24"/>
        </w:rPr>
        <w:t>: δ</w:t>
      </w:r>
      <w:r>
        <w:rPr>
          <w:rFonts w:ascii="Calibri" w:eastAsia="Calibri" w:hAnsi="Calibri" w:cs="Calibri"/>
          <w:sz w:val="24"/>
          <w:szCs w:val="24"/>
          <w:vertAlign w:val="superscript"/>
        </w:rPr>
        <w:t>13</w:t>
      </w:r>
      <w:r>
        <w:rPr>
          <w:rFonts w:ascii="Calibri" w:eastAsia="Calibri" w:hAnsi="Calibri" w:cs="Calibri"/>
          <w:sz w:val="24"/>
          <w:szCs w:val="24"/>
        </w:rPr>
        <w:t>C</w:t>
      </w:r>
      <w:r>
        <w:rPr>
          <w:rFonts w:ascii="Calibri" w:eastAsia="Calibri" w:hAnsi="Calibri" w:cs="Calibri"/>
          <w:sz w:val="24"/>
          <w:szCs w:val="24"/>
          <w:vertAlign w:val="subscript"/>
        </w:rPr>
        <w:t>raw</w:t>
      </w:r>
      <w:r>
        <w:rPr>
          <w:rFonts w:ascii="Calibri" w:eastAsia="Calibri" w:hAnsi="Calibri" w:cs="Calibri"/>
          <w:sz w:val="24"/>
          <w:szCs w:val="24"/>
        </w:rPr>
        <w:t>= -27.59 ±0.06‰, δ</w:t>
      </w:r>
      <w:r>
        <w:rPr>
          <w:rFonts w:ascii="Calibri" w:eastAsia="Calibri" w:hAnsi="Calibri" w:cs="Calibri"/>
          <w:sz w:val="24"/>
          <w:szCs w:val="24"/>
          <w:vertAlign w:val="superscript"/>
        </w:rPr>
        <w:t>13</w:t>
      </w:r>
      <w:r>
        <w:rPr>
          <w:rFonts w:ascii="Calibri" w:eastAsia="Calibri" w:hAnsi="Calibri" w:cs="Calibri"/>
          <w:sz w:val="24"/>
          <w:szCs w:val="24"/>
        </w:rPr>
        <w:t>C</w:t>
      </w:r>
      <w:r>
        <w:rPr>
          <w:rFonts w:ascii="Calibri" w:eastAsia="Calibri" w:hAnsi="Calibri" w:cs="Calibri"/>
          <w:sz w:val="24"/>
          <w:szCs w:val="24"/>
          <w:vertAlign w:val="subscript"/>
        </w:rPr>
        <w:t>true</w:t>
      </w:r>
      <w:r>
        <w:rPr>
          <w:rFonts w:ascii="Calibri" w:eastAsia="Calibri" w:hAnsi="Calibri" w:cs="Calibri"/>
          <w:sz w:val="24"/>
          <w:szCs w:val="24"/>
        </w:rPr>
        <w:t>= -27.77 ±0.043‰, δ</w:t>
      </w:r>
      <w:r>
        <w:rPr>
          <w:rFonts w:ascii="Calibri" w:eastAsia="Calibri" w:hAnsi="Calibri" w:cs="Calibri"/>
          <w:sz w:val="24"/>
          <w:szCs w:val="24"/>
          <w:vertAlign w:val="superscript"/>
        </w:rPr>
        <w:t>15</w:t>
      </w:r>
      <w:r>
        <w:rPr>
          <w:rFonts w:ascii="Calibri" w:eastAsia="Calibri" w:hAnsi="Calibri" w:cs="Calibri"/>
          <w:sz w:val="24"/>
          <w:szCs w:val="24"/>
        </w:rPr>
        <w:t>N</w:t>
      </w:r>
      <w:r>
        <w:rPr>
          <w:rFonts w:ascii="Calibri" w:eastAsia="Calibri" w:hAnsi="Calibri" w:cs="Calibri"/>
          <w:sz w:val="24"/>
          <w:szCs w:val="24"/>
          <w:vertAlign w:val="subscript"/>
        </w:rPr>
        <w:t>raw</w:t>
      </w:r>
      <w:r>
        <w:rPr>
          <w:rFonts w:ascii="Calibri" w:eastAsia="Calibri" w:hAnsi="Calibri" w:cs="Calibri"/>
          <w:sz w:val="24"/>
          <w:szCs w:val="24"/>
        </w:rPr>
        <w:t>= 0.86 ±0.07‰, δ</w:t>
      </w:r>
      <w:r>
        <w:rPr>
          <w:rFonts w:ascii="Calibri" w:eastAsia="Calibri" w:hAnsi="Calibri" w:cs="Calibri"/>
          <w:sz w:val="24"/>
          <w:szCs w:val="24"/>
          <w:vertAlign w:val="superscript"/>
        </w:rPr>
        <w:t>15</w:t>
      </w:r>
      <w:r>
        <w:rPr>
          <w:rFonts w:ascii="Calibri" w:eastAsia="Calibri" w:hAnsi="Calibri" w:cs="Calibri"/>
          <w:sz w:val="24"/>
          <w:szCs w:val="24"/>
        </w:rPr>
        <w:t>N</w:t>
      </w:r>
      <w:r>
        <w:rPr>
          <w:rFonts w:ascii="Calibri" w:eastAsia="Calibri" w:hAnsi="Calibri" w:cs="Calibri"/>
          <w:sz w:val="24"/>
          <w:szCs w:val="24"/>
          <w:vertAlign w:val="subscript"/>
        </w:rPr>
        <w:t>true</w:t>
      </w:r>
      <w:r>
        <w:rPr>
          <w:rFonts w:ascii="Calibri" w:eastAsia="Calibri" w:hAnsi="Calibri" w:cs="Calibri"/>
          <w:sz w:val="24"/>
          <w:szCs w:val="24"/>
        </w:rPr>
        <w:t>= 1 ±0.2‰), IA CANE (sugar cane: δ</w:t>
      </w:r>
      <w:r>
        <w:rPr>
          <w:rFonts w:ascii="Calibri" w:eastAsia="Calibri" w:hAnsi="Calibri" w:cs="Calibri"/>
          <w:sz w:val="24"/>
          <w:szCs w:val="24"/>
          <w:vertAlign w:val="superscript"/>
        </w:rPr>
        <w:t>13</w:t>
      </w:r>
      <w:r>
        <w:rPr>
          <w:rFonts w:ascii="Calibri" w:eastAsia="Calibri" w:hAnsi="Calibri" w:cs="Calibri"/>
          <w:sz w:val="24"/>
          <w:szCs w:val="24"/>
        </w:rPr>
        <w:t>C</w:t>
      </w:r>
      <w:r>
        <w:rPr>
          <w:rFonts w:ascii="Calibri" w:eastAsia="Calibri" w:hAnsi="Calibri" w:cs="Calibri"/>
          <w:sz w:val="24"/>
          <w:szCs w:val="24"/>
          <w:vertAlign w:val="subscript"/>
        </w:rPr>
        <w:t>raw</w:t>
      </w:r>
      <w:r>
        <w:rPr>
          <w:rFonts w:ascii="Calibri" w:eastAsia="Calibri" w:hAnsi="Calibri" w:cs="Calibri"/>
          <w:sz w:val="24"/>
          <w:szCs w:val="24"/>
        </w:rPr>
        <w:t>= -11.75 ±0.05‰, δ</w:t>
      </w:r>
      <w:r>
        <w:rPr>
          <w:rFonts w:ascii="Calibri" w:eastAsia="Calibri" w:hAnsi="Calibri" w:cs="Calibri"/>
          <w:sz w:val="24"/>
          <w:szCs w:val="24"/>
          <w:vertAlign w:val="superscript"/>
        </w:rPr>
        <w:t>13</w:t>
      </w:r>
      <w:r>
        <w:rPr>
          <w:rFonts w:ascii="Calibri" w:eastAsia="Calibri" w:hAnsi="Calibri" w:cs="Calibri"/>
          <w:sz w:val="24"/>
          <w:szCs w:val="24"/>
        </w:rPr>
        <w:t>C</w:t>
      </w:r>
      <w:r>
        <w:rPr>
          <w:rFonts w:ascii="Calibri" w:eastAsia="Calibri" w:hAnsi="Calibri" w:cs="Calibri"/>
          <w:sz w:val="24"/>
          <w:szCs w:val="24"/>
          <w:vertAlign w:val="subscript"/>
        </w:rPr>
        <w:t>true</w:t>
      </w:r>
      <w:r>
        <w:rPr>
          <w:rFonts w:ascii="Calibri" w:eastAsia="Calibri" w:hAnsi="Calibri" w:cs="Calibri"/>
          <w:sz w:val="24"/>
          <w:szCs w:val="24"/>
        </w:rPr>
        <w:t>= -11.64 ±0.03‰), IAEA N2 (ammonium sulphate: δ</w:t>
      </w:r>
      <w:r>
        <w:rPr>
          <w:rFonts w:ascii="Calibri" w:eastAsia="Calibri" w:hAnsi="Calibri" w:cs="Calibri"/>
          <w:sz w:val="24"/>
          <w:szCs w:val="24"/>
          <w:vertAlign w:val="superscript"/>
        </w:rPr>
        <w:t>15</w:t>
      </w:r>
      <w:r>
        <w:rPr>
          <w:rFonts w:ascii="Calibri" w:eastAsia="Calibri" w:hAnsi="Calibri" w:cs="Calibri"/>
          <w:sz w:val="24"/>
          <w:szCs w:val="24"/>
        </w:rPr>
        <w:t>N</w:t>
      </w:r>
      <w:r>
        <w:rPr>
          <w:rFonts w:ascii="Calibri" w:eastAsia="Calibri" w:hAnsi="Calibri" w:cs="Calibri"/>
          <w:sz w:val="24"/>
          <w:szCs w:val="24"/>
          <w:vertAlign w:val="subscript"/>
        </w:rPr>
        <w:t>raw</w:t>
      </w:r>
      <w:r>
        <w:rPr>
          <w:rFonts w:ascii="Calibri" w:eastAsia="Calibri" w:hAnsi="Calibri" w:cs="Calibri"/>
          <w:sz w:val="24"/>
          <w:szCs w:val="24"/>
        </w:rPr>
        <w:t>= 20.3 ±0.14‰, δ</w:t>
      </w:r>
      <w:r>
        <w:rPr>
          <w:rFonts w:ascii="Calibri" w:eastAsia="Calibri" w:hAnsi="Calibri" w:cs="Calibri"/>
          <w:sz w:val="24"/>
          <w:szCs w:val="24"/>
          <w:vertAlign w:val="superscript"/>
        </w:rPr>
        <w:t>15</w:t>
      </w:r>
      <w:r>
        <w:rPr>
          <w:rFonts w:ascii="Calibri" w:eastAsia="Calibri" w:hAnsi="Calibri" w:cs="Calibri"/>
          <w:sz w:val="24"/>
          <w:szCs w:val="24"/>
        </w:rPr>
        <w:t>N</w:t>
      </w:r>
      <w:r>
        <w:rPr>
          <w:rFonts w:ascii="Calibri" w:eastAsia="Calibri" w:hAnsi="Calibri" w:cs="Calibri"/>
          <w:sz w:val="24"/>
          <w:szCs w:val="24"/>
          <w:vertAlign w:val="subscript"/>
        </w:rPr>
        <w:t>true</w:t>
      </w:r>
      <w:r>
        <w:rPr>
          <w:rFonts w:ascii="Calibri" w:eastAsia="Calibri" w:hAnsi="Calibri" w:cs="Calibri"/>
          <w:sz w:val="24"/>
          <w:szCs w:val="24"/>
        </w:rPr>
        <w:t>= 20.3 ±0.2‰) and an internal standard (fish gelatin: δ</w:t>
      </w:r>
      <w:r>
        <w:rPr>
          <w:rFonts w:ascii="Calibri" w:eastAsia="Calibri" w:hAnsi="Calibri" w:cs="Calibri"/>
          <w:sz w:val="24"/>
          <w:szCs w:val="24"/>
          <w:vertAlign w:val="superscript"/>
        </w:rPr>
        <w:t>13</w:t>
      </w:r>
      <w:r>
        <w:rPr>
          <w:rFonts w:ascii="Calibri" w:eastAsia="Calibri" w:hAnsi="Calibri" w:cs="Calibri"/>
          <w:sz w:val="24"/>
          <w:szCs w:val="24"/>
        </w:rPr>
        <w:t>C</w:t>
      </w:r>
      <w:r>
        <w:rPr>
          <w:rFonts w:ascii="Calibri" w:eastAsia="Calibri" w:hAnsi="Calibri" w:cs="Calibri"/>
          <w:sz w:val="24"/>
          <w:szCs w:val="24"/>
          <w:vertAlign w:val="subscript"/>
        </w:rPr>
        <w:t>raw</w:t>
      </w:r>
      <w:r>
        <w:rPr>
          <w:rFonts w:ascii="Calibri" w:eastAsia="Calibri" w:hAnsi="Calibri" w:cs="Calibri"/>
          <w:sz w:val="24"/>
          <w:szCs w:val="24"/>
        </w:rPr>
        <w:t>= -15.31 ±0.03‰, δ</w:t>
      </w:r>
      <w:r>
        <w:rPr>
          <w:rFonts w:ascii="Calibri" w:eastAsia="Calibri" w:hAnsi="Calibri" w:cs="Calibri"/>
          <w:sz w:val="24"/>
          <w:szCs w:val="24"/>
          <w:vertAlign w:val="superscript"/>
        </w:rPr>
        <w:t>13</w:t>
      </w:r>
      <w:r>
        <w:rPr>
          <w:rFonts w:ascii="Calibri" w:eastAsia="Calibri" w:hAnsi="Calibri" w:cs="Calibri"/>
          <w:sz w:val="24"/>
          <w:szCs w:val="24"/>
        </w:rPr>
        <w:t>C</w:t>
      </w:r>
      <w:r>
        <w:rPr>
          <w:rFonts w:ascii="Calibri" w:eastAsia="Calibri" w:hAnsi="Calibri" w:cs="Calibri"/>
          <w:sz w:val="24"/>
          <w:szCs w:val="24"/>
          <w:vertAlign w:val="subscript"/>
        </w:rPr>
        <w:t>true</w:t>
      </w:r>
      <w:r>
        <w:rPr>
          <w:rFonts w:ascii="Calibri" w:eastAsia="Calibri" w:hAnsi="Calibri" w:cs="Calibri"/>
          <w:sz w:val="24"/>
          <w:szCs w:val="24"/>
        </w:rPr>
        <w:t>=-15.32 ±0.03‰,  δ</w:t>
      </w:r>
      <w:r>
        <w:rPr>
          <w:rFonts w:ascii="Calibri" w:eastAsia="Calibri" w:hAnsi="Calibri" w:cs="Calibri"/>
          <w:sz w:val="24"/>
          <w:szCs w:val="24"/>
          <w:vertAlign w:val="superscript"/>
        </w:rPr>
        <w:t>15</w:t>
      </w:r>
      <w:r>
        <w:rPr>
          <w:rFonts w:ascii="Calibri" w:eastAsia="Calibri" w:hAnsi="Calibri" w:cs="Calibri"/>
          <w:sz w:val="24"/>
          <w:szCs w:val="24"/>
        </w:rPr>
        <w:t>N</w:t>
      </w:r>
      <w:r>
        <w:rPr>
          <w:rFonts w:ascii="Calibri" w:eastAsia="Calibri" w:hAnsi="Calibri" w:cs="Calibri"/>
          <w:sz w:val="24"/>
          <w:szCs w:val="24"/>
          <w:vertAlign w:val="subscript"/>
        </w:rPr>
        <w:t>raw</w:t>
      </w:r>
      <w:r>
        <w:rPr>
          <w:rFonts w:ascii="Calibri" w:eastAsia="Calibri" w:hAnsi="Calibri" w:cs="Calibri"/>
          <w:sz w:val="24"/>
          <w:szCs w:val="24"/>
        </w:rPr>
        <w:t>= 15.04 ±0.13‰, δ</w:t>
      </w:r>
      <w:r>
        <w:rPr>
          <w:rFonts w:ascii="Calibri" w:eastAsia="Calibri" w:hAnsi="Calibri" w:cs="Calibri"/>
          <w:sz w:val="24"/>
          <w:szCs w:val="24"/>
          <w:vertAlign w:val="superscript"/>
        </w:rPr>
        <w:t>15</w:t>
      </w:r>
      <w:r>
        <w:rPr>
          <w:rFonts w:ascii="Calibri" w:eastAsia="Calibri" w:hAnsi="Calibri" w:cs="Calibri"/>
          <w:sz w:val="24"/>
          <w:szCs w:val="24"/>
        </w:rPr>
        <w:t>N</w:t>
      </w:r>
      <w:r>
        <w:rPr>
          <w:rFonts w:ascii="Calibri" w:eastAsia="Calibri" w:hAnsi="Calibri" w:cs="Calibri"/>
          <w:sz w:val="24"/>
          <w:szCs w:val="24"/>
          <w:vertAlign w:val="subscript"/>
        </w:rPr>
        <w:t>true</w:t>
      </w:r>
      <w:r>
        <w:rPr>
          <w:rFonts w:ascii="Calibri" w:eastAsia="Calibri" w:hAnsi="Calibri" w:cs="Calibri"/>
          <w:sz w:val="24"/>
          <w:szCs w:val="24"/>
        </w:rPr>
        <w:t xml:space="preserve">= 15.2 ±0.12‰). </w:t>
      </w:r>
      <w:r>
        <w:rPr>
          <w:rFonts w:ascii="Calibri" w:eastAsia="Calibri" w:hAnsi="Calibri" w:cs="Calibri"/>
          <w:sz w:val="24"/>
          <w:szCs w:val="24"/>
          <w:highlight w:val="white"/>
        </w:rPr>
        <w:t>Maximum uncertainty was</w:t>
      </w:r>
      <w:r>
        <w:rPr>
          <w:rFonts w:ascii="Calibri" w:eastAsia="Calibri" w:hAnsi="Calibri" w:cs="Calibri"/>
          <w:sz w:val="24"/>
          <w:szCs w:val="24"/>
        </w:rPr>
        <w:t xml:space="preserve"> 0.16‰ (1σ) </w:t>
      </w:r>
      <w:r>
        <w:rPr>
          <w:rFonts w:ascii="Calibri" w:eastAsia="Calibri" w:hAnsi="Calibri" w:cs="Calibri"/>
          <w:sz w:val="24"/>
          <w:szCs w:val="24"/>
          <w:highlight w:val="white"/>
        </w:rPr>
        <w:t xml:space="preserve">for </w:t>
      </w:r>
      <w:r>
        <w:rPr>
          <w:rFonts w:ascii="Calibri" w:eastAsia="Calibri" w:hAnsi="Calibri" w:cs="Calibri"/>
          <w:sz w:val="24"/>
          <w:szCs w:val="24"/>
          <w:highlight w:val="white"/>
        </w:rPr>
        <w:t>ẟ</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and</w:t>
      </w:r>
      <w:r>
        <w:rPr>
          <w:rFonts w:ascii="Calibri" w:eastAsia="Calibri" w:hAnsi="Calibri" w:cs="Calibri"/>
          <w:sz w:val="24"/>
          <w:szCs w:val="24"/>
        </w:rPr>
        <w:t xml:space="preserve"> 0.22‰ (1σ) for</w:t>
      </w:r>
      <w:r>
        <w:rPr>
          <w:rFonts w:ascii="Calibri" w:eastAsia="Calibri" w:hAnsi="Calibri" w:cs="Calibri"/>
          <w:sz w:val="24"/>
          <w:szCs w:val="24"/>
          <w:highlight w:val="white"/>
        </w:rPr>
        <w:t xml:space="preserve"> </w:t>
      </w:r>
      <w:r>
        <w:rPr>
          <w:rFonts w:ascii="Calibri" w:eastAsia="Calibri" w:hAnsi="Calibri" w:cs="Calibri"/>
          <w:sz w:val="24"/>
          <w:szCs w:val="24"/>
          <w:highlight w:val="white"/>
        </w:rPr>
        <w:t>ẟ</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w:t>
      </w:r>
      <w:r>
        <w:rPr>
          <w:rFonts w:ascii="Calibri" w:eastAsia="Calibri" w:hAnsi="Calibri" w:cs="Calibri"/>
          <w:sz w:val="24"/>
          <w:szCs w:val="24"/>
        </w:rPr>
        <w:t xml:space="preserve">. </w:t>
      </w:r>
      <w:r>
        <w:rPr>
          <w:rFonts w:ascii="Calibri" w:eastAsia="Calibri" w:hAnsi="Calibri" w:cs="Calibri"/>
          <w:sz w:val="24"/>
          <w:szCs w:val="24"/>
          <w:highlight w:val="white"/>
        </w:rPr>
        <w:t>In addition, a bovine bone control wa</w:t>
      </w:r>
      <w:r>
        <w:rPr>
          <w:rFonts w:ascii="Calibri" w:eastAsia="Calibri" w:hAnsi="Calibri" w:cs="Calibri"/>
          <w:sz w:val="24"/>
          <w:szCs w:val="24"/>
          <w:highlight w:val="white"/>
        </w:rPr>
        <w:t>s extracted and analysed within the same batch, producing the following average values (</w:t>
      </w:r>
      <w:r>
        <w:rPr>
          <w:rFonts w:ascii="Calibri" w:eastAsia="Calibri" w:hAnsi="Calibri" w:cs="Calibri"/>
          <w:sz w:val="24"/>
          <w:szCs w:val="24"/>
        </w:rPr>
        <w:t>δ</w:t>
      </w:r>
      <w:r>
        <w:rPr>
          <w:rFonts w:ascii="Calibri" w:eastAsia="Calibri" w:hAnsi="Calibri" w:cs="Calibri"/>
          <w:sz w:val="24"/>
          <w:szCs w:val="24"/>
          <w:vertAlign w:val="superscript"/>
        </w:rPr>
        <w:t>13</w:t>
      </w:r>
      <w:r>
        <w:rPr>
          <w:rFonts w:ascii="Calibri" w:eastAsia="Calibri" w:hAnsi="Calibri" w:cs="Calibri"/>
          <w:sz w:val="24"/>
          <w:szCs w:val="24"/>
        </w:rPr>
        <w:t>C= -23.32 ±0.10‰, δ</w:t>
      </w:r>
      <w:r>
        <w:rPr>
          <w:rFonts w:ascii="Calibri" w:eastAsia="Calibri" w:hAnsi="Calibri" w:cs="Calibri"/>
          <w:sz w:val="24"/>
          <w:szCs w:val="24"/>
          <w:vertAlign w:val="superscript"/>
        </w:rPr>
        <w:t>15</w:t>
      </w:r>
      <w:r>
        <w:rPr>
          <w:rFonts w:ascii="Calibri" w:eastAsia="Calibri" w:hAnsi="Calibri" w:cs="Calibri"/>
          <w:sz w:val="24"/>
          <w:szCs w:val="24"/>
        </w:rPr>
        <w:t>N=6.32 ±0.16‰</w:t>
      </w:r>
      <w:r>
        <w:rPr>
          <w:rFonts w:ascii="Calibri" w:eastAsia="Calibri" w:hAnsi="Calibri" w:cs="Calibri"/>
          <w:sz w:val="24"/>
          <w:szCs w:val="24"/>
          <w:highlight w:val="white"/>
        </w:rPr>
        <w:t>).</w:t>
      </w:r>
      <w:r>
        <w:rPr>
          <w:rFonts w:ascii="Calibri" w:eastAsia="Calibri" w:hAnsi="Calibri" w:cs="Calibri"/>
          <w:sz w:val="24"/>
          <w:szCs w:val="24"/>
        </w:rPr>
        <w:t xml:space="preserve"> </w:t>
      </w:r>
      <w:r>
        <w:rPr>
          <w:rFonts w:ascii="Calibri" w:eastAsia="Calibri" w:hAnsi="Calibri" w:cs="Calibri"/>
          <w:sz w:val="24"/>
          <w:szCs w:val="24"/>
          <w:highlight w:val="white"/>
        </w:rPr>
        <w:t>This was within the overall mean value from 50 separate extracts of this bone sample, which produced values of </w:t>
      </w:r>
      <w:r>
        <w:rPr>
          <w:rFonts w:ascii="Calibri" w:eastAsia="Calibri" w:hAnsi="Calibri" w:cs="Calibri"/>
          <w:sz w:val="24"/>
          <w:szCs w:val="24"/>
          <w:highlight w:val="white"/>
        </w:rPr>
        <w:t>ẟ</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 xml:space="preserve">C = -23.19 </w:t>
      </w:r>
      <w:r>
        <w:rPr>
          <w:rFonts w:ascii="Calibri" w:eastAsia="Calibri" w:hAnsi="Calibri" w:cs="Calibri"/>
          <w:sz w:val="24"/>
          <w:szCs w:val="24"/>
        </w:rPr>
        <w:t>±0.</w:t>
      </w:r>
      <w:r>
        <w:rPr>
          <w:rFonts w:ascii="Calibri" w:eastAsia="Calibri" w:hAnsi="Calibri" w:cs="Calibri"/>
          <w:sz w:val="24"/>
          <w:szCs w:val="24"/>
        </w:rPr>
        <w:t>19‰</w:t>
      </w:r>
      <w:r>
        <w:rPr>
          <w:rFonts w:ascii="Calibri" w:eastAsia="Calibri" w:hAnsi="Calibri" w:cs="Calibri"/>
          <w:sz w:val="24"/>
          <w:szCs w:val="24"/>
          <w:highlight w:val="white"/>
        </w:rPr>
        <w:t xml:space="preserve"> and </w:t>
      </w:r>
      <w:r>
        <w:rPr>
          <w:rFonts w:ascii="Calibri" w:eastAsia="Calibri" w:hAnsi="Calibri" w:cs="Calibri"/>
          <w:sz w:val="24"/>
          <w:szCs w:val="24"/>
          <w:highlight w:val="white"/>
        </w:rPr>
        <w:t>ẟ</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=6.29 </w:t>
      </w:r>
      <w:r>
        <w:rPr>
          <w:rFonts w:ascii="Calibri" w:eastAsia="Calibri" w:hAnsi="Calibri" w:cs="Calibri"/>
          <w:sz w:val="24"/>
          <w:szCs w:val="24"/>
        </w:rPr>
        <w:t>±</w:t>
      </w:r>
      <w:r>
        <w:rPr>
          <w:rFonts w:ascii="Calibri" w:eastAsia="Calibri" w:hAnsi="Calibri" w:cs="Calibri"/>
          <w:sz w:val="24"/>
          <w:szCs w:val="24"/>
          <w:highlight w:val="white"/>
        </w:rPr>
        <w:t>0.30</w:t>
      </w:r>
      <w:r>
        <w:rPr>
          <w:rFonts w:ascii="Calibri" w:eastAsia="Calibri" w:hAnsi="Calibri" w:cs="Calibri"/>
          <w:sz w:val="24"/>
          <w:szCs w:val="24"/>
        </w:rPr>
        <w:t>‰</w:t>
      </w:r>
      <w:r>
        <w:rPr>
          <w:rFonts w:ascii="Calibri" w:eastAsia="Calibri" w:hAnsi="Calibri" w:cs="Calibri"/>
          <w:sz w:val="24"/>
          <w:szCs w:val="24"/>
          <w:highlight w:val="white"/>
        </w:rPr>
        <w:t xml:space="preserve">. </w:t>
      </w:r>
    </w:p>
    <w:p w14:paraId="65B459FF" w14:textId="77777777" w:rsidR="00A23BE2" w:rsidRDefault="00307EB3">
      <w:pPr>
        <w:pStyle w:val="Heading6"/>
        <w:numPr>
          <w:ilvl w:val="1"/>
          <w:numId w:val="1"/>
        </w:numPr>
        <w:spacing w:after="240" w:line="360" w:lineRule="auto"/>
        <w:ind w:left="720"/>
        <w:jc w:val="both"/>
        <w:rPr>
          <w:rFonts w:ascii="Calibri" w:eastAsia="Calibri" w:hAnsi="Calibri" w:cs="Calibri"/>
          <w:b/>
          <w:i w:val="0"/>
          <w:color w:val="000000"/>
          <w:sz w:val="24"/>
          <w:szCs w:val="24"/>
        </w:rPr>
      </w:pPr>
      <w:bookmarkStart w:id="3" w:name="_heading=h.2et92p0" w:colFirst="0" w:colLast="0"/>
      <w:bookmarkEnd w:id="3"/>
      <w:r>
        <w:rPr>
          <w:rFonts w:ascii="Calibri" w:eastAsia="Calibri" w:hAnsi="Calibri" w:cs="Calibri"/>
          <w:b/>
          <w:i w:val="0"/>
          <w:color w:val="000000"/>
          <w:sz w:val="24"/>
          <w:szCs w:val="24"/>
        </w:rPr>
        <w:t>Statistical tests</w:t>
      </w:r>
    </w:p>
    <w:p w14:paraId="52ED6FD1"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highlight w:val="white"/>
        </w:rPr>
        <w:t>Statistics were carried</w:t>
      </w:r>
      <w:r>
        <w:rPr>
          <w:rFonts w:ascii="Calibri" w:eastAsia="Calibri" w:hAnsi="Calibri" w:cs="Calibri"/>
          <w:sz w:val="24"/>
          <w:szCs w:val="24"/>
        </w:rPr>
        <w:t xml:space="preserve"> out using R and significance level was set at 0.05 for all tests. Given the reduced number of samples, Kruskal-Wallis tests and nonparametric post-hoc analyses were employed. For comparisons of two groups, Mann-Whitney U tests were applied. </w:t>
      </w:r>
    </w:p>
    <w:p w14:paraId="79E77924" w14:textId="77777777" w:rsidR="00A23BE2" w:rsidRDefault="00307EB3">
      <w:pPr>
        <w:pStyle w:val="Heading6"/>
        <w:numPr>
          <w:ilvl w:val="1"/>
          <w:numId w:val="1"/>
        </w:numPr>
        <w:spacing w:after="240" w:line="360" w:lineRule="auto"/>
        <w:ind w:left="720"/>
        <w:jc w:val="both"/>
        <w:rPr>
          <w:rFonts w:ascii="Calibri" w:eastAsia="Calibri" w:hAnsi="Calibri" w:cs="Calibri"/>
          <w:b/>
          <w:i w:val="0"/>
          <w:color w:val="000000"/>
          <w:sz w:val="24"/>
          <w:szCs w:val="24"/>
        </w:rPr>
      </w:pPr>
      <w:bookmarkStart w:id="4" w:name="_heading=h.tyjcwt" w:colFirst="0" w:colLast="0"/>
      <w:bookmarkEnd w:id="4"/>
      <w:r>
        <w:rPr>
          <w:rFonts w:ascii="Calibri" w:eastAsia="Calibri" w:hAnsi="Calibri" w:cs="Calibri"/>
          <w:b/>
          <w:i w:val="0"/>
          <w:color w:val="000000"/>
          <w:sz w:val="24"/>
          <w:szCs w:val="24"/>
        </w:rPr>
        <w:t>Bayesian mixi</w:t>
      </w:r>
      <w:r>
        <w:rPr>
          <w:rFonts w:ascii="Calibri" w:eastAsia="Calibri" w:hAnsi="Calibri" w:cs="Calibri"/>
          <w:b/>
          <w:i w:val="0"/>
          <w:color w:val="000000"/>
          <w:sz w:val="24"/>
          <w:szCs w:val="24"/>
        </w:rPr>
        <w:t>ng models and spatial interpolations</w:t>
      </w:r>
    </w:p>
    <w:p w14:paraId="401F6093"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 xml:space="preserve">A Bayesian stable isotope mixing model (BSIMM) was used to estimate the proportional contribution of different food sources to the human individuals using ReSources (version 1.0.39 </w:t>
      </w:r>
      <w:hyperlink r:id="rId8">
        <w:r>
          <w:rPr>
            <w:rFonts w:ascii="Calibri" w:eastAsia="Calibri" w:hAnsi="Calibri" w:cs="Calibri"/>
            <w:color w:val="1155CC"/>
            <w:sz w:val="24"/>
            <w:szCs w:val="24"/>
            <w:u w:val="single"/>
          </w:rPr>
          <w:t>https://www.isomemoapp.com/app/resources</w:t>
        </w:r>
      </w:hyperlink>
      <w:r>
        <w:rPr>
          <w:rFonts w:ascii="Calibri" w:eastAsia="Calibri" w:hAnsi="Calibri" w:cs="Calibri"/>
          <w:sz w:val="24"/>
          <w:szCs w:val="24"/>
        </w:rPr>
        <w:t xml:space="preserve">), an online application of FRUITS (Food </w:t>
      </w:r>
      <w:r>
        <w:rPr>
          <w:rFonts w:ascii="Calibri" w:eastAsia="Calibri" w:hAnsi="Calibri" w:cs="Calibri"/>
          <w:sz w:val="24"/>
          <w:szCs w:val="24"/>
        </w:rPr>
        <w:lastRenderedPageBreak/>
        <w:t>reconstruction using isotopic transferred si</w:t>
      </w:r>
      <w:r>
        <w:rPr>
          <w:rFonts w:ascii="Calibri" w:eastAsia="Calibri" w:hAnsi="Calibri" w:cs="Calibri"/>
          <w:sz w:val="24"/>
          <w:szCs w:val="24"/>
        </w:rPr>
        <w:t>gnals, Fernandes et al. 2014). A concentration dependent and routed model for Bayesian estimations was used. The model was built with estimations for the macronutrient (proteins, carbohydrates and lipids) composition of food groups following Fernandes et a</w:t>
      </w:r>
      <w:r>
        <w:rPr>
          <w:rFonts w:ascii="Calibri" w:eastAsia="Calibri" w:hAnsi="Calibri" w:cs="Calibri"/>
          <w:sz w:val="24"/>
          <w:szCs w:val="24"/>
        </w:rPr>
        <w:t xml:space="preserve">l. (2015), combining lipids and carbohydrates into a single fraction, ‘Energy’. The average </w:t>
      </w:r>
      <w:r>
        <w:rPr>
          <w:rFonts w:ascii="Calibri" w:eastAsia="Calibri" w:hAnsi="Calibri" w:cs="Calibri"/>
          <w:color w:val="00000A"/>
          <w:sz w:val="24"/>
          <w:szCs w:val="24"/>
        </w:rPr>
        <w:t>δ</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w:t>
      </w:r>
      <w:r>
        <w:rPr>
          <w:rFonts w:ascii="Calibri" w:eastAsia="Calibri" w:hAnsi="Calibri" w:cs="Calibri"/>
          <w:sz w:val="24"/>
          <w:szCs w:val="24"/>
        </w:rPr>
        <w:t xml:space="preserve"> and δ</w:t>
      </w:r>
      <w:r>
        <w:rPr>
          <w:rFonts w:ascii="Calibri" w:eastAsia="Calibri" w:hAnsi="Calibri" w:cs="Calibri"/>
          <w:color w:val="00000A"/>
          <w:sz w:val="24"/>
          <w:szCs w:val="24"/>
          <w:vertAlign w:val="superscript"/>
        </w:rPr>
        <w:t>15</w:t>
      </w:r>
      <w:r>
        <w:rPr>
          <w:rFonts w:ascii="Calibri" w:eastAsia="Calibri" w:hAnsi="Calibri" w:cs="Calibri"/>
          <w:sz w:val="24"/>
          <w:szCs w:val="24"/>
        </w:rPr>
        <w:t xml:space="preserve">N values for the nutrient fractions (proteins and energy), of each source were estimated from bone collagen values using the fractionations reported in </w:t>
      </w:r>
      <w:r>
        <w:rPr>
          <w:rFonts w:ascii="Calibri" w:eastAsia="Calibri" w:hAnsi="Calibri" w:cs="Calibri"/>
          <w:sz w:val="24"/>
          <w:szCs w:val="24"/>
        </w:rPr>
        <w:t xml:space="preserve">Fernandes et al. (2015). These are: </w:t>
      </w:r>
      <w:r>
        <w:rPr>
          <w:rFonts w:ascii="Calibri" w:eastAsia="Calibri" w:hAnsi="Calibri" w:cs="Calibri"/>
          <w:color w:val="00000A"/>
          <w:sz w:val="24"/>
          <w:szCs w:val="24"/>
        </w:rPr>
        <w:t xml:space="preserve"> ∆</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w:t>
      </w:r>
      <w:r>
        <w:rPr>
          <w:rFonts w:ascii="Calibri" w:eastAsia="Calibri" w:hAnsi="Calibri" w:cs="Calibri"/>
          <w:color w:val="00000A"/>
          <w:sz w:val="24"/>
          <w:szCs w:val="24"/>
          <w:vertAlign w:val="subscript"/>
        </w:rPr>
        <w:t xml:space="preserve">protein-collagen </w:t>
      </w:r>
      <w:r>
        <w:rPr>
          <w:rFonts w:ascii="Calibri" w:eastAsia="Calibri" w:hAnsi="Calibri" w:cs="Calibri"/>
          <w:color w:val="00000A"/>
          <w:sz w:val="24"/>
          <w:szCs w:val="24"/>
        </w:rPr>
        <w:t>=-2‰, ∆</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w:t>
      </w:r>
      <w:r>
        <w:rPr>
          <w:rFonts w:ascii="Calibri" w:eastAsia="Calibri" w:hAnsi="Calibri" w:cs="Calibri"/>
          <w:color w:val="00000A"/>
          <w:sz w:val="24"/>
          <w:szCs w:val="24"/>
          <w:vertAlign w:val="subscript"/>
        </w:rPr>
        <w:t xml:space="preserve">lipids-collagen </w:t>
      </w:r>
      <w:r>
        <w:rPr>
          <w:rFonts w:ascii="Calibri" w:eastAsia="Calibri" w:hAnsi="Calibri" w:cs="Calibri"/>
          <w:color w:val="00000A"/>
          <w:sz w:val="24"/>
          <w:szCs w:val="24"/>
        </w:rPr>
        <w:t>=-8‰ and ∆</w:t>
      </w:r>
      <w:r>
        <w:rPr>
          <w:rFonts w:ascii="Calibri" w:eastAsia="Calibri" w:hAnsi="Calibri" w:cs="Calibri"/>
          <w:color w:val="00000A"/>
          <w:sz w:val="24"/>
          <w:szCs w:val="24"/>
          <w:vertAlign w:val="superscript"/>
        </w:rPr>
        <w:t>15</w:t>
      </w:r>
      <w:r>
        <w:rPr>
          <w:rFonts w:ascii="Calibri" w:eastAsia="Calibri" w:hAnsi="Calibri" w:cs="Calibri"/>
          <w:color w:val="00000A"/>
          <w:sz w:val="24"/>
          <w:szCs w:val="24"/>
        </w:rPr>
        <w:t>N</w:t>
      </w:r>
      <w:r>
        <w:rPr>
          <w:rFonts w:ascii="Calibri" w:eastAsia="Calibri" w:hAnsi="Calibri" w:cs="Calibri"/>
          <w:color w:val="00000A"/>
          <w:sz w:val="24"/>
          <w:szCs w:val="24"/>
          <w:vertAlign w:val="subscript"/>
        </w:rPr>
        <w:t>protein-collagen</w:t>
      </w:r>
      <w:r>
        <w:rPr>
          <w:rFonts w:ascii="Calibri" w:eastAsia="Calibri" w:hAnsi="Calibri" w:cs="Calibri"/>
          <w:color w:val="00000A"/>
          <w:sz w:val="24"/>
          <w:szCs w:val="24"/>
        </w:rPr>
        <w:t>=+2‰ for terrestrial mammals and ∆</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w:t>
      </w:r>
      <w:r>
        <w:rPr>
          <w:rFonts w:ascii="Calibri" w:eastAsia="Calibri" w:hAnsi="Calibri" w:cs="Calibri"/>
          <w:color w:val="00000A"/>
          <w:sz w:val="24"/>
          <w:szCs w:val="24"/>
          <w:vertAlign w:val="subscript"/>
        </w:rPr>
        <w:t xml:space="preserve">protein-collagen </w:t>
      </w:r>
      <w:r>
        <w:rPr>
          <w:rFonts w:ascii="Calibri" w:eastAsia="Calibri" w:hAnsi="Calibri" w:cs="Calibri"/>
          <w:color w:val="00000A"/>
          <w:sz w:val="24"/>
          <w:szCs w:val="24"/>
        </w:rPr>
        <w:t>=-1‰, ∆</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w:t>
      </w:r>
      <w:r>
        <w:rPr>
          <w:rFonts w:ascii="Calibri" w:eastAsia="Calibri" w:hAnsi="Calibri" w:cs="Calibri"/>
          <w:color w:val="00000A"/>
          <w:sz w:val="24"/>
          <w:szCs w:val="24"/>
          <w:vertAlign w:val="subscript"/>
        </w:rPr>
        <w:t xml:space="preserve">lipids-collagen </w:t>
      </w:r>
      <w:r>
        <w:rPr>
          <w:rFonts w:ascii="Calibri" w:eastAsia="Calibri" w:hAnsi="Calibri" w:cs="Calibri"/>
          <w:color w:val="00000A"/>
          <w:sz w:val="24"/>
          <w:szCs w:val="24"/>
        </w:rPr>
        <w:t>=-7‰ and ∆</w:t>
      </w:r>
      <w:r>
        <w:rPr>
          <w:rFonts w:ascii="Calibri" w:eastAsia="Calibri" w:hAnsi="Calibri" w:cs="Calibri"/>
          <w:color w:val="00000A"/>
          <w:sz w:val="24"/>
          <w:szCs w:val="24"/>
          <w:vertAlign w:val="superscript"/>
        </w:rPr>
        <w:t>15</w:t>
      </w:r>
      <w:r>
        <w:rPr>
          <w:rFonts w:ascii="Calibri" w:eastAsia="Calibri" w:hAnsi="Calibri" w:cs="Calibri"/>
          <w:color w:val="00000A"/>
          <w:sz w:val="24"/>
          <w:szCs w:val="24"/>
        </w:rPr>
        <w:t>N</w:t>
      </w:r>
      <w:r>
        <w:rPr>
          <w:rFonts w:ascii="Calibri" w:eastAsia="Calibri" w:hAnsi="Calibri" w:cs="Calibri"/>
          <w:color w:val="00000A"/>
          <w:sz w:val="24"/>
          <w:szCs w:val="24"/>
          <w:vertAlign w:val="subscript"/>
        </w:rPr>
        <w:t>protein-collagen</w:t>
      </w:r>
      <w:r>
        <w:rPr>
          <w:rFonts w:ascii="Calibri" w:eastAsia="Calibri" w:hAnsi="Calibri" w:cs="Calibri"/>
          <w:color w:val="00000A"/>
          <w:sz w:val="24"/>
          <w:szCs w:val="24"/>
        </w:rPr>
        <w:t>=+2‰ for fish. The offset for plants assumed the δ</w:t>
      </w:r>
      <w:r>
        <w:rPr>
          <w:rFonts w:ascii="Calibri" w:eastAsia="Calibri" w:hAnsi="Calibri" w:cs="Calibri"/>
          <w:color w:val="00000A"/>
          <w:sz w:val="24"/>
          <w:szCs w:val="24"/>
          <w:vertAlign w:val="superscript"/>
        </w:rPr>
        <w:t>15</w:t>
      </w:r>
      <w:r>
        <w:rPr>
          <w:rFonts w:ascii="Calibri" w:eastAsia="Calibri" w:hAnsi="Calibri" w:cs="Calibri"/>
          <w:color w:val="00000A"/>
          <w:sz w:val="24"/>
          <w:szCs w:val="24"/>
        </w:rPr>
        <w:t>N value of plant protein was the same as the average bulk plant δ</w:t>
      </w:r>
      <w:r>
        <w:rPr>
          <w:rFonts w:ascii="Calibri" w:eastAsia="Calibri" w:hAnsi="Calibri" w:cs="Calibri"/>
          <w:color w:val="00000A"/>
          <w:sz w:val="24"/>
          <w:szCs w:val="24"/>
          <w:vertAlign w:val="superscript"/>
        </w:rPr>
        <w:t>15</w:t>
      </w:r>
      <w:r>
        <w:rPr>
          <w:rFonts w:ascii="Calibri" w:eastAsia="Calibri" w:hAnsi="Calibri" w:cs="Calibri"/>
          <w:color w:val="00000A"/>
          <w:sz w:val="24"/>
          <w:szCs w:val="24"/>
        </w:rPr>
        <w:t>N value and for δ</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 the offsets were ∆</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w:t>
      </w:r>
      <w:r>
        <w:rPr>
          <w:rFonts w:ascii="Calibri" w:eastAsia="Calibri" w:hAnsi="Calibri" w:cs="Calibri"/>
          <w:color w:val="00000A"/>
          <w:sz w:val="24"/>
          <w:szCs w:val="24"/>
          <w:vertAlign w:val="subscript"/>
        </w:rPr>
        <w:t>bulk-protein</w:t>
      </w:r>
      <w:r>
        <w:rPr>
          <w:rFonts w:ascii="Calibri" w:eastAsia="Calibri" w:hAnsi="Calibri" w:cs="Calibri"/>
          <w:color w:val="00000A"/>
          <w:sz w:val="24"/>
          <w:szCs w:val="24"/>
        </w:rPr>
        <w:t>= -2‰ and ∆</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w:t>
      </w:r>
      <w:r>
        <w:rPr>
          <w:rFonts w:ascii="Calibri" w:eastAsia="Calibri" w:hAnsi="Calibri" w:cs="Calibri"/>
          <w:color w:val="00000A"/>
          <w:sz w:val="24"/>
          <w:szCs w:val="24"/>
          <w:vertAlign w:val="subscript"/>
        </w:rPr>
        <w:t xml:space="preserve">bulk-carbohydrates </w:t>
      </w:r>
      <w:r>
        <w:rPr>
          <w:rFonts w:ascii="Calibri" w:eastAsia="Calibri" w:hAnsi="Calibri" w:cs="Calibri"/>
          <w:color w:val="00000A"/>
          <w:sz w:val="24"/>
          <w:szCs w:val="24"/>
        </w:rPr>
        <w:t>= +0.5 ‰.</w:t>
      </w:r>
      <w:r>
        <w:rPr>
          <w:rFonts w:ascii="Calibri" w:eastAsia="Calibri" w:hAnsi="Calibri" w:cs="Calibri"/>
          <w:sz w:val="24"/>
          <w:szCs w:val="24"/>
        </w:rPr>
        <w:t xml:space="preserve"> A conservative uncertainty of 1‰ was us</w:t>
      </w:r>
      <w:r>
        <w:rPr>
          <w:rFonts w:ascii="Calibri" w:eastAsia="Calibri" w:hAnsi="Calibri" w:cs="Calibri"/>
          <w:sz w:val="24"/>
          <w:szCs w:val="24"/>
        </w:rPr>
        <w:t>ed for all offsets. The diet-collagen offsets of 4.8 ± 0.2‰ for δ</w:t>
      </w:r>
      <w:r>
        <w:rPr>
          <w:rFonts w:ascii="Calibri" w:eastAsia="Calibri" w:hAnsi="Calibri" w:cs="Calibri"/>
          <w:sz w:val="24"/>
          <w:szCs w:val="24"/>
          <w:vertAlign w:val="superscript"/>
        </w:rPr>
        <w:t>13</w:t>
      </w:r>
      <w:r>
        <w:rPr>
          <w:rFonts w:ascii="Calibri" w:eastAsia="Calibri" w:hAnsi="Calibri" w:cs="Calibri"/>
          <w:sz w:val="24"/>
          <w:szCs w:val="24"/>
        </w:rPr>
        <w:t>C and 5.5 ± 0.5‰ for δ</w:t>
      </w:r>
      <w:r>
        <w:rPr>
          <w:rFonts w:ascii="Calibri" w:eastAsia="Calibri" w:hAnsi="Calibri" w:cs="Calibri"/>
          <w:sz w:val="24"/>
          <w:szCs w:val="24"/>
          <w:vertAlign w:val="superscript"/>
        </w:rPr>
        <w:t>15</w:t>
      </w:r>
      <w:r>
        <w:rPr>
          <w:rFonts w:ascii="Calibri" w:eastAsia="Calibri" w:hAnsi="Calibri" w:cs="Calibri"/>
          <w:sz w:val="24"/>
          <w:szCs w:val="24"/>
        </w:rPr>
        <w:t>N, were used taking into account varying macronutrient concentrations (</w:t>
      </w:r>
      <w:hyperlink r:id="rId9" w:anchor="bib34">
        <w:r>
          <w:rPr>
            <w:rFonts w:ascii="Calibri" w:eastAsia="Calibri" w:hAnsi="Calibri" w:cs="Calibri"/>
            <w:sz w:val="24"/>
            <w:szCs w:val="24"/>
          </w:rPr>
          <w:t>Fernandes et al. 2012</w:t>
        </w:r>
      </w:hyperlink>
      <w:r>
        <w:rPr>
          <w:rFonts w:ascii="Calibri" w:eastAsia="Calibri" w:hAnsi="Calibri" w:cs="Calibri"/>
          <w:sz w:val="24"/>
          <w:szCs w:val="24"/>
        </w:rPr>
        <w:t xml:space="preserve">, </w:t>
      </w:r>
      <w:hyperlink r:id="rId10" w:anchor="bib31">
        <w:r>
          <w:rPr>
            <w:rFonts w:ascii="Calibri" w:eastAsia="Calibri" w:hAnsi="Calibri" w:cs="Calibri"/>
            <w:sz w:val="24"/>
            <w:szCs w:val="24"/>
          </w:rPr>
          <w:t>2015</w:t>
        </w:r>
      </w:hyperlink>
      <w:r>
        <w:rPr>
          <w:rFonts w:ascii="Calibri" w:eastAsia="Calibri" w:hAnsi="Calibri" w:cs="Calibri"/>
          <w:sz w:val="24"/>
          <w:szCs w:val="24"/>
        </w:rPr>
        <w:t xml:space="preserve">), and assuming that nitrogen derived exclusively from protein (100%) and carbon derived from </w:t>
      </w:r>
      <w:r>
        <w:rPr>
          <w:rFonts w:ascii="Calibri" w:eastAsia="Calibri" w:hAnsi="Calibri" w:cs="Calibri"/>
          <w:sz w:val="24"/>
          <w:szCs w:val="24"/>
        </w:rPr>
        <w:t xml:space="preserve">both protein, (74 ± 4%) and carbohydrates/lipids, (26 ± 5%). </w:t>
      </w:r>
    </w:p>
    <w:p w14:paraId="0EC8C30B"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As there is no evidence for C</w:t>
      </w:r>
      <w:r>
        <w:rPr>
          <w:rFonts w:ascii="Calibri" w:eastAsia="Calibri" w:hAnsi="Calibri" w:cs="Calibri"/>
          <w:sz w:val="24"/>
          <w:szCs w:val="24"/>
          <w:vertAlign w:val="subscript"/>
        </w:rPr>
        <w:t>4</w:t>
      </w:r>
      <w:r>
        <w:rPr>
          <w:rFonts w:ascii="Calibri" w:eastAsia="Calibri" w:hAnsi="Calibri" w:cs="Calibri"/>
          <w:sz w:val="24"/>
          <w:szCs w:val="24"/>
        </w:rPr>
        <w:t xml:space="preserve"> plant or aquatic resource consumption at the site, three main source food groups were used in the model: domestic herbivores (cattle, sheep, goat and horse), and wild herbivores (deer) and C</w:t>
      </w:r>
      <w:r>
        <w:rPr>
          <w:rFonts w:ascii="Calibri" w:eastAsia="Calibri" w:hAnsi="Calibri" w:cs="Calibri"/>
          <w:sz w:val="24"/>
          <w:szCs w:val="24"/>
          <w:vertAlign w:val="subscript"/>
        </w:rPr>
        <w:t xml:space="preserve">3 </w:t>
      </w:r>
      <w:r>
        <w:rPr>
          <w:rFonts w:ascii="Calibri" w:eastAsia="Calibri" w:hAnsi="Calibri" w:cs="Calibri"/>
          <w:sz w:val="24"/>
          <w:szCs w:val="24"/>
        </w:rPr>
        <w:t>plants. The mean values for domestic herbivores, (</w:t>
      </w:r>
      <w:r>
        <w:rPr>
          <w:rFonts w:ascii="Calibri" w:eastAsia="Calibri" w:hAnsi="Calibri" w:cs="Calibri"/>
          <w:color w:val="00000A"/>
          <w:sz w:val="24"/>
          <w:szCs w:val="24"/>
        </w:rPr>
        <w:t>δ</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 -20.1 ±</w:t>
      </w:r>
      <w:r>
        <w:rPr>
          <w:rFonts w:ascii="Calibri" w:eastAsia="Calibri" w:hAnsi="Calibri" w:cs="Calibri"/>
          <w:color w:val="00000A"/>
          <w:sz w:val="24"/>
          <w:szCs w:val="24"/>
        </w:rPr>
        <w:t xml:space="preserve"> 0.9‰ δ</w:t>
      </w:r>
      <w:r>
        <w:rPr>
          <w:rFonts w:ascii="Calibri" w:eastAsia="Calibri" w:hAnsi="Calibri" w:cs="Calibri"/>
          <w:color w:val="00000A"/>
          <w:sz w:val="24"/>
          <w:szCs w:val="24"/>
          <w:vertAlign w:val="superscript"/>
        </w:rPr>
        <w:t>15</w:t>
      </w:r>
      <w:r>
        <w:rPr>
          <w:rFonts w:ascii="Calibri" w:eastAsia="Calibri" w:hAnsi="Calibri" w:cs="Calibri"/>
          <w:color w:val="00000A"/>
          <w:sz w:val="24"/>
          <w:szCs w:val="24"/>
        </w:rPr>
        <w:t>N= 6.0 ± 1.6‰, n=29)</w:t>
      </w:r>
      <w:r>
        <w:rPr>
          <w:rFonts w:ascii="Calibri" w:eastAsia="Calibri" w:hAnsi="Calibri" w:cs="Calibri"/>
          <w:sz w:val="24"/>
          <w:szCs w:val="24"/>
        </w:rPr>
        <w:t>, wild herbivores (</w:t>
      </w:r>
      <w:r>
        <w:rPr>
          <w:rFonts w:ascii="Calibri" w:eastAsia="Calibri" w:hAnsi="Calibri" w:cs="Calibri"/>
          <w:color w:val="00000A"/>
          <w:sz w:val="24"/>
          <w:szCs w:val="24"/>
        </w:rPr>
        <w:t>δ</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 -20.0 ± 0.3‰ δ</w:t>
      </w:r>
      <w:r>
        <w:rPr>
          <w:rFonts w:ascii="Calibri" w:eastAsia="Calibri" w:hAnsi="Calibri" w:cs="Calibri"/>
          <w:color w:val="00000A"/>
          <w:sz w:val="24"/>
          <w:szCs w:val="24"/>
          <w:vertAlign w:val="superscript"/>
        </w:rPr>
        <w:t>15</w:t>
      </w:r>
      <w:r>
        <w:rPr>
          <w:rFonts w:ascii="Calibri" w:eastAsia="Calibri" w:hAnsi="Calibri" w:cs="Calibri"/>
          <w:color w:val="00000A"/>
          <w:sz w:val="24"/>
          <w:szCs w:val="24"/>
        </w:rPr>
        <w:t>N= 3.8 ± 0.3‰, n=3</w:t>
      </w:r>
      <w:r>
        <w:rPr>
          <w:rFonts w:ascii="Calibri" w:eastAsia="Calibri" w:hAnsi="Calibri" w:cs="Calibri"/>
          <w:sz w:val="24"/>
          <w:szCs w:val="24"/>
        </w:rPr>
        <w:t>) derive from the present study. The mean values for C</w:t>
      </w:r>
      <w:r>
        <w:rPr>
          <w:rFonts w:ascii="Calibri" w:eastAsia="Calibri" w:hAnsi="Calibri" w:cs="Calibri"/>
          <w:sz w:val="24"/>
          <w:szCs w:val="24"/>
          <w:vertAlign w:val="subscript"/>
        </w:rPr>
        <w:t>3</w:t>
      </w:r>
      <w:r>
        <w:rPr>
          <w:rFonts w:ascii="Calibri" w:eastAsia="Calibri" w:hAnsi="Calibri" w:cs="Calibri"/>
          <w:sz w:val="24"/>
          <w:szCs w:val="24"/>
        </w:rPr>
        <w:t xml:space="preserve"> plants </w:t>
      </w:r>
      <w:r>
        <w:rPr>
          <w:rFonts w:ascii="Calibri" w:eastAsia="Calibri" w:hAnsi="Calibri" w:cs="Calibri"/>
          <w:color w:val="00000A"/>
          <w:sz w:val="24"/>
          <w:szCs w:val="24"/>
        </w:rPr>
        <w:t>(wheat [</w:t>
      </w:r>
      <w:r>
        <w:rPr>
          <w:rFonts w:ascii="Calibri" w:eastAsia="Calibri" w:hAnsi="Calibri" w:cs="Calibri"/>
          <w:i/>
          <w:color w:val="00000A"/>
          <w:sz w:val="24"/>
          <w:szCs w:val="24"/>
        </w:rPr>
        <w:t>Triticum</w:t>
      </w:r>
      <w:r>
        <w:rPr>
          <w:rFonts w:ascii="Calibri" w:eastAsia="Calibri" w:hAnsi="Calibri" w:cs="Calibri"/>
          <w:color w:val="00000A"/>
          <w:sz w:val="24"/>
          <w:szCs w:val="24"/>
        </w:rPr>
        <w:t xml:space="preserve"> sp.] and barley [</w:t>
      </w:r>
      <w:r>
        <w:rPr>
          <w:rFonts w:ascii="Calibri" w:eastAsia="Calibri" w:hAnsi="Calibri" w:cs="Calibri"/>
          <w:i/>
          <w:color w:val="00000A"/>
          <w:sz w:val="24"/>
          <w:szCs w:val="24"/>
        </w:rPr>
        <w:t>Hordeum vulgare</w:t>
      </w:r>
      <w:r>
        <w:rPr>
          <w:rFonts w:ascii="Calibri" w:eastAsia="Calibri" w:hAnsi="Calibri" w:cs="Calibri"/>
          <w:color w:val="00000A"/>
          <w:sz w:val="24"/>
          <w:szCs w:val="24"/>
        </w:rPr>
        <w:t>], δ</w:t>
      </w:r>
      <w:r>
        <w:rPr>
          <w:rFonts w:ascii="Calibri" w:eastAsia="Calibri" w:hAnsi="Calibri" w:cs="Calibri"/>
          <w:color w:val="00000A"/>
          <w:sz w:val="24"/>
          <w:szCs w:val="24"/>
          <w:vertAlign w:val="superscript"/>
        </w:rPr>
        <w:t>13</w:t>
      </w:r>
      <w:r>
        <w:rPr>
          <w:rFonts w:ascii="Calibri" w:eastAsia="Calibri" w:hAnsi="Calibri" w:cs="Calibri"/>
          <w:color w:val="00000A"/>
          <w:sz w:val="24"/>
          <w:szCs w:val="24"/>
        </w:rPr>
        <w:t>C= -22.2 ± 0.5‰ δ</w:t>
      </w:r>
      <w:r>
        <w:rPr>
          <w:rFonts w:ascii="Calibri" w:eastAsia="Calibri" w:hAnsi="Calibri" w:cs="Calibri"/>
          <w:color w:val="00000A"/>
          <w:sz w:val="24"/>
          <w:szCs w:val="24"/>
          <w:vertAlign w:val="superscript"/>
        </w:rPr>
        <w:t>15</w:t>
      </w:r>
      <w:r>
        <w:rPr>
          <w:rFonts w:ascii="Calibri" w:eastAsia="Calibri" w:hAnsi="Calibri" w:cs="Calibri"/>
          <w:color w:val="00000A"/>
          <w:sz w:val="24"/>
          <w:szCs w:val="24"/>
        </w:rPr>
        <w:t>N= 7.0 ± 0.8‰, n=21)</w:t>
      </w:r>
      <w:r>
        <w:rPr>
          <w:rFonts w:ascii="Calibri" w:eastAsia="Calibri" w:hAnsi="Calibri" w:cs="Calibri"/>
          <w:sz w:val="24"/>
          <w:szCs w:val="24"/>
        </w:rPr>
        <w:t xml:space="preserve"> were taken</w:t>
      </w:r>
      <w:r>
        <w:rPr>
          <w:rFonts w:ascii="Calibri" w:eastAsia="Calibri" w:hAnsi="Calibri" w:cs="Calibri"/>
          <w:sz w:val="24"/>
          <w:szCs w:val="24"/>
        </w:rPr>
        <w:t xml:space="preserve"> from published data from an Iron Age site in north-central Iberia dating to the 4th-3rd centuries BCE (Fernández-Crespo 2019a). Priors were incorporated to reduce uncertainties in dietary estimations and produce more ‘realistic’ outputs based on prior kno</w:t>
      </w:r>
      <w:r>
        <w:rPr>
          <w:rFonts w:ascii="Calibri" w:eastAsia="Calibri" w:hAnsi="Calibri" w:cs="Calibri"/>
          <w:sz w:val="24"/>
          <w:szCs w:val="24"/>
        </w:rPr>
        <w:t xml:space="preserve">wledge. One prior was based on the physiological assumption that acceptable levels of dietary protein intake should conservatively range between 5 and 45% (Fernandes et al. 2014). A second prior considered that plant foods would make up a more significant </w:t>
      </w:r>
      <w:r>
        <w:rPr>
          <w:rFonts w:ascii="Calibri" w:eastAsia="Calibri" w:hAnsi="Calibri" w:cs="Calibri"/>
          <w:sz w:val="24"/>
          <w:szCs w:val="24"/>
        </w:rPr>
        <w:t>proportion of the diet in comparison to animal foods in prehistoric societies (Larsen 2003; Cheung and Szpak 2020) and, finally, the third prior assumes that domestic herbivores would make up a greater proportion of the diet in comparison to wild herbivore</w:t>
      </w:r>
      <w:r>
        <w:rPr>
          <w:rFonts w:ascii="Calibri" w:eastAsia="Calibri" w:hAnsi="Calibri" w:cs="Calibri"/>
          <w:sz w:val="24"/>
          <w:szCs w:val="24"/>
        </w:rPr>
        <w:t xml:space="preserve">s, following the species representation in the zooarchaeological assemblage from the sites. </w:t>
      </w:r>
    </w:p>
    <w:p w14:paraId="46EF3617" w14:textId="77777777" w:rsidR="00A23BE2" w:rsidRDefault="00307EB3">
      <w:pPr>
        <w:spacing w:before="240" w:after="240" w:line="360" w:lineRule="auto"/>
        <w:jc w:val="both"/>
        <w:rPr>
          <w:rFonts w:ascii="Calibri" w:eastAsia="Calibri" w:hAnsi="Calibri" w:cs="Calibri"/>
          <w:sz w:val="24"/>
          <w:szCs w:val="24"/>
          <w:shd w:val="clear" w:color="auto" w:fill="D9EAD3"/>
        </w:rPr>
      </w:pPr>
      <w:r>
        <w:rPr>
          <w:rFonts w:ascii="Calibri" w:eastAsia="Calibri" w:hAnsi="Calibri" w:cs="Calibri"/>
          <w:sz w:val="24"/>
          <w:szCs w:val="24"/>
        </w:rPr>
        <w:t>The spatial distribution of our δ</w:t>
      </w:r>
      <w:r>
        <w:rPr>
          <w:rFonts w:ascii="Calibri" w:eastAsia="Calibri" w:hAnsi="Calibri" w:cs="Calibri"/>
          <w:sz w:val="24"/>
          <w:szCs w:val="24"/>
          <w:vertAlign w:val="superscript"/>
        </w:rPr>
        <w:t>13</w:t>
      </w:r>
      <w:r>
        <w:rPr>
          <w:rFonts w:ascii="Calibri" w:eastAsia="Calibri" w:hAnsi="Calibri" w:cs="Calibri"/>
          <w:sz w:val="24"/>
          <w:szCs w:val="24"/>
        </w:rPr>
        <w:t>C 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w:t>
      </w:r>
      <w:r>
        <w:rPr>
          <w:rFonts w:ascii="Calibri" w:eastAsia="Calibri" w:hAnsi="Calibri" w:cs="Calibri"/>
          <w:sz w:val="24"/>
          <w:szCs w:val="24"/>
        </w:rPr>
        <w:t xml:space="preserve">data in combination with comparative published studies of contemporaneous populations from the region was explored using the Bayesian model AverageR. </w:t>
      </w:r>
      <w:r>
        <w:rPr>
          <w:rFonts w:ascii="Calibri" w:eastAsia="Calibri" w:hAnsi="Calibri" w:cs="Calibri"/>
          <w:sz w:val="24"/>
          <w:szCs w:val="24"/>
        </w:rPr>
        <w:lastRenderedPageBreak/>
        <w:t>This is available as an R-based open access App (</w:t>
      </w:r>
      <w:hyperlink r:id="rId11">
        <w:r>
          <w:rPr>
            <w:rFonts w:ascii="Calibri" w:eastAsia="Calibri" w:hAnsi="Calibri" w:cs="Calibri"/>
            <w:color w:val="1155CC"/>
            <w:sz w:val="24"/>
            <w:szCs w:val="24"/>
            <w:u w:val="single"/>
          </w:rPr>
          <w:t>https://www.i</w:t>
        </w:r>
        <w:r>
          <w:rPr>
            <w:rFonts w:ascii="Calibri" w:eastAsia="Calibri" w:hAnsi="Calibri" w:cs="Calibri"/>
            <w:color w:val="1155CC"/>
            <w:sz w:val="24"/>
            <w:szCs w:val="24"/>
            <w:u w:val="single"/>
          </w:rPr>
          <w:t>somemoapp.com</w:t>
        </w:r>
      </w:hyperlink>
      <w:r>
        <w:rPr>
          <w:rFonts w:ascii="Calibri" w:eastAsia="Calibri" w:hAnsi="Calibri" w:cs="Calibri"/>
          <w:sz w:val="24"/>
          <w:szCs w:val="24"/>
        </w:rPr>
        <w:t>) within the Pandora and IsoMemo initiatives, version 1.9.1. Further details can be found in Cubas et al. (2020). The mean of the δ</w:t>
      </w:r>
      <w:r>
        <w:rPr>
          <w:rFonts w:ascii="Calibri" w:eastAsia="Calibri" w:hAnsi="Calibri" w:cs="Calibri"/>
          <w:sz w:val="24"/>
          <w:szCs w:val="24"/>
          <w:vertAlign w:val="superscript"/>
        </w:rPr>
        <w:t>13</w:t>
      </w:r>
      <w:r>
        <w:rPr>
          <w:rFonts w:ascii="Calibri" w:eastAsia="Calibri" w:hAnsi="Calibri" w:cs="Calibri"/>
          <w:sz w:val="24"/>
          <w:szCs w:val="24"/>
        </w:rPr>
        <w:t>C 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w:t>
      </w:r>
      <w:r>
        <w:rPr>
          <w:rFonts w:ascii="Calibri" w:eastAsia="Calibri" w:hAnsi="Calibri" w:cs="Calibri"/>
          <w:sz w:val="24"/>
          <w:szCs w:val="24"/>
        </w:rPr>
        <w:t>values and the standard error of the mean (SEM) were calculated for each site by considering an area within an 80 km radius around the given geographical coordinates.</w:t>
      </w:r>
    </w:p>
    <w:p w14:paraId="61FAF9ED" w14:textId="77777777" w:rsidR="00A23BE2" w:rsidRDefault="00307EB3">
      <w:pPr>
        <w:pStyle w:val="Heading5"/>
        <w:numPr>
          <w:ilvl w:val="1"/>
          <w:numId w:val="1"/>
        </w:numPr>
        <w:spacing w:after="240" w:line="360" w:lineRule="auto"/>
        <w:ind w:left="720"/>
        <w:jc w:val="both"/>
        <w:rPr>
          <w:rFonts w:ascii="Calibri" w:eastAsia="Calibri" w:hAnsi="Calibri" w:cs="Calibri"/>
          <w:b/>
          <w:color w:val="000000"/>
          <w:sz w:val="24"/>
          <w:szCs w:val="24"/>
        </w:rPr>
      </w:pPr>
      <w:bookmarkStart w:id="5" w:name="_heading=h.3dy6vkm" w:colFirst="0" w:colLast="0"/>
      <w:bookmarkEnd w:id="5"/>
      <w:r>
        <w:rPr>
          <w:rFonts w:ascii="Calibri" w:eastAsia="Calibri" w:hAnsi="Calibri" w:cs="Calibri"/>
          <w:b/>
          <w:color w:val="000000"/>
          <w:sz w:val="24"/>
          <w:szCs w:val="24"/>
        </w:rPr>
        <w:t>ZooMS analysis</w:t>
      </w:r>
    </w:p>
    <w:p w14:paraId="7452F6AD"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Collagen peptide mass fingerprinting, also known as Zooarchaeology by Mass</w:t>
      </w:r>
      <w:r>
        <w:rPr>
          <w:rFonts w:ascii="Calibri" w:eastAsia="Calibri" w:hAnsi="Calibri" w:cs="Calibri"/>
          <w:sz w:val="24"/>
          <w:szCs w:val="24"/>
          <w:highlight w:val="white"/>
        </w:rPr>
        <w:t xml:space="preserve"> Spectrometry (ZooMS), was carried out to aid in the identification of animal remains from Moncín and Majaladares. Bones are identified due to existing differences in the mass of their peptides, which arise as a result of collagen type I (COL1) amino acid </w:t>
      </w:r>
      <w:r>
        <w:rPr>
          <w:rFonts w:ascii="Calibri" w:eastAsia="Calibri" w:hAnsi="Calibri" w:cs="Calibri"/>
          <w:sz w:val="24"/>
          <w:szCs w:val="24"/>
          <w:highlight w:val="white"/>
        </w:rPr>
        <w:t>sequence variations between species. This method, thus, provides the possibility to identify fragmentary bone remains and distinguish species that are often difficult to separate morphologically, such as goat and sheep (Buckley et al. 2010).</w:t>
      </w:r>
    </w:p>
    <w:p w14:paraId="2DCE352C"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ZooMS analysis</w:t>
      </w:r>
      <w:r>
        <w:rPr>
          <w:rFonts w:ascii="Calibri" w:eastAsia="Calibri" w:hAnsi="Calibri" w:cs="Calibri"/>
          <w:sz w:val="24"/>
          <w:szCs w:val="24"/>
        </w:rPr>
        <w:t xml:space="preserve"> was carried out on all 33 animal remains based on the method described by Buckley (2009). Fifty microliters of 50mM ammonium bicarbonate buffer (AmBic, NH</w:t>
      </w:r>
      <w:r>
        <w:rPr>
          <w:rFonts w:ascii="Calibri" w:eastAsia="Calibri" w:hAnsi="Calibri" w:cs="Calibri"/>
          <w:sz w:val="24"/>
          <w:szCs w:val="24"/>
          <w:vertAlign w:val="subscript"/>
        </w:rPr>
        <w:t>4</w:t>
      </w:r>
      <w:r>
        <w:rPr>
          <w:rFonts w:ascii="Calibri" w:eastAsia="Calibri" w:hAnsi="Calibri" w:cs="Calibri"/>
          <w:sz w:val="24"/>
          <w:szCs w:val="24"/>
        </w:rPr>
        <w:t>HCO</w:t>
      </w:r>
      <w:r>
        <w:rPr>
          <w:rFonts w:ascii="Calibri" w:eastAsia="Calibri" w:hAnsi="Calibri" w:cs="Calibri"/>
          <w:sz w:val="24"/>
          <w:szCs w:val="24"/>
          <w:vertAlign w:val="subscript"/>
        </w:rPr>
        <w:t>3</w:t>
      </w:r>
      <w:r>
        <w:rPr>
          <w:rFonts w:ascii="Calibri" w:eastAsia="Calibri" w:hAnsi="Calibri" w:cs="Calibri"/>
          <w:sz w:val="24"/>
          <w:szCs w:val="24"/>
        </w:rPr>
        <w:t>, pH 8.0) and 1 μL of trypsin solution (0.4 µg µl) were added to the collagen remaining from sta</w:t>
      </w:r>
      <w:r>
        <w:rPr>
          <w:rFonts w:ascii="Calibri" w:eastAsia="Calibri" w:hAnsi="Calibri" w:cs="Calibri"/>
          <w:sz w:val="24"/>
          <w:szCs w:val="24"/>
        </w:rPr>
        <w:t>ble isotope analysis (&lt;1 mg) and then incubated at 37°C overnight. One microliter of 5% trifluoroacetic acid (TFA) was added to cease protein digestion. Extracted peptides were then purified using C18 resin ZipTips (Agilent) and eluted with 50 μL of 50% ac</w:t>
      </w:r>
      <w:r>
        <w:rPr>
          <w:rFonts w:ascii="Calibri" w:eastAsia="Calibri" w:hAnsi="Calibri" w:cs="Calibri"/>
          <w:sz w:val="24"/>
          <w:szCs w:val="24"/>
        </w:rPr>
        <w:t>etonitrile (ACN)/0.1% TFA. One microliter of the sample was spotted in triplicate onto a 384 MALDI plate with 1 μL of α-cyano-4-hydroxycinnamic acid matrix solution and dried to air. MALDI analysis was carried out using a Bruker Ultraflex III MALDI-TOF mas</w:t>
      </w:r>
      <w:r>
        <w:rPr>
          <w:rFonts w:ascii="Calibri" w:eastAsia="Calibri" w:hAnsi="Calibri" w:cs="Calibri"/>
          <w:sz w:val="24"/>
          <w:szCs w:val="24"/>
        </w:rPr>
        <w:t>s spectrometer at the University of York. Replicates were averaged using the open-source software mMass (Strohalm et al. 2010). The m/z values were then manually examined to detect the presence of relevant peptide markers and compared with a reference data</w:t>
      </w:r>
      <w:r>
        <w:rPr>
          <w:rFonts w:ascii="Calibri" w:eastAsia="Calibri" w:hAnsi="Calibri" w:cs="Calibri"/>
          <w:sz w:val="24"/>
          <w:szCs w:val="24"/>
        </w:rPr>
        <w:t>base built with previously published data (Buckley et al. 2010, 2014; Kirby et al. 2013). In case of unclear classification, we used Bacollite, a new automatic method used for species identification that provides a confidence score (Hickinbotham et al. 202</w:t>
      </w:r>
      <w:r>
        <w:rPr>
          <w:rFonts w:ascii="Calibri" w:eastAsia="Calibri" w:hAnsi="Calibri" w:cs="Calibri"/>
          <w:sz w:val="24"/>
          <w:szCs w:val="24"/>
        </w:rPr>
        <w:t>0).</w:t>
      </w:r>
    </w:p>
    <w:p w14:paraId="5ADAA93B" w14:textId="77777777" w:rsidR="00A23BE2" w:rsidRDefault="00307EB3">
      <w:pPr>
        <w:pStyle w:val="Heading4"/>
        <w:numPr>
          <w:ilvl w:val="0"/>
          <w:numId w:val="1"/>
        </w:numPr>
        <w:spacing w:before="240" w:after="240" w:line="360" w:lineRule="auto"/>
        <w:ind w:left="360"/>
        <w:jc w:val="both"/>
        <w:rPr>
          <w:rFonts w:ascii="Calibri" w:eastAsia="Calibri" w:hAnsi="Calibri" w:cs="Calibri"/>
          <w:b/>
          <w:color w:val="000000"/>
        </w:rPr>
      </w:pPr>
      <w:bookmarkStart w:id="6" w:name="_heading=h.1t3h5sf" w:colFirst="0" w:colLast="0"/>
      <w:bookmarkEnd w:id="6"/>
      <w:r>
        <w:rPr>
          <w:rFonts w:ascii="Calibri" w:eastAsia="Calibri" w:hAnsi="Calibri" w:cs="Calibri"/>
          <w:b/>
          <w:color w:val="000000"/>
        </w:rPr>
        <w:t>Results</w:t>
      </w:r>
    </w:p>
    <w:p w14:paraId="119B2AE2" w14:textId="77777777" w:rsidR="00A23BE2" w:rsidRDefault="00307EB3">
      <w:pPr>
        <w:pStyle w:val="Heading5"/>
        <w:numPr>
          <w:ilvl w:val="1"/>
          <w:numId w:val="1"/>
        </w:numPr>
        <w:spacing w:after="240" w:line="360" w:lineRule="auto"/>
        <w:ind w:left="720"/>
        <w:jc w:val="both"/>
        <w:rPr>
          <w:rFonts w:ascii="Calibri" w:eastAsia="Calibri" w:hAnsi="Calibri" w:cs="Calibri"/>
          <w:b/>
          <w:color w:val="000000"/>
          <w:sz w:val="24"/>
          <w:szCs w:val="24"/>
        </w:rPr>
      </w:pPr>
      <w:bookmarkStart w:id="7" w:name="_heading=h.4d34og8" w:colFirst="0" w:colLast="0"/>
      <w:bookmarkEnd w:id="7"/>
      <w:r>
        <w:rPr>
          <w:rFonts w:ascii="Calibri" w:eastAsia="Calibri" w:hAnsi="Calibri" w:cs="Calibri"/>
          <w:b/>
          <w:color w:val="000000"/>
          <w:sz w:val="24"/>
          <w:szCs w:val="24"/>
        </w:rPr>
        <w:t>Species identifications</w:t>
      </w:r>
    </w:p>
    <w:p w14:paraId="08C8C98A"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highlight w:val="white"/>
        </w:rPr>
        <w:t>ZooMS results are presented in Table 3 an</w:t>
      </w:r>
      <w:r>
        <w:rPr>
          <w:rFonts w:ascii="Calibri" w:eastAsia="Calibri" w:hAnsi="Calibri" w:cs="Calibri"/>
          <w:sz w:val="24"/>
          <w:szCs w:val="24"/>
        </w:rPr>
        <w:t>d Fig. 3.</w:t>
      </w:r>
      <w:r>
        <w:rPr>
          <w:rFonts w:ascii="Calibri" w:eastAsia="Calibri" w:hAnsi="Calibri" w:cs="Calibri"/>
          <w:sz w:val="24"/>
          <w:szCs w:val="24"/>
          <w:highlight w:val="white"/>
        </w:rPr>
        <w:t xml:space="preserve"> Manual identifications were possible for </w:t>
      </w:r>
      <w:r>
        <w:rPr>
          <w:rFonts w:ascii="Calibri" w:eastAsia="Calibri" w:hAnsi="Calibri" w:cs="Calibri"/>
          <w:sz w:val="24"/>
          <w:szCs w:val="24"/>
        </w:rPr>
        <w:t>30</w:t>
      </w:r>
      <w:r>
        <w:rPr>
          <w:rFonts w:ascii="Calibri" w:eastAsia="Calibri" w:hAnsi="Calibri" w:cs="Calibri"/>
          <w:sz w:val="24"/>
          <w:szCs w:val="24"/>
          <w:highlight w:val="white"/>
        </w:rPr>
        <w:t xml:space="preserve"> of 33 samples. Overall, the most abundant species was cattle (</w:t>
      </w:r>
      <w:r>
        <w:rPr>
          <w:rFonts w:ascii="Calibri" w:eastAsia="Calibri" w:hAnsi="Calibri" w:cs="Calibri"/>
          <w:i/>
          <w:sz w:val="24"/>
          <w:szCs w:val="24"/>
          <w:highlight w:val="white"/>
        </w:rPr>
        <w:t>Bos taurus</w:t>
      </w:r>
      <w:r>
        <w:rPr>
          <w:rFonts w:ascii="Calibri" w:eastAsia="Calibri" w:hAnsi="Calibri" w:cs="Calibri"/>
          <w:sz w:val="24"/>
          <w:szCs w:val="24"/>
          <w:highlight w:val="white"/>
        </w:rPr>
        <w:t>), followed by goat (</w:t>
      </w:r>
      <w:r>
        <w:rPr>
          <w:rFonts w:ascii="Calibri" w:eastAsia="Calibri" w:hAnsi="Calibri" w:cs="Calibri"/>
          <w:i/>
          <w:sz w:val="24"/>
          <w:szCs w:val="24"/>
          <w:highlight w:val="white"/>
        </w:rPr>
        <w:t>Capra hircus</w:t>
      </w:r>
      <w:r>
        <w:rPr>
          <w:rFonts w:ascii="Calibri" w:eastAsia="Calibri" w:hAnsi="Calibri" w:cs="Calibri"/>
          <w:sz w:val="24"/>
          <w:szCs w:val="24"/>
          <w:highlight w:val="white"/>
        </w:rPr>
        <w:t xml:space="preserve">), </w:t>
      </w:r>
      <w:r>
        <w:rPr>
          <w:rFonts w:ascii="Calibri" w:eastAsia="Calibri" w:hAnsi="Calibri" w:cs="Calibri"/>
          <w:sz w:val="24"/>
          <w:szCs w:val="24"/>
          <w:highlight w:val="white"/>
        </w:rPr>
        <w:lastRenderedPageBreak/>
        <w:t>horse (</w:t>
      </w:r>
      <w:r>
        <w:rPr>
          <w:rFonts w:ascii="Calibri" w:eastAsia="Calibri" w:hAnsi="Calibri" w:cs="Calibri"/>
          <w:i/>
          <w:sz w:val="24"/>
          <w:szCs w:val="24"/>
          <w:highlight w:val="white"/>
        </w:rPr>
        <w:t>Equus sp.</w:t>
      </w:r>
      <w:r>
        <w:rPr>
          <w:rFonts w:ascii="Calibri" w:eastAsia="Calibri" w:hAnsi="Calibri" w:cs="Calibri"/>
          <w:sz w:val="24"/>
          <w:szCs w:val="24"/>
          <w:highlight w:val="white"/>
        </w:rPr>
        <w:t>), sheep (</w:t>
      </w:r>
      <w:r>
        <w:rPr>
          <w:rFonts w:ascii="Calibri" w:eastAsia="Calibri" w:hAnsi="Calibri" w:cs="Calibri"/>
          <w:i/>
          <w:sz w:val="24"/>
          <w:szCs w:val="24"/>
          <w:highlight w:val="white"/>
        </w:rPr>
        <w:t>Ovis aries</w:t>
      </w:r>
      <w:r>
        <w:rPr>
          <w:rFonts w:ascii="Calibri" w:eastAsia="Calibri" w:hAnsi="Calibri" w:cs="Calibri"/>
          <w:sz w:val="24"/>
          <w:szCs w:val="24"/>
          <w:highlight w:val="white"/>
        </w:rPr>
        <w:t>), red deer (</w:t>
      </w:r>
      <w:r>
        <w:rPr>
          <w:rFonts w:ascii="Calibri" w:eastAsia="Calibri" w:hAnsi="Calibri" w:cs="Calibri"/>
          <w:i/>
          <w:sz w:val="24"/>
          <w:szCs w:val="24"/>
          <w:highlight w:val="white"/>
        </w:rPr>
        <w:t>Cervus elaphus</w:t>
      </w:r>
      <w:r>
        <w:rPr>
          <w:rFonts w:ascii="Calibri" w:eastAsia="Calibri" w:hAnsi="Calibri" w:cs="Calibri"/>
          <w:sz w:val="24"/>
          <w:szCs w:val="24"/>
          <w:highlight w:val="white"/>
        </w:rPr>
        <w:t>) and pig (</w:t>
      </w:r>
      <w:r>
        <w:rPr>
          <w:rFonts w:ascii="Calibri" w:eastAsia="Calibri" w:hAnsi="Calibri" w:cs="Calibri"/>
          <w:i/>
          <w:sz w:val="24"/>
          <w:szCs w:val="24"/>
          <w:highlight w:val="white"/>
        </w:rPr>
        <w:t>Sus domesticus</w:t>
      </w:r>
      <w:r>
        <w:rPr>
          <w:rFonts w:ascii="Calibri" w:eastAsia="Calibri" w:hAnsi="Calibri" w:cs="Calibri"/>
          <w:sz w:val="24"/>
          <w:szCs w:val="24"/>
          <w:highlight w:val="white"/>
        </w:rPr>
        <w:t>). As the evolutionary rate of collagen is relatively slow, there are instances in which there are no differences within type I collagen, which means closely related species c</w:t>
      </w:r>
      <w:r>
        <w:rPr>
          <w:rFonts w:ascii="Calibri" w:eastAsia="Calibri" w:hAnsi="Calibri" w:cs="Calibri"/>
          <w:sz w:val="24"/>
          <w:szCs w:val="24"/>
          <w:highlight w:val="white"/>
        </w:rPr>
        <w:t>annot always be differentiated. As can be seen, in the case of MN13, it was only possible to narrow down the identification to a handful of possible species (cat, tiger, polecat and lynx) because of the presence of markers shared between these different sp</w:t>
      </w:r>
      <w:r>
        <w:rPr>
          <w:rFonts w:ascii="Calibri" w:eastAsia="Calibri" w:hAnsi="Calibri" w:cs="Calibri"/>
          <w:sz w:val="24"/>
          <w:szCs w:val="24"/>
          <w:highlight w:val="white"/>
        </w:rPr>
        <w:t>ecies. Despite this, considering the range of species present in the region today and the archaeological assemblages from the study area, we were able to exclude tiger and polecat and refine our identification to wild cat or lynx. Henceforth, we will refer</w:t>
      </w:r>
      <w:r>
        <w:rPr>
          <w:rFonts w:ascii="Calibri" w:eastAsia="Calibri" w:hAnsi="Calibri" w:cs="Calibri"/>
          <w:sz w:val="24"/>
          <w:szCs w:val="24"/>
          <w:highlight w:val="white"/>
        </w:rPr>
        <w:t xml:space="preserve"> to this sample as a “felid”. Another example was the inability to separate dogs from wolves since ZooMS cannot discriminate between domestic </w:t>
      </w:r>
      <w:r>
        <w:rPr>
          <w:rFonts w:ascii="Calibri" w:eastAsia="Calibri" w:hAnsi="Calibri" w:cs="Calibri"/>
          <w:sz w:val="24"/>
          <w:szCs w:val="24"/>
        </w:rPr>
        <w:t>animals and their wild counterparts, naming it a “canid”. Finally, three samples could only be identified as sheep</w:t>
      </w:r>
      <w:r>
        <w:rPr>
          <w:rFonts w:ascii="Calibri" w:eastAsia="Calibri" w:hAnsi="Calibri" w:cs="Calibri"/>
          <w:sz w:val="24"/>
          <w:szCs w:val="24"/>
        </w:rPr>
        <w:t xml:space="preserve"> or red deer due to poor preservation of the collagen. Bacollite analysis indicates that sheep is more probable (Fig. S1) and was accepted as the final identification, especially in the light of the isotopic values of these samples (see below).</w:t>
      </w:r>
    </w:p>
    <w:p w14:paraId="19E877C5"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The frequen</w:t>
      </w:r>
      <w:r>
        <w:rPr>
          <w:rFonts w:ascii="Calibri" w:eastAsia="Calibri" w:hAnsi="Calibri" w:cs="Calibri"/>
          <w:sz w:val="24"/>
          <w:szCs w:val="24"/>
        </w:rPr>
        <w:t xml:space="preserve">cies of the different species are consistent with the zooarchaeological data. Unfortunately, in our study, we did not identify any rabbit which seemed to be a wild resource used by this community. The observed proportion of sheep and goat individuals does </w:t>
      </w:r>
      <w:r>
        <w:rPr>
          <w:rFonts w:ascii="Calibri" w:eastAsia="Calibri" w:hAnsi="Calibri" w:cs="Calibri"/>
          <w:sz w:val="24"/>
          <w:szCs w:val="24"/>
        </w:rPr>
        <w:t xml:space="preserve">not show a preference for a specific species, although the number of bones analysed here is reduced and cannot be taken as representative of the whole assemblage. </w:t>
      </w:r>
    </w:p>
    <w:p w14:paraId="064782BB" w14:textId="77777777" w:rsidR="00A23BE2" w:rsidRDefault="00307EB3">
      <w:pPr>
        <w:pStyle w:val="Heading5"/>
        <w:numPr>
          <w:ilvl w:val="1"/>
          <w:numId w:val="1"/>
        </w:numPr>
        <w:spacing w:after="240" w:line="360" w:lineRule="auto"/>
        <w:ind w:left="720"/>
        <w:jc w:val="both"/>
        <w:rPr>
          <w:rFonts w:ascii="Calibri" w:eastAsia="Calibri" w:hAnsi="Calibri" w:cs="Calibri"/>
          <w:b/>
          <w:color w:val="000000"/>
          <w:sz w:val="24"/>
          <w:szCs w:val="24"/>
        </w:rPr>
      </w:pPr>
      <w:bookmarkStart w:id="8" w:name="_heading=h.2s8eyo1" w:colFirst="0" w:colLast="0"/>
      <w:bookmarkEnd w:id="8"/>
      <w:r>
        <w:rPr>
          <w:rFonts w:ascii="Calibri" w:eastAsia="Calibri" w:hAnsi="Calibri" w:cs="Calibri"/>
          <w:b/>
          <w:color w:val="000000"/>
          <w:sz w:val="24"/>
          <w:szCs w:val="24"/>
        </w:rPr>
        <w:t>Stable isotopes</w:t>
      </w:r>
    </w:p>
    <w:p w14:paraId="006F0253"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color w:val="000000"/>
          <w:sz w:val="24"/>
          <w:szCs w:val="24"/>
        </w:rPr>
        <w:t>δ</w:t>
      </w:r>
      <w:r>
        <w:rPr>
          <w:rFonts w:ascii="Calibri" w:eastAsia="Calibri" w:hAnsi="Calibri" w:cs="Calibri"/>
          <w:color w:val="000000"/>
          <w:sz w:val="24"/>
          <w:szCs w:val="24"/>
          <w:vertAlign w:val="superscript"/>
        </w:rPr>
        <w:t>13</w:t>
      </w:r>
      <w:r>
        <w:rPr>
          <w:rFonts w:ascii="Calibri" w:eastAsia="Calibri" w:hAnsi="Calibri" w:cs="Calibri"/>
          <w:color w:val="000000"/>
          <w:sz w:val="24"/>
          <w:szCs w:val="24"/>
        </w:rPr>
        <w:t>C</w:t>
      </w:r>
      <w:r>
        <w:rPr>
          <w:rFonts w:ascii="Calibri" w:eastAsia="Calibri" w:hAnsi="Calibri" w:cs="Calibri"/>
          <w:sz w:val="24"/>
          <w:szCs w:val="24"/>
          <w:highlight w:val="white"/>
        </w:rPr>
        <w:t xml:space="preserve"> 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isotopic compositions of human and animal remains are presented in </w:t>
      </w:r>
      <w:r>
        <w:rPr>
          <w:rFonts w:ascii="Calibri" w:eastAsia="Calibri" w:hAnsi="Calibri" w:cs="Calibri"/>
          <w:sz w:val="24"/>
          <w:szCs w:val="24"/>
        </w:rPr>
        <w:t>Table 2 and 3 and Figure 4, with summary statistics in Table 4. A</w:t>
      </w:r>
      <w:r>
        <w:rPr>
          <w:rFonts w:ascii="Calibri" w:eastAsia="Calibri" w:hAnsi="Calibri" w:cs="Calibri"/>
          <w:sz w:val="24"/>
          <w:szCs w:val="24"/>
          <w:highlight w:val="white"/>
        </w:rPr>
        <w:t>ll samples provided good collagen yields, with carbon and nitrogen percentages and atomic C:N ratios located within the ac</w:t>
      </w:r>
      <w:r>
        <w:rPr>
          <w:rFonts w:ascii="Calibri" w:eastAsia="Calibri" w:hAnsi="Calibri" w:cs="Calibri"/>
          <w:sz w:val="24"/>
          <w:szCs w:val="24"/>
          <w:highlight w:val="white"/>
        </w:rPr>
        <w:t>cepted ranges (Ambrose 1990; DeNiro 1985; van Klinken 1999).</w:t>
      </w:r>
    </w:p>
    <w:p w14:paraId="3DB8DB15"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The range of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of wild herbivores (red deer) reflect the consumption of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plants and provide a good baseline for the natural ecological background during the Late Chalcolithic</w:t>
      </w:r>
      <w:r>
        <w:rPr>
          <w:rFonts w:ascii="Calibri" w:eastAsia="Calibri" w:hAnsi="Calibri" w:cs="Calibri"/>
          <w:sz w:val="24"/>
          <w:szCs w:val="24"/>
          <w:highlight w:val="white"/>
        </w:rPr>
        <w:t>-Bronze Age. The isotopic values of domestic herbivores (goat</w:t>
      </w:r>
      <w:r>
        <w:rPr>
          <w:rFonts w:ascii="Calibri" w:eastAsia="Calibri" w:hAnsi="Calibri" w:cs="Calibri"/>
          <w:sz w:val="24"/>
          <w:szCs w:val="24"/>
        </w:rPr>
        <w:t>, sheep and cattle) also indicate a clear dietary reliance on C</w:t>
      </w:r>
      <w:r>
        <w:rPr>
          <w:rFonts w:ascii="Calibri" w:eastAsia="Calibri" w:hAnsi="Calibri" w:cs="Calibri"/>
          <w:sz w:val="24"/>
          <w:szCs w:val="24"/>
          <w:vertAlign w:val="subscript"/>
        </w:rPr>
        <w:t>3</w:t>
      </w:r>
      <w:r>
        <w:rPr>
          <w:rFonts w:ascii="Calibri" w:eastAsia="Calibri" w:hAnsi="Calibri" w:cs="Calibri"/>
          <w:sz w:val="24"/>
          <w:szCs w:val="24"/>
        </w:rPr>
        <w:t xml:space="preserve"> resources but, instead, are highly variable compared to the deer. δ</w:t>
      </w:r>
      <w:r>
        <w:rPr>
          <w:rFonts w:ascii="Calibri" w:eastAsia="Calibri" w:hAnsi="Calibri" w:cs="Calibri"/>
          <w:sz w:val="24"/>
          <w:szCs w:val="24"/>
          <w:vertAlign w:val="superscript"/>
        </w:rPr>
        <w:t>13</w:t>
      </w:r>
      <w:r>
        <w:rPr>
          <w:rFonts w:ascii="Calibri" w:eastAsia="Calibri" w:hAnsi="Calibri" w:cs="Calibri"/>
          <w:sz w:val="24"/>
          <w:szCs w:val="24"/>
        </w:rPr>
        <w:t>C values for sheep (δ</w:t>
      </w:r>
      <w:r>
        <w:rPr>
          <w:rFonts w:ascii="Calibri" w:eastAsia="Calibri" w:hAnsi="Calibri" w:cs="Calibri"/>
          <w:sz w:val="24"/>
          <w:szCs w:val="24"/>
          <w:vertAlign w:val="superscript"/>
        </w:rPr>
        <w:t>13</w:t>
      </w:r>
      <w:r>
        <w:rPr>
          <w:rFonts w:ascii="Calibri" w:eastAsia="Calibri" w:hAnsi="Calibri" w:cs="Calibri"/>
          <w:sz w:val="24"/>
          <w:szCs w:val="24"/>
        </w:rPr>
        <w:t>C = -19.9 ± 0.6‰) and goat (δ</w:t>
      </w:r>
      <w:r>
        <w:rPr>
          <w:rFonts w:ascii="Calibri" w:eastAsia="Calibri" w:hAnsi="Calibri" w:cs="Calibri"/>
          <w:sz w:val="24"/>
          <w:szCs w:val="24"/>
          <w:vertAlign w:val="superscript"/>
        </w:rPr>
        <w:t>13</w:t>
      </w:r>
      <w:r>
        <w:rPr>
          <w:rFonts w:ascii="Calibri" w:eastAsia="Calibri" w:hAnsi="Calibri" w:cs="Calibri"/>
          <w:sz w:val="24"/>
          <w:szCs w:val="24"/>
        </w:rPr>
        <w:t>C = -19</w:t>
      </w:r>
      <w:r>
        <w:rPr>
          <w:rFonts w:ascii="Calibri" w:eastAsia="Calibri" w:hAnsi="Calibri" w:cs="Calibri"/>
          <w:sz w:val="24"/>
          <w:szCs w:val="24"/>
        </w:rPr>
        <w:t>.8 ± 0.5‰) were similar and, although differences in their average nitrogen values can be observed, with sheep (δ</w:t>
      </w:r>
      <w:r>
        <w:rPr>
          <w:rFonts w:ascii="Calibri" w:eastAsia="Calibri" w:hAnsi="Calibri" w:cs="Calibri"/>
          <w:sz w:val="24"/>
          <w:szCs w:val="24"/>
          <w:vertAlign w:val="superscript"/>
        </w:rPr>
        <w:t>15</w:t>
      </w:r>
      <w:r>
        <w:rPr>
          <w:rFonts w:ascii="Calibri" w:eastAsia="Calibri" w:hAnsi="Calibri" w:cs="Calibri"/>
          <w:sz w:val="24"/>
          <w:szCs w:val="24"/>
        </w:rPr>
        <w:t xml:space="preserve">N = 6.8 ± 1.2‰) having slightly higher </w:t>
      </w:r>
      <w:r>
        <w:rPr>
          <w:rFonts w:ascii="Calibri" w:eastAsia="Calibri" w:hAnsi="Calibri" w:cs="Calibri"/>
          <w:sz w:val="24"/>
          <w:szCs w:val="24"/>
        </w:rPr>
        <w:lastRenderedPageBreak/>
        <w:t>nitrogen values than goat (δ</w:t>
      </w:r>
      <w:r>
        <w:rPr>
          <w:rFonts w:ascii="Calibri" w:eastAsia="Calibri" w:hAnsi="Calibri" w:cs="Calibri"/>
          <w:sz w:val="24"/>
          <w:szCs w:val="24"/>
          <w:vertAlign w:val="superscript"/>
        </w:rPr>
        <w:t>15</w:t>
      </w:r>
      <w:r>
        <w:rPr>
          <w:rFonts w:ascii="Calibri" w:eastAsia="Calibri" w:hAnsi="Calibri" w:cs="Calibri"/>
          <w:sz w:val="24"/>
          <w:szCs w:val="24"/>
        </w:rPr>
        <w:t>N = 5.7 ± 1.1‰), this is not statistically significant (see below). Catt</w:t>
      </w:r>
      <w:r>
        <w:rPr>
          <w:rFonts w:ascii="Calibri" w:eastAsia="Calibri" w:hAnsi="Calibri" w:cs="Calibri"/>
          <w:sz w:val="24"/>
          <w:szCs w:val="24"/>
        </w:rPr>
        <w:t xml:space="preserve">le possess the widest range of carbon and nitrogen isotope values among the animals here. </w:t>
      </w:r>
      <w:r>
        <w:rPr>
          <w:rFonts w:ascii="Calibri" w:eastAsia="Calibri" w:hAnsi="Calibri" w:cs="Calibri"/>
          <w:sz w:val="24"/>
          <w:szCs w:val="24"/>
          <w:highlight w:val="white"/>
        </w:rPr>
        <w:t>Their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range between 4.6 and 9.0‰, with a mean value of 7.1 ± 1.5, and their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between -22.0 and -18.2‰, with a mean value of -19.9 ± 1.2‰. Lastly, hors</w:t>
      </w:r>
      <w:r>
        <w:rPr>
          <w:rFonts w:ascii="Calibri" w:eastAsia="Calibri" w:hAnsi="Calibri" w:cs="Calibri"/>
          <w:sz w:val="24"/>
          <w:szCs w:val="24"/>
          <w:highlight w:val="white"/>
        </w:rPr>
        <w:t xml:space="preserve">es show </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C-depleted values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 -21.2 ± 0.6‰), while their nitrogen values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 3.9 ± 0.4‰) are within the range of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possessed by wild herbivores.</w:t>
      </w:r>
    </w:p>
    <w:p w14:paraId="77B97F8E"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The diet of the various domestic (cattle n=8, sheep n=7, goat n=7, horse n=5) and wild herbivores (deer n=3) was compared using a Kruskal-Wallis test, with samples from both sites combined, to assess if the observed differences were significant. No signifi</w:t>
      </w:r>
      <w:r>
        <w:rPr>
          <w:rFonts w:ascii="Calibri" w:eastAsia="Calibri" w:hAnsi="Calibri" w:cs="Calibri"/>
          <w:sz w:val="24"/>
          <w:szCs w:val="24"/>
        </w:rPr>
        <w:t xml:space="preserve">cant difference was observed in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w:t>
      </w:r>
      <w:r>
        <w:rPr>
          <w:rFonts w:ascii="Calibri" w:eastAsia="Calibri" w:hAnsi="Calibri" w:cs="Calibri"/>
          <w:sz w:val="24"/>
          <w:szCs w:val="24"/>
        </w:rPr>
        <w:t xml:space="preserve"> values (</w:t>
      </w:r>
      <w:r>
        <w:rPr>
          <w:rFonts w:ascii="Cambria Math" w:eastAsia="Cambria Math" w:hAnsi="Cambria Math" w:cs="Cambria Math"/>
          <w:sz w:val="24"/>
          <w:szCs w:val="24"/>
        </w:rPr>
        <w:t>𝜒</w:t>
      </w:r>
      <w:r>
        <w:rPr>
          <w:rFonts w:ascii="Calibri" w:eastAsia="Calibri" w:hAnsi="Calibri" w:cs="Calibri"/>
          <w:sz w:val="24"/>
          <w:szCs w:val="24"/>
          <w:vertAlign w:val="superscript"/>
        </w:rPr>
        <w:t>2</w:t>
      </w:r>
      <w:r>
        <w:rPr>
          <w:rFonts w:ascii="Calibri" w:eastAsia="Calibri" w:hAnsi="Calibri" w:cs="Calibri"/>
          <w:sz w:val="24"/>
          <w:szCs w:val="24"/>
        </w:rPr>
        <w:t>=8.94, df=4, p=0.06), whereas δ</w:t>
      </w:r>
      <w:r>
        <w:rPr>
          <w:rFonts w:ascii="Calibri" w:eastAsia="Calibri" w:hAnsi="Calibri" w:cs="Calibri"/>
          <w:sz w:val="24"/>
          <w:szCs w:val="24"/>
          <w:vertAlign w:val="superscript"/>
        </w:rPr>
        <w:t>15</w:t>
      </w:r>
      <w:r>
        <w:rPr>
          <w:rFonts w:ascii="Calibri" w:eastAsia="Calibri" w:hAnsi="Calibri" w:cs="Calibri"/>
          <w:sz w:val="24"/>
          <w:szCs w:val="24"/>
        </w:rPr>
        <w:t>N values differed significantly between species (</w:t>
      </w:r>
      <w:r>
        <w:rPr>
          <w:rFonts w:ascii="Cambria Math" w:eastAsia="Cambria Math" w:hAnsi="Cambria Math" w:cs="Cambria Math"/>
          <w:sz w:val="24"/>
          <w:szCs w:val="24"/>
        </w:rPr>
        <w:t>𝜒</w:t>
      </w:r>
      <w:r>
        <w:rPr>
          <w:rFonts w:ascii="Calibri" w:eastAsia="Calibri" w:hAnsi="Calibri" w:cs="Calibri"/>
          <w:sz w:val="24"/>
          <w:szCs w:val="24"/>
          <w:vertAlign w:val="superscript"/>
        </w:rPr>
        <w:t>2</w:t>
      </w:r>
      <w:r>
        <w:rPr>
          <w:rFonts w:ascii="Calibri" w:eastAsia="Calibri" w:hAnsi="Calibri" w:cs="Calibri"/>
          <w:sz w:val="24"/>
          <w:szCs w:val="24"/>
        </w:rPr>
        <w:t>=18.84, df=4, p=0.008). Post-hoc pairwise comparisons using Dunn’s test with Bonferroni adjustment (Table S2) showed that c</w:t>
      </w:r>
      <w:r>
        <w:rPr>
          <w:rFonts w:ascii="Calibri" w:eastAsia="Calibri" w:hAnsi="Calibri" w:cs="Calibri"/>
          <w:sz w:val="24"/>
          <w:szCs w:val="24"/>
        </w:rPr>
        <w:t xml:space="preserve">attle and sheep differed significantly from horses (p= &lt;0.005 and p=0.03, respectively). Differences were also found between cattle and deer (p=0.02). Goats did not differ significantly from sheep or any other species (p&gt;0.05). </w:t>
      </w:r>
    </w:p>
    <w:p w14:paraId="225F6878"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Domestic pigs are omnivorou</w:t>
      </w:r>
      <w:r>
        <w:rPr>
          <w:rFonts w:ascii="Calibri" w:eastAsia="Calibri" w:hAnsi="Calibri" w:cs="Calibri"/>
          <w:sz w:val="24"/>
          <w:szCs w:val="24"/>
        </w:rPr>
        <w:t>s feeders. However, the isotopic values of the pig analysed here (δ</w:t>
      </w:r>
      <w:r>
        <w:rPr>
          <w:rFonts w:ascii="Calibri" w:eastAsia="Calibri" w:hAnsi="Calibri" w:cs="Calibri"/>
          <w:sz w:val="24"/>
          <w:szCs w:val="24"/>
          <w:vertAlign w:val="superscript"/>
        </w:rPr>
        <w:t>13</w:t>
      </w:r>
      <w:r>
        <w:rPr>
          <w:rFonts w:ascii="Calibri" w:eastAsia="Calibri" w:hAnsi="Calibri" w:cs="Calibri"/>
          <w:sz w:val="24"/>
          <w:szCs w:val="24"/>
        </w:rPr>
        <w:t>C= -19.9</w:t>
      </w:r>
      <w:r>
        <w:rPr>
          <w:rFonts w:ascii="Calibri" w:eastAsia="Calibri" w:hAnsi="Calibri" w:cs="Calibri"/>
          <w:sz w:val="24"/>
          <w:szCs w:val="24"/>
          <w:highlight w:val="white"/>
        </w:rPr>
        <w:t>‰</w:t>
      </w:r>
      <w:r>
        <w:rPr>
          <w:rFonts w:ascii="Calibri" w:eastAsia="Calibri" w:hAnsi="Calibri" w:cs="Calibri"/>
          <w:sz w:val="24"/>
          <w:szCs w:val="24"/>
        </w:rPr>
        <w:t>; δ</w:t>
      </w:r>
      <w:r>
        <w:rPr>
          <w:rFonts w:ascii="Calibri" w:eastAsia="Calibri" w:hAnsi="Calibri" w:cs="Calibri"/>
          <w:sz w:val="24"/>
          <w:szCs w:val="24"/>
          <w:vertAlign w:val="superscript"/>
        </w:rPr>
        <w:t>15</w:t>
      </w:r>
      <w:r>
        <w:rPr>
          <w:rFonts w:ascii="Calibri" w:eastAsia="Calibri" w:hAnsi="Calibri" w:cs="Calibri"/>
          <w:sz w:val="24"/>
          <w:szCs w:val="24"/>
        </w:rPr>
        <w:t>N=6.3</w:t>
      </w:r>
      <w:r>
        <w:rPr>
          <w:rFonts w:ascii="Calibri" w:eastAsia="Calibri" w:hAnsi="Calibri" w:cs="Calibri"/>
          <w:sz w:val="24"/>
          <w:szCs w:val="24"/>
          <w:highlight w:val="white"/>
        </w:rPr>
        <w:t>‰</w:t>
      </w:r>
      <w:r>
        <w:rPr>
          <w:rFonts w:ascii="Calibri" w:eastAsia="Calibri" w:hAnsi="Calibri" w:cs="Calibri"/>
          <w:sz w:val="24"/>
          <w:szCs w:val="24"/>
        </w:rPr>
        <w:t>) fall in the same range observed for the herbivores. The only canid yielded values similar to humans (δ</w:t>
      </w:r>
      <w:r>
        <w:rPr>
          <w:rFonts w:ascii="Calibri" w:eastAsia="Calibri" w:hAnsi="Calibri" w:cs="Calibri"/>
          <w:sz w:val="24"/>
          <w:szCs w:val="24"/>
          <w:vertAlign w:val="superscript"/>
        </w:rPr>
        <w:t>13</w:t>
      </w:r>
      <w:r>
        <w:rPr>
          <w:rFonts w:ascii="Calibri" w:eastAsia="Calibri" w:hAnsi="Calibri" w:cs="Calibri"/>
          <w:sz w:val="24"/>
          <w:szCs w:val="24"/>
        </w:rPr>
        <w:t>C = -18.8‰; δ</w:t>
      </w:r>
      <w:r>
        <w:rPr>
          <w:rFonts w:ascii="Calibri" w:eastAsia="Calibri" w:hAnsi="Calibri" w:cs="Calibri"/>
          <w:sz w:val="24"/>
          <w:szCs w:val="24"/>
          <w:vertAlign w:val="superscript"/>
        </w:rPr>
        <w:t>15</w:t>
      </w:r>
      <w:r>
        <w:rPr>
          <w:rFonts w:ascii="Calibri" w:eastAsia="Calibri" w:hAnsi="Calibri" w:cs="Calibri"/>
          <w:sz w:val="24"/>
          <w:szCs w:val="24"/>
        </w:rPr>
        <w:t>N = 9.2‰). Carnivores are represented by a sin</w:t>
      </w:r>
      <w:r>
        <w:rPr>
          <w:rFonts w:ascii="Calibri" w:eastAsia="Calibri" w:hAnsi="Calibri" w:cs="Calibri"/>
          <w:sz w:val="24"/>
          <w:szCs w:val="24"/>
        </w:rPr>
        <w:t>gle felid with a δ</w:t>
      </w:r>
      <w:r>
        <w:rPr>
          <w:rFonts w:ascii="Calibri" w:eastAsia="Calibri" w:hAnsi="Calibri" w:cs="Calibri"/>
          <w:sz w:val="24"/>
          <w:szCs w:val="24"/>
          <w:vertAlign w:val="superscript"/>
        </w:rPr>
        <w:t>13</w:t>
      </w:r>
      <w:r>
        <w:rPr>
          <w:rFonts w:ascii="Calibri" w:eastAsia="Calibri" w:hAnsi="Calibri" w:cs="Calibri"/>
          <w:sz w:val="24"/>
          <w:szCs w:val="24"/>
        </w:rPr>
        <w:t>C value of -19.7‰ and a δ</w:t>
      </w:r>
      <w:r>
        <w:rPr>
          <w:rFonts w:ascii="Calibri" w:eastAsia="Calibri" w:hAnsi="Calibri" w:cs="Calibri"/>
          <w:sz w:val="24"/>
          <w:szCs w:val="24"/>
          <w:vertAlign w:val="superscript"/>
        </w:rPr>
        <w:t>15</w:t>
      </w:r>
      <w:r>
        <w:rPr>
          <w:rFonts w:ascii="Calibri" w:eastAsia="Calibri" w:hAnsi="Calibri" w:cs="Calibri"/>
          <w:sz w:val="24"/>
          <w:szCs w:val="24"/>
        </w:rPr>
        <w:t xml:space="preserve">N value of 8.5‰. Its nitrogen value places carnivores at a slightly lower level than humans and the canid. </w:t>
      </w:r>
    </w:p>
    <w:p w14:paraId="41377D10"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Finally, humans had a relatively uniform diet, despite representing a range of burial sites and a bro</w:t>
      </w:r>
      <w:r>
        <w:rPr>
          <w:rFonts w:ascii="Calibri" w:eastAsia="Calibri" w:hAnsi="Calibri" w:cs="Calibri"/>
          <w:sz w:val="24"/>
          <w:szCs w:val="24"/>
          <w:highlight w:val="white"/>
        </w:rPr>
        <w:t>ad chronology. The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values range from -19.9 ‰ to -18.3‰ (mean = -19.2 ± 0.5‰), and the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range from 8.8‰ to 10.1‰ (mean = 10.1±0.6‰). The population of Muela de Borja predominantly consumed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plants and terrestrial animal resources, with no </w:t>
      </w:r>
      <w:r>
        <w:rPr>
          <w:rFonts w:ascii="Calibri" w:eastAsia="Calibri" w:hAnsi="Calibri" w:cs="Calibri"/>
          <w:sz w:val="24"/>
          <w:szCs w:val="24"/>
          <w:highlight w:val="white"/>
        </w:rPr>
        <w:t>evidence of aquatic or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xml:space="preserve"> resource consum</w:t>
      </w:r>
      <w:r>
        <w:rPr>
          <w:rFonts w:ascii="Calibri" w:eastAsia="Calibri" w:hAnsi="Calibri" w:cs="Calibri"/>
          <w:sz w:val="24"/>
          <w:szCs w:val="24"/>
        </w:rPr>
        <w:t>ption. When the diet of Moncín (n=4, including Moncín I, III and external) and Majaladares (n=3, Majaladares I, II and external) was compared through a Mann-Whitney U test, carbon (W=3, p=0.4) and nitrogen values (W</w:t>
      </w:r>
      <w:r>
        <w:rPr>
          <w:rFonts w:ascii="Calibri" w:eastAsia="Calibri" w:hAnsi="Calibri" w:cs="Calibri"/>
          <w:sz w:val="24"/>
          <w:szCs w:val="24"/>
        </w:rPr>
        <w:t xml:space="preserve">=7, p=0.86) were found to be similar, </w:t>
      </w:r>
      <w:r>
        <w:rPr>
          <w:rFonts w:ascii="Calibri" w:eastAsia="Calibri" w:hAnsi="Calibri" w:cs="Calibri"/>
          <w:sz w:val="24"/>
          <w:szCs w:val="24"/>
          <w:highlight w:val="white"/>
        </w:rPr>
        <w:t>although comparison was not possible with El Balcón and El Estrechuelo due to small sample sizes. Interestingly, the one non-adult (BAA7) sampled from Moncín I had a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 of 8.8‰, which is &gt;1‰ lower than the next</w:t>
      </w:r>
      <w:r>
        <w:rPr>
          <w:rFonts w:ascii="Calibri" w:eastAsia="Calibri" w:hAnsi="Calibri" w:cs="Calibri"/>
          <w:sz w:val="24"/>
          <w:szCs w:val="24"/>
          <w:highlight w:val="white"/>
        </w:rPr>
        <w:t xml:space="preserve"> lowest value possessed by an adult at that site. </w:t>
      </w:r>
    </w:p>
    <w:p w14:paraId="08C5B4DE" w14:textId="77777777" w:rsidR="00A23BE2" w:rsidRDefault="00307EB3">
      <w:pPr>
        <w:spacing w:before="240" w:after="240" w:line="360" w:lineRule="auto"/>
        <w:jc w:val="both"/>
        <w:rPr>
          <w:rFonts w:ascii="Calibri" w:eastAsia="Calibri" w:hAnsi="Calibri" w:cs="Calibri"/>
          <w:b/>
          <w:color w:val="000000"/>
          <w:sz w:val="24"/>
          <w:szCs w:val="24"/>
        </w:rPr>
      </w:pPr>
      <w:r>
        <w:rPr>
          <w:rFonts w:ascii="Calibri" w:eastAsia="Calibri" w:hAnsi="Calibri" w:cs="Calibri"/>
          <w:sz w:val="24"/>
          <w:szCs w:val="24"/>
          <w:highlight w:val="white"/>
        </w:rPr>
        <w:lastRenderedPageBreak/>
        <w:t>Dietary homogeneity among adults is also indicated by the Bayesian Mixing Model that shows a diet with consistent proportions of three defined food groups,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cereals, domestic herbivores and wild herbivores between individuals, with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cereals making up </w:t>
      </w:r>
      <w:r>
        <w:rPr>
          <w:rFonts w:ascii="Calibri" w:eastAsia="Calibri" w:hAnsi="Calibri" w:cs="Calibri"/>
          <w:color w:val="202124"/>
          <w:sz w:val="24"/>
          <w:szCs w:val="24"/>
          <w:highlight w:val="white"/>
        </w:rPr>
        <w:t>≥</w:t>
      </w:r>
      <w:r>
        <w:rPr>
          <w:rFonts w:ascii="Calibri" w:eastAsia="Calibri" w:hAnsi="Calibri" w:cs="Calibri"/>
          <w:sz w:val="24"/>
          <w:szCs w:val="24"/>
          <w:highlight w:val="white"/>
        </w:rPr>
        <w:t xml:space="preserve">60% of the diet with </w:t>
      </w:r>
      <w:r>
        <w:rPr>
          <w:rFonts w:ascii="Calibri" w:eastAsia="Calibri" w:hAnsi="Calibri" w:cs="Calibri"/>
          <w:sz w:val="24"/>
          <w:szCs w:val="24"/>
        </w:rPr>
        <w:t>a moderate intake of domesticated animal products (≥25%), and wild herbivores (deer) comprising ≤10% of the diet (Fig. 5 and Table 2). A</w:t>
      </w:r>
      <w:r>
        <w:rPr>
          <w:rFonts w:ascii="Calibri" w:eastAsia="Calibri" w:hAnsi="Calibri" w:cs="Calibri"/>
          <w:sz w:val="24"/>
          <w:szCs w:val="24"/>
          <w:highlight w:val="white"/>
        </w:rPr>
        <w:t>l</w:t>
      </w:r>
      <w:r>
        <w:rPr>
          <w:rFonts w:ascii="Calibri" w:eastAsia="Calibri" w:hAnsi="Calibri" w:cs="Calibri"/>
          <w:sz w:val="24"/>
          <w:szCs w:val="24"/>
          <w:highlight w:val="white"/>
        </w:rPr>
        <w:t xml:space="preserve">though the contribution from wild animals is small, they likely played a regular contribution to the human diet. This evidence supports the zooarchaeological findings and highlights the utility of the </w:t>
      </w:r>
      <w:r>
        <w:rPr>
          <w:rFonts w:ascii="Calibri" w:eastAsia="Calibri" w:hAnsi="Calibri" w:cs="Calibri"/>
          <w:sz w:val="24"/>
          <w:szCs w:val="24"/>
        </w:rPr>
        <w:t>BISSM</w:t>
      </w:r>
      <w:r>
        <w:rPr>
          <w:rFonts w:ascii="Calibri" w:eastAsia="Calibri" w:hAnsi="Calibri" w:cs="Calibri"/>
          <w:sz w:val="24"/>
          <w:szCs w:val="24"/>
          <w:highlight w:val="white"/>
        </w:rPr>
        <w:t xml:space="preserve"> model in identifying the potential contribution o</w:t>
      </w:r>
      <w:r>
        <w:rPr>
          <w:rFonts w:ascii="Calibri" w:eastAsia="Calibri" w:hAnsi="Calibri" w:cs="Calibri"/>
          <w:sz w:val="24"/>
          <w:szCs w:val="24"/>
          <w:highlight w:val="white"/>
        </w:rPr>
        <w:t>f this food resource which would otherwise be masked in the isotope data of the site.</w:t>
      </w:r>
    </w:p>
    <w:p w14:paraId="23B86B43" w14:textId="77777777" w:rsidR="00A23BE2" w:rsidRDefault="00307EB3">
      <w:pPr>
        <w:pStyle w:val="Heading4"/>
        <w:numPr>
          <w:ilvl w:val="0"/>
          <w:numId w:val="1"/>
        </w:numPr>
        <w:spacing w:before="240" w:after="240" w:line="360" w:lineRule="auto"/>
        <w:ind w:left="360"/>
        <w:jc w:val="both"/>
        <w:rPr>
          <w:rFonts w:ascii="Calibri" w:eastAsia="Calibri" w:hAnsi="Calibri" w:cs="Calibri"/>
          <w:b/>
          <w:color w:val="000000"/>
        </w:rPr>
      </w:pPr>
      <w:bookmarkStart w:id="9" w:name="_heading=h.17dp8vu" w:colFirst="0" w:colLast="0"/>
      <w:bookmarkEnd w:id="9"/>
      <w:r>
        <w:rPr>
          <w:rFonts w:ascii="Calibri" w:eastAsia="Calibri" w:hAnsi="Calibri" w:cs="Calibri"/>
          <w:b/>
          <w:color w:val="000000"/>
        </w:rPr>
        <w:t>Discussion</w:t>
      </w:r>
    </w:p>
    <w:p w14:paraId="74F7AF2C" w14:textId="77777777" w:rsidR="00A23BE2" w:rsidRDefault="00307EB3">
      <w:pPr>
        <w:pStyle w:val="Heading5"/>
        <w:numPr>
          <w:ilvl w:val="1"/>
          <w:numId w:val="1"/>
        </w:numPr>
        <w:spacing w:after="240" w:line="360" w:lineRule="auto"/>
        <w:ind w:left="720"/>
        <w:jc w:val="both"/>
        <w:rPr>
          <w:rFonts w:ascii="Calibri" w:eastAsia="Calibri" w:hAnsi="Calibri" w:cs="Calibri"/>
          <w:b/>
          <w:color w:val="000000"/>
          <w:sz w:val="24"/>
          <w:szCs w:val="24"/>
        </w:rPr>
      </w:pPr>
      <w:bookmarkStart w:id="10" w:name="_heading=h.3rdcrjn" w:colFirst="0" w:colLast="0"/>
      <w:bookmarkEnd w:id="10"/>
      <w:r>
        <w:rPr>
          <w:rFonts w:ascii="Calibri" w:eastAsia="Calibri" w:hAnsi="Calibri" w:cs="Calibri"/>
          <w:b/>
          <w:color w:val="000000"/>
          <w:sz w:val="24"/>
          <w:szCs w:val="24"/>
        </w:rPr>
        <w:t>Animals and the environment of the site</w:t>
      </w:r>
    </w:p>
    <w:p w14:paraId="5D080FE9"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At Muela de Borja, the variability in </w:t>
      </w:r>
      <w:r>
        <w:rPr>
          <w:rFonts w:ascii="Calibri" w:eastAsia="Calibri" w:hAnsi="Calibri" w:cs="Calibri"/>
          <w:sz w:val="24"/>
          <w:szCs w:val="24"/>
        </w:rPr>
        <w:t>δ</w:t>
      </w:r>
      <w:r>
        <w:rPr>
          <w:rFonts w:ascii="Calibri" w:eastAsia="Calibri" w:hAnsi="Calibri" w:cs="Calibri"/>
          <w:sz w:val="24"/>
          <w:szCs w:val="24"/>
          <w:vertAlign w:val="superscript"/>
        </w:rPr>
        <w:t>13</w:t>
      </w:r>
      <w:r>
        <w:rPr>
          <w:rFonts w:ascii="Calibri" w:eastAsia="Calibri" w:hAnsi="Calibri" w:cs="Calibri"/>
          <w:sz w:val="24"/>
          <w:szCs w:val="24"/>
        </w:rPr>
        <w:t xml:space="preserve">C </w:t>
      </w:r>
      <w:r>
        <w:rPr>
          <w:rFonts w:ascii="Calibri" w:eastAsia="Calibri" w:hAnsi="Calibri" w:cs="Calibri"/>
          <w:sz w:val="24"/>
          <w:szCs w:val="24"/>
          <w:highlight w:val="white"/>
        </w:rPr>
        <w:t>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possessed by the animals indicates diversity in feeding locations and management strategies. This variance could reflect the use of various pastures/fodder for different animals, which could in turnbe explained by the small-scale movement or excha</w:t>
      </w:r>
      <w:r>
        <w:rPr>
          <w:rFonts w:ascii="Calibri" w:eastAsia="Calibri" w:hAnsi="Calibri" w:cs="Calibri"/>
          <w:sz w:val="24"/>
          <w:szCs w:val="24"/>
          <w:highlight w:val="white"/>
        </w:rPr>
        <w:t xml:space="preserve">nge of animals across different ecological regions in the landscape with distinctive isotopic values (Stevens et al. 2013; Jones et al. 2019), or the existence of diverse herds managed by small social units for household consumption (Szpak et al. 2014). </w:t>
      </w:r>
    </w:p>
    <w:p w14:paraId="19575143"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highlight w:val="white"/>
        </w:rPr>
        <w:t>The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values for animals ranged within the expected values for an open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-dominated environment, with some patterns of variation. Cattle, in particular, possess a wide range of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values (-22</w:t>
      </w:r>
      <w:r>
        <w:rPr>
          <w:rFonts w:ascii="Calibri" w:eastAsia="Calibri" w:hAnsi="Calibri" w:cs="Calibri"/>
          <w:sz w:val="24"/>
          <w:szCs w:val="24"/>
        </w:rPr>
        <w:t>‰</w:t>
      </w:r>
      <w:r>
        <w:rPr>
          <w:rFonts w:ascii="Calibri" w:eastAsia="Calibri" w:hAnsi="Calibri" w:cs="Calibri"/>
          <w:sz w:val="24"/>
          <w:szCs w:val="24"/>
          <w:highlight w:val="white"/>
        </w:rPr>
        <w:t xml:space="preserve"> to -18.2</w:t>
      </w:r>
      <w:r>
        <w:rPr>
          <w:rFonts w:ascii="Calibri" w:eastAsia="Calibri" w:hAnsi="Calibri" w:cs="Calibri"/>
          <w:sz w:val="24"/>
          <w:szCs w:val="24"/>
        </w:rPr>
        <w:t>‰</w:t>
      </w:r>
      <w:r>
        <w:rPr>
          <w:rFonts w:ascii="Calibri" w:eastAsia="Calibri" w:hAnsi="Calibri" w:cs="Calibri"/>
          <w:sz w:val="24"/>
          <w:szCs w:val="24"/>
          <w:highlight w:val="white"/>
        </w:rPr>
        <w:t xml:space="preserve">). </w:t>
      </w:r>
      <w:r>
        <w:rPr>
          <w:rFonts w:ascii="Calibri" w:eastAsia="Calibri" w:hAnsi="Calibri" w:cs="Calibri"/>
          <w:sz w:val="24"/>
          <w:szCs w:val="24"/>
        </w:rPr>
        <w:t xml:space="preserve"> For example,</w:t>
      </w:r>
      <w:r>
        <w:rPr>
          <w:rFonts w:ascii="Calibri" w:eastAsia="Calibri" w:hAnsi="Calibri" w:cs="Calibri"/>
          <w:sz w:val="24"/>
          <w:szCs w:val="24"/>
          <w:highlight w:val="white"/>
        </w:rPr>
        <w:t xml:space="preserve"> one individual (</w:t>
      </w:r>
      <w:r>
        <w:rPr>
          <w:rFonts w:ascii="Calibri" w:eastAsia="Calibri" w:hAnsi="Calibri" w:cs="Calibri"/>
          <w:sz w:val="24"/>
          <w:szCs w:val="24"/>
        </w:rPr>
        <w:t>MJ8</w:t>
      </w:r>
      <w:r>
        <w:rPr>
          <w:rFonts w:ascii="Calibri" w:eastAsia="Calibri" w:hAnsi="Calibri" w:cs="Calibri"/>
          <w:sz w:val="24"/>
          <w:szCs w:val="24"/>
          <w:highlight w:val="white"/>
        </w:rPr>
        <w:t>) with a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w:t>
      </w:r>
      <w:r>
        <w:rPr>
          <w:rFonts w:ascii="Calibri" w:eastAsia="Calibri" w:hAnsi="Calibri" w:cs="Calibri"/>
          <w:sz w:val="24"/>
          <w:szCs w:val="24"/>
          <w:highlight w:val="white"/>
        </w:rPr>
        <w:t xml:space="preserve"> value of -22</w:t>
      </w:r>
      <w:r>
        <w:rPr>
          <w:rFonts w:ascii="Calibri" w:eastAsia="Calibri" w:hAnsi="Calibri" w:cs="Calibri"/>
          <w:sz w:val="24"/>
          <w:szCs w:val="24"/>
        </w:rPr>
        <w:t xml:space="preserve">‰ </w:t>
      </w:r>
      <w:r>
        <w:rPr>
          <w:rFonts w:ascii="Calibri" w:eastAsia="Calibri" w:hAnsi="Calibri" w:cs="Calibri"/>
          <w:sz w:val="24"/>
          <w:szCs w:val="24"/>
          <w:highlight w:val="white"/>
        </w:rPr>
        <w:t xml:space="preserve">could have grazed in a forested environment like the Moncayo area, where depletion in </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occurs due to a ‘canopy effect’ (Drucker et al. 2008). The individual with the highest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values may have been grazing at the river valley area where</w:t>
      </w:r>
      <w:r>
        <w:rPr>
          <w:rFonts w:ascii="Calibri" w:eastAsia="Calibri" w:hAnsi="Calibri" w:cs="Calibri"/>
          <w:sz w:val="24"/>
          <w:szCs w:val="24"/>
          <w:highlight w:val="white"/>
        </w:rPr>
        <w:t xml:space="preserve"> modern plants have been shown to exhibit higher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than in mountain areas in the Ebro basin (Tornero et al. 2018), or, potentially they could have had a small contribution of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xml:space="preserve"> to their diet.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xml:space="preserve"> crops such as millet are not mentioned in the archaeobota</w:t>
      </w:r>
      <w:r>
        <w:rPr>
          <w:rFonts w:ascii="Calibri" w:eastAsia="Calibri" w:hAnsi="Calibri" w:cs="Calibri"/>
          <w:sz w:val="24"/>
          <w:szCs w:val="24"/>
          <w:highlight w:val="white"/>
        </w:rPr>
        <w:t>nical records of Muela de Borja in this period (Wetterstrom 1994; Alcolea et al. 2018). However, millet has been identified from the Early-Middle Bronze Age (c. 2100-1350/1250 cal BCE) in northeast Iberia and thus was available in other areas in the region</w:t>
      </w:r>
      <w:r>
        <w:rPr>
          <w:rFonts w:ascii="Calibri" w:eastAsia="Calibri" w:hAnsi="Calibri" w:cs="Calibri"/>
          <w:sz w:val="24"/>
          <w:szCs w:val="24"/>
          <w:highlight w:val="white"/>
        </w:rPr>
        <w:t xml:space="preserve"> (Alonso and Bouby 2017; Tarongi 2017). Horses possess notably lower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 xml:space="preserve">C values than other herbivores, although this is due to their differing </w:t>
      </w:r>
      <w:r>
        <w:rPr>
          <w:rFonts w:ascii="Calibri" w:eastAsia="Calibri" w:hAnsi="Calibri" w:cs="Calibri"/>
          <w:sz w:val="24"/>
          <w:szCs w:val="24"/>
          <w:highlight w:val="white"/>
        </w:rPr>
        <w:lastRenderedPageBreak/>
        <w:t>digestive physiology characterised by hindgut fermentation (Hedges 2003; Hamilton et al. 2009; Stevens et al. 20</w:t>
      </w:r>
      <w:r>
        <w:rPr>
          <w:rFonts w:ascii="Calibri" w:eastAsia="Calibri" w:hAnsi="Calibri" w:cs="Calibri"/>
          <w:sz w:val="24"/>
          <w:szCs w:val="24"/>
          <w:highlight w:val="white"/>
        </w:rPr>
        <w:t>13).</w:t>
      </w:r>
    </w:p>
    <w:p w14:paraId="45D5353B"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highlight w:val="white"/>
        </w:rPr>
        <w:t>A wide spread of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is exhibited by the animal data. High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between 8-9</w:t>
      </w:r>
      <w:r>
        <w:rPr>
          <w:rFonts w:ascii="Calibri" w:eastAsia="Calibri" w:hAnsi="Calibri" w:cs="Calibri"/>
          <w:sz w:val="24"/>
          <w:szCs w:val="24"/>
        </w:rPr>
        <w:t xml:space="preserve">‰ </w:t>
      </w:r>
      <w:r>
        <w:rPr>
          <w:rFonts w:ascii="Calibri" w:eastAsia="Calibri" w:hAnsi="Calibri" w:cs="Calibri"/>
          <w:sz w:val="24"/>
          <w:szCs w:val="24"/>
          <w:highlight w:val="white"/>
        </w:rPr>
        <w:t>observed in some domesticated herbivores, particularly cattle and sheep, could be explained by numerous environmental and anthropogenic factors. In particular,</w:t>
      </w:r>
      <w:r>
        <w:rPr>
          <w:rFonts w:ascii="Calibri" w:eastAsia="Calibri" w:hAnsi="Calibri" w:cs="Calibri"/>
          <w:sz w:val="24"/>
          <w:szCs w:val="24"/>
          <w:highlight w:val="white"/>
        </w:rPr>
        <w:t xml:space="preserve"> aridity raises nitrogen isotope values (Austin and Vitousek 1998; Handley et al. 1999; Amundson et al. 2003). An increase in aridity and temperature towards the end of the period, especially from 2000-1600 cal BCE, is indicated by palaeoenvironmental stud</w:t>
      </w:r>
      <w:r>
        <w:rPr>
          <w:rFonts w:ascii="Calibri" w:eastAsia="Calibri" w:hAnsi="Calibri" w:cs="Calibri"/>
          <w:sz w:val="24"/>
          <w:szCs w:val="24"/>
          <w:highlight w:val="white"/>
        </w:rPr>
        <w:t xml:space="preserve">ies carried out in the Muela de Borja and surroundings </w:t>
      </w:r>
      <w:r>
        <w:rPr>
          <w:rFonts w:ascii="Calibri" w:eastAsia="Calibri" w:hAnsi="Calibri" w:cs="Calibri"/>
          <w:sz w:val="24"/>
          <w:szCs w:val="24"/>
        </w:rPr>
        <w:t>(Aguilera 2017)</w:t>
      </w:r>
      <w:r>
        <w:rPr>
          <w:rFonts w:ascii="Calibri" w:eastAsia="Calibri" w:hAnsi="Calibri" w:cs="Calibri"/>
          <w:sz w:val="24"/>
          <w:szCs w:val="24"/>
          <w:highlight w:val="white"/>
        </w:rPr>
        <w:t>. However, the deer at the site that presumably reflect a diet of local and naturally available vegetation do not show increased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Anthropogenic activity is instead more likel</w:t>
      </w:r>
      <w:r>
        <w:rPr>
          <w:rFonts w:ascii="Calibri" w:eastAsia="Calibri" w:hAnsi="Calibri" w:cs="Calibri"/>
          <w:sz w:val="24"/>
          <w:szCs w:val="24"/>
          <w:highlight w:val="white"/>
        </w:rPr>
        <w:t>y to have influenced the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values of domestic herbivores. Manuring, in particular, leads to </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enrichment in plants which drives up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in the animals that consume them (Bogaard et al. 2007, 2013; Fraser et al. 2011). Pollen diagrams indicate t</w:t>
      </w:r>
      <w:r>
        <w:rPr>
          <w:rFonts w:ascii="Calibri" w:eastAsia="Calibri" w:hAnsi="Calibri" w:cs="Calibri"/>
          <w:sz w:val="24"/>
          <w:szCs w:val="24"/>
          <w:highlight w:val="white"/>
        </w:rPr>
        <w:t>hat populations in the Muela de Borja employed the surrounding fields for herding and farming</w:t>
      </w:r>
      <w:r>
        <w:rPr>
          <w:rFonts w:ascii="Calibri" w:eastAsia="Calibri" w:hAnsi="Calibri" w:cs="Calibri"/>
          <w:sz w:val="24"/>
          <w:szCs w:val="24"/>
        </w:rPr>
        <w:t xml:space="preserve"> (Aguilera 2017). </w:t>
      </w:r>
      <w:r>
        <w:rPr>
          <w:rFonts w:ascii="Calibri" w:eastAsia="Calibri" w:hAnsi="Calibri" w:cs="Calibri"/>
          <w:sz w:val="24"/>
          <w:szCs w:val="24"/>
          <w:highlight w:val="white"/>
        </w:rPr>
        <w:t>Based on this, it has been hypothesised that the location of pasturing herds near the villages would have enabled the integration of animal and c</w:t>
      </w:r>
      <w:r>
        <w:rPr>
          <w:rFonts w:ascii="Calibri" w:eastAsia="Calibri" w:hAnsi="Calibri" w:cs="Calibri"/>
          <w:sz w:val="24"/>
          <w:szCs w:val="24"/>
          <w:highlight w:val="white"/>
        </w:rPr>
        <w:t xml:space="preserve">rop husbandry, with fields that were periodically left fallow to provide fodder for animals and the use of animal manure to maintain soil fertility. This explanation fits well with the herbivore data presented here and could indicate that those herbivores </w:t>
      </w:r>
      <w:r>
        <w:rPr>
          <w:rFonts w:ascii="Calibri" w:eastAsia="Calibri" w:hAnsi="Calibri" w:cs="Calibri"/>
          <w:sz w:val="24"/>
          <w:szCs w:val="24"/>
          <w:highlight w:val="white"/>
        </w:rPr>
        <w:t>with the highest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were located closest to the human settlements where anthropogenic activity, including manuring, raises herbivore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(Hedges et al. 2005). Other herbivores with the lower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similar to that reported for deer, e</w:t>
      </w:r>
      <w:r>
        <w:rPr>
          <w:rFonts w:ascii="Calibri" w:eastAsia="Calibri" w:hAnsi="Calibri" w:cs="Calibri"/>
          <w:sz w:val="24"/>
          <w:szCs w:val="24"/>
          <w:highlight w:val="white"/>
        </w:rPr>
        <w:t xml:space="preserve">.g. horses, may have instead grazed in similar areas in the landscape, further indicating that horses, unlike other domestic herbivores found at the site, were not being foddered on crops enriched in </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through manuring. Finally, however, </w:t>
      </w:r>
      <w:r>
        <w:rPr>
          <w:rFonts w:ascii="Calibri" w:eastAsia="Calibri" w:hAnsi="Calibri" w:cs="Calibri"/>
          <w:sz w:val="24"/>
          <w:szCs w:val="24"/>
        </w:rPr>
        <w:t xml:space="preserve">if any of these </w:t>
      </w:r>
      <w:r>
        <w:rPr>
          <w:rFonts w:ascii="Calibri" w:eastAsia="Calibri" w:hAnsi="Calibri" w:cs="Calibri"/>
          <w:sz w:val="24"/>
          <w:szCs w:val="24"/>
        </w:rPr>
        <w:t xml:space="preserve">fragments of animal bone represent non-adult specimens, </w:t>
      </w:r>
      <w:r>
        <w:rPr>
          <w:rFonts w:ascii="Calibri" w:eastAsia="Calibri" w:hAnsi="Calibri" w:cs="Calibri"/>
          <w:sz w:val="24"/>
          <w:szCs w:val="24"/>
          <w:highlight w:val="white"/>
        </w:rPr>
        <w:t>a potential</w:t>
      </w:r>
      <w:r>
        <w:rPr>
          <w:rFonts w:ascii="Calibri" w:eastAsia="Calibri" w:hAnsi="Calibri" w:cs="Calibri"/>
          <w:sz w:val="24"/>
          <w:szCs w:val="24"/>
        </w:rPr>
        <w:t xml:space="preserve"> nursing signal cannot be discounted for high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values among herbivores </w:t>
      </w:r>
      <w:r>
        <w:rPr>
          <w:rFonts w:ascii="Calibri" w:eastAsia="Calibri" w:hAnsi="Calibri" w:cs="Calibri"/>
          <w:sz w:val="24"/>
          <w:szCs w:val="24"/>
        </w:rPr>
        <w:t>(Balasse and Tresset 2002), as nursing elevates nitrogen values to a higher trophic level. This is particularly re</w:t>
      </w:r>
      <w:r>
        <w:rPr>
          <w:rFonts w:ascii="Calibri" w:eastAsia="Calibri" w:hAnsi="Calibri" w:cs="Calibri"/>
          <w:sz w:val="24"/>
          <w:szCs w:val="24"/>
        </w:rPr>
        <w:t>levant for cattle, as dairying was hypothesised for this species at the site due to an elevated proportion of young individuals (</w:t>
      </w:r>
      <w:r>
        <w:rPr>
          <w:rFonts w:ascii="Calibri" w:eastAsia="Calibri" w:hAnsi="Calibri" w:cs="Calibri"/>
          <w:sz w:val="24"/>
          <w:szCs w:val="24"/>
          <w:highlight w:val="white"/>
        </w:rPr>
        <w:t>Legge 1994; Legge 2</w:t>
      </w:r>
      <w:r>
        <w:rPr>
          <w:rFonts w:ascii="Calibri" w:eastAsia="Calibri" w:hAnsi="Calibri" w:cs="Calibri"/>
          <w:sz w:val="24"/>
          <w:szCs w:val="24"/>
        </w:rPr>
        <w:t xml:space="preserve">007). </w:t>
      </w:r>
    </w:p>
    <w:p w14:paraId="1F67F3A0"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The dog exhibits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close to the humans, suggesting that they were at a similar trophic level, consuming comparable proportions of animal protein. This similarity indicates that the dog lived alongside humans and had access to similar food directly through feeding an</w:t>
      </w:r>
      <w:r>
        <w:rPr>
          <w:rFonts w:ascii="Calibri" w:eastAsia="Calibri" w:hAnsi="Calibri" w:cs="Calibri"/>
          <w:sz w:val="24"/>
          <w:szCs w:val="24"/>
          <w:highlight w:val="white"/>
        </w:rPr>
        <w:t>d/or food waste. A close relationship between humans</w:t>
      </w:r>
      <w:r>
        <w:rPr>
          <w:rFonts w:ascii="Calibri" w:eastAsia="Calibri" w:hAnsi="Calibri" w:cs="Calibri"/>
          <w:sz w:val="24"/>
          <w:szCs w:val="24"/>
        </w:rPr>
        <w:t xml:space="preserve"> and dogs manifested through similar diets is a common </w:t>
      </w:r>
      <w:r>
        <w:rPr>
          <w:rFonts w:ascii="Calibri" w:eastAsia="Calibri" w:hAnsi="Calibri" w:cs="Calibri"/>
          <w:sz w:val="24"/>
          <w:szCs w:val="24"/>
        </w:rPr>
        <w:lastRenderedPageBreak/>
        <w:t>pattern in archaeology (Guiry 2012), and isotopic studies of dogs and humans from Bronze Age sites in north-east Iberia contemporaneous to those anal</w:t>
      </w:r>
      <w:r>
        <w:rPr>
          <w:rFonts w:ascii="Calibri" w:eastAsia="Calibri" w:hAnsi="Calibri" w:cs="Calibri"/>
          <w:sz w:val="24"/>
          <w:szCs w:val="24"/>
        </w:rPr>
        <w:t xml:space="preserve">ysed here have reported a similar pattern of human management of dog diets (Grandal-d’Anglade et al. 2019; Albizuri et al. 2021). </w:t>
      </w:r>
      <w:r>
        <w:rPr>
          <w:rFonts w:ascii="Calibri" w:eastAsia="Calibri" w:hAnsi="Calibri" w:cs="Calibri"/>
          <w:sz w:val="24"/>
          <w:szCs w:val="24"/>
          <w:highlight w:val="white"/>
        </w:rPr>
        <w:t xml:space="preserve">A variety of feeding and management practices, including more or less animal protein, in pig diets associated with free-range </w:t>
      </w:r>
      <w:r>
        <w:rPr>
          <w:rFonts w:ascii="Calibri" w:eastAsia="Calibri" w:hAnsi="Calibri" w:cs="Calibri"/>
          <w:sz w:val="24"/>
          <w:szCs w:val="24"/>
          <w:highlight w:val="white"/>
        </w:rPr>
        <w:t xml:space="preserve">or enclosed management has been reported for pigs at prehistoric sites in northern Iberia (Navarrete et al. 2017; Villalba-Mouco et al. 2018b; </w:t>
      </w:r>
      <w:r>
        <w:rPr>
          <w:rFonts w:ascii="Calibri" w:eastAsia="Calibri" w:hAnsi="Calibri" w:cs="Calibri"/>
          <w:sz w:val="24"/>
          <w:szCs w:val="24"/>
        </w:rPr>
        <w:t xml:space="preserve">Grandal-d’Anglade et al. 2019; </w:t>
      </w:r>
      <w:r>
        <w:rPr>
          <w:rFonts w:ascii="Calibri" w:eastAsia="Calibri" w:hAnsi="Calibri" w:cs="Calibri"/>
          <w:sz w:val="24"/>
          <w:szCs w:val="24"/>
          <w:highlight w:val="white"/>
        </w:rPr>
        <w:t xml:space="preserve">Jones et al. 2019). </w:t>
      </w:r>
      <w:r>
        <w:rPr>
          <w:rFonts w:ascii="Calibri" w:eastAsia="Calibri" w:hAnsi="Calibri" w:cs="Calibri"/>
          <w:sz w:val="24"/>
          <w:szCs w:val="24"/>
        </w:rPr>
        <w:t>The</w:t>
      </w:r>
      <w:r>
        <w:rPr>
          <w:rFonts w:ascii="Calibri" w:eastAsia="Calibri" w:hAnsi="Calibri" w:cs="Calibri"/>
          <w:sz w:val="24"/>
          <w:szCs w:val="24"/>
          <w:highlight w:val="white"/>
        </w:rPr>
        <w:t xml:space="preserve"> nitrogen isotope value (</w:t>
      </w:r>
      <w:r>
        <w:rPr>
          <w:rFonts w:ascii="Calibri" w:eastAsia="Calibri" w:hAnsi="Calibri" w:cs="Calibri"/>
          <w:sz w:val="24"/>
          <w:szCs w:val="24"/>
        </w:rPr>
        <w:t>6.3</w:t>
      </w:r>
      <w:r>
        <w:rPr>
          <w:rFonts w:ascii="Calibri" w:eastAsia="Calibri" w:hAnsi="Calibri" w:cs="Calibri"/>
          <w:sz w:val="24"/>
          <w:szCs w:val="24"/>
          <w:highlight w:val="white"/>
        </w:rPr>
        <w:t>‰) of the single pig from Muela</w:t>
      </w:r>
      <w:r>
        <w:rPr>
          <w:rFonts w:ascii="Calibri" w:eastAsia="Calibri" w:hAnsi="Calibri" w:cs="Calibri"/>
          <w:sz w:val="24"/>
          <w:szCs w:val="24"/>
          <w:highlight w:val="white"/>
        </w:rPr>
        <w:t xml:space="preserve"> de Borja is consistent with the bulk of the herbivores at the sites, which may be associated with a free-ranging diet. The carnivorous felid has a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 higher to a wild cat (</w:t>
      </w:r>
      <w:r>
        <w:rPr>
          <w:rFonts w:ascii="Calibri" w:eastAsia="Calibri" w:hAnsi="Calibri" w:cs="Calibri"/>
          <w:i/>
          <w:sz w:val="24"/>
          <w:szCs w:val="24"/>
          <w:highlight w:val="white"/>
        </w:rPr>
        <w:t>Felis silvestris</w:t>
      </w:r>
      <w:r>
        <w:rPr>
          <w:rFonts w:ascii="Calibri" w:eastAsia="Calibri" w:hAnsi="Calibri" w:cs="Calibri"/>
          <w:sz w:val="24"/>
          <w:szCs w:val="24"/>
          <w:highlight w:val="white"/>
        </w:rPr>
        <w:t>) reported from the Late Neolithic-Chalcolithic site of San</w:t>
      </w:r>
      <w:r>
        <w:rPr>
          <w:rFonts w:ascii="Calibri" w:eastAsia="Calibri" w:hAnsi="Calibri" w:cs="Calibri"/>
          <w:sz w:val="24"/>
          <w:szCs w:val="24"/>
          <w:highlight w:val="white"/>
        </w:rPr>
        <w:t xml:space="preserve"> Juan Cave (=</w:t>
      </w:r>
      <w:r>
        <w:rPr>
          <w:rFonts w:ascii="Calibri" w:eastAsia="Calibri" w:hAnsi="Calibri" w:cs="Calibri"/>
          <w:color w:val="2E2E2E"/>
          <w:sz w:val="24"/>
          <w:szCs w:val="24"/>
          <w:highlight w:val="white"/>
        </w:rPr>
        <w:t>6.7</w:t>
      </w:r>
      <w:r>
        <w:rPr>
          <w:rFonts w:ascii="Calibri" w:eastAsia="Calibri" w:hAnsi="Calibri" w:cs="Calibri"/>
          <w:sz w:val="24"/>
          <w:szCs w:val="24"/>
          <w:highlight w:val="white"/>
        </w:rPr>
        <w:t>‰</w:t>
      </w:r>
      <w:r>
        <w:rPr>
          <w:rFonts w:ascii="Calibri" w:eastAsia="Calibri" w:hAnsi="Calibri" w:cs="Calibri"/>
          <w:color w:val="2E2E2E"/>
          <w:sz w:val="24"/>
          <w:szCs w:val="24"/>
          <w:highlight w:val="white"/>
        </w:rPr>
        <w:t>)</w:t>
      </w:r>
      <w:r>
        <w:rPr>
          <w:rFonts w:ascii="Calibri" w:eastAsia="Calibri" w:hAnsi="Calibri" w:cs="Calibri"/>
          <w:sz w:val="24"/>
          <w:szCs w:val="24"/>
          <w:highlight w:val="white"/>
        </w:rPr>
        <w:t xml:space="preserve"> in the Ebro basin (Villalba-Mouco et al. 2018a) but is comparable to other European wildcats (</w:t>
      </w:r>
      <w:r>
        <w:rPr>
          <w:rFonts w:ascii="Calibri" w:eastAsia="Calibri" w:hAnsi="Calibri" w:cs="Calibri"/>
          <w:sz w:val="24"/>
          <w:szCs w:val="24"/>
        </w:rPr>
        <w:t>Krajcarz et al. 2020</w:t>
      </w:r>
      <w:r>
        <w:rPr>
          <w:rFonts w:ascii="Calibri" w:eastAsia="Calibri" w:hAnsi="Calibri" w:cs="Calibri"/>
          <w:sz w:val="24"/>
          <w:szCs w:val="24"/>
          <w:highlight w:val="white"/>
        </w:rPr>
        <w:t>) having an opportunistic diet of available prey.</w:t>
      </w:r>
    </w:p>
    <w:p w14:paraId="71F9F6C5"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Finally, as not all the remains have been directly radiocarbon dated, it </w:t>
      </w:r>
      <w:r>
        <w:rPr>
          <w:rFonts w:ascii="Calibri" w:eastAsia="Calibri" w:hAnsi="Calibri" w:cs="Calibri"/>
          <w:sz w:val="24"/>
          <w:szCs w:val="24"/>
          <w:highlight w:val="white"/>
        </w:rPr>
        <w:t xml:space="preserve">is important to note that faunal remains might not be strictly contemporaneous and isotopic differences between them could thus parallel temporal trends in agricultural practices identified in Muela de Borja. Specifically, the period between 2200-1800 BCE </w:t>
      </w:r>
      <w:r>
        <w:rPr>
          <w:rFonts w:ascii="Calibri" w:eastAsia="Calibri" w:hAnsi="Calibri" w:cs="Calibri"/>
          <w:sz w:val="24"/>
          <w:szCs w:val="24"/>
          <w:highlight w:val="white"/>
        </w:rPr>
        <w:t>(Late Chalcolithic-Early Bronze Age) is concordant with a process of agricultural intensification in Moncín associated with increased deforestation and soil degradation evident in diverse paleoenvironmental records (</w:t>
      </w:r>
      <w:r>
        <w:rPr>
          <w:rFonts w:ascii="Calibri" w:eastAsia="Calibri" w:hAnsi="Calibri" w:cs="Calibri"/>
          <w:sz w:val="24"/>
          <w:szCs w:val="24"/>
        </w:rPr>
        <w:t>Aguilera, 2017</w:t>
      </w:r>
      <w:r>
        <w:rPr>
          <w:rFonts w:ascii="Calibri" w:eastAsia="Calibri" w:hAnsi="Calibri" w:cs="Calibri"/>
          <w:sz w:val="24"/>
          <w:szCs w:val="24"/>
          <w:highlight w:val="white"/>
        </w:rPr>
        <w:t>). Pollen analyses conduct</w:t>
      </w:r>
      <w:r>
        <w:rPr>
          <w:rFonts w:ascii="Calibri" w:eastAsia="Calibri" w:hAnsi="Calibri" w:cs="Calibri"/>
          <w:sz w:val="24"/>
          <w:szCs w:val="24"/>
          <w:highlight w:val="white"/>
        </w:rPr>
        <w:t>ed in cave Majaladares II suggest a transformation in the type of farming practised around 1450-1200 BCE (Late Bronze Age), probably in response to these environmental changes. A more pastoral lifestyle, indicated by the presence of non-cultivated open spa</w:t>
      </w:r>
      <w:r>
        <w:rPr>
          <w:rFonts w:ascii="Calibri" w:eastAsia="Calibri" w:hAnsi="Calibri" w:cs="Calibri"/>
          <w:sz w:val="24"/>
          <w:szCs w:val="24"/>
          <w:highlight w:val="white"/>
        </w:rPr>
        <w:t xml:space="preserve">ces, and an economy increasingly oriented towards the cultivation of legumes over cereals was adopted. </w:t>
      </w:r>
      <w:r>
        <w:rPr>
          <w:rFonts w:ascii="Calibri" w:eastAsia="Calibri" w:hAnsi="Calibri" w:cs="Calibri"/>
          <w:color w:val="202020"/>
          <w:sz w:val="24"/>
          <w:szCs w:val="24"/>
          <w:highlight w:val="white"/>
        </w:rPr>
        <w:t>Legume</w:t>
      </w:r>
      <w:r>
        <w:rPr>
          <w:rFonts w:ascii="Calibri" w:eastAsia="Calibri" w:hAnsi="Calibri" w:cs="Calibri"/>
          <w:sz w:val="24"/>
          <w:szCs w:val="24"/>
          <w:highlight w:val="white"/>
        </w:rPr>
        <w:t xml:space="preserve"> consumption would have resulted in lower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 (Fraser et al. 2011</w:t>
      </w:r>
      <w:r>
        <w:rPr>
          <w:rFonts w:ascii="Calibri" w:eastAsia="Calibri" w:hAnsi="Calibri" w:cs="Calibri"/>
          <w:color w:val="202020"/>
          <w:sz w:val="24"/>
          <w:szCs w:val="24"/>
          <w:highlight w:val="white"/>
        </w:rPr>
        <w:t xml:space="preserve">). </w:t>
      </w:r>
      <w:r>
        <w:rPr>
          <w:rFonts w:ascii="Calibri" w:eastAsia="Calibri" w:hAnsi="Calibri" w:cs="Calibri"/>
          <w:sz w:val="24"/>
          <w:szCs w:val="24"/>
          <w:highlight w:val="white"/>
        </w:rPr>
        <w:t xml:space="preserve">Perhaps this occurred in response to the sustained human impact on the </w:t>
      </w:r>
      <w:r>
        <w:rPr>
          <w:rFonts w:ascii="Calibri" w:eastAsia="Calibri" w:hAnsi="Calibri" w:cs="Calibri"/>
          <w:sz w:val="24"/>
          <w:szCs w:val="24"/>
          <w:highlight w:val="white"/>
        </w:rPr>
        <w:t>environment coupled with the deterioration of climatic conditions characterised by lower temperatures and an increase in aridity, which ultimately led to the gradual abandonment of Muela de Borja. These environmental and agronomic changes may have engender</w:t>
      </w:r>
      <w:r>
        <w:rPr>
          <w:rFonts w:ascii="Calibri" w:eastAsia="Calibri" w:hAnsi="Calibri" w:cs="Calibri"/>
          <w:sz w:val="24"/>
          <w:szCs w:val="24"/>
          <w:highlight w:val="white"/>
        </w:rPr>
        <w:t xml:space="preserve">ed variability in the animal isotopic data from Muela de Borja, although the humans, as discussed below, are surprisingly uniform in their isotopic values. </w:t>
      </w:r>
    </w:p>
    <w:p w14:paraId="1D7CE5DF" w14:textId="77777777" w:rsidR="00A23BE2" w:rsidRDefault="00307EB3">
      <w:pPr>
        <w:pStyle w:val="Heading5"/>
        <w:numPr>
          <w:ilvl w:val="1"/>
          <w:numId w:val="1"/>
        </w:numPr>
        <w:spacing w:after="240" w:line="360" w:lineRule="auto"/>
        <w:ind w:left="720"/>
        <w:jc w:val="both"/>
        <w:rPr>
          <w:rFonts w:ascii="Calibri" w:eastAsia="Calibri" w:hAnsi="Calibri" w:cs="Calibri"/>
          <w:b/>
          <w:color w:val="000000"/>
          <w:sz w:val="24"/>
          <w:szCs w:val="24"/>
        </w:rPr>
      </w:pPr>
      <w:bookmarkStart w:id="11" w:name="_heading=h.26in1rg" w:colFirst="0" w:colLast="0"/>
      <w:bookmarkEnd w:id="11"/>
      <w:r>
        <w:rPr>
          <w:rFonts w:ascii="Calibri" w:eastAsia="Calibri" w:hAnsi="Calibri" w:cs="Calibri"/>
          <w:b/>
          <w:color w:val="000000"/>
          <w:sz w:val="24"/>
          <w:szCs w:val="24"/>
        </w:rPr>
        <w:t>Human diet</w:t>
      </w:r>
    </w:p>
    <w:p w14:paraId="5B8B4AB1"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The human isotope values from Moncín, Majaladares, El Estrechuelo and El Balcón are consistent with the archaeobotanical and zooarchaeological evidence and indicate a homogeneous diet based </w:t>
      </w:r>
      <w:r>
        <w:rPr>
          <w:rFonts w:ascii="Calibri" w:eastAsia="Calibri" w:hAnsi="Calibri" w:cs="Calibri"/>
          <w:sz w:val="24"/>
          <w:szCs w:val="24"/>
          <w:highlight w:val="white"/>
        </w:rPr>
        <w:lastRenderedPageBreak/>
        <w:t>on C</w:t>
      </w:r>
      <w:r>
        <w:rPr>
          <w:rFonts w:ascii="Calibri" w:eastAsia="Calibri" w:hAnsi="Calibri" w:cs="Calibri"/>
          <w:sz w:val="24"/>
          <w:szCs w:val="24"/>
          <w:highlight w:val="white"/>
          <w:vertAlign w:val="subscript"/>
        </w:rPr>
        <w:t>3</w:t>
      </w:r>
      <w:r>
        <w:rPr>
          <w:rFonts w:ascii="Calibri" w:eastAsia="Calibri" w:hAnsi="Calibri" w:cs="Calibri"/>
          <w:sz w:val="24"/>
          <w:szCs w:val="24"/>
          <w:highlight w:val="white"/>
        </w:rPr>
        <w:t xml:space="preserve"> terrestrial resources. The consumption of C</w:t>
      </w:r>
      <w:r>
        <w:rPr>
          <w:rFonts w:ascii="Calibri" w:eastAsia="Calibri" w:hAnsi="Calibri" w:cs="Calibri"/>
          <w:sz w:val="24"/>
          <w:szCs w:val="24"/>
          <w:highlight w:val="white"/>
          <w:vertAlign w:val="subscript"/>
        </w:rPr>
        <w:t>4</w:t>
      </w:r>
      <w:r>
        <w:rPr>
          <w:rFonts w:ascii="Calibri" w:eastAsia="Calibri" w:hAnsi="Calibri" w:cs="Calibri"/>
          <w:sz w:val="24"/>
          <w:szCs w:val="24"/>
          <w:highlight w:val="white"/>
        </w:rPr>
        <w:t xml:space="preserve"> plants like mil</w:t>
      </w:r>
      <w:r>
        <w:rPr>
          <w:rFonts w:ascii="Calibri" w:eastAsia="Calibri" w:hAnsi="Calibri" w:cs="Calibri"/>
          <w:sz w:val="24"/>
          <w:szCs w:val="24"/>
          <w:highlight w:val="white"/>
        </w:rPr>
        <w:t xml:space="preserve">let can therefore be excluded for humans. Additionally, a regular input of marine or freshwater resources has not been observed, something supported by the lack of ictiofaunal remains recovered at the sites, although the recovery methods may not have been </w:t>
      </w:r>
      <w:r>
        <w:rPr>
          <w:rFonts w:ascii="Calibri" w:eastAsia="Calibri" w:hAnsi="Calibri" w:cs="Calibri"/>
          <w:sz w:val="24"/>
          <w:szCs w:val="24"/>
          <w:highlight w:val="white"/>
        </w:rPr>
        <w:t>optimum for their discovery. The uniform diet between individuals from different sites reinforces the lack of specialisation in subsistence activities in each settlement. Moreover, although it is a small dataset, the similarity between the humans buried in</w:t>
      </w:r>
      <w:r>
        <w:rPr>
          <w:rFonts w:ascii="Calibri" w:eastAsia="Calibri" w:hAnsi="Calibri" w:cs="Calibri"/>
          <w:sz w:val="24"/>
          <w:szCs w:val="24"/>
          <w:highlight w:val="white"/>
        </w:rPr>
        <w:t xml:space="preserve"> caves and open-air sites suggests that funeral rites were not based on social parameters or, if it was based on status, overall diet did not reflect those differences. </w:t>
      </w:r>
    </w:p>
    <w:p w14:paraId="09BD485D"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highlight w:val="white"/>
        </w:rPr>
        <w:t>The one non-adult individual (2.5-5.5 years) analysed possessed the lowest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value </w:t>
      </w:r>
      <w:r>
        <w:rPr>
          <w:rFonts w:ascii="Calibri" w:eastAsia="Calibri" w:hAnsi="Calibri" w:cs="Calibri"/>
          <w:sz w:val="24"/>
          <w:szCs w:val="24"/>
          <w:highlight w:val="white"/>
        </w:rPr>
        <w:t>among the humans at the site indicating a potential difference between adults and non-adults, although obviously, one individual is not sufficient to interpret on a population level. A lower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value for non-adult individuals has also been reported from </w:t>
      </w:r>
      <w:r>
        <w:rPr>
          <w:rFonts w:ascii="Calibri" w:eastAsia="Calibri" w:hAnsi="Calibri" w:cs="Calibri"/>
          <w:sz w:val="24"/>
          <w:szCs w:val="24"/>
          <w:highlight w:val="white"/>
        </w:rPr>
        <w:t xml:space="preserve">other broadly contemporaneous sites in this geographic region (e.g. Fernández-Crespo et al. 2018; Villalba-Mouco et al. 2019) and linked either with a differential protein intake due to age-related differences in diet, physiological processes </w:t>
      </w:r>
      <w:r>
        <w:rPr>
          <w:rFonts w:ascii="Calibri" w:eastAsia="Calibri" w:hAnsi="Calibri" w:cs="Calibri"/>
          <w:color w:val="131413"/>
          <w:sz w:val="24"/>
          <w:szCs w:val="24"/>
          <w:highlight w:val="white"/>
        </w:rPr>
        <w:t>during growth</w:t>
      </w:r>
      <w:r>
        <w:rPr>
          <w:rFonts w:ascii="Calibri" w:eastAsia="Calibri" w:hAnsi="Calibri" w:cs="Calibri"/>
          <w:color w:val="131413"/>
          <w:sz w:val="24"/>
          <w:szCs w:val="24"/>
          <w:highlight w:val="white"/>
        </w:rPr>
        <w:t xml:space="preserve"> or compromised health status (</w:t>
      </w:r>
      <w:r>
        <w:rPr>
          <w:rFonts w:ascii="Calibri" w:eastAsia="Calibri" w:hAnsi="Calibri" w:cs="Calibri"/>
          <w:sz w:val="24"/>
          <w:szCs w:val="24"/>
          <w:highlight w:val="white"/>
        </w:rPr>
        <w:t>Beaumont et al. 2013</w:t>
      </w:r>
      <w:r>
        <w:rPr>
          <w:rFonts w:ascii="Calibri" w:eastAsia="Calibri" w:hAnsi="Calibri" w:cs="Calibri"/>
          <w:color w:val="131413"/>
          <w:sz w:val="24"/>
          <w:szCs w:val="24"/>
          <w:highlight w:val="white"/>
        </w:rPr>
        <w:t>). Osteological analysis of the skeletal population at these sites revealed the presence of</w:t>
      </w:r>
      <w:r>
        <w:rPr>
          <w:rFonts w:ascii="Calibri" w:eastAsia="Calibri" w:hAnsi="Calibri" w:cs="Calibri"/>
          <w:sz w:val="24"/>
          <w:szCs w:val="24"/>
        </w:rPr>
        <w:t xml:space="preserve"> </w:t>
      </w:r>
      <w:r>
        <w:rPr>
          <w:rFonts w:ascii="Calibri" w:eastAsia="Calibri" w:hAnsi="Calibri" w:cs="Calibri"/>
          <w:i/>
          <w:sz w:val="24"/>
          <w:szCs w:val="24"/>
        </w:rPr>
        <w:t xml:space="preserve">Cribra orbitalia </w:t>
      </w:r>
      <w:r>
        <w:rPr>
          <w:rFonts w:ascii="Calibri" w:eastAsia="Calibri" w:hAnsi="Calibri" w:cs="Calibri"/>
          <w:sz w:val="24"/>
          <w:szCs w:val="24"/>
        </w:rPr>
        <w:t>and enamel hypoplasia in the non-adult population that could be related to nutritional stress, a</w:t>
      </w:r>
      <w:r>
        <w:rPr>
          <w:rFonts w:ascii="Calibri" w:eastAsia="Calibri" w:hAnsi="Calibri" w:cs="Calibri"/>
          <w:sz w:val="24"/>
          <w:szCs w:val="24"/>
        </w:rPr>
        <w:t>ltogether painting a picture of non-adults experiencing potentially stressful health conditions at this time.</w:t>
      </w:r>
    </w:p>
    <w:p w14:paraId="3D8DC604"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Figure 6 presents a comparison of our results with other Late Neolithic-Chalcolithic sites in the Ebro Valley that have both human and herbivore (</w:t>
      </w:r>
      <w:r>
        <w:rPr>
          <w:rFonts w:ascii="Calibri" w:eastAsia="Calibri" w:hAnsi="Calibri" w:cs="Calibri"/>
          <w:sz w:val="24"/>
          <w:szCs w:val="24"/>
        </w:rPr>
        <w:t>wild and domestic) data (Fernández-Crespo and Schulting 2017, Villalba-Mouco et al. 2018a, 2019). What is notable here is that the humans at Muela de Borja are among those that possess the highest values for both δ</w:t>
      </w:r>
      <w:r>
        <w:rPr>
          <w:rFonts w:ascii="Calibri" w:eastAsia="Calibri" w:hAnsi="Calibri" w:cs="Calibri"/>
          <w:sz w:val="24"/>
          <w:szCs w:val="24"/>
          <w:vertAlign w:val="superscript"/>
        </w:rPr>
        <w:t>13</w:t>
      </w:r>
      <w:r>
        <w:rPr>
          <w:rFonts w:ascii="Calibri" w:eastAsia="Calibri" w:hAnsi="Calibri" w:cs="Calibri"/>
          <w:sz w:val="24"/>
          <w:szCs w:val="24"/>
        </w:rPr>
        <w:t>C and δ</w:t>
      </w:r>
      <w:r>
        <w:rPr>
          <w:rFonts w:ascii="Calibri" w:eastAsia="Calibri" w:hAnsi="Calibri" w:cs="Calibri"/>
          <w:sz w:val="24"/>
          <w:szCs w:val="24"/>
          <w:vertAlign w:val="superscript"/>
        </w:rPr>
        <w:t>15</w:t>
      </w:r>
      <w:r>
        <w:rPr>
          <w:rFonts w:ascii="Calibri" w:eastAsia="Calibri" w:hAnsi="Calibri" w:cs="Calibri"/>
          <w:sz w:val="24"/>
          <w:szCs w:val="24"/>
        </w:rPr>
        <w:t>N in the Ebro valley. Statistic</w:t>
      </w:r>
      <w:r>
        <w:rPr>
          <w:rFonts w:ascii="Calibri" w:eastAsia="Calibri" w:hAnsi="Calibri" w:cs="Calibri"/>
          <w:sz w:val="24"/>
          <w:szCs w:val="24"/>
        </w:rPr>
        <w:t>ally, Kruskal-Wallis tests indicate significant differences between human diet at the different sites or groups of sites incorporated in Figure 6 for both nitrogen (</w:t>
      </w:r>
      <w:r>
        <w:rPr>
          <w:rFonts w:ascii="Cambria Math" w:eastAsia="Cambria Math" w:hAnsi="Cambria Math" w:cs="Cambria Math"/>
          <w:sz w:val="24"/>
          <w:szCs w:val="24"/>
        </w:rPr>
        <w:t>𝜒</w:t>
      </w:r>
      <w:r>
        <w:rPr>
          <w:rFonts w:ascii="Calibri" w:eastAsia="Calibri" w:hAnsi="Calibri" w:cs="Calibri"/>
          <w:sz w:val="24"/>
          <w:szCs w:val="24"/>
          <w:vertAlign w:val="superscript"/>
        </w:rPr>
        <w:t>2</w:t>
      </w:r>
      <w:r>
        <w:rPr>
          <w:rFonts w:ascii="Calibri" w:eastAsia="Calibri" w:hAnsi="Calibri" w:cs="Calibri"/>
          <w:sz w:val="24"/>
          <w:szCs w:val="24"/>
        </w:rPr>
        <w:t>=75.9, df=3, p&lt;0.005) and carbon values (</w:t>
      </w:r>
      <w:r>
        <w:rPr>
          <w:rFonts w:ascii="Cambria Math" w:eastAsia="Cambria Math" w:hAnsi="Cambria Math" w:cs="Cambria Math"/>
          <w:sz w:val="24"/>
          <w:szCs w:val="24"/>
        </w:rPr>
        <w:t>𝜒</w:t>
      </w:r>
      <w:r>
        <w:rPr>
          <w:rFonts w:ascii="Calibri" w:eastAsia="Calibri" w:hAnsi="Calibri" w:cs="Calibri"/>
          <w:sz w:val="24"/>
          <w:szCs w:val="24"/>
          <w:vertAlign w:val="superscript"/>
        </w:rPr>
        <w:t>2</w:t>
      </w:r>
      <w:r>
        <w:rPr>
          <w:rFonts w:ascii="Calibri" w:eastAsia="Calibri" w:hAnsi="Calibri" w:cs="Calibri"/>
          <w:sz w:val="24"/>
          <w:szCs w:val="24"/>
        </w:rPr>
        <w:t>=92.6, df=3, p&lt;0.005). Post-hoc pairwise com</w:t>
      </w:r>
      <w:r>
        <w:rPr>
          <w:rFonts w:ascii="Calibri" w:eastAsia="Calibri" w:hAnsi="Calibri" w:cs="Calibri"/>
          <w:sz w:val="24"/>
          <w:szCs w:val="24"/>
        </w:rPr>
        <w:t>parisons using Dunn’s test with Bonferroni adjustment showed that the populations of Muela de Borja and San Juan Cave both differ from Cueva de Abauntz and the multiple sites of La Rioja (p&lt;0.005 in both cases) in having higher isotopic values overall. Fur</w:t>
      </w:r>
      <w:r>
        <w:rPr>
          <w:rFonts w:ascii="Calibri" w:eastAsia="Calibri" w:hAnsi="Calibri" w:cs="Calibri"/>
          <w:sz w:val="24"/>
          <w:szCs w:val="24"/>
        </w:rPr>
        <w:t>thermore, the wild and domestic herbivores from Muela de Borja together display the widest range in δ</w:t>
      </w:r>
      <w:r>
        <w:rPr>
          <w:rFonts w:ascii="Calibri" w:eastAsia="Calibri" w:hAnsi="Calibri" w:cs="Calibri"/>
          <w:sz w:val="24"/>
          <w:szCs w:val="24"/>
          <w:vertAlign w:val="superscript"/>
        </w:rPr>
        <w:t>13</w:t>
      </w:r>
      <w:r>
        <w:rPr>
          <w:rFonts w:ascii="Calibri" w:eastAsia="Calibri" w:hAnsi="Calibri" w:cs="Calibri"/>
          <w:sz w:val="24"/>
          <w:szCs w:val="24"/>
        </w:rPr>
        <w:t>C and δ</w:t>
      </w:r>
      <w:r>
        <w:rPr>
          <w:rFonts w:ascii="Calibri" w:eastAsia="Calibri" w:hAnsi="Calibri" w:cs="Calibri"/>
          <w:sz w:val="24"/>
          <w:szCs w:val="24"/>
          <w:vertAlign w:val="superscript"/>
        </w:rPr>
        <w:t>15</w:t>
      </w:r>
      <w:r>
        <w:rPr>
          <w:rFonts w:ascii="Calibri" w:eastAsia="Calibri" w:hAnsi="Calibri" w:cs="Calibri"/>
          <w:sz w:val="24"/>
          <w:szCs w:val="24"/>
        </w:rPr>
        <w:t>N values among sites in this geographical area which overall indicates the diversity in the environments and foddering strategies that were expl</w:t>
      </w:r>
      <w:r>
        <w:rPr>
          <w:rFonts w:ascii="Calibri" w:eastAsia="Calibri" w:hAnsi="Calibri" w:cs="Calibri"/>
          <w:sz w:val="24"/>
          <w:szCs w:val="24"/>
        </w:rPr>
        <w:t xml:space="preserve">oited at these sites, remembering that not all sites are strictly contemporaneous so chronology may also be a factor here. </w:t>
      </w:r>
      <w:r>
        <w:rPr>
          <w:rFonts w:ascii="Calibri" w:eastAsia="Calibri" w:hAnsi="Calibri" w:cs="Calibri"/>
          <w:sz w:val="24"/>
          <w:szCs w:val="24"/>
        </w:rPr>
        <w:lastRenderedPageBreak/>
        <w:t>Differences are also statistically evident in carbon (</w:t>
      </w:r>
      <w:r>
        <w:rPr>
          <w:rFonts w:ascii="Cambria Math" w:eastAsia="Cambria Math" w:hAnsi="Cambria Math" w:cs="Cambria Math"/>
          <w:sz w:val="24"/>
          <w:szCs w:val="24"/>
        </w:rPr>
        <w:t>𝜒</w:t>
      </w:r>
      <w:r>
        <w:rPr>
          <w:rFonts w:ascii="Calibri" w:eastAsia="Calibri" w:hAnsi="Calibri" w:cs="Calibri"/>
          <w:sz w:val="24"/>
          <w:szCs w:val="24"/>
          <w:vertAlign w:val="superscript"/>
        </w:rPr>
        <w:t>2</w:t>
      </w:r>
      <w:r>
        <w:rPr>
          <w:rFonts w:ascii="Calibri" w:eastAsia="Calibri" w:hAnsi="Calibri" w:cs="Calibri"/>
          <w:sz w:val="24"/>
          <w:szCs w:val="24"/>
        </w:rPr>
        <w:t>=27.2, df=3, p&lt;0.005) and nitrogen (</w:t>
      </w:r>
      <w:r>
        <w:rPr>
          <w:rFonts w:ascii="Cambria Math" w:eastAsia="Cambria Math" w:hAnsi="Cambria Math" w:cs="Cambria Math"/>
          <w:sz w:val="24"/>
          <w:szCs w:val="24"/>
        </w:rPr>
        <w:t>𝜒</w:t>
      </w:r>
      <w:r>
        <w:rPr>
          <w:rFonts w:ascii="Calibri" w:eastAsia="Calibri" w:hAnsi="Calibri" w:cs="Calibri"/>
          <w:sz w:val="24"/>
          <w:szCs w:val="24"/>
          <w:vertAlign w:val="superscript"/>
        </w:rPr>
        <w:t>2</w:t>
      </w:r>
      <w:r>
        <w:rPr>
          <w:rFonts w:ascii="Calibri" w:eastAsia="Calibri" w:hAnsi="Calibri" w:cs="Calibri"/>
          <w:sz w:val="24"/>
          <w:szCs w:val="24"/>
        </w:rPr>
        <w:t>=11.4, df=3, p=0.009) values for the herbivore data in the sites plotted here, where again, in the case of carbon, both San Juan Cave and Muela de Borja stand apart with higher δ</w:t>
      </w:r>
      <w:r>
        <w:rPr>
          <w:rFonts w:ascii="Calibri" w:eastAsia="Calibri" w:hAnsi="Calibri" w:cs="Calibri"/>
          <w:sz w:val="24"/>
          <w:szCs w:val="24"/>
          <w:vertAlign w:val="superscript"/>
        </w:rPr>
        <w:t>13</w:t>
      </w:r>
      <w:r>
        <w:rPr>
          <w:rFonts w:ascii="Calibri" w:eastAsia="Calibri" w:hAnsi="Calibri" w:cs="Calibri"/>
          <w:sz w:val="24"/>
          <w:szCs w:val="24"/>
        </w:rPr>
        <w:t>C values. In terms of nitrogen, however, only San Juan Cave and Cueva de Aba</w:t>
      </w:r>
      <w:r>
        <w:rPr>
          <w:rFonts w:ascii="Calibri" w:eastAsia="Calibri" w:hAnsi="Calibri" w:cs="Calibri"/>
          <w:sz w:val="24"/>
          <w:szCs w:val="24"/>
        </w:rPr>
        <w:t>untz (p=0.01) differ significantly, largely due to the narrow ranges in δ</w:t>
      </w:r>
      <w:r>
        <w:rPr>
          <w:rFonts w:ascii="Calibri" w:eastAsia="Calibri" w:hAnsi="Calibri" w:cs="Calibri"/>
          <w:sz w:val="24"/>
          <w:szCs w:val="24"/>
          <w:vertAlign w:val="superscript"/>
        </w:rPr>
        <w:t>15</w:t>
      </w:r>
      <w:r>
        <w:rPr>
          <w:rFonts w:ascii="Calibri" w:eastAsia="Calibri" w:hAnsi="Calibri" w:cs="Calibri"/>
          <w:sz w:val="24"/>
          <w:szCs w:val="24"/>
        </w:rPr>
        <w:t>N values at these sites which possess low and high δ</w:t>
      </w:r>
      <w:r>
        <w:rPr>
          <w:rFonts w:ascii="Calibri" w:eastAsia="Calibri" w:hAnsi="Calibri" w:cs="Calibri"/>
          <w:sz w:val="24"/>
          <w:szCs w:val="24"/>
          <w:vertAlign w:val="superscript"/>
        </w:rPr>
        <w:t>15</w:t>
      </w:r>
      <w:r>
        <w:rPr>
          <w:rFonts w:ascii="Calibri" w:eastAsia="Calibri" w:hAnsi="Calibri" w:cs="Calibri"/>
          <w:sz w:val="24"/>
          <w:szCs w:val="24"/>
        </w:rPr>
        <w:t xml:space="preserve">N values respectively within the overall range of values seen at both Muela de Borja and sites at La Rioja. </w:t>
      </w:r>
    </w:p>
    <w:p w14:paraId="02F26412" w14:textId="77777777" w:rsidR="00A23BE2" w:rsidRDefault="00307EB3">
      <w:pPr>
        <w:pStyle w:val="Heading5"/>
        <w:numPr>
          <w:ilvl w:val="1"/>
          <w:numId w:val="1"/>
        </w:numPr>
        <w:spacing w:after="240" w:line="360" w:lineRule="auto"/>
        <w:ind w:left="720"/>
        <w:jc w:val="both"/>
        <w:rPr>
          <w:rFonts w:ascii="Calibri" w:eastAsia="Calibri" w:hAnsi="Calibri" w:cs="Calibri"/>
          <w:b/>
          <w:color w:val="000000"/>
          <w:sz w:val="24"/>
          <w:szCs w:val="24"/>
        </w:rPr>
      </w:pPr>
      <w:bookmarkStart w:id="12" w:name="_heading=h.lnxbz9" w:colFirst="0" w:colLast="0"/>
      <w:bookmarkEnd w:id="12"/>
      <w:r>
        <w:rPr>
          <w:rFonts w:ascii="Calibri" w:eastAsia="Calibri" w:hAnsi="Calibri" w:cs="Calibri"/>
          <w:b/>
          <w:color w:val="000000"/>
          <w:sz w:val="24"/>
          <w:szCs w:val="24"/>
        </w:rPr>
        <w:t xml:space="preserve">Wider comparisons </w:t>
      </w:r>
      <w:r>
        <w:rPr>
          <w:rFonts w:ascii="Calibri" w:eastAsia="Calibri" w:hAnsi="Calibri" w:cs="Calibri"/>
          <w:b/>
          <w:color w:val="000000"/>
          <w:sz w:val="24"/>
          <w:szCs w:val="24"/>
        </w:rPr>
        <w:t>with other Late Neolithic-Bronze Age sites from northern Iberia</w:t>
      </w:r>
    </w:p>
    <w:p w14:paraId="27F5A722" w14:textId="77777777" w:rsidR="00A23BE2" w:rsidRDefault="00307EB3">
      <w:pPr>
        <w:spacing w:before="240" w:after="240" w:line="360" w:lineRule="auto"/>
        <w:jc w:val="both"/>
        <w:rPr>
          <w:rFonts w:ascii="Calibri" w:eastAsia="Calibri" w:hAnsi="Calibri" w:cs="Calibri"/>
          <w:sz w:val="24"/>
          <w:szCs w:val="24"/>
        </w:rPr>
      </w:pPr>
      <w:r>
        <w:rPr>
          <w:rFonts w:ascii="Calibri" w:eastAsia="Calibri" w:hAnsi="Calibri" w:cs="Calibri"/>
          <w:sz w:val="24"/>
          <w:szCs w:val="24"/>
        </w:rPr>
        <w:t>To understand the diet at Muela de Borja and the Ebro Valley in the context of dietary patterns in contemporary populations across the region, our adult human and herbivore results are compare</w:t>
      </w:r>
      <w:r>
        <w:rPr>
          <w:rFonts w:ascii="Calibri" w:eastAsia="Calibri" w:hAnsi="Calibri" w:cs="Calibri"/>
          <w:sz w:val="24"/>
          <w:szCs w:val="24"/>
        </w:rPr>
        <w:t xml:space="preserve">d to those previously published from northern Iberian sites spanning the Late Neolithic/Chalcolithic and Bronze Age (e.g. </w:t>
      </w:r>
      <w:r>
        <w:rPr>
          <w:rFonts w:ascii="Calibri" w:eastAsia="Calibri" w:hAnsi="Calibri" w:cs="Calibri"/>
          <w:sz w:val="24"/>
          <w:szCs w:val="24"/>
          <w:highlight w:val="white"/>
        </w:rPr>
        <w:t xml:space="preserve">Stevens et al. 2014; </w:t>
      </w:r>
      <w:r>
        <w:rPr>
          <w:rFonts w:ascii="Calibri" w:eastAsia="Calibri" w:hAnsi="Calibri" w:cs="Calibri"/>
          <w:sz w:val="24"/>
          <w:szCs w:val="24"/>
        </w:rPr>
        <w:t>López-Costas et al. 2015; Fernández-Crespo and Schulting 2017; Fernández-Crespo et al. 2016, 2019b, 2021; Aranbur</w:t>
      </w:r>
      <w:r>
        <w:rPr>
          <w:rFonts w:ascii="Calibri" w:eastAsia="Calibri" w:hAnsi="Calibri" w:cs="Calibri"/>
          <w:sz w:val="24"/>
          <w:szCs w:val="24"/>
        </w:rPr>
        <w:t xml:space="preserve">u-Mendizabal et al. 2018; Sarasketa-Gartzia et al. 2018, 2019; Villalba-Mouco et al. 2018a, 2019; </w:t>
      </w:r>
      <w:r>
        <w:rPr>
          <w:rFonts w:ascii="Calibri" w:eastAsia="Calibri" w:hAnsi="Calibri" w:cs="Calibri"/>
          <w:sz w:val="24"/>
          <w:szCs w:val="24"/>
          <w:highlight w:val="white"/>
        </w:rPr>
        <w:t xml:space="preserve">Grandal-d’Anglade et al. 2019; </w:t>
      </w:r>
      <w:r>
        <w:rPr>
          <w:rFonts w:ascii="Calibri" w:eastAsia="Calibri" w:hAnsi="Calibri" w:cs="Calibri"/>
          <w:sz w:val="24"/>
          <w:szCs w:val="24"/>
        </w:rPr>
        <w:t xml:space="preserve">Jones et al. 2019; González-Rabanal et al. 2020; </w:t>
      </w:r>
      <w:r>
        <w:rPr>
          <w:rFonts w:ascii="Calibri" w:eastAsia="Calibri" w:hAnsi="Calibri" w:cs="Calibri"/>
          <w:sz w:val="24"/>
          <w:szCs w:val="24"/>
          <w:highlight w:val="white"/>
        </w:rPr>
        <w:t>Albizuri et al. 2021</w:t>
      </w:r>
      <w:r>
        <w:rPr>
          <w:rFonts w:ascii="Calibri" w:eastAsia="Calibri" w:hAnsi="Calibri" w:cs="Calibri"/>
          <w:sz w:val="24"/>
          <w:szCs w:val="24"/>
        </w:rPr>
        <w:t xml:space="preserve">). We compiled a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w:t>
      </w:r>
      <w:r>
        <w:rPr>
          <w:rFonts w:ascii="Calibri" w:eastAsia="Calibri" w:hAnsi="Calibri" w:cs="Calibri"/>
          <w:sz w:val="24"/>
          <w:szCs w:val="24"/>
        </w:rPr>
        <w:t xml:space="preserve"> and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w:t>
      </w:r>
      <w:r>
        <w:rPr>
          <w:rFonts w:ascii="Calibri" w:eastAsia="Calibri" w:hAnsi="Calibri" w:cs="Calibri"/>
          <w:sz w:val="24"/>
          <w:szCs w:val="24"/>
        </w:rPr>
        <w:t>dataset of 347 humans and 1</w:t>
      </w:r>
      <w:r>
        <w:rPr>
          <w:rFonts w:ascii="Calibri" w:eastAsia="Calibri" w:hAnsi="Calibri" w:cs="Calibri"/>
          <w:sz w:val="24"/>
          <w:szCs w:val="24"/>
        </w:rPr>
        <w:t>41 herbivores (cattle, sheep, goat, horse, deer). Herbivore data, in particular, enable us to disentangle the role of environmental factors as opposed to human activities, but the low number of faunal remains compared with human remains included in individ</w:t>
      </w:r>
      <w:r>
        <w:rPr>
          <w:rFonts w:ascii="Calibri" w:eastAsia="Calibri" w:hAnsi="Calibri" w:cs="Calibri"/>
          <w:sz w:val="24"/>
          <w:szCs w:val="24"/>
        </w:rPr>
        <w:t>ual studies limits the interpretations that can be drawn. Taken together, however, the information allows us to detect some preliminary trends.</w:t>
      </w:r>
    </w:p>
    <w:p w14:paraId="16199DB8" w14:textId="77777777" w:rsidR="00A23BE2" w:rsidRDefault="00307EB3">
      <w:pPr>
        <w:spacing w:before="240" w:after="240" w:line="360" w:lineRule="auto"/>
        <w:jc w:val="both"/>
        <w:rPr>
          <w:rFonts w:ascii="Calibri" w:eastAsia="Calibri" w:hAnsi="Calibri" w:cs="Calibri"/>
          <w:sz w:val="24"/>
          <w:szCs w:val="24"/>
          <w:highlight w:val="white"/>
        </w:rPr>
      </w:pPr>
      <w:bookmarkStart w:id="13" w:name="_heading=h.35nkun2" w:colFirst="0" w:colLast="0"/>
      <w:bookmarkEnd w:id="13"/>
      <w:r>
        <w:rPr>
          <w:rFonts w:ascii="Calibri" w:eastAsia="Calibri" w:hAnsi="Calibri" w:cs="Calibri"/>
          <w:sz w:val="24"/>
          <w:szCs w:val="24"/>
        </w:rPr>
        <w:t xml:space="preserve">We observe a broad north-south gradient in mean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w:t>
      </w:r>
      <w:r>
        <w:rPr>
          <w:rFonts w:ascii="Calibri" w:eastAsia="Calibri" w:hAnsi="Calibri" w:cs="Calibri"/>
          <w:sz w:val="24"/>
          <w:szCs w:val="24"/>
        </w:rPr>
        <w:t xml:space="preserve"> values, for both humans and animals, across Northern Iberia</w:t>
      </w:r>
      <w:r>
        <w:rPr>
          <w:rFonts w:ascii="Calibri" w:eastAsia="Calibri" w:hAnsi="Calibri" w:cs="Calibri"/>
          <w:sz w:val="24"/>
          <w:szCs w:val="24"/>
        </w:rPr>
        <w:t xml:space="preserve"> (Fig. 7a-d and S2), with lower values at the Atlantic coast and higher values in the inland and Mediterranean area. Consumption of marine, freshwater and C</w:t>
      </w:r>
      <w:r>
        <w:rPr>
          <w:rFonts w:ascii="Calibri" w:eastAsia="Calibri" w:hAnsi="Calibri" w:cs="Calibri"/>
          <w:sz w:val="24"/>
          <w:szCs w:val="24"/>
          <w:vertAlign w:val="subscript"/>
        </w:rPr>
        <w:t xml:space="preserve">4 </w:t>
      </w:r>
      <w:r>
        <w:rPr>
          <w:rFonts w:ascii="Calibri" w:eastAsia="Calibri" w:hAnsi="Calibri" w:cs="Calibri"/>
          <w:sz w:val="24"/>
          <w:szCs w:val="24"/>
        </w:rPr>
        <w:t xml:space="preserve">resources is reported infrequently among these sites, irrespective of their distance from the sea, and is thus unlikely to explain these differences. In terms of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values</w:t>
      </w:r>
      <w:r>
        <w:rPr>
          <w:rFonts w:ascii="Calibri" w:eastAsia="Calibri" w:hAnsi="Calibri" w:cs="Calibri"/>
          <w:sz w:val="24"/>
          <w:szCs w:val="24"/>
        </w:rPr>
        <w:t xml:space="preserve">, herbivores and humans present the same gradient seen in the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w:t>
      </w:r>
      <w:r>
        <w:rPr>
          <w:rFonts w:ascii="Calibri" w:eastAsia="Calibri" w:hAnsi="Calibri" w:cs="Calibri"/>
          <w:sz w:val="24"/>
          <w:szCs w:val="24"/>
        </w:rPr>
        <w:t xml:space="preserve"> values, with hum</w:t>
      </w:r>
      <w:r>
        <w:rPr>
          <w:rFonts w:ascii="Calibri" w:eastAsia="Calibri" w:hAnsi="Calibri" w:cs="Calibri"/>
          <w:sz w:val="24"/>
          <w:szCs w:val="24"/>
        </w:rPr>
        <w:t xml:space="preserve">ans in the middle Ebro Valley demonstrating overall higher mean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w:t>
      </w:r>
      <w:r>
        <w:rPr>
          <w:rFonts w:ascii="Calibri" w:eastAsia="Calibri" w:hAnsi="Calibri" w:cs="Calibri"/>
          <w:sz w:val="24"/>
          <w:szCs w:val="24"/>
        </w:rPr>
        <w:t>values which may indicate both</w:t>
      </w:r>
      <w:r>
        <w:rPr>
          <w:rFonts w:ascii="Calibri" w:eastAsia="Calibri" w:hAnsi="Calibri" w:cs="Calibri"/>
          <w:sz w:val="24"/>
          <w:szCs w:val="24"/>
          <w:highlight w:val="white"/>
        </w:rPr>
        <w:t xml:space="preserve"> humans and animals consumed plants enriched by manuring, however it is more likely that this reflects an environmental influence, as noted by others (e.g. F</w:t>
      </w:r>
      <w:r>
        <w:rPr>
          <w:rFonts w:ascii="Calibri" w:eastAsia="Calibri" w:hAnsi="Calibri" w:cs="Calibri"/>
          <w:sz w:val="24"/>
          <w:szCs w:val="24"/>
          <w:highlight w:val="white"/>
        </w:rPr>
        <w:t>ernández-Crespo et al. 2016, Villalba-Mouco et al. 2019; Jones et al. 2019). Figure 7 demonstrates that the isotopic patterning we see reflects that of the Köppen-Geiger climate classifications across the region (Fig 7, panel e) with the Ebro valley in par</w:t>
      </w:r>
      <w:r>
        <w:rPr>
          <w:rFonts w:ascii="Calibri" w:eastAsia="Calibri" w:hAnsi="Calibri" w:cs="Calibri"/>
          <w:sz w:val="24"/>
          <w:szCs w:val="24"/>
          <w:highlight w:val="white"/>
        </w:rPr>
        <w:t xml:space="preserve">ticular identified with an arid steppe climate in </w:t>
      </w:r>
      <w:r>
        <w:rPr>
          <w:rFonts w:ascii="Calibri" w:eastAsia="Calibri" w:hAnsi="Calibri" w:cs="Calibri"/>
          <w:sz w:val="24"/>
          <w:szCs w:val="24"/>
          <w:highlight w:val="white"/>
        </w:rPr>
        <w:lastRenderedPageBreak/>
        <w:t>contrast to the dry temperate areas toward the Mediterranean coast and the wetter temperate areas in the north of the region. This relationship between climate and isotope values for humans and animals in t</w:t>
      </w:r>
      <w:r>
        <w:rPr>
          <w:rFonts w:ascii="Calibri" w:eastAsia="Calibri" w:hAnsi="Calibri" w:cs="Calibri"/>
          <w:sz w:val="24"/>
          <w:szCs w:val="24"/>
          <w:highlight w:val="white"/>
        </w:rPr>
        <w:t>he region provides an interesting avenue for future investigation.</w:t>
      </w:r>
    </w:p>
    <w:p w14:paraId="6FC46891" w14:textId="77777777" w:rsidR="00A23BE2" w:rsidRDefault="00307EB3">
      <w:pPr>
        <w:spacing w:before="240" w:after="240" w:line="360" w:lineRule="auto"/>
        <w:jc w:val="both"/>
        <w:rPr>
          <w:color w:val="000000"/>
        </w:rPr>
      </w:pPr>
      <w:bookmarkStart w:id="14" w:name="_heading=h.dnnnwgnhtod0" w:colFirst="0" w:colLast="0"/>
      <w:bookmarkEnd w:id="14"/>
      <w:r>
        <w:rPr>
          <w:rFonts w:ascii="Calibri" w:eastAsia="Calibri" w:hAnsi="Calibri" w:cs="Calibri"/>
          <w:b/>
          <w:color w:val="000000"/>
        </w:rPr>
        <w:t xml:space="preserve">Conclusions </w:t>
      </w:r>
    </w:p>
    <w:p w14:paraId="5CEC82E0" w14:textId="77777777" w:rsidR="00A23BE2" w:rsidRDefault="00307EB3">
      <w:pPr>
        <w:spacing w:before="240" w:after="240" w:line="360" w:lineRule="auto"/>
        <w:jc w:val="both"/>
        <w:rPr>
          <w:rFonts w:ascii="Calibri" w:eastAsia="Calibri" w:hAnsi="Calibri" w:cs="Calibri"/>
          <w:b/>
          <w:sz w:val="24"/>
          <w:szCs w:val="24"/>
        </w:rPr>
      </w:pPr>
      <w:r>
        <w:rPr>
          <w:rFonts w:ascii="Calibri" w:eastAsia="Calibri" w:hAnsi="Calibri" w:cs="Calibri"/>
          <w:sz w:val="24"/>
          <w:szCs w:val="24"/>
        </w:rPr>
        <w:t>The diet of humans buried with different funerary practices at multiple sites in the Muela de Borja show remarkable similarity across a wide chronological scale over around 130</w:t>
      </w:r>
      <w:r>
        <w:rPr>
          <w:rFonts w:ascii="Calibri" w:eastAsia="Calibri" w:hAnsi="Calibri" w:cs="Calibri"/>
          <w:sz w:val="24"/>
          <w:szCs w:val="24"/>
        </w:rPr>
        <w:t>0 years. Considerable isotopic variability among the domestic and wild animals found at these sites reflects the diverse environments and animal strategies in use by the populations there and can be explained by a combination of factors, including access t</w:t>
      </w:r>
      <w:r>
        <w:rPr>
          <w:rFonts w:ascii="Calibri" w:eastAsia="Calibri" w:hAnsi="Calibri" w:cs="Calibri"/>
          <w:sz w:val="24"/>
          <w:szCs w:val="24"/>
        </w:rPr>
        <w:t xml:space="preserve">o different forage, animal mobility/trading, and possible agricultural/manuring practices. Temporal variations, however, will also play a role in the absence of more precise dates. Altogether, these data </w:t>
      </w:r>
      <w:r>
        <w:rPr>
          <w:rFonts w:ascii="Calibri" w:eastAsia="Calibri" w:hAnsi="Calibri" w:cs="Calibri"/>
          <w:sz w:val="24"/>
          <w:szCs w:val="24"/>
          <w:highlight w:val="white"/>
        </w:rPr>
        <w:t>provide a deeper understanding of the diversity of h</w:t>
      </w:r>
      <w:r>
        <w:rPr>
          <w:rFonts w:ascii="Calibri" w:eastAsia="Calibri" w:hAnsi="Calibri" w:cs="Calibri"/>
          <w:sz w:val="24"/>
          <w:szCs w:val="24"/>
          <w:highlight w:val="white"/>
        </w:rPr>
        <w:t>uman and animal dietary practices during the Late Chalcolithic and Bronze Age in the Ebro Valley and Northern Iberia, hinting at the complex</w:t>
      </w:r>
      <w:r>
        <w:rPr>
          <w:rFonts w:ascii="Calibri" w:eastAsia="Calibri" w:hAnsi="Calibri" w:cs="Calibri"/>
          <w:sz w:val="24"/>
          <w:szCs w:val="24"/>
        </w:rPr>
        <w:t xml:space="preserve"> use of the environmentally diverse landscape and its role in dietary economies. </w:t>
      </w:r>
      <w:r>
        <w:rPr>
          <w:rFonts w:ascii="Calibri" w:eastAsia="Calibri" w:hAnsi="Calibri" w:cs="Calibri"/>
          <w:sz w:val="24"/>
          <w:szCs w:val="24"/>
          <w:highlight w:val="white"/>
        </w:rPr>
        <w:t xml:space="preserve"> </w:t>
      </w:r>
    </w:p>
    <w:p w14:paraId="7865C37B" w14:textId="77777777" w:rsidR="00A23BE2" w:rsidRDefault="00307EB3">
      <w:pPr>
        <w:spacing w:before="240" w:after="240" w:line="360" w:lineRule="auto"/>
        <w:jc w:val="both"/>
        <w:rPr>
          <w:rFonts w:ascii="Calibri" w:eastAsia="Calibri" w:hAnsi="Calibri" w:cs="Calibri"/>
          <w:b/>
          <w:sz w:val="24"/>
          <w:szCs w:val="24"/>
        </w:rPr>
      </w:pPr>
      <w:r>
        <w:rPr>
          <w:rFonts w:ascii="Calibri" w:eastAsia="Calibri" w:hAnsi="Calibri" w:cs="Calibri"/>
          <w:b/>
          <w:sz w:val="24"/>
          <w:szCs w:val="24"/>
        </w:rPr>
        <w:t>Declarations</w:t>
      </w:r>
    </w:p>
    <w:p w14:paraId="73094C67" w14:textId="77777777" w:rsidR="00A23BE2" w:rsidRDefault="00307EB3">
      <w:pPr>
        <w:spacing w:before="240" w:after="240" w:line="360" w:lineRule="auto"/>
        <w:jc w:val="both"/>
        <w:rPr>
          <w:rFonts w:ascii="Calibri" w:eastAsia="Calibri" w:hAnsi="Calibri" w:cs="Calibri"/>
          <w:b/>
          <w:sz w:val="24"/>
          <w:szCs w:val="24"/>
          <w:highlight w:val="white"/>
        </w:rPr>
      </w:pPr>
      <w:r>
        <w:rPr>
          <w:rFonts w:ascii="Calibri" w:eastAsia="Calibri" w:hAnsi="Calibri" w:cs="Calibri"/>
          <w:sz w:val="24"/>
          <w:szCs w:val="24"/>
        </w:rPr>
        <w:t xml:space="preserve">Funding: </w:t>
      </w:r>
      <w:r>
        <w:rPr>
          <w:rFonts w:ascii="Calibri" w:eastAsia="Calibri" w:hAnsi="Calibri" w:cs="Calibri"/>
          <w:sz w:val="24"/>
          <w:szCs w:val="24"/>
          <w:highlight w:val="white"/>
        </w:rPr>
        <w:t>This work w</w:t>
      </w:r>
      <w:r>
        <w:rPr>
          <w:rFonts w:ascii="Calibri" w:eastAsia="Calibri" w:hAnsi="Calibri" w:cs="Calibri"/>
          <w:sz w:val="24"/>
          <w:szCs w:val="24"/>
          <w:highlight w:val="white"/>
        </w:rPr>
        <w:t>as carried out while LCVC held an ERASMUS+ Traineeship hosted by MA at BioArCh, University of York.</w:t>
      </w:r>
      <w:r>
        <w:rPr>
          <w:rFonts w:ascii="Calibri" w:eastAsia="Calibri" w:hAnsi="Calibri" w:cs="Calibri"/>
          <w:sz w:val="24"/>
          <w:szCs w:val="24"/>
        </w:rPr>
        <w:t xml:space="preserve"> </w:t>
      </w:r>
      <w:r>
        <w:rPr>
          <w:rFonts w:ascii="Calibri" w:eastAsia="Calibri" w:hAnsi="Calibri" w:cs="Calibri"/>
          <w:sz w:val="24"/>
          <w:szCs w:val="24"/>
          <w:highlight w:val="white"/>
        </w:rPr>
        <w:t>LCVC is currently funded by the European Union’s Horizon 2020 research and innovation programme under the Marie</w:t>
      </w:r>
      <w:r>
        <w:rPr>
          <w:rFonts w:ascii="Calibri" w:eastAsia="Calibri" w:hAnsi="Calibri" w:cs="Calibri"/>
          <w:sz w:val="24"/>
          <w:szCs w:val="24"/>
        </w:rPr>
        <w:t xml:space="preserve"> Skłodows</w:t>
      </w:r>
      <w:r>
        <w:rPr>
          <w:rFonts w:ascii="Calibri" w:eastAsia="Calibri" w:hAnsi="Calibri" w:cs="Calibri"/>
          <w:sz w:val="24"/>
          <w:szCs w:val="24"/>
          <w:highlight w:val="white"/>
        </w:rPr>
        <w:t>ka-Curie grant agreement No 801199 a</w:t>
      </w:r>
      <w:r>
        <w:rPr>
          <w:rFonts w:ascii="Calibri" w:eastAsia="Calibri" w:hAnsi="Calibri" w:cs="Calibri"/>
          <w:sz w:val="24"/>
          <w:szCs w:val="24"/>
          <w:highlight w:val="white"/>
        </w:rPr>
        <w:t xml:space="preserve">nd Danish National Research Foundation DNRF128. IA is a member of the Spanish project HAR2015-65620-P (Paisaje y sociedad: el valle medio del Ebro entre el 6000 y el 500 cal ANE (MINECO/FEDER).  </w:t>
      </w:r>
    </w:p>
    <w:p w14:paraId="46C4FC09" w14:textId="77777777" w:rsidR="00A23BE2" w:rsidRDefault="00307EB3">
      <w:pPr>
        <w:spacing w:before="240" w:after="240" w:line="360" w:lineRule="auto"/>
        <w:rPr>
          <w:rFonts w:ascii="Calibri" w:eastAsia="Calibri" w:hAnsi="Calibri" w:cs="Calibri"/>
          <w:b/>
          <w:color w:val="000000"/>
        </w:rPr>
      </w:pPr>
      <w:r>
        <w:rPr>
          <w:rFonts w:ascii="Calibri" w:eastAsia="Calibri" w:hAnsi="Calibri" w:cs="Calibri"/>
          <w:sz w:val="24"/>
          <w:szCs w:val="24"/>
        </w:rPr>
        <w:t>Conflicts of interest/competing interests: The authors decla</w:t>
      </w:r>
      <w:r>
        <w:rPr>
          <w:rFonts w:ascii="Calibri" w:eastAsia="Calibri" w:hAnsi="Calibri" w:cs="Calibri"/>
          <w:sz w:val="24"/>
          <w:szCs w:val="24"/>
        </w:rPr>
        <w:t>re no competing interests.</w:t>
      </w:r>
    </w:p>
    <w:p w14:paraId="0E05BF69" w14:textId="77777777" w:rsidR="00A23BE2" w:rsidRDefault="00307EB3">
      <w:pPr>
        <w:pStyle w:val="Heading4"/>
        <w:spacing w:before="240" w:after="240" w:line="360" w:lineRule="auto"/>
        <w:jc w:val="both"/>
        <w:rPr>
          <w:rFonts w:ascii="Calibri" w:eastAsia="Calibri" w:hAnsi="Calibri" w:cs="Calibri"/>
          <w:highlight w:val="white"/>
        </w:rPr>
      </w:pPr>
      <w:bookmarkStart w:id="15" w:name="_heading=h.z48n89orx8pu" w:colFirst="0" w:colLast="0"/>
      <w:bookmarkEnd w:id="15"/>
      <w:r>
        <w:rPr>
          <w:rFonts w:ascii="Calibri" w:eastAsia="Calibri" w:hAnsi="Calibri" w:cs="Calibri"/>
          <w:b/>
          <w:color w:val="000000"/>
        </w:rPr>
        <w:t>References</w:t>
      </w:r>
    </w:p>
    <w:p w14:paraId="0D8CE65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Aguilera I (1986) La cueva sepulcral de El Estrechuelo (Borja, Zaragoza). Noticia preliminar. Cuadernos de Estudios Borjanos 17-18:17-31</w:t>
      </w:r>
    </w:p>
    <w:p w14:paraId="716CED6B"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Aguilera I (2017) La comunidad prehistórica de la Muela de Borja. 2550-1200 cal. ANE. Dissertation, Universidad de Zara</w:t>
      </w:r>
      <w:r>
        <w:rPr>
          <w:rFonts w:ascii="Calibri" w:eastAsia="Calibri" w:hAnsi="Calibri" w:cs="Calibri"/>
        </w:rPr>
        <w:t>goza</w:t>
      </w:r>
    </w:p>
    <w:p w14:paraId="7ADD17F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lastRenderedPageBreak/>
        <w:t>Aguilera M, Araus JL, Voltas J, Rodríguez‐Ariza MO, Molina F, Rovira N, Buxo R, Ferrio JP (2008) Stable carbon and nitrogen isotopes and quality traits of fossil cereal grains provide clues on sustainability at the beginnings of Mediterranean agricult</w:t>
      </w:r>
      <w:r>
        <w:rPr>
          <w:rFonts w:ascii="Calibri" w:eastAsia="Calibri" w:hAnsi="Calibri" w:cs="Calibri"/>
        </w:rPr>
        <w:t xml:space="preserve">ure. Rapid Commun Mass Spectrom 22(11):1653-1663. </w:t>
      </w:r>
      <w:hyperlink r:id="rId12">
        <w:r>
          <w:rPr>
            <w:rFonts w:ascii="Calibri" w:eastAsia="Calibri" w:hAnsi="Calibri" w:cs="Calibri"/>
          </w:rPr>
          <w:t>https://doi.org/10.1002/rcm.3501</w:t>
        </w:r>
      </w:hyperlink>
    </w:p>
    <w:p w14:paraId="0EECF609"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Albizuri S, Grandal-</w:t>
      </w:r>
      <w:r>
        <w:rPr>
          <w:rFonts w:ascii="Calibri" w:eastAsia="Calibri" w:hAnsi="Calibri" w:cs="Calibri"/>
        </w:rPr>
        <w:t xml:space="preserve">d’Anglade A, Maroto J, Oliva M, Rodríguez A, Terrats N, Palomo A, López-Cachero FJ (2021) Dogs that Ate Plants: Changes in the Canine Diet During the Late Bronze Age and the First Iron Age in the Northeast Iberian Peninsula. J World Prehist 34:75-119. </w:t>
      </w:r>
      <w:hyperlink r:id="rId13">
        <w:r>
          <w:rPr>
            <w:rFonts w:ascii="Calibri" w:eastAsia="Calibri" w:hAnsi="Calibri" w:cs="Calibri"/>
          </w:rPr>
          <w:t>https://doi.org/10.1007/s10963-021-09153-9</w:t>
        </w:r>
      </w:hyperlink>
    </w:p>
    <w:p w14:paraId="33A77DA1"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Alcolea M, Tarongi M, Aguilera I (2018) Estudio arqueobotánico de la cueva de Majaladares II (Tarazona, Zaragoza). In: Lorenzo Lizalde JI (ed) Actas I Congreso Nacional de Arqueología Profesional. Colegio Oficial de Doctores y Licenciados en Filosofía y Le</w:t>
      </w:r>
      <w:r>
        <w:rPr>
          <w:rFonts w:ascii="Calibri" w:eastAsia="Calibri" w:hAnsi="Calibri" w:cs="Calibri"/>
        </w:rPr>
        <w:t>tras y en Ciencias de Aragón, Spain, pp 527-533</w:t>
      </w:r>
    </w:p>
    <w:p w14:paraId="3B8B5278"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Alonso N, Bouby L (2017) Plant Resources from the Bronze Age and the first Iron Age in the northwestern arc of the Mediterranean Basin. Comptes Rendus Palevol 16(4):363-377. </w:t>
      </w:r>
      <w:hyperlink r:id="rId14">
        <w:r>
          <w:rPr>
            <w:rFonts w:ascii="Calibri" w:eastAsia="Calibri" w:hAnsi="Calibri" w:cs="Calibri"/>
          </w:rPr>
          <w:t>https://doi.org/10.1016/j.crpv.2017.01.004</w:t>
        </w:r>
      </w:hyperlink>
    </w:p>
    <w:p w14:paraId="6AE79C49"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Ambrose SH (1990) Preparation and characterization of bone and tooth colla</w:t>
      </w:r>
      <w:r>
        <w:rPr>
          <w:rFonts w:ascii="Calibri" w:eastAsia="Calibri" w:hAnsi="Calibri" w:cs="Calibri"/>
        </w:rPr>
        <w:t xml:space="preserve">gen for isotopic analysis. J Archaeol Sci 17(4):431-451. </w:t>
      </w:r>
      <w:hyperlink r:id="rId15">
        <w:r>
          <w:rPr>
            <w:rFonts w:ascii="Calibri" w:eastAsia="Calibri" w:hAnsi="Calibri" w:cs="Calibri"/>
          </w:rPr>
          <w:t>https://doi.org/10.1016/0305-4403(90)90007-R</w:t>
        </w:r>
      </w:hyperlink>
    </w:p>
    <w:p w14:paraId="52637C6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Amundson R, Austin AT, Schuur EA, Yoo K, Matzek V, Kendall C, Uebersax A, Brenner D, Baisden WT (2003) Global patterns of the isotopic composition of soil and plant nitrogen. Glob Biogeochem Cycles 17(1):1031. </w:t>
      </w:r>
      <w:hyperlink r:id="rId16">
        <w:r>
          <w:rPr>
            <w:rFonts w:ascii="Calibri" w:eastAsia="Calibri" w:hAnsi="Calibri" w:cs="Calibri"/>
          </w:rPr>
          <w:t>https://doi.org/10.1029/2002GB001903</w:t>
        </w:r>
      </w:hyperlink>
    </w:p>
    <w:p w14:paraId="4DA94E9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Aranburu-Mendizabal A, Sarasketa-Gartzia I, Arrizabalaga A, Salazar-García DC, J</w:t>
      </w:r>
      <w:r>
        <w:rPr>
          <w:rFonts w:ascii="Calibri" w:eastAsia="Calibri" w:hAnsi="Calibri" w:cs="Calibri"/>
        </w:rPr>
        <w:t xml:space="preserve">akintza Taldea A, Iriarte-Chiapusso MJ (2018) El yacimiento calcolítico de Karea (Aia) en el contexto de las cuevas sepulcrales de Guipuzkoa (País Vasco). Munibe Antropologia-Arkeologia 69:1-14. </w:t>
      </w:r>
      <w:hyperlink r:id="rId17">
        <w:r>
          <w:rPr>
            <w:rFonts w:ascii="Calibri" w:eastAsia="Calibri" w:hAnsi="Calibri" w:cs="Calibri"/>
          </w:rPr>
          <w:t>http</w:t>
        </w:r>
        <w:r>
          <w:rPr>
            <w:rFonts w:ascii="Calibri" w:eastAsia="Calibri" w:hAnsi="Calibri" w:cs="Calibri"/>
          </w:rPr>
          <w:t>s://doi.org/10.21630/maa.2018.69.09</w:t>
        </w:r>
      </w:hyperlink>
    </w:p>
    <w:p w14:paraId="7339E840"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Araus JL, Febrero A, Buxó R, Camalich MD, Martín D, Molina F, Rodriguez‐Ariza MO, Romagosa I (1997) Changes i</w:t>
      </w:r>
      <w:r>
        <w:rPr>
          <w:rFonts w:ascii="Calibri" w:eastAsia="Calibri" w:hAnsi="Calibri" w:cs="Calibri"/>
        </w:rPr>
        <w:t>n carbon isotope discrimination in grain cereals from different regions of the western Mediterranean Basin during the past seven millennia. Palaeoenvironmental evidence of a differential change in aridity during the late Holocene. Glob Change Biol 3(2):107</w:t>
      </w:r>
      <w:r>
        <w:rPr>
          <w:rFonts w:ascii="Calibri" w:eastAsia="Calibri" w:hAnsi="Calibri" w:cs="Calibri"/>
        </w:rPr>
        <w:t xml:space="preserve">-118. </w:t>
      </w:r>
      <w:hyperlink r:id="rId18">
        <w:r>
          <w:rPr>
            <w:rFonts w:ascii="Calibri" w:eastAsia="Calibri" w:hAnsi="Calibri" w:cs="Calibri"/>
          </w:rPr>
          <w:t>https://doi.org/10.1046/j.1365-2486.1997.00056.x</w:t>
        </w:r>
      </w:hyperlink>
    </w:p>
    <w:p w14:paraId="0F8FCBD3"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Austin AT, Vitousek PM (1998) Nutrient dynamics on a precipitation gradient in Hawai'i. Oecologia 113(4):519-529. https://doi.org/10.1007/s004420050405</w:t>
      </w:r>
    </w:p>
    <w:p w14:paraId="1A8B18C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Balasse M, Tresset A (2002) Early weaning of Neolithic domestic cattle (Bercy, France) revealed by intra</w:t>
      </w:r>
      <w:r>
        <w:rPr>
          <w:rFonts w:ascii="Calibri" w:eastAsia="Calibri" w:hAnsi="Calibri" w:cs="Calibri"/>
        </w:rPr>
        <w:t xml:space="preserve">-tooth variation in nitrogen isotope ratios. J Archaeol Sci 29(8):853-859. </w:t>
      </w:r>
      <w:hyperlink r:id="rId19">
        <w:r>
          <w:rPr>
            <w:rFonts w:ascii="Calibri" w:eastAsia="Calibri" w:hAnsi="Calibri" w:cs="Calibri"/>
          </w:rPr>
          <w:t>https://doi.org/10.1006/jasc.2001.0725</w:t>
        </w:r>
      </w:hyperlink>
    </w:p>
    <w:p w14:paraId="65422378"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lastRenderedPageBreak/>
        <w:t xml:space="preserve">Beaumont J, Gledhill A, Lee‐Thorp J, Montgomery J (2013) Childhood diet: a closer examination of the evidence from dental tissues using stable isotope analysis of incremental human dentine. Archaeometry 55(2):277-295. </w:t>
      </w:r>
      <w:hyperlink r:id="rId20">
        <w:r>
          <w:rPr>
            <w:rFonts w:ascii="Calibri" w:eastAsia="Calibri" w:hAnsi="Calibri" w:cs="Calibri"/>
          </w:rPr>
          <w:t>https://doi.org/10.1111/j.1475-4754.2012.00682.x</w:t>
        </w:r>
      </w:hyperlink>
    </w:p>
    <w:p w14:paraId="35578DA2"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Beck HE, Zimmermann NE, McVicar TR, </w:t>
      </w:r>
      <w:r>
        <w:rPr>
          <w:rFonts w:ascii="Calibri" w:eastAsia="Calibri" w:hAnsi="Calibri" w:cs="Calibri"/>
        </w:rPr>
        <w:t xml:space="preserve">Vergopolan N, Berg A, Wood EF (2018) Present and future Köppen-Geiger climate classification maps at 1-km resolution. Sci data 5(1): 1-12. </w:t>
      </w:r>
      <w:hyperlink r:id="rId21">
        <w:r>
          <w:rPr>
            <w:rFonts w:ascii="Calibri" w:eastAsia="Calibri" w:hAnsi="Calibri" w:cs="Calibri"/>
            <w:color w:val="1155CC"/>
            <w:u w:val="single"/>
          </w:rPr>
          <w:t>https://doi.org/10.1038/sdata.2018.214</w:t>
        </w:r>
      </w:hyperlink>
    </w:p>
    <w:p w14:paraId="7AE14DEC"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Blanco-González A, Lillios KT, López-Sáez JA, Drake BL (2018) Cultural, demographic and environmental dynamics of the Copper and Early Bronze Age in Iberia (3300–1500 B</w:t>
      </w:r>
      <w:r>
        <w:rPr>
          <w:rFonts w:ascii="Calibri" w:eastAsia="Calibri" w:hAnsi="Calibri" w:cs="Calibri"/>
        </w:rPr>
        <w:t xml:space="preserve">C): towards an interregional multiproxy comparison at the time of the 4.2 ky BP event. J World Prehist 31(1):1-79. </w:t>
      </w:r>
      <w:hyperlink r:id="rId22">
        <w:r>
          <w:rPr>
            <w:rFonts w:ascii="Calibri" w:eastAsia="Calibri" w:hAnsi="Calibri" w:cs="Calibri"/>
          </w:rPr>
          <w:t>https://doi.org/10.1007/s10963-018-9113-3</w:t>
        </w:r>
      </w:hyperlink>
    </w:p>
    <w:p w14:paraId="30776147"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Bocherens H, Drucker D (2003) Trophic level isotopic enrichment of carbon and nitrogen in bone collagen: case studies from recent and ancient terrestrial ecosystems. Int J Osteoarchae</w:t>
      </w:r>
      <w:r>
        <w:rPr>
          <w:rFonts w:ascii="Calibri" w:eastAsia="Calibri" w:hAnsi="Calibri" w:cs="Calibri"/>
        </w:rPr>
        <w:t xml:space="preserve">ol 13(1-2):46-53. </w:t>
      </w:r>
      <w:hyperlink r:id="rId23">
        <w:r>
          <w:rPr>
            <w:rFonts w:ascii="Calibri" w:eastAsia="Calibri" w:hAnsi="Calibri" w:cs="Calibri"/>
          </w:rPr>
          <w:t>https://doi.org/10.1002/oa.662</w:t>
        </w:r>
      </w:hyperlink>
    </w:p>
    <w:p w14:paraId="6EDBB51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Bogaard A, Heaton TH, Poulton P, Merbach I (2007) The impa</w:t>
      </w:r>
      <w:r>
        <w:rPr>
          <w:rFonts w:ascii="Calibri" w:eastAsia="Calibri" w:hAnsi="Calibri" w:cs="Calibri"/>
        </w:rPr>
        <w:t xml:space="preserve">ct of manuring on nitrogen isotope ratios in cereals: archaeological implications for reconstruction of diet and crop management practices. J Archaeol Sci 34(3):335-343. </w:t>
      </w:r>
      <w:hyperlink r:id="rId24">
        <w:r>
          <w:rPr>
            <w:rFonts w:ascii="Calibri" w:eastAsia="Calibri" w:hAnsi="Calibri" w:cs="Calibri"/>
          </w:rPr>
          <w:t>https://doi.org/10.1016/j.j</w:t>
        </w:r>
        <w:r>
          <w:rPr>
            <w:rFonts w:ascii="Calibri" w:eastAsia="Calibri" w:hAnsi="Calibri" w:cs="Calibri"/>
          </w:rPr>
          <w:t>as.2006.04.009</w:t>
        </w:r>
      </w:hyperlink>
    </w:p>
    <w:p w14:paraId="7DBEF417"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Bogaard A, Fraser R, Heaton TH, Wallace M, Vaiglova P, Charles M, Jones G, Evershed RP, Styring AK, Andersen NH, Arbogast RM (201</w:t>
      </w:r>
      <w:r>
        <w:rPr>
          <w:rFonts w:ascii="Calibri" w:eastAsia="Calibri" w:hAnsi="Calibri" w:cs="Calibri"/>
        </w:rPr>
        <w:t xml:space="preserve">3) Crop manuring and intensive land management by Europe’s first farmers. PNAS 110(31):12589-12594. </w:t>
      </w:r>
      <w:hyperlink r:id="rId25">
        <w:r>
          <w:rPr>
            <w:rFonts w:ascii="Calibri" w:eastAsia="Calibri" w:hAnsi="Calibri" w:cs="Calibri"/>
          </w:rPr>
          <w:t>https://doi.org/10.1073/pnas.1305918110</w:t>
        </w:r>
      </w:hyperlink>
    </w:p>
    <w:p w14:paraId="21A7142A"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Brothwell DR (1981) Digging up Bones. Oxford University Press, Oxford</w:t>
      </w:r>
    </w:p>
    <w:p w14:paraId="21BD41D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Brown TA, Nelson DE, Vogel JS, Southon JR (1988) Improved collagen extraction by modified Longin method. Radiocarb 30:171-177. </w:t>
      </w:r>
      <w:hyperlink r:id="rId26">
        <w:r>
          <w:rPr>
            <w:rFonts w:ascii="Calibri" w:eastAsia="Calibri" w:hAnsi="Calibri" w:cs="Calibri"/>
          </w:rPr>
          <w:t>https://doi.org/10.1017/S0033822200044118</w:t>
        </w:r>
      </w:hyperlink>
    </w:p>
    <w:p w14:paraId="74937985"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Buckley M, Collins M, Thomas-Oates J, Wilson JC (2009) Species identification by analysis of bone collagen using matrix-assisted laser desorpti</w:t>
      </w:r>
      <w:r>
        <w:rPr>
          <w:rFonts w:ascii="Calibri" w:eastAsia="Calibri" w:hAnsi="Calibri" w:cs="Calibri"/>
        </w:rPr>
        <w:t xml:space="preserve">on/ionisation time-of-flight mass spectrometry. Rapid Commun Mass Spectrom 23:3843-3854. </w:t>
      </w:r>
      <w:hyperlink r:id="rId27">
        <w:r>
          <w:rPr>
            <w:rFonts w:ascii="Calibri" w:eastAsia="Calibri" w:hAnsi="Calibri" w:cs="Calibri"/>
          </w:rPr>
          <w:t>https://doi.org/10.1002/rcm.4316</w:t>
        </w:r>
      </w:hyperlink>
    </w:p>
    <w:p w14:paraId="58A9C7CB"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Buckley M, Whitcher Kansa S, Howard S, Campbell S, Thomas-Oates J, Collins M (2010) Distinguishing between archaeological sheep and goat bones using a single collagen peptide. J Archaeol Sci 37(1):13-20. </w:t>
      </w:r>
      <w:hyperlink r:id="rId28">
        <w:r>
          <w:rPr>
            <w:rFonts w:ascii="Calibri" w:eastAsia="Calibri" w:hAnsi="Calibri" w:cs="Calibri"/>
          </w:rPr>
          <w:t>https://doi.org/10.1016/j.jas.2009.08.020</w:t>
        </w:r>
      </w:hyperlink>
    </w:p>
    <w:p w14:paraId="0462A6EB"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lastRenderedPageBreak/>
        <w:t>Buckley M, Fraser S, Herman JS, Melton ND, Mulville J, Pálsdóttir AH (2014)</w:t>
      </w:r>
      <w:r>
        <w:rPr>
          <w:rFonts w:ascii="Calibri" w:eastAsia="Calibri" w:hAnsi="Calibri" w:cs="Calibri"/>
        </w:rPr>
        <w:t xml:space="preserve"> Species identification of archaeological marine mammals using collagen fingerprinting. J Archaeol Sci 41:631-641. </w:t>
      </w:r>
      <w:hyperlink r:id="rId29">
        <w:r>
          <w:rPr>
            <w:rFonts w:ascii="Calibri" w:eastAsia="Calibri" w:hAnsi="Calibri" w:cs="Calibri"/>
          </w:rPr>
          <w:t>https://doi.org/10.1016/j.jas.2013.08.021</w:t>
        </w:r>
      </w:hyperlink>
    </w:p>
    <w:p w14:paraId="57AA35A0"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Buikstra J, Ubelaker D (1994) Standards for data collection from human skeletal remains. Arkansas Archaeological Survey Research Series 44, Fayetteville</w:t>
      </w:r>
    </w:p>
    <w:p w14:paraId="37D81411"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Buxó R, Piqué R (2008) Arqueob</w:t>
      </w:r>
      <w:r>
        <w:rPr>
          <w:rFonts w:ascii="Calibri" w:eastAsia="Calibri" w:hAnsi="Calibri" w:cs="Calibri"/>
        </w:rPr>
        <w:t>otánica. Los usos de las plantas en la península Ibérica. Ariel Prehistoria, Barcelona</w:t>
      </w:r>
    </w:p>
    <w:p w14:paraId="77869AF3"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Cheung C, Szpak P (2020) Interpreting past human diets using stable isotope mixing models. J Archaeol Method Theory 28:1106-1142. </w:t>
      </w:r>
      <w:hyperlink r:id="rId30">
        <w:r>
          <w:rPr>
            <w:rFonts w:ascii="Calibri" w:eastAsia="Calibri" w:hAnsi="Calibri" w:cs="Calibri"/>
          </w:rPr>
          <w:t>https://doi.org/10.1007/s10816-020-09492-5</w:t>
        </w:r>
      </w:hyperlink>
    </w:p>
    <w:p w14:paraId="01F36720"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Cubas M, Lucquin A, Robson HK, Colonese AC, Arias P, Aubry B, Billard C, Jan D</w:t>
      </w:r>
      <w:r>
        <w:rPr>
          <w:rFonts w:ascii="Calibri" w:eastAsia="Calibri" w:hAnsi="Calibri" w:cs="Calibri"/>
        </w:rPr>
        <w:t>, Diniz M, Fernandes R, Valcarce RF (2020) Latitudinal gradient in dairy production with the introduction of farming in Atlantic Europe. Nat commun 11(1):1-9. https://doi.org/10.1038/s41467-020-15907-4</w:t>
      </w:r>
    </w:p>
    <w:p w14:paraId="71C7DA10"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DeNiro MJ (1985) Post-mortem preservation and alterati</w:t>
      </w:r>
      <w:r>
        <w:rPr>
          <w:rFonts w:ascii="Calibri" w:eastAsia="Calibri" w:hAnsi="Calibri" w:cs="Calibri"/>
        </w:rPr>
        <w:t>on of in vivo bone collagen isotope ratios in relation to palaeodietary reconstruction. Nature 317:806-809. https://doi.org/10.1038/317806a0</w:t>
      </w:r>
    </w:p>
    <w:p w14:paraId="1B0594CC"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DeNiro MJ, Epstein S (1978) Influence of diet on the distribution of carbon isotopes in animals. Geochim Cosmochim </w:t>
      </w:r>
      <w:r>
        <w:rPr>
          <w:rFonts w:ascii="Calibri" w:eastAsia="Calibri" w:hAnsi="Calibri" w:cs="Calibri"/>
        </w:rPr>
        <w:t xml:space="preserve">Acta 42(5):495-506. </w:t>
      </w:r>
      <w:hyperlink r:id="rId31">
        <w:r>
          <w:rPr>
            <w:rFonts w:ascii="Calibri" w:eastAsia="Calibri" w:hAnsi="Calibri" w:cs="Calibri"/>
          </w:rPr>
          <w:t>https://doi.org/10.1016/0016-7037(78)90199-0</w:t>
        </w:r>
      </w:hyperlink>
    </w:p>
    <w:p w14:paraId="402A1FC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DeNiro MJ, Eps</w:t>
      </w:r>
      <w:r>
        <w:rPr>
          <w:rFonts w:ascii="Calibri" w:eastAsia="Calibri" w:hAnsi="Calibri" w:cs="Calibri"/>
        </w:rPr>
        <w:t xml:space="preserve">tein S (1981) Influence of diet on the distribution of nitrogen isotopes in animals. Geochim Cosmochim Acta 45(3):341-351. </w:t>
      </w:r>
      <w:hyperlink r:id="rId32">
        <w:r>
          <w:rPr>
            <w:rFonts w:ascii="Calibri" w:eastAsia="Calibri" w:hAnsi="Calibri" w:cs="Calibri"/>
          </w:rPr>
          <w:t>https://doi.org/10.1016/0016-7037(81)90244-1</w:t>
        </w:r>
      </w:hyperlink>
    </w:p>
    <w:p w14:paraId="2B116AE3"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Díaz-Zorita Bonilla M, Aranda Jiménez G, Bocherens H, Escudero Carrillo J, Sánchez Romero M, Lozano Medina Á, Alarcón García E, Milesi García L (2019) Multi-isotopic </w:t>
      </w:r>
      <w:r>
        <w:rPr>
          <w:rFonts w:ascii="Calibri" w:eastAsia="Calibri" w:hAnsi="Calibri" w:cs="Calibri"/>
        </w:rPr>
        <w:t>diet analysis of south-eastern Iberian megalithic populations: the cemeteries of El Barranquete and Panoría. Archaeol Anthropol Sci 11(8):3681-3698. https://doi.org/10.1007/s12520-018-0769-5</w:t>
      </w:r>
    </w:p>
    <w:p w14:paraId="563E4148"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Drucker DG, Bridault A, Hobson KA, Szuma E, Bocherens H (2008) Ca</w:t>
      </w:r>
      <w:r>
        <w:rPr>
          <w:rFonts w:ascii="Calibri" w:eastAsia="Calibri" w:hAnsi="Calibri" w:cs="Calibri"/>
        </w:rPr>
        <w:t>n carbon-13 in large herbivores reflect the canopy effect in temperate and boreal ecosystems? Evidence from modern and ancient ungulates. Palaeogeogr Palaeoclimatol Palaeoecol 266(1-2):69-82. ​​</w:t>
      </w:r>
      <w:hyperlink r:id="rId33">
        <w:r>
          <w:rPr>
            <w:rFonts w:ascii="Calibri" w:eastAsia="Calibri" w:hAnsi="Calibri" w:cs="Calibri"/>
          </w:rPr>
          <w:t>https://doi.org/10.1016/j.palaeo.2008.03.020</w:t>
        </w:r>
      </w:hyperlink>
    </w:p>
    <w:p w14:paraId="2D5B578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Fernandes R, Nadeau MJ, Grootes PM (2012) Macronutrient-based model for dietary carbon routing in bone collagen and bioapatite. Archaeol Anthropol Sci 4(4):291-301. https://doi.org/10.1007/s12520-012-0102-7</w:t>
      </w:r>
    </w:p>
    <w:p w14:paraId="243A8162"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lastRenderedPageBreak/>
        <w:t>Fernandes R, Millard AR, Brabec M, Nadeau M-J, Grootes P (2014) Food Reconstruction Using Isotopic Transferred Signals (FRUITS): A Bayesian model for diet reconstruction. PLoS One 9(2):e87436. https://doi.org/10.1371/journal.pone.0087436</w:t>
      </w:r>
    </w:p>
    <w:p w14:paraId="7382592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Fernandes R, Groot</w:t>
      </w:r>
      <w:r>
        <w:rPr>
          <w:rFonts w:ascii="Calibri" w:eastAsia="Calibri" w:hAnsi="Calibri" w:cs="Calibri"/>
        </w:rPr>
        <w:t xml:space="preserve">es P, Nadeau MJ, Nehlich O (2015) Quantitative diet reconstruction of a Neolithic population using a Bayesian mixing model (FRUITS): the case study of Ostorf (Germany). Am J Phys Anthropol 158(2):325-340. </w:t>
      </w:r>
      <w:hyperlink r:id="rId34">
        <w:r>
          <w:rPr>
            <w:rFonts w:ascii="Calibri" w:eastAsia="Calibri" w:hAnsi="Calibri" w:cs="Calibri"/>
          </w:rPr>
          <w:t>https://doi.org/10.1002/ajpa.22788</w:t>
        </w:r>
      </w:hyperlink>
    </w:p>
    <w:p w14:paraId="6AA4059C"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Fernández-Crespo T, Schulting RJ (2017) Living different lives: early social differentiation identified through li</w:t>
      </w:r>
      <w:r>
        <w:rPr>
          <w:rFonts w:ascii="Calibri" w:eastAsia="Calibri" w:hAnsi="Calibri" w:cs="Calibri"/>
        </w:rPr>
        <w:t xml:space="preserve">nking mortuary and isotopic variability in Late Neolithic/Early Chalcolithic north-central Spain. PLoS One 12:e0177881. </w:t>
      </w:r>
      <w:hyperlink r:id="rId35">
        <w:r>
          <w:rPr>
            <w:rFonts w:ascii="Calibri" w:eastAsia="Calibri" w:hAnsi="Calibri" w:cs="Calibri"/>
          </w:rPr>
          <w:t>https://doi.org/10.1371/journal.pone.0177881</w:t>
        </w:r>
      </w:hyperlink>
    </w:p>
    <w:p w14:paraId="3178320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Fernández-Crespo T, Mujika JA, Ordoño J (2016). Aproximación al patrón alimentario de los inhumados en la cista de la Edad del Bronce de Ondarre (Aralar, Guipúzcoa) a tra</w:t>
      </w:r>
      <w:r>
        <w:rPr>
          <w:rFonts w:ascii="Calibri" w:eastAsia="Calibri" w:hAnsi="Calibri" w:cs="Calibri"/>
        </w:rPr>
        <w:t xml:space="preserve">vés del análisis de isótopos estables de carbono y nitrógeno sobre colágeno óseo. Trabajos de Prehistoria 73(2):325-334. </w:t>
      </w:r>
      <w:hyperlink r:id="rId36">
        <w:r>
          <w:rPr>
            <w:rFonts w:ascii="Calibri" w:eastAsia="Calibri" w:hAnsi="Calibri" w:cs="Calibri"/>
          </w:rPr>
          <w:t>https://doi.org/10.3989/tp.2016.12177</w:t>
        </w:r>
      </w:hyperlink>
    </w:p>
    <w:p w14:paraId="6B23EFC9"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Fernández‐Crespo T, Czermak A, Lee‐Thorp JA, Schulting RJ (2018) Infant and childhood diet at the passage tomb of Alto de la Huesera (north‐central Iberia) from bone collagen and sequential</w:t>
      </w:r>
      <w:r>
        <w:rPr>
          <w:rFonts w:ascii="Calibri" w:eastAsia="Calibri" w:hAnsi="Calibri" w:cs="Calibri"/>
        </w:rPr>
        <w:t xml:space="preserve"> dentine isotope composition. Int J Osteoarchaeol 28(5):542-551. </w:t>
      </w:r>
      <w:hyperlink r:id="rId37">
        <w:r>
          <w:rPr>
            <w:rFonts w:ascii="Calibri" w:eastAsia="Calibri" w:hAnsi="Calibri" w:cs="Calibri"/>
          </w:rPr>
          <w:t>https://doi.org/10.1002/oa.2659</w:t>
        </w:r>
      </w:hyperlink>
    </w:p>
    <w:p w14:paraId="5CB2E987"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Fernánd</w:t>
      </w:r>
      <w:r>
        <w:rPr>
          <w:rFonts w:ascii="Calibri" w:eastAsia="Calibri" w:hAnsi="Calibri" w:cs="Calibri"/>
        </w:rPr>
        <w:t xml:space="preserve">ez-Crespo T, Ordoño J, Bogaard A, Llanos A, Schulting R (2019a) A snapshot of subsistence in Iron Age Iberia: the case of La Hoya village. J Archaeol Sci: Rep 28:102037. </w:t>
      </w:r>
      <w:hyperlink r:id="rId38">
        <w:r>
          <w:rPr>
            <w:rFonts w:ascii="Calibri" w:eastAsia="Calibri" w:hAnsi="Calibri" w:cs="Calibri"/>
          </w:rPr>
          <w:t>https://doi.org/10.1016/</w:t>
        </w:r>
        <w:r>
          <w:rPr>
            <w:rFonts w:ascii="Calibri" w:eastAsia="Calibri" w:hAnsi="Calibri" w:cs="Calibri"/>
          </w:rPr>
          <w:t>j.jasrep.2019.102037</w:t>
        </w:r>
      </w:hyperlink>
    </w:p>
    <w:p w14:paraId="56B5D57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Fernández-Crespo T, Ordoño J, Barandiarán I, Andrés MT, Schulting RJ (2019b) The Bell Beaker multiple burial pit of La A</w:t>
      </w:r>
      <w:r>
        <w:rPr>
          <w:rFonts w:ascii="Calibri" w:eastAsia="Calibri" w:hAnsi="Calibri" w:cs="Calibri"/>
        </w:rPr>
        <w:t>talayuela (La Rioja, Spain): stable isotope insights into diet, identity and mortuary practices in chalcolithic Iberia. Archaeol Anthropol Sci 11(8):3733-3749. https://doi.org/10.1007/s12520-018-0610-1</w:t>
      </w:r>
    </w:p>
    <w:p w14:paraId="18CAB52F"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Fernández-Crespo T, Ordoño J, Schulting RJ (2021) Subs</w:t>
      </w:r>
      <w:r>
        <w:rPr>
          <w:rFonts w:ascii="Calibri" w:eastAsia="Calibri" w:hAnsi="Calibri" w:cs="Calibri"/>
        </w:rPr>
        <w:t xml:space="preserve">istence shift and socio-economic response to cultural and climate changes among north-central Iberian megalithic groups. J Archaeol Sci 133:105451. </w:t>
      </w:r>
      <w:hyperlink r:id="rId39">
        <w:r>
          <w:rPr>
            <w:rFonts w:ascii="Calibri" w:eastAsia="Calibri" w:hAnsi="Calibri" w:cs="Calibri"/>
          </w:rPr>
          <w:t>https://doi.org/10.1016/j.jas.2021.105451</w:t>
        </w:r>
      </w:hyperlink>
    </w:p>
    <w:p w14:paraId="3395911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Ferrio Díaz JP, Araus JL, Buxó R, Voltas J, Bort J (2005) Water management practices and climate in ancient agriculture: inference from the stable isot</w:t>
      </w:r>
      <w:r>
        <w:rPr>
          <w:rFonts w:ascii="Calibri" w:eastAsia="Calibri" w:hAnsi="Calibri" w:cs="Calibri"/>
        </w:rPr>
        <w:t>ope composition of archaeobotanical remains. Veget Hist Archaeobot 14(4):510-517. https://doi.org/10.1007/s00334-005-0062-2</w:t>
      </w:r>
    </w:p>
    <w:p w14:paraId="0BEBB7A3"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lastRenderedPageBreak/>
        <w:t xml:space="preserve">Fraser RA, Bogaard A, Heaton T, Charles M, Jones G, Christensen BT, Halstead P, Merbach I, Poulton PR, Sparkes D, Styring AK (2011) </w:t>
      </w:r>
      <w:r>
        <w:rPr>
          <w:rFonts w:ascii="Calibri" w:eastAsia="Calibri" w:hAnsi="Calibri" w:cs="Calibri"/>
        </w:rPr>
        <w:t xml:space="preserve">Manuring and stable nitrogen isotope ratios in cereals and pulses: towards a new archaeobotanical approach to the inference of land use and dietary practices. J Archaeol Sci 38(10):2790-2804. </w:t>
      </w:r>
      <w:hyperlink r:id="rId40">
        <w:r>
          <w:rPr>
            <w:rFonts w:ascii="Calibri" w:eastAsia="Calibri" w:hAnsi="Calibri" w:cs="Calibri"/>
          </w:rPr>
          <w:t>https</w:t>
        </w:r>
        <w:r>
          <w:rPr>
            <w:rFonts w:ascii="Calibri" w:eastAsia="Calibri" w:hAnsi="Calibri" w:cs="Calibri"/>
          </w:rPr>
          <w:t>://doi.org/10.1016/j.jas.2011.06.024</w:t>
        </w:r>
      </w:hyperlink>
    </w:p>
    <w:p w14:paraId="6CF095F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Göhring A (2021) Allen’s fossa - An attempt to dissolve the confusion of different nonmetric variants on th</w:t>
      </w:r>
      <w:r>
        <w:rPr>
          <w:rFonts w:ascii="Calibri" w:eastAsia="Calibri" w:hAnsi="Calibri" w:cs="Calibri"/>
        </w:rPr>
        <w:t xml:space="preserve">e anterior femoral neck.  Int J Osteoarchaeol 31(4):513-522. </w:t>
      </w:r>
      <w:hyperlink r:id="rId41">
        <w:r>
          <w:rPr>
            <w:rFonts w:ascii="Calibri" w:eastAsia="Calibri" w:hAnsi="Calibri" w:cs="Calibri"/>
          </w:rPr>
          <w:t>https://doi.org/10.1002/oa.2968</w:t>
        </w:r>
      </w:hyperlink>
    </w:p>
    <w:p w14:paraId="64B730C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González-Ra</w:t>
      </w:r>
      <w:r>
        <w:rPr>
          <w:rFonts w:ascii="Calibri" w:eastAsia="Calibri" w:hAnsi="Calibri" w:cs="Calibri"/>
        </w:rPr>
        <w:t>banal B, Marín-Arroyo AB, Jones JR, Pérez LA, Vega-Maeso C, González-Morales MR (2020) Diet, mobility and death of Late Neolithic and Chalcolithic groups of the Cantabrian Region (northern Spain). A multidisciplinary approach towards studying the Los Avell</w:t>
      </w:r>
      <w:r>
        <w:rPr>
          <w:rFonts w:ascii="Calibri" w:eastAsia="Calibri" w:hAnsi="Calibri" w:cs="Calibri"/>
        </w:rPr>
        <w:t xml:space="preserve">anos I and II burial caves. J Archaeol Sci: Rep 34:102644. </w:t>
      </w:r>
      <w:hyperlink r:id="rId42">
        <w:r>
          <w:rPr>
            <w:rFonts w:ascii="Calibri" w:eastAsia="Calibri" w:hAnsi="Calibri" w:cs="Calibri"/>
          </w:rPr>
          <w:t>https://doi.org/10.1016/j.jasrep.2020.102644</w:t>
        </w:r>
      </w:hyperlink>
    </w:p>
    <w:p w14:paraId="62D8084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Grandal-d’Anglade A, Albizuri S, Nieto A, Majó T, Agustí B, Alonso N, Antolín F, López JB, Moya A, Rodríguez A, Palomo A (2019) Dogs and fox</w:t>
      </w:r>
      <w:r>
        <w:rPr>
          <w:rFonts w:ascii="Calibri" w:eastAsia="Calibri" w:hAnsi="Calibri" w:cs="Calibri"/>
        </w:rPr>
        <w:t>es in Early–Middle Bronze Age funerary structures in the northeast of the Iberian Peninsula: Human control of canid diet at the sites of Can Roqueta (Barcelona) and Minferri (Lleida). Archaeol Anthropol Sci 11(8):3949-3978. https://doi.org/10.1007/s12520-0</w:t>
      </w:r>
      <w:r>
        <w:rPr>
          <w:rFonts w:ascii="Calibri" w:eastAsia="Calibri" w:hAnsi="Calibri" w:cs="Calibri"/>
        </w:rPr>
        <w:t>19-00781-z</w:t>
      </w:r>
    </w:p>
    <w:p w14:paraId="14C37E6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Greenfield HJ (2010) The Secondary Products Revolution: the past, the present and the future. World Archaeol 42(1):29-54. </w:t>
      </w:r>
      <w:hyperlink r:id="rId43">
        <w:r>
          <w:rPr>
            <w:rFonts w:ascii="Calibri" w:eastAsia="Calibri" w:hAnsi="Calibri" w:cs="Calibri"/>
          </w:rPr>
          <w:t>https://doi.org/10.1080/00438240903429722</w:t>
        </w:r>
      </w:hyperlink>
    </w:p>
    <w:p w14:paraId="2AD484F1"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Guiry EJ (2012) Dog as analogs in human stable isotope based paleodietary reconstructions: a review and consideration for future use. J Archaeol Method Theory 19(3):</w:t>
      </w:r>
      <w:r>
        <w:rPr>
          <w:rFonts w:ascii="Calibri" w:eastAsia="Calibri" w:hAnsi="Calibri" w:cs="Calibri"/>
        </w:rPr>
        <w:t>351-376. ​​https://doi.org/10.1007/s10816-011-9118-z</w:t>
      </w:r>
    </w:p>
    <w:p w14:paraId="35FCD763"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Hamilton J, Hedges REM, Robinson M (2009) Rooting for pigfruit: pig feeding in Neolithic and Iron Age Britain compared. Antiquity 83(322):998-1011. </w:t>
      </w:r>
      <w:hyperlink r:id="rId44">
        <w:r>
          <w:rPr>
            <w:rFonts w:ascii="Calibri" w:eastAsia="Calibri" w:hAnsi="Calibri" w:cs="Calibri"/>
          </w:rPr>
          <w:t>https://doi.org/10.1017/S0003598X00099300</w:t>
        </w:r>
      </w:hyperlink>
    </w:p>
    <w:p w14:paraId="3FDFAF88"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Handley LL, Austin AT, Stewart GR, Robinson D, Scrimgeour CM, Raven JA, Heaton THE, Schmidt S (19</w:t>
      </w:r>
      <w:r>
        <w:rPr>
          <w:rFonts w:ascii="Calibri" w:eastAsia="Calibri" w:hAnsi="Calibri" w:cs="Calibri"/>
        </w:rPr>
        <w:t>99) The 15N natural abundances (δ15N) of ecosystem samples reflects measures of water availability. Aust J Plant Physiol 26(2):185-199. https://doi.org/10.1071/PP98146</w:t>
      </w:r>
    </w:p>
    <w:p w14:paraId="035DC19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Harrison RJ (2007) Majaladares (Spain): A Bronze Age village of farmers, hunters and her</w:t>
      </w:r>
      <w:r>
        <w:rPr>
          <w:rFonts w:ascii="Calibri" w:eastAsia="Calibri" w:hAnsi="Calibri" w:cs="Calibri"/>
        </w:rPr>
        <w:t>ders. Verlag Marie Leidorf GmbH, Rahden.</w:t>
      </w:r>
    </w:p>
    <w:p w14:paraId="3ED84E6A"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Harrison RJ, López GM, Legge AJ (1994) Moncín: un poblado de la Edad del Bronce (Borja, Zaragoza). Gobierno de Aragón, Departamento de Educación y Cultura, Zaragoza. </w:t>
      </w:r>
    </w:p>
    <w:p w14:paraId="0B4517D2"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lastRenderedPageBreak/>
        <w:t>Hedges REM (2003) On bone collagen—apatite–carbo</w:t>
      </w:r>
      <w:r>
        <w:rPr>
          <w:rFonts w:ascii="Calibri" w:eastAsia="Calibri" w:hAnsi="Calibri" w:cs="Calibri"/>
        </w:rPr>
        <w:t xml:space="preserve">nate isotopic relationships. Int J Ostearchaeol 13(1-2):66-79. </w:t>
      </w:r>
      <w:hyperlink r:id="rId45">
        <w:r>
          <w:rPr>
            <w:rFonts w:ascii="Calibri" w:eastAsia="Calibri" w:hAnsi="Calibri" w:cs="Calibri"/>
          </w:rPr>
          <w:t>https://doi.org/10.1002/oa.660</w:t>
        </w:r>
      </w:hyperlink>
    </w:p>
    <w:p w14:paraId="74AF888F"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Hedges REM, </w:t>
      </w:r>
      <w:r>
        <w:rPr>
          <w:rFonts w:ascii="Calibri" w:eastAsia="Calibri" w:hAnsi="Calibri" w:cs="Calibri"/>
        </w:rPr>
        <w:t xml:space="preserve">Reynard LM (2007) Nitrogen isotopes and the trophic level of humans in archaeology. J Archaeol Sci 34(8):1240-1251. </w:t>
      </w:r>
      <w:hyperlink r:id="rId46">
        <w:r>
          <w:rPr>
            <w:rFonts w:ascii="Calibri" w:eastAsia="Calibri" w:hAnsi="Calibri" w:cs="Calibri"/>
          </w:rPr>
          <w:t>https://doi.org/10.1016/j.jas.2006.10.015</w:t>
        </w:r>
      </w:hyperlink>
    </w:p>
    <w:p w14:paraId="0D16DBC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Hedges REM, Thompson J, Hull BD (2005) Stable isotope variation in wool as a means to establish Turkish carpet provenance. Rapid Commun Mass Spectrom 19(22):3187-3191. </w:t>
      </w:r>
      <w:hyperlink r:id="rId47">
        <w:r>
          <w:rPr>
            <w:rFonts w:ascii="Calibri" w:eastAsia="Calibri" w:hAnsi="Calibri" w:cs="Calibri"/>
          </w:rPr>
          <w:t>https://doi.org/10.1002/rcm.2118</w:t>
        </w:r>
      </w:hyperlink>
    </w:p>
    <w:p w14:paraId="40F9FE4A"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Hedges REM, Clement JG, Thomas CDL, O’Connell TC (2007) Collagen turnover in the adu</w:t>
      </w:r>
      <w:r>
        <w:rPr>
          <w:rFonts w:ascii="Calibri" w:eastAsia="Calibri" w:hAnsi="Calibri" w:cs="Calibri"/>
        </w:rPr>
        <w:t xml:space="preserve">lt femoral mid-shaft: modelled from anthropogenic radiocarbon tracer measurements. Am J Phys Anthropol 133(2):808-816. </w:t>
      </w:r>
      <w:hyperlink r:id="rId48">
        <w:r>
          <w:rPr>
            <w:rFonts w:ascii="Calibri" w:eastAsia="Calibri" w:hAnsi="Calibri" w:cs="Calibri"/>
          </w:rPr>
          <w:t>https://doi.org/10.1002/ajpa.20598</w:t>
        </w:r>
      </w:hyperlink>
    </w:p>
    <w:p w14:paraId="519D4209"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Hickinbotham S, Fiddyment S, Stinson TL, Collins MJ (2020) How to get your goat: automated identification of species from MALDI-ToF spectra. Bioinform 36(12):3719-3725. </w:t>
      </w:r>
      <w:hyperlink r:id="rId49">
        <w:r>
          <w:rPr>
            <w:rFonts w:ascii="Calibri" w:eastAsia="Calibri" w:hAnsi="Calibri" w:cs="Calibri"/>
          </w:rPr>
          <w:t>https://doi.org/10.1093/bioinformatics/btaa181</w:t>
        </w:r>
      </w:hyperlink>
    </w:p>
    <w:p w14:paraId="18FB355A"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Jones JR, Maeso CV, Ballestero EC, Martín LV, Arceo MED, M</w:t>
      </w:r>
      <w:r>
        <w:rPr>
          <w:rFonts w:ascii="Calibri" w:eastAsia="Calibri" w:hAnsi="Calibri" w:cs="Calibri"/>
        </w:rPr>
        <w:t>arín-Arroyo AB (2019) Investigating prehistoric diet and lifeways of early farmers in central northern Spain (3000–1500 CAL BC) using stable isotope techniques. Archaeol Anthropol Sci 11(8):3979-3994. https://doi.org/10.1007/s12520-019-00841-4</w:t>
      </w:r>
    </w:p>
    <w:p w14:paraId="783A8E9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Kirby DP, Buckley M, Promise E, Trauger S, Holdcraft TR (2013) Identification of collagen-based materials in cultural heritage. Analyst 138(17):4849-4858. </w:t>
      </w:r>
      <w:hyperlink r:id="rId50">
        <w:r>
          <w:rPr>
            <w:rFonts w:ascii="Calibri" w:eastAsia="Calibri" w:hAnsi="Calibri" w:cs="Calibri"/>
          </w:rPr>
          <w:t>https://doi.org/10.1039/C3AN00925D</w:t>
        </w:r>
      </w:hyperlink>
    </w:p>
    <w:p w14:paraId="797E23D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Knipper C, Rihuete-Herrada C, Voltas J, Held P, Lull V, Micó R, Risch R, Alt KW (2020) Reconstructing Bronze Age diets and farming strategies at the early Bronze Ag</w:t>
      </w:r>
      <w:r>
        <w:rPr>
          <w:rFonts w:ascii="Calibri" w:eastAsia="Calibri" w:hAnsi="Calibri" w:cs="Calibri"/>
        </w:rPr>
        <w:t xml:space="preserve">e sites of La Bastida and Gatas (southeast Iberia) using stable isotope analysis. PLoS ONE 15(3):e0229398. </w:t>
      </w:r>
      <w:hyperlink r:id="rId51">
        <w:r>
          <w:rPr>
            <w:rFonts w:ascii="Calibri" w:eastAsia="Calibri" w:hAnsi="Calibri" w:cs="Calibri"/>
          </w:rPr>
          <w:t>https://doi.org/10.1371/journal.pone.0229398</w:t>
        </w:r>
      </w:hyperlink>
    </w:p>
    <w:p w14:paraId="7731738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Kragten J (1994) Tutorial review. Calculating standard deviations and confidence intervals with a universally applicable spreadsheet technique. Analyst 119(10):2161-2165. </w:t>
      </w:r>
      <w:hyperlink r:id="rId52">
        <w:r>
          <w:rPr>
            <w:rFonts w:ascii="Calibri" w:eastAsia="Calibri" w:hAnsi="Calibri" w:cs="Calibri"/>
          </w:rPr>
          <w:t>https://doi.org/10.1039/AN99419</w:t>
        </w:r>
        <w:r>
          <w:rPr>
            <w:rFonts w:ascii="Calibri" w:eastAsia="Calibri" w:hAnsi="Calibri" w:cs="Calibri"/>
          </w:rPr>
          <w:t>02161</w:t>
        </w:r>
      </w:hyperlink>
    </w:p>
    <w:p w14:paraId="3F29D118"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Krajcarz M, Krajcarz MT, Baca M, Baumann C, Van Neer W, Popović D, Sudoł-Procyk M, Wach B, Wilczyński J, Wojenka M, Bocherens H (2020) Ancesto</w:t>
      </w:r>
      <w:r>
        <w:rPr>
          <w:rFonts w:ascii="Calibri" w:eastAsia="Calibri" w:hAnsi="Calibri" w:cs="Calibri"/>
        </w:rPr>
        <w:t xml:space="preserve">rs of domestic cats in Neolithic Central Europe: Isotopic evidence of a synanthropic diet. PNAS 117(30):17710-17719. </w:t>
      </w:r>
      <w:hyperlink r:id="rId53">
        <w:r>
          <w:rPr>
            <w:rFonts w:ascii="Calibri" w:eastAsia="Calibri" w:hAnsi="Calibri" w:cs="Calibri"/>
          </w:rPr>
          <w:t>https://doi.org/10.1073/pnas.1918884117</w:t>
        </w:r>
      </w:hyperlink>
    </w:p>
    <w:p w14:paraId="42475179"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Lalueza-Fox C (1998) Stature and sexual dimorphism in ancient Iberian populations. Homo J Comp Hum Biol 49(3): 260-272</w:t>
      </w:r>
    </w:p>
    <w:p w14:paraId="450D5AEF"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lastRenderedPageBreak/>
        <w:t>Larsen C (2003) Animal source foods and human health during evolutio</w:t>
      </w:r>
      <w:r>
        <w:rPr>
          <w:rFonts w:ascii="Calibri" w:eastAsia="Calibri" w:hAnsi="Calibri" w:cs="Calibri"/>
        </w:rPr>
        <w:t>n. J Nutr 133(11): 3893S–3897S. https://doi.org/10.1093/jn/133.11.3893S</w:t>
      </w:r>
    </w:p>
    <w:p w14:paraId="2C6663B5"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Legge AJ (1994) Restos faunísticos y su interpretación. Animal remains and their interpretation. In: Harrison RJ, López GM, Legge AJ (eds) Moncín: un poblado de la Edad del Bronce (Bor</w:t>
      </w:r>
      <w:r>
        <w:rPr>
          <w:rFonts w:ascii="Calibri" w:eastAsia="Calibri" w:hAnsi="Calibri" w:cs="Calibri"/>
        </w:rPr>
        <w:t>ja, Zaragoza). Gobierno de Aragón, Departamento de Educación y Cultura, Zaragoza, pp 453-482</w:t>
      </w:r>
    </w:p>
    <w:p w14:paraId="6F0BEB45"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Legge AJ (2007) Animals and economy at Majaladares. In: Harrison RJ (ed) Majaladares (Spain): A Bronze Age village of farmers, hunters and herders. Verlag Marie Le</w:t>
      </w:r>
      <w:r>
        <w:rPr>
          <w:rFonts w:ascii="Calibri" w:eastAsia="Calibri" w:hAnsi="Calibri" w:cs="Calibri"/>
        </w:rPr>
        <w:t>idorf GmbH, Rahden, pp 167-182</w:t>
      </w:r>
    </w:p>
    <w:p w14:paraId="374DB213"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Lillios KT (2019) The Emergence of Ranked Societies: The Late Copper Age to Early Bronze Age (2,500–1,500 BCE). In: Lillios KT (ed) The Archaeology of the Iberian Peninsula: From the Paleolithic to the Bronze Age. Cambridge U</w:t>
      </w:r>
      <w:r>
        <w:rPr>
          <w:rFonts w:ascii="Calibri" w:eastAsia="Calibri" w:hAnsi="Calibri" w:cs="Calibri"/>
        </w:rPr>
        <w:t>niversity Press, Cambridge, pp 27-292</w:t>
      </w:r>
    </w:p>
    <w:p w14:paraId="3AB54E0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Longin R (1971) New method of collagen extraction for radiocarbon dating. Nature 230:241-242. https://doi.org/10.1038/230241a0</w:t>
      </w:r>
    </w:p>
    <w:p w14:paraId="5880500B"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López-Costas O, Alexander M (2019) Paleodiet in the Iberian Peninsula: exploring the connec</w:t>
      </w:r>
      <w:r>
        <w:rPr>
          <w:rFonts w:ascii="Calibri" w:eastAsia="Calibri" w:hAnsi="Calibri" w:cs="Calibri"/>
        </w:rPr>
        <w:t>tions between diet, culture, disease and environment using isotopic and osteoarchaeological evidence. Archaeol Anthropol Sci 11(8):3653-3664. https://doi.org/10.1007/s12520-019-00886-5</w:t>
      </w:r>
    </w:p>
    <w:p w14:paraId="4D8B917C"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López-Costas O, Müldner G, Martínez Cortizas A (2015) Diet and lifestyl</w:t>
      </w:r>
      <w:r>
        <w:rPr>
          <w:rFonts w:ascii="Calibri" w:eastAsia="Calibri" w:hAnsi="Calibri" w:cs="Calibri"/>
        </w:rPr>
        <w:t xml:space="preserve">e in Bronze Age Northwest Spain: the collective burial of Cova do Santo. J Archaeol Sci 55:209-218. </w:t>
      </w:r>
      <w:hyperlink r:id="rId54">
        <w:r>
          <w:rPr>
            <w:rFonts w:ascii="Calibri" w:eastAsia="Calibri" w:hAnsi="Calibri" w:cs="Calibri"/>
          </w:rPr>
          <w:t>https://doi.org/10.1016/j.jas.2015.01.009</w:t>
        </w:r>
      </w:hyperlink>
    </w:p>
    <w:p w14:paraId="7E591391"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Lozanoff S, Sciulli PW, Schneider KN (1985) Third trochanter incidence and metric trait covariation in the human femur. J Anat 143:149-159.  </w:t>
      </w:r>
    </w:p>
    <w:p w14:paraId="3A50937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Lull V, Micó R, Rihuette Herrada C, Risch R (2011) El Arg</w:t>
      </w:r>
      <w:r>
        <w:rPr>
          <w:rFonts w:ascii="Calibri" w:eastAsia="Calibri" w:hAnsi="Calibri" w:cs="Calibri"/>
        </w:rPr>
        <w:t>ar and the beginning of class society in the western Mediterranean. In: Hansen S, Müller J (eds) Sozialarchäologische Perspektiven: gesellschaftlicher Wandel 5000–1500 v Chr zwischen Atlantik und Kaukasus. Deutsches Archäologisches Institut, Von Zabern, Be</w:t>
      </w:r>
      <w:r>
        <w:rPr>
          <w:rFonts w:ascii="Calibri" w:eastAsia="Calibri" w:hAnsi="Calibri" w:cs="Calibri"/>
        </w:rPr>
        <w:t>rlin, pp 381-414</w:t>
      </w:r>
    </w:p>
    <w:p w14:paraId="40371F51"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Lull V, Micó R, Rihuette C, Risch R (2015) Transition and conflict at the end of the 3rd millennium BC in south Iberia. In: Meller H, Arz H-W, Jung R, Risch R (eds) Proceedings of the 2200 BC–A climatic breakdown as a cause for the collaps</w:t>
      </w:r>
      <w:r>
        <w:rPr>
          <w:rFonts w:ascii="Calibri" w:eastAsia="Calibri" w:hAnsi="Calibri" w:cs="Calibri"/>
        </w:rPr>
        <w:t>e of the old world? Landesmuseum für Vorgeschichte, Halle, pp 365-407</w:t>
      </w:r>
    </w:p>
    <w:p w14:paraId="1DB93866"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Mays S, Vincent S, Snow M, Robson-Brown K (2011) Concha bullosa, a neglected condition in palaeopathology. Int J Paleopathol 1(3-4): 184-187. https://doi.org/10.1016/j.ijpp.2012.02.002</w:t>
      </w:r>
    </w:p>
    <w:p w14:paraId="65B56FF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lastRenderedPageBreak/>
        <w:t>M</w:t>
      </w:r>
      <w:r>
        <w:rPr>
          <w:rFonts w:ascii="Calibri" w:eastAsia="Calibri" w:hAnsi="Calibri" w:cs="Calibri"/>
        </w:rPr>
        <w:t>ays S, Mavrogordato M, Lambert J, Sofaer J (2014) The prevalence and health implications of concha bullosa in a population from mediaeval England. Int J Ostearchaeol 24(5): 614-622. https://doi.org/10.1002/oa.2246</w:t>
      </w:r>
    </w:p>
    <w:p w14:paraId="7C94C7B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Molina‐González F, Nocete‐Calvo F, Delgado</w:t>
      </w:r>
      <w:r>
        <w:rPr>
          <w:rFonts w:ascii="Calibri" w:eastAsia="Calibri" w:hAnsi="Calibri" w:cs="Calibri"/>
        </w:rPr>
        <w:t>‐Huertas A, Cámara‐Serrano JA, Martínez‐Sánchez RM, Jiménez‐Brobéil S, Miranda‐León MT, Riquelme‐Cantal JA, Spanedda L, Pérez‐Bareas C, Lizcano‐Prestel R (2019) Diet and environment in south‐eastern Iberia during the Bronze Age, based on isotope analysis o</w:t>
      </w:r>
      <w:r>
        <w:rPr>
          <w:rFonts w:ascii="Calibri" w:eastAsia="Calibri" w:hAnsi="Calibri" w:cs="Calibri"/>
        </w:rPr>
        <w:t xml:space="preserve">f human remains. Oxf J Archaeol 38(2):189-213. </w:t>
      </w:r>
      <w:hyperlink r:id="rId55">
        <w:r>
          <w:rPr>
            <w:rFonts w:ascii="Calibri" w:eastAsia="Calibri" w:hAnsi="Calibri" w:cs="Calibri"/>
          </w:rPr>
          <w:t>https://doi.org/10.1111/ojoa.12164</w:t>
        </w:r>
      </w:hyperlink>
    </w:p>
    <w:p w14:paraId="72BFB7A3"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Mora-González A,</w:t>
      </w:r>
      <w:r>
        <w:rPr>
          <w:rFonts w:ascii="Calibri" w:eastAsia="Calibri" w:hAnsi="Calibri" w:cs="Calibri"/>
        </w:rPr>
        <w:t xml:space="preserve"> Delgado-Huertas A, Granados-Torres A, Contreras Cortés F, Jover Maestre FJ, López Padilla JA (2016) The isotopic footprint of irrigation in the western Mediterranean basin during the Bronze Age: the settlement of Terlinques, southeast Iberian Peninsula. V</w:t>
      </w:r>
      <w:r>
        <w:rPr>
          <w:rFonts w:ascii="Calibri" w:eastAsia="Calibri" w:hAnsi="Calibri" w:cs="Calibri"/>
        </w:rPr>
        <w:t>eget Hist Archaeobot 25(5):459-468. https://doi.org/10.1007/s00334-016-0560-4</w:t>
      </w:r>
    </w:p>
    <w:p w14:paraId="3FF4CC8B"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Mora-González A, Delgado-Huertas A, Granados-Torres A, Cortés FC, Soldevila IP, Espino DD (2018) Complex agriculture during the second millennium BC: isotope composition of carbo</w:t>
      </w:r>
      <w:r>
        <w:rPr>
          <w:rFonts w:ascii="Calibri" w:eastAsia="Calibri" w:hAnsi="Calibri" w:cs="Calibri"/>
        </w:rPr>
        <w:t>n studies (δ</w:t>
      </w:r>
      <w:r>
        <w:rPr>
          <w:rFonts w:ascii="Calibri" w:eastAsia="Calibri" w:hAnsi="Calibri" w:cs="Calibri"/>
          <w:vertAlign w:val="superscript"/>
        </w:rPr>
        <w:t>13</w:t>
      </w:r>
      <w:r>
        <w:rPr>
          <w:rFonts w:ascii="Calibri" w:eastAsia="Calibri" w:hAnsi="Calibri" w:cs="Calibri"/>
        </w:rPr>
        <w:t>C) in archaeological plants of the settlement Cerro del Castillo de Alange (SW Iberian Peninsula, Spain). Veget Hist Archaeobot 27(3):453-462. https://doi.org/10.1007/s00334-017-0634-y</w:t>
      </w:r>
    </w:p>
    <w:p w14:paraId="2D57D2BB"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Moreno-Larrazabal A, Teira-Brión A, Sopelana-Salcedo I, Arranz-Otaegui A, Zapata L (2015) Ethnobotany of millet cultivation in the north of the Iberian Peninsula. Veg Hist Archaeobotany 24(4):541–554. https://doi.org/10.1007/s00334-015-0518-y</w:t>
      </w:r>
    </w:p>
    <w:bookmarkStart w:id="16" w:name="_heading=h.44sinio" w:colFirst="0" w:colLast="0" w:displacedByCustomXml="next"/>
    <w:bookmarkEnd w:id="16" w:displacedByCustomXml="next"/>
    <w:sdt>
      <w:sdtPr>
        <w:tag w:val="goog_rdk_0"/>
        <w:id w:val="641006272"/>
      </w:sdtPr>
      <w:sdtEndPr/>
      <w:sdtContent>
        <w:p w14:paraId="1D3C086F" w14:textId="77777777" w:rsidR="00A23BE2" w:rsidRDefault="00307EB3">
          <w:pPr>
            <w:pStyle w:val="Heading4"/>
            <w:spacing w:before="240" w:after="240" w:line="360" w:lineRule="auto"/>
            <w:jc w:val="both"/>
            <w:rPr>
              <w:color w:val="000000"/>
              <w:sz w:val="22"/>
              <w:szCs w:val="22"/>
            </w:rPr>
          </w:pPr>
          <w:r>
            <w:rPr>
              <w:rFonts w:ascii="Calibri" w:eastAsia="Calibri" w:hAnsi="Calibri" w:cs="Calibri"/>
              <w:color w:val="000000"/>
              <w:sz w:val="22"/>
              <w:szCs w:val="22"/>
            </w:rPr>
            <w:t>Musgrave J (1</w:t>
          </w:r>
          <w:r>
            <w:rPr>
              <w:rFonts w:ascii="Calibri" w:eastAsia="Calibri" w:hAnsi="Calibri" w:cs="Calibri"/>
              <w:color w:val="000000"/>
              <w:sz w:val="22"/>
              <w:szCs w:val="22"/>
            </w:rPr>
            <w:t>994) Restos humanos. Human remains. In: Harrison RJ, López GM, Legge AJ (eds) Moncín: un poblado de la Edad del Bronce (Borja, Zaragoza). Gobierno de Aragón, Departamento de Educación y Cultura, Zaragoza, pp 513-518</w:t>
          </w:r>
        </w:p>
      </w:sdtContent>
    </w:sdt>
    <w:p w14:paraId="231C3C27"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Navarrete V, Colonese AC, Tornero C, A</w:t>
      </w:r>
      <w:r>
        <w:rPr>
          <w:rFonts w:ascii="Calibri" w:eastAsia="Calibri" w:hAnsi="Calibri" w:cs="Calibri"/>
        </w:rPr>
        <w:t xml:space="preserve">ntolin F, Von Tersch M, Eulàlia Subirà M, Comes P, Rosell‐Melé A, Saña M (2017) Feeding management strategies among the Early Neolithic pigs in the NE of the Iberian Peninsula. Int J Ostearchaeol 27(5):839-852. </w:t>
      </w:r>
      <w:hyperlink r:id="rId56">
        <w:r>
          <w:rPr>
            <w:rFonts w:ascii="Calibri" w:eastAsia="Calibri" w:hAnsi="Calibri" w:cs="Calibri"/>
          </w:rPr>
          <w:t>https://doi.org/10.1002/oa.2598</w:t>
        </w:r>
      </w:hyperlink>
    </w:p>
    <w:p w14:paraId="0D3C75F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O'Connell TC, Knealec CJ, Tasevska N, Kuhnle GGC (2012) The diet body offset in human nitrogen isotopic values: a con</w:t>
      </w:r>
      <w:r>
        <w:rPr>
          <w:rFonts w:ascii="Calibri" w:eastAsia="Calibri" w:hAnsi="Calibri" w:cs="Calibri"/>
        </w:rPr>
        <w:t xml:space="preserve">trolled dietary study. Am J Phys Anthropol 149(3):426-434. </w:t>
      </w:r>
      <w:hyperlink r:id="rId57">
        <w:r>
          <w:rPr>
            <w:rFonts w:ascii="Calibri" w:eastAsia="Calibri" w:hAnsi="Calibri" w:cs="Calibri"/>
          </w:rPr>
          <w:t>https://doi.org/10.1002/ajpa.22140</w:t>
        </w:r>
      </w:hyperlink>
    </w:p>
    <w:p w14:paraId="6387523C"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O’Le</w:t>
      </w:r>
      <w:r>
        <w:rPr>
          <w:rFonts w:ascii="Calibri" w:eastAsia="Calibri" w:hAnsi="Calibri" w:cs="Calibri"/>
        </w:rPr>
        <w:t xml:space="preserve">ary MH (1981) Carbon isotope fractionation in plants. Phytochem 20(4):553-567. </w:t>
      </w:r>
      <w:hyperlink r:id="rId58">
        <w:r>
          <w:rPr>
            <w:rFonts w:ascii="Calibri" w:eastAsia="Calibri" w:hAnsi="Calibri" w:cs="Calibri"/>
          </w:rPr>
          <w:t>https://doi.org/10.1016/0031-9422(81)85134-5</w:t>
        </w:r>
      </w:hyperlink>
    </w:p>
    <w:p w14:paraId="596AB42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Olalde I, Mallick S, Patterson N et al (2019). The genomic history of the Iberian Peninsula over the past 8000 years. Science 363(6432):1230-1234. https://doi.org/10.1126/science.aav4040</w:t>
      </w:r>
    </w:p>
    <w:p w14:paraId="6D8DBBF1" w14:textId="77777777" w:rsidR="00A23BE2" w:rsidRDefault="00307EB3">
      <w:pPr>
        <w:spacing w:before="240" w:after="240" w:line="360" w:lineRule="auto"/>
        <w:jc w:val="both"/>
        <w:rPr>
          <w:rFonts w:ascii="Calibri" w:eastAsia="Calibri" w:hAnsi="Calibri" w:cs="Calibri"/>
          <w:highlight w:val="white"/>
        </w:rPr>
      </w:pPr>
      <w:r>
        <w:rPr>
          <w:rFonts w:ascii="Calibri" w:eastAsia="Calibri" w:hAnsi="Calibri" w:cs="Calibri"/>
        </w:rPr>
        <w:lastRenderedPageBreak/>
        <w:t>Paniagua LL, García-Mar</w:t>
      </w:r>
      <w:r>
        <w:rPr>
          <w:rFonts w:ascii="Calibri" w:eastAsia="Calibri" w:hAnsi="Calibri" w:cs="Calibri"/>
        </w:rPr>
        <w:t xml:space="preserve">tín A, Moral FJ, Rebollo FJ (2019) Aridity in the Iberian Peninsula (1960–2017): Distribution, tendencies, and changes. Theor Appl Climatol 138(1):811-830. </w:t>
      </w:r>
      <w:hyperlink r:id="rId59">
        <w:r>
          <w:rPr>
            <w:rFonts w:ascii="Calibri" w:eastAsia="Calibri" w:hAnsi="Calibri" w:cs="Calibri"/>
          </w:rPr>
          <w:t>https://doi.org/10.1007/s00704-019-02866</w:t>
        </w:r>
        <w:r>
          <w:rPr>
            <w:rFonts w:ascii="Calibri" w:eastAsia="Calibri" w:hAnsi="Calibri" w:cs="Calibri"/>
          </w:rPr>
          <w:t>-0</w:t>
        </w:r>
      </w:hyperlink>
    </w:p>
    <w:p w14:paraId="716FF7D8"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Reitsema LJ (2013) Beyond diet reconstruction: stable isotope applications to human physiology, health, and nutrition. Am J Hum Biol 25(4):4</w:t>
      </w:r>
      <w:r>
        <w:rPr>
          <w:rFonts w:ascii="Calibri" w:eastAsia="Calibri" w:hAnsi="Calibri" w:cs="Calibri"/>
        </w:rPr>
        <w:t xml:space="preserve">45-456. </w:t>
      </w:r>
      <w:hyperlink r:id="rId60">
        <w:r>
          <w:rPr>
            <w:rFonts w:ascii="Calibri" w:eastAsia="Calibri" w:hAnsi="Calibri" w:cs="Calibri"/>
          </w:rPr>
          <w:t>https://doi.org/10.1002/ajhb.22398</w:t>
        </w:r>
      </w:hyperlink>
    </w:p>
    <w:p w14:paraId="6F841DD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Sarasketa-Gartzia I, Villalba-Mouco V, le Roux P, Arrizabalaga Á, Salazar-García DC (2018) Late Neolithic-Chalcolithic socio-economical dynamics in northern Iberia. A multi-isotope study on diet and provenance from Santimamiñe and Pico Ramos archaeological</w:t>
      </w:r>
      <w:r>
        <w:rPr>
          <w:rFonts w:ascii="Calibri" w:eastAsia="Calibri" w:hAnsi="Calibri" w:cs="Calibri"/>
        </w:rPr>
        <w:t xml:space="preserve"> sites (Basque Country, Spain). Quat Int 481:14-27. </w:t>
      </w:r>
      <w:hyperlink r:id="rId61">
        <w:r>
          <w:rPr>
            <w:rFonts w:ascii="Calibri" w:eastAsia="Calibri" w:hAnsi="Calibri" w:cs="Calibri"/>
          </w:rPr>
          <w:t>https://doi.org/10.1016/j.quaint.2017.05.049</w:t>
        </w:r>
      </w:hyperlink>
    </w:p>
    <w:p w14:paraId="3A7AA5F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Sarasketa-Gartzia I, Villalba-Mouco V, Le Roux P, Arrizabalaga Á, Salazar-García DC (2019) Anthropic resource exploitation and use of the territory at the onset of social complexity in the Neolithic-Chalcolithic Western Pyrenees: a multi-isotope approach. </w:t>
      </w:r>
      <w:r>
        <w:rPr>
          <w:rFonts w:ascii="Calibri" w:eastAsia="Calibri" w:hAnsi="Calibri" w:cs="Calibri"/>
        </w:rPr>
        <w:t>Archaeol Anthropol Sci 11(8):3665-3680. https://doi.org/10.1007/s12520-018-0678-7</w:t>
      </w:r>
    </w:p>
    <w:p w14:paraId="0E3EBABF"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Scheuer L, Black S (2000) Developmental juvenile osteology. Academic Press, London </w:t>
      </w:r>
    </w:p>
    <w:p w14:paraId="178EF114"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Schoeninger MJ, DeNiro MJ (1984) Nitrogen and carbon isotopic composition of bone collagen</w:t>
      </w:r>
      <w:r>
        <w:rPr>
          <w:rFonts w:ascii="Calibri" w:eastAsia="Calibri" w:hAnsi="Calibri" w:cs="Calibri"/>
        </w:rPr>
        <w:t xml:space="preserve"> from marine and terrestrial animals. Geochim Cosmochim Acta 48(4):625-639. </w:t>
      </w:r>
      <w:hyperlink r:id="rId62">
        <w:r>
          <w:rPr>
            <w:rFonts w:ascii="Calibri" w:eastAsia="Calibri" w:hAnsi="Calibri" w:cs="Calibri"/>
          </w:rPr>
          <w:t>https://doi.org/10.1016/0016-7037(84)90091-7</w:t>
        </w:r>
      </w:hyperlink>
    </w:p>
    <w:p w14:paraId="61C34EE0"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Schoeninger MJ, DeNiro MJ, Tauber H (1983) Stable nitrogen isotope ratios of bone collagen reflect marine and terrestrial components of prehistoric human diet. Science 220(4604):1381-1383. https://doi.org/10.1126/s</w:t>
      </w:r>
      <w:r>
        <w:rPr>
          <w:rFonts w:ascii="Calibri" w:eastAsia="Calibri" w:hAnsi="Calibri" w:cs="Calibri"/>
        </w:rPr>
        <w:t>cience.6344217</w:t>
      </w:r>
    </w:p>
    <w:p w14:paraId="1CB5D393"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Sherratt A (1983) The secondary exploitation of animals in the Old World. World archaeol 15(1):90-104. </w:t>
      </w:r>
      <w:hyperlink r:id="rId63">
        <w:r>
          <w:rPr>
            <w:rFonts w:ascii="Calibri" w:eastAsia="Calibri" w:hAnsi="Calibri" w:cs="Calibri"/>
          </w:rPr>
          <w:t>https://doi.org/10.1080/00438243.1983.9979887</w:t>
        </w:r>
      </w:hyperlink>
    </w:p>
    <w:p w14:paraId="06826CF9"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Smith BN, Epstein S (1971) Two categories of </w:t>
      </w:r>
      <w:r>
        <w:rPr>
          <w:rFonts w:ascii="Calibri" w:eastAsia="Calibri" w:hAnsi="Calibri" w:cs="Calibri"/>
          <w:vertAlign w:val="superscript"/>
        </w:rPr>
        <w:t>13</w:t>
      </w:r>
      <w:r>
        <w:rPr>
          <w:rFonts w:ascii="Calibri" w:eastAsia="Calibri" w:hAnsi="Calibri" w:cs="Calibri"/>
        </w:rPr>
        <w:t>C/</w:t>
      </w:r>
      <w:r>
        <w:rPr>
          <w:rFonts w:ascii="Calibri" w:eastAsia="Calibri" w:hAnsi="Calibri" w:cs="Calibri"/>
          <w:vertAlign w:val="superscript"/>
        </w:rPr>
        <w:t>12</w:t>
      </w:r>
      <w:r>
        <w:rPr>
          <w:rFonts w:ascii="Calibri" w:eastAsia="Calibri" w:hAnsi="Calibri" w:cs="Calibri"/>
        </w:rPr>
        <w:t xml:space="preserve">C ratios for higher plants. Plant Physiol 47(3):380-384. </w:t>
      </w:r>
      <w:hyperlink r:id="rId64">
        <w:r>
          <w:rPr>
            <w:rFonts w:ascii="Calibri" w:eastAsia="Calibri" w:hAnsi="Calibri" w:cs="Calibri"/>
          </w:rPr>
          <w:t>https://</w:t>
        </w:r>
        <w:r>
          <w:rPr>
            <w:rFonts w:ascii="Calibri" w:eastAsia="Calibri" w:hAnsi="Calibri" w:cs="Calibri"/>
          </w:rPr>
          <w:t>doi.org/10.1104/pp.47.3.380</w:t>
        </w:r>
      </w:hyperlink>
    </w:p>
    <w:p w14:paraId="549B3345"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Stevens RE, Lightfoot E, Hamilton J, Cunliffe BW, Hedges RE (2013) One for the master and one for the dame: stable isotop</w:t>
      </w:r>
      <w:r>
        <w:rPr>
          <w:rFonts w:ascii="Calibri" w:eastAsia="Calibri" w:hAnsi="Calibri" w:cs="Calibri"/>
        </w:rPr>
        <w:t>e investigations of Iron Age animal husbandry in the Danebury Environs. Archaeol Anthropol Sci 5(2):95-109. https://doi.org/10.1007/s12520-012-0114-3</w:t>
      </w:r>
    </w:p>
    <w:p w14:paraId="610ABB5A"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Stevens RE, Hermoso-Buxán XL, Marín-Arroyo AB, Gonzalez-Morales MR, Straus LG (2014) Investigation of Late</w:t>
      </w:r>
      <w:r>
        <w:rPr>
          <w:rFonts w:ascii="Calibri" w:eastAsia="Calibri" w:hAnsi="Calibri" w:cs="Calibri"/>
        </w:rPr>
        <w:t xml:space="preserve"> Pleistocene and Early Holocene palaeoenvironmental change at El Mirón cave (Cantabria, Spain): Insights </w:t>
      </w:r>
      <w:r>
        <w:rPr>
          <w:rFonts w:ascii="Calibri" w:eastAsia="Calibri" w:hAnsi="Calibri" w:cs="Calibri"/>
        </w:rPr>
        <w:lastRenderedPageBreak/>
        <w:t xml:space="preserve">from carbon and nitrogen isotope analyses of red deer. Palaeogeogr, Palaeoclimatol, Palaeoecol 414:46-60. </w:t>
      </w:r>
      <w:hyperlink r:id="rId65">
        <w:r>
          <w:rPr>
            <w:rFonts w:ascii="Calibri" w:eastAsia="Calibri" w:hAnsi="Calibri" w:cs="Calibri"/>
          </w:rPr>
          <w:t>https://doi.org/10.1016/j.palaeo.2014.05.049</w:t>
        </w:r>
      </w:hyperlink>
    </w:p>
    <w:p w14:paraId="73C24B00"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Strohalm M, Kavan D, Novak P, Volny M, Havlicek V (2010) mMass 3: a cross-plat</w:t>
      </w:r>
      <w:r>
        <w:rPr>
          <w:rFonts w:ascii="Calibri" w:eastAsia="Calibri" w:hAnsi="Calibri" w:cs="Calibri"/>
        </w:rPr>
        <w:t xml:space="preserve">form software environment for precise analysis of mass spectrometric data. Anal Chem 82(11):4648-4651. </w:t>
      </w:r>
      <w:hyperlink r:id="rId66">
        <w:r>
          <w:rPr>
            <w:rFonts w:ascii="Calibri" w:eastAsia="Calibri" w:hAnsi="Calibri" w:cs="Calibri"/>
          </w:rPr>
          <w:t>https://doi.org/10.1021/ac100818g</w:t>
        </w:r>
      </w:hyperlink>
    </w:p>
    <w:p w14:paraId="7FC440FF"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Szpak P (2014) Complexities of nitrogen isotope biogeochemistry in plant-soil systems: implications for the study of ancient agricultural and animal management practices. Front Plant Sci 5:288. </w:t>
      </w:r>
      <w:hyperlink r:id="rId67">
        <w:r>
          <w:rPr>
            <w:rFonts w:ascii="Calibri" w:eastAsia="Calibri" w:hAnsi="Calibri" w:cs="Calibri"/>
          </w:rPr>
          <w:t>https://doi.org/10.3389/fpls.2014.00288</w:t>
        </w:r>
      </w:hyperlink>
    </w:p>
    <w:p w14:paraId="26FE7C89"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 xml:space="preserve">Szpak P, Millaire JF, White CD, Longstaffe FJ (2014) Small scale camelid </w:t>
      </w:r>
      <w:r>
        <w:rPr>
          <w:rFonts w:ascii="Calibri" w:eastAsia="Calibri" w:hAnsi="Calibri" w:cs="Calibri"/>
        </w:rPr>
        <w:t xml:space="preserve">husbandry on the north coast of Peru (Virú Valley): insight from stable isotope analysis. J Anthropol Archaeol 36:110-129. </w:t>
      </w:r>
      <w:hyperlink r:id="rId68">
        <w:r>
          <w:rPr>
            <w:rFonts w:ascii="Calibri" w:eastAsia="Calibri" w:hAnsi="Calibri" w:cs="Calibri"/>
          </w:rPr>
          <w:t>https://doi.org/10.1016/j.jaa.2014.08.005</w:t>
        </w:r>
      </w:hyperlink>
    </w:p>
    <w:p w14:paraId="0BFC5E07"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Tarongi Chavarri M (2017) Análisis comparativo de los estudios carpológicos de la Depresión del Ebro durante el III y I milenio a. C. Un estado de la cuestión. Revista d'arqueologia de Ponent 27:41-59.</w:t>
      </w:r>
    </w:p>
    <w:p w14:paraId="6BAFE63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Tornero C, Aguilera M, Ferrio JP, Arcusa H, Moreno-Gar</w:t>
      </w:r>
      <w:r>
        <w:rPr>
          <w:rFonts w:ascii="Calibri" w:eastAsia="Calibri" w:hAnsi="Calibri" w:cs="Calibri"/>
        </w:rPr>
        <w:t>cía M, García-Reig S, Rojo-Guerra M (2018) Vertical sheep mobility along the altitudinal gradient through stable isotope analyses in tooth molar bioapatite, meteoric water and pastures: a reference from the Ebro valley to the Central Pyrenees. Quat Int 484</w:t>
      </w:r>
      <w:r>
        <w:rPr>
          <w:rFonts w:ascii="Calibri" w:eastAsia="Calibri" w:hAnsi="Calibri" w:cs="Calibri"/>
        </w:rPr>
        <w:t xml:space="preserve">:94-106. </w:t>
      </w:r>
      <w:hyperlink r:id="rId69">
        <w:r>
          <w:rPr>
            <w:rFonts w:ascii="Calibri" w:eastAsia="Calibri" w:hAnsi="Calibri" w:cs="Calibri"/>
          </w:rPr>
          <w:t>https://doi.org/10.1016/j.quaint.2016.11.042</w:t>
        </w:r>
      </w:hyperlink>
    </w:p>
    <w:p w14:paraId="5620BF19"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van Klinken GJ (1999) Bo</w:t>
      </w:r>
      <w:r>
        <w:rPr>
          <w:rFonts w:ascii="Calibri" w:eastAsia="Calibri" w:hAnsi="Calibri" w:cs="Calibri"/>
        </w:rPr>
        <w:t xml:space="preserve">ne collagen quality indicators for palaeodietary and radiocarbon measurements. J Archaeol Sci 26:687-695. </w:t>
      </w:r>
      <w:hyperlink r:id="rId70">
        <w:r>
          <w:rPr>
            <w:rFonts w:ascii="Calibri" w:eastAsia="Calibri" w:hAnsi="Calibri" w:cs="Calibri"/>
          </w:rPr>
          <w:t>https://doi.org/10.1006/jasc.1998.0385</w:t>
        </w:r>
      </w:hyperlink>
    </w:p>
    <w:p w14:paraId="4150158C"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Villalba-Mouco V, Sauqué V, Sarasketa-Gartzia I, Pastor MV, le Roux PJ, Vicente D, Utrilla P, Salazar-García DC (2018a) Territorial mobility and subsistence strategies during the Ebro Basin Late Neolith</w:t>
      </w:r>
      <w:r>
        <w:rPr>
          <w:rFonts w:ascii="Calibri" w:eastAsia="Calibri" w:hAnsi="Calibri" w:cs="Calibri"/>
        </w:rPr>
        <w:t xml:space="preserve">ic-Chalcolithic: a multi-isotope approach from San Juan cave (Loarre, Spain). Quat Int 481:28-41. </w:t>
      </w:r>
      <w:hyperlink r:id="rId71">
        <w:r>
          <w:rPr>
            <w:rFonts w:ascii="Calibri" w:eastAsia="Calibri" w:hAnsi="Calibri" w:cs="Calibri"/>
          </w:rPr>
          <w:t>https://doi.org/10.1016/j.quaint.2017.05.051</w:t>
        </w:r>
      </w:hyperlink>
    </w:p>
    <w:p w14:paraId="3857722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Villalba‐Mouco V, Utrilla P, Laborda R, Lorenzo JI, Martínez‐Labarga C, Salazar‐García DC (2018b). Reconstruction of human subsistence and husbandry strategies from the Iberian Early Neolithic</w:t>
      </w:r>
      <w:r>
        <w:rPr>
          <w:rFonts w:ascii="Calibri" w:eastAsia="Calibri" w:hAnsi="Calibri" w:cs="Calibri"/>
        </w:rPr>
        <w:t>: A stable isotope approach. Am J Phys Anthropol 167(2):257-271. https://doi.org/10.1002/ajpa.23622</w:t>
      </w:r>
    </w:p>
    <w:p w14:paraId="0DC40BC8"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Villalba-Mouco V, Sarasketa-Gartzia I, Utrilla P, Oms FX, Mazo C, Mendiela S, Cebrià A, Salazar-Garcia DC (2019) Stable isotope ratio analysis of bone colla</w:t>
      </w:r>
      <w:r>
        <w:rPr>
          <w:rFonts w:ascii="Calibri" w:eastAsia="Calibri" w:hAnsi="Calibri" w:cs="Calibri"/>
        </w:rPr>
        <w:t xml:space="preserve">gen as indicator of different dietary habits and environment </w:t>
      </w:r>
      <w:r>
        <w:rPr>
          <w:rFonts w:ascii="Calibri" w:eastAsia="Calibri" w:hAnsi="Calibri" w:cs="Calibri"/>
        </w:rPr>
        <w:lastRenderedPageBreak/>
        <w:t>conditions in northeastern Iberia during the 4th and 3rd millennium cal B.C. Archaeol Anthropol Sci 11(8):3931-3947. https://doi.org/10.1007/s12520-018-0657-z</w:t>
      </w:r>
    </w:p>
    <w:p w14:paraId="3504AC8E"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Villalba-Mouco V, Oliart C, Rihuete-</w:t>
      </w:r>
      <w:r>
        <w:rPr>
          <w:rFonts w:ascii="Calibri" w:eastAsia="Calibri" w:hAnsi="Calibri" w:cs="Calibri"/>
        </w:rPr>
        <w:t>Herrada C et al (2021) Genomic transformation and social organization during the Copper Age-Bronze Age transition in southern Iberia. Sci Adv 7(47), eabi7038. https://www.science.org/doi/abs/10.1126/sciadv.abi7038</w:t>
      </w:r>
    </w:p>
    <w:p w14:paraId="0F5CA692"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Waterman AJ, Tykot RH, Silva AM (2016) Sta</w:t>
      </w:r>
      <w:r>
        <w:rPr>
          <w:rFonts w:ascii="Calibri" w:eastAsia="Calibri" w:hAnsi="Calibri" w:cs="Calibri"/>
        </w:rPr>
        <w:t xml:space="preserve">ble isotope analysis of diet‐based social differentiation at late Prehistoric collective burials in south‐western Portugal. Archaeometry 58(1):131-151. </w:t>
      </w:r>
      <w:hyperlink r:id="rId72">
        <w:r>
          <w:rPr>
            <w:rFonts w:ascii="Calibri" w:eastAsia="Calibri" w:hAnsi="Calibri" w:cs="Calibri"/>
          </w:rPr>
          <w:t>https://doi.org/10.1111/arcm.12159</w:t>
        </w:r>
      </w:hyperlink>
    </w:p>
    <w:p w14:paraId="706EE07D" w14:textId="77777777" w:rsidR="00A23BE2" w:rsidRDefault="00307EB3">
      <w:pPr>
        <w:spacing w:before="240" w:after="240" w:line="360" w:lineRule="auto"/>
        <w:jc w:val="both"/>
        <w:rPr>
          <w:rFonts w:ascii="Calibri" w:eastAsia="Calibri" w:hAnsi="Calibri" w:cs="Calibri"/>
        </w:rPr>
      </w:pPr>
      <w:r>
        <w:rPr>
          <w:rFonts w:ascii="Calibri" w:eastAsia="Calibri" w:hAnsi="Calibri" w:cs="Calibri"/>
        </w:rPr>
        <w:t>Wetterstrom W (1994) Plantas carbonizadas. Carbonized plants remains. In: Harrison RJ, López GM, Legge AJ (eds) Moncín: un poblado de la Edad del Bronce (Borja, Zaragoz</w:t>
      </w:r>
      <w:r>
        <w:rPr>
          <w:rFonts w:ascii="Calibri" w:eastAsia="Calibri" w:hAnsi="Calibri" w:cs="Calibri"/>
        </w:rPr>
        <w:t>a). Gobierno de Aragón, Departamento de Educación y Cultura, Zaragoza, pp 483-509</w:t>
      </w:r>
      <w:r>
        <w:br w:type="page"/>
      </w:r>
    </w:p>
    <w:p w14:paraId="68A7171D" w14:textId="77777777" w:rsidR="00A23BE2" w:rsidRDefault="00307EB3">
      <w:pPr>
        <w:pStyle w:val="Heading4"/>
        <w:spacing w:before="240" w:after="240" w:line="360" w:lineRule="auto"/>
        <w:jc w:val="both"/>
        <w:rPr>
          <w:rFonts w:ascii="Calibri" w:eastAsia="Calibri" w:hAnsi="Calibri" w:cs="Calibri"/>
          <w:b/>
          <w:color w:val="000000"/>
        </w:rPr>
      </w:pPr>
      <w:bookmarkStart w:id="17" w:name="_heading=h.2jxsxqh" w:colFirst="0" w:colLast="0"/>
      <w:bookmarkEnd w:id="17"/>
      <w:r>
        <w:rPr>
          <w:rFonts w:ascii="Calibri" w:eastAsia="Calibri" w:hAnsi="Calibri" w:cs="Calibri"/>
          <w:b/>
          <w:color w:val="000000"/>
        </w:rPr>
        <w:lastRenderedPageBreak/>
        <w:t>Figures</w:t>
      </w:r>
    </w:p>
    <w:p w14:paraId="6D2EAF8A" w14:textId="77777777" w:rsidR="00A23BE2" w:rsidRDefault="00307EB3">
      <w:pPr>
        <w:keepLines/>
        <w:widowControl w:val="0"/>
        <w:spacing w:before="240" w:after="240" w:line="360" w:lineRule="auto"/>
        <w:jc w:val="both"/>
        <w:rPr>
          <w:rFonts w:ascii="Calibri" w:eastAsia="Calibri" w:hAnsi="Calibri" w:cs="Calibri"/>
          <w:sz w:val="24"/>
          <w:szCs w:val="24"/>
        </w:rPr>
      </w:pPr>
      <w:r>
        <w:rPr>
          <w:rFonts w:ascii="Calibri" w:eastAsia="Calibri" w:hAnsi="Calibri" w:cs="Calibri"/>
          <w:b/>
          <w:sz w:val="24"/>
          <w:szCs w:val="24"/>
        </w:rPr>
        <w:t>Fig. 1</w:t>
      </w:r>
      <w:r>
        <w:rPr>
          <w:rFonts w:ascii="Calibri" w:eastAsia="Calibri" w:hAnsi="Calibri" w:cs="Calibri"/>
          <w:sz w:val="24"/>
          <w:szCs w:val="24"/>
        </w:rPr>
        <w:t xml:space="preserve"> Map of the Iberian Peninsula indicating the location of the sites under study (Moncín, Majaladares, El Estrechuelo, El Balcón) with comparative sites from nor</w:t>
      </w:r>
      <w:r>
        <w:rPr>
          <w:rFonts w:ascii="Calibri" w:eastAsia="Calibri" w:hAnsi="Calibri" w:cs="Calibri"/>
          <w:sz w:val="24"/>
          <w:szCs w:val="24"/>
        </w:rPr>
        <w:t>thern Iberia: Cova do Santo (1), Los Avellanos Cave (2), Abrigo de la Castañera (3), El Mirón (4), Pico Ramos (5), Santimamiñe (6), Karea (7), Kurtzebide (8), Ondarre and Esnaurreta II (9), Cueva de Abauntz (10), Arroyal I, Fuente Celada and Ferrocarril-La</w:t>
      </w:r>
      <w:r>
        <w:rPr>
          <w:rFonts w:ascii="Calibri" w:eastAsia="Calibri" w:hAnsi="Calibri" w:cs="Calibri"/>
          <w:sz w:val="24"/>
          <w:szCs w:val="24"/>
        </w:rPr>
        <w:t xml:space="preserve"> Dehesa (11), El Hornazo (12), La Cascaja (13), Las Yurdinas II (14), Los Husos I (15), Peña Larga (16), Hipogeo de Longar (17), El Sotillo (18), San Martín (19), Alto de la Huesera (20), Chabola de la Hechicera (21),  La Atalayuela (22), San Juan Cave (23</w:t>
      </w:r>
      <w:r>
        <w:rPr>
          <w:rFonts w:ascii="Calibri" w:eastAsia="Calibri" w:hAnsi="Calibri" w:cs="Calibri"/>
          <w:sz w:val="24"/>
          <w:szCs w:val="24"/>
        </w:rPr>
        <w:t>), Minferri (24) Cova de la Guineu (25) and Can Roqueta (26). Some sites are plotted together due to their proximity. Coordinates of the sites can be found in Table S1. Map by Helen Goodchild, Department of Archaeology, University of York.</w:t>
      </w:r>
    </w:p>
    <w:p w14:paraId="33113293" w14:textId="77777777" w:rsidR="00A23BE2" w:rsidRDefault="00307EB3">
      <w:pPr>
        <w:spacing w:before="240" w:after="240" w:line="360" w:lineRule="auto"/>
        <w:jc w:val="both"/>
        <w:rPr>
          <w:rFonts w:ascii="Calibri" w:eastAsia="Calibri" w:hAnsi="Calibri" w:cs="Calibri"/>
          <w:sz w:val="24"/>
          <w:szCs w:val="24"/>
          <w:highlight w:val="white"/>
        </w:rPr>
      </w:pPr>
      <w:r>
        <w:rPr>
          <w:rFonts w:ascii="Calibri" w:eastAsia="Calibri" w:hAnsi="Calibri" w:cs="Calibri"/>
          <w:b/>
          <w:sz w:val="24"/>
          <w:szCs w:val="24"/>
          <w:highlight w:val="white"/>
        </w:rPr>
        <w:t>Fig. 2</w:t>
      </w:r>
      <w:r>
        <w:rPr>
          <w:rFonts w:ascii="Calibri" w:eastAsia="Calibri" w:hAnsi="Calibri" w:cs="Calibri"/>
          <w:sz w:val="24"/>
          <w:szCs w:val="24"/>
          <w:highlight w:val="white"/>
        </w:rPr>
        <w:t xml:space="preserve"> Percentage of species identified in the zooarchaeological record based on MNI in the sites of Moncín (a) and Majaladares (b) exterior</w:t>
      </w:r>
    </w:p>
    <w:p w14:paraId="35CE0B8B" w14:textId="77777777" w:rsidR="00A23BE2" w:rsidRDefault="00307EB3">
      <w:pPr>
        <w:spacing w:before="240" w:after="240" w:line="360" w:lineRule="auto"/>
        <w:jc w:val="both"/>
        <w:rPr>
          <w:sz w:val="28"/>
          <w:szCs w:val="28"/>
        </w:rPr>
      </w:pPr>
      <w:r>
        <w:rPr>
          <w:rFonts w:ascii="Calibri" w:eastAsia="Calibri" w:hAnsi="Calibri" w:cs="Calibri"/>
          <w:b/>
          <w:sz w:val="24"/>
          <w:szCs w:val="24"/>
          <w:highlight w:val="white"/>
        </w:rPr>
        <w:t>Fig. 3</w:t>
      </w:r>
      <w:r>
        <w:rPr>
          <w:rFonts w:ascii="Calibri" w:eastAsia="Calibri" w:hAnsi="Calibri" w:cs="Calibri"/>
          <w:sz w:val="24"/>
          <w:szCs w:val="24"/>
          <w:highlight w:val="white"/>
        </w:rPr>
        <w:t xml:space="preserve"> Number of identified fragments and species obtained from the ZooMS data in Moncín (a) and Majaladares (b)</w:t>
      </w:r>
    </w:p>
    <w:p w14:paraId="3C9D9AAE" w14:textId="77777777" w:rsidR="00A23BE2" w:rsidRDefault="00307EB3">
      <w:pPr>
        <w:spacing w:before="240" w:after="240" w:line="360" w:lineRule="auto"/>
        <w:jc w:val="both"/>
        <w:rPr>
          <w:sz w:val="28"/>
          <w:szCs w:val="28"/>
        </w:rPr>
      </w:pPr>
      <w:r>
        <w:rPr>
          <w:rFonts w:ascii="Calibri" w:eastAsia="Calibri" w:hAnsi="Calibri" w:cs="Calibri"/>
          <w:b/>
          <w:sz w:val="24"/>
          <w:szCs w:val="24"/>
          <w:highlight w:val="white"/>
        </w:rPr>
        <w:t xml:space="preserve">Fig. 4 </w:t>
      </w:r>
      <w:r>
        <w:rPr>
          <w:rFonts w:ascii="Calibri" w:eastAsia="Calibri" w:hAnsi="Calibri" w:cs="Calibri"/>
          <w:sz w:val="24"/>
          <w:szCs w:val="24"/>
          <w:highlight w:val="white"/>
        </w:rPr>
        <w:t>Plot of human and animal bone collagen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values from Moncín, Majaladares, El Estrechuelo and El Balcón </w:t>
      </w:r>
    </w:p>
    <w:p w14:paraId="0543CE1F" w14:textId="77777777" w:rsidR="00A23BE2" w:rsidRDefault="00307EB3">
      <w:pPr>
        <w:spacing w:before="240" w:after="240" w:line="360" w:lineRule="auto"/>
        <w:jc w:val="both"/>
        <w:rPr>
          <w:sz w:val="28"/>
          <w:szCs w:val="28"/>
        </w:rPr>
      </w:pPr>
      <w:r>
        <w:rPr>
          <w:rFonts w:ascii="Calibri" w:eastAsia="Calibri" w:hAnsi="Calibri" w:cs="Calibri"/>
          <w:b/>
          <w:sz w:val="24"/>
          <w:szCs w:val="24"/>
        </w:rPr>
        <w:t xml:space="preserve">Fig. 5 </w:t>
      </w:r>
      <w:r>
        <w:rPr>
          <w:rFonts w:ascii="Calibri" w:eastAsia="Calibri" w:hAnsi="Calibri" w:cs="Calibri"/>
          <w:sz w:val="24"/>
          <w:szCs w:val="24"/>
        </w:rPr>
        <w:t>Es</w:t>
      </w:r>
      <w:r>
        <w:rPr>
          <w:rFonts w:ascii="Calibri" w:eastAsia="Calibri" w:hAnsi="Calibri" w:cs="Calibri"/>
          <w:sz w:val="24"/>
          <w:szCs w:val="24"/>
          <w:highlight w:val="white"/>
        </w:rPr>
        <w:t>timation of the resource’s contribution (%) to the diet of the adult individuals from Moncín, Majaladares, El Estrechuelo an</w:t>
      </w:r>
      <w:r>
        <w:rPr>
          <w:rFonts w:ascii="Calibri" w:eastAsia="Calibri" w:hAnsi="Calibri" w:cs="Calibri"/>
          <w:sz w:val="24"/>
          <w:szCs w:val="24"/>
          <w:highlight w:val="white"/>
        </w:rPr>
        <w:t>d El Balcón, obtained from the Bayesian Mixing Model ReSources</w:t>
      </w:r>
    </w:p>
    <w:p w14:paraId="154724A0" w14:textId="77777777" w:rsidR="00A23BE2" w:rsidRDefault="00307EB3">
      <w:pPr>
        <w:spacing w:before="240" w:after="240" w:line="360" w:lineRule="auto"/>
        <w:jc w:val="both"/>
        <w:rPr>
          <w:sz w:val="28"/>
          <w:szCs w:val="28"/>
        </w:rPr>
      </w:pPr>
      <w:r>
        <w:rPr>
          <w:rFonts w:ascii="Calibri" w:eastAsia="Calibri" w:hAnsi="Calibri" w:cs="Calibri"/>
          <w:b/>
          <w:sz w:val="24"/>
          <w:szCs w:val="24"/>
        </w:rPr>
        <w:t>Fig. 6</w:t>
      </w:r>
      <w:r>
        <w:rPr>
          <w:rFonts w:ascii="Calibri" w:eastAsia="Calibri" w:hAnsi="Calibri" w:cs="Calibri"/>
          <w:sz w:val="24"/>
          <w:szCs w:val="24"/>
        </w:rPr>
        <w:t xml:space="preserve"> Boxplot comparison of the (a)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 xml:space="preserve">C </w:t>
      </w:r>
      <w:r>
        <w:rPr>
          <w:rFonts w:ascii="Calibri" w:eastAsia="Calibri" w:hAnsi="Calibri" w:cs="Calibri"/>
          <w:sz w:val="24"/>
          <w:szCs w:val="24"/>
        </w:rPr>
        <w:t xml:space="preserve">and (b)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 xml:space="preserve">N </w:t>
      </w:r>
      <w:r>
        <w:rPr>
          <w:rFonts w:ascii="Calibri" w:eastAsia="Calibri" w:hAnsi="Calibri" w:cs="Calibri"/>
          <w:sz w:val="24"/>
          <w:szCs w:val="24"/>
        </w:rPr>
        <w:t>values for humans and herbivores from multiple sites of La Rioja (N=178), Cueva de Abauntz (N=49), San Juan Cave (N=39) and Muela de Borja</w:t>
      </w:r>
      <w:r>
        <w:rPr>
          <w:rFonts w:ascii="Calibri" w:eastAsia="Calibri" w:hAnsi="Calibri" w:cs="Calibri"/>
          <w:sz w:val="24"/>
          <w:szCs w:val="24"/>
        </w:rPr>
        <w:t xml:space="preserve"> (N=38)</w:t>
      </w:r>
    </w:p>
    <w:p w14:paraId="113AE60E" w14:textId="5539D0D2" w:rsidR="000E3538" w:rsidRPr="00F12285" w:rsidRDefault="00307EB3" w:rsidP="00F12285">
      <w:pPr>
        <w:spacing w:before="240" w:after="240" w:line="360" w:lineRule="auto"/>
        <w:rPr>
          <w:rFonts w:ascii="Calibri" w:eastAsia="Calibri" w:hAnsi="Calibri" w:cs="Calibri"/>
          <w:sz w:val="24"/>
          <w:szCs w:val="24"/>
        </w:rPr>
      </w:pPr>
      <w:r>
        <w:rPr>
          <w:rFonts w:ascii="Calibri" w:eastAsia="Calibri" w:hAnsi="Calibri" w:cs="Calibri"/>
          <w:b/>
          <w:sz w:val="24"/>
          <w:szCs w:val="24"/>
        </w:rPr>
        <w:t>Fig. 7</w:t>
      </w:r>
      <w:r>
        <w:rPr>
          <w:rFonts w:ascii="Calibri" w:eastAsia="Calibri" w:hAnsi="Calibri" w:cs="Calibri"/>
          <w:sz w:val="24"/>
          <w:szCs w:val="24"/>
        </w:rPr>
        <w:t xml:space="preserve"> Isoscapes representing </w:t>
      </w:r>
      <w:r>
        <w:rPr>
          <w:rFonts w:ascii="Calibri" w:eastAsia="Calibri" w:hAnsi="Calibri" w:cs="Calibri"/>
          <w:sz w:val="24"/>
          <w:szCs w:val="24"/>
          <w:highlight w:val="white"/>
        </w:rPr>
        <w:t>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(a) 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(b) mean values for herbivores, and δ</w:t>
      </w:r>
      <w:r>
        <w:rPr>
          <w:rFonts w:ascii="Calibri" w:eastAsia="Calibri" w:hAnsi="Calibri" w:cs="Calibri"/>
          <w:sz w:val="24"/>
          <w:szCs w:val="24"/>
          <w:highlight w:val="white"/>
          <w:vertAlign w:val="superscript"/>
        </w:rPr>
        <w:t>13</w:t>
      </w:r>
      <w:r>
        <w:rPr>
          <w:rFonts w:ascii="Calibri" w:eastAsia="Calibri" w:hAnsi="Calibri" w:cs="Calibri"/>
          <w:sz w:val="24"/>
          <w:szCs w:val="24"/>
          <w:highlight w:val="white"/>
        </w:rPr>
        <w:t>C (c) and δ</w:t>
      </w:r>
      <w:r>
        <w:rPr>
          <w:rFonts w:ascii="Calibri" w:eastAsia="Calibri" w:hAnsi="Calibri" w:cs="Calibri"/>
          <w:sz w:val="24"/>
          <w:szCs w:val="24"/>
          <w:highlight w:val="white"/>
          <w:vertAlign w:val="superscript"/>
        </w:rPr>
        <w:t>15</w:t>
      </w:r>
      <w:r>
        <w:rPr>
          <w:rFonts w:ascii="Calibri" w:eastAsia="Calibri" w:hAnsi="Calibri" w:cs="Calibri"/>
          <w:sz w:val="24"/>
          <w:szCs w:val="24"/>
          <w:highlight w:val="white"/>
        </w:rPr>
        <w:t>N (d) mean values for humans. Plots with standard error of the mean can be found</w:t>
      </w:r>
      <w:r>
        <w:rPr>
          <w:rFonts w:ascii="Calibri" w:eastAsia="Calibri" w:hAnsi="Calibri" w:cs="Calibri"/>
          <w:sz w:val="24"/>
          <w:szCs w:val="24"/>
        </w:rPr>
        <w:t xml:space="preserve"> in Fig S2. (e) Map showing the location of the sites (see Fig.1 for</w:t>
      </w:r>
      <w:r>
        <w:rPr>
          <w:rFonts w:ascii="Calibri" w:eastAsia="Calibri" w:hAnsi="Calibri" w:cs="Calibri"/>
          <w:sz w:val="24"/>
          <w:szCs w:val="24"/>
        </w:rPr>
        <w:t xml:space="preserve"> the names) and Köppen-Geiger climate classifications according to Beck et al. (2018). Arid (B), temperate (C) and cold (D) climates are distinguished.</w:t>
      </w:r>
      <w:r>
        <w:br w:type="page"/>
      </w:r>
    </w:p>
    <w:p w14:paraId="69004D3A" w14:textId="22D25245" w:rsidR="00F12285" w:rsidRPr="00F12285" w:rsidRDefault="00F12285" w:rsidP="00F12285">
      <w:pPr>
        <w:rPr>
          <w:b/>
          <w:bCs/>
        </w:rPr>
      </w:pPr>
      <w:r w:rsidRPr="00F12285">
        <w:rPr>
          <w:b/>
          <w:bCs/>
        </w:rPr>
        <w:lastRenderedPageBreak/>
        <w:t xml:space="preserve">Figure </w:t>
      </w:r>
      <w:r>
        <w:rPr>
          <w:b/>
          <w:bCs/>
        </w:rPr>
        <w:t>1</w:t>
      </w:r>
    </w:p>
    <w:p w14:paraId="72BA1D3B" w14:textId="77777777" w:rsidR="00F12285" w:rsidRDefault="00F12285"/>
    <w:p w14:paraId="41217D9A" w14:textId="5C3184A2" w:rsidR="000E3538" w:rsidRDefault="000E3538">
      <w:r>
        <w:rPr>
          <w:noProof/>
        </w:rPr>
        <w:drawing>
          <wp:inline distT="0" distB="0" distL="0" distR="0" wp14:anchorId="08A4DFB1" wp14:editId="173FD558">
            <wp:extent cx="6188710" cy="432054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88710" cy="4320540"/>
                    </a:xfrm>
                    <a:prstGeom prst="rect">
                      <a:avLst/>
                    </a:prstGeom>
                  </pic:spPr>
                </pic:pic>
              </a:graphicData>
            </a:graphic>
          </wp:inline>
        </w:drawing>
      </w:r>
    </w:p>
    <w:p w14:paraId="1954270B" w14:textId="49A59D04" w:rsidR="000E3538" w:rsidRDefault="000E3538"/>
    <w:p w14:paraId="718579D1" w14:textId="53EEE802" w:rsidR="00F12285" w:rsidRDefault="00F12285"/>
    <w:p w14:paraId="231C323A" w14:textId="155D459B" w:rsidR="00F12285" w:rsidRPr="00F12285" w:rsidRDefault="00F12285" w:rsidP="00F12285">
      <w:pPr>
        <w:rPr>
          <w:b/>
          <w:bCs/>
        </w:rPr>
      </w:pPr>
      <w:r w:rsidRPr="00F12285">
        <w:rPr>
          <w:b/>
          <w:bCs/>
        </w:rPr>
        <w:t xml:space="preserve">Figure </w:t>
      </w:r>
      <w:r>
        <w:rPr>
          <w:b/>
          <w:bCs/>
        </w:rPr>
        <w:t>2</w:t>
      </w:r>
    </w:p>
    <w:p w14:paraId="2F5A3142" w14:textId="7B3E78E5" w:rsidR="000E3538" w:rsidRDefault="000E3538">
      <w:r>
        <w:rPr>
          <w:noProof/>
        </w:rPr>
        <w:drawing>
          <wp:inline distT="0" distB="0" distL="0" distR="0" wp14:anchorId="19BF22DC" wp14:editId="43960C4D">
            <wp:extent cx="6188710" cy="2480310"/>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rotWithShape="1">
                    <a:blip r:embed="rId74">
                      <a:extLst>
                        <a:ext uri="{28A0092B-C50C-407E-A947-70E740481C1C}">
                          <a14:useLocalDpi xmlns:a14="http://schemas.microsoft.com/office/drawing/2010/main" val="0"/>
                        </a:ext>
                      </a:extLst>
                    </a:blip>
                    <a:srcRect t="10124"/>
                    <a:stretch/>
                  </pic:blipFill>
                  <pic:spPr bwMode="auto">
                    <a:xfrm>
                      <a:off x="0" y="0"/>
                      <a:ext cx="6188710" cy="2480310"/>
                    </a:xfrm>
                    <a:prstGeom prst="rect">
                      <a:avLst/>
                    </a:prstGeom>
                    <a:ln>
                      <a:noFill/>
                    </a:ln>
                    <a:extLst>
                      <a:ext uri="{53640926-AAD7-44D8-BBD7-CCE9431645EC}">
                        <a14:shadowObscured xmlns:a14="http://schemas.microsoft.com/office/drawing/2010/main"/>
                      </a:ext>
                    </a:extLst>
                  </pic:spPr>
                </pic:pic>
              </a:graphicData>
            </a:graphic>
          </wp:inline>
        </w:drawing>
      </w:r>
    </w:p>
    <w:p w14:paraId="08E928B0" w14:textId="6447A78E" w:rsidR="00F12285" w:rsidRDefault="00F12285"/>
    <w:p w14:paraId="2BF3E873" w14:textId="472952E7" w:rsidR="00F12285" w:rsidRDefault="00F12285"/>
    <w:p w14:paraId="175E3A91" w14:textId="14F98D91" w:rsidR="00F12285" w:rsidRDefault="00F12285"/>
    <w:p w14:paraId="44B8B2B1" w14:textId="7CAC00EC" w:rsidR="00F12285" w:rsidRDefault="00F12285"/>
    <w:p w14:paraId="3FAD2318" w14:textId="70281F11" w:rsidR="00F12285" w:rsidRDefault="00F12285"/>
    <w:p w14:paraId="4E3CB6BA" w14:textId="0A3AD89D" w:rsidR="00F12285" w:rsidRDefault="00F12285"/>
    <w:p w14:paraId="77CDD190" w14:textId="0FB80ECB" w:rsidR="00F12285" w:rsidRPr="00F12285" w:rsidRDefault="00F12285" w:rsidP="00F12285">
      <w:pPr>
        <w:rPr>
          <w:b/>
          <w:bCs/>
        </w:rPr>
      </w:pPr>
      <w:r w:rsidRPr="00F12285">
        <w:rPr>
          <w:b/>
          <w:bCs/>
        </w:rPr>
        <w:lastRenderedPageBreak/>
        <w:t xml:space="preserve">Figure </w:t>
      </w:r>
      <w:r>
        <w:rPr>
          <w:b/>
          <w:bCs/>
        </w:rPr>
        <w:t>3</w:t>
      </w:r>
    </w:p>
    <w:p w14:paraId="0E94A6C0" w14:textId="77777777" w:rsidR="00F12285" w:rsidRDefault="00F12285"/>
    <w:p w14:paraId="26B0DAB6" w14:textId="73CAA85F" w:rsidR="000E3538" w:rsidRDefault="000E3538">
      <w:r>
        <w:rPr>
          <w:noProof/>
        </w:rPr>
        <w:drawing>
          <wp:inline distT="0" distB="0" distL="0" distR="0" wp14:anchorId="7A85DCAD" wp14:editId="689BE49F">
            <wp:extent cx="6188710" cy="2394585"/>
            <wp:effectExtent l="0" t="0" r="0" b="5715"/>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rotWithShape="1">
                    <a:blip r:embed="rId75">
                      <a:extLst>
                        <a:ext uri="{28A0092B-C50C-407E-A947-70E740481C1C}">
                          <a14:useLocalDpi xmlns:a14="http://schemas.microsoft.com/office/drawing/2010/main" val="0"/>
                        </a:ext>
                      </a:extLst>
                    </a:blip>
                    <a:srcRect t="10449"/>
                    <a:stretch/>
                  </pic:blipFill>
                  <pic:spPr bwMode="auto">
                    <a:xfrm>
                      <a:off x="0" y="0"/>
                      <a:ext cx="6188710" cy="2394585"/>
                    </a:xfrm>
                    <a:prstGeom prst="rect">
                      <a:avLst/>
                    </a:prstGeom>
                    <a:ln>
                      <a:noFill/>
                    </a:ln>
                    <a:extLst>
                      <a:ext uri="{53640926-AAD7-44D8-BBD7-CCE9431645EC}">
                        <a14:shadowObscured xmlns:a14="http://schemas.microsoft.com/office/drawing/2010/main"/>
                      </a:ext>
                    </a:extLst>
                  </pic:spPr>
                </pic:pic>
              </a:graphicData>
            </a:graphic>
          </wp:inline>
        </w:drawing>
      </w:r>
    </w:p>
    <w:p w14:paraId="40AA4CCE" w14:textId="60516442" w:rsidR="00F12285" w:rsidRDefault="00F12285"/>
    <w:p w14:paraId="2D80279F" w14:textId="0B519B79" w:rsidR="00F12285" w:rsidRPr="00F12285" w:rsidRDefault="00F12285">
      <w:pPr>
        <w:rPr>
          <w:b/>
          <w:bCs/>
        </w:rPr>
      </w:pPr>
      <w:r w:rsidRPr="00F12285">
        <w:rPr>
          <w:b/>
          <w:bCs/>
        </w:rPr>
        <w:t>Figure 4</w:t>
      </w:r>
    </w:p>
    <w:p w14:paraId="0DB486DD" w14:textId="4FA225C7" w:rsidR="000E3538" w:rsidRDefault="000E3538"/>
    <w:p w14:paraId="1A901EA2" w14:textId="6E62BADD" w:rsidR="000E3538" w:rsidRDefault="000E3538">
      <w:r>
        <w:rPr>
          <w:noProof/>
        </w:rPr>
        <w:drawing>
          <wp:inline distT="0" distB="0" distL="0" distR="0" wp14:anchorId="61451F9C" wp14:editId="4F1D49D9">
            <wp:extent cx="6188710" cy="4871085"/>
            <wp:effectExtent l="0" t="0" r="0" b="5715"/>
            <wp:docPr id="8" name="Picture 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pic:nvPicPr>
                  <pic:blipFill rotWithShape="1">
                    <a:blip r:embed="rId76">
                      <a:extLst>
                        <a:ext uri="{28A0092B-C50C-407E-A947-70E740481C1C}">
                          <a14:useLocalDpi xmlns:a14="http://schemas.microsoft.com/office/drawing/2010/main" val="0"/>
                        </a:ext>
                      </a:extLst>
                    </a:blip>
                    <a:srcRect t="5889"/>
                    <a:stretch/>
                  </pic:blipFill>
                  <pic:spPr bwMode="auto">
                    <a:xfrm>
                      <a:off x="0" y="0"/>
                      <a:ext cx="6188710" cy="4871085"/>
                    </a:xfrm>
                    <a:prstGeom prst="rect">
                      <a:avLst/>
                    </a:prstGeom>
                    <a:ln>
                      <a:noFill/>
                    </a:ln>
                    <a:extLst>
                      <a:ext uri="{53640926-AAD7-44D8-BBD7-CCE9431645EC}">
                        <a14:shadowObscured xmlns:a14="http://schemas.microsoft.com/office/drawing/2010/main"/>
                      </a:ext>
                    </a:extLst>
                  </pic:spPr>
                </pic:pic>
              </a:graphicData>
            </a:graphic>
          </wp:inline>
        </w:drawing>
      </w:r>
    </w:p>
    <w:p w14:paraId="5CA7A8C5" w14:textId="27026A68" w:rsidR="000E3538" w:rsidRDefault="000E3538"/>
    <w:p w14:paraId="22B8CD48" w14:textId="77777777" w:rsidR="000E3538" w:rsidRDefault="000E3538"/>
    <w:p w14:paraId="2C016F24" w14:textId="77777777" w:rsidR="00F12285" w:rsidRDefault="00F12285"/>
    <w:p w14:paraId="10715491" w14:textId="2E0F13BF" w:rsidR="00F12285" w:rsidRPr="00F12285" w:rsidRDefault="00F12285">
      <w:pPr>
        <w:rPr>
          <w:b/>
          <w:bCs/>
        </w:rPr>
      </w:pPr>
      <w:r w:rsidRPr="00F12285">
        <w:rPr>
          <w:b/>
          <w:bCs/>
        </w:rPr>
        <w:lastRenderedPageBreak/>
        <w:t xml:space="preserve">Figure </w:t>
      </w:r>
      <w:r>
        <w:rPr>
          <w:b/>
          <w:bCs/>
        </w:rPr>
        <w:t>5</w:t>
      </w:r>
    </w:p>
    <w:p w14:paraId="1599C99D" w14:textId="4E11803C" w:rsidR="000E3538" w:rsidRDefault="000E3538">
      <w:r>
        <w:rPr>
          <w:noProof/>
        </w:rPr>
        <w:drawing>
          <wp:inline distT="0" distB="0" distL="0" distR="0" wp14:anchorId="4359A795" wp14:editId="02F8B214">
            <wp:extent cx="6188710" cy="2503170"/>
            <wp:effectExtent l="0" t="0" r="0" b="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rotWithShape="1">
                    <a:blip r:embed="rId77">
                      <a:extLst>
                        <a:ext uri="{28A0092B-C50C-407E-A947-70E740481C1C}">
                          <a14:useLocalDpi xmlns:a14="http://schemas.microsoft.com/office/drawing/2010/main" val="0"/>
                        </a:ext>
                      </a:extLst>
                    </a:blip>
                    <a:srcRect t="8792"/>
                    <a:stretch/>
                  </pic:blipFill>
                  <pic:spPr bwMode="auto">
                    <a:xfrm>
                      <a:off x="0" y="0"/>
                      <a:ext cx="6188710" cy="2503170"/>
                    </a:xfrm>
                    <a:prstGeom prst="rect">
                      <a:avLst/>
                    </a:prstGeom>
                    <a:ln>
                      <a:noFill/>
                    </a:ln>
                    <a:extLst>
                      <a:ext uri="{53640926-AAD7-44D8-BBD7-CCE9431645EC}">
                        <a14:shadowObscured xmlns:a14="http://schemas.microsoft.com/office/drawing/2010/main"/>
                      </a:ext>
                    </a:extLst>
                  </pic:spPr>
                </pic:pic>
              </a:graphicData>
            </a:graphic>
          </wp:inline>
        </w:drawing>
      </w:r>
    </w:p>
    <w:p w14:paraId="379DD141" w14:textId="77777777" w:rsidR="00F12285" w:rsidRDefault="00F12285">
      <w:pPr>
        <w:rPr>
          <w:b/>
          <w:bCs/>
        </w:rPr>
      </w:pPr>
      <w:r w:rsidRPr="00F12285">
        <w:rPr>
          <w:b/>
          <w:bCs/>
        </w:rPr>
        <w:t xml:space="preserve">Figure </w:t>
      </w:r>
      <w:r>
        <w:rPr>
          <w:b/>
          <w:bCs/>
        </w:rPr>
        <w:t>6</w:t>
      </w:r>
    </w:p>
    <w:p w14:paraId="2F1E55C2" w14:textId="260CE534" w:rsidR="000E3538" w:rsidRDefault="00F12285" w:rsidP="00F12285">
      <w:pPr>
        <w:jc w:val="center"/>
        <w:rPr>
          <w:b/>
          <w:bCs/>
        </w:rPr>
      </w:pPr>
      <w:r>
        <w:rPr>
          <w:noProof/>
        </w:rPr>
        <w:drawing>
          <wp:inline distT="0" distB="0" distL="0" distR="0" wp14:anchorId="1A3C90BF" wp14:editId="7E979BC5">
            <wp:extent cx="5639844" cy="5448300"/>
            <wp:effectExtent l="0" t="0" r="0" b="0"/>
            <wp:docPr id="13" name="Picture 1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with medium confidence"/>
                    <pic:cNvPicPr/>
                  </pic:nvPicPr>
                  <pic:blipFill>
                    <a:blip r:embed="rId78">
                      <a:extLst>
                        <a:ext uri="{28A0092B-C50C-407E-A947-70E740481C1C}">
                          <a14:useLocalDpi xmlns:a14="http://schemas.microsoft.com/office/drawing/2010/main" val="0"/>
                        </a:ext>
                      </a:extLst>
                    </a:blip>
                    <a:stretch>
                      <a:fillRect/>
                    </a:stretch>
                  </pic:blipFill>
                  <pic:spPr>
                    <a:xfrm>
                      <a:off x="0" y="0"/>
                      <a:ext cx="5644008" cy="5452323"/>
                    </a:xfrm>
                    <a:prstGeom prst="rect">
                      <a:avLst/>
                    </a:prstGeom>
                  </pic:spPr>
                </pic:pic>
              </a:graphicData>
            </a:graphic>
          </wp:inline>
        </w:drawing>
      </w:r>
    </w:p>
    <w:p w14:paraId="57C1B85B" w14:textId="3DCA6B4D" w:rsidR="00F12285" w:rsidRDefault="00F12285" w:rsidP="00F12285">
      <w:pPr>
        <w:jc w:val="center"/>
        <w:rPr>
          <w:b/>
          <w:bCs/>
        </w:rPr>
      </w:pPr>
    </w:p>
    <w:p w14:paraId="19834690" w14:textId="5C36B0C4" w:rsidR="00F12285" w:rsidRDefault="00F12285">
      <w:pPr>
        <w:rPr>
          <w:b/>
          <w:bCs/>
        </w:rPr>
      </w:pPr>
      <w:r>
        <w:rPr>
          <w:b/>
          <w:bCs/>
        </w:rPr>
        <w:br w:type="page"/>
      </w:r>
    </w:p>
    <w:p w14:paraId="5847B3CD" w14:textId="77777777" w:rsidR="00F12285" w:rsidRDefault="00F12285" w:rsidP="00F12285">
      <w:pPr>
        <w:pStyle w:val="Heading4"/>
        <w:spacing w:after="200" w:line="240" w:lineRule="auto"/>
        <w:jc w:val="both"/>
        <w:rPr>
          <w:rFonts w:ascii="Calibri" w:eastAsia="Calibri" w:hAnsi="Calibri" w:cs="Calibri"/>
          <w:b/>
          <w:color w:val="000000"/>
        </w:rPr>
      </w:pPr>
      <w:r>
        <w:rPr>
          <w:rFonts w:ascii="Calibri" w:eastAsia="Calibri" w:hAnsi="Calibri" w:cs="Calibri"/>
          <w:b/>
          <w:color w:val="000000"/>
        </w:rPr>
        <w:lastRenderedPageBreak/>
        <w:t>Tables</w:t>
      </w:r>
    </w:p>
    <w:p w14:paraId="51C99AF6" w14:textId="77777777" w:rsidR="00F12285" w:rsidRDefault="00F12285" w:rsidP="00F12285">
      <w:pPr>
        <w:jc w:val="both"/>
        <w:rPr>
          <w:rFonts w:ascii="Calibri" w:eastAsia="Calibri" w:hAnsi="Calibri" w:cs="Calibri"/>
        </w:rPr>
      </w:pPr>
      <w:r>
        <w:rPr>
          <w:rFonts w:ascii="Calibri" w:eastAsia="Calibri" w:hAnsi="Calibri" w:cs="Calibri"/>
          <w:b/>
        </w:rPr>
        <w:t xml:space="preserve">Table 1 </w:t>
      </w:r>
      <w:r>
        <w:rPr>
          <w:rFonts w:ascii="Calibri" w:eastAsia="Calibri" w:hAnsi="Calibri" w:cs="Calibri"/>
        </w:rPr>
        <w:t>Minimum number of individuals (MNI) recovered from the Muela de Borja sites, differentiated by age estimations and morphological sex determinations</w:t>
      </w:r>
    </w:p>
    <w:p w14:paraId="3E4AA0E4" w14:textId="77777777" w:rsidR="00F12285" w:rsidRDefault="00F12285" w:rsidP="00F12285">
      <w:pPr>
        <w:jc w:val="both"/>
        <w:rPr>
          <w:rFonts w:ascii="Calibri" w:eastAsia="Calibri" w:hAnsi="Calibri" w:cs="Calibri"/>
          <w:sz w:val="20"/>
          <w:szCs w:val="20"/>
        </w:rPr>
      </w:pPr>
    </w:p>
    <w:tbl>
      <w:tblPr>
        <w:tblStyle w:val="ad"/>
        <w:tblW w:w="8651" w:type="dxa"/>
        <w:tblBorders>
          <w:top w:val="nil"/>
          <w:left w:val="nil"/>
          <w:bottom w:val="nil"/>
          <w:right w:val="nil"/>
          <w:insideH w:val="nil"/>
          <w:insideV w:val="nil"/>
        </w:tblBorders>
        <w:tblLayout w:type="fixed"/>
        <w:tblLook w:val="0600" w:firstRow="0" w:lastRow="0" w:firstColumn="0" w:lastColumn="0" w:noHBand="1" w:noVBand="1"/>
      </w:tblPr>
      <w:tblGrid>
        <w:gridCol w:w="1606"/>
        <w:gridCol w:w="1503"/>
        <w:gridCol w:w="1270"/>
        <w:gridCol w:w="585"/>
        <w:gridCol w:w="1020"/>
        <w:gridCol w:w="906"/>
        <w:gridCol w:w="1179"/>
        <w:gridCol w:w="582"/>
      </w:tblGrid>
      <w:tr w:rsidR="00F12285" w14:paraId="0BFB6F71" w14:textId="77777777" w:rsidTr="00C552DC">
        <w:trPr>
          <w:trHeight w:val="390"/>
        </w:trPr>
        <w:tc>
          <w:tcPr>
            <w:tcW w:w="1606" w:type="dxa"/>
            <w:vMerge w:val="restart"/>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500B1648"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Muela de Borja</w:t>
            </w:r>
          </w:p>
        </w:tc>
        <w:tc>
          <w:tcPr>
            <w:tcW w:w="150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54629E9F"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Subsite</w:t>
            </w:r>
          </w:p>
        </w:tc>
        <w:tc>
          <w:tcPr>
            <w:tcW w:w="2875" w:type="dxa"/>
            <w:gridSpan w:val="3"/>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666C2B20"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Adults</w:t>
            </w:r>
          </w:p>
        </w:tc>
        <w:tc>
          <w:tcPr>
            <w:tcW w:w="906" w:type="dxa"/>
            <w:tcBorders>
              <w:top w:val="single" w:sz="8" w:space="0" w:color="000000"/>
              <w:left w:val="single" w:sz="8" w:space="0" w:color="000000"/>
              <w:bottom w:val="single" w:sz="8" w:space="0" w:color="000000"/>
              <w:right w:val="single" w:sz="8" w:space="0" w:color="000000"/>
            </w:tcBorders>
            <w:shd w:val="clear" w:color="auto" w:fill="E2EFD9"/>
          </w:tcPr>
          <w:p w14:paraId="5EBF6402"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Subadults</w:t>
            </w:r>
          </w:p>
        </w:tc>
        <w:tc>
          <w:tcPr>
            <w:tcW w:w="1179" w:type="dxa"/>
            <w:vMerge w:val="restart"/>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6F6C8474"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Undetermined</w:t>
            </w:r>
          </w:p>
        </w:tc>
        <w:tc>
          <w:tcPr>
            <w:tcW w:w="582" w:type="dxa"/>
            <w:vMerge w:val="restart"/>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31224D47"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MNI</w:t>
            </w:r>
          </w:p>
        </w:tc>
      </w:tr>
      <w:tr w:rsidR="00F12285" w14:paraId="0EF9648C" w14:textId="77777777" w:rsidTr="00C552DC">
        <w:trPr>
          <w:trHeight w:val="390"/>
        </w:trPr>
        <w:tc>
          <w:tcPr>
            <w:tcW w:w="1606" w:type="dxa"/>
            <w:vMerge/>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47EF02F0" w14:textId="77777777" w:rsidR="00F12285" w:rsidRDefault="00F12285" w:rsidP="00C552DC">
            <w:pPr>
              <w:widowControl w:val="0"/>
              <w:pBdr>
                <w:top w:val="nil"/>
                <w:left w:val="nil"/>
                <w:bottom w:val="nil"/>
                <w:right w:val="nil"/>
                <w:between w:val="nil"/>
              </w:pBdr>
              <w:rPr>
                <w:rFonts w:ascii="Calibri" w:eastAsia="Calibri" w:hAnsi="Calibri" w:cs="Calibri"/>
                <w:b/>
                <w:sz w:val="16"/>
                <w:szCs w:val="16"/>
              </w:rPr>
            </w:pPr>
          </w:p>
        </w:tc>
        <w:tc>
          <w:tcPr>
            <w:tcW w:w="1503" w:type="dxa"/>
            <w:vMerge/>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37509691" w14:textId="77777777" w:rsidR="00F12285" w:rsidRDefault="00F12285" w:rsidP="00C552DC">
            <w:pPr>
              <w:widowControl w:val="0"/>
              <w:pBdr>
                <w:top w:val="nil"/>
                <w:left w:val="nil"/>
                <w:bottom w:val="nil"/>
                <w:right w:val="nil"/>
                <w:between w:val="nil"/>
              </w:pBdr>
              <w:rPr>
                <w:rFonts w:ascii="Calibri" w:eastAsia="Calibri" w:hAnsi="Calibri" w:cs="Calibri"/>
                <w:b/>
                <w:sz w:val="16"/>
                <w:szCs w:val="16"/>
              </w:rPr>
            </w:pPr>
          </w:p>
        </w:tc>
        <w:tc>
          <w:tcPr>
            <w:tcW w:w="1270" w:type="dxa"/>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29AD094D"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Female</w:t>
            </w:r>
          </w:p>
        </w:tc>
        <w:tc>
          <w:tcPr>
            <w:tcW w:w="585" w:type="dxa"/>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6E4A9388"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Male</w:t>
            </w:r>
          </w:p>
        </w:tc>
        <w:tc>
          <w:tcPr>
            <w:tcW w:w="1020" w:type="dxa"/>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3E0AA9F7"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Undetermined</w:t>
            </w:r>
          </w:p>
        </w:tc>
        <w:tc>
          <w:tcPr>
            <w:tcW w:w="906" w:type="dxa"/>
            <w:tcBorders>
              <w:top w:val="nil"/>
              <w:left w:val="nil"/>
              <w:bottom w:val="single" w:sz="8" w:space="0" w:color="000000"/>
              <w:right w:val="single" w:sz="8" w:space="0" w:color="000000"/>
            </w:tcBorders>
            <w:shd w:val="clear" w:color="auto" w:fill="E2EFD9"/>
            <w:tcMar>
              <w:top w:w="100" w:type="dxa"/>
              <w:left w:w="100" w:type="dxa"/>
              <w:bottom w:w="100" w:type="dxa"/>
              <w:right w:w="100" w:type="dxa"/>
            </w:tcMar>
          </w:tcPr>
          <w:p w14:paraId="3A272F63"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Undetermined</w:t>
            </w:r>
          </w:p>
        </w:tc>
        <w:tc>
          <w:tcPr>
            <w:tcW w:w="1179" w:type="dxa"/>
            <w:vMerge/>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0C51CDD2" w14:textId="77777777" w:rsidR="00F12285" w:rsidRDefault="00F12285" w:rsidP="00C552DC">
            <w:pPr>
              <w:widowControl w:val="0"/>
              <w:pBdr>
                <w:top w:val="nil"/>
                <w:left w:val="nil"/>
                <w:bottom w:val="nil"/>
                <w:right w:val="nil"/>
                <w:between w:val="nil"/>
              </w:pBdr>
              <w:rPr>
                <w:rFonts w:ascii="Calibri" w:eastAsia="Calibri" w:hAnsi="Calibri" w:cs="Calibri"/>
                <w:b/>
                <w:sz w:val="16"/>
                <w:szCs w:val="16"/>
              </w:rPr>
            </w:pPr>
          </w:p>
        </w:tc>
        <w:tc>
          <w:tcPr>
            <w:tcW w:w="582" w:type="dxa"/>
            <w:vMerge/>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3951B77F" w14:textId="77777777" w:rsidR="00F12285" w:rsidRDefault="00F12285" w:rsidP="00C552DC">
            <w:pPr>
              <w:widowControl w:val="0"/>
              <w:pBdr>
                <w:top w:val="nil"/>
                <w:left w:val="nil"/>
                <w:bottom w:val="nil"/>
                <w:right w:val="nil"/>
                <w:between w:val="nil"/>
              </w:pBdr>
              <w:rPr>
                <w:rFonts w:ascii="Calibri" w:eastAsia="Calibri" w:hAnsi="Calibri" w:cs="Calibri"/>
                <w:b/>
                <w:sz w:val="16"/>
                <w:szCs w:val="16"/>
              </w:rPr>
            </w:pPr>
          </w:p>
        </w:tc>
      </w:tr>
      <w:tr w:rsidR="00F12285" w14:paraId="5F7119AB" w14:textId="77777777" w:rsidTr="00C552DC">
        <w:trPr>
          <w:trHeight w:val="397"/>
        </w:trPr>
        <w:tc>
          <w:tcPr>
            <w:tcW w:w="160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93076F"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Moncín</w:t>
            </w:r>
          </w:p>
        </w:tc>
        <w:tc>
          <w:tcPr>
            <w:tcW w:w="1503"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7390E61E"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Moncín ext.</w:t>
            </w:r>
          </w:p>
        </w:tc>
        <w:tc>
          <w:tcPr>
            <w:tcW w:w="1270" w:type="dxa"/>
            <w:tcBorders>
              <w:top w:val="nil"/>
              <w:left w:val="nil"/>
              <w:bottom w:val="nil"/>
              <w:right w:val="nil"/>
            </w:tcBorders>
            <w:shd w:val="clear" w:color="auto" w:fill="auto"/>
            <w:tcMar>
              <w:top w:w="100" w:type="dxa"/>
              <w:left w:w="100" w:type="dxa"/>
              <w:bottom w:w="100" w:type="dxa"/>
              <w:right w:w="100" w:type="dxa"/>
            </w:tcMar>
          </w:tcPr>
          <w:p w14:paraId="18D900F7"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nil"/>
              <w:right w:val="nil"/>
            </w:tcBorders>
            <w:shd w:val="clear" w:color="auto" w:fill="auto"/>
            <w:tcMar>
              <w:top w:w="100" w:type="dxa"/>
              <w:left w:w="100" w:type="dxa"/>
              <w:bottom w:w="100" w:type="dxa"/>
              <w:right w:w="100" w:type="dxa"/>
            </w:tcMar>
          </w:tcPr>
          <w:p w14:paraId="5806C52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020" w:type="dxa"/>
            <w:tcBorders>
              <w:top w:val="nil"/>
              <w:left w:val="nil"/>
              <w:bottom w:val="nil"/>
              <w:right w:val="nil"/>
            </w:tcBorders>
            <w:shd w:val="clear" w:color="auto" w:fill="auto"/>
            <w:tcMar>
              <w:top w:w="100" w:type="dxa"/>
              <w:left w:w="100" w:type="dxa"/>
              <w:bottom w:w="100" w:type="dxa"/>
              <w:right w:w="100" w:type="dxa"/>
            </w:tcMar>
          </w:tcPr>
          <w:p w14:paraId="16C5E5E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4</w:t>
            </w:r>
          </w:p>
        </w:tc>
        <w:tc>
          <w:tcPr>
            <w:tcW w:w="906" w:type="dxa"/>
            <w:tcBorders>
              <w:top w:val="nil"/>
              <w:left w:val="nil"/>
              <w:bottom w:val="nil"/>
              <w:right w:val="nil"/>
            </w:tcBorders>
            <w:shd w:val="clear" w:color="auto" w:fill="auto"/>
            <w:tcMar>
              <w:top w:w="100" w:type="dxa"/>
              <w:left w:w="100" w:type="dxa"/>
              <w:bottom w:w="100" w:type="dxa"/>
              <w:right w:w="100" w:type="dxa"/>
            </w:tcMar>
          </w:tcPr>
          <w:p w14:paraId="41107627"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1179" w:type="dxa"/>
            <w:tcBorders>
              <w:top w:val="nil"/>
              <w:left w:val="nil"/>
              <w:bottom w:val="nil"/>
              <w:right w:val="single" w:sz="8" w:space="0" w:color="000000"/>
            </w:tcBorders>
            <w:shd w:val="clear" w:color="auto" w:fill="auto"/>
            <w:tcMar>
              <w:top w:w="100" w:type="dxa"/>
              <w:left w:w="100" w:type="dxa"/>
              <w:bottom w:w="100" w:type="dxa"/>
              <w:right w:w="100" w:type="dxa"/>
            </w:tcMar>
          </w:tcPr>
          <w:p w14:paraId="2F917D5A"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nil"/>
              <w:right w:val="single" w:sz="8" w:space="0" w:color="000000"/>
            </w:tcBorders>
            <w:shd w:val="clear" w:color="auto" w:fill="auto"/>
            <w:tcMar>
              <w:top w:w="100" w:type="dxa"/>
              <w:left w:w="100" w:type="dxa"/>
              <w:bottom w:w="100" w:type="dxa"/>
              <w:right w:w="100" w:type="dxa"/>
            </w:tcMar>
          </w:tcPr>
          <w:p w14:paraId="7B82AE9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7</w:t>
            </w:r>
          </w:p>
        </w:tc>
      </w:tr>
      <w:tr w:rsidR="00F12285" w14:paraId="0AA3256D"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29927"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45EA3373"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Moncín I</w:t>
            </w:r>
          </w:p>
        </w:tc>
        <w:tc>
          <w:tcPr>
            <w:tcW w:w="1270" w:type="dxa"/>
            <w:tcBorders>
              <w:top w:val="nil"/>
              <w:left w:val="nil"/>
              <w:bottom w:val="nil"/>
              <w:right w:val="nil"/>
            </w:tcBorders>
            <w:shd w:val="clear" w:color="auto" w:fill="auto"/>
            <w:tcMar>
              <w:top w:w="100" w:type="dxa"/>
              <w:left w:w="100" w:type="dxa"/>
              <w:bottom w:w="100" w:type="dxa"/>
              <w:right w:w="100" w:type="dxa"/>
            </w:tcMar>
          </w:tcPr>
          <w:p w14:paraId="44C4AB27"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nil"/>
              <w:right w:val="nil"/>
            </w:tcBorders>
            <w:shd w:val="clear" w:color="auto" w:fill="auto"/>
            <w:tcMar>
              <w:top w:w="100" w:type="dxa"/>
              <w:left w:w="100" w:type="dxa"/>
              <w:bottom w:w="100" w:type="dxa"/>
              <w:right w:w="100" w:type="dxa"/>
            </w:tcMar>
          </w:tcPr>
          <w:p w14:paraId="47E6D1FB"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1020" w:type="dxa"/>
            <w:tcBorders>
              <w:top w:val="nil"/>
              <w:left w:val="nil"/>
              <w:bottom w:val="nil"/>
              <w:right w:val="nil"/>
            </w:tcBorders>
            <w:shd w:val="clear" w:color="auto" w:fill="auto"/>
            <w:tcMar>
              <w:top w:w="100" w:type="dxa"/>
              <w:left w:w="100" w:type="dxa"/>
              <w:bottom w:w="100" w:type="dxa"/>
              <w:right w:w="100" w:type="dxa"/>
            </w:tcMar>
          </w:tcPr>
          <w:p w14:paraId="7D1269B7"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906" w:type="dxa"/>
            <w:tcBorders>
              <w:top w:val="nil"/>
              <w:left w:val="nil"/>
              <w:bottom w:val="nil"/>
              <w:right w:val="nil"/>
            </w:tcBorders>
            <w:shd w:val="clear" w:color="auto" w:fill="auto"/>
            <w:tcMar>
              <w:top w:w="100" w:type="dxa"/>
              <w:left w:w="100" w:type="dxa"/>
              <w:bottom w:w="100" w:type="dxa"/>
              <w:right w:w="100" w:type="dxa"/>
            </w:tcMar>
          </w:tcPr>
          <w:p w14:paraId="466E8206"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6</w:t>
            </w:r>
          </w:p>
        </w:tc>
        <w:tc>
          <w:tcPr>
            <w:tcW w:w="1179" w:type="dxa"/>
            <w:tcBorders>
              <w:top w:val="nil"/>
              <w:left w:val="nil"/>
              <w:bottom w:val="nil"/>
              <w:right w:val="single" w:sz="8" w:space="0" w:color="000000"/>
            </w:tcBorders>
            <w:shd w:val="clear" w:color="auto" w:fill="auto"/>
            <w:tcMar>
              <w:top w:w="100" w:type="dxa"/>
              <w:left w:w="100" w:type="dxa"/>
              <w:bottom w:w="100" w:type="dxa"/>
              <w:right w:w="100" w:type="dxa"/>
            </w:tcMar>
          </w:tcPr>
          <w:p w14:paraId="187EF36E"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nil"/>
              <w:right w:val="single" w:sz="8" w:space="0" w:color="000000"/>
            </w:tcBorders>
            <w:shd w:val="clear" w:color="auto" w:fill="auto"/>
            <w:tcMar>
              <w:top w:w="100" w:type="dxa"/>
              <w:left w:w="100" w:type="dxa"/>
              <w:bottom w:w="100" w:type="dxa"/>
              <w:right w:w="100" w:type="dxa"/>
            </w:tcMar>
          </w:tcPr>
          <w:p w14:paraId="594D6EDE"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9</w:t>
            </w:r>
          </w:p>
        </w:tc>
      </w:tr>
      <w:tr w:rsidR="00F12285" w14:paraId="70131127"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DF73DB"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2A6C674F"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 xml:space="preserve">Moncín II </w:t>
            </w:r>
          </w:p>
        </w:tc>
        <w:tc>
          <w:tcPr>
            <w:tcW w:w="1270" w:type="dxa"/>
            <w:tcBorders>
              <w:top w:val="nil"/>
              <w:left w:val="nil"/>
              <w:bottom w:val="nil"/>
              <w:right w:val="nil"/>
            </w:tcBorders>
            <w:shd w:val="clear" w:color="auto" w:fill="auto"/>
            <w:tcMar>
              <w:top w:w="100" w:type="dxa"/>
              <w:left w:w="100" w:type="dxa"/>
              <w:bottom w:w="100" w:type="dxa"/>
              <w:right w:w="100" w:type="dxa"/>
            </w:tcMar>
          </w:tcPr>
          <w:p w14:paraId="1BC417DF"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nil"/>
              <w:right w:val="nil"/>
            </w:tcBorders>
            <w:shd w:val="clear" w:color="auto" w:fill="auto"/>
            <w:tcMar>
              <w:top w:w="100" w:type="dxa"/>
              <w:left w:w="100" w:type="dxa"/>
              <w:bottom w:w="100" w:type="dxa"/>
              <w:right w:w="100" w:type="dxa"/>
            </w:tcMar>
          </w:tcPr>
          <w:p w14:paraId="4CD4752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020" w:type="dxa"/>
            <w:tcBorders>
              <w:top w:val="nil"/>
              <w:left w:val="nil"/>
              <w:bottom w:val="nil"/>
              <w:right w:val="nil"/>
            </w:tcBorders>
            <w:shd w:val="clear" w:color="auto" w:fill="auto"/>
            <w:tcMar>
              <w:top w:w="100" w:type="dxa"/>
              <w:left w:w="100" w:type="dxa"/>
              <w:bottom w:w="100" w:type="dxa"/>
              <w:right w:w="100" w:type="dxa"/>
            </w:tcMar>
          </w:tcPr>
          <w:p w14:paraId="0D9EC996"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nil"/>
              <w:right w:val="nil"/>
            </w:tcBorders>
            <w:shd w:val="clear" w:color="auto" w:fill="auto"/>
            <w:tcMar>
              <w:top w:w="100" w:type="dxa"/>
              <w:left w:w="100" w:type="dxa"/>
              <w:bottom w:w="100" w:type="dxa"/>
              <w:right w:w="100" w:type="dxa"/>
            </w:tcMar>
          </w:tcPr>
          <w:p w14:paraId="1FA83B5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3</w:t>
            </w:r>
          </w:p>
        </w:tc>
        <w:tc>
          <w:tcPr>
            <w:tcW w:w="1179" w:type="dxa"/>
            <w:tcBorders>
              <w:top w:val="nil"/>
              <w:left w:val="nil"/>
              <w:bottom w:val="nil"/>
              <w:right w:val="single" w:sz="8" w:space="0" w:color="000000"/>
            </w:tcBorders>
            <w:shd w:val="clear" w:color="auto" w:fill="auto"/>
            <w:tcMar>
              <w:top w:w="100" w:type="dxa"/>
              <w:left w:w="100" w:type="dxa"/>
              <w:bottom w:w="100" w:type="dxa"/>
              <w:right w:w="100" w:type="dxa"/>
            </w:tcMar>
          </w:tcPr>
          <w:p w14:paraId="13FA174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nil"/>
              <w:right w:val="single" w:sz="8" w:space="0" w:color="000000"/>
            </w:tcBorders>
            <w:shd w:val="clear" w:color="auto" w:fill="auto"/>
            <w:tcMar>
              <w:top w:w="100" w:type="dxa"/>
              <w:left w:w="100" w:type="dxa"/>
              <w:bottom w:w="100" w:type="dxa"/>
              <w:right w:w="100" w:type="dxa"/>
            </w:tcMar>
          </w:tcPr>
          <w:p w14:paraId="7C5BFD58"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4</w:t>
            </w:r>
          </w:p>
        </w:tc>
      </w:tr>
      <w:tr w:rsidR="00F12285" w14:paraId="5F457B07"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85EC7F"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7ACE8A3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 xml:space="preserve">Moncín III </w:t>
            </w:r>
          </w:p>
        </w:tc>
        <w:tc>
          <w:tcPr>
            <w:tcW w:w="1270" w:type="dxa"/>
            <w:tcBorders>
              <w:top w:val="nil"/>
              <w:left w:val="nil"/>
              <w:bottom w:val="nil"/>
              <w:right w:val="nil"/>
            </w:tcBorders>
            <w:shd w:val="clear" w:color="auto" w:fill="auto"/>
            <w:tcMar>
              <w:top w:w="100" w:type="dxa"/>
              <w:left w:w="100" w:type="dxa"/>
              <w:bottom w:w="100" w:type="dxa"/>
              <w:right w:w="100" w:type="dxa"/>
            </w:tcMar>
          </w:tcPr>
          <w:p w14:paraId="609873A2"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585" w:type="dxa"/>
            <w:tcBorders>
              <w:top w:val="nil"/>
              <w:left w:val="nil"/>
              <w:bottom w:val="nil"/>
              <w:right w:val="nil"/>
            </w:tcBorders>
            <w:shd w:val="clear" w:color="auto" w:fill="auto"/>
            <w:tcMar>
              <w:top w:w="100" w:type="dxa"/>
              <w:left w:w="100" w:type="dxa"/>
              <w:bottom w:w="100" w:type="dxa"/>
              <w:right w:w="100" w:type="dxa"/>
            </w:tcMar>
          </w:tcPr>
          <w:p w14:paraId="5398F52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020" w:type="dxa"/>
            <w:tcBorders>
              <w:top w:val="nil"/>
              <w:left w:val="nil"/>
              <w:bottom w:val="nil"/>
              <w:right w:val="nil"/>
            </w:tcBorders>
            <w:shd w:val="clear" w:color="auto" w:fill="auto"/>
            <w:tcMar>
              <w:top w:w="100" w:type="dxa"/>
              <w:left w:w="100" w:type="dxa"/>
              <w:bottom w:w="100" w:type="dxa"/>
              <w:right w:w="100" w:type="dxa"/>
            </w:tcMar>
          </w:tcPr>
          <w:p w14:paraId="2E02ABB2"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nil"/>
              <w:right w:val="nil"/>
            </w:tcBorders>
            <w:shd w:val="clear" w:color="auto" w:fill="auto"/>
            <w:tcMar>
              <w:top w:w="100" w:type="dxa"/>
              <w:left w:w="100" w:type="dxa"/>
              <w:bottom w:w="100" w:type="dxa"/>
              <w:right w:w="100" w:type="dxa"/>
            </w:tcMar>
          </w:tcPr>
          <w:p w14:paraId="3781982B"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1179" w:type="dxa"/>
            <w:tcBorders>
              <w:top w:val="nil"/>
              <w:left w:val="nil"/>
              <w:bottom w:val="nil"/>
              <w:right w:val="single" w:sz="8" w:space="0" w:color="000000"/>
            </w:tcBorders>
            <w:shd w:val="clear" w:color="auto" w:fill="auto"/>
            <w:tcMar>
              <w:top w:w="100" w:type="dxa"/>
              <w:left w:w="100" w:type="dxa"/>
              <w:bottom w:w="100" w:type="dxa"/>
              <w:right w:w="100" w:type="dxa"/>
            </w:tcMar>
          </w:tcPr>
          <w:p w14:paraId="01B76E8F"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nil"/>
              <w:right w:val="single" w:sz="8" w:space="0" w:color="000000"/>
            </w:tcBorders>
            <w:shd w:val="clear" w:color="auto" w:fill="auto"/>
            <w:tcMar>
              <w:top w:w="100" w:type="dxa"/>
              <w:left w:w="100" w:type="dxa"/>
              <w:bottom w:w="100" w:type="dxa"/>
              <w:right w:w="100" w:type="dxa"/>
            </w:tcMar>
          </w:tcPr>
          <w:p w14:paraId="75191B9E"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4</w:t>
            </w:r>
          </w:p>
        </w:tc>
      </w:tr>
      <w:tr w:rsidR="00F12285" w14:paraId="6BE24FC4"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DAB6A"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F5BC4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Moncín IV</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4E43CCAC"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1A0FD22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6BFD083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65300F3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C4EC3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A743D6"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r>
      <w:tr w:rsidR="00F12285" w14:paraId="7A50C2C2"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1B090A"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6A1C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 xml:space="preserve">Total </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56E8D3F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3</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3D178238"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4</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49EB64A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5</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6680368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13</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7A75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39A8799"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25</w:t>
            </w:r>
          </w:p>
        </w:tc>
      </w:tr>
      <w:tr w:rsidR="00F12285" w14:paraId="50C6F0F9" w14:textId="77777777" w:rsidTr="00C552DC">
        <w:trPr>
          <w:trHeight w:val="397"/>
        </w:trPr>
        <w:tc>
          <w:tcPr>
            <w:tcW w:w="16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4C85F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El Estrechuelo</w:t>
            </w:r>
          </w:p>
        </w:tc>
        <w:tc>
          <w:tcPr>
            <w:tcW w:w="15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BB0C9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 xml:space="preserve">El Estrechuelo </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2BDF1D3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297022A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4DEDC3BF"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357B4BE2"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1ADA3E"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582"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F335EC1"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6</w:t>
            </w:r>
          </w:p>
        </w:tc>
      </w:tr>
      <w:tr w:rsidR="00F12285" w14:paraId="0E187AA0" w14:textId="77777777" w:rsidTr="00C552DC">
        <w:trPr>
          <w:trHeight w:val="397"/>
        </w:trPr>
        <w:tc>
          <w:tcPr>
            <w:tcW w:w="160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758A5"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Majaladares</w:t>
            </w:r>
          </w:p>
        </w:tc>
        <w:tc>
          <w:tcPr>
            <w:tcW w:w="1503"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49B0AA2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Majaladares ext.</w:t>
            </w:r>
          </w:p>
        </w:tc>
        <w:tc>
          <w:tcPr>
            <w:tcW w:w="1270" w:type="dxa"/>
            <w:tcBorders>
              <w:top w:val="nil"/>
              <w:left w:val="nil"/>
              <w:bottom w:val="nil"/>
              <w:right w:val="nil"/>
            </w:tcBorders>
            <w:shd w:val="clear" w:color="auto" w:fill="auto"/>
            <w:tcMar>
              <w:top w:w="100" w:type="dxa"/>
              <w:left w:w="100" w:type="dxa"/>
              <w:bottom w:w="100" w:type="dxa"/>
              <w:right w:w="100" w:type="dxa"/>
            </w:tcMar>
          </w:tcPr>
          <w:p w14:paraId="197B74F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nil"/>
              <w:right w:val="nil"/>
            </w:tcBorders>
            <w:shd w:val="clear" w:color="auto" w:fill="auto"/>
            <w:tcMar>
              <w:top w:w="100" w:type="dxa"/>
              <w:left w:w="100" w:type="dxa"/>
              <w:bottom w:w="100" w:type="dxa"/>
              <w:right w:w="100" w:type="dxa"/>
            </w:tcMar>
          </w:tcPr>
          <w:p w14:paraId="30427AA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020" w:type="dxa"/>
            <w:tcBorders>
              <w:top w:val="nil"/>
              <w:left w:val="nil"/>
              <w:bottom w:val="nil"/>
              <w:right w:val="nil"/>
            </w:tcBorders>
            <w:shd w:val="clear" w:color="auto" w:fill="auto"/>
            <w:tcMar>
              <w:top w:w="100" w:type="dxa"/>
              <w:left w:w="100" w:type="dxa"/>
              <w:bottom w:w="100" w:type="dxa"/>
              <w:right w:w="100" w:type="dxa"/>
            </w:tcMar>
          </w:tcPr>
          <w:p w14:paraId="016718A2"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nil"/>
              <w:right w:val="nil"/>
            </w:tcBorders>
            <w:shd w:val="clear" w:color="auto" w:fill="auto"/>
            <w:tcMar>
              <w:top w:w="100" w:type="dxa"/>
              <w:left w:w="100" w:type="dxa"/>
              <w:bottom w:w="100" w:type="dxa"/>
              <w:right w:w="100" w:type="dxa"/>
            </w:tcMar>
          </w:tcPr>
          <w:p w14:paraId="6B289D6C"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79" w:type="dxa"/>
            <w:tcBorders>
              <w:top w:val="nil"/>
              <w:left w:val="nil"/>
              <w:bottom w:val="nil"/>
              <w:right w:val="single" w:sz="8" w:space="0" w:color="000000"/>
            </w:tcBorders>
            <w:shd w:val="clear" w:color="auto" w:fill="auto"/>
            <w:tcMar>
              <w:top w:w="100" w:type="dxa"/>
              <w:left w:w="100" w:type="dxa"/>
              <w:bottom w:w="100" w:type="dxa"/>
              <w:right w:w="100" w:type="dxa"/>
            </w:tcMar>
          </w:tcPr>
          <w:p w14:paraId="102C1646"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nil"/>
              <w:right w:val="single" w:sz="8" w:space="0" w:color="000000"/>
            </w:tcBorders>
            <w:shd w:val="clear" w:color="auto" w:fill="auto"/>
            <w:tcMar>
              <w:top w:w="100" w:type="dxa"/>
              <w:left w:w="100" w:type="dxa"/>
              <w:bottom w:w="100" w:type="dxa"/>
              <w:right w:w="100" w:type="dxa"/>
            </w:tcMar>
          </w:tcPr>
          <w:p w14:paraId="065F38F3"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r>
      <w:tr w:rsidR="00F12285" w14:paraId="09D456D2"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251661"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15D8614E"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 xml:space="preserve">Majaladares I </w:t>
            </w:r>
          </w:p>
        </w:tc>
        <w:tc>
          <w:tcPr>
            <w:tcW w:w="1270" w:type="dxa"/>
            <w:tcBorders>
              <w:top w:val="nil"/>
              <w:left w:val="nil"/>
              <w:bottom w:val="nil"/>
              <w:right w:val="nil"/>
            </w:tcBorders>
            <w:shd w:val="clear" w:color="auto" w:fill="auto"/>
            <w:tcMar>
              <w:top w:w="100" w:type="dxa"/>
              <w:left w:w="100" w:type="dxa"/>
              <w:bottom w:w="100" w:type="dxa"/>
              <w:right w:w="100" w:type="dxa"/>
            </w:tcMar>
          </w:tcPr>
          <w:p w14:paraId="2919AD8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nil"/>
              <w:right w:val="nil"/>
            </w:tcBorders>
            <w:shd w:val="clear" w:color="auto" w:fill="auto"/>
            <w:tcMar>
              <w:top w:w="100" w:type="dxa"/>
              <w:left w:w="100" w:type="dxa"/>
              <w:bottom w:w="100" w:type="dxa"/>
              <w:right w:w="100" w:type="dxa"/>
            </w:tcMar>
          </w:tcPr>
          <w:p w14:paraId="5923C73F"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020" w:type="dxa"/>
            <w:tcBorders>
              <w:top w:val="nil"/>
              <w:left w:val="nil"/>
              <w:bottom w:val="nil"/>
              <w:right w:val="nil"/>
            </w:tcBorders>
            <w:shd w:val="clear" w:color="auto" w:fill="auto"/>
            <w:tcMar>
              <w:top w:w="100" w:type="dxa"/>
              <w:left w:w="100" w:type="dxa"/>
              <w:bottom w:w="100" w:type="dxa"/>
              <w:right w:w="100" w:type="dxa"/>
            </w:tcMar>
          </w:tcPr>
          <w:p w14:paraId="4C9FB19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906" w:type="dxa"/>
            <w:tcBorders>
              <w:top w:val="nil"/>
              <w:left w:val="nil"/>
              <w:bottom w:val="nil"/>
              <w:right w:val="nil"/>
            </w:tcBorders>
            <w:shd w:val="clear" w:color="auto" w:fill="auto"/>
            <w:tcMar>
              <w:top w:w="100" w:type="dxa"/>
              <w:left w:w="100" w:type="dxa"/>
              <w:bottom w:w="100" w:type="dxa"/>
              <w:right w:w="100" w:type="dxa"/>
            </w:tcMar>
          </w:tcPr>
          <w:p w14:paraId="256D2223"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179" w:type="dxa"/>
            <w:tcBorders>
              <w:top w:val="nil"/>
              <w:left w:val="nil"/>
              <w:bottom w:val="nil"/>
              <w:right w:val="single" w:sz="8" w:space="0" w:color="000000"/>
            </w:tcBorders>
            <w:shd w:val="clear" w:color="auto" w:fill="auto"/>
            <w:tcMar>
              <w:top w:w="100" w:type="dxa"/>
              <w:left w:w="100" w:type="dxa"/>
              <w:bottom w:w="100" w:type="dxa"/>
              <w:right w:w="100" w:type="dxa"/>
            </w:tcMar>
          </w:tcPr>
          <w:p w14:paraId="66C34D3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nil"/>
              <w:right w:val="single" w:sz="8" w:space="0" w:color="000000"/>
            </w:tcBorders>
            <w:shd w:val="clear" w:color="auto" w:fill="auto"/>
            <w:tcMar>
              <w:top w:w="100" w:type="dxa"/>
              <w:left w:w="100" w:type="dxa"/>
              <w:bottom w:w="100" w:type="dxa"/>
              <w:right w:w="100" w:type="dxa"/>
            </w:tcMar>
          </w:tcPr>
          <w:p w14:paraId="6D7703A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r>
      <w:tr w:rsidR="00F12285" w14:paraId="502641AC"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136379"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2CDBE0B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 xml:space="preserve">Majaladares II </w:t>
            </w:r>
          </w:p>
        </w:tc>
        <w:tc>
          <w:tcPr>
            <w:tcW w:w="1270" w:type="dxa"/>
            <w:tcBorders>
              <w:top w:val="nil"/>
              <w:left w:val="nil"/>
              <w:bottom w:val="nil"/>
              <w:right w:val="nil"/>
            </w:tcBorders>
            <w:shd w:val="clear" w:color="auto" w:fill="auto"/>
            <w:tcMar>
              <w:top w:w="100" w:type="dxa"/>
              <w:left w:w="100" w:type="dxa"/>
              <w:bottom w:w="100" w:type="dxa"/>
              <w:right w:w="100" w:type="dxa"/>
            </w:tcMar>
          </w:tcPr>
          <w:p w14:paraId="0A498CF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585" w:type="dxa"/>
            <w:tcBorders>
              <w:top w:val="nil"/>
              <w:left w:val="nil"/>
              <w:bottom w:val="nil"/>
              <w:right w:val="nil"/>
            </w:tcBorders>
            <w:shd w:val="clear" w:color="auto" w:fill="auto"/>
            <w:tcMar>
              <w:top w:w="100" w:type="dxa"/>
              <w:left w:w="100" w:type="dxa"/>
              <w:bottom w:w="100" w:type="dxa"/>
              <w:right w:w="100" w:type="dxa"/>
            </w:tcMar>
          </w:tcPr>
          <w:p w14:paraId="42B11B65"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020" w:type="dxa"/>
            <w:tcBorders>
              <w:top w:val="nil"/>
              <w:left w:val="nil"/>
              <w:bottom w:val="nil"/>
              <w:right w:val="nil"/>
            </w:tcBorders>
            <w:shd w:val="clear" w:color="auto" w:fill="auto"/>
            <w:tcMar>
              <w:top w:w="100" w:type="dxa"/>
              <w:left w:w="100" w:type="dxa"/>
              <w:bottom w:w="100" w:type="dxa"/>
              <w:right w:w="100" w:type="dxa"/>
            </w:tcMar>
          </w:tcPr>
          <w:p w14:paraId="1F74D8B8"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906" w:type="dxa"/>
            <w:tcBorders>
              <w:top w:val="nil"/>
              <w:left w:val="nil"/>
              <w:bottom w:val="nil"/>
              <w:right w:val="nil"/>
            </w:tcBorders>
            <w:shd w:val="clear" w:color="auto" w:fill="auto"/>
            <w:tcMar>
              <w:top w:w="100" w:type="dxa"/>
              <w:left w:w="100" w:type="dxa"/>
              <w:bottom w:w="100" w:type="dxa"/>
              <w:right w:w="100" w:type="dxa"/>
            </w:tcMar>
          </w:tcPr>
          <w:p w14:paraId="60AADB5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1179" w:type="dxa"/>
            <w:tcBorders>
              <w:top w:val="nil"/>
              <w:left w:val="nil"/>
              <w:bottom w:val="nil"/>
              <w:right w:val="single" w:sz="8" w:space="0" w:color="000000"/>
            </w:tcBorders>
            <w:shd w:val="clear" w:color="auto" w:fill="auto"/>
            <w:tcMar>
              <w:top w:w="100" w:type="dxa"/>
              <w:left w:w="100" w:type="dxa"/>
              <w:bottom w:w="100" w:type="dxa"/>
              <w:right w:w="100" w:type="dxa"/>
            </w:tcMar>
          </w:tcPr>
          <w:p w14:paraId="15AC8F6A"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nil"/>
              <w:right w:val="single" w:sz="8" w:space="0" w:color="000000"/>
            </w:tcBorders>
            <w:shd w:val="clear" w:color="auto" w:fill="auto"/>
            <w:tcMar>
              <w:top w:w="100" w:type="dxa"/>
              <w:left w:w="100" w:type="dxa"/>
              <w:bottom w:w="100" w:type="dxa"/>
              <w:right w:w="100" w:type="dxa"/>
            </w:tcMar>
          </w:tcPr>
          <w:p w14:paraId="180698F2"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4</w:t>
            </w:r>
          </w:p>
        </w:tc>
      </w:tr>
      <w:tr w:rsidR="00F12285" w14:paraId="02B1BC95"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B24171"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8583B6"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 xml:space="preserve">Majaladares III </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201ABA08"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3C5F816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36F309C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24CA0EB3"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A2BDD8"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59F8FC"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r>
      <w:tr w:rsidR="00F12285" w14:paraId="72B31B46" w14:textId="77777777" w:rsidTr="00C552DC">
        <w:trPr>
          <w:trHeight w:val="397"/>
        </w:trPr>
        <w:tc>
          <w:tcPr>
            <w:tcW w:w="160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9C5C38"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8AC41C"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 xml:space="preserve"> Total</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1A92490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7907753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2E29A91C"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0F496C12"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4</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C39A4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1033273"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9</w:t>
            </w:r>
          </w:p>
        </w:tc>
      </w:tr>
      <w:tr w:rsidR="00F12285" w14:paraId="40C78555" w14:textId="77777777" w:rsidTr="00C552DC">
        <w:trPr>
          <w:trHeight w:val="397"/>
        </w:trPr>
        <w:tc>
          <w:tcPr>
            <w:tcW w:w="16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2A40CB"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El Balcón</w:t>
            </w:r>
          </w:p>
        </w:tc>
        <w:tc>
          <w:tcPr>
            <w:tcW w:w="15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049492"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El Balcón</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36C4834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2BEDE7C8"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60E1B015"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4D2CF9F5"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7E0E2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BF212C8"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1</w:t>
            </w:r>
          </w:p>
        </w:tc>
      </w:tr>
      <w:tr w:rsidR="00F12285" w14:paraId="01920992" w14:textId="77777777" w:rsidTr="00C552DC">
        <w:trPr>
          <w:trHeight w:val="397"/>
        </w:trPr>
        <w:tc>
          <w:tcPr>
            <w:tcW w:w="16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52DF5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Barranco de La Albaradilla</w:t>
            </w:r>
          </w:p>
        </w:tc>
        <w:tc>
          <w:tcPr>
            <w:tcW w:w="15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4E5E0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Barranco de La Albaradilla</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10790097"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0D186B7D"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7CE04A96"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439A54D4"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B5181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8690FDA"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1</w:t>
            </w:r>
          </w:p>
        </w:tc>
      </w:tr>
      <w:tr w:rsidR="00F12285" w14:paraId="241F67D2" w14:textId="77777777" w:rsidTr="00C552DC">
        <w:trPr>
          <w:trHeight w:val="397"/>
        </w:trPr>
        <w:tc>
          <w:tcPr>
            <w:tcW w:w="160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85E4AE"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La Calleja</w:t>
            </w:r>
          </w:p>
        </w:tc>
        <w:tc>
          <w:tcPr>
            <w:tcW w:w="1503" w:type="dxa"/>
            <w:tcBorders>
              <w:top w:val="nil"/>
              <w:left w:val="nil"/>
              <w:bottom w:val="nil"/>
              <w:right w:val="single" w:sz="8" w:space="0" w:color="000000"/>
            </w:tcBorders>
            <w:shd w:val="clear" w:color="auto" w:fill="auto"/>
            <w:tcMar>
              <w:top w:w="100" w:type="dxa"/>
              <w:left w:w="100" w:type="dxa"/>
              <w:bottom w:w="100" w:type="dxa"/>
              <w:right w:w="100" w:type="dxa"/>
            </w:tcMar>
          </w:tcPr>
          <w:p w14:paraId="5DA2BB5B"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Calleja I</w:t>
            </w:r>
          </w:p>
        </w:tc>
        <w:tc>
          <w:tcPr>
            <w:tcW w:w="1270" w:type="dxa"/>
            <w:tcBorders>
              <w:top w:val="nil"/>
              <w:left w:val="nil"/>
              <w:bottom w:val="nil"/>
              <w:right w:val="nil"/>
            </w:tcBorders>
            <w:shd w:val="clear" w:color="auto" w:fill="auto"/>
            <w:tcMar>
              <w:top w:w="100" w:type="dxa"/>
              <w:left w:w="100" w:type="dxa"/>
              <w:bottom w:w="100" w:type="dxa"/>
              <w:right w:w="100" w:type="dxa"/>
            </w:tcMar>
          </w:tcPr>
          <w:p w14:paraId="46FA76B0"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nil"/>
              <w:right w:val="nil"/>
            </w:tcBorders>
            <w:shd w:val="clear" w:color="auto" w:fill="auto"/>
            <w:tcMar>
              <w:top w:w="100" w:type="dxa"/>
              <w:left w:w="100" w:type="dxa"/>
              <w:bottom w:w="100" w:type="dxa"/>
              <w:right w:w="100" w:type="dxa"/>
            </w:tcMar>
          </w:tcPr>
          <w:p w14:paraId="11A8159B"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020" w:type="dxa"/>
            <w:tcBorders>
              <w:top w:val="nil"/>
              <w:left w:val="nil"/>
              <w:bottom w:val="nil"/>
              <w:right w:val="nil"/>
            </w:tcBorders>
            <w:shd w:val="clear" w:color="auto" w:fill="auto"/>
            <w:tcMar>
              <w:top w:w="100" w:type="dxa"/>
              <w:left w:w="100" w:type="dxa"/>
              <w:bottom w:w="100" w:type="dxa"/>
              <w:right w:w="100" w:type="dxa"/>
            </w:tcMar>
          </w:tcPr>
          <w:p w14:paraId="7851A2B6"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nil"/>
              <w:right w:val="nil"/>
            </w:tcBorders>
            <w:shd w:val="clear" w:color="auto" w:fill="auto"/>
            <w:tcMar>
              <w:top w:w="100" w:type="dxa"/>
              <w:left w:w="100" w:type="dxa"/>
              <w:bottom w:w="100" w:type="dxa"/>
              <w:right w:w="100" w:type="dxa"/>
            </w:tcMar>
          </w:tcPr>
          <w:p w14:paraId="6EDC244A"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179" w:type="dxa"/>
            <w:tcBorders>
              <w:top w:val="nil"/>
              <w:left w:val="nil"/>
              <w:bottom w:val="nil"/>
              <w:right w:val="single" w:sz="8" w:space="0" w:color="000000"/>
            </w:tcBorders>
            <w:shd w:val="clear" w:color="auto" w:fill="auto"/>
            <w:tcMar>
              <w:top w:w="100" w:type="dxa"/>
              <w:left w:w="100" w:type="dxa"/>
              <w:bottom w:w="100" w:type="dxa"/>
              <w:right w:w="100" w:type="dxa"/>
            </w:tcMar>
          </w:tcPr>
          <w:p w14:paraId="0E69149C"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nil"/>
              <w:right w:val="single" w:sz="8" w:space="0" w:color="000000"/>
            </w:tcBorders>
            <w:shd w:val="clear" w:color="auto" w:fill="FCFCFC"/>
            <w:tcMar>
              <w:top w:w="100" w:type="dxa"/>
              <w:left w:w="100" w:type="dxa"/>
              <w:bottom w:w="100" w:type="dxa"/>
              <w:right w:w="100" w:type="dxa"/>
            </w:tcMar>
          </w:tcPr>
          <w:p w14:paraId="7048638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r>
      <w:tr w:rsidR="00F12285" w14:paraId="56286BDB" w14:textId="77777777" w:rsidTr="00C552DC">
        <w:trPr>
          <w:trHeight w:val="397"/>
        </w:trPr>
        <w:tc>
          <w:tcPr>
            <w:tcW w:w="1606"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DEB03D"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1C02E7"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Calleja II</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5AA84397"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0435D273"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1FD72A0C"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1C74BE8A"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BE861B"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single" w:sz="8" w:space="0" w:color="000000"/>
              <w:right w:val="single" w:sz="8" w:space="0" w:color="000000"/>
            </w:tcBorders>
            <w:shd w:val="clear" w:color="auto" w:fill="FCFCFC"/>
            <w:tcMar>
              <w:top w:w="100" w:type="dxa"/>
              <w:left w:w="100" w:type="dxa"/>
              <w:bottom w:w="100" w:type="dxa"/>
              <w:right w:w="100" w:type="dxa"/>
            </w:tcMar>
          </w:tcPr>
          <w:p w14:paraId="392B88B5"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1</w:t>
            </w:r>
          </w:p>
        </w:tc>
      </w:tr>
      <w:tr w:rsidR="00F12285" w14:paraId="7C4C5C2F" w14:textId="77777777" w:rsidTr="00C552DC">
        <w:trPr>
          <w:trHeight w:val="390"/>
        </w:trPr>
        <w:tc>
          <w:tcPr>
            <w:tcW w:w="1606"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BEA42C" w14:textId="77777777" w:rsidR="00F12285" w:rsidRDefault="00F12285" w:rsidP="00C552DC">
            <w:pPr>
              <w:widowControl w:val="0"/>
              <w:pBdr>
                <w:top w:val="nil"/>
                <w:left w:val="nil"/>
                <w:bottom w:val="nil"/>
                <w:right w:val="nil"/>
                <w:between w:val="nil"/>
              </w:pBdr>
              <w:rPr>
                <w:rFonts w:ascii="Calibri" w:eastAsia="Calibri" w:hAnsi="Calibri" w:cs="Calibri"/>
                <w:sz w:val="16"/>
                <w:szCs w:val="16"/>
              </w:rPr>
            </w:pPr>
          </w:p>
        </w:tc>
        <w:tc>
          <w:tcPr>
            <w:tcW w:w="15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AD103E"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Total</w:t>
            </w:r>
          </w:p>
        </w:tc>
        <w:tc>
          <w:tcPr>
            <w:tcW w:w="1270" w:type="dxa"/>
            <w:tcBorders>
              <w:top w:val="nil"/>
              <w:left w:val="nil"/>
              <w:bottom w:val="single" w:sz="8" w:space="0" w:color="000000"/>
              <w:right w:val="nil"/>
            </w:tcBorders>
            <w:shd w:val="clear" w:color="auto" w:fill="auto"/>
            <w:tcMar>
              <w:top w:w="100" w:type="dxa"/>
              <w:left w:w="100" w:type="dxa"/>
              <w:bottom w:w="100" w:type="dxa"/>
              <w:right w:w="100" w:type="dxa"/>
            </w:tcMar>
          </w:tcPr>
          <w:p w14:paraId="6554CF5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5" w:type="dxa"/>
            <w:tcBorders>
              <w:top w:val="nil"/>
              <w:left w:val="nil"/>
              <w:bottom w:val="single" w:sz="8" w:space="0" w:color="000000"/>
              <w:right w:val="nil"/>
            </w:tcBorders>
            <w:shd w:val="clear" w:color="auto" w:fill="auto"/>
            <w:tcMar>
              <w:top w:w="100" w:type="dxa"/>
              <w:left w:w="100" w:type="dxa"/>
              <w:bottom w:w="100" w:type="dxa"/>
              <w:right w:w="100" w:type="dxa"/>
            </w:tcMar>
          </w:tcPr>
          <w:p w14:paraId="01A36559"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1020" w:type="dxa"/>
            <w:tcBorders>
              <w:top w:val="nil"/>
              <w:left w:val="nil"/>
              <w:bottom w:val="single" w:sz="8" w:space="0" w:color="000000"/>
              <w:right w:val="nil"/>
            </w:tcBorders>
            <w:shd w:val="clear" w:color="auto" w:fill="auto"/>
            <w:tcMar>
              <w:top w:w="100" w:type="dxa"/>
              <w:left w:w="100" w:type="dxa"/>
              <w:bottom w:w="100" w:type="dxa"/>
              <w:right w:w="100" w:type="dxa"/>
            </w:tcMar>
          </w:tcPr>
          <w:p w14:paraId="7473BCE7"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906" w:type="dxa"/>
            <w:tcBorders>
              <w:top w:val="nil"/>
              <w:left w:val="nil"/>
              <w:bottom w:val="single" w:sz="8" w:space="0" w:color="000000"/>
              <w:right w:val="nil"/>
            </w:tcBorders>
            <w:shd w:val="clear" w:color="auto" w:fill="auto"/>
            <w:tcMar>
              <w:top w:w="100" w:type="dxa"/>
              <w:left w:w="100" w:type="dxa"/>
              <w:bottom w:w="100" w:type="dxa"/>
              <w:right w:w="100" w:type="dxa"/>
            </w:tcMar>
          </w:tcPr>
          <w:p w14:paraId="1722E54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C1ACE1" w14:textId="77777777" w:rsidR="00F12285" w:rsidRDefault="00F12285" w:rsidP="00C552DC">
            <w:pPr>
              <w:spacing w:line="240" w:lineRule="auto"/>
              <w:jc w:val="center"/>
              <w:rPr>
                <w:rFonts w:ascii="Calibri" w:eastAsia="Calibri" w:hAnsi="Calibri" w:cs="Calibri"/>
                <w:sz w:val="16"/>
                <w:szCs w:val="16"/>
              </w:rPr>
            </w:pPr>
            <w:r>
              <w:rPr>
                <w:rFonts w:ascii="Calibri" w:eastAsia="Calibri" w:hAnsi="Calibri" w:cs="Calibri"/>
                <w:sz w:val="16"/>
                <w:szCs w:val="16"/>
              </w:rPr>
              <w:t>-</w:t>
            </w:r>
          </w:p>
        </w:tc>
        <w:tc>
          <w:tcPr>
            <w:tcW w:w="582"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1120B68" w14:textId="77777777" w:rsidR="00F12285" w:rsidRDefault="00F12285" w:rsidP="00C552DC">
            <w:pPr>
              <w:spacing w:line="240" w:lineRule="auto"/>
              <w:jc w:val="center"/>
              <w:rPr>
                <w:rFonts w:ascii="Calibri" w:eastAsia="Calibri" w:hAnsi="Calibri" w:cs="Calibri"/>
                <w:b/>
                <w:sz w:val="16"/>
                <w:szCs w:val="16"/>
              </w:rPr>
            </w:pPr>
            <w:r>
              <w:rPr>
                <w:rFonts w:ascii="Calibri" w:eastAsia="Calibri" w:hAnsi="Calibri" w:cs="Calibri"/>
                <w:b/>
                <w:sz w:val="16"/>
                <w:szCs w:val="16"/>
              </w:rPr>
              <w:t>2</w:t>
            </w:r>
          </w:p>
        </w:tc>
      </w:tr>
    </w:tbl>
    <w:p w14:paraId="18797B40" w14:textId="77777777" w:rsidR="00F12285" w:rsidRDefault="00F12285" w:rsidP="00F12285">
      <w:pPr>
        <w:rPr>
          <w:rFonts w:ascii="Calibri" w:eastAsia="Calibri" w:hAnsi="Calibri" w:cs="Calibri"/>
          <w:highlight w:val="green"/>
        </w:rPr>
      </w:pPr>
      <w:r>
        <w:br w:type="page"/>
      </w:r>
    </w:p>
    <w:p w14:paraId="077A099D" w14:textId="77777777" w:rsidR="00F12285" w:rsidRDefault="00F12285" w:rsidP="00F12285">
      <w:pPr>
        <w:spacing w:after="200" w:line="240" w:lineRule="auto"/>
        <w:jc w:val="both"/>
        <w:rPr>
          <w:rFonts w:ascii="Calibri" w:eastAsia="Calibri" w:hAnsi="Calibri" w:cs="Calibri"/>
          <w:color w:val="131413"/>
          <w:highlight w:val="white"/>
        </w:rPr>
      </w:pPr>
      <w:r>
        <w:rPr>
          <w:rFonts w:ascii="Calibri" w:eastAsia="Calibri" w:hAnsi="Calibri" w:cs="Calibri"/>
          <w:b/>
          <w:color w:val="131413"/>
          <w:highlight w:val="white"/>
        </w:rPr>
        <w:lastRenderedPageBreak/>
        <w:t>Table 2</w:t>
      </w:r>
      <w:r>
        <w:rPr>
          <w:rFonts w:ascii="Calibri" w:eastAsia="Calibri" w:hAnsi="Calibri" w:cs="Calibri"/>
          <w:color w:val="131413"/>
          <w:highlight w:val="white"/>
        </w:rPr>
        <w:t xml:space="preserve"> </w:t>
      </w:r>
      <w:r>
        <w:rPr>
          <w:rFonts w:ascii="Calibri" w:eastAsia="Calibri" w:hAnsi="Calibri" w:cs="Calibri"/>
          <w:color w:val="131413"/>
          <w:highlight w:val="white"/>
        </w:rPr>
        <w:tab/>
        <w:t xml:space="preserve">Stable carbon and nitrogen isotope results and bone collagen quality indicators of human remains. </w:t>
      </w:r>
      <w:r>
        <w:rPr>
          <w:rFonts w:ascii="Calibri" w:eastAsia="Calibri" w:hAnsi="Calibri" w:cs="Calibri"/>
        </w:rPr>
        <w:t xml:space="preserve">The estimated caloric contribution of food sources is also reported in %, reported as the mean </w:t>
      </w:r>
      <w:r>
        <w:rPr>
          <w:rFonts w:ascii="Calibri" w:eastAsia="Calibri" w:hAnsi="Calibri" w:cs="Calibri"/>
          <w:highlight w:val="white"/>
        </w:rPr>
        <w:t xml:space="preserve">± </w:t>
      </w:r>
      <w:r>
        <w:rPr>
          <w:rFonts w:ascii="Calibri" w:eastAsia="Calibri" w:hAnsi="Calibri" w:cs="Calibri"/>
        </w:rPr>
        <w:t>1σ</w:t>
      </w:r>
    </w:p>
    <w:tbl>
      <w:tblPr>
        <w:tblStyle w:val="ae"/>
        <w:tblW w:w="1057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690"/>
        <w:gridCol w:w="1530"/>
        <w:gridCol w:w="915"/>
        <w:gridCol w:w="975"/>
        <w:gridCol w:w="675"/>
        <w:gridCol w:w="540"/>
        <w:gridCol w:w="540"/>
        <w:gridCol w:w="660"/>
        <w:gridCol w:w="630"/>
        <w:gridCol w:w="660"/>
        <w:gridCol w:w="810"/>
        <w:gridCol w:w="990"/>
        <w:gridCol w:w="960"/>
      </w:tblGrid>
      <w:tr w:rsidR="00F12285" w14:paraId="0238A5FA" w14:textId="77777777" w:rsidTr="00C552DC">
        <w:trPr>
          <w:trHeight w:val="440"/>
        </w:trPr>
        <w:tc>
          <w:tcPr>
            <w:tcW w:w="690" w:type="dxa"/>
            <w:tcBorders>
              <w:top w:val="single" w:sz="8" w:space="0" w:color="000000"/>
              <w:left w:val="nil"/>
              <w:bottom w:val="single" w:sz="8" w:space="0" w:color="000000"/>
              <w:right w:val="nil"/>
            </w:tcBorders>
            <w:tcMar>
              <w:top w:w="20" w:type="dxa"/>
              <w:left w:w="20" w:type="dxa"/>
              <w:bottom w:w="20" w:type="dxa"/>
              <w:right w:w="20" w:type="dxa"/>
            </w:tcMar>
            <w:vAlign w:val="center"/>
          </w:tcPr>
          <w:p w14:paraId="6FCF8AD3" w14:textId="77777777" w:rsidR="00F12285" w:rsidRDefault="00F12285" w:rsidP="00C552DC">
            <w:pPr>
              <w:spacing w:line="240" w:lineRule="auto"/>
              <w:jc w:val="center"/>
              <w:rPr>
                <w:rFonts w:ascii="Calibri" w:eastAsia="Calibri" w:hAnsi="Calibri" w:cs="Calibri"/>
                <w:b/>
                <w:sz w:val="18"/>
                <w:szCs w:val="18"/>
                <w:highlight w:val="white"/>
              </w:rPr>
            </w:pPr>
            <w:r>
              <w:rPr>
                <w:rFonts w:ascii="Calibri" w:eastAsia="Calibri" w:hAnsi="Calibri" w:cs="Calibri"/>
                <w:b/>
                <w:sz w:val="18"/>
                <w:szCs w:val="18"/>
                <w:highlight w:val="white"/>
              </w:rPr>
              <w:t>Sample</w:t>
            </w:r>
          </w:p>
        </w:tc>
        <w:tc>
          <w:tcPr>
            <w:tcW w:w="1530" w:type="dxa"/>
            <w:tcBorders>
              <w:top w:val="single" w:sz="8" w:space="0" w:color="000000"/>
              <w:left w:val="nil"/>
              <w:bottom w:val="single" w:sz="8" w:space="0" w:color="000000"/>
              <w:right w:val="nil"/>
            </w:tcBorders>
            <w:vAlign w:val="center"/>
          </w:tcPr>
          <w:p w14:paraId="080DA2BD" w14:textId="77777777" w:rsidR="00F12285" w:rsidRDefault="00F12285" w:rsidP="00C552DC">
            <w:pPr>
              <w:spacing w:line="240" w:lineRule="auto"/>
              <w:jc w:val="center"/>
              <w:rPr>
                <w:rFonts w:ascii="Calibri" w:eastAsia="Calibri" w:hAnsi="Calibri" w:cs="Calibri"/>
                <w:b/>
                <w:sz w:val="18"/>
                <w:szCs w:val="18"/>
                <w:highlight w:val="white"/>
              </w:rPr>
            </w:pPr>
            <w:r>
              <w:rPr>
                <w:rFonts w:ascii="Calibri" w:eastAsia="Calibri" w:hAnsi="Calibri" w:cs="Calibri"/>
                <w:b/>
                <w:sz w:val="18"/>
                <w:szCs w:val="18"/>
                <w:highlight w:val="white"/>
              </w:rPr>
              <w:t>Site</w:t>
            </w:r>
          </w:p>
        </w:tc>
        <w:tc>
          <w:tcPr>
            <w:tcW w:w="915" w:type="dxa"/>
            <w:tcBorders>
              <w:top w:val="single" w:sz="8" w:space="0" w:color="000000"/>
              <w:left w:val="nil"/>
              <w:bottom w:val="single" w:sz="8" w:space="0" w:color="000000"/>
              <w:right w:val="nil"/>
            </w:tcBorders>
            <w:vAlign w:val="center"/>
          </w:tcPr>
          <w:p w14:paraId="0E28D74C" w14:textId="77777777" w:rsidR="00F12285" w:rsidRDefault="00F12285" w:rsidP="00C552DC">
            <w:pPr>
              <w:spacing w:line="240" w:lineRule="auto"/>
              <w:jc w:val="center"/>
              <w:rPr>
                <w:rFonts w:ascii="Calibri" w:eastAsia="Calibri" w:hAnsi="Calibri" w:cs="Calibri"/>
                <w:b/>
                <w:sz w:val="18"/>
                <w:szCs w:val="18"/>
                <w:highlight w:val="white"/>
              </w:rPr>
            </w:pPr>
            <w:r>
              <w:rPr>
                <w:rFonts w:ascii="Calibri" w:eastAsia="Calibri" w:hAnsi="Calibri" w:cs="Calibri"/>
                <w:b/>
                <w:sz w:val="18"/>
                <w:szCs w:val="18"/>
                <w:highlight w:val="white"/>
              </w:rPr>
              <w:t>Element sampled</w:t>
            </w:r>
          </w:p>
        </w:tc>
        <w:tc>
          <w:tcPr>
            <w:tcW w:w="975" w:type="dxa"/>
            <w:tcBorders>
              <w:top w:val="single" w:sz="8" w:space="0" w:color="000000"/>
              <w:left w:val="nil"/>
              <w:bottom w:val="single" w:sz="8" w:space="0" w:color="000000"/>
              <w:right w:val="nil"/>
            </w:tcBorders>
            <w:vAlign w:val="center"/>
          </w:tcPr>
          <w:p w14:paraId="4FD83FA6" w14:textId="77777777" w:rsidR="00F12285" w:rsidRDefault="00F12285" w:rsidP="00C552DC">
            <w:pPr>
              <w:spacing w:line="240" w:lineRule="auto"/>
              <w:jc w:val="center"/>
              <w:rPr>
                <w:rFonts w:ascii="Calibri" w:eastAsia="Calibri" w:hAnsi="Calibri" w:cs="Calibri"/>
                <w:b/>
                <w:sz w:val="18"/>
                <w:szCs w:val="18"/>
                <w:highlight w:val="white"/>
              </w:rPr>
            </w:pPr>
            <w:r>
              <w:rPr>
                <w:rFonts w:ascii="Calibri" w:eastAsia="Calibri" w:hAnsi="Calibri" w:cs="Calibri"/>
                <w:b/>
                <w:sz w:val="18"/>
                <w:szCs w:val="18"/>
                <w:highlight w:val="white"/>
              </w:rPr>
              <w:t>Age</w:t>
            </w:r>
          </w:p>
        </w:tc>
        <w:tc>
          <w:tcPr>
            <w:tcW w:w="675" w:type="dxa"/>
            <w:tcBorders>
              <w:top w:val="single" w:sz="8" w:space="0" w:color="000000"/>
              <w:left w:val="nil"/>
              <w:bottom w:val="single" w:sz="8" w:space="0" w:color="000000"/>
              <w:right w:val="nil"/>
            </w:tcBorders>
            <w:vAlign w:val="center"/>
          </w:tcPr>
          <w:p w14:paraId="360E9042" w14:textId="77777777" w:rsidR="00F12285" w:rsidRDefault="00F12285" w:rsidP="00C552DC">
            <w:pPr>
              <w:spacing w:line="240" w:lineRule="auto"/>
              <w:jc w:val="center"/>
              <w:rPr>
                <w:rFonts w:ascii="Calibri" w:eastAsia="Calibri" w:hAnsi="Calibri" w:cs="Calibri"/>
                <w:b/>
                <w:sz w:val="18"/>
                <w:szCs w:val="18"/>
                <w:highlight w:val="white"/>
              </w:rPr>
            </w:pPr>
            <w:r>
              <w:rPr>
                <w:rFonts w:ascii="Calibri" w:eastAsia="Calibri" w:hAnsi="Calibri" w:cs="Calibri"/>
                <w:b/>
                <w:sz w:val="18"/>
                <w:szCs w:val="18"/>
                <w:highlight w:val="white"/>
              </w:rPr>
              <w:t>Yield (%)</w:t>
            </w:r>
          </w:p>
        </w:tc>
        <w:tc>
          <w:tcPr>
            <w:tcW w:w="540" w:type="dxa"/>
            <w:tcBorders>
              <w:top w:val="single" w:sz="8" w:space="0" w:color="000000"/>
              <w:left w:val="nil"/>
              <w:bottom w:val="single" w:sz="8" w:space="0" w:color="000000"/>
              <w:right w:val="nil"/>
            </w:tcBorders>
            <w:vAlign w:val="center"/>
          </w:tcPr>
          <w:p w14:paraId="67C0FC5B" w14:textId="77777777" w:rsidR="00F12285" w:rsidRDefault="00F12285" w:rsidP="00C552DC">
            <w:pPr>
              <w:spacing w:line="240" w:lineRule="auto"/>
              <w:jc w:val="center"/>
              <w:rPr>
                <w:rFonts w:ascii="Calibri" w:eastAsia="Calibri" w:hAnsi="Calibri" w:cs="Calibri"/>
                <w:b/>
                <w:sz w:val="18"/>
                <w:szCs w:val="18"/>
                <w:highlight w:val="white"/>
              </w:rPr>
            </w:pPr>
            <w:r>
              <w:rPr>
                <w:rFonts w:ascii="Calibri" w:eastAsia="Calibri" w:hAnsi="Calibri" w:cs="Calibri"/>
                <w:b/>
                <w:sz w:val="18"/>
                <w:szCs w:val="18"/>
                <w:highlight w:val="white"/>
              </w:rPr>
              <w:t>%C</w:t>
            </w:r>
          </w:p>
        </w:tc>
        <w:tc>
          <w:tcPr>
            <w:tcW w:w="540" w:type="dxa"/>
            <w:tcBorders>
              <w:top w:val="single" w:sz="8" w:space="0" w:color="000000"/>
              <w:left w:val="nil"/>
              <w:bottom w:val="single" w:sz="8" w:space="0" w:color="000000"/>
              <w:right w:val="nil"/>
            </w:tcBorders>
            <w:vAlign w:val="center"/>
          </w:tcPr>
          <w:p w14:paraId="719E1ABA" w14:textId="77777777" w:rsidR="00F12285" w:rsidRDefault="00F12285" w:rsidP="00C552DC">
            <w:pPr>
              <w:spacing w:line="240" w:lineRule="auto"/>
              <w:jc w:val="center"/>
              <w:rPr>
                <w:rFonts w:ascii="Calibri" w:eastAsia="Calibri" w:hAnsi="Calibri" w:cs="Calibri"/>
                <w:b/>
                <w:sz w:val="18"/>
                <w:szCs w:val="18"/>
                <w:highlight w:val="white"/>
              </w:rPr>
            </w:pPr>
            <w:r>
              <w:rPr>
                <w:rFonts w:ascii="Calibri" w:eastAsia="Calibri" w:hAnsi="Calibri" w:cs="Calibri"/>
                <w:b/>
                <w:sz w:val="18"/>
                <w:szCs w:val="18"/>
                <w:highlight w:val="white"/>
              </w:rPr>
              <w:t>%N</w:t>
            </w:r>
          </w:p>
        </w:tc>
        <w:tc>
          <w:tcPr>
            <w:tcW w:w="660" w:type="dxa"/>
            <w:tcBorders>
              <w:top w:val="single" w:sz="8" w:space="0" w:color="000000"/>
              <w:left w:val="nil"/>
              <w:bottom w:val="single" w:sz="8" w:space="0" w:color="000000"/>
              <w:right w:val="nil"/>
            </w:tcBorders>
            <w:vAlign w:val="center"/>
          </w:tcPr>
          <w:p w14:paraId="59745272" w14:textId="77777777" w:rsidR="00F12285" w:rsidRDefault="00F12285" w:rsidP="00C552DC">
            <w:pPr>
              <w:spacing w:line="240" w:lineRule="auto"/>
              <w:jc w:val="center"/>
              <w:rPr>
                <w:rFonts w:ascii="Calibri" w:eastAsia="Calibri" w:hAnsi="Calibri" w:cs="Calibri"/>
                <w:b/>
                <w:sz w:val="18"/>
                <w:szCs w:val="18"/>
                <w:highlight w:val="white"/>
              </w:rPr>
            </w:pPr>
            <w:r>
              <w:rPr>
                <w:rFonts w:ascii="Calibri" w:eastAsia="Calibri" w:hAnsi="Calibri" w:cs="Calibri"/>
                <w:b/>
                <w:sz w:val="18"/>
                <w:szCs w:val="18"/>
                <w:highlight w:val="white"/>
              </w:rPr>
              <w:t>C/N</w:t>
            </w:r>
          </w:p>
        </w:tc>
        <w:tc>
          <w:tcPr>
            <w:tcW w:w="630" w:type="dxa"/>
            <w:tcBorders>
              <w:top w:val="single" w:sz="8" w:space="0" w:color="000000"/>
              <w:left w:val="nil"/>
              <w:bottom w:val="single" w:sz="8" w:space="0" w:color="000000"/>
              <w:right w:val="nil"/>
            </w:tcBorders>
            <w:vAlign w:val="center"/>
          </w:tcPr>
          <w:p w14:paraId="5E8BC970" w14:textId="77777777" w:rsidR="00F12285" w:rsidRDefault="00F12285" w:rsidP="00C552DC">
            <w:pPr>
              <w:spacing w:line="240" w:lineRule="auto"/>
              <w:jc w:val="center"/>
              <w:rPr>
                <w:rFonts w:ascii="Calibri" w:eastAsia="Calibri" w:hAnsi="Calibri" w:cs="Calibri"/>
                <w:b/>
                <w:sz w:val="20"/>
                <w:szCs w:val="20"/>
                <w:highlight w:val="white"/>
              </w:rPr>
            </w:pPr>
            <w:r>
              <w:rPr>
                <w:rFonts w:ascii="Calibri" w:eastAsia="Calibri" w:hAnsi="Calibri" w:cs="Calibri"/>
                <w:b/>
                <w:sz w:val="20"/>
                <w:szCs w:val="20"/>
                <w:highlight w:val="white"/>
              </w:rPr>
              <w:t>δ13C (‰)</w:t>
            </w:r>
          </w:p>
        </w:tc>
        <w:tc>
          <w:tcPr>
            <w:tcW w:w="660" w:type="dxa"/>
            <w:tcBorders>
              <w:top w:val="single" w:sz="8" w:space="0" w:color="000000"/>
              <w:left w:val="nil"/>
              <w:bottom w:val="single" w:sz="8" w:space="0" w:color="000000"/>
              <w:right w:val="nil"/>
            </w:tcBorders>
            <w:vAlign w:val="center"/>
          </w:tcPr>
          <w:p w14:paraId="33BBA85A" w14:textId="77777777" w:rsidR="00F12285" w:rsidRDefault="00F12285" w:rsidP="00C552DC">
            <w:pPr>
              <w:spacing w:line="240" w:lineRule="auto"/>
              <w:jc w:val="center"/>
              <w:rPr>
                <w:rFonts w:ascii="Calibri" w:eastAsia="Calibri" w:hAnsi="Calibri" w:cs="Calibri"/>
                <w:b/>
                <w:sz w:val="20"/>
                <w:szCs w:val="20"/>
                <w:highlight w:val="white"/>
              </w:rPr>
            </w:pPr>
            <w:r>
              <w:rPr>
                <w:rFonts w:ascii="Calibri" w:eastAsia="Calibri" w:hAnsi="Calibri" w:cs="Calibri"/>
                <w:b/>
                <w:sz w:val="20"/>
                <w:szCs w:val="20"/>
                <w:highlight w:val="white"/>
              </w:rPr>
              <w:t>δ</w:t>
            </w:r>
            <w:r>
              <w:rPr>
                <w:rFonts w:ascii="Calibri" w:eastAsia="Calibri" w:hAnsi="Calibri" w:cs="Calibri"/>
                <w:b/>
                <w:sz w:val="20"/>
                <w:szCs w:val="20"/>
                <w:highlight w:val="white"/>
                <w:vertAlign w:val="superscript"/>
              </w:rPr>
              <w:t>15</w:t>
            </w:r>
            <w:r>
              <w:rPr>
                <w:rFonts w:ascii="Calibri" w:eastAsia="Calibri" w:hAnsi="Calibri" w:cs="Calibri"/>
                <w:b/>
                <w:sz w:val="20"/>
                <w:szCs w:val="20"/>
                <w:highlight w:val="white"/>
              </w:rPr>
              <w:t>N (‰)</w:t>
            </w:r>
          </w:p>
        </w:tc>
        <w:tc>
          <w:tcPr>
            <w:tcW w:w="810" w:type="dxa"/>
            <w:tcBorders>
              <w:top w:val="single" w:sz="8" w:space="0" w:color="000000"/>
              <w:left w:val="nil"/>
              <w:bottom w:val="single" w:sz="8" w:space="0" w:color="000000"/>
              <w:right w:val="nil"/>
            </w:tcBorders>
            <w:vAlign w:val="center"/>
          </w:tcPr>
          <w:p w14:paraId="4136564B" w14:textId="77777777" w:rsidR="00F12285" w:rsidRDefault="00F12285" w:rsidP="00C552DC">
            <w:pPr>
              <w:spacing w:line="240" w:lineRule="auto"/>
              <w:jc w:val="center"/>
              <w:rPr>
                <w:rFonts w:ascii="Calibri" w:eastAsia="Calibri" w:hAnsi="Calibri" w:cs="Calibri"/>
                <w:b/>
                <w:sz w:val="16"/>
                <w:szCs w:val="16"/>
                <w:highlight w:val="white"/>
              </w:rPr>
            </w:pPr>
            <w:r>
              <w:rPr>
                <w:rFonts w:ascii="Calibri" w:eastAsia="Calibri" w:hAnsi="Calibri" w:cs="Calibri"/>
                <w:b/>
                <w:sz w:val="16"/>
                <w:szCs w:val="16"/>
                <w:highlight w:val="white"/>
              </w:rPr>
              <w:t>C3 cereals (%)</w:t>
            </w:r>
          </w:p>
        </w:tc>
        <w:tc>
          <w:tcPr>
            <w:tcW w:w="990" w:type="dxa"/>
            <w:tcBorders>
              <w:top w:val="single" w:sz="8" w:space="0" w:color="000000"/>
              <w:left w:val="nil"/>
              <w:bottom w:val="single" w:sz="8" w:space="0" w:color="000000"/>
              <w:right w:val="nil"/>
            </w:tcBorders>
            <w:vAlign w:val="center"/>
          </w:tcPr>
          <w:p w14:paraId="5C994DAA" w14:textId="77777777" w:rsidR="00F12285" w:rsidRDefault="00F12285" w:rsidP="00C552DC">
            <w:pPr>
              <w:spacing w:line="240" w:lineRule="auto"/>
              <w:jc w:val="center"/>
              <w:rPr>
                <w:rFonts w:ascii="Calibri" w:eastAsia="Calibri" w:hAnsi="Calibri" w:cs="Calibri"/>
                <w:b/>
                <w:sz w:val="16"/>
                <w:szCs w:val="16"/>
                <w:highlight w:val="white"/>
              </w:rPr>
            </w:pPr>
            <w:r>
              <w:rPr>
                <w:rFonts w:ascii="Calibri" w:eastAsia="Calibri" w:hAnsi="Calibri" w:cs="Calibri"/>
                <w:b/>
                <w:sz w:val="16"/>
                <w:szCs w:val="16"/>
                <w:highlight w:val="white"/>
              </w:rPr>
              <w:t>Domestic Herbivores (%)</w:t>
            </w:r>
          </w:p>
        </w:tc>
        <w:tc>
          <w:tcPr>
            <w:tcW w:w="960" w:type="dxa"/>
            <w:tcBorders>
              <w:top w:val="single" w:sz="8" w:space="0" w:color="000000"/>
              <w:left w:val="nil"/>
              <w:bottom w:val="single" w:sz="8" w:space="0" w:color="000000"/>
              <w:right w:val="nil"/>
            </w:tcBorders>
            <w:vAlign w:val="center"/>
          </w:tcPr>
          <w:p w14:paraId="00456B79" w14:textId="77777777" w:rsidR="00F12285" w:rsidRDefault="00F12285" w:rsidP="00C552DC">
            <w:pPr>
              <w:spacing w:line="240" w:lineRule="auto"/>
              <w:jc w:val="center"/>
              <w:rPr>
                <w:rFonts w:ascii="Calibri" w:eastAsia="Calibri" w:hAnsi="Calibri" w:cs="Calibri"/>
                <w:b/>
                <w:sz w:val="16"/>
                <w:szCs w:val="16"/>
                <w:highlight w:val="white"/>
              </w:rPr>
            </w:pPr>
            <w:r>
              <w:rPr>
                <w:rFonts w:ascii="Calibri" w:eastAsia="Calibri" w:hAnsi="Calibri" w:cs="Calibri"/>
                <w:b/>
                <w:sz w:val="16"/>
                <w:szCs w:val="16"/>
                <w:highlight w:val="white"/>
              </w:rPr>
              <w:t>Wild Herbivores (%)</w:t>
            </w:r>
          </w:p>
        </w:tc>
      </w:tr>
      <w:tr w:rsidR="00F12285" w14:paraId="54C6753B" w14:textId="77777777" w:rsidTr="00C552DC">
        <w:trPr>
          <w:trHeight w:val="420"/>
        </w:trPr>
        <w:tc>
          <w:tcPr>
            <w:tcW w:w="690" w:type="dxa"/>
            <w:tcBorders>
              <w:top w:val="single" w:sz="8" w:space="0" w:color="000000"/>
              <w:left w:val="nil"/>
              <w:bottom w:val="nil"/>
              <w:right w:val="nil"/>
            </w:tcBorders>
            <w:tcMar>
              <w:top w:w="20" w:type="dxa"/>
              <w:left w:w="20" w:type="dxa"/>
              <w:bottom w:w="20" w:type="dxa"/>
              <w:right w:w="20" w:type="dxa"/>
            </w:tcMar>
            <w:vAlign w:val="center"/>
          </w:tcPr>
          <w:p w14:paraId="524410F5"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BAA1</w:t>
            </w:r>
          </w:p>
        </w:tc>
        <w:tc>
          <w:tcPr>
            <w:tcW w:w="1530" w:type="dxa"/>
            <w:tcBorders>
              <w:top w:val="single" w:sz="8" w:space="0" w:color="000000"/>
              <w:left w:val="nil"/>
              <w:bottom w:val="nil"/>
              <w:right w:val="nil"/>
            </w:tcBorders>
            <w:vAlign w:val="center"/>
          </w:tcPr>
          <w:p w14:paraId="184B6481"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 xml:space="preserve">Majaladares ext. </w:t>
            </w:r>
          </w:p>
        </w:tc>
        <w:tc>
          <w:tcPr>
            <w:tcW w:w="915" w:type="dxa"/>
            <w:tcBorders>
              <w:top w:val="single" w:sz="8" w:space="0" w:color="000000"/>
              <w:left w:val="nil"/>
              <w:bottom w:val="nil"/>
              <w:right w:val="nil"/>
            </w:tcBorders>
            <w:vAlign w:val="center"/>
          </w:tcPr>
          <w:p w14:paraId="1F5B76CB"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Cranium</w:t>
            </w:r>
          </w:p>
        </w:tc>
        <w:tc>
          <w:tcPr>
            <w:tcW w:w="975" w:type="dxa"/>
            <w:tcBorders>
              <w:top w:val="single" w:sz="8" w:space="0" w:color="000000"/>
              <w:left w:val="nil"/>
              <w:bottom w:val="nil"/>
              <w:right w:val="nil"/>
            </w:tcBorders>
            <w:vAlign w:val="center"/>
          </w:tcPr>
          <w:p w14:paraId="12E8F9A1"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Adult</w:t>
            </w:r>
          </w:p>
        </w:tc>
        <w:tc>
          <w:tcPr>
            <w:tcW w:w="675" w:type="dxa"/>
            <w:tcBorders>
              <w:top w:val="single" w:sz="8" w:space="0" w:color="000000"/>
              <w:left w:val="nil"/>
              <w:bottom w:val="nil"/>
              <w:right w:val="nil"/>
            </w:tcBorders>
            <w:tcMar>
              <w:left w:w="80" w:type="dxa"/>
              <w:right w:w="80" w:type="dxa"/>
            </w:tcMar>
          </w:tcPr>
          <w:p w14:paraId="0EBD4B97"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2.1</w:t>
            </w:r>
          </w:p>
        </w:tc>
        <w:tc>
          <w:tcPr>
            <w:tcW w:w="540" w:type="dxa"/>
            <w:tcBorders>
              <w:top w:val="single" w:sz="8" w:space="0" w:color="000000"/>
              <w:left w:val="nil"/>
              <w:bottom w:val="nil"/>
              <w:right w:val="nil"/>
            </w:tcBorders>
            <w:tcMar>
              <w:left w:w="80" w:type="dxa"/>
              <w:right w:w="80" w:type="dxa"/>
            </w:tcMar>
          </w:tcPr>
          <w:p w14:paraId="0F0998E1"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34.5</w:t>
            </w:r>
          </w:p>
        </w:tc>
        <w:tc>
          <w:tcPr>
            <w:tcW w:w="540" w:type="dxa"/>
            <w:tcBorders>
              <w:top w:val="single" w:sz="8" w:space="0" w:color="000000"/>
              <w:left w:val="nil"/>
              <w:bottom w:val="nil"/>
              <w:right w:val="nil"/>
            </w:tcBorders>
            <w:tcMar>
              <w:left w:w="80" w:type="dxa"/>
              <w:right w:w="80" w:type="dxa"/>
            </w:tcMar>
          </w:tcPr>
          <w:p w14:paraId="7E3AABFA"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12.3</w:t>
            </w:r>
          </w:p>
        </w:tc>
        <w:tc>
          <w:tcPr>
            <w:tcW w:w="660" w:type="dxa"/>
            <w:tcBorders>
              <w:top w:val="single" w:sz="8" w:space="0" w:color="000000"/>
              <w:left w:val="nil"/>
              <w:bottom w:val="nil"/>
              <w:right w:val="nil"/>
            </w:tcBorders>
            <w:tcMar>
              <w:left w:w="80" w:type="dxa"/>
              <w:right w:w="80" w:type="dxa"/>
            </w:tcMar>
          </w:tcPr>
          <w:p w14:paraId="2BE49786"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3.3</w:t>
            </w:r>
          </w:p>
        </w:tc>
        <w:tc>
          <w:tcPr>
            <w:tcW w:w="630" w:type="dxa"/>
            <w:tcBorders>
              <w:top w:val="single" w:sz="8" w:space="0" w:color="000000"/>
              <w:left w:val="nil"/>
              <w:bottom w:val="nil"/>
              <w:right w:val="nil"/>
            </w:tcBorders>
            <w:tcMar>
              <w:left w:w="80" w:type="dxa"/>
              <w:right w:w="80" w:type="dxa"/>
            </w:tcMar>
          </w:tcPr>
          <w:p w14:paraId="7B95B356"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-19.9</w:t>
            </w:r>
          </w:p>
        </w:tc>
        <w:tc>
          <w:tcPr>
            <w:tcW w:w="660" w:type="dxa"/>
            <w:tcBorders>
              <w:top w:val="single" w:sz="8" w:space="0" w:color="000000"/>
              <w:left w:val="nil"/>
              <w:bottom w:val="nil"/>
              <w:right w:val="nil"/>
            </w:tcBorders>
            <w:tcMar>
              <w:left w:w="80" w:type="dxa"/>
              <w:right w:w="80" w:type="dxa"/>
            </w:tcMar>
          </w:tcPr>
          <w:p w14:paraId="390DEB45"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10.5</w:t>
            </w:r>
          </w:p>
        </w:tc>
        <w:tc>
          <w:tcPr>
            <w:tcW w:w="810" w:type="dxa"/>
            <w:tcBorders>
              <w:top w:val="single" w:sz="8" w:space="0" w:color="000000"/>
              <w:left w:val="nil"/>
              <w:bottom w:val="nil"/>
              <w:right w:val="nil"/>
            </w:tcBorders>
            <w:tcMar>
              <w:left w:w="80" w:type="dxa"/>
              <w:right w:w="80" w:type="dxa"/>
            </w:tcMar>
          </w:tcPr>
          <w:p w14:paraId="660787D0"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61±14</w:t>
            </w:r>
          </w:p>
        </w:tc>
        <w:tc>
          <w:tcPr>
            <w:tcW w:w="990" w:type="dxa"/>
            <w:tcBorders>
              <w:top w:val="single" w:sz="8" w:space="0" w:color="000000"/>
              <w:left w:val="nil"/>
              <w:bottom w:val="nil"/>
              <w:right w:val="nil"/>
            </w:tcBorders>
            <w:tcMar>
              <w:left w:w="80" w:type="dxa"/>
              <w:right w:w="80" w:type="dxa"/>
            </w:tcMar>
          </w:tcPr>
          <w:p w14:paraId="49F216EC"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28±10</w:t>
            </w:r>
          </w:p>
        </w:tc>
        <w:tc>
          <w:tcPr>
            <w:tcW w:w="960" w:type="dxa"/>
            <w:tcBorders>
              <w:top w:val="single" w:sz="8" w:space="0" w:color="000000"/>
              <w:left w:val="nil"/>
              <w:bottom w:val="nil"/>
              <w:right w:val="nil"/>
            </w:tcBorders>
            <w:tcMar>
              <w:left w:w="80" w:type="dxa"/>
              <w:right w:w="80" w:type="dxa"/>
            </w:tcMar>
          </w:tcPr>
          <w:p w14:paraId="676625D6"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11±8</w:t>
            </w:r>
          </w:p>
        </w:tc>
      </w:tr>
      <w:tr w:rsidR="00F12285" w14:paraId="1B4D3E24" w14:textId="77777777" w:rsidTr="00C552DC">
        <w:trPr>
          <w:trHeight w:val="440"/>
        </w:trPr>
        <w:tc>
          <w:tcPr>
            <w:tcW w:w="690" w:type="dxa"/>
            <w:tcBorders>
              <w:top w:val="nil"/>
              <w:left w:val="nil"/>
              <w:bottom w:val="nil"/>
              <w:right w:val="nil"/>
            </w:tcBorders>
            <w:tcMar>
              <w:top w:w="20" w:type="dxa"/>
              <w:left w:w="20" w:type="dxa"/>
              <w:bottom w:w="20" w:type="dxa"/>
              <w:right w:w="20" w:type="dxa"/>
            </w:tcMar>
            <w:vAlign w:val="center"/>
          </w:tcPr>
          <w:p w14:paraId="5C8C4740"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BAA2</w:t>
            </w:r>
          </w:p>
        </w:tc>
        <w:tc>
          <w:tcPr>
            <w:tcW w:w="1530" w:type="dxa"/>
            <w:tcBorders>
              <w:top w:val="nil"/>
              <w:left w:val="nil"/>
              <w:bottom w:val="nil"/>
              <w:right w:val="nil"/>
            </w:tcBorders>
            <w:vAlign w:val="center"/>
          </w:tcPr>
          <w:p w14:paraId="0C9654E5"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Majaladares I</w:t>
            </w:r>
          </w:p>
        </w:tc>
        <w:tc>
          <w:tcPr>
            <w:tcW w:w="915" w:type="dxa"/>
            <w:tcBorders>
              <w:top w:val="nil"/>
              <w:left w:val="nil"/>
              <w:bottom w:val="nil"/>
              <w:right w:val="nil"/>
            </w:tcBorders>
            <w:vAlign w:val="center"/>
          </w:tcPr>
          <w:p w14:paraId="7E438538"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Rib</w:t>
            </w:r>
          </w:p>
        </w:tc>
        <w:tc>
          <w:tcPr>
            <w:tcW w:w="975" w:type="dxa"/>
            <w:tcBorders>
              <w:top w:val="nil"/>
              <w:left w:val="nil"/>
              <w:bottom w:val="nil"/>
              <w:right w:val="nil"/>
            </w:tcBorders>
            <w:vAlign w:val="center"/>
          </w:tcPr>
          <w:p w14:paraId="7F5A9FBD"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Adult</w:t>
            </w:r>
          </w:p>
        </w:tc>
        <w:tc>
          <w:tcPr>
            <w:tcW w:w="675" w:type="dxa"/>
            <w:tcBorders>
              <w:top w:val="nil"/>
              <w:left w:val="nil"/>
              <w:bottom w:val="nil"/>
              <w:right w:val="nil"/>
            </w:tcBorders>
            <w:tcMar>
              <w:left w:w="80" w:type="dxa"/>
              <w:right w:w="80" w:type="dxa"/>
            </w:tcMar>
          </w:tcPr>
          <w:p w14:paraId="52AF132A"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7.4</w:t>
            </w:r>
          </w:p>
        </w:tc>
        <w:tc>
          <w:tcPr>
            <w:tcW w:w="540" w:type="dxa"/>
            <w:tcBorders>
              <w:top w:val="nil"/>
              <w:left w:val="nil"/>
              <w:bottom w:val="nil"/>
              <w:right w:val="nil"/>
            </w:tcBorders>
            <w:tcMar>
              <w:left w:w="80" w:type="dxa"/>
              <w:right w:w="80" w:type="dxa"/>
            </w:tcMar>
          </w:tcPr>
          <w:p w14:paraId="217F15B1"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43.1</w:t>
            </w:r>
          </w:p>
        </w:tc>
        <w:tc>
          <w:tcPr>
            <w:tcW w:w="540" w:type="dxa"/>
            <w:tcBorders>
              <w:top w:val="nil"/>
              <w:left w:val="nil"/>
              <w:bottom w:val="nil"/>
              <w:right w:val="nil"/>
            </w:tcBorders>
            <w:tcMar>
              <w:left w:w="80" w:type="dxa"/>
              <w:right w:w="80" w:type="dxa"/>
            </w:tcMar>
          </w:tcPr>
          <w:p w14:paraId="236FDC34"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15.8</w:t>
            </w:r>
          </w:p>
        </w:tc>
        <w:tc>
          <w:tcPr>
            <w:tcW w:w="660" w:type="dxa"/>
            <w:tcBorders>
              <w:top w:val="nil"/>
              <w:left w:val="nil"/>
              <w:bottom w:val="nil"/>
              <w:right w:val="nil"/>
            </w:tcBorders>
            <w:tcMar>
              <w:left w:w="80" w:type="dxa"/>
              <w:right w:w="80" w:type="dxa"/>
            </w:tcMar>
          </w:tcPr>
          <w:p w14:paraId="155F7383"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3.2</w:t>
            </w:r>
          </w:p>
        </w:tc>
        <w:tc>
          <w:tcPr>
            <w:tcW w:w="630" w:type="dxa"/>
            <w:tcBorders>
              <w:top w:val="nil"/>
              <w:left w:val="nil"/>
              <w:bottom w:val="nil"/>
              <w:right w:val="nil"/>
            </w:tcBorders>
            <w:tcMar>
              <w:left w:w="80" w:type="dxa"/>
              <w:right w:w="80" w:type="dxa"/>
            </w:tcMar>
          </w:tcPr>
          <w:p w14:paraId="09DF1A0C"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-19.0</w:t>
            </w:r>
          </w:p>
        </w:tc>
        <w:tc>
          <w:tcPr>
            <w:tcW w:w="660" w:type="dxa"/>
            <w:tcBorders>
              <w:top w:val="nil"/>
              <w:left w:val="nil"/>
              <w:bottom w:val="nil"/>
              <w:right w:val="nil"/>
            </w:tcBorders>
            <w:tcMar>
              <w:left w:w="80" w:type="dxa"/>
              <w:right w:w="80" w:type="dxa"/>
            </w:tcMar>
          </w:tcPr>
          <w:p w14:paraId="4EF6ED57"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10.5</w:t>
            </w:r>
          </w:p>
        </w:tc>
        <w:tc>
          <w:tcPr>
            <w:tcW w:w="810" w:type="dxa"/>
            <w:tcBorders>
              <w:top w:val="nil"/>
              <w:left w:val="nil"/>
              <w:bottom w:val="nil"/>
              <w:right w:val="nil"/>
            </w:tcBorders>
            <w:tcMar>
              <w:left w:w="80" w:type="dxa"/>
              <w:right w:w="80" w:type="dxa"/>
            </w:tcMar>
          </w:tcPr>
          <w:p w14:paraId="71FBF82C"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60±13</w:t>
            </w:r>
          </w:p>
        </w:tc>
        <w:tc>
          <w:tcPr>
            <w:tcW w:w="990" w:type="dxa"/>
            <w:tcBorders>
              <w:top w:val="nil"/>
              <w:left w:val="nil"/>
              <w:bottom w:val="nil"/>
              <w:right w:val="nil"/>
            </w:tcBorders>
            <w:tcMar>
              <w:left w:w="80" w:type="dxa"/>
              <w:right w:w="80" w:type="dxa"/>
            </w:tcMar>
          </w:tcPr>
          <w:p w14:paraId="6A6C9A75"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29±10</w:t>
            </w:r>
          </w:p>
        </w:tc>
        <w:tc>
          <w:tcPr>
            <w:tcW w:w="960" w:type="dxa"/>
            <w:tcBorders>
              <w:top w:val="nil"/>
              <w:left w:val="nil"/>
              <w:bottom w:val="nil"/>
              <w:right w:val="nil"/>
            </w:tcBorders>
            <w:tcMar>
              <w:left w:w="80" w:type="dxa"/>
              <w:right w:w="80" w:type="dxa"/>
            </w:tcMar>
          </w:tcPr>
          <w:p w14:paraId="636E58B0"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11±8</w:t>
            </w:r>
          </w:p>
        </w:tc>
      </w:tr>
      <w:tr w:rsidR="00F12285" w14:paraId="0BC73F0F" w14:textId="77777777" w:rsidTr="00C552DC">
        <w:trPr>
          <w:trHeight w:val="440"/>
        </w:trPr>
        <w:tc>
          <w:tcPr>
            <w:tcW w:w="690" w:type="dxa"/>
            <w:tcBorders>
              <w:top w:val="nil"/>
              <w:left w:val="nil"/>
              <w:bottom w:val="nil"/>
              <w:right w:val="nil"/>
            </w:tcBorders>
            <w:tcMar>
              <w:top w:w="20" w:type="dxa"/>
              <w:left w:w="20" w:type="dxa"/>
              <w:bottom w:w="20" w:type="dxa"/>
              <w:right w:w="20" w:type="dxa"/>
            </w:tcMar>
            <w:vAlign w:val="center"/>
          </w:tcPr>
          <w:p w14:paraId="7D55BB9F"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BAA3</w:t>
            </w:r>
          </w:p>
        </w:tc>
        <w:tc>
          <w:tcPr>
            <w:tcW w:w="1530" w:type="dxa"/>
            <w:tcBorders>
              <w:top w:val="nil"/>
              <w:left w:val="nil"/>
              <w:bottom w:val="nil"/>
              <w:right w:val="nil"/>
            </w:tcBorders>
            <w:vAlign w:val="center"/>
          </w:tcPr>
          <w:p w14:paraId="5D0BCD14"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Majaladares II</w:t>
            </w:r>
          </w:p>
        </w:tc>
        <w:tc>
          <w:tcPr>
            <w:tcW w:w="915" w:type="dxa"/>
            <w:tcBorders>
              <w:top w:val="nil"/>
              <w:left w:val="nil"/>
              <w:bottom w:val="nil"/>
              <w:right w:val="nil"/>
            </w:tcBorders>
            <w:vAlign w:val="center"/>
          </w:tcPr>
          <w:p w14:paraId="28C75E18"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Rib</w:t>
            </w:r>
          </w:p>
        </w:tc>
        <w:tc>
          <w:tcPr>
            <w:tcW w:w="975" w:type="dxa"/>
            <w:tcBorders>
              <w:top w:val="nil"/>
              <w:left w:val="nil"/>
              <w:bottom w:val="nil"/>
              <w:right w:val="nil"/>
            </w:tcBorders>
            <w:vAlign w:val="center"/>
          </w:tcPr>
          <w:p w14:paraId="037192CB"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Adult</w:t>
            </w:r>
          </w:p>
        </w:tc>
        <w:tc>
          <w:tcPr>
            <w:tcW w:w="675" w:type="dxa"/>
            <w:tcBorders>
              <w:top w:val="nil"/>
              <w:left w:val="nil"/>
              <w:bottom w:val="nil"/>
              <w:right w:val="nil"/>
            </w:tcBorders>
            <w:tcMar>
              <w:left w:w="80" w:type="dxa"/>
              <w:right w:w="80" w:type="dxa"/>
            </w:tcMar>
          </w:tcPr>
          <w:p w14:paraId="37192194"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13.2</w:t>
            </w:r>
          </w:p>
        </w:tc>
        <w:tc>
          <w:tcPr>
            <w:tcW w:w="540" w:type="dxa"/>
            <w:tcBorders>
              <w:top w:val="nil"/>
              <w:left w:val="nil"/>
              <w:bottom w:val="nil"/>
              <w:right w:val="nil"/>
            </w:tcBorders>
            <w:tcMar>
              <w:left w:w="80" w:type="dxa"/>
              <w:right w:w="80" w:type="dxa"/>
            </w:tcMar>
          </w:tcPr>
          <w:p w14:paraId="5A2A0E92"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44.5</w:t>
            </w:r>
          </w:p>
        </w:tc>
        <w:tc>
          <w:tcPr>
            <w:tcW w:w="540" w:type="dxa"/>
            <w:tcBorders>
              <w:top w:val="nil"/>
              <w:left w:val="nil"/>
              <w:bottom w:val="nil"/>
              <w:right w:val="nil"/>
            </w:tcBorders>
            <w:tcMar>
              <w:left w:w="80" w:type="dxa"/>
              <w:right w:w="80" w:type="dxa"/>
            </w:tcMar>
          </w:tcPr>
          <w:p w14:paraId="1A7DCEC8"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16.2</w:t>
            </w:r>
          </w:p>
        </w:tc>
        <w:tc>
          <w:tcPr>
            <w:tcW w:w="660" w:type="dxa"/>
            <w:tcBorders>
              <w:top w:val="nil"/>
              <w:left w:val="nil"/>
              <w:bottom w:val="nil"/>
              <w:right w:val="nil"/>
            </w:tcBorders>
            <w:tcMar>
              <w:left w:w="80" w:type="dxa"/>
              <w:right w:w="80" w:type="dxa"/>
            </w:tcMar>
          </w:tcPr>
          <w:p w14:paraId="67729D07"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3.2</w:t>
            </w:r>
          </w:p>
        </w:tc>
        <w:tc>
          <w:tcPr>
            <w:tcW w:w="630" w:type="dxa"/>
            <w:tcBorders>
              <w:top w:val="nil"/>
              <w:left w:val="nil"/>
              <w:bottom w:val="nil"/>
              <w:right w:val="nil"/>
            </w:tcBorders>
            <w:tcMar>
              <w:left w:w="80" w:type="dxa"/>
              <w:right w:w="80" w:type="dxa"/>
            </w:tcMar>
          </w:tcPr>
          <w:p w14:paraId="32FF1599"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-19.4</w:t>
            </w:r>
          </w:p>
        </w:tc>
        <w:tc>
          <w:tcPr>
            <w:tcW w:w="660" w:type="dxa"/>
            <w:tcBorders>
              <w:top w:val="nil"/>
              <w:left w:val="nil"/>
              <w:bottom w:val="nil"/>
              <w:right w:val="nil"/>
            </w:tcBorders>
            <w:tcMar>
              <w:left w:w="80" w:type="dxa"/>
              <w:right w:w="80" w:type="dxa"/>
            </w:tcMar>
          </w:tcPr>
          <w:p w14:paraId="7EEC5250"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9.8</w:t>
            </w:r>
          </w:p>
        </w:tc>
        <w:tc>
          <w:tcPr>
            <w:tcW w:w="810" w:type="dxa"/>
            <w:tcBorders>
              <w:top w:val="nil"/>
              <w:left w:val="nil"/>
              <w:bottom w:val="nil"/>
              <w:right w:val="nil"/>
            </w:tcBorders>
            <w:tcMar>
              <w:left w:w="80" w:type="dxa"/>
              <w:right w:w="80" w:type="dxa"/>
            </w:tcMar>
          </w:tcPr>
          <w:p w14:paraId="4B1ECF0F"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61±14</w:t>
            </w:r>
          </w:p>
        </w:tc>
        <w:tc>
          <w:tcPr>
            <w:tcW w:w="990" w:type="dxa"/>
            <w:tcBorders>
              <w:top w:val="nil"/>
              <w:left w:val="nil"/>
              <w:bottom w:val="nil"/>
              <w:right w:val="nil"/>
            </w:tcBorders>
            <w:tcMar>
              <w:left w:w="80" w:type="dxa"/>
              <w:right w:w="80" w:type="dxa"/>
            </w:tcMar>
          </w:tcPr>
          <w:p w14:paraId="77FA3FFF"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28±10</w:t>
            </w:r>
          </w:p>
        </w:tc>
        <w:tc>
          <w:tcPr>
            <w:tcW w:w="960" w:type="dxa"/>
            <w:tcBorders>
              <w:top w:val="nil"/>
              <w:left w:val="nil"/>
              <w:bottom w:val="nil"/>
              <w:right w:val="nil"/>
            </w:tcBorders>
            <w:tcMar>
              <w:left w:w="80" w:type="dxa"/>
              <w:right w:w="80" w:type="dxa"/>
            </w:tcMar>
          </w:tcPr>
          <w:p w14:paraId="567619C3"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11±8</w:t>
            </w:r>
          </w:p>
        </w:tc>
      </w:tr>
      <w:tr w:rsidR="00F12285" w14:paraId="7B92510E" w14:textId="77777777" w:rsidTr="00C552DC">
        <w:trPr>
          <w:trHeight w:val="440"/>
        </w:trPr>
        <w:tc>
          <w:tcPr>
            <w:tcW w:w="690" w:type="dxa"/>
            <w:tcBorders>
              <w:top w:val="nil"/>
              <w:left w:val="nil"/>
              <w:bottom w:val="nil"/>
              <w:right w:val="nil"/>
            </w:tcBorders>
            <w:tcMar>
              <w:top w:w="20" w:type="dxa"/>
              <w:left w:w="20" w:type="dxa"/>
              <w:bottom w:w="20" w:type="dxa"/>
              <w:right w:w="20" w:type="dxa"/>
            </w:tcMar>
            <w:vAlign w:val="center"/>
          </w:tcPr>
          <w:p w14:paraId="75CAE788"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BAA5</w:t>
            </w:r>
          </w:p>
        </w:tc>
        <w:tc>
          <w:tcPr>
            <w:tcW w:w="1530" w:type="dxa"/>
            <w:tcBorders>
              <w:top w:val="nil"/>
              <w:left w:val="nil"/>
              <w:bottom w:val="nil"/>
              <w:right w:val="nil"/>
            </w:tcBorders>
            <w:vAlign w:val="center"/>
          </w:tcPr>
          <w:p w14:paraId="04213862"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Moncín I</w:t>
            </w:r>
          </w:p>
        </w:tc>
        <w:tc>
          <w:tcPr>
            <w:tcW w:w="915" w:type="dxa"/>
            <w:tcBorders>
              <w:top w:val="nil"/>
              <w:left w:val="nil"/>
              <w:bottom w:val="nil"/>
              <w:right w:val="nil"/>
            </w:tcBorders>
            <w:vAlign w:val="center"/>
          </w:tcPr>
          <w:p w14:paraId="097CB157"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Vertebra</w:t>
            </w:r>
          </w:p>
        </w:tc>
        <w:tc>
          <w:tcPr>
            <w:tcW w:w="975" w:type="dxa"/>
            <w:tcBorders>
              <w:top w:val="nil"/>
              <w:left w:val="nil"/>
              <w:bottom w:val="nil"/>
              <w:right w:val="nil"/>
            </w:tcBorders>
            <w:vAlign w:val="center"/>
          </w:tcPr>
          <w:p w14:paraId="0FAC10C1"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Adult</w:t>
            </w:r>
          </w:p>
        </w:tc>
        <w:tc>
          <w:tcPr>
            <w:tcW w:w="675" w:type="dxa"/>
            <w:tcBorders>
              <w:top w:val="nil"/>
              <w:left w:val="nil"/>
              <w:bottom w:val="nil"/>
              <w:right w:val="nil"/>
            </w:tcBorders>
            <w:tcMar>
              <w:left w:w="80" w:type="dxa"/>
              <w:right w:w="80" w:type="dxa"/>
            </w:tcMar>
          </w:tcPr>
          <w:p w14:paraId="570B6DCA"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5.0</w:t>
            </w:r>
          </w:p>
        </w:tc>
        <w:tc>
          <w:tcPr>
            <w:tcW w:w="540" w:type="dxa"/>
            <w:tcBorders>
              <w:top w:val="nil"/>
              <w:left w:val="nil"/>
              <w:bottom w:val="nil"/>
              <w:right w:val="nil"/>
            </w:tcBorders>
            <w:tcMar>
              <w:left w:w="80" w:type="dxa"/>
              <w:right w:w="80" w:type="dxa"/>
            </w:tcMar>
          </w:tcPr>
          <w:p w14:paraId="6C7FC8A1"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42.7</w:t>
            </w:r>
          </w:p>
        </w:tc>
        <w:tc>
          <w:tcPr>
            <w:tcW w:w="540" w:type="dxa"/>
            <w:tcBorders>
              <w:top w:val="nil"/>
              <w:left w:val="nil"/>
              <w:bottom w:val="nil"/>
              <w:right w:val="nil"/>
            </w:tcBorders>
            <w:tcMar>
              <w:left w:w="80" w:type="dxa"/>
              <w:right w:w="80" w:type="dxa"/>
            </w:tcMar>
          </w:tcPr>
          <w:p w14:paraId="7D40B80E"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15.5</w:t>
            </w:r>
          </w:p>
        </w:tc>
        <w:tc>
          <w:tcPr>
            <w:tcW w:w="660" w:type="dxa"/>
            <w:tcBorders>
              <w:top w:val="nil"/>
              <w:left w:val="nil"/>
              <w:bottom w:val="nil"/>
              <w:right w:val="nil"/>
            </w:tcBorders>
            <w:tcMar>
              <w:left w:w="80" w:type="dxa"/>
              <w:right w:w="80" w:type="dxa"/>
            </w:tcMar>
          </w:tcPr>
          <w:p w14:paraId="36E1DCC2"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3.2</w:t>
            </w:r>
          </w:p>
        </w:tc>
        <w:tc>
          <w:tcPr>
            <w:tcW w:w="630" w:type="dxa"/>
            <w:tcBorders>
              <w:top w:val="nil"/>
              <w:left w:val="nil"/>
              <w:bottom w:val="nil"/>
              <w:right w:val="nil"/>
            </w:tcBorders>
            <w:tcMar>
              <w:left w:w="80" w:type="dxa"/>
              <w:right w:w="80" w:type="dxa"/>
            </w:tcMar>
          </w:tcPr>
          <w:p w14:paraId="11DED911"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-18.3</w:t>
            </w:r>
          </w:p>
        </w:tc>
        <w:tc>
          <w:tcPr>
            <w:tcW w:w="660" w:type="dxa"/>
            <w:tcBorders>
              <w:top w:val="nil"/>
              <w:left w:val="nil"/>
              <w:bottom w:val="nil"/>
              <w:right w:val="nil"/>
            </w:tcBorders>
            <w:tcMar>
              <w:left w:w="80" w:type="dxa"/>
              <w:right w:w="80" w:type="dxa"/>
            </w:tcMar>
          </w:tcPr>
          <w:p w14:paraId="2D3A2BCE"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10.1</w:t>
            </w:r>
          </w:p>
        </w:tc>
        <w:tc>
          <w:tcPr>
            <w:tcW w:w="810" w:type="dxa"/>
            <w:tcBorders>
              <w:top w:val="nil"/>
              <w:left w:val="nil"/>
              <w:bottom w:val="nil"/>
              <w:right w:val="nil"/>
            </w:tcBorders>
            <w:tcMar>
              <w:left w:w="80" w:type="dxa"/>
              <w:right w:w="80" w:type="dxa"/>
            </w:tcMar>
          </w:tcPr>
          <w:p w14:paraId="2BAF5461"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61±14</w:t>
            </w:r>
          </w:p>
        </w:tc>
        <w:tc>
          <w:tcPr>
            <w:tcW w:w="990" w:type="dxa"/>
            <w:tcBorders>
              <w:top w:val="nil"/>
              <w:left w:val="nil"/>
              <w:bottom w:val="nil"/>
              <w:right w:val="nil"/>
            </w:tcBorders>
            <w:tcMar>
              <w:left w:w="80" w:type="dxa"/>
              <w:right w:w="80" w:type="dxa"/>
            </w:tcMar>
          </w:tcPr>
          <w:p w14:paraId="0044DF37"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28±10</w:t>
            </w:r>
          </w:p>
        </w:tc>
        <w:tc>
          <w:tcPr>
            <w:tcW w:w="960" w:type="dxa"/>
            <w:tcBorders>
              <w:top w:val="nil"/>
              <w:left w:val="nil"/>
              <w:bottom w:val="nil"/>
              <w:right w:val="nil"/>
            </w:tcBorders>
            <w:tcMar>
              <w:left w:w="80" w:type="dxa"/>
              <w:right w:w="80" w:type="dxa"/>
            </w:tcMar>
          </w:tcPr>
          <w:p w14:paraId="6D33E984"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11±8</w:t>
            </w:r>
          </w:p>
        </w:tc>
      </w:tr>
      <w:tr w:rsidR="00F12285" w14:paraId="55B48634" w14:textId="77777777" w:rsidTr="00C552DC">
        <w:trPr>
          <w:trHeight w:val="440"/>
        </w:trPr>
        <w:tc>
          <w:tcPr>
            <w:tcW w:w="690" w:type="dxa"/>
            <w:tcBorders>
              <w:top w:val="nil"/>
              <w:left w:val="nil"/>
              <w:bottom w:val="nil"/>
              <w:right w:val="nil"/>
            </w:tcBorders>
            <w:tcMar>
              <w:top w:w="20" w:type="dxa"/>
              <w:left w:w="20" w:type="dxa"/>
              <w:bottom w:w="20" w:type="dxa"/>
              <w:right w:w="20" w:type="dxa"/>
            </w:tcMar>
            <w:vAlign w:val="center"/>
          </w:tcPr>
          <w:p w14:paraId="373C8816"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BAA6</w:t>
            </w:r>
          </w:p>
        </w:tc>
        <w:tc>
          <w:tcPr>
            <w:tcW w:w="1530" w:type="dxa"/>
            <w:tcBorders>
              <w:top w:val="nil"/>
              <w:left w:val="nil"/>
              <w:bottom w:val="nil"/>
              <w:right w:val="nil"/>
            </w:tcBorders>
            <w:vAlign w:val="center"/>
          </w:tcPr>
          <w:p w14:paraId="283D9387"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Moncín ext.</w:t>
            </w:r>
          </w:p>
        </w:tc>
        <w:tc>
          <w:tcPr>
            <w:tcW w:w="915" w:type="dxa"/>
            <w:tcBorders>
              <w:top w:val="nil"/>
              <w:left w:val="nil"/>
              <w:bottom w:val="nil"/>
              <w:right w:val="nil"/>
            </w:tcBorders>
            <w:vAlign w:val="center"/>
          </w:tcPr>
          <w:p w14:paraId="5D516C38"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Rib</w:t>
            </w:r>
          </w:p>
        </w:tc>
        <w:tc>
          <w:tcPr>
            <w:tcW w:w="975" w:type="dxa"/>
            <w:tcBorders>
              <w:top w:val="nil"/>
              <w:left w:val="nil"/>
              <w:bottom w:val="nil"/>
              <w:right w:val="nil"/>
            </w:tcBorders>
            <w:vAlign w:val="center"/>
          </w:tcPr>
          <w:p w14:paraId="17B199CE"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Adult</w:t>
            </w:r>
          </w:p>
        </w:tc>
        <w:tc>
          <w:tcPr>
            <w:tcW w:w="675" w:type="dxa"/>
            <w:tcBorders>
              <w:top w:val="nil"/>
              <w:left w:val="nil"/>
              <w:bottom w:val="nil"/>
              <w:right w:val="nil"/>
            </w:tcBorders>
            <w:tcMar>
              <w:left w:w="80" w:type="dxa"/>
              <w:right w:w="80" w:type="dxa"/>
            </w:tcMar>
          </w:tcPr>
          <w:p w14:paraId="1366382C"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9.7</w:t>
            </w:r>
          </w:p>
        </w:tc>
        <w:tc>
          <w:tcPr>
            <w:tcW w:w="540" w:type="dxa"/>
            <w:tcBorders>
              <w:top w:val="nil"/>
              <w:left w:val="nil"/>
              <w:bottom w:val="nil"/>
              <w:right w:val="nil"/>
            </w:tcBorders>
            <w:tcMar>
              <w:left w:w="80" w:type="dxa"/>
              <w:right w:w="80" w:type="dxa"/>
            </w:tcMar>
          </w:tcPr>
          <w:p w14:paraId="5385BCA3"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40.7</w:t>
            </w:r>
          </w:p>
        </w:tc>
        <w:tc>
          <w:tcPr>
            <w:tcW w:w="540" w:type="dxa"/>
            <w:tcBorders>
              <w:top w:val="nil"/>
              <w:left w:val="nil"/>
              <w:bottom w:val="nil"/>
              <w:right w:val="nil"/>
            </w:tcBorders>
            <w:tcMar>
              <w:left w:w="80" w:type="dxa"/>
              <w:right w:w="80" w:type="dxa"/>
            </w:tcMar>
          </w:tcPr>
          <w:p w14:paraId="4CA28C16"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15.0</w:t>
            </w:r>
          </w:p>
        </w:tc>
        <w:tc>
          <w:tcPr>
            <w:tcW w:w="660" w:type="dxa"/>
            <w:tcBorders>
              <w:top w:val="nil"/>
              <w:left w:val="nil"/>
              <w:bottom w:val="nil"/>
              <w:right w:val="nil"/>
            </w:tcBorders>
            <w:tcMar>
              <w:left w:w="80" w:type="dxa"/>
              <w:right w:w="80" w:type="dxa"/>
            </w:tcMar>
          </w:tcPr>
          <w:p w14:paraId="12E4FDCA"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3.2</w:t>
            </w:r>
          </w:p>
        </w:tc>
        <w:tc>
          <w:tcPr>
            <w:tcW w:w="630" w:type="dxa"/>
            <w:tcBorders>
              <w:top w:val="nil"/>
              <w:left w:val="nil"/>
              <w:bottom w:val="nil"/>
              <w:right w:val="nil"/>
            </w:tcBorders>
            <w:tcMar>
              <w:left w:w="80" w:type="dxa"/>
              <w:right w:w="80" w:type="dxa"/>
            </w:tcMar>
          </w:tcPr>
          <w:p w14:paraId="75E8E108"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-18.9</w:t>
            </w:r>
          </w:p>
        </w:tc>
        <w:tc>
          <w:tcPr>
            <w:tcW w:w="660" w:type="dxa"/>
            <w:tcBorders>
              <w:top w:val="nil"/>
              <w:left w:val="nil"/>
              <w:bottom w:val="nil"/>
              <w:right w:val="nil"/>
            </w:tcBorders>
            <w:tcMar>
              <w:left w:w="80" w:type="dxa"/>
              <w:right w:w="80" w:type="dxa"/>
            </w:tcMar>
          </w:tcPr>
          <w:p w14:paraId="020DE805"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11.0</w:t>
            </w:r>
          </w:p>
        </w:tc>
        <w:tc>
          <w:tcPr>
            <w:tcW w:w="810" w:type="dxa"/>
            <w:tcBorders>
              <w:top w:val="nil"/>
              <w:left w:val="nil"/>
              <w:bottom w:val="nil"/>
              <w:right w:val="nil"/>
            </w:tcBorders>
            <w:tcMar>
              <w:left w:w="80" w:type="dxa"/>
              <w:right w:w="80" w:type="dxa"/>
            </w:tcMar>
          </w:tcPr>
          <w:p w14:paraId="6A8AC1E2"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61±14</w:t>
            </w:r>
          </w:p>
        </w:tc>
        <w:tc>
          <w:tcPr>
            <w:tcW w:w="990" w:type="dxa"/>
            <w:tcBorders>
              <w:top w:val="nil"/>
              <w:left w:val="nil"/>
              <w:bottom w:val="nil"/>
              <w:right w:val="nil"/>
            </w:tcBorders>
            <w:tcMar>
              <w:left w:w="80" w:type="dxa"/>
              <w:right w:w="80" w:type="dxa"/>
            </w:tcMar>
          </w:tcPr>
          <w:p w14:paraId="683CF28A"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28±10</w:t>
            </w:r>
          </w:p>
        </w:tc>
        <w:tc>
          <w:tcPr>
            <w:tcW w:w="960" w:type="dxa"/>
            <w:tcBorders>
              <w:top w:val="nil"/>
              <w:left w:val="nil"/>
              <w:bottom w:val="nil"/>
              <w:right w:val="nil"/>
            </w:tcBorders>
            <w:tcMar>
              <w:left w:w="80" w:type="dxa"/>
              <w:right w:w="80" w:type="dxa"/>
            </w:tcMar>
          </w:tcPr>
          <w:p w14:paraId="05317725"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10±8</w:t>
            </w:r>
          </w:p>
        </w:tc>
      </w:tr>
      <w:tr w:rsidR="00F12285" w14:paraId="49A4B42B" w14:textId="77777777" w:rsidTr="00C552DC">
        <w:trPr>
          <w:trHeight w:val="440"/>
        </w:trPr>
        <w:tc>
          <w:tcPr>
            <w:tcW w:w="690" w:type="dxa"/>
            <w:tcBorders>
              <w:top w:val="nil"/>
              <w:left w:val="nil"/>
              <w:bottom w:val="nil"/>
              <w:right w:val="nil"/>
            </w:tcBorders>
            <w:tcMar>
              <w:top w:w="20" w:type="dxa"/>
              <w:left w:w="20" w:type="dxa"/>
              <w:bottom w:w="20" w:type="dxa"/>
              <w:right w:w="20" w:type="dxa"/>
            </w:tcMar>
            <w:vAlign w:val="center"/>
          </w:tcPr>
          <w:p w14:paraId="098D68D6"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BAA7</w:t>
            </w:r>
          </w:p>
        </w:tc>
        <w:tc>
          <w:tcPr>
            <w:tcW w:w="1530" w:type="dxa"/>
            <w:tcBorders>
              <w:top w:val="nil"/>
              <w:left w:val="nil"/>
              <w:bottom w:val="nil"/>
              <w:right w:val="nil"/>
            </w:tcBorders>
            <w:vAlign w:val="center"/>
          </w:tcPr>
          <w:p w14:paraId="10FB9B75"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Moncín I</w:t>
            </w:r>
          </w:p>
        </w:tc>
        <w:tc>
          <w:tcPr>
            <w:tcW w:w="915" w:type="dxa"/>
            <w:tcBorders>
              <w:top w:val="nil"/>
              <w:left w:val="nil"/>
              <w:bottom w:val="nil"/>
              <w:right w:val="nil"/>
            </w:tcBorders>
            <w:vAlign w:val="center"/>
          </w:tcPr>
          <w:p w14:paraId="1F879672"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Rib</w:t>
            </w:r>
          </w:p>
        </w:tc>
        <w:tc>
          <w:tcPr>
            <w:tcW w:w="975" w:type="dxa"/>
            <w:tcBorders>
              <w:top w:val="nil"/>
              <w:left w:val="nil"/>
              <w:bottom w:val="nil"/>
              <w:right w:val="nil"/>
            </w:tcBorders>
            <w:vAlign w:val="center"/>
          </w:tcPr>
          <w:p w14:paraId="2FA35D12"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Non-adult</w:t>
            </w:r>
          </w:p>
        </w:tc>
        <w:tc>
          <w:tcPr>
            <w:tcW w:w="675" w:type="dxa"/>
            <w:tcBorders>
              <w:top w:val="nil"/>
              <w:left w:val="nil"/>
              <w:bottom w:val="nil"/>
              <w:right w:val="nil"/>
            </w:tcBorders>
            <w:tcMar>
              <w:left w:w="80" w:type="dxa"/>
              <w:right w:w="80" w:type="dxa"/>
            </w:tcMar>
          </w:tcPr>
          <w:p w14:paraId="29364439"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12.6</w:t>
            </w:r>
          </w:p>
        </w:tc>
        <w:tc>
          <w:tcPr>
            <w:tcW w:w="540" w:type="dxa"/>
            <w:tcBorders>
              <w:top w:val="nil"/>
              <w:left w:val="nil"/>
              <w:bottom w:val="nil"/>
              <w:right w:val="nil"/>
            </w:tcBorders>
            <w:tcMar>
              <w:left w:w="80" w:type="dxa"/>
              <w:right w:w="80" w:type="dxa"/>
            </w:tcMar>
          </w:tcPr>
          <w:p w14:paraId="21E3F987"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47.9</w:t>
            </w:r>
          </w:p>
        </w:tc>
        <w:tc>
          <w:tcPr>
            <w:tcW w:w="540" w:type="dxa"/>
            <w:tcBorders>
              <w:top w:val="nil"/>
              <w:left w:val="nil"/>
              <w:bottom w:val="nil"/>
              <w:right w:val="nil"/>
            </w:tcBorders>
            <w:tcMar>
              <w:left w:w="80" w:type="dxa"/>
              <w:right w:w="80" w:type="dxa"/>
            </w:tcMar>
          </w:tcPr>
          <w:p w14:paraId="41E87A13"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17.4</w:t>
            </w:r>
          </w:p>
        </w:tc>
        <w:tc>
          <w:tcPr>
            <w:tcW w:w="660" w:type="dxa"/>
            <w:tcBorders>
              <w:top w:val="nil"/>
              <w:left w:val="nil"/>
              <w:bottom w:val="nil"/>
              <w:right w:val="nil"/>
            </w:tcBorders>
            <w:tcMar>
              <w:left w:w="80" w:type="dxa"/>
              <w:right w:w="80" w:type="dxa"/>
            </w:tcMar>
          </w:tcPr>
          <w:p w14:paraId="0E9FF011"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3.2</w:t>
            </w:r>
          </w:p>
        </w:tc>
        <w:tc>
          <w:tcPr>
            <w:tcW w:w="630" w:type="dxa"/>
            <w:tcBorders>
              <w:top w:val="nil"/>
              <w:left w:val="nil"/>
              <w:bottom w:val="nil"/>
              <w:right w:val="nil"/>
            </w:tcBorders>
            <w:tcMar>
              <w:left w:w="80" w:type="dxa"/>
              <w:right w:w="80" w:type="dxa"/>
            </w:tcMar>
          </w:tcPr>
          <w:p w14:paraId="28C96264"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-19.3</w:t>
            </w:r>
          </w:p>
        </w:tc>
        <w:tc>
          <w:tcPr>
            <w:tcW w:w="660" w:type="dxa"/>
            <w:tcBorders>
              <w:top w:val="nil"/>
              <w:left w:val="nil"/>
              <w:bottom w:val="nil"/>
              <w:right w:val="nil"/>
            </w:tcBorders>
            <w:tcMar>
              <w:left w:w="80" w:type="dxa"/>
              <w:right w:w="80" w:type="dxa"/>
            </w:tcMar>
          </w:tcPr>
          <w:p w14:paraId="50D0623B"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8.8</w:t>
            </w:r>
          </w:p>
        </w:tc>
        <w:tc>
          <w:tcPr>
            <w:tcW w:w="810" w:type="dxa"/>
            <w:tcBorders>
              <w:top w:val="nil"/>
              <w:left w:val="nil"/>
              <w:bottom w:val="nil"/>
              <w:right w:val="nil"/>
            </w:tcBorders>
            <w:tcMar>
              <w:left w:w="80" w:type="dxa"/>
              <w:right w:w="80" w:type="dxa"/>
            </w:tcMar>
          </w:tcPr>
          <w:p w14:paraId="65554B58"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61±15</w:t>
            </w:r>
          </w:p>
        </w:tc>
        <w:tc>
          <w:tcPr>
            <w:tcW w:w="990" w:type="dxa"/>
            <w:tcBorders>
              <w:top w:val="nil"/>
              <w:left w:val="nil"/>
              <w:bottom w:val="nil"/>
              <w:right w:val="nil"/>
            </w:tcBorders>
            <w:tcMar>
              <w:left w:w="80" w:type="dxa"/>
              <w:right w:w="80" w:type="dxa"/>
            </w:tcMar>
          </w:tcPr>
          <w:p w14:paraId="14386DFA"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27±10</w:t>
            </w:r>
          </w:p>
        </w:tc>
        <w:tc>
          <w:tcPr>
            <w:tcW w:w="960" w:type="dxa"/>
            <w:tcBorders>
              <w:top w:val="nil"/>
              <w:left w:val="nil"/>
              <w:bottom w:val="nil"/>
              <w:right w:val="nil"/>
            </w:tcBorders>
            <w:tcMar>
              <w:left w:w="80" w:type="dxa"/>
              <w:right w:w="80" w:type="dxa"/>
            </w:tcMar>
          </w:tcPr>
          <w:p w14:paraId="53DFBEB9"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12±8</w:t>
            </w:r>
          </w:p>
        </w:tc>
      </w:tr>
      <w:tr w:rsidR="00F12285" w14:paraId="42975EF5" w14:textId="77777777" w:rsidTr="00C552DC">
        <w:trPr>
          <w:trHeight w:val="440"/>
        </w:trPr>
        <w:tc>
          <w:tcPr>
            <w:tcW w:w="690" w:type="dxa"/>
            <w:tcBorders>
              <w:top w:val="nil"/>
              <w:left w:val="nil"/>
              <w:bottom w:val="nil"/>
              <w:right w:val="nil"/>
            </w:tcBorders>
            <w:tcMar>
              <w:top w:w="20" w:type="dxa"/>
              <w:left w:w="20" w:type="dxa"/>
              <w:bottom w:w="20" w:type="dxa"/>
              <w:right w:w="20" w:type="dxa"/>
            </w:tcMar>
            <w:vAlign w:val="center"/>
          </w:tcPr>
          <w:p w14:paraId="4EA0C437"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BAA8</w:t>
            </w:r>
          </w:p>
        </w:tc>
        <w:tc>
          <w:tcPr>
            <w:tcW w:w="1530" w:type="dxa"/>
            <w:tcBorders>
              <w:top w:val="nil"/>
              <w:left w:val="nil"/>
              <w:bottom w:val="nil"/>
              <w:right w:val="nil"/>
            </w:tcBorders>
            <w:vAlign w:val="center"/>
          </w:tcPr>
          <w:p w14:paraId="08944FB8"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Moncín III</w:t>
            </w:r>
          </w:p>
        </w:tc>
        <w:tc>
          <w:tcPr>
            <w:tcW w:w="915" w:type="dxa"/>
            <w:tcBorders>
              <w:top w:val="nil"/>
              <w:left w:val="nil"/>
              <w:bottom w:val="nil"/>
              <w:right w:val="nil"/>
            </w:tcBorders>
            <w:vAlign w:val="center"/>
          </w:tcPr>
          <w:p w14:paraId="3CC3023D"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Vertebra</w:t>
            </w:r>
          </w:p>
        </w:tc>
        <w:tc>
          <w:tcPr>
            <w:tcW w:w="975" w:type="dxa"/>
            <w:tcBorders>
              <w:top w:val="nil"/>
              <w:left w:val="nil"/>
              <w:bottom w:val="nil"/>
              <w:right w:val="nil"/>
            </w:tcBorders>
            <w:vAlign w:val="center"/>
          </w:tcPr>
          <w:p w14:paraId="2039A113"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Adult</w:t>
            </w:r>
          </w:p>
        </w:tc>
        <w:tc>
          <w:tcPr>
            <w:tcW w:w="675" w:type="dxa"/>
            <w:tcBorders>
              <w:top w:val="nil"/>
              <w:left w:val="nil"/>
              <w:bottom w:val="nil"/>
              <w:right w:val="nil"/>
            </w:tcBorders>
            <w:tcMar>
              <w:left w:w="80" w:type="dxa"/>
              <w:right w:w="80" w:type="dxa"/>
            </w:tcMar>
          </w:tcPr>
          <w:p w14:paraId="5DE5113E"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10.1</w:t>
            </w:r>
          </w:p>
        </w:tc>
        <w:tc>
          <w:tcPr>
            <w:tcW w:w="540" w:type="dxa"/>
            <w:tcBorders>
              <w:top w:val="nil"/>
              <w:left w:val="nil"/>
              <w:bottom w:val="nil"/>
              <w:right w:val="nil"/>
            </w:tcBorders>
            <w:tcMar>
              <w:left w:w="80" w:type="dxa"/>
              <w:right w:w="80" w:type="dxa"/>
            </w:tcMar>
          </w:tcPr>
          <w:p w14:paraId="37D37255"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45.0</w:t>
            </w:r>
          </w:p>
        </w:tc>
        <w:tc>
          <w:tcPr>
            <w:tcW w:w="540" w:type="dxa"/>
            <w:tcBorders>
              <w:top w:val="nil"/>
              <w:left w:val="nil"/>
              <w:bottom w:val="nil"/>
              <w:right w:val="nil"/>
            </w:tcBorders>
            <w:tcMar>
              <w:left w:w="80" w:type="dxa"/>
              <w:right w:w="80" w:type="dxa"/>
            </w:tcMar>
          </w:tcPr>
          <w:p w14:paraId="45D5F58E"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16.3</w:t>
            </w:r>
          </w:p>
        </w:tc>
        <w:tc>
          <w:tcPr>
            <w:tcW w:w="660" w:type="dxa"/>
            <w:tcBorders>
              <w:top w:val="nil"/>
              <w:left w:val="nil"/>
              <w:bottom w:val="nil"/>
              <w:right w:val="nil"/>
            </w:tcBorders>
            <w:tcMar>
              <w:left w:w="80" w:type="dxa"/>
              <w:right w:w="80" w:type="dxa"/>
            </w:tcMar>
          </w:tcPr>
          <w:p w14:paraId="3C3A17C9"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3.2</w:t>
            </w:r>
          </w:p>
        </w:tc>
        <w:tc>
          <w:tcPr>
            <w:tcW w:w="630" w:type="dxa"/>
            <w:tcBorders>
              <w:top w:val="nil"/>
              <w:left w:val="nil"/>
              <w:bottom w:val="nil"/>
              <w:right w:val="nil"/>
            </w:tcBorders>
            <w:tcMar>
              <w:left w:w="80" w:type="dxa"/>
              <w:right w:w="80" w:type="dxa"/>
            </w:tcMar>
          </w:tcPr>
          <w:p w14:paraId="1BAF53A3"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-19.7</w:t>
            </w:r>
          </w:p>
        </w:tc>
        <w:tc>
          <w:tcPr>
            <w:tcW w:w="660" w:type="dxa"/>
            <w:tcBorders>
              <w:top w:val="nil"/>
              <w:left w:val="nil"/>
              <w:bottom w:val="nil"/>
              <w:right w:val="nil"/>
            </w:tcBorders>
            <w:tcMar>
              <w:left w:w="80" w:type="dxa"/>
              <w:right w:w="80" w:type="dxa"/>
            </w:tcMar>
          </w:tcPr>
          <w:p w14:paraId="302850FC"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10.2</w:t>
            </w:r>
          </w:p>
        </w:tc>
        <w:tc>
          <w:tcPr>
            <w:tcW w:w="810" w:type="dxa"/>
            <w:tcBorders>
              <w:top w:val="nil"/>
              <w:left w:val="nil"/>
              <w:bottom w:val="nil"/>
              <w:right w:val="nil"/>
            </w:tcBorders>
            <w:tcMar>
              <w:left w:w="80" w:type="dxa"/>
              <w:right w:w="80" w:type="dxa"/>
            </w:tcMar>
          </w:tcPr>
          <w:p w14:paraId="15B792F0"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61±15</w:t>
            </w:r>
          </w:p>
        </w:tc>
        <w:tc>
          <w:tcPr>
            <w:tcW w:w="990" w:type="dxa"/>
            <w:tcBorders>
              <w:top w:val="nil"/>
              <w:left w:val="nil"/>
              <w:bottom w:val="nil"/>
              <w:right w:val="nil"/>
            </w:tcBorders>
            <w:tcMar>
              <w:left w:w="80" w:type="dxa"/>
              <w:right w:w="80" w:type="dxa"/>
            </w:tcMar>
          </w:tcPr>
          <w:p w14:paraId="3E8CCE4A"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28±11</w:t>
            </w:r>
          </w:p>
        </w:tc>
        <w:tc>
          <w:tcPr>
            <w:tcW w:w="960" w:type="dxa"/>
            <w:tcBorders>
              <w:top w:val="nil"/>
              <w:left w:val="nil"/>
              <w:bottom w:val="nil"/>
              <w:right w:val="nil"/>
            </w:tcBorders>
            <w:tcMar>
              <w:left w:w="80" w:type="dxa"/>
              <w:right w:w="80" w:type="dxa"/>
            </w:tcMar>
          </w:tcPr>
          <w:p w14:paraId="3AD2C333"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11±8</w:t>
            </w:r>
          </w:p>
        </w:tc>
      </w:tr>
      <w:tr w:rsidR="00F12285" w14:paraId="52CC3D36" w14:textId="77777777" w:rsidTr="00C552DC">
        <w:trPr>
          <w:trHeight w:val="440"/>
        </w:trPr>
        <w:tc>
          <w:tcPr>
            <w:tcW w:w="690" w:type="dxa"/>
            <w:tcBorders>
              <w:top w:val="nil"/>
              <w:left w:val="nil"/>
              <w:bottom w:val="nil"/>
              <w:right w:val="nil"/>
            </w:tcBorders>
            <w:tcMar>
              <w:top w:w="20" w:type="dxa"/>
              <w:left w:w="20" w:type="dxa"/>
              <w:bottom w:w="20" w:type="dxa"/>
              <w:right w:w="20" w:type="dxa"/>
            </w:tcMar>
            <w:vAlign w:val="center"/>
          </w:tcPr>
          <w:p w14:paraId="4422B844"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BAA9</w:t>
            </w:r>
          </w:p>
        </w:tc>
        <w:tc>
          <w:tcPr>
            <w:tcW w:w="1530" w:type="dxa"/>
            <w:tcBorders>
              <w:top w:val="nil"/>
              <w:left w:val="nil"/>
              <w:bottom w:val="nil"/>
              <w:right w:val="nil"/>
            </w:tcBorders>
            <w:vAlign w:val="center"/>
          </w:tcPr>
          <w:p w14:paraId="0303EBB0"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El Estrechuelo</w:t>
            </w:r>
          </w:p>
        </w:tc>
        <w:tc>
          <w:tcPr>
            <w:tcW w:w="915" w:type="dxa"/>
            <w:tcBorders>
              <w:top w:val="nil"/>
              <w:left w:val="nil"/>
              <w:bottom w:val="nil"/>
              <w:right w:val="nil"/>
            </w:tcBorders>
            <w:vAlign w:val="center"/>
          </w:tcPr>
          <w:p w14:paraId="48757064"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Rib</w:t>
            </w:r>
          </w:p>
        </w:tc>
        <w:tc>
          <w:tcPr>
            <w:tcW w:w="975" w:type="dxa"/>
            <w:tcBorders>
              <w:top w:val="nil"/>
              <w:left w:val="nil"/>
              <w:bottom w:val="nil"/>
              <w:right w:val="nil"/>
            </w:tcBorders>
            <w:vAlign w:val="center"/>
          </w:tcPr>
          <w:p w14:paraId="5C6581AC"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Adult</w:t>
            </w:r>
          </w:p>
        </w:tc>
        <w:tc>
          <w:tcPr>
            <w:tcW w:w="675" w:type="dxa"/>
            <w:tcBorders>
              <w:top w:val="nil"/>
              <w:left w:val="nil"/>
              <w:bottom w:val="nil"/>
              <w:right w:val="nil"/>
            </w:tcBorders>
            <w:tcMar>
              <w:left w:w="80" w:type="dxa"/>
              <w:right w:w="80" w:type="dxa"/>
            </w:tcMar>
          </w:tcPr>
          <w:p w14:paraId="3D2C900E"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8.2</w:t>
            </w:r>
          </w:p>
        </w:tc>
        <w:tc>
          <w:tcPr>
            <w:tcW w:w="540" w:type="dxa"/>
            <w:tcBorders>
              <w:top w:val="nil"/>
              <w:left w:val="nil"/>
              <w:bottom w:val="nil"/>
              <w:right w:val="nil"/>
            </w:tcBorders>
            <w:tcMar>
              <w:left w:w="80" w:type="dxa"/>
              <w:right w:w="80" w:type="dxa"/>
            </w:tcMar>
          </w:tcPr>
          <w:p w14:paraId="719F4A7D"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44.0</w:t>
            </w:r>
          </w:p>
        </w:tc>
        <w:tc>
          <w:tcPr>
            <w:tcW w:w="540" w:type="dxa"/>
            <w:tcBorders>
              <w:top w:val="nil"/>
              <w:left w:val="nil"/>
              <w:bottom w:val="nil"/>
              <w:right w:val="nil"/>
            </w:tcBorders>
            <w:tcMar>
              <w:left w:w="80" w:type="dxa"/>
              <w:right w:w="80" w:type="dxa"/>
            </w:tcMar>
          </w:tcPr>
          <w:p w14:paraId="06F9A2B6"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16.0</w:t>
            </w:r>
          </w:p>
        </w:tc>
        <w:tc>
          <w:tcPr>
            <w:tcW w:w="660" w:type="dxa"/>
            <w:tcBorders>
              <w:top w:val="nil"/>
              <w:left w:val="nil"/>
              <w:bottom w:val="nil"/>
              <w:right w:val="nil"/>
            </w:tcBorders>
            <w:tcMar>
              <w:left w:w="80" w:type="dxa"/>
              <w:right w:w="80" w:type="dxa"/>
            </w:tcMar>
          </w:tcPr>
          <w:p w14:paraId="31E3D8FD"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3.2</w:t>
            </w:r>
          </w:p>
        </w:tc>
        <w:tc>
          <w:tcPr>
            <w:tcW w:w="630" w:type="dxa"/>
            <w:tcBorders>
              <w:top w:val="nil"/>
              <w:left w:val="nil"/>
              <w:bottom w:val="nil"/>
              <w:right w:val="nil"/>
            </w:tcBorders>
            <w:tcMar>
              <w:left w:w="80" w:type="dxa"/>
              <w:right w:w="80" w:type="dxa"/>
            </w:tcMar>
          </w:tcPr>
          <w:p w14:paraId="0D083695"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-18.9</w:t>
            </w:r>
          </w:p>
        </w:tc>
        <w:tc>
          <w:tcPr>
            <w:tcW w:w="660" w:type="dxa"/>
            <w:tcBorders>
              <w:top w:val="nil"/>
              <w:left w:val="nil"/>
              <w:bottom w:val="nil"/>
              <w:right w:val="nil"/>
            </w:tcBorders>
            <w:tcMar>
              <w:left w:w="80" w:type="dxa"/>
              <w:right w:w="80" w:type="dxa"/>
            </w:tcMar>
          </w:tcPr>
          <w:p w14:paraId="0F22AF59"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10.0</w:t>
            </w:r>
          </w:p>
        </w:tc>
        <w:tc>
          <w:tcPr>
            <w:tcW w:w="810" w:type="dxa"/>
            <w:tcBorders>
              <w:top w:val="nil"/>
              <w:left w:val="nil"/>
              <w:bottom w:val="nil"/>
              <w:right w:val="nil"/>
            </w:tcBorders>
            <w:tcMar>
              <w:left w:w="80" w:type="dxa"/>
              <w:right w:w="80" w:type="dxa"/>
            </w:tcMar>
          </w:tcPr>
          <w:p w14:paraId="40ADAC2B"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60±14</w:t>
            </w:r>
          </w:p>
        </w:tc>
        <w:tc>
          <w:tcPr>
            <w:tcW w:w="990" w:type="dxa"/>
            <w:tcBorders>
              <w:top w:val="nil"/>
              <w:left w:val="nil"/>
              <w:bottom w:val="nil"/>
              <w:right w:val="nil"/>
            </w:tcBorders>
            <w:tcMar>
              <w:left w:w="80" w:type="dxa"/>
              <w:right w:w="80" w:type="dxa"/>
            </w:tcMar>
          </w:tcPr>
          <w:p w14:paraId="61B2C85C"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28±10</w:t>
            </w:r>
          </w:p>
        </w:tc>
        <w:tc>
          <w:tcPr>
            <w:tcW w:w="960" w:type="dxa"/>
            <w:tcBorders>
              <w:top w:val="nil"/>
              <w:left w:val="nil"/>
              <w:bottom w:val="nil"/>
              <w:right w:val="nil"/>
            </w:tcBorders>
            <w:tcMar>
              <w:left w:w="80" w:type="dxa"/>
              <w:right w:w="80" w:type="dxa"/>
            </w:tcMar>
          </w:tcPr>
          <w:p w14:paraId="22BD49FD"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11±8</w:t>
            </w:r>
          </w:p>
        </w:tc>
      </w:tr>
      <w:tr w:rsidR="00F12285" w14:paraId="446EE01A" w14:textId="77777777" w:rsidTr="00C552DC">
        <w:trPr>
          <w:trHeight w:val="440"/>
        </w:trPr>
        <w:tc>
          <w:tcPr>
            <w:tcW w:w="690" w:type="dxa"/>
            <w:tcBorders>
              <w:top w:val="nil"/>
              <w:left w:val="nil"/>
              <w:bottom w:val="single" w:sz="8" w:space="0" w:color="000000"/>
              <w:right w:val="nil"/>
            </w:tcBorders>
            <w:tcMar>
              <w:top w:w="20" w:type="dxa"/>
              <w:left w:w="20" w:type="dxa"/>
              <w:bottom w:w="20" w:type="dxa"/>
              <w:right w:w="20" w:type="dxa"/>
            </w:tcMar>
            <w:vAlign w:val="center"/>
          </w:tcPr>
          <w:p w14:paraId="00551358"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BAA10</w:t>
            </w:r>
          </w:p>
        </w:tc>
        <w:tc>
          <w:tcPr>
            <w:tcW w:w="1530" w:type="dxa"/>
            <w:tcBorders>
              <w:top w:val="nil"/>
              <w:left w:val="nil"/>
              <w:bottom w:val="single" w:sz="8" w:space="0" w:color="000000"/>
              <w:right w:val="nil"/>
            </w:tcBorders>
            <w:vAlign w:val="center"/>
          </w:tcPr>
          <w:p w14:paraId="5AD3B876"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El Balcón</w:t>
            </w:r>
          </w:p>
        </w:tc>
        <w:tc>
          <w:tcPr>
            <w:tcW w:w="915" w:type="dxa"/>
            <w:tcBorders>
              <w:top w:val="nil"/>
              <w:left w:val="nil"/>
              <w:bottom w:val="single" w:sz="8" w:space="0" w:color="000000"/>
              <w:right w:val="nil"/>
            </w:tcBorders>
            <w:vAlign w:val="center"/>
          </w:tcPr>
          <w:p w14:paraId="07586821"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Femur</w:t>
            </w:r>
          </w:p>
        </w:tc>
        <w:tc>
          <w:tcPr>
            <w:tcW w:w="975" w:type="dxa"/>
            <w:tcBorders>
              <w:top w:val="nil"/>
              <w:left w:val="nil"/>
              <w:bottom w:val="single" w:sz="8" w:space="0" w:color="000000"/>
              <w:right w:val="nil"/>
            </w:tcBorders>
            <w:vAlign w:val="center"/>
          </w:tcPr>
          <w:p w14:paraId="659F7302" w14:textId="77777777" w:rsidR="00F12285" w:rsidRDefault="00F12285" w:rsidP="00C552DC">
            <w:pPr>
              <w:spacing w:line="240" w:lineRule="auto"/>
              <w:jc w:val="center"/>
              <w:rPr>
                <w:rFonts w:ascii="Calibri" w:eastAsia="Calibri" w:hAnsi="Calibri" w:cs="Calibri"/>
                <w:sz w:val="18"/>
                <w:szCs w:val="18"/>
                <w:highlight w:val="white"/>
              </w:rPr>
            </w:pPr>
            <w:r>
              <w:rPr>
                <w:rFonts w:ascii="Calibri" w:eastAsia="Calibri" w:hAnsi="Calibri" w:cs="Calibri"/>
                <w:sz w:val="18"/>
                <w:szCs w:val="18"/>
                <w:highlight w:val="white"/>
              </w:rPr>
              <w:t>Adult</w:t>
            </w:r>
          </w:p>
        </w:tc>
        <w:tc>
          <w:tcPr>
            <w:tcW w:w="675" w:type="dxa"/>
            <w:tcBorders>
              <w:top w:val="nil"/>
              <w:left w:val="nil"/>
              <w:bottom w:val="single" w:sz="8" w:space="0" w:color="000000"/>
              <w:right w:val="nil"/>
            </w:tcBorders>
            <w:tcMar>
              <w:left w:w="80" w:type="dxa"/>
              <w:right w:w="80" w:type="dxa"/>
            </w:tcMar>
          </w:tcPr>
          <w:p w14:paraId="310BF655"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9.0</w:t>
            </w:r>
          </w:p>
        </w:tc>
        <w:tc>
          <w:tcPr>
            <w:tcW w:w="540" w:type="dxa"/>
            <w:tcBorders>
              <w:top w:val="nil"/>
              <w:left w:val="nil"/>
              <w:bottom w:val="single" w:sz="8" w:space="0" w:color="000000"/>
              <w:right w:val="nil"/>
            </w:tcBorders>
            <w:tcMar>
              <w:left w:w="80" w:type="dxa"/>
              <w:right w:w="80" w:type="dxa"/>
            </w:tcMar>
          </w:tcPr>
          <w:p w14:paraId="32F5F638"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41.5</w:t>
            </w:r>
          </w:p>
        </w:tc>
        <w:tc>
          <w:tcPr>
            <w:tcW w:w="540" w:type="dxa"/>
            <w:tcBorders>
              <w:top w:val="nil"/>
              <w:left w:val="nil"/>
              <w:bottom w:val="single" w:sz="8" w:space="0" w:color="000000"/>
              <w:right w:val="nil"/>
            </w:tcBorders>
            <w:tcMar>
              <w:left w:w="80" w:type="dxa"/>
              <w:right w:w="80" w:type="dxa"/>
            </w:tcMar>
          </w:tcPr>
          <w:p w14:paraId="20F385EE"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15.2</w:t>
            </w:r>
          </w:p>
        </w:tc>
        <w:tc>
          <w:tcPr>
            <w:tcW w:w="660" w:type="dxa"/>
            <w:tcBorders>
              <w:top w:val="nil"/>
              <w:left w:val="nil"/>
              <w:bottom w:val="single" w:sz="8" w:space="0" w:color="000000"/>
              <w:right w:val="nil"/>
            </w:tcBorders>
            <w:tcMar>
              <w:left w:w="80" w:type="dxa"/>
              <w:right w:w="80" w:type="dxa"/>
            </w:tcMar>
          </w:tcPr>
          <w:p w14:paraId="3965CF28"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3.2</w:t>
            </w:r>
          </w:p>
        </w:tc>
        <w:tc>
          <w:tcPr>
            <w:tcW w:w="630" w:type="dxa"/>
            <w:tcBorders>
              <w:top w:val="nil"/>
              <w:left w:val="nil"/>
              <w:bottom w:val="single" w:sz="8" w:space="0" w:color="000000"/>
              <w:right w:val="nil"/>
            </w:tcBorders>
            <w:tcMar>
              <w:left w:w="80" w:type="dxa"/>
              <w:right w:w="80" w:type="dxa"/>
            </w:tcMar>
          </w:tcPr>
          <w:p w14:paraId="11C90741"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-19.1</w:t>
            </w:r>
          </w:p>
        </w:tc>
        <w:tc>
          <w:tcPr>
            <w:tcW w:w="660" w:type="dxa"/>
            <w:tcBorders>
              <w:top w:val="nil"/>
              <w:left w:val="nil"/>
              <w:bottom w:val="single" w:sz="8" w:space="0" w:color="000000"/>
              <w:right w:val="nil"/>
            </w:tcBorders>
            <w:tcMar>
              <w:left w:w="80" w:type="dxa"/>
              <w:right w:w="80" w:type="dxa"/>
            </w:tcMar>
          </w:tcPr>
          <w:p w14:paraId="6827F44B"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10.4</w:t>
            </w:r>
          </w:p>
        </w:tc>
        <w:tc>
          <w:tcPr>
            <w:tcW w:w="810" w:type="dxa"/>
            <w:tcBorders>
              <w:top w:val="nil"/>
              <w:left w:val="nil"/>
              <w:bottom w:val="single" w:sz="8" w:space="0" w:color="000000"/>
              <w:right w:val="nil"/>
            </w:tcBorders>
            <w:tcMar>
              <w:left w:w="80" w:type="dxa"/>
              <w:right w:w="80" w:type="dxa"/>
            </w:tcMar>
          </w:tcPr>
          <w:p w14:paraId="5FD3DD7A"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61±14</w:t>
            </w:r>
          </w:p>
        </w:tc>
        <w:tc>
          <w:tcPr>
            <w:tcW w:w="990" w:type="dxa"/>
            <w:tcBorders>
              <w:top w:val="nil"/>
              <w:left w:val="nil"/>
              <w:bottom w:val="single" w:sz="8" w:space="0" w:color="000000"/>
              <w:right w:val="nil"/>
            </w:tcBorders>
            <w:tcMar>
              <w:left w:w="80" w:type="dxa"/>
              <w:right w:w="80" w:type="dxa"/>
            </w:tcMar>
          </w:tcPr>
          <w:p w14:paraId="5DE4714D"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28±10</w:t>
            </w:r>
          </w:p>
        </w:tc>
        <w:tc>
          <w:tcPr>
            <w:tcW w:w="960" w:type="dxa"/>
            <w:tcBorders>
              <w:top w:val="nil"/>
              <w:left w:val="nil"/>
              <w:bottom w:val="single" w:sz="8" w:space="0" w:color="000000"/>
              <w:right w:val="nil"/>
            </w:tcBorders>
            <w:tcMar>
              <w:left w:w="80" w:type="dxa"/>
              <w:right w:w="80" w:type="dxa"/>
            </w:tcMar>
          </w:tcPr>
          <w:p w14:paraId="1FDB8AF7" w14:textId="77777777" w:rsidR="00F12285" w:rsidRDefault="00F12285" w:rsidP="00C552DC">
            <w:pPr>
              <w:jc w:val="center"/>
              <w:rPr>
                <w:rFonts w:ascii="Calibri" w:eastAsia="Calibri" w:hAnsi="Calibri" w:cs="Calibri"/>
                <w:sz w:val="18"/>
                <w:szCs w:val="18"/>
                <w:highlight w:val="white"/>
              </w:rPr>
            </w:pPr>
            <w:r>
              <w:rPr>
                <w:rFonts w:ascii="Calibri" w:eastAsia="Calibri" w:hAnsi="Calibri" w:cs="Calibri"/>
                <w:sz w:val="18"/>
                <w:szCs w:val="18"/>
                <w:highlight w:val="white"/>
              </w:rPr>
              <w:t>11±8</w:t>
            </w:r>
          </w:p>
        </w:tc>
      </w:tr>
    </w:tbl>
    <w:p w14:paraId="6C980C06" w14:textId="77777777" w:rsidR="00F12285" w:rsidRDefault="00F12285" w:rsidP="00F12285">
      <w:pPr>
        <w:spacing w:after="200" w:line="240" w:lineRule="auto"/>
        <w:jc w:val="both"/>
        <w:rPr>
          <w:rFonts w:ascii="Calibri" w:eastAsia="Calibri" w:hAnsi="Calibri" w:cs="Calibri"/>
          <w:b/>
          <w:color w:val="131413"/>
          <w:sz w:val="24"/>
          <w:szCs w:val="24"/>
          <w:highlight w:val="white"/>
        </w:rPr>
      </w:pPr>
      <w:r>
        <w:br w:type="page"/>
      </w:r>
    </w:p>
    <w:p w14:paraId="2012466E" w14:textId="77777777" w:rsidR="00F12285" w:rsidRDefault="00F12285" w:rsidP="00F12285">
      <w:pPr>
        <w:spacing w:line="240" w:lineRule="auto"/>
        <w:jc w:val="both"/>
        <w:rPr>
          <w:rFonts w:ascii="Calibri" w:eastAsia="Calibri" w:hAnsi="Calibri" w:cs="Calibri"/>
          <w:color w:val="131413"/>
          <w:highlight w:val="white"/>
        </w:rPr>
      </w:pPr>
      <w:r>
        <w:rPr>
          <w:rFonts w:ascii="Calibri" w:eastAsia="Calibri" w:hAnsi="Calibri" w:cs="Calibri"/>
          <w:b/>
          <w:color w:val="131413"/>
          <w:highlight w:val="white"/>
        </w:rPr>
        <w:lastRenderedPageBreak/>
        <w:t>Table 3</w:t>
      </w:r>
      <w:r>
        <w:rPr>
          <w:rFonts w:ascii="Calibri" w:eastAsia="Calibri" w:hAnsi="Calibri" w:cs="Calibri"/>
          <w:color w:val="131413"/>
          <w:highlight w:val="white"/>
        </w:rPr>
        <w:t xml:space="preserve"> </w:t>
      </w:r>
      <w:r>
        <w:rPr>
          <w:rFonts w:ascii="Calibri" w:eastAsia="Calibri" w:hAnsi="Calibri" w:cs="Calibri"/>
          <w:color w:val="131413"/>
          <w:highlight w:val="white"/>
        </w:rPr>
        <w:tab/>
        <w:t>Stable carbon and nitrogen isotope results and bone collagen quality indicators of animal remains. ZooMS identifications are also reported</w:t>
      </w:r>
    </w:p>
    <w:p w14:paraId="7824B45D" w14:textId="77777777" w:rsidR="00F12285" w:rsidRDefault="00F12285" w:rsidP="00F12285">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 xml:space="preserve"> </w:t>
      </w:r>
    </w:p>
    <w:tbl>
      <w:tblPr>
        <w:tblStyle w:val="af"/>
        <w:tblW w:w="10140" w:type="dxa"/>
        <w:tblBorders>
          <w:top w:val="nil"/>
          <w:left w:val="nil"/>
          <w:bottom w:val="nil"/>
          <w:right w:val="nil"/>
          <w:insideH w:val="nil"/>
          <w:insideV w:val="nil"/>
        </w:tblBorders>
        <w:tblLayout w:type="fixed"/>
        <w:tblLook w:val="0600" w:firstRow="0" w:lastRow="0" w:firstColumn="0" w:lastColumn="0" w:noHBand="1" w:noVBand="1"/>
      </w:tblPr>
      <w:tblGrid>
        <w:gridCol w:w="720"/>
        <w:gridCol w:w="1065"/>
        <w:gridCol w:w="1035"/>
        <w:gridCol w:w="1500"/>
        <w:gridCol w:w="1110"/>
        <w:gridCol w:w="645"/>
        <w:gridCol w:w="630"/>
        <w:gridCol w:w="750"/>
        <w:gridCol w:w="960"/>
        <w:gridCol w:w="870"/>
        <w:gridCol w:w="855"/>
      </w:tblGrid>
      <w:tr w:rsidR="00F12285" w14:paraId="2E0CD759" w14:textId="77777777" w:rsidTr="00C552DC">
        <w:trPr>
          <w:trHeight w:val="440"/>
        </w:trPr>
        <w:tc>
          <w:tcPr>
            <w:tcW w:w="720" w:type="dxa"/>
            <w:tcBorders>
              <w:top w:val="single" w:sz="8" w:space="0" w:color="000000"/>
              <w:left w:val="nil"/>
              <w:bottom w:val="single" w:sz="8" w:space="0" w:color="000000"/>
              <w:right w:val="nil"/>
            </w:tcBorders>
            <w:tcMar>
              <w:top w:w="20" w:type="dxa"/>
              <w:left w:w="20" w:type="dxa"/>
              <w:bottom w:w="20" w:type="dxa"/>
              <w:right w:w="20" w:type="dxa"/>
            </w:tcMar>
            <w:vAlign w:val="center"/>
          </w:tcPr>
          <w:p w14:paraId="33283BC9"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Sample</w:t>
            </w:r>
          </w:p>
        </w:tc>
        <w:tc>
          <w:tcPr>
            <w:tcW w:w="106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298A6C5B"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Site</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3E6BACD6"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Element sampled</w:t>
            </w:r>
          </w:p>
        </w:tc>
        <w:tc>
          <w:tcPr>
            <w:tcW w:w="150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43D2560C"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Morphological ID</w:t>
            </w:r>
          </w:p>
        </w:tc>
        <w:tc>
          <w:tcPr>
            <w:tcW w:w="111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73BEF0F"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ZooMS ID</w:t>
            </w:r>
          </w:p>
        </w:tc>
        <w:tc>
          <w:tcPr>
            <w:tcW w:w="64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514F1772"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Yield (%)</w:t>
            </w:r>
          </w:p>
        </w:tc>
        <w:tc>
          <w:tcPr>
            <w:tcW w:w="63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62435A23"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%C</w:t>
            </w:r>
          </w:p>
        </w:tc>
        <w:tc>
          <w:tcPr>
            <w:tcW w:w="75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4CE5D5DE"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%N</w:t>
            </w:r>
          </w:p>
        </w:tc>
        <w:tc>
          <w:tcPr>
            <w:tcW w:w="96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284A87BB"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C/N</w:t>
            </w:r>
          </w:p>
        </w:tc>
        <w:tc>
          <w:tcPr>
            <w:tcW w:w="87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4E45E1DB"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δ13C (‰)</w:t>
            </w:r>
          </w:p>
        </w:tc>
        <w:tc>
          <w:tcPr>
            <w:tcW w:w="85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69F66EFD" w14:textId="77777777" w:rsidR="00F12285" w:rsidRDefault="00F12285" w:rsidP="00C552DC">
            <w:pPr>
              <w:spacing w:line="240" w:lineRule="auto"/>
              <w:jc w:val="both"/>
              <w:rPr>
                <w:rFonts w:ascii="Calibri" w:eastAsia="Calibri" w:hAnsi="Calibri" w:cs="Calibri"/>
                <w:b/>
                <w:sz w:val="20"/>
                <w:szCs w:val="20"/>
                <w:highlight w:val="white"/>
              </w:rPr>
            </w:pPr>
            <w:r>
              <w:rPr>
                <w:rFonts w:ascii="Calibri" w:eastAsia="Calibri" w:hAnsi="Calibri" w:cs="Calibri"/>
                <w:b/>
                <w:sz w:val="20"/>
                <w:szCs w:val="20"/>
                <w:highlight w:val="white"/>
              </w:rPr>
              <w:t>δ</w:t>
            </w:r>
            <w:r>
              <w:rPr>
                <w:rFonts w:ascii="Calibri" w:eastAsia="Calibri" w:hAnsi="Calibri" w:cs="Calibri"/>
                <w:b/>
                <w:sz w:val="20"/>
                <w:szCs w:val="20"/>
                <w:highlight w:val="white"/>
                <w:vertAlign w:val="superscript"/>
              </w:rPr>
              <w:t>15</w:t>
            </w:r>
            <w:r>
              <w:rPr>
                <w:rFonts w:ascii="Calibri" w:eastAsia="Calibri" w:hAnsi="Calibri" w:cs="Calibri"/>
                <w:b/>
                <w:sz w:val="20"/>
                <w:szCs w:val="20"/>
                <w:highlight w:val="white"/>
              </w:rPr>
              <w:t>N (‰)</w:t>
            </w:r>
          </w:p>
        </w:tc>
      </w:tr>
      <w:tr w:rsidR="00F12285" w14:paraId="751542C5"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3DAE3957"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w:t>
            </w:r>
          </w:p>
        </w:tc>
        <w:tc>
          <w:tcPr>
            <w:tcW w:w="1065" w:type="dxa"/>
            <w:tcBorders>
              <w:top w:val="nil"/>
              <w:left w:val="nil"/>
              <w:bottom w:val="nil"/>
              <w:right w:val="nil"/>
            </w:tcBorders>
            <w:tcMar>
              <w:top w:w="100" w:type="dxa"/>
              <w:left w:w="100" w:type="dxa"/>
              <w:bottom w:w="100" w:type="dxa"/>
              <w:right w:w="100" w:type="dxa"/>
            </w:tcMar>
            <w:vAlign w:val="center"/>
          </w:tcPr>
          <w:p w14:paraId="5FDA876F"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5D8A9C7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Metacarpal</w:t>
            </w:r>
          </w:p>
        </w:tc>
        <w:tc>
          <w:tcPr>
            <w:tcW w:w="1500" w:type="dxa"/>
            <w:tcBorders>
              <w:top w:val="nil"/>
              <w:left w:val="nil"/>
              <w:bottom w:val="nil"/>
              <w:right w:val="nil"/>
            </w:tcBorders>
            <w:tcMar>
              <w:top w:w="100" w:type="dxa"/>
              <w:left w:w="100" w:type="dxa"/>
              <w:bottom w:w="100" w:type="dxa"/>
              <w:right w:w="100" w:type="dxa"/>
            </w:tcMar>
            <w:vAlign w:val="center"/>
          </w:tcPr>
          <w:p w14:paraId="29A0833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0DD627C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w:t>
            </w:r>
          </w:p>
        </w:tc>
        <w:tc>
          <w:tcPr>
            <w:tcW w:w="645" w:type="dxa"/>
            <w:tcBorders>
              <w:top w:val="single" w:sz="8" w:space="0" w:color="000000"/>
              <w:left w:val="nil"/>
              <w:bottom w:val="nil"/>
              <w:right w:val="nil"/>
            </w:tcBorders>
            <w:tcMar>
              <w:top w:w="100" w:type="dxa"/>
              <w:left w:w="80" w:type="dxa"/>
              <w:bottom w:w="100" w:type="dxa"/>
              <w:right w:w="80" w:type="dxa"/>
            </w:tcMar>
          </w:tcPr>
          <w:p w14:paraId="6BC1A90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7.3</w:t>
            </w:r>
          </w:p>
        </w:tc>
        <w:tc>
          <w:tcPr>
            <w:tcW w:w="630" w:type="dxa"/>
            <w:tcBorders>
              <w:top w:val="single" w:sz="8" w:space="0" w:color="000000"/>
              <w:left w:val="nil"/>
              <w:bottom w:val="nil"/>
              <w:right w:val="nil"/>
            </w:tcBorders>
            <w:tcMar>
              <w:top w:w="100" w:type="dxa"/>
              <w:left w:w="80" w:type="dxa"/>
              <w:bottom w:w="100" w:type="dxa"/>
              <w:right w:w="80" w:type="dxa"/>
            </w:tcMar>
          </w:tcPr>
          <w:p w14:paraId="7F7D7AC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44.5</w:t>
            </w:r>
          </w:p>
        </w:tc>
        <w:tc>
          <w:tcPr>
            <w:tcW w:w="750" w:type="dxa"/>
            <w:tcBorders>
              <w:top w:val="single" w:sz="8" w:space="0" w:color="000000"/>
              <w:left w:val="nil"/>
              <w:bottom w:val="nil"/>
              <w:right w:val="nil"/>
            </w:tcBorders>
            <w:tcMar>
              <w:top w:w="100" w:type="dxa"/>
              <w:left w:w="80" w:type="dxa"/>
              <w:bottom w:w="100" w:type="dxa"/>
              <w:right w:w="80" w:type="dxa"/>
            </w:tcMar>
          </w:tcPr>
          <w:p w14:paraId="0BDC2865"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16.1</w:t>
            </w:r>
          </w:p>
        </w:tc>
        <w:tc>
          <w:tcPr>
            <w:tcW w:w="960" w:type="dxa"/>
            <w:tcBorders>
              <w:top w:val="single" w:sz="8" w:space="0" w:color="000000"/>
              <w:left w:val="nil"/>
              <w:bottom w:val="nil"/>
              <w:right w:val="nil"/>
            </w:tcBorders>
            <w:tcMar>
              <w:top w:w="100" w:type="dxa"/>
              <w:left w:w="80" w:type="dxa"/>
              <w:bottom w:w="100" w:type="dxa"/>
              <w:right w:w="80" w:type="dxa"/>
            </w:tcMar>
          </w:tcPr>
          <w:p w14:paraId="1806672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single" w:sz="8" w:space="0" w:color="000000"/>
              <w:left w:val="nil"/>
              <w:bottom w:val="nil"/>
              <w:right w:val="nil"/>
            </w:tcBorders>
            <w:tcMar>
              <w:top w:w="100" w:type="dxa"/>
              <w:left w:w="80" w:type="dxa"/>
              <w:bottom w:w="100" w:type="dxa"/>
              <w:right w:w="80" w:type="dxa"/>
            </w:tcMar>
          </w:tcPr>
          <w:p w14:paraId="48B059C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-19.7</w:t>
            </w:r>
          </w:p>
        </w:tc>
        <w:tc>
          <w:tcPr>
            <w:tcW w:w="855" w:type="dxa"/>
            <w:tcBorders>
              <w:top w:val="single" w:sz="8" w:space="0" w:color="000000"/>
              <w:left w:val="nil"/>
              <w:bottom w:val="nil"/>
              <w:right w:val="nil"/>
            </w:tcBorders>
            <w:tcMar>
              <w:top w:w="100" w:type="dxa"/>
              <w:left w:w="80" w:type="dxa"/>
              <w:bottom w:w="100" w:type="dxa"/>
              <w:right w:w="80" w:type="dxa"/>
            </w:tcMar>
          </w:tcPr>
          <w:p w14:paraId="3070DE8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7.9</w:t>
            </w:r>
          </w:p>
        </w:tc>
      </w:tr>
      <w:tr w:rsidR="00F12285" w14:paraId="60E1B0A5"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4BAF7115"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MN2</w:t>
            </w:r>
          </w:p>
        </w:tc>
        <w:tc>
          <w:tcPr>
            <w:tcW w:w="1065" w:type="dxa"/>
            <w:tcBorders>
              <w:top w:val="nil"/>
              <w:left w:val="nil"/>
              <w:bottom w:val="nil"/>
              <w:right w:val="nil"/>
            </w:tcBorders>
            <w:tcMar>
              <w:top w:w="100" w:type="dxa"/>
              <w:left w:w="100" w:type="dxa"/>
              <w:bottom w:w="100" w:type="dxa"/>
              <w:right w:w="100" w:type="dxa"/>
            </w:tcMar>
            <w:vAlign w:val="center"/>
          </w:tcPr>
          <w:p w14:paraId="249213A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13091CD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Talus</w:t>
            </w:r>
          </w:p>
        </w:tc>
        <w:tc>
          <w:tcPr>
            <w:tcW w:w="1500" w:type="dxa"/>
            <w:tcBorders>
              <w:top w:val="nil"/>
              <w:left w:val="nil"/>
              <w:bottom w:val="nil"/>
              <w:right w:val="nil"/>
            </w:tcBorders>
            <w:tcMar>
              <w:top w:w="100" w:type="dxa"/>
              <w:left w:w="100" w:type="dxa"/>
              <w:bottom w:w="100" w:type="dxa"/>
              <w:right w:w="100" w:type="dxa"/>
            </w:tcMar>
            <w:vAlign w:val="center"/>
          </w:tcPr>
          <w:p w14:paraId="5FA4A49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4A4B4D6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w:t>
            </w:r>
          </w:p>
        </w:tc>
        <w:tc>
          <w:tcPr>
            <w:tcW w:w="645" w:type="dxa"/>
            <w:tcBorders>
              <w:top w:val="nil"/>
              <w:left w:val="nil"/>
              <w:bottom w:val="nil"/>
              <w:right w:val="nil"/>
            </w:tcBorders>
            <w:tcMar>
              <w:top w:w="100" w:type="dxa"/>
              <w:left w:w="80" w:type="dxa"/>
              <w:bottom w:w="100" w:type="dxa"/>
              <w:right w:w="80" w:type="dxa"/>
            </w:tcMar>
          </w:tcPr>
          <w:p w14:paraId="45E5881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2.1</w:t>
            </w:r>
          </w:p>
        </w:tc>
        <w:tc>
          <w:tcPr>
            <w:tcW w:w="630" w:type="dxa"/>
            <w:tcBorders>
              <w:top w:val="nil"/>
              <w:left w:val="nil"/>
              <w:bottom w:val="nil"/>
              <w:right w:val="nil"/>
            </w:tcBorders>
            <w:tcMar>
              <w:top w:w="100" w:type="dxa"/>
              <w:left w:w="80" w:type="dxa"/>
              <w:bottom w:w="100" w:type="dxa"/>
              <w:right w:w="80" w:type="dxa"/>
            </w:tcMar>
          </w:tcPr>
          <w:p w14:paraId="11A2B71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47.6</w:t>
            </w:r>
          </w:p>
        </w:tc>
        <w:tc>
          <w:tcPr>
            <w:tcW w:w="750" w:type="dxa"/>
            <w:tcBorders>
              <w:top w:val="nil"/>
              <w:left w:val="nil"/>
              <w:bottom w:val="nil"/>
              <w:right w:val="nil"/>
            </w:tcBorders>
            <w:tcMar>
              <w:top w:w="100" w:type="dxa"/>
              <w:left w:w="80" w:type="dxa"/>
              <w:bottom w:w="100" w:type="dxa"/>
              <w:right w:w="80" w:type="dxa"/>
            </w:tcMar>
          </w:tcPr>
          <w:p w14:paraId="2A57CEC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17.1</w:t>
            </w:r>
          </w:p>
        </w:tc>
        <w:tc>
          <w:tcPr>
            <w:tcW w:w="960" w:type="dxa"/>
            <w:tcBorders>
              <w:top w:val="nil"/>
              <w:left w:val="nil"/>
              <w:bottom w:val="nil"/>
              <w:right w:val="nil"/>
            </w:tcBorders>
            <w:tcMar>
              <w:top w:w="100" w:type="dxa"/>
              <w:left w:w="80" w:type="dxa"/>
              <w:bottom w:w="100" w:type="dxa"/>
              <w:right w:w="80" w:type="dxa"/>
            </w:tcMar>
          </w:tcPr>
          <w:p w14:paraId="05A513D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3.3</w:t>
            </w:r>
          </w:p>
        </w:tc>
        <w:tc>
          <w:tcPr>
            <w:tcW w:w="870" w:type="dxa"/>
            <w:tcBorders>
              <w:top w:val="nil"/>
              <w:left w:val="nil"/>
              <w:bottom w:val="nil"/>
              <w:right w:val="nil"/>
            </w:tcBorders>
            <w:tcMar>
              <w:top w:w="100" w:type="dxa"/>
              <w:left w:w="80" w:type="dxa"/>
              <w:bottom w:w="100" w:type="dxa"/>
              <w:right w:w="80" w:type="dxa"/>
            </w:tcMar>
          </w:tcPr>
          <w:p w14:paraId="28F8087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-19.6</w:t>
            </w:r>
          </w:p>
        </w:tc>
        <w:tc>
          <w:tcPr>
            <w:tcW w:w="855" w:type="dxa"/>
            <w:tcBorders>
              <w:top w:val="nil"/>
              <w:left w:val="nil"/>
              <w:bottom w:val="nil"/>
              <w:right w:val="nil"/>
            </w:tcBorders>
            <w:tcMar>
              <w:top w:w="100" w:type="dxa"/>
              <w:left w:w="80" w:type="dxa"/>
              <w:bottom w:w="100" w:type="dxa"/>
              <w:right w:w="80" w:type="dxa"/>
            </w:tcMar>
          </w:tcPr>
          <w:p w14:paraId="4E6A58E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6.0</w:t>
            </w:r>
          </w:p>
        </w:tc>
      </w:tr>
      <w:tr w:rsidR="00F12285" w14:paraId="15A8A268"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4D428727"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MN3</w:t>
            </w:r>
          </w:p>
        </w:tc>
        <w:tc>
          <w:tcPr>
            <w:tcW w:w="1065" w:type="dxa"/>
            <w:tcBorders>
              <w:top w:val="nil"/>
              <w:left w:val="nil"/>
              <w:bottom w:val="nil"/>
              <w:right w:val="nil"/>
            </w:tcBorders>
            <w:tcMar>
              <w:top w:w="100" w:type="dxa"/>
              <w:left w:w="100" w:type="dxa"/>
              <w:bottom w:w="100" w:type="dxa"/>
              <w:right w:w="100" w:type="dxa"/>
            </w:tcMar>
            <w:vAlign w:val="center"/>
          </w:tcPr>
          <w:p w14:paraId="0C47BB83"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36F149F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Phalanx II</w:t>
            </w:r>
          </w:p>
        </w:tc>
        <w:tc>
          <w:tcPr>
            <w:tcW w:w="1500" w:type="dxa"/>
            <w:tcBorders>
              <w:top w:val="nil"/>
              <w:left w:val="nil"/>
              <w:bottom w:val="nil"/>
              <w:right w:val="nil"/>
            </w:tcBorders>
            <w:tcMar>
              <w:top w:w="100" w:type="dxa"/>
              <w:left w:w="100" w:type="dxa"/>
              <w:bottom w:w="100" w:type="dxa"/>
              <w:right w:w="100" w:type="dxa"/>
            </w:tcMar>
            <w:vAlign w:val="center"/>
          </w:tcPr>
          <w:p w14:paraId="61B027A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Deer</w:t>
            </w:r>
          </w:p>
        </w:tc>
        <w:tc>
          <w:tcPr>
            <w:tcW w:w="1110" w:type="dxa"/>
            <w:tcBorders>
              <w:top w:val="nil"/>
              <w:left w:val="nil"/>
              <w:bottom w:val="nil"/>
              <w:right w:val="nil"/>
            </w:tcBorders>
            <w:tcMar>
              <w:top w:w="100" w:type="dxa"/>
              <w:left w:w="100" w:type="dxa"/>
              <w:bottom w:w="100" w:type="dxa"/>
              <w:right w:w="100" w:type="dxa"/>
            </w:tcMar>
            <w:vAlign w:val="center"/>
          </w:tcPr>
          <w:p w14:paraId="3DED389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Red deer</w:t>
            </w:r>
          </w:p>
        </w:tc>
        <w:tc>
          <w:tcPr>
            <w:tcW w:w="645" w:type="dxa"/>
            <w:tcBorders>
              <w:top w:val="nil"/>
              <w:left w:val="nil"/>
              <w:bottom w:val="nil"/>
              <w:right w:val="nil"/>
            </w:tcBorders>
            <w:tcMar>
              <w:top w:w="100" w:type="dxa"/>
              <w:left w:w="80" w:type="dxa"/>
              <w:bottom w:w="100" w:type="dxa"/>
              <w:right w:w="80" w:type="dxa"/>
            </w:tcMar>
          </w:tcPr>
          <w:p w14:paraId="50A097F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6.8</w:t>
            </w:r>
          </w:p>
        </w:tc>
        <w:tc>
          <w:tcPr>
            <w:tcW w:w="630" w:type="dxa"/>
            <w:tcBorders>
              <w:top w:val="nil"/>
              <w:left w:val="nil"/>
              <w:bottom w:val="nil"/>
              <w:right w:val="nil"/>
            </w:tcBorders>
            <w:tcMar>
              <w:top w:w="100" w:type="dxa"/>
              <w:left w:w="80" w:type="dxa"/>
              <w:bottom w:w="100" w:type="dxa"/>
              <w:right w:w="80" w:type="dxa"/>
            </w:tcMar>
          </w:tcPr>
          <w:p w14:paraId="3BF22DB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45.2</w:t>
            </w:r>
          </w:p>
        </w:tc>
        <w:tc>
          <w:tcPr>
            <w:tcW w:w="750" w:type="dxa"/>
            <w:tcBorders>
              <w:top w:val="nil"/>
              <w:left w:val="nil"/>
              <w:bottom w:val="nil"/>
              <w:right w:val="nil"/>
            </w:tcBorders>
            <w:tcMar>
              <w:top w:w="100" w:type="dxa"/>
              <w:left w:w="80" w:type="dxa"/>
              <w:bottom w:w="100" w:type="dxa"/>
              <w:right w:w="80" w:type="dxa"/>
            </w:tcMar>
          </w:tcPr>
          <w:p w14:paraId="54D11A5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16.3</w:t>
            </w:r>
          </w:p>
        </w:tc>
        <w:tc>
          <w:tcPr>
            <w:tcW w:w="960" w:type="dxa"/>
            <w:tcBorders>
              <w:top w:val="nil"/>
              <w:left w:val="nil"/>
              <w:bottom w:val="nil"/>
              <w:right w:val="nil"/>
            </w:tcBorders>
            <w:tcMar>
              <w:top w:w="100" w:type="dxa"/>
              <w:left w:w="80" w:type="dxa"/>
              <w:bottom w:w="100" w:type="dxa"/>
              <w:right w:w="80" w:type="dxa"/>
            </w:tcMar>
          </w:tcPr>
          <w:p w14:paraId="74ECCA1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3B125EB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-19.8</w:t>
            </w:r>
          </w:p>
        </w:tc>
        <w:tc>
          <w:tcPr>
            <w:tcW w:w="855" w:type="dxa"/>
            <w:tcBorders>
              <w:top w:val="nil"/>
              <w:left w:val="nil"/>
              <w:bottom w:val="nil"/>
              <w:right w:val="nil"/>
            </w:tcBorders>
            <w:tcMar>
              <w:top w:w="100" w:type="dxa"/>
              <w:left w:w="80" w:type="dxa"/>
              <w:bottom w:w="100" w:type="dxa"/>
              <w:right w:w="80" w:type="dxa"/>
            </w:tcMar>
          </w:tcPr>
          <w:p w14:paraId="4AC8D53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3.6</w:t>
            </w:r>
          </w:p>
        </w:tc>
      </w:tr>
      <w:tr w:rsidR="00F12285" w14:paraId="4758057A"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016B3A3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MN4</w:t>
            </w:r>
          </w:p>
        </w:tc>
        <w:tc>
          <w:tcPr>
            <w:tcW w:w="1065" w:type="dxa"/>
            <w:tcBorders>
              <w:top w:val="nil"/>
              <w:left w:val="nil"/>
              <w:bottom w:val="nil"/>
              <w:right w:val="nil"/>
            </w:tcBorders>
            <w:tcMar>
              <w:top w:w="100" w:type="dxa"/>
              <w:left w:w="100" w:type="dxa"/>
              <w:bottom w:w="100" w:type="dxa"/>
              <w:right w:w="100" w:type="dxa"/>
            </w:tcMar>
            <w:vAlign w:val="center"/>
          </w:tcPr>
          <w:p w14:paraId="09A4051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7463883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Phalanx II</w:t>
            </w:r>
          </w:p>
        </w:tc>
        <w:tc>
          <w:tcPr>
            <w:tcW w:w="1500" w:type="dxa"/>
            <w:tcBorders>
              <w:top w:val="nil"/>
              <w:left w:val="nil"/>
              <w:bottom w:val="nil"/>
              <w:right w:val="nil"/>
            </w:tcBorders>
            <w:tcMar>
              <w:top w:w="100" w:type="dxa"/>
              <w:left w:w="100" w:type="dxa"/>
              <w:bottom w:w="100" w:type="dxa"/>
              <w:right w:w="100" w:type="dxa"/>
            </w:tcMar>
            <w:vAlign w:val="center"/>
          </w:tcPr>
          <w:p w14:paraId="296E657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0B3650AF"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w:t>
            </w:r>
          </w:p>
        </w:tc>
        <w:tc>
          <w:tcPr>
            <w:tcW w:w="645" w:type="dxa"/>
            <w:tcBorders>
              <w:top w:val="nil"/>
              <w:left w:val="nil"/>
              <w:bottom w:val="nil"/>
              <w:right w:val="nil"/>
            </w:tcBorders>
            <w:tcMar>
              <w:top w:w="100" w:type="dxa"/>
              <w:left w:w="80" w:type="dxa"/>
              <w:bottom w:w="100" w:type="dxa"/>
              <w:right w:w="80" w:type="dxa"/>
            </w:tcMar>
          </w:tcPr>
          <w:p w14:paraId="3DC1F8A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3.4</w:t>
            </w:r>
          </w:p>
        </w:tc>
        <w:tc>
          <w:tcPr>
            <w:tcW w:w="630" w:type="dxa"/>
            <w:tcBorders>
              <w:top w:val="nil"/>
              <w:left w:val="nil"/>
              <w:bottom w:val="nil"/>
              <w:right w:val="nil"/>
            </w:tcBorders>
            <w:tcMar>
              <w:top w:w="100" w:type="dxa"/>
              <w:left w:w="80" w:type="dxa"/>
              <w:bottom w:w="100" w:type="dxa"/>
              <w:right w:w="80" w:type="dxa"/>
            </w:tcMar>
          </w:tcPr>
          <w:p w14:paraId="556C150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38.0</w:t>
            </w:r>
          </w:p>
        </w:tc>
        <w:tc>
          <w:tcPr>
            <w:tcW w:w="750" w:type="dxa"/>
            <w:tcBorders>
              <w:top w:val="nil"/>
              <w:left w:val="nil"/>
              <w:bottom w:val="nil"/>
              <w:right w:val="nil"/>
            </w:tcBorders>
            <w:tcMar>
              <w:top w:w="100" w:type="dxa"/>
              <w:left w:w="80" w:type="dxa"/>
              <w:bottom w:w="100" w:type="dxa"/>
              <w:right w:w="80" w:type="dxa"/>
            </w:tcMar>
          </w:tcPr>
          <w:p w14:paraId="2E6F6D8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13.8</w:t>
            </w:r>
          </w:p>
        </w:tc>
        <w:tc>
          <w:tcPr>
            <w:tcW w:w="960" w:type="dxa"/>
            <w:tcBorders>
              <w:top w:val="nil"/>
              <w:left w:val="nil"/>
              <w:bottom w:val="nil"/>
              <w:right w:val="nil"/>
            </w:tcBorders>
            <w:tcMar>
              <w:top w:w="100" w:type="dxa"/>
              <w:left w:w="80" w:type="dxa"/>
              <w:bottom w:w="100" w:type="dxa"/>
              <w:right w:w="80" w:type="dxa"/>
            </w:tcMar>
          </w:tcPr>
          <w:p w14:paraId="03C9D8E5"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71927E8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-20.5</w:t>
            </w:r>
          </w:p>
        </w:tc>
        <w:tc>
          <w:tcPr>
            <w:tcW w:w="855" w:type="dxa"/>
            <w:tcBorders>
              <w:top w:val="nil"/>
              <w:left w:val="nil"/>
              <w:bottom w:val="nil"/>
              <w:right w:val="nil"/>
            </w:tcBorders>
            <w:tcMar>
              <w:top w:w="100" w:type="dxa"/>
              <w:left w:w="80" w:type="dxa"/>
              <w:bottom w:w="100" w:type="dxa"/>
              <w:right w:w="80" w:type="dxa"/>
            </w:tcMar>
          </w:tcPr>
          <w:p w14:paraId="1C0D5A9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5.3</w:t>
            </w:r>
          </w:p>
        </w:tc>
      </w:tr>
      <w:tr w:rsidR="00F12285" w14:paraId="146E3644"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16D6F7E2"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MN5</w:t>
            </w:r>
          </w:p>
        </w:tc>
        <w:tc>
          <w:tcPr>
            <w:tcW w:w="1065" w:type="dxa"/>
            <w:tcBorders>
              <w:top w:val="nil"/>
              <w:left w:val="nil"/>
              <w:bottom w:val="nil"/>
              <w:right w:val="nil"/>
            </w:tcBorders>
            <w:tcMar>
              <w:top w:w="100" w:type="dxa"/>
              <w:left w:w="100" w:type="dxa"/>
              <w:bottom w:w="100" w:type="dxa"/>
              <w:right w:w="100" w:type="dxa"/>
            </w:tcMar>
            <w:vAlign w:val="center"/>
          </w:tcPr>
          <w:p w14:paraId="4FF0556B"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5209CC2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Mandible</w:t>
            </w:r>
          </w:p>
        </w:tc>
        <w:tc>
          <w:tcPr>
            <w:tcW w:w="1500" w:type="dxa"/>
            <w:tcBorders>
              <w:top w:val="nil"/>
              <w:left w:val="nil"/>
              <w:bottom w:val="nil"/>
              <w:right w:val="nil"/>
            </w:tcBorders>
            <w:tcMar>
              <w:top w:w="100" w:type="dxa"/>
              <w:left w:w="100" w:type="dxa"/>
              <w:bottom w:w="100" w:type="dxa"/>
              <w:right w:w="100" w:type="dxa"/>
            </w:tcMar>
            <w:vAlign w:val="center"/>
          </w:tcPr>
          <w:p w14:paraId="5CEAC02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34DB526B"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w:t>
            </w:r>
          </w:p>
        </w:tc>
        <w:tc>
          <w:tcPr>
            <w:tcW w:w="645" w:type="dxa"/>
            <w:tcBorders>
              <w:top w:val="nil"/>
              <w:left w:val="nil"/>
              <w:bottom w:val="nil"/>
              <w:right w:val="nil"/>
            </w:tcBorders>
            <w:tcMar>
              <w:top w:w="100" w:type="dxa"/>
              <w:left w:w="80" w:type="dxa"/>
              <w:bottom w:w="100" w:type="dxa"/>
              <w:right w:w="80" w:type="dxa"/>
            </w:tcMar>
          </w:tcPr>
          <w:p w14:paraId="5CF5A51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12.3</w:t>
            </w:r>
          </w:p>
        </w:tc>
        <w:tc>
          <w:tcPr>
            <w:tcW w:w="630" w:type="dxa"/>
            <w:tcBorders>
              <w:top w:val="nil"/>
              <w:left w:val="nil"/>
              <w:bottom w:val="nil"/>
              <w:right w:val="nil"/>
            </w:tcBorders>
            <w:tcMar>
              <w:top w:w="100" w:type="dxa"/>
              <w:left w:w="80" w:type="dxa"/>
              <w:bottom w:w="100" w:type="dxa"/>
              <w:right w:w="80" w:type="dxa"/>
            </w:tcMar>
          </w:tcPr>
          <w:p w14:paraId="56CA60F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41.9</w:t>
            </w:r>
          </w:p>
        </w:tc>
        <w:tc>
          <w:tcPr>
            <w:tcW w:w="750" w:type="dxa"/>
            <w:tcBorders>
              <w:top w:val="nil"/>
              <w:left w:val="nil"/>
              <w:bottom w:val="nil"/>
              <w:right w:val="nil"/>
            </w:tcBorders>
            <w:tcMar>
              <w:top w:w="100" w:type="dxa"/>
              <w:left w:w="80" w:type="dxa"/>
              <w:bottom w:w="100" w:type="dxa"/>
              <w:right w:w="80" w:type="dxa"/>
            </w:tcMar>
          </w:tcPr>
          <w:p w14:paraId="2CF754ED"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15.4</w:t>
            </w:r>
          </w:p>
        </w:tc>
        <w:tc>
          <w:tcPr>
            <w:tcW w:w="960" w:type="dxa"/>
            <w:tcBorders>
              <w:top w:val="nil"/>
              <w:left w:val="nil"/>
              <w:bottom w:val="nil"/>
              <w:right w:val="nil"/>
            </w:tcBorders>
            <w:tcMar>
              <w:top w:w="100" w:type="dxa"/>
              <w:left w:w="80" w:type="dxa"/>
              <w:bottom w:w="100" w:type="dxa"/>
              <w:right w:w="80" w:type="dxa"/>
            </w:tcMar>
          </w:tcPr>
          <w:p w14:paraId="2781D67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3B0DB9A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-19.3</w:t>
            </w:r>
          </w:p>
        </w:tc>
        <w:tc>
          <w:tcPr>
            <w:tcW w:w="855" w:type="dxa"/>
            <w:tcBorders>
              <w:top w:val="nil"/>
              <w:left w:val="nil"/>
              <w:bottom w:val="nil"/>
              <w:right w:val="nil"/>
            </w:tcBorders>
            <w:tcMar>
              <w:top w:w="100" w:type="dxa"/>
              <w:left w:w="80" w:type="dxa"/>
              <w:bottom w:w="100" w:type="dxa"/>
              <w:right w:w="80" w:type="dxa"/>
            </w:tcMar>
          </w:tcPr>
          <w:p w14:paraId="1897D90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8.1</w:t>
            </w:r>
          </w:p>
        </w:tc>
      </w:tr>
      <w:tr w:rsidR="00F12285" w14:paraId="5627DABE"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63249C2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MN6</w:t>
            </w:r>
          </w:p>
        </w:tc>
        <w:tc>
          <w:tcPr>
            <w:tcW w:w="1065" w:type="dxa"/>
            <w:tcBorders>
              <w:top w:val="nil"/>
              <w:left w:val="nil"/>
              <w:bottom w:val="nil"/>
              <w:right w:val="nil"/>
            </w:tcBorders>
            <w:tcMar>
              <w:top w:w="100" w:type="dxa"/>
              <w:left w:w="100" w:type="dxa"/>
              <w:bottom w:w="100" w:type="dxa"/>
              <w:right w:w="100" w:type="dxa"/>
            </w:tcMar>
            <w:vAlign w:val="center"/>
          </w:tcPr>
          <w:p w14:paraId="0E886383"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215E410E"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Pelvis</w:t>
            </w:r>
          </w:p>
        </w:tc>
        <w:tc>
          <w:tcPr>
            <w:tcW w:w="1500" w:type="dxa"/>
            <w:tcBorders>
              <w:top w:val="nil"/>
              <w:left w:val="nil"/>
              <w:bottom w:val="nil"/>
              <w:right w:val="nil"/>
            </w:tcBorders>
            <w:tcMar>
              <w:top w:w="100" w:type="dxa"/>
              <w:left w:w="100" w:type="dxa"/>
              <w:bottom w:w="100" w:type="dxa"/>
              <w:right w:w="100" w:type="dxa"/>
            </w:tcMar>
            <w:vAlign w:val="center"/>
          </w:tcPr>
          <w:p w14:paraId="37F26CD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6A47054B"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Goat</w:t>
            </w:r>
          </w:p>
        </w:tc>
        <w:tc>
          <w:tcPr>
            <w:tcW w:w="645" w:type="dxa"/>
            <w:tcBorders>
              <w:top w:val="nil"/>
              <w:left w:val="nil"/>
              <w:bottom w:val="nil"/>
              <w:right w:val="nil"/>
            </w:tcBorders>
            <w:tcMar>
              <w:top w:w="100" w:type="dxa"/>
              <w:left w:w="80" w:type="dxa"/>
              <w:bottom w:w="100" w:type="dxa"/>
              <w:right w:w="80" w:type="dxa"/>
            </w:tcMar>
          </w:tcPr>
          <w:p w14:paraId="41A2F22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11.2</w:t>
            </w:r>
          </w:p>
        </w:tc>
        <w:tc>
          <w:tcPr>
            <w:tcW w:w="630" w:type="dxa"/>
            <w:tcBorders>
              <w:top w:val="nil"/>
              <w:left w:val="nil"/>
              <w:bottom w:val="nil"/>
              <w:right w:val="nil"/>
            </w:tcBorders>
            <w:tcMar>
              <w:top w:w="100" w:type="dxa"/>
              <w:left w:w="80" w:type="dxa"/>
              <w:bottom w:w="100" w:type="dxa"/>
              <w:right w:w="80" w:type="dxa"/>
            </w:tcMar>
          </w:tcPr>
          <w:p w14:paraId="232F945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44.1</w:t>
            </w:r>
          </w:p>
        </w:tc>
        <w:tc>
          <w:tcPr>
            <w:tcW w:w="750" w:type="dxa"/>
            <w:tcBorders>
              <w:top w:val="nil"/>
              <w:left w:val="nil"/>
              <w:bottom w:val="nil"/>
              <w:right w:val="nil"/>
            </w:tcBorders>
            <w:tcMar>
              <w:top w:w="100" w:type="dxa"/>
              <w:left w:w="80" w:type="dxa"/>
              <w:bottom w:w="100" w:type="dxa"/>
              <w:right w:w="80" w:type="dxa"/>
            </w:tcMar>
          </w:tcPr>
          <w:p w14:paraId="735A717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16.1</w:t>
            </w:r>
          </w:p>
        </w:tc>
        <w:tc>
          <w:tcPr>
            <w:tcW w:w="960" w:type="dxa"/>
            <w:tcBorders>
              <w:top w:val="nil"/>
              <w:left w:val="nil"/>
              <w:bottom w:val="nil"/>
              <w:right w:val="nil"/>
            </w:tcBorders>
            <w:tcMar>
              <w:top w:w="100" w:type="dxa"/>
              <w:left w:w="80" w:type="dxa"/>
              <w:bottom w:w="100" w:type="dxa"/>
              <w:right w:w="80" w:type="dxa"/>
            </w:tcMar>
          </w:tcPr>
          <w:p w14:paraId="6FC0EF3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57A55E4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-19.4</w:t>
            </w:r>
          </w:p>
        </w:tc>
        <w:tc>
          <w:tcPr>
            <w:tcW w:w="855" w:type="dxa"/>
            <w:tcBorders>
              <w:top w:val="nil"/>
              <w:left w:val="nil"/>
              <w:bottom w:val="nil"/>
              <w:right w:val="nil"/>
            </w:tcBorders>
            <w:tcMar>
              <w:top w:w="100" w:type="dxa"/>
              <w:left w:w="80" w:type="dxa"/>
              <w:bottom w:w="100" w:type="dxa"/>
              <w:right w:w="80" w:type="dxa"/>
            </w:tcMar>
          </w:tcPr>
          <w:p w14:paraId="7E1DBEA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5.8</w:t>
            </w:r>
          </w:p>
        </w:tc>
      </w:tr>
      <w:tr w:rsidR="00F12285" w14:paraId="176DEE15"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51FF8F5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MN7</w:t>
            </w:r>
          </w:p>
        </w:tc>
        <w:tc>
          <w:tcPr>
            <w:tcW w:w="1065" w:type="dxa"/>
            <w:tcBorders>
              <w:top w:val="nil"/>
              <w:left w:val="nil"/>
              <w:bottom w:val="nil"/>
              <w:right w:val="nil"/>
            </w:tcBorders>
            <w:tcMar>
              <w:top w:w="100" w:type="dxa"/>
              <w:left w:w="100" w:type="dxa"/>
              <w:bottom w:w="100" w:type="dxa"/>
              <w:right w:w="100" w:type="dxa"/>
            </w:tcMar>
            <w:vAlign w:val="center"/>
          </w:tcPr>
          <w:p w14:paraId="542B51D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1CEFF017"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Tarsal</w:t>
            </w:r>
          </w:p>
        </w:tc>
        <w:tc>
          <w:tcPr>
            <w:tcW w:w="1500" w:type="dxa"/>
            <w:tcBorders>
              <w:top w:val="nil"/>
              <w:left w:val="nil"/>
              <w:bottom w:val="nil"/>
              <w:right w:val="nil"/>
            </w:tcBorders>
            <w:tcMar>
              <w:top w:w="100" w:type="dxa"/>
              <w:left w:w="100" w:type="dxa"/>
              <w:bottom w:w="100" w:type="dxa"/>
              <w:right w:w="100" w:type="dxa"/>
            </w:tcMar>
            <w:vAlign w:val="center"/>
          </w:tcPr>
          <w:p w14:paraId="3BDA584E"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427A79C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Red deer</w:t>
            </w:r>
          </w:p>
        </w:tc>
        <w:tc>
          <w:tcPr>
            <w:tcW w:w="645" w:type="dxa"/>
            <w:tcBorders>
              <w:top w:val="nil"/>
              <w:left w:val="nil"/>
              <w:bottom w:val="nil"/>
              <w:right w:val="nil"/>
            </w:tcBorders>
            <w:tcMar>
              <w:top w:w="100" w:type="dxa"/>
              <w:left w:w="80" w:type="dxa"/>
              <w:bottom w:w="100" w:type="dxa"/>
              <w:right w:w="80" w:type="dxa"/>
            </w:tcMar>
          </w:tcPr>
          <w:p w14:paraId="6F9ED88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2.8</w:t>
            </w:r>
          </w:p>
        </w:tc>
        <w:tc>
          <w:tcPr>
            <w:tcW w:w="630" w:type="dxa"/>
            <w:tcBorders>
              <w:top w:val="nil"/>
              <w:left w:val="nil"/>
              <w:bottom w:val="nil"/>
              <w:right w:val="nil"/>
            </w:tcBorders>
            <w:tcMar>
              <w:top w:w="100" w:type="dxa"/>
              <w:left w:w="80" w:type="dxa"/>
              <w:bottom w:w="100" w:type="dxa"/>
              <w:right w:w="80" w:type="dxa"/>
            </w:tcMar>
          </w:tcPr>
          <w:p w14:paraId="3BE4A77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41.9</w:t>
            </w:r>
          </w:p>
        </w:tc>
        <w:tc>
          <w:tcPr>
            <w:tcW w:w="750" w:type="dxa"/>
            <w:tcBorders>
              <w:top w:val="nil"/>
              <w:left w:val="nil"/>
              <w:bottom w:val="nil"/>
              <w:right w:val="nil"/>
            </w:tcBorders>
            <w:tcMar>
              <w:top w:w="100" w:type="dxa"/>
              <w:left w:w="80" w:type="dxa"/>
              <w:bottom w:w="100" w:type="dxa"/>
              <w:right w:w="80" w:type="dxa"/>
            </w:tcMar>
          </w:tcPr>
          <w:p w14:paraId="4DF8D7D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15.3</w:t>
            </w:r>
          </w:p>
        </w:tc>
        <w:tc>
          <w:tcPr>
            <w:tcW w:w="960" w:type="dxa"/>
            <w:tcBorders>
              <w:top w:val="nil"/>
              <w:left w:val="nil"/>
              <w:bottom w:val="nil"/>
              <w:right w:val="nil"/>
            </w:tcBorders>
            <w:tcMar>
              <w:top w:w="100" w:type="dxa"/>
              <w:left w:w="80" w:type="dxa"/>
              <w:bottom w:w="100" w:type="dxa"/>
              <w:right w:w="80" w:type="dxa"/>
            </w:tcMar>
          </w:tcPr>
          <w:p w14:paraId="5E7D56F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097EA90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-20.0</w:t>
            </w:r>
          </w:p>
        </w:tc>
        <w:tc>
          <w:tcPr>
            <w:tcW w:w="855" w:type="dxa"/>
            <w:tcBorders>
              <w:top w:val="nil"/>
              <w:left w:val="nil"/>
              <w:bottom w:val="nil"/>
              <w:right w:val="nil"/>
            </w:tcBorders>
            <w:tcMar>
              <w:top w:w="100" w:type="dxa"/>
              <w:left w:w="80" w:type="dxa"/>
              <w:bottom w:w="100" w:type="dxa"/>
              <w:right w:w="80" w:type="dxa"/>
            </w:tcMar>
          </w:tcPr>
          <w:p w14:paraId="5B278D8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3.7</w:t>
            </w:r>
          </w:p>
        </w:tc>
      </w:tr>
      <w:tr w:rsidR="00F12285" w14:paraId="0D52F0BB"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6F53544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MN8</w:t>
            </w:r>
          </w:p>
        </w:tc>
        <w:tc>
          <w:tcPr>
            <w:tcW w:w="1065" w:type="dxa"/>
            <w:tcBorders>
              <w:top w:val="nil"/>
              <w:left w:val="nil"/>
              <w:bottom w:val="nil"/>
              <w:right w:val="nil"/>
            </w:tcBorders>
            <w:tcMar>
              <w:top w:w="100" w:type="dxa"/>
              <w:left w:w="100" w:type="dxa"/>
              <w:bottom w:w="100" w:type="dxa"/>
              <w:right w:w="100" w:type="dxa"/>
            </w:tcMar>
            <w:vAlign w:val="center"/>
          </w:tcPr>
          <w:p w14:paraId="6AD4E78E"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04C4229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Vertebra</w:t>
            </w:r>
          </w:p>
        </w:tc>
        <w:tc>
          <w:tcPr>
            <w:tcW w:w="1500" w:type="dxa"/>
            <w:tcBorders>
              <w:top w:val="nil"/>
              <w:left w:val="nil"/>
              <w:bottom w:val="nil"/>
              <w:right w:val="nil"/>
            </w:tcBorders>
            <w:tcMar>
              <w:top w:w="100" w:type="dxa"/>
              <w:left w:w="100" w:type="dxa"/>
              <w:bottom w:w="100" w:type="dxa"/>
              <w:right w:w="100" w:type="dxa"/>
            </w:tcMar>
            <w:vAlign w:val="center"/>
          </w:tcPr>
          <w:p w14:paraId="73705D1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38AF16F7"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645" w:type="dxa"/>
            <w:tcBorders>
              <w:top w:val="nil"/>
              <w:left w:val="nil"/>
              <w:bottom w:val="nil"/>
              <w:right w:val="nil"/>
            </w:tcBorders>
            <w:tcMar>
              <w:top w:w="100" w:type="dxa"/>
              <w:left w:w="80" w:type="dxa"/>
              <w:bottom w:w="100" w:type="dxa"/>
              <w:right w:w="80" w:type="dxa"/>
            </w:tcMar>
          </w:tcPr>
          <w:p w14:paraId="3010C7C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13.2</w:t>
            </w:r>
          </w:p>
        </w:tc>
        <w:tc>
          <w:tcPr>
            <w:tcW w:w="630" w:type="dxa"/>
            <w:tcBorders>
              <w:top w:val="nil"/>
              <w:left w:val="nil"/>
              <w:bottom w:val="nil"/>
              <w:right w:val="nil"/>
            </w:tcBorders>
            <w:tcMar>
              <w:top w:w="100" w:type="dxa"/>
              <w:left w:w="80" w:type="dxa"/>
              <w:bottom w:w="100" w:type="dxa"/>
              <w:right w:w="80" w:type="dxa"/>
            </w:tcMar>
          </w:tcPr>
          <w:p w14:paraId="0ECD63D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47.3</w:t>
            </w:r>
          </w:p>
        </w:tc>
        <w:tc>
          <w:tcPr>
            <w:tcW w:w="750" w:type="dxa"/>
            <w:tcBorders>
              <w:top w:val="nil"/>
              <w:left w:val="nil"/>
              <w:bottom w:val="nil"/>
              <w:right w:val="nil"/>
            </w:tcBorders>
            <w:tcMar>
              <w:top w:w="100" w:type="dxa"/>
              <w:left w:w="80" w:type="dxa"/>
              <w:bottom w:w="100" w:type="dxa"/>
              <w:right w:w="80" w:type="dxa"/>
            </w:tcMar>
          </w:tcPr>
          <w:p w14:paraId="787C895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17.3</w:t>
            </w:r>
          </w:p>
        </w:tc>
        <w:tc>
          <w:tcPr>
            <w:tcW w:w="960" w:type="dxa"/>
            <w:tcBorders>
              <w:top w:val="nil"/>
              <w:left w:val="nil"/>
              <w:bottom w:val="nil"/>
              <w:right w:val="nil"/>
            </w:tcBorders>
            <w:tcMar>
              <w:top w:w="100" w:type="dxa"/>
              <w:left w:w="80" w:type="dxa"/>
              <w:bottom w:w="100" w:type="dxa"/>
              <w:right w:w="80" w:type="dxa"/>
            </w:tcMar>
          </w:tcPr>
          <w:p w14:paraId="5CAEDFE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3BD1357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-19.3</w:t>
            </w:r>
          </w:p>
        </w:tc>
        <w:tc>
          <w:tcPr>
            <w:tcW w:w="855" w:type="dxa"/>
            <w:tcBorders>
              <w:top w:val="nil"/>
              <w:left w:val="nil"/>
              <w:bottom w:val="nil"/>
              <w:right w:val="nil"/>
            </w:tcBorders>
            <w:tcMar>
              <w:top w:w="100" w:type="dxa"/>
              <w:left w:w="80" w:type="dxa"/>
              <w:bottom w:w="100" w:type="dxa"/>
              <w:right w:w="80" w:type="dxa"/>
            </w:tcMar>
          </w:tcPr>
          <w:p w14:paraId="63FD73D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8.9</w:t>
            </w:r>
          </w:p>
        </w:tc>
      </w:tr>
      <w:tr w:rsidR="00F12285" w14:paraId="0FBE70EC"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41E9EAAF"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MN10</w:t>
            </w:r>
          </w:p>
        </w:tc>
        <w:tc>
          <w:tcPr>
            <w:tcW w:w="1065" w:type="dxa"/>
            <w:tcBorders>
              <w:top w:val="nil"/>
              <w:left w:val="nil"/>
              <w:bottom w:val="nil"/>
              <w:right w:val="nil"/>
            </w:tcBorders>
            <w:tcMar>
              <w:top w:w="100" w:type="dxa"/>
              <w:left w:w="100" w:type="dxa"/>
              <w:bottom w:w="100" w:type="dxa"/>
              <w:right w:w="100" w:type="dxa"/>
            </w:tcMar>
            <w:vAlign w:val="center"/>
          </w:tcPr>
          <w:p w14:paraId="45DD109E"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4CD35D75"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Humerus</w:t>
            </w:r>
          </w:p>
        </w:tc>
        <w:tc>
          <w:tcPr>
            <w:tcW w:w="1500" w:type="dxa"/>
            <w:tcBorders>
              <w:top w:val="nil"/>
              <w:left w:val="nil"/>
              <w:bottom w:val="nil"/>
              <w:right w:val="nil"/>
            </w:tcBorders>
            <w:tcMar>
              <w:top w:w="100" w:type="dxa"/>
              <w:left w:w="100" w:type="dxa"/>
              <w:bottom w:w="100" w:type="dxa"/>
              <w:right w:w="100" w:type="dxa"/>
            </w:tcMar>
            <w:vAlign w:val="center"/>
          </w:tcPr>
          <w:p w14:paraId="63B5261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378369B2"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Goat</w:t>
            </w:r>
          </w:p>
        </w:tc>
        <w:tc>
          <w:tcPr>
            <w:tcW w:w="645" w:type="dxa"/>
            <w:tcBorders>
              <w:top w:val="nil"/>
              <w:left w:val="nil"/>
              <w:bottom w:val="nil"/>
              <w:right w:val="nil"/>
            </w:tcBorders>
            <w:tcMar>
              <w:top w:w="100" w:type="dxa"/>
              <w:left w:w="80" w:type="dxa"/>
              <w:bottom w:w="100" w:type="dxa"/>
              <w:right w:w="80" w:type="dxa"/>
            </w:tcMar>
          </w:tcPr>
          <w:p w14:paraId="477A989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10.6</w:t>
            </w:r>
          </w:p>
        </w:tc>
        <w:tc>
          <w:tcPr>
            <w:tcW w:w="630" w:type="dxa"/>
            <w:tcBorders>
              <w:top w:val="nil"/>
              <w:left w:val="nil"/>
              <w:bottom w:val="nil"/>
              <w:right w:val="nil"/>
            </w:tcBorders>
            <w:tcMar>
              <w:top w:w="100" w:type="dxa"/>
              <w:left w:w="80" w:type="dxa"/>
              <w:bottom w:w="100" w:type="dxa"/>
              <w:right w:w="80" w:type="dxa"/>
            </w:tcMar>
          </w:tcPr>
          <w:p w14:paraId="453DE62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43.9</w:t>
            </w:r>
          </w:p>
        </w:tc>
        <w:tc>
          <w:tcPr>
            <w:tcW w:w="750" w:type="dxa"/>
            <w:tcBorders>
              <w:top w:val="nil"/>
              <w:left w:val="nil"/>
              <w:bottom w:val="nil"/>
              <w:right w:val="nil"/>
            </w:tcBorders>
            <w:tcMar>
              <w:top w:w="100" w:type="dxa"/>
              <w:left w:w="80" w:type="dxa"/>
              <w:bottom w:w="100" w:type="dxa"/>
              <w:right w:w="80" w:type="dxa"/>
            </w:tcMar>
          </w:tcPr>
          <w:p w14:paraId="72B235B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15.8</w:t>
            </w:r>
          </w:p>
        </w:tc>
        <w:tc>
          <w:tcPr>
            <w:tcW w:w="960" w:type="dxa"/>
            <w:tcBorders>
              <w:top w:val="nil"/>
              <w:left w:val="nil"/>
              <w:bottom w:val="nil"/>
              <w:right w:val="nil"/>
            </w:tcBorders>
            <w:tcMar>
              <w:top w:w="100" w:type="dxa"/>
              <w:left w:w="80" w:type="dxa"/>
              <w:bottom w:w="100" w:type="dxa"/>
              <w:right w:w="80" w:type="dxa"/>
            </w:tcMar>
          </w:tcPr>
          <w:p w14:paraId="39C36A0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18C7390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-19.4</w:t>
            </w:r>
          </w:p>
        </w:tc>
        <w:tc>
          <w:tcPr>
            <w:tcW w:w="855" w:type="dxa"/>
            <w:tcBorders>
              <w:top w:val="nil"/>
              <w:left w:val="nil"/>
              <w:bottom w:val="nil"/>
              <w:right w:val="nil"/>
            </w:tcBorders>
            <w:tcMar>
              <w:top w:w="100" w:type="dxa"/>
              <w:left w:w="80" w:type="dxa"/>
              <w:bottom w:w="100" w:type="dxa"/>
              <w:right w:w="80" w:type="dxa"/>
            </w:tcMar>
          </w:tcPr>
          <w:p w14:paraId="2DE39B0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6.9</w:t>
            </w:r>
          </w:p>
        </w:tc>
      </w:tr>
      <w:tr w:rsidR="00F12285" w14:paraId="2C545769"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17FED55E"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MN11</w:t>
            </w:r>
          </w:p>
        </w:tc>
        <w:tc>
          <w:tcPr>
            <w:tcW w:w="1065" w:type="dxa"/>
            <w:tcBorders>
              <w:top w:val="nil"/>
              <w:left w:val="nil"/>
              <w:bottom w:val="nil"/>
              <w:right w:val="nil"/>
            </w:tcBorders>
            <w:tcMar>
              <w:top w:w="100" w:type="dxa"/>
              <w:left w:w="100" w:type="dxa"/>
              <w:bottom w:w="100" w:type="dxa"/>
              <w:right w:w="100" w:type="dxa"/>
            </w:tcMar>
            <w:vAlign w:val="center"/>
          </w:tcPr>
          <w:p w14:paraId="264C438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56C662D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Long bone fragment</w:t>
            </w:r>
          </w:p>
        </w:tc>
        <w:tc>
          <w:tcPr>
            <w:tcW w:w="1500" w:type="dxa"/>
            <w:tcBorders>
              <w:top w:val="nil"/>
              <w:left w:val="nil"/>
              <w:bottom w:val="nil"/>
              <w:right w:val="nil"/>
            </w:tcBorders>
            <w:tcMar>
              <w:top w:w="100" w:type="dxa"/>
              <w:left w:w="100" w:type="dxa"/>
              <w:bottom w:w="100" w:type="dxa"/>
              <w:right w:w="100" w:type="dxa"/>
            </w:tcMar>
            <w:vAlign w:val="center"/>
          </w:tcPr>
          <w:p w14:paraId="13CB783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7FCF140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Red deer</w:t>
            </w:r>
          </w:p>
        </w:tc>
        <w:tc>
          <w:tcPr>
            <w:tcW w:w="645" w:type="dxa"/>
            <w:tcBorders>
              <w:top w:val="nil"/>
              <w:left w:val="nil"/>
              <w:bottom w:val="nil"/>
              <w:right w:val="nil"/>
            </w:tcBorders>
            <w:tcMar>
              <w:top w:w="100" w:type="dxa"/>
              <w:left w:w="80" w:type="dxa"/>
              <w:bottom w:w="100" w:type="dxa"/>
              <w:right w:w="80" w:type="dxa"/>
            </w:tcMar>
          </w:tcPr>
          <w:p w14:paraId="4640C9D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4.9</w:t>
            </w:r>
          </w:p>
        </w:tc>
        <w:tc>
          <w:tcPr>
            <w:tcW w:w="630" w:type="dxa"/>
            <w:tcBorders>
              <w:top w:val="nil"/>
              <w:left w:val="nil"/>
              <w:bottom w:val="nil"/>
              <w:right w:val="nil"/>
            </w:tcBorders>
            <w:tcMar>
              <w:top w:w="100" w:type="dxa"/>
              <w:left w:w="80" w:type="dxa"/>
              <w:bottom w:w="100" w:type="dxa"/>
              <w:right w:w="80" w:type="dxa"/>
            </w:tcMar>
          </w:tcPr>
          <w:p w14:paraId="3E8BB025"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36.1</w:t>
            </w:r>
          </w:p>
        </w:tc>
        <w:tc>
          <w:tcPr>
            <w:tcW w:w="750" w:type="dxa"/>
            <w:tcBorders>
              <w:top w:val="nil"/>
              <w:left w:val="nil"/>
              <w:bottom w:val="nil"/>
              <w:right w:val="nil"/>
            </w:tcBorders>
            <w:tcMar>
              <w:top w:w="100" w:type="dxa"/>
              <w:left w:w="80" w:type="dxa"/>
              <w:bottom w:w="100" w:type="dxa"/>
              <w:right w:w="80" w:type="dxa"/>
            </w:tcMar>
          </w:tcPr>
          <w:p w14:paraId="0FF1450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13.1</w:t>
            </w:r>
          </w:p>
        </w:tc>
        <w:tc>
          <w:tcPr>
            <w:tcW w:w="960" w:type="dxa"/>
            <w:tcBorders>
              <w:top w:val="nil"/>
              <w:left w:val="nil"/>
              <w:bottom w:val="nil"/>
              <w:right w:val="nil"/>
            </w:tcBorders>
            <w:tcMar>
              <w:top w:w="100" w:type="dxa"/>
              <w:left w:w="80" w:type="dxa"/>
              <w:bottom w:w="100" w:type="dxa"/>
              <w:right w:w="80" w:type="dxa"/>
            </w:tcMar>
          </w:tcPr>
          <w:p w14:paraId="35F1B8E5"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154EE82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-20.3</w:t>
            </w:r>
          </w:p>
        </w:tc>
        <w:tc>
          <w:tcPr>
            <w:tcW w:w="855" w:type="dxa"/>
            <w:tcBorders>
              <w:top w:val="nil"/>
              <w:left w:val="nil"/>
              <w:bottom w:val="nil"/>
              <w:right w:val="nil"/>
            </w:tcBorders>
            <w:tcMar>
              <w:top w:w="100" w:type="dxa"/>
              <w:left w:w="80" w:type="dxa"/>
              <w:bottom w:w="100" w:type="dxa"/>
              <w:right w:w="80" w:type="dxa"/>
            </w:tcMar>
          </w:tcPr>
          <w:p w14:paraId="0F2C2A0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4.2</w:t>
            </w:r>
          </w:p>
        </w:tc>
      </w:tr>
      <w:tr w:rsidR="00F12285" w14:paraId="418DDA6C"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3AAA11F7"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MN12</w:t>
            </w:r>
          </w:p>
        </w:tc>
        <w:tc>
          <w:tcPr>
            <w:tcW w:w="1065" w:type="dxa"/>
            <w:tcBorders>
              <w:top w:val="nil"/>
              <w:left w:val="nil"/>
              <w:bottom w:val="nil"/>
              <w:right w:val="nil"/>
            </w:tcBorders>
            <w:tcMar>
              <w:top w:w="100" w:type="dxa"/>
              <w:left w:w="100" w:type="dxa"/>
              <w:bottom w:w="100" w:type="dxa"/>
              <w:right w:w="100" w:type="dxa"/>
            </w:tcMar>
            <w:vAlign w:val="center"/>
          </w:tcPr>
          <w:p w14:paraId="297FFAC3"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2DC3D00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Calcaneus</w:t>
            </w:r>
          </w:p>
        </w:tc>
        <w:tc>
          <w:tcPr>
            <w:tcW w:w="1500" w:type="dxa"/>
            <w:tcBorders>
              <w:top w:val="nil"/>
              <w:left w:val="nil"/>
              <w:bottom w:val="nil"/>
              <w:right w:val="nil"/>
            </w:tcBorders>
            <w:tcMar>
              <w:top w:w="100" w:type="dxa"/>
              <w:left w:w="100" w:type="dxa"/>
              <w:bottom w:w="100" w:type="dxa"/>
              <w:right w:w="100" w:type="dxa"/>
            </w:tcMar>
            <w:vAlign w:val="center"/>
          </w:tcPr>
          <w:p w14:paraId="4C0F5C9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Horse</w:t>
            </w:r>
          </w:p>
        </w:tc>
        <w:tc>
          <w:tcPr>
            <w:tcW w:w="1110" w:type="dxa"/>
            <w:tcBorders>
              <w:top w:val="nil"/>
              <w:left w:val="nil"/>
              <w:bottom w:val="nil"/>
              <w:right w:val="nil"/>
            </w:tcBorders>
            <w:tcMar>
              <w:top w:w="100" w:type="dxa"/>
              <w:left w:w="100" w:type="dxa"/>
              <w:bottom w:w="100" w:type="dxa"/>
              <w:right w:w="100" w:type="dxa"/>
            </w:tcMar>
            <w:vAlign w:val="center"/>
          </w:tcPr>
          <w:p w14:paraId="045F65A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Horse</w:t>
            </w:r>
          </w:p>
        </w:tc>
        <w:tc>
          <w:tcPr>
            <w:tcW w:w="645" w:type="dxa"/>
            <w:tcBorders>
              <w:top w:val="nil"/>
              <w:left w:val="nil"/>
              <w:bottom w:val="nil"/>
              <w:right w:val="nil"/>
            </w:tcBorders>
            <w:tcMar>
              <w:top w:w="100" w:type="dxa"/>
              <w:left w:w="80" w:type="dxa"/>
              <w:bottom w:w="100" w:type="dxa"/>
              <w:right w:w="80" w:type="dxa"/>
            </w:tcMar>
          </w:tcPr>
          <w:p w14:paraId="5ACC2B0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6.4</w:t>
            </w:r>
          </w:p>
        </w:tc>
        <w:tc>
          <w:tcPr>
            <w:tcW w:w="630" w:type="dxa"/>
            <w:tcBorders>
              <w:top w:val="nil"/>
              <w:left w:val="nil"/>
              <w:bottom w:val="nil"/>
              <w:right w:val="nil"/>
            </w:tcBorders>
            <w:tcMar>
              <w:top w:w="100" w:type="dxa"/>
              <w:left w:w="80" w:type="dxa"/>
              <w:bottom w:w="100" w:type="dxa"/>
              <w:right w:w="80" w:type="dxa"/>
            </w:tcMar>
          </w:tcPr>
          <w:p w14:paraId="659BD0E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40.5</w:t>
            </w:r>
          </w:p>
        </w:tc>
        <w:tc>
          <w:tcPr>
            <w:tcW w:w="750" w:type="dxa"/>
            <w:tcBorders>
              <w:top w:val="nil"/>
              <w:left w:val="nil"/>
              <w:bottom w:val="nil"/>
              <w:right w:val="nil"/>
            </w:tcBorders>
            <w:tcMar>
              <w:top w:w="100" w:type="dxa"/>
              <w:left w:w="80" w:type="dxa"/>
              <w:bottom w:w="100" w:type="dxa"/>
              <w:right w:w="80" w:type="dxa"/>
            </w:tcMar>
          </w:tcPr>
          <w:p w14:paraId="25AA4FE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14.5</w:t>
            </w:r>
          </w:p>
        </w:tc>
        <w:tc>
          <w:tcPr>
            <w:tcW w:w="960" w:type="dxa"/>
            <w:tcBorders>
              <w:top w:val="nil"/>
              <w:left w:val="nil"/>
              <w:bottom w:val="nil"/>
              <w:right w:val="nil"/>
            </w:tcBorders>
            <w:tcMar>
              <w:top w:w="100" w:type="dxa"/>
              <w:left w:w="80" w:type="dxa"/>
              <w:bottom w:w="100" w:type="dxa"/>
              <w:right w:w="80" w:type="dxa"/>
            </w:tcMar>
          </w:tcPr>
          <w:p w14:paraId="11C8929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3.3</w:t>
            </w:r>
          </w:p>
        </w:tc>
        <w:tc>
          <w:tcPr>
            <w:tcW w:w="870" w:type="dxa"/>
            <w:tcBorders>
              <w:top w:val="nil"/>
              <w:left w:val="nil"/>
              <w:bottom w:val="nil"/>
              <w:right w:val="nil"/>
            </w:tcBorders>
            <w:tcMar>
              <w:top w:w="100" w:type="dxa"/>
              <w:left w:w="80" w:type="dxa"/>
              <w:bottom w:w="100" w:type="dxa"/>
              <w:right w:w="80" w:type="dxa"/>
            </w:tcMar>
          </w:tcPr>
          <w:p w14:paraId="56AD32E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-21.9</w:t>
            </w:r>
          </w:p>
        </w:tc>
        <w:tc>
          <w:tcPr>
            <w:tcW w:w="855" w:type="dxa"/>
            <w:tcBorders>
              <w:top w:val="nil"/>
              <w:left w:val="nil"/>
              <w:bottom w:val="nil"/>
              <w:right w:val="nil"/>
            </w:tcBorders>
            <w:tcMar>
              <w:top w:w="100" w:type="dxa"/>
              <w:left w:w="80" w:type="dxa"/>
              <w:bottom w:w="100" w:type="dxa"/>
              <w:right w:w="80" w:type="dxa"/>
            </w:tcMar>
          </w:tcPr>
          <w:p w14:paraId="4D86A5A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4.1</w:t>
            </w:r>
          </w:p>
        </w:tc>
      </w:tr>
      <w:tr w:rsidR="00F12285" w14:paraId="0EC7AD07"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7A014A8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MN13</w:t>
            </w:r>
          </w:p>
        </w:tc>
        <w:tc>
          <w:tcPr>
            <w:tcW w:w="1065" w:type="dxa"/>
            <w:tcBorders>
              <w:top w:val="nil"/>
              <w:left w:val="nil"/>
              <w:bottom w:val="nil"/>
              <w:right w:val="nil"/>
            </w:tcBorders>
            <w:tcMar>
              <w:top w:w="100" w:type="dxa"/>
              <w:left w:w="100" w:type="dxa"/>
              <w:bottom w:w="100" w:type="dxa"/>
              <w:right w:w="100" w:type="dxa"/>
            </w:tcMar>
            <w:vAlign w:val="center"/>
          </w:tcPr>
          <w:p w14:paraId="1E943EEF"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383F2B45"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Femur</w:t>
            </w:r>
          </w:p>
        </w:tc>
        <w:tc>
          <w:tcPr>
            <w:tcW w:w="1500" w:type="dxa"/>
            <w:tcBorders>
              <w:top w:val="nil"/>
              <w:left w:val="nil"/>
              <w:bottom w:val="nil"/>
              <w:right w:val="nil"/>
            </w:tcBorders>
            <w:tcMar>
              <w:top w:w="100" w:type="dxa"/>
              <w:left w:w="100" w:type="dxa"/>
              <w:bottom w:w="100" w:type="dxa"/>
              <w:right w:w="100" w:type="dxa"/>
            </w:tcMar>
            <w:vAlign w:val="center"/>
          </w:tcPr>
          <w:p w14:paraId="6A6BC4B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43677C3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Cat/Tiger/Polecat/Lynx</w:t>
            </w:r>
          </w:p>
        </w:tc>
        <w:tc>
          <w:tcPr>
            <w:tcW w:w="645" w:type="dxa"/>
            <w:tcBorders>
              <w:top w:val="nil"/>
              <w:left w:val="nil"/>
              <w:bottom w:val="nil"/>
              <w:right w:val="nil"/>
            </w:tcBorders>
            <w:tcMar>
              <w:top w:w="100" w:type="dxa"/>
              <w:left w:w="80" w:type="dxa"/>
              <w:bottom w:w="100" w:type="dxa"/>
              <w:right w:w="80" w:type="dxa"/>
            </w:tcMar>
          </w:tcPr>
          <w:p w14:paraId="7415705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13.6</w:t>
            </w:r>
          </w:p>
        </w:tc>
        <w:tc>
          <w:tcPr>
            <w:tcW w:w="630" w:type="dxa"/>
            <w:tcBorders>
              <w:top w:val="nil"/>
              <w:left w:val="nil"/>
              <w:bottom w:val="nil"/>
              <w:right w:val="nil"/>
            </w:tcBorders>
            <w:tcMar>
              <w:top w:w="100" w:type="dxa"/>
              <w:left w:w="80" w:type="dxa"/>
              <w:bottom w:w="100" w:type="dxa"/>
              <w:right w:w="80" w:type="dxa"/>
            </w:tcMar>
          </w:tcPr>
          <w:p w14:paraId="7582DCE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43.6</w:t>
            </w:r>
          </w:p>
        </w:tc>
        <w:tc>
          <w:tcPr>
            <w:tcW w:w="750" w:type="dxa"/>
            <w:tcBorders>
              <w:top w:val="nil"/>
              <w:left w:val="nil"/>
              <w:bottom w:val="nil"/>
              <w:right w:val="nil"/>
            </w:tcBorders>
            <w:tcMar>
              <w:top w:w="100" w:type="dxa"/>
              <w:left w:w="80" w:type="dxa"/>
              <w:bottom w:w="100" w:type="dxa"/>
              <w:right w:w="80" w:type="dxa"/>
            </w:tcMar>
          </w:tcPr>
          <w:p w14:paraId="3862093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15.8</w:t>
            </w:r>
          </w:p>
        </w:tc>
        <w:tc>
          <w:tcPr>
            <w:tcW w:w="960" w:type="dxa"/>
            <w:tcBorders>
              <w:top w:val="nil"/>
              <w:left w:val="nil"/>
              <w:bottom w:val="nil"/>
              <w:right w:val="nil"/>
            </w:tcBorders>
            <w:tcMar>
              <w:top w:w="100" w:type="dxa"/>
              <w:left w:w="80" w:type="dxa"/>
              <w:bottom w:w="100" w:type="dxa"/>
              <w:right w:w="80" w:type="dxa"/>
            </w:tcMar>
          </w:tcPr>
          <w:p w14:paraId="2407BDAD"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580448A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-19.7</w:t>
            </w:r>
          </w:p>
        </w:tc>
        <w:tc>
          <w:tcPr>
            <w:tcW w:w="855" w:type="dxa"/>
            <w:tcBorders>
              <w:top w:val="nil"/>
              <w:left w:val="nil"/>
              <w:bottom w:val="nil"/>
              <w:right w:val="nil"/>
            </w:tcBorders>
            <w:tcMar>
              <w:top w:w="100" w:type="dxa"/>
              <w:left w:w="80" w:type="dxa"/>
              <w:bottom w:w="100" w:type="dxa"/>
              <w:right w:w="80" w:type="dxa"/>
            </w:tcMar>
          </w:tcPr>
          <w:p w14:paraId="3763E7FD"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8.5</w:t>
            </w:r>
          </w:p>
        </w:tc>
      </w:tr>
      <w:tr w:rsidR="00F12285" w14:paraId="1CD81B23"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1D45B06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MN14</w:t>
            </w:r>
          </w:p>
        </w:tc>
        <w:tc>
          <w:tcPr>
            <w:tcW w:w="1065" w:type="dxa"/>
            <w:tcBorders>
              <w:top w:val="nil"/>
              <w:left w:val="nil"/>
              <w:bottom w:val="nil"/>
              <w:right w:val="nil"/>
            </w:tcBorders>
            <w:tcMar>
              <w:top w:w="100" w:type="dxa"/>
              <w:left w:w="100" w:type="dxa"/>
              <w:bottom w:w="100" w:type="dxa"/>
              <w:right w:w="100" w:type="dxa"/>
            </w:tcMar>
            <w:vAlign w:val="center"/>
          </w:tcPr>
          <w:p w14:paraId="158CFE2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5CFE70AF"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Pelvis</w:t>
            </w:r>
          </w:p>
        </w:tc>
        <w:tc>
          <w:tcPr>
            <w:tcW w:w="1500" w:type="dxa"/>
            <w:tcBorders>
              <w:top w:val="nil"/>
              <w:left w:val="nil"/>
              <w:bottom w:val="nil"/>
              <w:right w:val="nil"/>
            </w:tcBorders>
            <w:tcMar>
              <w:top w:w="100" w:type="dxa"/>
              <w:left w:w="100" w:type="dxa"/>
              <w:bottom w:w="100" w:type="dxa"/>
              <w:right w:w="100" w:type="dxa"/>
            </w:tcMar>
            <w:vAlign w:val="center"/>
          </w:tcPr>
          <w:p w14:paraId="2835DFF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35DDB9E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Goat</w:t>
            </w:r>
          </w:p>
        </w:tc>
        <w:tc>
          <w:tcPr>
            <w:tcW w:w="645" w:type="dxa"/>
            <w:tcBorders>
              <w:top w:val="nil"/>
              <w:left w:val="nil"/>
              <w:bottom w:val="nil"/>
              <w:right w:val="nil"/>
            </w:tcBorders>
            <w:tcMar>
              <w:top w:w="100" w:type="dxa"/>
              <w:left w:w="80" w:type="dxa"/>
              <w:bottom w:w="100" w:type="dxa"/>
              <w:right w:w="80" w:type="dxa"/>
            </w:tcMar>
          </w:tcPr>
          <w:p w14:paraId="1631D57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10.9</w:t>
            </w:r>
          </w:p>
        </w:tc>
        <w:tc>
          <w:tcPr>
            <w:tcW w:w="630" w:type="dxa"/>
            <w:tcBorders>
              <w:top w:val="nil"/>
              <w:left w:val="nil"/>
              <w:bottom w:val="nil"/>
              <w:right w:val="nil"/>
            </w:tcBorders>
            <w:tcMar>
              <w:top w:w="100" w:type="dxa"/>
              <w:left w:w="80" w:type="dxa"/>
              <w:bottom w:w="100" w:type="dxa"/>
              <w:right w:w="80" w:type="dxa"/>
            </w:tcMar>
          </w:tcPr>
          <w:p w14:paraId="10D639ED"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45.2</w:t>
            </w:r>
          </w:p>
        </w:tc>
        <w:tc>
          <w:tcPr>
            <w:tcW w:w="750" w:type="dxa"/>
            <w:tcBorders>
              <w:top w:val="nil"/>
              <w:left w:val="nil"/>
              <w:bottom w:val="nil"/>
              <w:right w:val="nil"/>
            </w:tcBorders>
            <w:tcMar>
              <w:top w:w="100" w:type="dxa"/>
              <w:left w:w="80" w:type="dxa"/>
              <w:bottom w:w="100" w:type="dxa"/>
              <w:right w:w="80" w:type="dxa"/>
            </w:tcMar>
          </w:tcPr>
          <w:p w14:paraId="057905D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16.5</w:t>
            </w:r>
          </w:p>
        </w:tc>
        <w:tc>
          <w:tcPr>
            <w:tcW w:w="960" w:type="dxa"/>
            <w:tcBorders>
              <w:top w:val="nil"/>
              <w:left w:val="nil"/>
              <w:bottom w:val="nil"/>
              <w:right w:val="nil"/>
            </w:tcBorders>
            <w:tcMar>
              <w:top w:w="100" w:type="dxa"/>
              <w:left w:w="80" w:type="dxa"/>
              <w:bottom w:w="100" w:type="dxa"/>
              <w:right w:w="80" w:type="dxa"/>
            </w:tcMar>
          </w:tcPr>
          <w:p w14:paraId="0EE1497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73CD387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-20.0</w:t>
            </w:r>
          </w:p>
        </w:tc>
        <w:tc>
          <w:tcPr>
            <w:tcW w:w="855" w:type="dxa"/>
            <w:tcBorders>
              <w:top w:val="nil"/>
              <w:left w:val="nil"/>
              <w:bottom w:val="nil"/>
              <w:right w:val="nil"/>
            </w:tcBorders>
            <w:tcMar>
              <w:top w:w="100" w:type="dxa"/>
              <w:left w:w="80" w:type="dxa"/>
              <w:bottom w:w="100" w:type="dxa"/>
              <w:right w:w="80" w:type="dxa"/>
            </w:tcMar>
          </w:tcPr>
          <w:p w14:paraId="22FB46C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6.1</w:t>
            </w:r>
          </w:p>
        </w:tc>
      </w:tr>
      <w:tr w:rsidR="00F12285" w14:paraId="5B7F163C" w14:textId="77777777" w:rsidTr="00C552DC">
        <w:tc>
          <w:tcPr>
            <w:tcW w:w="720" w:type="dxa"/>
            <w:tcBorders>
              <w:top w:val="nil"/>
              <w:left w:val="nil"/>
              <w:bottom w:val="nil"/>
              <w:right w:val="nil"/>
            </w:tcBorders>
            <w:tcMar>
              <w:top w:w="20" w:type="dxa"/>
              <w:left w:w="20" w:type="dxa"/>
              <w:bottom w:w="20" w:type="dxa"/>
              <w:right w:w="20" w:type="dxa"/>
            </w:tcMar>
            <w:vAlign w:val="center"/>
          </w:tcPr>
          <w:p w14:paraId="2995E07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MN15</w:t>
            </w:r>
          </w:p>
        </w:tc>
        <w:tc>
          <w:tcPr>
            <w:tcW w:w="1065" w:type="dxa"/>
            <w:tcBorders>
              <w:top w:val="nil"/>
              <w:left w:val="nil"/>
              <w:bottom w:val="nil"/>
              <w:right w:val="nil"/>
            </w:tcBorders>
            <w:tcMar>
              <w:top w:w="100" w:type="dxa"/>
              <w:left w:w="100" w:type="dxa"/>
              <w:bottom w:w="100" w:type="dxa"/>
              <w:right w:w="100" w:type="dxa"/>
            </w:tcMar>
            <w:vAlign w:val="center"/>
          </w:tcPr>
          <w:p w14:paraId="75CFF08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454BE5C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Mandible</w:t>
            </w:r>
          </w:p>
        </w:tc>
        <w:tc>
          <w:tcPr>
            <w:tcW w:w="1500" w:type="dxa"/>
            <w:tcBorders>
              <w:top w:val="nil"/>
              <w:left w:val="nil"/>
              <w:bottom w:val="nil"/>
              <w:right w:val="nil"/>
            </w:tcBorders>
            <w:tcMar>
              <w:top w:w="100" w:type="dxa"/>
              <w:left w:w="100" w:type="dxa"/>
              <w:bottom w:w="100" w:type="dxa"/>
              <w:right w:w="100" w:type="dxa"/>
            </w:tcMar>
            <w:vAlign w:val="center"/>
          </w:tcPr>
          <w:p w14:paraId="0BB9EE4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1110" w:type="dxa"/>
            <w:tcBorders>
              <w:top w:val="nil"/>
              <w:left w:val="nil"/>
              <w:bottom w:val="nil"/>
              <w:right w:val="nil"/>
            </w:tcBorders>
            <w:tcMar>
              <w:top w:w="100" w:type="dxa"/>
              <w:left w:w="100" w:type="dxa"/>
              <w:bottom w:w="100" w:type="dxa"/>
              <w:right w:w="100" w:type="dxa"/>
            </w:tcMar>
            <w:vAlign w:val="center"/>
          </w:tcPr>
          <w:p w14:paraId="76F64F5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645" w:type="dxa"/>
            <w:tcBorders>
              <w:top w:val="nil"/>
              <w:left w:val="nil"/>
              <w:bottom w:val="nil"/>
              <w:right w:val="nil"/>
            </w:tcBorders>
            <w:tcMar>
              <w:top w:w="100" w:type="dxa"/>
              <w:left w:w="80" w:type="dxa"/>
              <w:bottom w:w="100" w:type="dxa"/>
              <w:right w:w="80" w:type="dxa"/>
            </w:tcMar>
          </w:tcPr>
          <w:p w14:paraId="624D9B2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13.3</w:t>
            </w:r>
          </w:p>
        </w:tc>
        <w:tc>
          <w:tcPr>
            <w:tcW w:w="630" w:type="dxa"/>
            <w:tcBorders>
              <w:top w:val="nil"/>
              <w:left w:val="nil"/>
              <w:bottom w:val="nil"/>
              <w:right w:val="nil"/>
            </w:tcBorders>
            <w:tcMar>
              <w:top w:w="100" w:type="dxa"/>
              <w:left w:w="80" w:type="dxa"/>
              <w:bottom w:w="100" w:type="dxa"/>
              <w:right w:w="80" w:type="dxa"/>
            </w:tcMar>
          </w:tcPr>
          <w:p w14:paraId="564556E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44.8</w:t>
            </w:r>
          </w:p>
        </w:tc>
        <w:tc>
          <w:tcPr>
            <w:tcW w:w="750" w:type="dxa"/>
            <w:tcBorders>
              <w:top w:val="nil"/>
              <w:left w:val="nil"/>
              <w:bottom w:val="nil"/>
              <w:right w:val="nil"/>
            </w:tcBorders>
            <w:tcMar>
              <w:top w:w="100" w:type="dxa"/>
              <w:left w:w="80" w:type="dxa"/>
              <w:bottom w:w="100" w:type="dxa"/>
              <w:right w:w="80" w:type="dxa"/>
            </w:tcMar>
          </w:tcPr>
          <w:p w14:paraId="3D2460F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16.3</w:t>
            </w:r>
          </w:p>
        </w:tc>
        <w:tc>
          <w:tcPr>
            <w:tcW w:w="960" w:type="dxa"/>
            <w:tcBorders>
              <w:top w:val="nil"/>
              <w:left w:val="nil"/>
              <w:bottom w:val="nil"/>
              <w:right w:val="nil"/>
            </w:tcBorders>
            <w:tcMar>
              <w:top w:w="100" w:type="dxa"/>
              <w:left w:w="80" w:type="dxa"/>
              <w:bottom w:w="100" w:type="dxa"/>
              <w:right w:w="80" w:type="dxa"/>
            </w:tcMar>
          </w:tcPr>
          <w:p w14:paraId="37A8DDA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644BA45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-19.5</w:t>
            </w:r>
          </w:p>
        </w:tc>
        <w:tc>
          <w:tcPr>
            <w:tcW w:w="855" w:type="dxa"/>
            <w:tcBorders>
              <w:top w:val="nil"/>
              <w:left w:val="nil"/>
              <w:bottom w:val="nil"/>
              <w:right w:val="nil"/>
            </w:tcBorders>
            <w:tcMar>
              <w:top w:w="100" w:type="dxa"/>
              <w:left w:w="80" w:type="dxa"/>
              <w:bottom w:w="100" w:type="dxa"/>
              <w:right w:w="80" w:type="dxa"/>
            </w:tcMar>
          </w:tcPr>
          <w:p w14:paraId="44ED37B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8.3</w:t>
            </w:r>
          </w:p>
        </w:tc>
      </w:tr>
      <w:tr w:rsidR="00F12285" w14:paraId="1FDE447E"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3584E2D3"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MN16</w:t>
            </w:r>
          </w:p>
        </w:tc>
        <w:tc>
          <w:tcPr>
            <w:tcW w:w="1065" w:type="dxa"/>
            <w:tcBorders>
              <w:top w:val="nil"/>
              <w:left w:val="nil"/>
              <w:bottom w:val="nil"/>
              <w:right w:val="nil"/>
            </w:tcBorders>
            <w:tcMar>
              <w:top w:w="100" w:type="dxa"/>
              <w:left w:w="100" w:type="dxa"/>
              <w:bottom w:w="100" w:type="dxa"/>
              <w:right w:w="100" w:type="dxa"/>
            </w:tcMar>
            <w:vAlign w:val="center"/>
          </w:tcPr>
          <w:p w14:paraId="45FE892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50DF6D9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Mandible</w:t>
            </w:r>
          </w:p>
        </w:tc>
        <w:tc>
          <w:tcPr>
            <w:tcW w:w="1500" w:type="dxa"/>
            <w:tcBorders>
              <w:top w:val="nil"/>
              <w:left w:val="nil"/>
              <w:bottom w:val="nil"/>
              <w:right w:val="nil"/>
            </w:tcBorders>
            <w:tcMar>
              <w:top w:w="100" w:type="dxa"/>
              <w:left w:w="100" w:type="dxa"/>
              <w:bottom w:w="100" w:type="dxa"/>
              <w:right w:w="100" w:type="dxa"/>
            </w:tcMar>
            <w:vAlign w:val="center"/>
          </w:tcPr>
          <w:p w14:paraId="267CE37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1110" w:type="dxa"/>
            <w:tcBorders>
              <w:top w:val="nil"/>
              <w:left w:val="nil"/>
              <w:bottom w:val="nil"/>
              <w:right w:val="nil"/>
            </w:tcBorders>
            <w:tcMar>
              <w:top w:w="100" w:type="dxa"/>
              <w:left w:w="100" w:type="dxa"/>
              <w:bottom w:w="100" w:type="dxa"/>
              <w:right w:w="100" w:type="dxa"/>
            </w:tcMar>
            <w:vAlign w:val="center"/>
          </w:tcPr>
          <w:p w14:paraId="202F5EB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645" w:type="dxa"/>
            <w:tcBorders>
              <w:top w:val="nil"/>
              <w:left w:val="nil"/>
              <w:bottom w:val="nil"/>
              <w:right w:val="nil"/>
            </w:tcBorders>
            <w:tcMar>
              <w:top w:w="100" w:type="dxa"/>
              <w:left w:w="80" w:type="dxa"/>
              <w:bottom w:w="100" w:type="dxa"/>
              <w:right w:w="80" w:type="dxa"/>
            </w:tcMar>
          </w:tcPr>
          <w:p w14:paraId="5451707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9.7</w:t>
            </w:r>
          </w:p>
        </w:tc>
        <w:tc>
          <w:tcPr>
            <w:tcW w:w="630" w:type="dxa"/>
            <w:tcBorders>
              <w:top w:val="nil"/>
              <w:left w:val="nil"/>
              <w:bottom w:val="nil"/>
              <w:right w:val="nil"/>
            </w:tcBorders>
            <w:tcMar>
              <w:top w:w="100" w:type="dxa"/>
              <w:left w:w="80" w:type="dxa"/>
              <w:bottom w:w="100" w:type="dxa"/>
              <w:right w:w="80" w:type="dxa"/>
            </w:tcMar>
          </w:tcPr>
          <w:p w14:paraId="5353705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45.5</w:t>
            </w:r>
          </w:p>
        </w:tc>
        <w:tc>
          <w:tcPr>
            <w:tcW w:w="750" w:type="dxa"/>
            <w:tcBorders>
              <w:top w:val="nil"/>
              <w:left w:val="nil"/>
              <w:bottom w:val="nil"/>
              <w:right w:val="nil"/>
            </w:tcBorders>
            <w:tcMar>
              <w:top w:w="100" w:type="dxa"/>
              <w:left w:w="80" w:type="dxa"/>
              <w:bottom w:w="100" w:type="dxa"/>
              <w:right w:w="80" w:type="dxa"/>
            </w:tcMar>
          </w:tcPr>
          <w:p w14:paraId="4309E33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16.7</w:t>
            </w:r>
          </w:p>
        </w:tc>
        <w:tc>
          <w:tcPr>
            <w:tcW w:w="960" w:type="dxa"/>
            <w:tcBorders>
              <w:top w:val="nil"/>
              <w:left w:val="nil"/>
              <w:bottom w:val="nil"/>
              <w:right w:val="nil"/>
            </w:tcBorders>
            <w:tcMar>
              <w:top w:w="100" w:type="dxa"/>
              <w:left w:w="80" w:type="dxa"/>
              <w:bottom w:w="100" w:type="dxa"/>
              <w:right w:w="80" w:type="dxa"/>
            </w:tcMar>
          </w:tcPr>
          <w:p w14:paraId="6D5FA45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093100F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-19.2</w:t>
            </w:r>
          </w:p>
        </w:tc>
        <w:tc>
          <w:tcPr>
            <w:tcW w:w="855" w:type="dxa"/>
            <w:tcBorders>
              <w:top w:val="nil"/>
              <w:left w:val="nil"/>
              <w:bottom w:val="nil"/>
              <w:right w:val="nil"/>
            </w:tcBorders>
            <w:tcMar>
              <w:top w:w="100" w:type="dxa"/>
              <w:left w:w="80" w:type="dxa"/>
              <w:bottom w:w="100" w:type="dxa"/>
              <w:right w:w="80" w:type="dxa"/>
            </w:tcMar>
          </w:tcPr>
          <w:p w14:paraId="37FDD4E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6.4</w:t>
            </w:r>
          </w:p>
        </w:tc>
      </w:tr>
      <w:tr w:rsidR="00F12285" w14:paraId="4CF774C9"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2CF658B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MN17</w:t>
            </w:r>
          </w:p>
        </w:tc>
        <w:tc>
          <w:tcPr>
            <w:tcW w:w="1065" w:type="dxa"/>
            <w:tcBorders>
              <w:top w:val="nil"/>
              <w:left w:val="nil"/>
              <w:bottom w:val="nil"/>
              <w:right w:val="nil"/>
            </w:tcBorders>
            <w:tcMar>
              <w:top w:w="100" w:type="dxa"/>
              <w:left w:w="100" w:type="dxa"/>
              <w:bottom w:w="100" w:type="dxa"/>
              <w:right w:w="100" w:type="dxa"/>
            </w:tcMar>
            <w:vAlign w:val="center"/>
          </w:tcPr>
          <w:p w14:paraId="01B5134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Moncín</w:t>
            </w:r>
          </w:p>
        </w:tc>
        <w:tc>
          <w:tcPr>
            <w:tcW w:w="1035" w:type="dxa"/>
            <w:tcBorders>
              <w:top w:val="nil"/>
              <w:left w:val="nil"/>
              <w:bottom w:val="nil"/>
              <w:right w:val="nil"/>
            </w:tcBorders>
            <w:tcMar>
              <w:top w:w="100" w:type="dxa"/>
              <w:left w:w="100" w:type="dxa"/>
              <w:bottom w:w="100" w:type="dxa"/>
              <w:right w:w="100" w:type="dxa"/>
            </w:tcMar>
            <w:vAlign w:val="center"/>
          </w:tcPr>
          <w:p w14:paraId="1AB1859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Metatarsal</w:t>
            </w:r>
          </w:p>
        </w:tc>
        <w:tc>
          <w:tcPr>
            <w:tcW w:w="1500" w:type="dxa"/>
            <w:tcBorders>
              <w:top w:val="nil"/>
              <w:left w:val="nil"/>
              <w:bottom w:val="nil"/>
              <w:right w:val="nil"/>
            </w:tcBorders>
            <w:tcMar>
              <w:top w:w="100" w:type="dxa"/>
              <w:left w:w="100" w:type="dxa"/>
              <w:bottom w:w="100" w:type="dxa"/>
              <w:right w:w="100" w:type="dxa"/>
            </w:tcMar>
            <w:vAlign w:val="center"/>
          </w:tcPr>
          <w:p w14:paraId="275F33A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0A4C40F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Goat</w:t>
            </w:r>
          </w:p>
        </w:tc>
        <w:tc>
          <w:tcPr>
            <w:tcW w:w="645" w:type="dxa"/>
            <w:tcBorders>
              <w:top w:val="nil"/>
              <w:left w:val="nil"/>
              <w:bottom w:val="nil"/>
              <w:right w:val="nil"/>
            </w:tcBorders>
            <w:tcMar>
              <w:top w:w="100" w:type="dxa"/>
              <w:left w:w="80" w:type="dxa"/>
              <w:bottom w:w="100" w:type="dxa"/>
              <w:right w:w="80" w:type="dxa"/>
            </w:tcMar>
          </w:tcPr>
          <w:p w14:paraId="2A65144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6.1</w:t>
            </w:r>
          </w:p>
        </w:tc>
        <w:tc>
          <w:tcPr>
            <w:tcW w:w="630" w:type="dxa"/>
            <w:tcBorders>
              <w:top w:val="nil"/>
              <w:left w:val="nil"/>
              <w:bottom w:val="nil"/>
              <w:right w:val="nil"/>
            </w:tcBorders>
            <w:tcMar>
              <w:top w:w="100" w:type="dxa"/>
              <w:left w:w="80" w:type="dxa"/>
              <w:bottom w:w="100" w:type="dxa"/>
              <w:right w:w="80" w:type="dxa"/>
            </w:tcMar>
          </w:tcPr>
          <w:p w14:paraId="02C7CBC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43.8</w:t>
            </w:r>
          </w:p>
        </w:tc>
        <w:tc>
          <w:tcPr>
            <w:tcW w:w="750" w:type="dxa"/>
            <w:tcBorders>
              <w:top w:val="nil"/>
              <w:left w:val="nil"/>
              <w:bottom w:val="nil"/>
              <w:right w:val="nil"/>
            </w:tcBorders>
            <w:tcMar>
              <w:top w:w="100" w:type="dxa"/>
              <w:left w:w="80" w:type="dxa"/>
              <w:bottom w:w="100" w:type="dxa"/>
              <w:right w:w="80" w:type="dxa"/>
            </w:tcMar>
          </w:tcPr>
          <w:p w14:paraId="45E0441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16.0</w:t>
            </w:r>
          </w:p>
        </w:tc>
        <w:tc>
          <w:tcPr>
            <w:tcW w:w="960" w:type="dxa"/>
            <w:tcBorders>
              <w:top w:val="nil"/>
              <w:left w:val="nil"/>
              <w:bottom w:val="nil"/>
              <w:right w:val="nil"/>
            </w:tcBorders>
            <w:tcMar>
              <w:top w:w="100" w:type="dxa"/>
              <w:left w:w="80" w:type="dxa"/>
              <w:bottom w:w="100" w:type="dxa"/>
              <w:right w:w="80" w:type="dxa"/>
            </w:tcMar>
          </w:tcPr>
          <w:p w14:paraId="47A0065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611EF62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-19.3</w:t>
            </w:r>
          </w:p>
        </w:tc>
        <w:tc>
          <w:tcPr>
            <w:tcW w:w="855" w:type="dxa"/>
            <w:tcBorders>
              <w:top w:val="nil"/>
              <w:left w:val="nil"/>
              <w:bottom w:val="nil"/>
              <w:right w:val="nil"/>
            </w:tcBorders>
            <w:tcMar>
              <w:top w:w="100" w:type="dxa"/>
              <w:left w:w="80" w:type="dxa"/>
              <w:bottom w:w="100" w:type="dxa"/>
              <w:right w:w="80" w:type="dxa"/>
            </w:tcMar>
          </w:tcPr>
          <w:p w14:paraId="7BD59D1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4.5</w:t>
            </w:r>
          </w:p>
        </w:tc>
      </w:tr>
      <w:tr w:rsidR="00F12285" w14:paraId="02CFBA59"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4C48142B"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w:t>
            </w:r>
          </w:p>
        </w:tc>
        <w:tc>
          <w:tcPr>
            <w:tcW w:w="1065" w:type="dxa"/>
            <w:tcBorders>
              <w:top w:val="nil"/>
              <w:left w:val="nil"/>
              <w:bottom w:val="nil"/>
              <w:right w:val="nil"/>
            </w:tcBorders>
            <w:tcMar>
              <w:top w:w="100" w:type="dxa"/>
              <w:left w:w="100" w:type="dxa"/>
              <w:bottom w:w="100" w:type="dxa"/>
              <w:right w:w="100" w:type="dxa"/>
            </w:tcMar>
            <w:vAlign w:val="center"/>
          </w:tcPr>
          <w:p w14:paraId="043A849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53FDA64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Mandible</w:t>
            </w:r>
          </w:p>
        </w:tc>
        <w:tc>
          <w:tcPr>
            <w:tcW w:w="1500" w:type="dxa"/>
            <w:tcBorders>
              <w:top w:val="nil"/>
              <w:left w:val="nil"/>
              <w:bottom w:val="nil"/>
              <w:right w:val="nil"/>
            </w:tcBorders>
            <w:tcMar>
              <w:top w:w="100" w:type="dxa"/>
              <w:left w:w="100" w:type="dxa"/>
              <w:bottom w:w="100" w:type="dxa"/>
              <w:right w:w="100" w:type="dxa"/>
            </w:tcMar>
            <w:vAlign w:val="center"/>
          </w:tcPr>
          <w:p w14:paraId="44E1546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136ECB82"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Goat</w:t>
            </w:r>
          </w:p>
        </w:tc>
        <w:tc>
          <w:tcPr>
            <w:tcW w:w="645" w:type="dxa"/>
            <w:tcBorders>
              <w:top w:val="nil"/>
              <w:left w:val="nil"/>
              <w:bottom w:val="nil"/>
              <w:right w:val="nil"/>
            </w:tcBorders>
            <w:tcMar>
              <w:top w:w="100" w:type="dxa"/>
              <w:left w:w="80" w:type="dxa"/>
              <w:bottom w:w="100" w:type="dxa"/>
              <w:right w:w="80" w:type="dxa"/>
            </w:tcMar>
          </w:tcPr>
          <w:p w14:paraId="1C81EB8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8.9</w:t>
            </w:r>
          </w:p>
        </w:tc>
        <w:tc>
          <w:tcPr>
            <w:tcW w:w="630" w:type="dxa"/>
            <w:tcBorders>
              <w:top w:val="nil"/>
              <w:left w:val="nil"/>
              <w:bottom w:val="nil"/>
              <w:right w:val="nil"/>
            </w:tcBorders>
            <w:tcMar>
              <w:top w:w="100" w:type="dxa"/>
              <w:left w:w="80" w:type="dxa"/>
              <w:bottom w:w="100" w:type="dxa"/>
              <w:right w:w="80" w:type="dxa"/>
            </w:tcMar>
          </w:tcPr>
          <w:p w14:paraId="3F3587D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41.1</w:t>
            </w:r>
          </w:p>
        </w:tc>
        <w:tc>
          <w:tcPr>
            <w:tcW w:w="750" w:type="dxa"/>
            <w:tcBorders>
              <w:top w:val="nil"/>
              <w:left w:val="nil"/>
              <w:bottom w:val="nil"/>
              <w:right w:val="nil"/>
            </w:tcBorders>
            <w:tcMar>
              <w:top w:w="100" w:type="dxa"/>
              <w:left w:w="80" w:type="dxa"/>
              <w:bottom w:w="100" w:type="dxa"/>
              <w:right w:w="80" w:type="dxa"/>
            </w:tcMar>
          </w:tcPr>
          <w:p w14:paraId="03A8146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15.0</w:t>
            </w:r>
          </w:p>
        </w:tc>
        <w:tc>
          <w:tcPr>
            <w:tcW w:w="960" w:type="dxa"/>
            <w:tcBorders>
              <w:top w:val="nil"/>
              <w:left w:val="nil"/>
              <w:bottom w:val="nil"/>
              <w:right w:val="nil"/>
            </w:tcBorders>
            <w:tcMar>
              <w:top w:w="100" w:type="dxa"/>
              <w:left w:w="80" w:type="dxa"/>
              <w:bottom w:w="100" w:type="dxa"/>
              <w:right w:w="80" w:type="dxa"/>
            </w:tcMar>
          </w:tcPr>
          <w:p w14:paraId="62226A3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5D5264F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-20.1</w:t>
            </w:r>
          </w:p>
        </w:tc>
        <w:tc>
          <w:tcPr>
            <w:tcW w:w="855" w:type="dxa"/>
            <w:tcBorders>
              <w:top w:val="nil"/>
              <w:left w:val="nil"/>
              <w:bottom w:val="nil"/>
              <w:right w:val="nil"/>
            </w:tcBorders>
            <w:tcMar>
              <w:top w:w="100" w:type="dxa"/>
              <w:left w:w="80" w:type="dxa"/>
              <w:bottom w:w="100" w:type="dxa"/>
              <w:right w:w="80" w:type="dxa"/>
            </w:tcMar>
          </w:tcPr>
          <w:p w14:paraId="3CF7A05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6.9</w:t>
            </w:r>
          </w:p>
        </w:tc>
      </w:tr>
      <w:tr w:rsidR="00F12285" w14:paraId="7A4ABB9D"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762CA26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MJ3</w:t>
            </w:r>
          </w:p>
        </w:tc>
        <w:tc>
          <w:tcPr>
            <w:tcW w:w="1065" w:type="dxa"/>
            <w:tcBorders>
              <w:top w:val="nil"/>
              <w:left w:val="nil"/>
              <w:bottom w:val="nil"/>
              <w:right w:val="nil"/>
            </w:tcBorders>
            <w:tcMar>
              <w:top w:w="100" w:type="dxa"/>
              <w:left w:w="100" w:type="dxa"/>
              <w:bottom w:w="100" w:type="dxa"/>
              <w:right w:w="100" w:type="dxa"/>
            </w:tcMar>
            <w:vAlign w:val="center"/>
          </w:tcPr>
          <w:p w14:paraId="295F1A7F"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408832D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Radius</w:t>
            </w:r>
          </w:p>
        </w:tc>
        <w:tc>
          <w:tcPr>
            <w:tcW w:w="1500" w:type="dxa"/>
            <w:tcBorders>
              <w:top w:val="nil"/>
              <w:left w:val="nil"/>
              <w:bottom w:val="nil"/>
              <w:right w:val="nil"/>
            </w:tcBorders>
            <w:tcMar>
              <w:top w:w="100" w:type="dxa"/>
              <w:left w:w="100" w:type="dxa"/>
              <w:bottom w:w="100" w:type="dxa"/>
              <w:right w:w="100" w:type="dxa"/>
            </w:tcMar>
            <w:vAlign w:val="center"/>
          </w:tcPr>
          <w:p w14:paraId="4413E8A7"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4AD13A7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w:t>
            </w:r>
          </w:p>
        </w:tc>
        <w:tc>
          <w:tcPr>
            <w:tcW w:w="645" w:type="dxa"/>
            <w:tcBorders>
              <w:top w:val="nil"/>
              <w:left w:val="nil"/>
              <w:bottom w:val="nil"/>
              <w:right w:val="nil"/>
            </w:tcBorders>
            <w:tcMar>
              <w:top w:w="100" w:type="dxa"/>
              <w:left w:w="80" w:type="dxa"/>
              <w:bottom w:w="100" w:type="dxa"/>
              <w:right w:w="80" w:type="dxa"/>
            </w:tcMar>
          </w:tcPr>
          <w:p w14:paraId="57BDB5D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16.2</w:t>
            </w:r>
          </w:p>
        </w:tc>
        <w:tc>
          <w:tcPr>
            <w:tcW w:w="630" w:type="dxa"/>
            <w:tcBorders>
              <w:top w:val="nil"/>
              <w:left w:val="nil"/>
              <w:bottom w:val="nil"/>
              <w:right w:val="nil"/>
            </w:tcBorders>
            <w:tcMar>
              <w:top w:w="100" w:type="dxa"/>
              <w:left w:w="80" w:type="dxa"/>
              <w:bottom w:w="100" w:type="dxa"/>
              <w:right w:w="80" w:type="dxa"/>
            </w:tcMar>
          </w:tcPr>
          <w:p w14:paraId="23F69AB5"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42.0</w:t>
            </w:r>
          </w:p>
        </w:tc>
        <w:tc>
          <w:tcPr>
            <w:tcW w:w="750" w:type="dxa"/>
            <w:tcBorders>
              <w:top w:val="nil"/>
              <w:left w:val="nil"/>
              <w:bottom w:val="nil"/>
              <w:right w:val="nil"/>
            </w:tcBorders>
            <w:tcMar>
              <w:top w:w="100" w:type="dxa"/>
              <w:left w:w="80" w:type="dxa"/>
              <w:bottom w:w="100" w:type="dxa"/>
              <w:right w:w="80" w:type="dxa"/>
            </w:tcMar>
          </w:tcPr>
          <w:p w14:paraId="4699C6C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15.4</w:t>
            </w:r>
          </w:p>
        </w:tc>
        <w:tc>
          <w:tcPr>
            <w:tcW w:w="960" w:type="dxa"/>
            <w:tcBorders>
              <w:top w:val="nil"/>
              <w:left w:val="nil"/>
              <w:bottom w:val="nil"/>
              <w:right w:val="nil"/>
            </w:tcBorders>
            <w:tcMar>
              <w:top w:w="100" w:type="dxa"/>
              <w:left w:w="80" w:type="dxa"/>
              <w:bottom w:w="100" w:type="dxa"/>
              <w:right w:w="80" w:type="dxa"/>
            </w:tcMar>
          </w:tcPr>
          <w:p w14:paraId="146C976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24F8A6E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-20.1</w:t>
            </w:r>
          </w:p>
        </w:tc>
        <w:tc>
          <w:tcPr>
            <w:tcW w:w="855" w:type="dxa"/>
            <w:tcBorders>
              <w:top w:val="nil"/>
              <w:left w:val="nil"/>
              <w:bottom w:val="nil"/>
              <w:right w:val="nil"/>
            </w:tcBorders>
            <w:tcMar>
              <w:top w:w="100" w:type="dxa"/>
              <w:left w:w="80" w:type="dxa"/>
              <w:bottom w:w="100" w:type="dxa"/>
              <w:right w:w="80" w:type="dxa"/>
            </w:tcMar>
          </w:tcPr>
          <w:p w14:paraId="7227C20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5.9</w:t>
            </w:r>
          </w:p>
        </w:tc>
      </w:tr>
      <w:tr w:rsidR="00F12285" w14:paraId="3ECC0D04"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200C5DA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lastRenderedPageBreak/>
              <w:t>MJ4</w:t>
            </w:r>
          </w:p>
        </w:tc>
        <w:tc>
          <w:tcPr>
            <w:tcW w:w="1065" w:type="dxa"/>
            <w:tcBorders>
              <w:top w:val="nil"/>
              <w:left w:val="nil"/>
              <w:bottom w:val="nil"/>
              <w:right w:val="nil"/>
            </w:tcBorders>
            <w:tcMar>
              <w:top w:w="100" w:type="dxa"/>
              <w:left w:w="100" w:type="dxa"/>
              <w:bottom w:w="100" w:type="dxa"/>
              <w:right w:w="100" w:type="dxa"/>
            </w:tcMar>
            <w:vAlign w:val="center"/>
          </w:tcPr>
          <w:p w14:paraId="1571FE5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51369F8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Tibia</w:t>
            </w:r>
          </w:p>
        </w:tc>
        <w:tc>
          <w:tcPr>
            <w:tcW w:w="1500" w:type="dxa"/>
            <w:tcBorders>
              <w:top w:val="nil"/>
              <w:left w:val="nil"/>
              <w:bottom w:val="nil"/>
              <w:right w:val="nil"/>
            </w:tcBorders>
            <w:tcMar>
              <w:top w:w="100" w:type="dxa"/>
              <w:left w:w="100" w:type="dxa"/>
              <w:bottom w:w="100" w:type="dxa"/>
              <w:right w:w="100" w:type="dxa"/>
            </w:tcMar>
            <w:vAlign w:val="center"/>
          </w:tcPr>
          <w:p w14:paraId="3791DA2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716BC0AB"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w:t>
            </w:r>
          </w:p>
        </w:tc>
        <w:tc>
          <w:tcPr>
            <w:tcW w:w="645" w:type="dxa"/>
            <w:tcBorders>
              <w:top w:val="nil"/>
              <w:left w:val="nil"/>
              <w:bottom w:val="nil"/>
              <w:right w:val="nil"/>
            </w:tcBorders>
            <w:tcMar>
              <w:top w:w="100" w:type="dxa"/>
              <w:left w:w="80" w:type="dxa"/>
              <w:bottom w:w="100" w:type="dxa"/>
              <w:right w:w="80" w:type="dxa"/>
            </w:tcMar>
          </w:tcPr>
          <w:p w14:paraId="4DCB558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11.6</w:t>
            </w:r>
          </w:p>
        </w:tc>
        <w:tc>
          <w:tcPr>
            <w:tcW w:w="630" w:type="dxa"/>
            <w:tcBorders>
              <w:top w:val="nil"/>
              <w:left w:val="nil"/>
              <w:bottom w:val="nil"/>
              <w:right w:val="nil"/>
            </w:tcBorders>
            <w:tcMar>
              <w:top w:w="100" w:type="dxa"/>
              <w:left w:w="80" w:type="dxa"/>
              <w:bottom w:w="100" w:type="dxa"/>
              <w:right w:w="80" w:type="dxa"/>
            </w:tcMar>
          </w:tcPr>
          <w:p w14:paraId="0C9D348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44.0</w:t>
            </w:r>
          </w:p>
        </w:tc>
        <w:tc>
          <w:tcPr>
            <w:tcW w:w="750" w:type="dxa"/>
            <w:tcBorders>
              <w:top w:val="nil"/>
              <w:left w:val="nil"/>
              <w:bottom w:val="nil"/>
              <w:right w:val="nil"/>
            </w:tcBorders>
            <w:tcMar>
              <w:top w:w="100" w:type="dxa"/>
              <w:left w:w="80" w:type="dxa"/>
              <w:bottom w:w="100" w:type="dxa"/>
              <w:right w:w="80" w:type="dxa"/>
            </w:tcMar>
          </w:tcPr>
          <w:p w14:paraId="05F4C4A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15.8</w:t>
            </w:r>
          </w:p>
        </w:tc>
        <w:tc>
          <w:tcPr>
            <w:tcW w:w="960" w:type="dxa"/>
            <w:tcBorders>
              <w:top w:val="nil"/>
              <w:left w:val="nil"/>
              <w:bottom w:val="nil"/>
              <w:right w:val="nil"/>
            </w:tcBorders>
            <w:tcMar>
              <w:top w:w="100" w:type="dxa"/>
              <w:left w:w="80" w:type="dxa"/>
              <w:bottom w:w="100" w:type="dxa"/>
              <w:right w:w="80" w:type="dxa"/>
            </w:tcMar>
          </w:tcPr>
          <w:p w14:paraId="1A2941E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3.3</w:t>
            </w:r>
          </w:p>
        </w:tc>
        <w:tc>
          <w:tcPr>
            <w:tcW w:w="870" w:type="dxa"/>
            <w:tcBorders>
              <w:top w:val="nil"/>
              <w:left w:val="nil"/>
              <w:bottom w:val="nil"/>
              <w:right w:val="nil"/>
            </w:tcBorders>
            <w:tcMar>
              <w:top w:w="100" w:type="dxa"/>
              <w:left w:w="80" w:type="dxa"/>
              <w:bottom w:w="100" w:type="dxa"/>
              <w:right w:w="80" w:type="dxa"/>
            </w:tcMar>
          </w:tcPr>
          <w:p w14:paraId="3BD2828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-20.7</w:t>
            </w:r>
          </w:p>
        </w:tc>
        <w:tc>
          <w:tcPr>
            <w:tcW w:w="855" w:type="dxa"/>
            <w:tcBorders>
              <w:top w:val="nil"/>
              <w:left w:val="nil"/>
              <w:bottom w:val="nil"/>
              <w:right w:val="nil"/>
            </w:tcBorders>
            <w:tcMar>
              <w:top w:w="100" w:type="dxa"/>
              <w:left w:w="80" w:type="dxa"/>
              <w:bottom w:w="100" w:type="dxa"/>
              <w:right w:w="80" w:type="dxa"/>
            </w:tcMar>
          </w:tcPr>
          <w:p w14:paraId="15E64AB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6.3</w:t>
            </w:r>
          </w:p>
        </w:tc>
      </w:tr>
      <w:tr w:rsidR="00F12285" w14:paraId="67544E41"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351C2C7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MJ5</w:t>
            </w:r>
          </w:p>
        </w:tc>
        <w:tc>
          <w:tcPr>
            <w:tcW w:w="1065" w:type="dxa"/>
            <w:tcBorders>
              <w:top w:val="nil"/>
              <w:left w:val="nil"/>
              <w:bottom w:val="nil"/>
              <w:right w:val="nil"/>
            </w:tcBorders>
            <w:tcMar>
              <w:top w:w="100" w:type="dxa"/>
              <w:left w:w="100" w:type="dxa"/>
              <w:bottom w:w="100" w:type="dxa"/>
              <w:right w:w="100" w:type="dxa"/>
            </w:tcMar>
            <w:vAlign w:val="center"/>
          </w:tcPr>
          <w:p w14:paraId="14E1CAA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3528868B"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Phalanx I</w:t>
            </w:r>
          </w:p>
        </w:tc>
        <w:tc>
          <w:tcPr>
            <w:tcW w:w="1500" w:type="dxa"/>
            <w:tcBorders>
              <w:top w:val="nil"/>
              <w:left w:val="nil"/>
              <w:bottom w:val="nil"/>
              <w:right w:val="nil"/>
            </w:tcBorders>
            <w:tcMar>
              <w:top w:w="100" w:type="dxa"/>
              <w:left w:w="100" w:type="dxa"/>
              <w:bottom w:w="100" w:type="dxa"/>
              <w:right w:w="100" w:type="dxa"/>
            </w:tcMar>
            <w:vAlign w:val="center"/>
          </w:tcPr>
          <w:p w14:paraId="6EBE517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1110" w:type="dxa"/>
            <w:tcBorders>
              <w:top w:val="nil"/>
              <w:left w:val="nil"/>
              <w:bottom w:val="nil"/>
              <w:right w:val="nil"/>
            </w:tcBorders>
            <w:tcMar>
              <w:top w:w="100" w:type="dxa"/>
              <w:left w:w="100" w:type="dxa"/>
              <w:bottom w:w="100" w:type="dxa"/>
              <w:right w:w="100" w:type="dxa"/>
            </w:tcMar>
            <w:vAlign w:val="center"/>
          </w:tcPr>
          <w:p w14:paraId="164853AB"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645" w:type="dxa"/>
            <w:tcBorders>
              <w:top w:val="nil"/>
              <w:left w:val="nil"/>
              <w:bottom w:val="nil"/>
              <w:right w:val="nil"/>
            </w:tcBorders>
            <w:tcMar>
              <w:top w:w="100" w:type="dxa"/>
              <w:left w:w="80" w:type="dxa"/>
              <w:bottom w:w="100" w:type="dxa"/>
              <w:right w:w="80" w:type="dxa"/>
            </w:tcMar>
          </w:tcPr>
          <w:p w14:paraId="6FBE905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w:t>
            </w:r>
          </w:p>
        </w:tc>
        <w:tc>
          <w:tcPr>
            <w:tcW w:w="630" w:type="dxa"/>
            <w:tcBorders>
              <w:top w:val="nil"/>
              <w:left w:val="nil"/>
              <w:bottom w:val="nil"/>
              <w:right w:val="nil"/>
            </w:tcBorders>
            <w:tcMar>
              <w:top w:w="100" w:type="dxa"/>
              <w:left w:w="80" w:type="dxa"/>
              <w:bottom w:w="100" w:type="dxa"/>
              <w:right w:w="80" w:type="dxa"/>
            </w:tcMar>
          </w:tcPr>
          <w:p w14:paraId="7CB3ABB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40.7</w:t>
            </w:r>
          </w:p>
        </w:tc>
        <w:tc>
          <w:tcPr>
            <w:tcW w:w="750" w:type="dxa"/>
            <w:tcBorders>
              <w:top w:val="nil"/>
              <w:left w:val="nil"/>
              <w:bottom w:val="nil"/>
              <w:right w:val="nil"/>
            </w:tcBorders>
            <w:tcMar>
              <w:top w:w="100" w:type="dxa"/>
              <w:left w:w="80" w:type="dxa"/>
              <w:bottom w:w="100" w:type="dxa"/>
              <w:right w:w="80" w:type="dxa"/>
            </w:tcMar>
          </w:tcPr>
          <w:p w14:paraId="13D0B84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14.9</w:t>
            </w:r>
          </w:p>
        </w:tc>
        <w:tc>
          <w:tcPr>
            <w:tcW w:w="960" w:type="dxa"/>
            <w:tcBorders>
              <w:top w:val="nil"/>
              <w:left w:val="nil"/>
              <w:bottom w:val="nil"/>
              <w:right w:val="nil"/>
            </w:tcBorders>
            <w:tcMar>
              <w:top w:w="100" w:type="dxa"/>
              <w:left w:w="80" w:type="dxa"/>
              <w:bottom w:w="100" w:type="dxa"/>
              <w:right w:w="80" w:type="dxa"/>
            </w:tcMar>
          </w:tcPr>
          <w:p w14:paraId="493B037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7800CD7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-18.2</w:t>
            </w:r>
          </w:p>
        </w:tc>
        <w:tc>
          <w:tcPr>
            <w:tcW w:w="855" w:type="dxa"/>
            <w:tcBorders>
              <w:top w:val="nil"/>
              <w:left w:val="nil"/>
              <w:bottom w:val="nil"/>
              <w:right w:val="nil"/>
            </w:tcBorders>
            <w:tcMar>
              <w:top w:w="100" w:type="dxa"/>
              <w:left w:w="80" w:type="dxa"/>
              <w:bottom w:w="100" w:type="dxa"/>
              <w:right w:w="80" w:type="dxa"/>
            </w:tcMar>
          </w:tcPr>
          <w:p w14:paraId="51D8056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7.0</w:t>
            </w:r>
          </w:p>
        </w:tc>
      </w:tr>
      <w:tr w:rsidR="00F12285" w14:paraId="29104A83"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284B0DE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MJ6</w:t>
            </w:r>
          </w:p>
        </w:tc>
        <w:tc>
          <w:tcPr>
            <w:tcW w:w="1065" w:type="dxa"/>
            <w:tcBorders>
              <w:top w:val="nil"/>
              <w:left w:val="nil"/>
              <w:bottom w:val="nil"/>
              <w:right w:val="nil"/>
            </w:tcBorders>
            <w:tcMar>
              <w:top w:w="100" w:type="dxa"/>
              <w:left w:w="100" w:type="dxa"/>
              <w:bottom w:w="100" w:type="dxa"/>
              <w:right w:w="100" w:type="dxa"/>
            </w:tcMar>
            <w:vAlign w:val="center"/>
          </w:tcPr>
          <w:p w14:paraId="6260F4D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3C9CBB9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Humerus</w:t>
            </w:r>
          </w:p>
        </w:tc>
        <w:tc>
          <w:tcPr>
            <w:tcW w:w="1500" w:type="dxa"/>
            <w:tcBorders>
              <w:top w:val="nil"/>
              <w:left w:val="nil"/>
              <w:bottom w:val="nil"/>
              <w:right w:val="nil"/>
            </w:tcBorders>
            <w:tcMar>
              <w:top w:w="100" w:type="dxa"/>
              <w:left w:w="100" w:type="dxa"/>
              <w:bottom w:w="100" w:type="dxa"/>
              <w:right w:w="100" w:type="dxa"/>
            </w:tcMar>
            <w:vAlign w:val="center"/>
          </w:tcPr>
          <w:p w14:paraId="63D626A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29961D2E"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Goat</w:t>
            </w:r>
          </w:p>
        </w:tc>
        <w:tc>
          <w:tcPr>
            <w:tcW w:w="645" w:type="dxa"/>
            <w:tcBorders>
              <w:top w:val="nil"/>
              <w:left w:val="nil"/>
              <w:bottom w:val="nil"/>
              <w:right w:val="nil"/>
            </w:tcBorders>
            <w:tcMar>
              <w:top w:w="100" w:type="dxa"/>
              <w:left w:w="80" w:type="dxa"/>
              <w:bottom w:w="100" w:type="dxa"/>
              <w:right w:w="80" w:type="dxa"/>
            </w:tcMar>
          </w:tcPr>
          <w:p w14:paraId="7EEA23E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10.7</w:t>
            </w:r>
          </w:p>
        </w:tc>
        <w:tc>
          <w:tcPr>
            <w:tcW w:w="630" w:type="dxa"/>
            <w:tcBorders>
              <w:top w:val="nil"/>
              <w:left w:val="nil"/>
              <w:bottom w:val="nil"/>
              <w:right w:val="nil"/>
            </w:tcBorders>
            <w:tcMar>
              <w:top w:w="100" w:type="dxa"/>
              <w:left w:w="80" w:type="dxa"/>
              <w:bottom w:w="100" w:type="dxa"/>
              <w:right w:w="80" w:type="dxa"/>
            </w:tcMar>
          </w:tcPr>
          <w:p w14:paraId="776F7B7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43.7</w:t>
            </w:r>
          </w:p>
        </w:tc>
        <w:tc>
          <w:tcPr>
            <w:tcW w:w="750" w:type="dxa"/>
            <w:tcBorders>
              <w:top w:val="nil"/>
              <w:left w:val="nil"/>
              <w:bottom w:val="nil"/>
              <w:right w:val="nil"/>
            </w:tcBorders>
            <w:tcMar>
              <w:top w:w="100" w:type="dxa"/>
              <w:left w:w="80" w:type="dxa"/>
              <w:bottom w:w="100" w:type="dxa"/>
              <w:right w:w="80" w:type="dxa"/>
            </w:tcMar>
          </w:tcPr>
          <w:p w14:paraId="0ADFEFC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15.8</w:t>
            </w:r>
          </w:p>
        </w:tc>
        <w:tc>
          <w:tcPr>
            <w:tcW w:w="960" w:type="dxa"/>
            <w:tcBorders>
              <w:top w:val="nil"/>
              <w:left w:val="nil"/>
              <w:bottom w:val="nil"/>
              <w:right w:val="nil"/>
            </w:tcBorders>
            <w:tcMar>
              <w:top w:w="100" w:type="dxa"/>
              <w:left w:w="80" w:type="dxa"/>
              <w:bottom w:w="100" w:type="dxa"/>
              <w:right w:w="80" w:type="dxa"/>
            </w:tcMar>
          </w:tcPr>
          <w:p w14:paraId="4BFE68A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7A01B3D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-19.6</w:t>
            </w:r>
          </w:p>
        </w:tc>
        <w:tc>
          <w:tcPr>
            <w:tcW w:w="855" w:type="dxa"/>
            <w:tcBorders>
              <w:top w:val="nil"/>
              <w:left w:val="nil"/>
              <w:bottom w:val="nil"/>
              <w:right w:val="nil"/>
            </w:tcBorders>
            <w:tcMar>
              <w:top w:w="100" w:type="dxa"/>
              <w:left w:w="80" w:type="dxa"/>
              <w:bottom w:w="100" w:type="dxa"/>
              <w:right w:w="80" w:type="dxa"/>
            </w:tcMar>
          </w:tcPr>
          <w:p w14:paraId="2E5C615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4.1</w:t>
            </w:r>
          </w:p>
        </w:tc>
      </w:tr>
      <w:tr w:rsidR="00F12285" w14:paraId="35C7079A"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710744A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MJ7</w:t>
            </w:r>
          </w:p>
        </w:tc>
        <w:tc>
          <w:tcPr>
            <w:tcW w:w="1065" w:type="dxa"/>
            <w:tcBorders>
              <w:top w:val="nil"/>
              <w:left w:val="nil"/>
              <w:bottom w:val="nil"/>
              <w:right w:val="nil"/>
            </w:tcBorders>
            <w:tcMar>
              <w:top w:w="100" w:type="dxa"/>
              <w:left w:w="100" w:type="dxa"/>
              <w:bottom w:w="100" w:type="dxa"/>
              <w:right w:w="100" w:type="dxa"/>
            </w:tcMar>
            <w:vAlign w:val="center"/>
          </w:tcPr>
          <w:p w14:paraId="3EE0A17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4A9E3482"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Ulna</w:t>
            </w:r>
          </w:p>
        </w:tc>
        <w:tc>
          <w:tcPr>
            <w:tcW w:w="1500" w:type="dxa"/>
            <w:tcBorders>
              <w:top w:val="nil"/>
              <w:left w:val="nil"/>
              <w:bottom w:val="nil"/>
              <w:right w:val="nil"/>
            </w:tcBorders>
            <w:tcMar>
              <w:top w:w="100" w:type="dxa"/>
              <w:left w:w="100" w:type="dxa"/>
              <w:bottom w:w="100" w:type="dxa"/>
              <w:right w:w="100" w:type="dxa"/>
            </w:tcMar>
            <w:vAlign w:val="center"/>
          </w:tcPr>
          <w:p w14:paraId="32512B8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6EFECA4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w:t>
            </w:r>
          </w:p>
        </w:tc>
        <w:tc>
          <w:tcPr>
            <w:tcW w:w="645" w:type="dxa"/>
            <w:tcBorders>
              <w:top w:val="nil"/>
              <w:left w:val="nil"/>
              <w:bottom w:val="nil"/>
              <w:right w:val="nil"/>
            </w:tcBorders>
            <w:tcMar>
              <w:top w:w="100" w:type="dxa"/>
              <w:left w:w="80" w:type="dxa"/>
              <w:bottom w:w="100" w:type="dxa"/>
              <w:right w:w="80" w:type="dxa"/>
            </w:tcMar>
          </w:tcPr>
          <w:p w14:paraId="3FA20A0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10.5</w:t>
            </w:r>
          </w:p>
        </w:tc>
        <w:tc>
          <w:tcPr>
            <w:tcW w:w="630" w:type="dxa"/>
            <w:tcBorders>
              <w:top w:val="nil"/>
              <w:left w:val="nil"/>
              <w:bottom w:val="nil"/>
              <w:right w:val="nil"/>
            </w:tcBorders>
            <w:tcMar>
              <w:top w:w="100" w:type="dxa"/>
              <w:left w:w="80" w:type="dxa"/>
              <w:bottom w:w="100" w:type="dxa"/>
              <w:right w:w="80" w:type="dxa"/>
            </w:tcMar>
          </w:tcPr>
          <w:p w14:paraId="4666EC3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43.0</w:t>
            </w:r>
          </w:p>
        </w:tc>
        <w:tc>
          <w:tcPr>
            <w:tcW w:w="750" w:type="dxa"/>
            <w:tcBorders>
              <w:top w:val="nil"/>
              <w:left w:val="nil"/>
              <w:bottom w:val="nil"/>
              <w:right w:val="nil"/>
            </w:tcBorders>
            <w:tcMar>
              <w:top w:w="100" w:type="dxa"/>
              <w:left w:w="80" w:type="dxa"/>
              <w:bottom w:w="100" w:type="dxa"/>
              <w:right w:w="80" w:type="dxa"/>
            </w:tcMar>
          </w:tcPr>
          <w:p w14:paraId="758176C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15.7</w:t>
            </w:r>
          </w:p>
        </w:tc>
        <w:tc>
          <w:tcPr>
            <w:tcW w:w="960" w:type="dxa"/>
            <w:tcBorders>
              <w:top w:val="nil"/>
              <w:left w:val="nil"/>
              <w:bottom w:val="nil"/>
              <w:right w:val="nil"/>
            </w:tcBorders>
            <w:tcMar>
              <w:top w:w="100" w:type="dxa"/>
              <w:left w:w="80" w:type="dxa"/>
              <w:bottom w:w="100" w:type="dxa"/>
              <w:right w:w="80" w:type="dxa"/>
            </w:tcMar>
          </w:tcPr>
          <w:p w14:paraId="02B6F7A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40488F0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-19.1</w:t>
            </w:r>
          </w:p>
        </w:tc>
        <w:tc>
          <w:tcPr>
            <w:tcW w:w="855" w:type="dxa"/>
            <w:tcBorders>
              <w:top w:val="nil"/>
              <w:left w:val="nil"/>
              <w:bottom w:val="nil"/>
              <w:right w:val="nil"/>
            </w:tcBorders>
            <w:tcMar>
              <w:top w:w="100" w:type="dxa"/>
              <w:left w:w="80" w:type="dxa"/>
              <w:bottom w:w="100" w:type="dxa"/>
              <w:right w:w="80" w:type="dxa"/>
            </w:tcMar>
          </w:tcPr>
          <w:p w14:paraId="3AA3B79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7.9</w:t>
            </w:r>
          </w:p>
        </w:tc>
      </w:tr>
      <w:tr w:rsidR="00F12285" w14:paraId="67687835"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2F7B806E"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MJ8</w:t>
            </w:r>
          </w:p>
        </w:tc>
        <w:tc>
          <w:tcPr>
            <w:tcW w:w="1065" w:type="dxa"/>
            <w:tcBorders>
              <w:top w:val="nil"/>
              <w:left w:val="nil"/>
              <w:bottom w:val="nil"/>
              <w:right w:val="nil"/>
            </w:tcBorders>
            <w:tcMar>
              <w:top w:w="100" w:type="dxa"/>
              <w:left w:w="100" w:type="dxa"/>
              <w:bottom w:w="100" w:type="dxa"/>
              <w:right w:w="100" w:type="dxa"/>
            </w:tcMar>
            <w:vAlign w:val="center"/>
          </w:tcPr>
          <w:p w14:paraId="2FFABB8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40F7F88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Mandible</w:t>
            </w:r>
          </w:p>
        </w:tc>
        <w:tc>
          <w:tcPr>
            <w:tcW w:w="1500" w:type="dxa"/>
            <w:tcBorders>
              <w:top w:val="nil"/>
              <w:left w:val="nil"/>
              <w:bottom w:val="nil"/>
              <w:right w:val="nil"/>
            </w:tcBorders>
            <w:tcMar>
              <w:top w:w="100" w:type="dxa"/>
              <w:left w:w="100" w:type="dxa"/>
              <w:bottom w:w="100" w:type="dxa"/>
              <w:right w:w="100" w:type="dxa"/>
            </w:tcMar>
            <w:vAlign w:val="center"/>
          </w:tcPr>
          <w:p w14:paraId="0406943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1110" w:type="dxa"/>
            <w:tcBorders>
              <w:top w:val="nil"/>
              <w:left w:val="nil"/>
              <w:bottom w:val="nil"/>
              <w:right w:val="nil"/>
            </w:tcBorders>
            <w:tcMar>
              <w:top w:w="100" w:type="dxa"/>
              <w:left w:w="100" w:type="dxa"/>
              <w:bottom w:w="100" w:type="dxa"/>
              <w:right w:w="100" w:type="dxa"/>
            </w:tcMar>
            <w:vAlign w:val="center"/>
          </w:tcPr>
          <w:p w14:paraId="0B70997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645" w:type="dxa"/>
            <w:tcBorders>
              <w:top w:val="nil"/>
              <w:left w:val="nil"/>
              <w:bottom w:val="nil"/>
              <w:right w:val="nil"/>
            </w:tcBorders>
            <w:tcMar>
              <w:top w:w="100" w:type="dxa"/>
              <w:left w:w="80" w:type="dxa"/>
              <w:bottom w:w="100" w:type="dxa"/>
              <w:right w:w="80" w:type="dxa"/>
            </w:tcMar>
          </w:tcPr>
          <w:p w14:paraId="79BB0B8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10.5</w:t>
            </w:r>
          </w:p>
        </w:tc>
        <w:tc>
          <w:tcPr>
            <w:tcW w:w="630" w:type="dxa"/>
            <w:tcBorders>
              <w:top w:val="nil"/>
              <w:left w:val="nil"/>
              <w:bottom w:val="nil"/>
              <w:right w:val="nil"/>
            </w:tcBorders>
            <w:tcMar>
              <w:top w:w="100" w:type="dxa"/>
              <w:left w:w="80" w:type="dxa"/>
              <w:bottom w:w="100" w:type="dxa"/>
              <w:right w:w="80" w:type="dxa"/>
            </w:tcMar>
          </w:tcPr>
          <w:p w14:paraId="17B6B3A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44.8</w:t>
            </w:r>
          </w:p>
        </w:tc>
        <w:tc>
          <w:tcPr>
            <w:tcW w:w="750" w:type="dxa"/>
            <w:tcBorders>
              <w:top w:val="nil"/>
              <w:left w:val="nil"/>
              <w:bottom w:val="nil"/>
              <w:right w:val="nil"/>
            </w:tcBorders>
            <w:tcMar>
              <w:top w:w="100" w:type="dxa"/>
              <w:left w:w="80" w:type="dxa"/>
              <w:bottom w:w="100" w:type="dxa"/>
              <w:right w:w="80" w:type="dxa"/>
            </w:tcMar>
          </w:tcPr>
          <w:p w14:paraId="57160320"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16.3</w:t>
            </w:r>
          </w:p>
        </w:tc>
        <w:tc>
          <w:tcPr>
            <w:tcW w:w="960" w:type="dxa"/>
            <w:tcBorders>
              <w:top w:val="nil"/>
              <w:left w:val="nil"/>
              <w:bottom w:val="nil"/>
              <w:right w:val="nil"/>
            </w:tcBorders>
            <w:tcMar>
              <w:top w:w="100" w:type="dxa"/>
              <w:left w:w="80" w:type="dxa"/>
              <w:bottom w:w="100" w:type="dxa"/>
              <w:right w:w="80" w:type="dxa"/>
            </w:tcMar>
          </w:tcPr>
          <w:p w14:paraId="0282C21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6D5C893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-22.0</w:t>
            </w:r>
          </w:p>
        </w:tc>
        <w:tc>
          <w:tcPr>
            <w:tcW w:w="855" w:type="dxa"/>
            <w:tcBorders>
              <w:top w:val="nil"/>
              <w:left w:val="nil"/>
              <w:bottom w:val="nil"/>
              <w:right w:val="nil"/>
            </w:tcBorders>
            <w:tcMar>
              <w:top w:w="100" w:type="dxa"/>
              <w:left w:w="80" w:type="dxa"/>
              <w:bottom w:w="100" w:type="dxa"/>
              <w:right w:w="80" w:type="dxa"/>
            </w:tcMar>
          </w:tcPr>
          <w:p w14:paraId="1208671D"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4.6</w:t>
            </w:r>
          </w:p>
        </w:tc>
      </w:tr>
      <w:tr w:rsidR="00F12285" w14:paraId="2F41345C"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2DD87DB2"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MJ9</w:t>
            </w:r>
          </w:p>
        </w:tc>
        <w:tc>
          <w:tcPr>
            <w:tcW w:w="1065" w:type="dxa"/>
            <w:tcBorders>
              <w:top w:val="nil"/>
              <w:left w:val="nil"/>
              <w:bottom w:val="nil"/>
              <w:right w:val="nil"/>
            </w:tcBorders>
            <w:tcMar>
              <w:top w:w="100" w:type="dxa"/>
              <w:left w:w="100" w:type="dxa"/>
              <w:bottom w:w="100" w:type="dxa"/>
              <w:right w:w="100" w:type="dxa"/>
            </w:tcMar>
            <w:vAlign w:val="center"/>
          </w:tcPr>
          <w:p w14:paraId="655AD37A"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686FE9E7"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Vertebra</w:t>
            </w:r>
          </w:p>
        </w:tc>
        <w:tc>
          <w:tcPr>
            <w:tcW w:w="1500" w:type="dxa"/>
            <w:tcBorders>
              <w:top w:val="nil"/>
              <w:left w:val="nil"/>
              <w:bottom w:val="nil"/>
              <w:right w:val="nil"/>
            </w:tcBorders>
            <w:tcMar>
              <w:top w:w="100" w:type="dxa"/>
              <w:left w:w="100" w:type="dxa"/>
              <w:bottom w:w="100" w:type="dxa"/>
              <w:right w:w="100" w:type="dxa"/>
            </w:tcMar>
            <w:vAlign w:val="center"/>
          </w:tcPr>
          <w:p w14:paraId="286D230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7DE6854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645" w:type="dxa"/>
            <w:tcBorders>
              <w:top w:val="nil"/>
              <w:left w:val="nil"/>
              <w:bottom w:val="nil"/>
              <w:right w:val="nil"/>
            </w:tcBorders>
            <w:tcMar>
              <w:top w:w="100" w:type="dxa"/>
              <w:left w:w="80" w:type="dxa"/>
              <w:bottom w:w="100" w:type="dxa"/>
              <w:right w:w="80" w:type="dxa"/>
            </w:tcMar>
          </w:tcPr>
          <w:p w14:paraId="0F941A0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9.6</w:t>
            </w:r>
          </w:p>
        </w:tc>
        <w:tc>
          <w:tcPr>
            <w:tcW w:w="630" w:type="dxa"/>
            <w:tcBorders>
              <w:top w:val="nil"/>
              <w:left w:val="nil"/>
              <w:bottom w:val="nil"/>
              <w:right w:val="nil"/>
            </w:tcBorders>
            <w:tcMar>
              <w:top w:w="100" w:type="dxa"/>
              <w:left w:w="80" w:type="dxa"/>
              <w:bottom w:w="100" w:type="dxa"/>
              <w:right w:w="80" w:type="dxa"/>
            </w:tcMar>
          </w:tcPr>
          <w:p w14:paraId="3FB6AC7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43.7</w:t>
            </w:r>
          </w:p>
        </w:tc>
        <w:tc>
          <w:tcPr>
            <w:tcW w:w="750" w:type="dxa"/>
            <w:tcBorders>
              <w:top w:val="nil"/>
              <w:left w:val="nil"/>
              <w:bottom w:val="nil"/>
              <w:right w:val="nil"/>
            </w:tcBorders>
            <w:tcMar>
              <w:top w:w="100" w:type="dxa"/>
              <w:left w:w="80" w:type="dxa"/>
              <w:bottom w:w="100" w:type="dxa"/>
              <w:right w:w="80" w:type="dxa"/>
            </w:tcMar>
          </w:tcPr>
          <w:p w14:paraId="5E0461F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15.9</w:t>
            </w:r>
          </w:p>
        </w:tc>
        <w:tc>
          <w:tcPr>
            <w:tcW w:w="960" w:type="dxa"/>
            <w:tcBorders>
              <w:top w:val="nil"/>
              <w:left w:val="nil"/>
              <w:bottom w:val="nil"/>
              <w:right w:val="nil"/>
            </w:tcBorders>
            <w:tcMar>
              <w:top w:w="100" w:type="dxa"/>
              <w:left w:w="80" w:type="dxa"/>
              <w:bottom w:w="100" w:type="dxa"/>
              <w:right w:w="80" w:type="dxa"/>
            </w:tcMar>
          </w:tcPr>
          <w:p w14:paraId="692E6AA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34BDD45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-19.7</w:t>
            </w:r>
          </w:p>
        </w:tc>
        <w:tc>
          <w:tcPr>
            <w:tcW w:w="855" w:type="dxa"/>
            <w:tcBorders>
              <w:top w:val="nil"/>
              <w:left w:val="nil"/>
              <w:bottom w:val="nil"/>
              <w:right w:val="nil"/>
            </w:tcBorders>
            <w:tcMar>
              <w:top w:w="100" w:type="dxa"/>
              <w:left w:w="80" w:type="dxa"/>
              <w:bottom w:w="100" w:type="dxa"/>
              <w:right w:w="80" w:type="dxa"/>
            </w:tcMar>
          </w:tcPr>
          <w:p w14:paraId="7188FC3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9.0</w:t>
            </w:r>
          </w:p>
        </w:tc>
      </w:tr>
      <w:tr w:rsidR="00F12285" w14:paraId="53AFA62F"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7382677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MJ10</w:t>
            </w:r>
          </w:p>
        </w:tc>
        <w:tc>
          <w:tcPr>
            <w:tcW w:w="1065" w:type="dxa"/>
            <w:tcBorders>
              <w:top w:val="nil"/>
              <w:left w:val="nil"/>
              <w:bottom w:val="nil"/>
              <w:right w:val="nil"/>
            </w:tcBorders>
            <w:tcMar>
              <w:top w:w="100" w:type="dxa"/>
              <w:left w:w="100" w:type="dxa"/>
              <w:bottom w:w="100" w:type="dxa"/>
              <w:right w:w="100" w:type="dxa"/>
            </w:tcMar>
            <w:vAlign w:val="center"/>
          </w:tcPr>
          <w:p w14:paraId="6CC91DD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7A8AD5F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Vertebra</w:t>
            </w:r>
          </w:p>
        </w:tc>
        <w:tc>
          <w:tcPr>
            <w:tcW w:w="1500" w:type="dxa"/>
            <w:tcBorders>
              <w:top w:val="nil"/>
              <w:left w:val="nil"/>
              <w:bottom w:val="nil"/>
              <w:right w:val="nil"/>
            </w:tcBorders>
            <w:tcMar>
              <w:top w:w="100" w:type="dxa"/>
              <w:left w:w="100" w:type="dxa"/>
              <w:bottom w:w="100" w:type="dxa"/>
              <w:right w:w="100" w:type="dxa"/>
            </w:tcMar>
            <w:vAlign w:val="center"/>
          </w:tcPr>
          <w:p w14:paraId="3B4021C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265BB0A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Horse</w:t>
            </w:r>
          </w:p>
        </w:tc>
        <w:tc>
          <w:tcPr>
            <w:tcW w:w="645" w:type="dxa"/>
            <w:tcBorders>
              <w:top w:val="nil"/>
              <w:left w:val="nil"/>
              <w:bottom w:val="nil"/>
              <w:right w:val="nil"/>
            </w:tcBorders>
            <w:tcMar>
              <w:top w:w="100" w:type="dxa"/>
              <w:left w:w="80" w:type="dxa"/>
              <w:bottom w:w="100" w:type="dxa"/>
              <w:right w:w="80" w:type="dxa"/>
            </w:tcMar>
          </w:tcPr>
          <w:p w14:paraId="26957BD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7.6</w:t>
            </w:r>
          </w:p>
        </w:tc>
        <w:tc>
          <w:tcPr>
            <w:tcW w:w="630" w:type="dxa"/>
            <w:tcBorders>
              <w:top w:val="nil"/>
              <w:left w:val="nil"/>
              <w:bottom w:val="nil"/>
              <w:right w:val="nil"/>
            </w:tcBorders>
            <w:tcMar>
              <w:top w:w="100" w:type="dxa"/>
              <w:left w:w="80" w:type="dxa"/>
              <w:bottom w:w="100" w:type="dxa"/>
              <w:right w:w="80" w:type="dxa"/>
            </w:tcMar>
          </w:tcPr>
          <w:p w14:paraId="4FBDD52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43.4</w:t>
            </w:r>
          </w:p>
        </w:tc>
        <w:tc>
          <w:tcPr>
            <w:tcW w:w="750" w:type="dxa"/>
            <w:tcBorders>
              <w:top w:val="nil"/>
              <w:left w:val="nil"/>
              <w:bottom w:val="nil"/>
              <w:right w:val="nil"/>
            </w:tcBorders>
            <w:tcMar>
              <w:top w:w="100" w:type="dxa"/>
              <w:left w:w="80" w:type="dxa"/>
              <w:bottom w:w="100" w:type="dxa"/>
              <w:right w:w="80" w:type="dxa"/>
            </w:tcMar>
          </w:tcPr>
          <w:p w14:paraId="40A638E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15.8</w:t>
            </w:r>
          </w:p>
        </w:tc>
        <w:tc>
          <w:tcPr>
            <w:tcW w:w="960" w:type="dxa"/>
            <w:tcBorders>
              <w:top w:val="nil"/>
              <w:left w:val="nil"/>
              <w:bottom w:val="nil"/>
              <w:right w:val="nil"/>
            </w:tcBorders>
            <w:tcMar>
              <w:top w:w="100" w:type="dxa"/>
              <w:left w:w="80" w:type="dxa"/>
              <w:bottom w:w="100" w:type="dxa"/>
              <w:right w:w="80" w:type="dxa"/>
            </w:tcMar>
          </w:tcPr>
          <w:p w14:paraId="43E15DD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37DADBB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-20.4</w:t>
            </w:r>
          </w:p>
        </w:tc>
        <w:tc>
          <w:tcPr>
            <w:tcW w:w="855" w:type="dxa"/>
            <w:tcBorders>
              <w:top w:val="nil"/>
              <w:left w:val="nil"/>
              <w:bottom w:val="nil"/>
              <w:right w:val="nil"/>
            </w:tcBorders>
            <w:tcMar>
              <w:top w:w="100" w:type="dxa"/>
              <w:left w:w="80" w:type="dxa"/>
              <w:bottom w:w="100" w:type="dxa"/>
              <w:right w:w="80" w:type="dxa"/>
            </w:tcMar>
          </w:tcPr>
          <w:p w14:paraId="622C2C6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4.5</w:t>
            </w:r>
          </w:p>
        </w:tc>
      </w:tr>
      <w:tr w:rsidR="00F12285" w14:paraId="41E80B3D"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1487393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MJ11</w:t>
            </w:r>
          </w:p>
        </w:tc>
        <w:tc>
          <w:tcPr>
            <w:tcW w:w="1065" w:type="dxa"/>
            <w:tcBorders>
              <w:top w:val="nil"/>
              <w:left w:val="nil"/>
              <w:bottom w:val="nil"/>
              <w:right w:val="nil"/>
            </w:tcBorders>
            <w:tcMar>
              <w:top w:w="100" w:type="dxa"/>
              <w:left w:w="100" w:type="dxa"/>
              <w:bottom w:w="100" w:type="dxa"/>
              <w:right w:w="100" w:type="dxa"/>
            </w:tcMar>
            <w:vAlign w:val="center"/>
          </w:tcPr>
          <w:p w14:paraId="22AA81D2"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0243076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Phalanx II</w:t>
            </w:r>
          </w:p>
        </w:tc>
        <w:tc>
          <w:tcPr>
            <w:tcW w:w="1500" w:type="dxa"/>
            <w:tcBorders>
              <w:top w:val="nil"/>
              <w:left w:val="nil"/>
              <w:bottom w:val="nil"/>
              <w:right w:val="nil"/>
            </w:tcBorders>
            <w:tcMar>
              <w:top w:w="100" w:type="dxa"/>
              <w:left w:w="100" w:type="dxa"/>
              <w:bottom w:w="100" w:type="dxa"/>
              <w:right w:w="100" w:type="dxa"/>
            </w:tcMar>
            <w:vAlign w:val="center"/>
          </w:tcPr>
          <w:p w14:paraId="60805B3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3737B0B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Pig</w:t>
            </w:r>
          </w:p>
        </w:tc>
        <w:tc>
          <w:tcPr>
            <w:tcW w:w="645" w:type="dxa"/>
            <w:tcBorders>
              <w:top w:val="nil"/>
              <w:left w:val="nil"/>
              <w:bottom w:val="nil"/>
              <w:right w:val="nil"/>
            </w:tcBorders>
            <w:tcMar>
              <w:top w:w="100" w:type="dxa"/>
              <w:left w:w="80" w:type="dxa"/>
              <w:bottom w:w="100" w:type="dxa"/>
              <w:right w:w="80" w:type="dxa"/>
            </w:tcMar>
          </w:tcPr>
          <w:p w14:paraId="6E83FAC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9.9</w:t>
            </w:r>
          </w:p>
        </w:tc>
        <w:tc>
          <w:tcPr>
            <w:tcW w:w="630" w:type="dxa"/>
            <w:tcBorders>
              <w:top w:val="nil"/>
              <w:left w:val="nil"/>
              <w:bottom w:val="nil"/>
              <w:right w:val="nil"/>
            </w:tcBorders>
            <w:tcMar>
              <w:top w:w="100" w:type="dxa"/>
              <w:left w:w="80" w:type="dxa"/>
              <w:bottom w:w="100" w:type="dxa"/>
              <w:right w:w="80" w:type="dxa"/>
            </w:tcMar>
          </w:tcPr>
          <w:p w14:paraId="5838A65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46.2</w:t>
            </w:r>
          </w:p>
        </w:tc>
        <w:tc>
          <w:tcPr>
            <w:tcW w:w="750" w:type="dxa"/>
            <w:tcBorders>
              <w:top w:val="nil"/>
              <w:left w:val="nil"/>
              <w:bottom w:val="nil"/>
              <w:right w:val="nil"/>
            </w:tcBorders>
            <w:tcMar>
              <w:top w:w="100" w:type="dxa"/>
              <w:left w:w="80" w:type="dxa"/>
              <w:bottom w:w="100" w:type="dxa"/>
              <w:right w:w="80" w:type="dxa"/>
            </w:tcMar>
          </w:tcPr>
          <w:p w14:paraId="10534A9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16.8</w:t>
            </w:r>
          </w:p>
        </w:tc>
        <w:tc>
          <w:tcPr>
            <w:tcW w:w="960" w:type="dxa"/>
            <w:tcBorders>
              <w:top w:val="nil"/>
              <w:left w:val="nil"/>
              <w:bottom w:val="nil"/>
              <w:right w:val="nil"/>
            </w:tcBorders>
            <w:tcMar>
              <w:top w:w="100" w:type="dxa"/>
              <w:left w:w="80" w:type="dxa"/>
              <w:bottom w:w="100" w:type="dxa"/>
              <w:right w:w="80" w:type="dxa"/>
            </w:tcMar>
          </w:tcPr>
          <w:p w14:paraId="6660CED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2AEC7F2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-19.9</w:t>
            </w:r>
          </w:p>
        </w:tc>
        <w:tc>
          <w:tcPr>
            <w:tcW w:w="855" w:type="dxa"/>
            <w:tcBorders>
              <w:top w:val="nil"/>
              <w:left w:val="nil"/>
              <w:bottom w:val="nil"/>
              <w:right w:val="nil"/>
            </w:tcBorders>
            <w:tcMar>
              <w:top w:w="100" w:type="dxa"/>
              <w:left w:w="80" w:type="dxa"/>
              <w:bottom w:w="100" w:type="dxa"/>
              <w:right w:w="80" w:type="dxa"/>
            </w:tcMar>
          </w:tcPr>
          <w:p w14:paraId="4DD6BB9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6.3</w:t>
            </w:r>
          </w:p>
        </w:tc>
      </w:tr>
      <w:tr w:rsidR="00F12285" w14:paraId="7F69773E"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7E040C82"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MJ13</w:t>
            </w:r>
          </w:p>
        </w:tc>
        <w:tc>
          <w:tcPr>
            <w:tcW w:w="1065" w:type="dxa"/>
            <w:tcBorders>
              <w:top w:val="nil"/>
              <w:left w:val="nil"/>
              <w:bottom w:val="nil"/>
              <w:right w:val="nil"/>
            </w:tcBorders>
            <w:tcMar>
              <w:top w:w="100" w:type="dxa"/>
              <w:left w:w="100" w:type="dxa"/>
              <w:bottom w:w="100" w:type="dxa"/>
              <w:right w:w="100" w:type="dxa"/>
            </w:tcMar>
            <w:vAlign w:val="center"/>
          </w:tcPr>
          <w:p w14:paraId="7C60BFE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26AED15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Carpal or tarsal</w:t>
            </w:r>
          </w:p>
        </w:tc>
        <w:tc>
          <w:tcPr>
            <w:tcW w:w="1500" w:type="dxa"/>
            <w:tcBorders>
              <w:top w:val="nil"/>
              <w:left w:val="nil"/>
              <w:bottom w:val="nil"/>
              <w:right w:val="nil"/>
            </w:tcBorders>
            <w:tcMar>
              <w:top w:w="100" w:type="dxa"/>
              <w:left w:w="100" w:type="dxa"/>
              <w:bottom w:w="100" w:type="dxa"/>
              <w:right w:w="100" w:type="dxa"/>
            </w:tcMar>
            <w:vAlign w:val="center"/>
          </w:tcPr>
          <w:p w14:paraId="1BA0E685"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06B84AD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Horse</w:t>
            </w:r>
          </w:p>
        </w:tc>
        <w:tc>
          <w:tcPr>
            <w:tcW w:w="645" w:type="dxa"/>
            <w:tcBorders>
              <w:top w:val="nil"/>
              <w:left w:val="nil"/>
              <w:bottom w:val="nil"/>
              <w:right w:val="nil"/>
            </w:tcBorders>
            <w:tcMar>
              <w:top w:w="100" w:type="dxa"/>
              <w:left w:w="80" w:type="dxa"/>
              <w:bottom w:w="100" w:type="dxa"/>
              <w:right w:w="80" w:type="dxa"/>
            </w:tcMar>
          </w:tcPr>
          <w:p w14:paraId="671C01B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2.9</w:t>
            </w:r>
          </w:p>
        </w:tc>
        <w:tc>
          <w:tcPr>
            <w:tcW w:w="630" w:type="dxa"/>
            <w:tcBorders>
              <w:top w:val="nil"/>
              <w:left w:val="nil"/>
              <w:bottom w:val="nil"/>
              <w:right w:val="nil"/>
            </w:tcBorders>
            <w:tcMar>
              <w:top w:w="100" w:type="dxa"/>
              <w:left w:w="80" w:type="dxa"/>
              <w:bottom w:w="100" w:type="dxa"/>
              <w:right w:w="80" w:type="dxa"/>
            </w:tcMar>
          </w:tcPr>
          <w:p w14:paraId="387B44C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36.8</w:t>
            </w:r>
          </w:p>
        </w:tc>
        <w:tc>
          <w:tcPr>
            <w:tcW w:w="750" w:type="dxa"/>
            <w:tcBorders>
              <w:top w:val="nil"/>
              <w:left w:val="nil"/>
              <w:bottom w:val="nil"/>
              <w:right w:val="nil"/>
            </w:tcBorders>
            <w:tcMar>
              <w:top w:w="100" w:type="dxa"/>
              <w:left w:w="80" w:type="dxa"/>
              <w:bottom w:w="100" w:type="dxa"/>
              <w:right w:w="80" w:type="dxa"/>
            </w:tcMar>
          </w:tcPr>
          <w:p w14:paraId="6C0ADBC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12.7</w:t>
            </w:r>
          </w:p>
        </w:tc>
        <w:tc>
          <w:tcPr>
            <w:tcW w:w="960" w:type="dxa"/>
            <w:tcBorders>
              <w:top w:val="nil"/>
              <w:left w:val="nil"/>
              <w:bottom w:val="nil"/>
              <w:right w:val="nil"/>
            </w:tcBorders>
            <w:tcMar>
              <w:top w:w="100" w:type="dxa"/>
              <w:left w:w="80" w:type="dxa"/>
              <w:bottom w:w="100" w:type="dxa"/>
              <w:right w:w="80" w:type="dxa"/>
            </w:tcMar>
          </w:tcPr>
          <w:p w14:paraId="779DB4A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3.4</w:t>
            </w:r>
          </w:p>
        </w:tc>
        <w:tc>
          <w:tcPr>
            <w:tcW w:w="870" w:type="dxa"/>
            <w:tcBorders>
              <w:top w:val="nil"/>
              <w:left w:val="nil"/>
              <w:bottom w:val="nil"/>
              <w:right w:val="nil"/>
            </w:tcBorders>
            <w:tcMar>
              <w:top w:w="100" w:type="dxa"/>
              <w:left w:w="80" w:type="dxa"/>
              <w:bottom w:w="100" w:type="dxa"/>
              <w:right w:w="80" w:type="dxa"/>
            </w:tcMar>
          </w:tcPr>
          <w:p w14:paraId="7827A12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-21.5</w:t>
            </w:r>
          </w:p>
        </w:tc>
        <w:tc>
          <w:tcPr>
            <w:tcW w:w="855" w:type="dxa"/>
            <w:tcBorders>
              <w:top w:val="nil"/>
              <w:left w:val="nil"/>
              <w:bottom w:val="nil"/>
              <w:right w:val="nil"/>
            </w:tcBorders>
            <w:tcMar>
              <w:top w:w="100" w:type="dxa"/>
              <w:left w:w="80" w:type="dxa"/>
              <w:bottom w:w="100" w:type="dxa"/>
              <w:right w:w="80" w:type="dxa"/>
            </w:tcMar>
          </w:tcPr>
          <w:p w14:paraId="235E9AE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3.5</w:t>
            </w:r>
          </w:p>
        </w:tc>
      </w:tr>
      <w:tr w:rsidR="00F12285" w14:paraId="648865C3"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0C1071E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MJ14</w:t>
            </w:r>
          </w:p>
        </w:tc>
        <w:tc>
          <w:tcPr>
            <w:tcW w:w="1065" w:type="dxa"/>
            <w:tcBorders>
              <w:top w:val="nil"/>
              <w:left w:val="nil"/>
              <w:bottom w:val="nil"/>
              <w:right w:val="nil"/>
            </w:tcBorders>
            <w:tcMar>
              <w:top w:w="100" w:type="dxa"/>
              <w:left w:w="100" w:type="dxa"/>
              <w:bottom w:w="100" w:type="dxa"/>
              <w:right w:w="100" w:type="dxa"/>
            </w:tcMar>
            <w:vAlign w:val="center"/>
          </w:tcPr>
          <w:p w14:paraId="6DED44A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427000A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Fragment</w:t>
            </w:r>
          </w:p>
        </w:tc>
        <w:tc>
          <w:tcPr>
            <w:tcW w:w="1500" w:type="dxa"/>
            <w:tcBorders>
              <w:top w:val="nil"/>
              <w:left w:val="nil"/>
              <w:bottom w:val="nil"/>
              <w:right w:val="nil"/>
            </w:tcBorders>
            <w:tcMar>
              <w:top w:w="100" w:type="dxa"/>
              <w:left w:w="100" w:type="dxa"/>
              <w:bottom w:w="100" w:type="dxa"/>
              <w:right w:w="100" w:type="dxa"/>
            </w:tcMar>
            <w:vAlign w:val="center"/>
          </w:tcPr>
          <w:p w14:paraId="5DD4F66E"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4DFEC0E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Horse</w:t>
            </w:r>
          </w:p>
        </w:tc>
        <w:tc>
          <w:tcPr>
            <w:tcW w:w="645" w:type="dxa"/>
            <w:tcBorders>
              <w:top w:val="nil"/>
              <w:left w:val="nil"/>
              <w:bottom w:val="nil"/>
              <w:right w:val="nil"/>
            </w:tcBorders>
            <w:tcMar>
              <w:top w:w="100" w:type="dxa"/>
              <w:left w:w="80" w:type="dxa"/>
              <w:bottom w:w="100" w:type="dxa"/>
              <w:right w:w="80" w:type="dxa"/>
            </w:tcMar>
          </w:tcPr>
          <w:p w14:paraId="413B9A8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w:t>
            </w:r>
          </w:p>
        </w:tc>
        <w:tc>
          <w:tcPr>
            <w:tcW w:w="630" w:type="dxa"/>
            <w:tcBorders>
              <w:top w:val="nil"/>
              <w:left w:val="nil"/>
              <w:bottom w:val="nil"/>
              <w:right w:val="nil"/>
            </w:tcBorders>
            <w:tcMar>
              <w:top w:w="100" w:type="dxa"/>
              <w:left w:w="80" w:type="dxa"/>
              <w:bottom w:w="100" w:type="dxa"/>
              <w:right w:w="80" w:type="dxa"/>
            </w:tcMar>
          </w:tcPr>
          <w:p w14:paraId="26A374B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38.5</w:t>
            </w:r>
          </w:p>
        </w:tc>
        <w:tc>
          <w:tcPr>
            <w:tcW w:w="750" w:type="dxa"/>
            <w:tcBorders>
              <w:top w:val="nil"/>
              <w:left w:val="nil"/>
              <w:bottom w:val="nil"/>
              <w:right w:val="nil"/>
            </w:tcBorders>
            <w:tcMar>
              <w:top w:w="100" w:type="dxa"/>
              <w:left w:w="80" w:type="dxa"/>
              <w:bottom w:w="100" w:type="dxa"/>
              <w:right w:w="80" w:type="dxa"/>
            </w:tcMar>
          </w:tcPr>
          <w:p w14:paraId="67C0BA1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13.8</w:t>
            </w:r>
          </w:p>
        </w:tc>
        <w:tc>
          <w:tcPr>
            <w:tcW w:w="960" w:type="dxa"/>
            <w:tcBorders>
              <w:top w:val="nil"/>
              <w:left w:val="nil"/>
              <w:bottom w:val="nil"/>
              <w:right w:val="nil"/>
            </w:tcBorders>
            <w:tcMar>
              <w:top w:w="100" w:type="dxa"/>
              <w:left w:w="80" w:type="dxa"/>
              <w:bottom w:w="100" w:type="dxa"/>
              <w:right w:w="80" w:type="dxa"/>
            </w:tcMar>
          </w:tcPr>
          <w:p w14:paraId="67AFCDA2"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3.3</w:t>
            </w:r>
          </w:p>
        </w:tc>
        <w:tc>
          <w:tcPr>
            <w:tcW w:w="870" w:type="dxa"/>
            <w:tcBorders>
              <w:top w:val="nil"/>
              <w:left w:val="nil"/>
              <w:bottom w:val="nil"/>
              <w:right w:val="nil"/>
            </w:tcBorders>
            <w:tcMar>
              <w:top w:w="100" w:type="dxa"/>
              <w:left w:w="80" w:type="dxa"/>
              <w:bottom w:w="100" w:type="dxa"/>
              <w:right w:w="80" w:type="dxa"/>
            </w:tcMar>
          </w:tcPr>
          <w:p w14:paraId="5E70B26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-21.4</w:t>
            </w:r>
          </w:p>
        </w:tc>
        <w:tc>
          <w:tcPr>
            <w:tcW w:w="855" w:type="dxa"/>
            <w:tcBorders>
              <w:top w:val="nil"/>
              <w:left w:val="nil"/>
              <w:bottom w:val="nil"/>
              <w:right w:val="nil"/>
            </w:tcBorders>
            <w:tcMar>
              <w:top w:w="100" w:type="dxa"/>
              <w:left w:w="80" w:type="dxa"/>
              <w:bottom w:w="100" w:type="dxa"/>
              <w:right w:w="80" w:type="dxa"/>
            </w:tcMar>
          </w:tcPr>
          <w:p w14:paraId="2479824C"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3.8</w:t>
            </w:r>
          </w:p>
        </w:tc>
      </w:tr>
      <w:tr w:rsidR="00F12285" w14:paraId="27B2023E"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5FB4E6F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MJ15</w:t>
            </w:r>
          </w:p>
        </w:tc>
        <w:tc>
          <w:tcPr>
            <w:tcW w:w="1065" w:type="dxa"/>
            <w:tcBorders>
              <w:top w:val="nil"/>
              <w:left w:val="nil"/>
              <w:bottom w:val="nil"/>
              <w:right w:val="nil"/>
            </w:tcBorders>
            <w:tcMar>
              <w:top w:w="100" w:type="dxa"/>
              <w:left w:w="100" w:type="dxa"/>
              <w:bottom w:w="100" w:type="dxa"/>
              <w:right w:w="100" w:type="dxa"/>
            </w:tcMar>
            <w:vAlign w:val="center"/>
          </w:tcPr>
          <w:p w14:paraId="3A0D9EF9"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379878FF"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Phalanx II</w:t>
            </w:r>
          </w:p>
        </w:tc>
        <w:tc>
          <w:tcPr>
            <w:tcW w:w="1500" w:type="dxa"/>
            <w:tcBorders>
              <w:top w:val="nil"/>
              <w:left w:val="nil"/>
              <w:bottom w:val="nil"/>
              <w:right w:val="nil"/>
            </w:tcBorders>
            <w:tcMar>
              <w:top w:w="100" w:type="dxa"/>
              <w:left w:w="100" w:type="dxa"/>
              <w:bottom w:w="100" w:type="dxa"/>
              <w:right w:w="100" w:type="dxa"/>
            </w:tcMar>
            <w:vAlign w:val="center"/>
          </w:tcPr>
          <w:p w14:paraId="6F668D8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1110" w:type="dxa"/>
            <w:tcBorders>
              <w:top w:val="nil"/>
              <w:left w:val="nil"/>
              <w:bottom w:val="nil"/>
              <w:right w:val="nil"/>
            </w:tcBorders>
            <w:tcMar>
              <w:top w:w="100" w:type="dxa"/>
              <w:left w:w="100" w:type="dxa"/>
              <w:bottom w:w="100" w:type="dxa"/>
              <w:right w:w="100" w:type="dxa"/>
            </w:tcMar>
            <w:vAlign w:val="center"/>
          </w:tcPr>
          <w:p w14:paraId="4C4F508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645" w:type="dxa"/>
            <w:tcBorders>
              <w:top w:val="nil"/>
              <w:left w:val="nil"/>
              <w:bottom w:val="nil"/>
              <w:right w:val="nil"/>
            </w:tcBorders>
            <w:tcMar>
              <w:top w:w="100" w:type="dxa"/>
              <w:left w:w="80" w:type="dxa"/>
              <w:bottom w:w="100" w:type="dxa"/>
              <w:right w:w="80" w:type="dxa"/>
            </w:tcMar>
          </w:tcPr>
          <w:p w14:paraId="19D1FE2D"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14.3</w:t>
            </w:r>
          </w:p>
        </w:tc>
        <w:tc>
          <w:tcPr>
            <w:tcW w:w="630" w:type="dxa"/>
            <w:tcBorders>
              <w:top w:val="nil"/>
              <w:left w:val="nil"/>
              <w:bottom w:val="nil"/>
              <w:right w:val="nil"/>
            </w:tcBorders>
            <w:tcMar>
              <w:top w:w="100" w:type="dxa"/>
              <w:left w:w="80" w:type="dxa"/>
              <w:bottom w:w="100" w:type="dxa"/>
              <w:right w:w="80" w:type="dxa"/>
            </w:tcMar>
          </w:tcPr>
          <w:p w14:paraId="2810CCB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44.6</w:t>
            </w:r>
          </w:p>
        </w:tc>
        <w:tc>
          <w:tcPr>
            <w:tcW w:w="750" w:type="dxa"/>
            <w:tcBorders>
              <w:top w:val="nil"/>
              <w:left w:val="nil"/>
              <w:bottom w:val="nil"/>
              <w:right w:val="nil"/>
            </w:tcBorders>
            <w:tcMar>
              <w:top w:w="100" w:type="dxa"/>
              <w:left w:w="80" w:type="dxa"/>
              <w:bottom w:w="100" w:type="dxa"/>
              <w:right w:w="80" w:type="dxa"/>
            </w:tcMar>
          </w:tcPr>
          <w:p w14:paraId="278AE73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16.3</w:t>
            </w:r>
          </w:p>
        </w:tc>
        <w:tc>
          <w:tcPr>
            <w:tcW w:w="960" w:type="dxa"/>
            <w:tcBorders>
              <w:top w:val="nil"/>
              <w:left w:val="nil"/>
              <w:bottom w:val="nil"/>
              <w:right w:val="nil"/>
            </w:tcBorders>
            <w:tcMar>
              <w:top w:w="100" w:type="dxa"/>
              <w:left w:w="80" w:type="dxa"/>
              <w:bottom w:w="100" w:type="dxa"/>
              <w:right w:w="80" w:type="dxa"/>
            </w:tcMar>
          </w:tcPr>
          <w:p w14:paraId="16D6100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2D32134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-20.5</w:t>
            </w:r>
          </w:p>
        </w:tc>
        <w:tc>
          <w:tcPr>
            <w:tcW w:w="855" w:type="dxa"/>
            <w:tcBorders>
              <w:top w:val="nil"/>
              <w:left w:val="nil"/>
              <w:bottom w:val="nil"/>
              <w:right w:val="nil"/>
            </w:tcBorders>
            <w:tcMar>
              <w:top w:w="100" w:type="dxa"/>
              <w:left w:w="80" w:type="dxa"/>
              <w:bottom w:w="100" w:type="dxa"/>
              <w:right w:w="80" w:type="dxa"/>
            </w:tcMar>
          </w:tcPr>
          <w:p w14:paraId="751AFEE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6.2</w:t>
            </w:r>
          </w:p>
        </w:tc>
      </w:tr>
      <w:tr w:rsidR="00F12285" w14:paraId="376CA8FA"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730CD70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MJ16</w:t>
            </w:r>
          </w:p>
        </w:tc>
        <w:tc>
          <w:tcPr>
            <w:tcW w:w="1065" w:type="dxa"/>
            <w:tcBorders>
              <w:top w:val="nil"/>
              <w:left w:val="nil"/>
              <w:bottom w:val="nil"/>
              <w:right w:val="nil"/>
            </w:tcBorders>
            <w:tcMar>
              <w:top w:w="100" w:type="dxa"/>
              <w:left w:w="100" w:type="dxa"/>
              <w:bottom w:w="100" w:type="dxa"/>
              <w:right w:w="100" w:type="dxa"/>
            </w:tcMar>
            <w:vAlign w:val="center"/>
          </w:tcPr>
          <w:p w14:paraId="4EA1B42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2C88439C"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Phalanx III</w:t>
            </w:r>
          </w:p>
        </w:tc>
        <w:tc>
          <w:tcPr>
            <w:tcW w:w="1500" w:type="dxa"/>
            <w:tcBorders>
              <w:top w:val="nil"/>
              <w:left w:val="nil"/>
              <w:bottom w:val="nil"/>
              <w:right w:val="nil"/>
            </w:tcBorders>
            <w:tcMar>
              <w:top w:w="100" w:type="dxa"/>
              <w:left w:w="100" w:type="dxa"/>
              <w:bottom w:w="100" w:type="dxa"/>
              <w:right w:w="100" w:type="dxa"/>
            </w:tcMar>
            <w:vAlign w:val="center"/>
          </w:tcPr>
          <w:p w14:paraId="0296878D"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1110" w:type="dxa"/>
            <w:tcBorders>
              <w:top w:val="nil"/>
              <w:left w:val="nil"/>
              <w:bottom w:val="nil"/>
              <w:right w:val="nil"/>
            </w:tcBorders>
            <w:tcMar>
              <w:top w:w="100" w:type="dxa"/>
              <w:left w:w="100" w:type="dxa"/>
              <w:bottom w:w="100" w:type="dxa"/>
              <w:right w:w="100" w:type="dxa"/>
            </w:tcMar>
            <w:vAlign w:val="center"/>
          </w:tcPr>
          <w:p w14:paraId="63DAD17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Cattle</w:t>
            </w:r>
          </w:p>
        </w:tc>
        <w:tc>
          <w:tcPr>
            <w:tcW w:w="645" w:type="dxa"/>
            <w:tcBorders>
              <w:top w:val="nil"/>
              <w:left w:val="nil"/>
              <w:bottom w:val="nil"/>
              <w:right w:val="nil"/>
            </w:tcBorders>
            <w:tcMar>
              <w:top w:w="100" w:type="dxa"/>
              <w:left w:w="80" w:type="dxa"/>
              <w:bottom w:w="100" w:type="dxa"/>
              <w:right w:w="80" w:type="dxa"/>
            </w:tcMar>
          </w:tcPr>
          <w:p w14:paraId="5CA2804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15.6</w:t>
            </w:r>
          </w:p>
        </w:tc>
        <w:tc>
          <w:tcPr>
            <w:tcW w:w="630" w:type="dxa"/>
            <w:tcBorders>
              <w:top w:val="nil"/>
              <w:left w:val="nil"/>
              <w:bottom w:val="nil"/>
              <w:right w:val="nil"/>
            </w:tcBorders>
            <w:tcMar>
              <w:top w:w="100" w:type="dxa"/>
              <w:left w:w="80" w:type="dxa"/>
              <w:bottom w:w="100" w:type="dxa"/>
              <w:right w:w="80" w:type="dxa"/>
            </w:tcMar>
          </w:tcPr>
          <w:p w14:paraId="611FD731"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44.0</w:t>
            </w:r>
          </w:p>
        </w:tc>
        <w:tc>
          <w:tcPr>
            <w:tcW w:w="750" w:type="dxa"/>
            <w:tcBorders>
              <w:top w:val="nil"/>
              <w:left w:val="nil"/>
              <w:bottom w:val="nil"/>
              <w:right w:val="nil"/>
            </w:tcBorders>
            <w:tcMar>
              <w:top w:w="100" w:type="dxa"/>
              <w:left w:w="80" w:type="dxa"/>
              <w:bottom w:w="100" w:type="dxa"/>
              <w:right w:w="80" w:type="dxa"/>
            </w:tcMar>
          </w:tcPr>
          <w:p w14:paraId="1D8F63D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16.1</w:t>
            </w:r>
          </w:p>
        </w:tc>
        <w:tc>
          <w:tcPr>
            <w:tcW w:w="960" w:type="dxa"/>
            <w:tcBorders>
              <w:top w:val="nil"/>
              <w:left w:val="nil"/>
              <w:bottom w:val="nil"/>
              <w:right w:val="nil"/>
            </w:tcBorders>
            <w:tcMar>
              <w:top w:w="100" w:type="dxa"/>
              <w:left w:w="80" w:type="dxa"/>
              <w:bottom w:w="100" w:type="dxa"/>
              <w:right w:w="80" w:type="dxa"/>
            </w:tcMar>
          </w:tcPr>
          <w:p w14:paraId="20F7192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428D07B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-20.7</w:t>
            </w:r>
          </w:p>
        </w:tc>
        <w:tc>
          <w:tcPr>
            <w:tcW w:w="855" w:type="dxa"/>
            <w:tcBorders>
              <w:top w:val="nil"/>
              <w:left w:val="nil"/>
              <w:bottom w:val="nil"/>
              <w:right w:val="nil"/>
            </w:tcBorders>
            <w:tcMar>
              <w:top w:w="100" w:type="dxa"/>
              <w:left w:w="80" w:type="dxa"/>
              <w:bottom w:w="100" w:type="dxa"/>
              <w:right w:w="80" w:type="dxa"/>
            </w:tcMar>
          </w:tcPr>
          <w:p w14:paraId="376EF9A9"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6.6</w:t>
            </w:r>
          </w:p>
        </w:tc>
      </w:tr>
      <w:tr w:rsidR="00F12285" w14:paraId="4AA386F3"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5E9B5DD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MJ17</w:t>
            </w:r>
          </w:p>
        </w:tc>
        <w:tc>
          <w:tcPr>
            <w:tcW w:w="1065" w:type="dxa"/>
            <w:tcBorders>
              <w:top w:val="nil"/>
              <w:left w:val="nil"/>
              <w:bottom w:val="nil"/>
              <w:right w:val="nil"/>
            </w:tcBorders>
            <w:tcMar>
              <w:top w:w="100" w:type="dxa"/>
              <w:left w:w="100" w:type="dxa"/>
              <w:bottom w:w="100" w:type="dxa"/>
              <w:right w:w="100" w:type="dxa"/>
            </w:tcMar>
            <w:vAlign w:val="center"/>
          </w:tcPr>
          <w:p w14:paraId="096B7426"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7A537905"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Vertebra</w:t>
            </w:r>
          </w:p>
        </w:tc>
        <w:tc>
          <w:tcPr>
            <w:tcW w:w="1500" w:type="dxa"/>
            <w:tcBorders>
              <w:top w:val="nil"/>
              <w:left w:val="nil"/>
              <w:bottom w:val="nil"/>
              <w:right w:val="nil"/>
            </w:tcBorders>
            <w:tcMar>
              <w:top w:w="100" w:type="dxa"/>
              <w:left w:w="100" w:type="dxa"/>
              <w:bottom w:w="100" w:type="dxa"/>
              <w:right w:w="100" w:type="dxa"/>
            </w:tcMar>
            <w:vAlign w:val="center"/>
          </w:tcPr>
          <w:p w14:paraId="6F569CE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nil"/>
              <w:right w:val="nil"/>
            </w:tcBorders>
            <w:tcMar>
              <w:top w:w="100" w:type="dxa"/>
              <w:left w:w="100" w:type="dxa"/>
              <w:bottom w:w="100" w:type="dxa"/>
              <w:right w:w="100" w:type="dxa"/>
            </w:tcMar>
            <w:vAlign w:val="center"/>
          </w:tcPr>
          <w:p w14:paraId="68CDBC34"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Dog/Wolf</w:t>
            </w:r>
          </w:p>
        </w:tc>
        <w:tc>
          <w:tcPr>
            <w:tcW w:w="645" w:type="dxa"/>
            <w:tcBorders>
              <w:top w:val="nil"/>
              <w:left w:val="nil"/>
              <w:bottom w:val="nil"/>
              <w:right w:val="nil"/>
            </w:tcBorders>
            <w:tcMar>
              <w:top w:w="100" w:type="dxa"/>
              <w:left w:w="80" w:type="dxa"/>
              <w:bottom w:w="100" w:type="dxa"/>
              <w:right w:w="80" w:type="dxa"/>
            </w:tcMar>
          </w:tcPr>
          <w:p w14:paraId="37BA0DF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13.1</w:t>
            </w:r>
          </w:p>
        </w:tc>
        <w:tc>
          <w:tcPr>
            <w:tcW w:w="630" w:type="dxa"/>
            <w:tcBorders>
              <w:top w:val="nil"/>
              <w:left w:val="nil"/>
              <w:bottom w:val="nil"/>
              <w:right w:val="nil"/>
            </w:tcBorders>
            <w:tcMar>
              <w:top w:w="100" w:type="dxa"/>
              <w:left w:w="80" w:type="dxa"/>
              <w:bottom w:w="100" w:type="dxa"/>
              <w:right w:w="80" w:type="dxa"/>
            </w:tcMar>
          </w:tcPr>
          <w:p w14:paraId="77B6152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43.7</w:t>
            </w:r>
          </w:p>
        </w:tc>
        <w:tc>
          <w:tcPr>
            <w:tcW w:w="750" w:type="dxa"/>
            <w:tcBorders>
              <w:top w:val="nil"/>
              <w:left w:val="nil"/>
              <w:bottom w:val="nil"/>
              <w:right w:val="nil"/>
            </w:tcBorders>
            <w:tcMar>
              <w:top w:w="100" w:type="dxa"/>
              <w:left w:w="80" w:type="dxa"/>
              <w:bottom w:w="100" w:type="dxa"/>
              <w:right w:w="80" w:type="dxa"/>
            </w:tcMar>
          </w:tcPr>
          <w:p w14:paraId="1F56F00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15.9</w:t>
            </w:r>
          </w:p>
        </w:tc>
        <w:tc>
          <w:tcPr>
            <w:tcW w:w="960" w:type="dxa"/>
            <w:tcBorders>
              <w:top w:val="nil"/>
              <w:left w:val="nil"/>
              <w:bottom w:val="nil"/>
              <w:right w:val="nil"/>
            </w:tcBorders>
            <w:tcMar>
              <w:top w:w="100" w:type="dxa"/>
              <w:left w:w="80" w:type="dxa"/>
              <w:bottom w:w="100" w:type="dxa"/>
              <w:right w:w="80" w:type="dxa"/>
            </w:tcMar>
          </w:tcPr>
          <w:p w14:paraId="6544366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nil"/>
              <w:right w:val="nil"/>
            </w:tcBorders>
            <w:tcMar>
              <w:top w:w="100" w:type="dxa"/>
              <w:left w:w="80" w:type="dxa"/>
              <w:bottom w:w="100" w:type="dxa"/>
              <w:right w:w="80" w:type="dxa"/>
            </w:tcMar>
          </w:tcPr>
          <w:p w14:paraId="04E80E2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-18.8</w:t>
            </w:r>
          </w:p>
        </w:tc>
        <w:tc>
          <w:tcPr>
            <w:tcW w:w="855" w:type="dxa"/>
            <w:tcBorders>
              <w:top w:val="nil"/>
              <w:left w:val="nil"/>
              <w:bottom w:val="nil"/>
              <w:right w:val="nil"/>
            </w:tcBorders>
            <w:tcMar>
              <w:top w:w="100" w:type="dxa"/>
              <w:left w:w="80" w:type="dxa"/>
              <w:bottom w:w="100" w:type="dxa"/>
              <w:right w:w="80" w:type="dxa"/>
            </w:tcMar>
          </w:tcPr>
          <w:p w14:paraId="55737D8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9.2</w:t>
            </w:r>
          </w:p>
        </w:tc>
      </w:tr>
      <w:tr w:rsidR="00F12285" w14:paraId="6B2427FB" w14:textId="77777777" w:rsidTr="00C552DC">
        <w:trPr>
          <w:trHeight w:val="440"/>
        </w:trPr>
        <w:tc>
          <w:tcPr>
            <w:tcW w:w="720" w:type="dxa"/>
            <w:tcBorders>
              <w:top w:val="nil"/>
              <w:left w:val="nil"/>
              <w:bottom w:val="nil"/>
              <w:right w:val="nil"/>
            </w:tcBorders>
            <w:tcMar>
              <w:top w:w="20" w:type="dxa"/>
              <w:left w:w="20" w:type="dxa"/>
              <w:bottom w:w="20" w:type="dxa"/>
              <w:right w:w="20" w:type="dxa"/>
            </w:tcMar>
            <w:vAlign w:val="center"/>
          </w:tcPr>
          <w:p w14:paraId="7E7CE91F"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MJ19</w:t>
            </w:r>
          </w:p>
        </w:tc>
        <w:tc>
          <w:tcPr>
            <w:tcW w:w="1065" w:type="dxa"/>
            <w:tcBorders>
              <w:top w:val="nil"/>
              <w:left w:val="nil"/>
              <w:bottom w:val="nil"/>
              <w:right w:val="nil"/>
            </w:tcBorders>
            <w:tcMar>
              <w:top w:w="100" w:type="dxa"/>
              <w:left w:w="100" w:type="dxa"/>
              <w:bottom w:w="100" w:type="dxa"/>
              <w:right w:w="100" w:type="dxa"/>
            </w:tcMar>
            <w:vAlign w:val="center"/>
          </w:tcPr>
          <w:p w14:paraId="19084A1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nil"/>
              <w:right w:val="nil"/>
            </w:tcBorders>
            <w:tcMar>
              <w:top w:w="100" w:type="dxa"/>
              <w:left w:w="100" w:type="dxa"/>
              <w:bottom w:w="100" w:type="dxa"/>
              <w:right w:w="100" w:type="dxa"/>
            </w:tcMar>
            <w:vAlign w:val="center"/>
          </w:tcPr>
          <w:p w14:paraId="6E0F29B2"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Mandible</w:t>
            </w:r>
          </w:p>
        </w:tc>
        <w:tc>
          <w:tcPr>
            <w:tcW w:w="1500" w:type="dxa"/>
            <w:tcBorders>
              <w:top w:val="nil"/>
              <w:left w:val="nil"/>
              <w:bottom w:val="nil"/>
              <w:right w:val="nil"/>
            </w:tcBorders>
            <w:tcMar>
              <w:top w:w="100" w:type="dxa"/>
              <w:left w:w="100" w:type="dxa"/>
              <w:bottom w:w="100" w:type="dxa"/>
              <w:right w:w="100" w:type="dxa"/>
            </w:tcMar>
            <w:vAlign w:val="center"/>
          </w:tcPr>
          <w:p w14:paraId="56BF8D9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Sheep/Goat</w:t>
            </w:r>
          </w:p>
        </w:tc>
        <w:tc>
          <w:tcPr>
            <w:tcW w:w="1110" w:type="dxa"/>
            <w:tcBorders>
              <w:top w:val="nil"/>
              <w:left w:val="nil"/>
              <w:bottom w:val="nil"/>
              <w:right w:val="nil"/>
            </w:tcBorders>
            <w:tcMar>
              <w:top w:w="100" w:type="dxa"/>
              <w:left w:w="100" w:type="dxa"/>
              <w:bottom w:w="100" w:type="dxa"/>
              <w:right w:w="100" w:type="dxa"/>
            </w:tcMar>
            <w:vAlign w:val="center"/>
          </w:tcPr>
          <w:p w14:paraId="0DA7EAD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Goat</w:t>
            </w:r>
          </w:p>
        </w:tc>
        <w:tc>
          <w:tcPr>
            <w:tcW w:w="645" w:type="dxa"/>
            <w:tcBorders>
              <w:top w:val="nil"/>
              <w:left w:val="nil"/>
              <w:bottom w:val="nil"/>
              <w:right w:val="nil"/>
            </w:tcBorders>
            <w:tcMar>
              <w:top w:w="100" w:type="dxa"/>
              <w:left w:w="80" w:type="dxa"/>
              <w:bottom w:w="100" w:type="dxa"/>
              <w:right w:w="80" w:type="dxa"/>
            </w:tcMar>
          </w:tcPr>
          <w:p w14:paraId="7DE92626"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5.8</w:t>
            </w:r>
          </w:p>
        </w:tc>
        <w:tc>
          <w:tcPr>
            <w:tcW w:w="630" w:type="dxa"/>
            <w:tcBorders>
              <w:top w:val="nil"/>
              <w:left w:val="nil"/>
              <w:bottom w:val="nil"/>
              <w:right w:val="nil"/>
            </w:tcBorders>
            <w:tcMar>
              <w:top w:w="100" w:type="dxa"/>
              <w:left w:w="80" w:type="dxa"/>
              <w:bottom w:w="100" w:type="dxa"/>
              <w:right w:w="80" w:type="dxa"/>
            </w:tcMar>
          </w:tcPr>
          <w:p w14:paraId="74697D2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41.2</w:t>
            </w:r>
          </w:p>
        </w:tc>
        <w:tc>
          <w:tcPr>
            <w:tcW w:w="750" w:type="dxa"/>
            <w:tcBorders>
              <w:top w:val="nil"/>
              <w:left w:val="nil"/>
              <w:bottom w:val="nil"/>
              <w:right w:val="nil"/>
            </w:tcBorders>
            <w:tcMar>
              <w:top w:w="100" w:type="dxa"/>
              <w:left w:w="80" w:type="dxa"/>
              <w:bottom w:w="100" w:type="dxa"/>
              <w:right w:w="80" w:type="dxa"/>
            </w:tcMar>
          </w:tcPr>
          <w:p w14:paraId="0DF3636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14.7</w:t>
            </w:r>
          </w:p>
        </w:tc>
        <w:tc>
          <w:tcPr>
            <w:tcW w:w="960" w:type="dxa"/>
            <w:tcBorders>
              <w:top w:val="nil"/>
              <w:left w:val="nil"/>
              <w:bottom w:val="nil"/>
              <w:right w:val="nil"/>
            </w:tcBorders>
            <w:tcMar>
              <w:top w:w="100" w:type="dxa"/>
              <w:left w:w="80" w:type="dxa"/>
              <w:bottom w:w="100" w:type="dxa"/>
              <w:right w:w="80" w:type="dxa"/>
            </w:tcMar>
          </w:tcPr>
          <w:p w14:paraId="4D38B08B"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3.3</w:t>
            </w:r>
          </w:p>
        </w:tc>
        <w:tc>
          <w:tcPr>
            <w:tcW w:w="870" w:type="dxa"/>
            <w:tcBorders>
              <w:top w:val="nil"/>
              <w:left w:val="nil"/>
              <w:bottom w:val="nil"/>
              <w:right w:val="nil"/>
            </w:tcBorders>
            <w:tcMar>
              <w:top w:w="100" w:type="dxa"/>
              <w:left w:w="80" w:type="dxa"/>
              <w:bottom w:w="100" w:type="dxa"/>
              <w:right w:w="80" w:type="dxa"/>
            </w:tcMar>
          </w:tcPr>
          <w:p w14:paraId="12D9ADB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-20.7</w:t>
            </w:r>
          </w:p>
        </w:tc>
        <w:tc>
          <w:tcPr>
            <w:tcW w:w="855" w:type="dxa"/>
            <w:tcBorders>
              <w:top w:val="nil"/>
              <w:left w:val="nil"/>
              <w:bottom w:val="nil"/>
              <w:right w:val="nil"/>
            </w:tcBorders>
            <w:tcMar>
              <w:top w:w="100" w:type="dxa"/>
              <w:left w:w="80" w:type="dxa"/>
              <w:bottom w:w="100" w:type="dxa"/>
              <w:right w:w="80" w:type="dxa"/>
            </w:tcMar>
          </w:tcPr>
          <w:p w14:paraId="43E9606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5.3</w:t>
            </w:r>
          </w:p>
        </w:tc>
      </w:tr>
      <w:tr w:rsidR="00F12285" w14:paraId="0A06E0CF" w14:textId="77777777" w:rsidTr="00C552DC">
        <w:trPr>
          <w:trHeight w:val="440"/>
        </w:trPr>
        <w:tc>
          <w:tcPr>
            <w:tcW w:w="720" w:type="dxa"/>
            <w:tcBorders>
              <w:top w:val="nil"/>
              <w:left w:val="nil"/>
              <w:bottom w:val="single" w:sz="8" w:space="0" w:color="000000"/>
              <w:right w:val="nil"/>
            </w:tcBorders>
            <w:tcMar>
              <w:top w:w="20" w:type="dxa"/>
              <w:left w:w="20" w:type="dxa"/>
              <w:bottom w:w="20" w:type="dxa"/>
              <w:right w:w="20" w:type="dxa"/>
            </w:tcMar>
            <w:vAlign w:val="center"/>
          </w:tcPr>
          <w:p w14:paraId="651EBCD8"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MJ20</w:t>
            </w:r>
          </w:p>
        </w:tc>
        <w:tc>
          <w:tcPr>
            <w:tcW w:w="1065" w:type="dxa"/>
            <w:tcBorders>
              <w:top w:val="nil"/>
              <w:left w:val="nil"/>
              <w:bottom w:val="single" w:sz="8" w:space="0" w:color="000000"/>
              <w:right w:val="nil"/>
            </w:tcBorders>
            <w:tcMar>
              <w:top w:w="100" w:type="dxa"/>
              <w:left w:w="100" w:type="dxa"/>
              <w:bottom w:w="100" w:type="dxa"/>
              <w:right w:w="100" w:type="dxa"/>
            </w:tcMar>
            <w:vAlign w:val="center"/>
          </w:tcPr>
          <w:p w14:paraId="673FA3A0"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Majaladares</w:t>
            </w:r>
          </w:p>
        </w:tc>
        <w:tc>
          <w:tcPr>
            <w:tcW w:w="1035" w:type="dxa"/>
            <w:tcBorders>
              <w:top w:val="nil"/>
              <w:left w:val="nil"/>
              <w:bottom w:val="single" w:sz="8" w:space="0" w:color="000000"/>
              <w:right w:val="nil"/>
            </w:tcBorders>
            <w:tcMar>
              <w:top w:w="100" w:type="dxa"/>
              <w:left w:w="100" w:type="dxa"/>
              <w:bottom w:w="100" w:type="dxa"/>
              <w:right w:w="100" w:type="dxa"/>
            </w:tcMar>
            <w:vAlign w:val="center"/>
          </w:tcPr>
          <w:p w14:paraId="0F752651"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Rib</w:t>
            </w:r>
          </w:p>
        </w:tc>
        <w:tc>
          <w:tcPr>
            <w:tcW w:w="1500" w:type="dxa"/>
            <w:tcBorders>
              <w:top w:val="nil"/>
              <w:left w:val="nil"/>
              <w:bottom w:val="single" w:sz="8" w:space="0" w:color="000000"/>
              <w:right w:val="nil"/>
            </w:tcBorders>
            <w:tcMar>
              <w:top w:w="100" w:type="dxa"/>
              <w:left w:w="100" w:type="dxa"/>
              <w:bottom w:w="100" w:type="dxa"/>
              <w:right w:w="100" w:type="dxa"/>
            </w:tcMar>
            <w:vAlign w:val="center"/>
          </w:tcPr>
          <w:p w14:paraId="1C4BA833"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Unidentified</w:t>
            </w:r>
          </w:p>
        </w:tc>
        <w:tc>
          <w:tcPr>
            <w:tcW w:w="1110" w:type="dxa"/>
            <w:tcBorders>
              <w:top w:val="nil"/>
              <w:left w:val="nil"/>
              <w:bottom w:val="single" w:sz="8" w:space="0" w:color="000000"/>
              <w:right w:val="nil"/>
            </w:tcBorders>
            <w:tcMar>
              <w:top w:w="100" w:type="dxa"/>
              <w:left w:w="100" w:type="dxa"/>
              <w:bottom w:w="100" w:type="dxa"/>
              <w:right w:w="100" w:type="dxa"/>
            </w:tcMar>
            <w:vAlign w:val="center"/>
          </w:tcPr>
          <w:p w14:paraId="1D807DE7" w14:textId="77777777" w:rsidR="00F12285" w:rsidRDefault="00F12285" w:rsidP="00C552DC">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Horse</w:t>
            </w:r>
          </w:p>
        </w:tc>
        <w:tc>
          <w:tcPr>
            <w:tcW w:w="645" w:type="dxa"/>
            <w:tcBorders>
              <w:top w:val="nil"/>
              <w:left w:val="nil"/>
              <w:bottom w:val="single" w:sz="8" w:space="0" w:color="000000"/>
              <w:right w:val="nil"/>
            </w:tcBorders>
            <w:tcMar>
              <w:top w:w="100" w:type="dxa"/>
              <w:left w:w="80" w:type="dxa"/>
              <w:bottom w:w="100" w:type="dxa"/>
              <w:right w:w="80" w:type="dxa"/>
            </w:tcMar>
          </w:tcPr>
          <w:p w14:paraId="656AC46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7.2</w:t>
            </w:r>
          </w:p>
        </w:tc>
        <w:tc>
          <w:tcPr>
            <w:tcW w:w="630" w:type="dxa"/>
            <w:tcBorders>
              <w:top w:val="nil"/>
              <w:left w:val="nil"/>
              <w:bottom w:val="single" w:sz="8" w:space="0" w:color="000000"/>
              <w:right w:val="nil"/>
            </w:tcBorders>
            <w:tcMar>
              <w:top w:w="100" w:type="dxa"/>
              <w:left w:w="80" w:type="dxa"/>
              <w:bottom w:w="100" w:type="dxa"/>
              <w:right w:w="80" w:type="dxa"/>
            </w:tcMar>
          </w:tcPr>
          <w:p w14:paraId="4BFEB50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45.1</w:t>
            </w:r>
          </w:p>
        </w:tc>
        <w:tc>
          <w:tcPr>
            <w:tcW w:w="750" w:type="dxa"/>
            <w:tcBorders>
              <w:top w:val="nil"/>
              <w:left w:val="nil"/>
              <w:bottom w:val="single" w:sz="8" w:space="0" w:color="000000"/>
              <w:right w:val="nil"/>
            </w:tcBorders>
            <w:tcMar>
              <w:top w:w="100" w:type="dxa"/>
              <w:left w:w="80" w:type="dxa"/>
              <w:bottom w:w="100" w:type="dxa"/>
              <w:right w:w="80" w:type="dxa"/>
            </w:tcMar>
          </w:tcPr>
          <w:p w14:paraId="0573E487"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16.3</w:t>
            </w:r>
          </w:p>
        </w:tc>
        <w:tc>
          <w:tcPr>
            <w:tcW w:w="960" w:type="dxa"/>
            <w:tcBorders>
              <w:top w:val="nil"/>
              <w:left w:val="nil"/>
              <w:bottom w:val="single" w:sz="8" w:space="0" w:color="000000"/>
              <w:right w:val="nil"/>
            </w:tcBorders>
            <w:tcMar>
              <w:top w:w="100" w:type="dxa"/>
              <w:left w:w="80" w:type="dxa"/>
              <w:bottom w:w="100" w:type="dxa"/>
              <w:right w:w="80" w:type="dxa"/>
            </w:tcMar>
          </w:tcPr>
          <w:p w14:paraId="4A12C2BE"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3.2</w:t>
            </w:r>
          </w:p>
        </w:tc>
        <w:tc>
          <w:tcPr>
            <w:tcW w:w="870" w:type="dxa"/>
            <w:tcBorders>
              <w:top w:val="nil"/>
              <w:left w:val="nil"/>
              <w:bottom w:val="single" w:sz="8" w:space="0" w:color="000000"/>
              <w:right w:val="nil"/>
            </w:tcBorders>
            <w:tcMar>
              <w:top w:w="100" w:type="dxa"/>
              <w:left w:w="80" w:type="dxa"/>
              <w:bottom w:w="100" w:type="dxa"/>
              <w:right w:w="80" w:type="dxa"/>
            </w:tcMar>
          </w:tcPr>
          <w:p w14:paraId="4CC5D99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-20.9</w:t>
            </w:r>
          </w:p>
        </w:tc>
        <w:tc>
          <w:tcPr>
            <w:tcW w:w="855" w:type="dxa"/>
            <w:tcBorders>
              <w:top w:val="nil"/>
              <w:left w:val="nil"/>
              <w:bottom w:val="single" w:sz="8" w:space="0" w:color="000000"/>
              <w:right w:val="nil"/>
            </w:tcBorders>
            <w:tcMar>
              <w:top w:w="100" w:type="dxa"/>
              <w:left w:w="80" w:type="dxa"/>
              <w:bottom w:w="100" w:type="dxa"/>
              <w:right w:w="80" w:type="dxa"/>
            </w:tcMar>
          </w:tcPr>
          <w:p w14:paraId="5D39B5F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3.7</w:t>
            </w:r>
          </w:p>
        </w:tc>
      </w:tr>
    </w:tbl>
    <w:p w14:paraId="44EB2663" w14:textId="77777777" w:rsidR="00F12285" w:rsidRDefault="00F12285" w:rsidP="00F12285">
      <w:pPr>
        <w:spacing w:line="240" w:lineRule="auto"/>
        <w:jc w:val="both"/>
        <w:rPr>
          <w:rFonts w:ascii="Calibri" w:eastAsia="Calibri" w:hAnsi="Calibri" w:cs="Calibri"/>
          <w:sz w:val="24"/>
          <w:szCs w:val="24"/>
          <w:highlight w:val="white"/>
        </w:rPr>
      </w:pPr>
      <w:r>
        <w:br w:type="page"/>
      </w:r>
    </w:p>
    <w:p w14:paraId="0C2C7EDB" w14:textId="77777777" w:rsidR="00F12285" w:rsidRDefault="00F12285" w:rsidP="00F12285">
      <w:pPr>
        <w:spacing w:line="240" w:lineRule="auto"/>
        <w:rPr>
          <w:rFonts w:ascii="Calibri" w:eastAsia="Calibri" w:hAnsi="Calibri" w:cs="Calibri"/>
          <w:highlight w:val="white"/>
        </w:rPr>
      </w:pPr>
      <w:r>
        <w:rPr>
          <w:rFonts w:ascii="Calibri" w:eastAsia="Calibri" w:hAnsi="Calibri" w:cs="Calibri"/>
          <w:b/>
          <w:highlight w:val="white"/>
        </w:rPr>
        <w:lastRenderedPageBreak/>
        <w:t>Table 4</w:t>
      </w:r>
      <w:r>
        <w:rPr>
          <w:rFonts w:ascii="Calibri" w:eastAsia="Calibri" w:hAnsi="Calibri" w:cs="Calibri"/>
          <w:highlight w:val="white"/>
        </w:rPr>
        <w:t xml:space="preserve"> Summary statistics with Number of individuals (N), Mean (M), Median (Mdn), Standard Deviation (SD), Minimum (Min) and Maximum (Max) of the isotopic values of human and animal remains</w:t>
      </w:r>
    </w:p>
    <w:p w14:paraId="220B57B3" w14:textId="77777777" w:rsidR="00F12285" w:rsidRDefault="00F12285" w:rsidP="00F12285">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 </w:t>
      </w:r>
    </w:p>
    <w:tbl>
      <w:tblPr>
        <w:tblStyle w:val="af0"/>
        <w:tblW w:w="10464" w:type="dxa"/>
        <w:tblBorders>
          <w:top w:val="nil"/>
          <w:left w:val="nil"/>
          <w:bottom w:val="nil"/>
          <w:right w:val="nil"/>
          <w:insideH w:val="nil"/>
          <w:insideV w:val="nil"/>
        </w:tblBorders>
        <w:tblLayout w:type="fixed"/>
        <w:tblLook w:val="0600" w:firstRow="0" w:lastRow="0" w:firstColumn="0" w:lastColumn="0" w:noHBand="1" w:noVBand="1"/>
      </w:tblPr>
      <w:tblGrid>
        <w:gridCol w:w="1018"/>
        <w:gridCol w:w="974"/>
        <w:gridCol w:w="974"/>
        <w:gridCol w:w="854"/>
        <w:gridCol w:w="853"/>
        <w:gridCol w:w="808"/>
        <w:gridCol w:w="808"/>
        <w:gridCol w:w="928"/>
        <w:gridCol w:w="928"/>
        <w:gridCol w:w="928"/>
        <w:gridCol w:w="658"/>
        <w:gridCol w:w="733"/>
      </w:tblGrid>
      <w:tr w:rsidR="00F12285" w14:paraId="418B3386" w14:textId="77777777" w:rsidTr="00C552DC">
        <w:trPr>
          <w:trHeight w:val="340"/>
        </w:trPr>
        <w:tc>
          <w:tcPr>
            <w:tcW w:w="1019" w:type="dxa"/>
            <w:tcBorders>
              <w:top w:val="single" w:sz="8" w:space="0" w:color="000000"/>
              <w:left w:val="nil"/>
              <w:bottom w:val="single" w:sz="8" w:space="0" w:color="000000"/>
              <w:right w:val="nil"/>
            </w:tcBorders>
            <w:tcMar>
              <w:top w:w="100" w:type="dxa"/>
              <w:left w:w="100" w:type="dxa"/>
              <w:bottom w:w="100" w:type="dxa"/>
              <w:right w:w="100" w:type="dxa"/>
            </w:tcMar>
          </w:tcPr>
          <w:p w14:paraId="28303416"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 </w:t>
            </w:r>
          </w:p>
        </w:tc>
        <w:tc>
          <w:tcPr>
            <w:tcW w:w="974" w:type="dxa"/>
            <w:tcBorders>
              <w:top w:val="single" w:sz="4" w:space="0" w:color="000000"/>
              <w:left w:val="nil"/>
              <w:bottom w:val="single" w:sz="8" w:space="0" w:color="000000"/>
              <w:right w:val="nil"/>
            </w:tcBorders>
          </w:tcPr>
          <w:p w14:paraId="5C4B0376" w14:textId="77777777" w:rsidR="00F12285" w:rsidRDefault="00F12285" w:rsidP="00C552DC">
            <w:pPr>
              <w:spacing w:line="240" w:lineRule="auto"/>
              <w:rPr>
                <w:rFonts w:ascii="Calibri" w:eastAsia="Calibri" w:hAnsi="Calibri" w:cs="Calibri"/>
                <w:b/>
                <w:sz w:val="20"/>
                <w:szCs w:val="20"/>
                <w:highlight w:val="white"/>
              </w:rPr>
            </w:pPr>
          </w:p>
        </w:tc>
        <w:tc>
          <w:tcPr>
            <w:tcW w:w="4297" w:type="dxa"/>
            <w:gridSpan w:val="5"/>
            <w:tcBorders>
              <w:top w:val="single" w:sz="4" w:space="0" w:color="000000"/>
              <w:left w:val="nil"/>
              <w:bottom w:val="single" w:sz="8" w:space="0" w:color="000000"/>
              <w:right w:val="nil"/>
            </w:tcBorders>
          </w:tcPr>
          <w:p w14:paraId="44D0AD0B"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δ13C (‰)</w:t>
            </w:r>
          </w:p>
        </w:tc>
        <w:tc>
          <w:tcPr>
            <w:tcW w:w="4175" w:type="dxa"/>
            <w:gridSpan w:val="5"/>
            <w:tcBorders>
              <w:top w:val="single" w:sz="4" w:space="0" w:color="000000"/>
              <w:left w:val="nil"/>
              <w:bottom w:val="single" w:sz="8" w:space="0" w:color="000000"/>
              <w:right w:val="nil"/>
            </w:tcBorders>
          </w:tcPr>
          <w:p w14:paraId="148B5D69"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δ</w:t>
            </w:r>
            <w:r>
              <w:rPr>
                <w:rFonts w:ascii="Calibri" w:eastAsia="Calibri" w:hAnsi="Calibri" w:cs="Calibri"/>
                <w:b/>
                <w:sz w:val="20"/>
                <w:szCs w:val="20"/>
                <w:highlight w:val="white"/>
                <w:vertAlign w:val="superscript"/>
              </w:rPr>
              <w:t>15</w:t>
            </w:r>
            <w:r>
              <w:rPr>
                <w:rFonts w:ascii="Calibri" w:eastAsia="Calibri" w:hAnsi="Calibri" w:cs="Calibri"/>
                <w:b/>
                <w:sz w:val="20"/>
                <w:szCs w:val="20"/>
                <w:highlight w:val="white"/>
              </w:rPr>
              <w:t>N (‰)</w:t>
            </w:r>
          </w:p>
        </w:tc>
      </w:tr>
      <w:tr w:rsidR="00F12285" w14:paraId="1B18ED9F" w14:textId="77777777" w:rsidTr="00C552DC">
        <w:trPr>
          <w:trHeight w:val="340"/>
        </w:trPr>
        <w:tc>
          <w:tcPr>
            <w:tcW w:w="1019" w:type="dxa"/>
            <w:tcBorders>
              <w:top w:val="nil"/>
              <w:left w:val="nil"/>
              <w:bottom w:val="nil"/>
              <w:right w:val="nil"/>
            </w:tcBorders>
            <w:shd w:val="clear" w:color="auto" w:fill="auto"/>
            <w:tcMar>
              <w:top w:w="100" w:type="dxa"/>
              <w:left w:w="100" w:type="dxa"/>
              <w:bottom w:w="100" w:type="dxa"/>
              <w:right w:w="100" w:type="dxa"/>
            </w:tcMar>
            <w:vAlign w:val="center"/>
          </w:tcPr>
          <w:p w14:paraId="1444863B"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 </w:t>
            </w:r>
          </w:p>
        </w:tc>
        <w:tc>
          <w:tcPr>
            <w:tcW w:w="974" w:type="dxa"/>
            <w:tcBorders>
              <w:top w:val="nil"/>
              <w:left w:val="nil"/>
              <w:bottom w:val="nil"/>
              <w:right w:val="nil"/>
            </w:tcBorders>
            <w:shd w:val="clear" w:color="auto" w:fill="auto"/>
            <w:tcMar>
              <w:top w:w="100" w:type="dxa"/>
              <w:left w:w="100" w:type="dxa"/>
              <w:bottom w:w="100" w:type="dxa"/>
              <w:right w:w="100" w:type="dxa"/>
            </w:tcMar>
            <w:vAlign w:val="center"/>
          </w:tcPr>
          <w:p w14:paraId="23DE4427"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N</w:t>
            </w:r>
          </w:p>
        </w:tc>
        <w:tc>
          <w:tcPr>
            <w:tcW w:w="974" w:type="dxa"/>
            <w:tcBorders>
              <w:top w:val="nil"/>
              <w:left w:val="nil"/>
              <w:bottom w:val="nil"/>
              <w:right w:val="nil"/>
            </w:tcBorders>
            <w:shd w:val="clear" w:color="auto" w:fill="auto"/>
            <w:tcMar>
              <w:top w:w="100" w:type="dxa"/>
              <w:left w:w="100" w:type="dxa"/>
              <w:bottom w:w="100" w:type="dxa"/>
              <w:right w:w="100" w:type="dxa"/>
            </w:tcMar>
            <w:vAlign w:val="center"/>
          </w:tcPr>
          <w:p w14:paraId="20E940EB"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M</w:t>
            </w:r>
          </w:p>
        </w:tc>
        <w:tc>
          <w:tcPr>
            <w:tcW w:w="854" w:type="dxa"/>
            <w:tcBorders>
              <w:top w:val="nil"/>
              <w:left w:val="nil"/>
              <w:bottom w:val="nil"/>
              <w:right w:val="nil"/>
            </w:tcBorders>
            <w:shd w:val="clear" w:color="auto" w:fill="auto"/>
            <w:tcMar>
              <w:top w:w="100" w:type="dxa"/>
              <w:left w:w="100" w:type="dxa"/>
              <w:bottom w:w="100" w:type="dxa"/>
              <w:right w:w="100" w:type="dxa"/>
            </w:tcMar>
            <w:vAlign w:val="center"/>
          </w:tcPr>
          <w:p w14:paraId="2F6C4C6B"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Mdn</w:t>
            </w:r>
          </w:p>
        </w:tc>
        <w:tc>
          <w:tcPr>
            <w:tcW w:w="853" w:type="dxa"/>
            <w:tcBorders>
              <w:top w:val="nil"/>
              <w:left w:val="nil"/>
              <w:bottom w:val="nil"/>
              <w:right w:val="nil"/>
            </w:tcBorders>
            <w:shd w:val="clear" w:color="auto" w:fill="auto"/>
            <w:tcMar>
              <w:top w:w="100" w:type="dxa"/>
              <w:left w:w="100" w:type="dxa"/>
              <w:bottom w:w="100" w:type="dxa"/>
              <w:right w:w="100" w:type="dxa"/>
            </w:tcMar>
            <w:vAlign w:val="center"/>
          </w:tcPr>
          <w:p w14:paraId="68BC5E90"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SD</w:t>
            </w:r>
          </w:p>
        </w:tc>
        <w:tc>
          <w:tcPr>
            <w:tcW w:w="808" w:type="dxa"/>
            <w:tcBorders>
              <w:top w:val="nil"/>
              <w:left w:val="nil"/>
              <w:bottom w:val="nil"/>
              <w:right w:val="nil"/>
            </w:tcBorders>
            <w:shd w:val="clear" w:color="auto" w:fill="auto"/>
            <w:tcMar>
              <w:top w:w="100" w:type="dxa"/>
              <w:left w:w="100" w:type="dxa"/>
              <w:bottom w:w="100" w:type="dxa"/>
              <w:right w:w="100" w:type="dxa"/>
            </w:tcMar>
            <w:vAlign w:val="center"/>
          </w:tcPr>
          <w:p w14:paraId="1D84B546"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Min</w:t>
            </w:r>
          </w:p>
        </w:tc>
        <w:tc>
          <w:tcPr>
            <w:tcW w:w="808" w:type="dxa"/>
            <w:tcBorders>
              <w:top w:val="nil"/>
              <w:left w:val="nil"/>
              <w:bottom w:val="nil"/>
              <w:right w:val="nil"/>
            </w:tcBorders>
            <w:shd w:val="clear" w:color="auto" w:fill="auto"/>
            <w:tcMar>
              <w:top w:w="100" w:type="dxa"/>
              <w:left w:w="100" w:type="dxa"/>
              <w:bottom w:w="100" w:type="dxa"/>
              <w:right w:w="100" w:type="dxa"/>
            </w:tcMar>
            <w:vAlign w:val="center"/>
          </w:tcPr>
          <w:p w14:paraId="072AF4AE"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Max</w:t>
            </w:r>
          </w:p>
        </w:tc>
        <w:tc>
          <w:tcPr>
            <w:tcW w:w="928" w:type="dxa"/>
            <w:tcBorders>
              <w:top w:val="nil"/>
              <w:left w:val="nil"/>
              <w:bottom w:val="nil"/>
              <w:right w:val="nil"/>
            </w:tcBorders>
            <w:shd w:val="clear" w:color="auto" w:fill="auto"/>
            <w:tcMar>
              <w:top w:w="100" w:type="dxa"/>
              <w:left w:w="100" w:type="dxa"/>
              <w:bottom w:w="100" w:type="dxa"/>
              <w:right w:w="100" w:type="dxa"/>
            </w:tcMar>
            <w:vAlign w:val="center"/>
          </w:tcPr>
          <w:p w14:paraId="15F97E2C"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M</w:t>
            </w:r>
          </w:p>
        </w:tc>
        <w:tc>
          <w:tcPr>
            <w:tcW w:w="928" w:type="dxa"/>
            <w:tcBorders>
              <w:top w:val="nil"/>
              <w:left w:val="nil"/>
              <w:bottom w:val="nil"/>
              <w:right w:val="nil"/>
            </w:tcBorders>
            <w:shd w:val="clear" w:color="auto" w:fill="auto"/>
            <w:tcMar>
              <w:top w:w="100" w:type="dxa"/>
              <w:left w:w="100" w:type="dxa"/>
              <w:bottom w:w="100" w:type="dxa"/>
              <w:right w:w="100" w:type="dxa"/>
            </w:tcMar>
            <w:vAlign w:val="center"/>
          </w:tcPr>
          <w:p w14:paraId="1F6A11FD"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Mdn</w:t>
            </w:r>
          </w:p>
        </w:tc>
        <w:tc>
          <w:tcPr>
            <w:tcW w:w="928" w:type="dxa"/>
            <w:tcBorders>
              <w:top w:val="nil"/>
              <w:left w:val="nil"/>
              <w:bottom w:val="nil"/>
              <w:right w:val="nil"/>
            </w:tcBorders>
            <w:shd w:val="clear" w:color="auto" w:fill="auto"/>
            <w:tcMar>
              <w:top w:w="100" w:type="dxa"/>
              <w:left w:w="100" w:type="dxa"/>
              <w:bottom w:w="100" w:type="dxa"/>
              <w:right w:w="100" w:type="dxa"/>
            </w:tcMar>
            <w:vAlign w:val="center"/>
          </w:tcPr>
          <w:p w14:paraId="4340CCA2"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SD</w:t>
            </w:r>
          </w:p>
        </w:tc>
        <w:tc>
          <w:tcPr>
            <w:tcW w:w="658" w:type="dxa"/>
            <w:tcBorders>
              <w:top w:val="nil"/>
              <w:left w:val="nil"/>
              <w:bottom w:val="nil"/>
              <w:right w:val="nil"/>
            </w:tcBorders>
            <w:shd w:val="clear" w:color="auto" w:fill="auto"/>
            <w:tcMar>
              <w:top w:w="100" w:type="dxa"/>
              <w:left w:w="100" w:type="dxa"/>
              <w:bottom w:w="100" w:type="dxa"/>
              <w:right w:w="100" w:type="dxa"/>
            </w:tcMar>
            <w:vAlign w:val="center"/>
          </w:tcPr>
          <w:p w14:paraId="27F745C2"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Min</w:t>
            </w:r>
          </w:p>
        </w:tc>
        <w:tc>
          <w:tcPr>
            <w:tcW w:w="733" w:type="dxa"/>
            <w:tcBorders>
              <w:top w:val="nil"/>
              <w:left w:val="nil"/>
              <w:bottom w:val="nil"/>
              <w:right w:val="nil"/>
            </w:tcBorders>
            <w:shd w:val="clear" w:color="auto" w:fill="auto"/>
            <w:tcMar>
              <w:top w:w="100" w:type="dxa"/>
              <w:left w:w="100" w:type="dxa"/>
              <w:bottom w:w="100" w:type="dxa"/>
              <w:right w:w="100" w:type="dxa"/>
            </w:tcMar>
            <w:vAlign w:val="center"/>
          </w:tcPr>
          <w:p w14:paraId="543BF453"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Max</w:t>
            </w:r>
          </w:p>
        </w:tc>
      </w:tr>
      <w:tr w:rsidR="00F12285" w14:paraId="5C9D7129" w14:textId="77777777" w:rsidTr="00C552DC">
        <w:trPr>
          <w:trHeight w:val="340"/>
        </w:trPr>
        <w:tc>
          <w:tcPr>
            <w:tcW w:w="1019" w:type="dxa"/>
            <w:tcBorders>
              <w:top w:val="nil"/>
              <w:left w:val="nil"/>
              <w:bottom w:val="nil"/>
              <w:right w:val="nil"/>
            </w:tcBorders>
            <w:shd w:val="clear" w:color="auto" w:fill="auto"/>
            <w:tcMar>
              <w:top w:w="100" w:type="dxa"/>
              <w:left w:w="100" w:type="dxa"/>
              <w:bottom w:w="100" w:type="dxa"/>
              <w:right w:w="100" w:type="dxa"/>
            </w:tcMar>
            <w:vAlign w:val="center"/>
          </w:tcPr>
          <w:p w14:paraId="26609B98"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Humans</w:t>
            </w:r>
          </w:p>
        </w:tc>
        <w:tc>
          <w:tcPr>
            <w:tcW w:w="974" w:type="dxa"/>
            <w:tcBorders>
              <w:top w:val="nil"/>
              <w:left w:val="nil"/>
              <w:bottom w:val="nil"/>
              <w:right w:val="nil"/>
            </w:tcBorders>
            <w:tcMar>
              <w:top w:w="100" w:type="dxa"/>
              <w:left w:w="80" w:type="dxa"/>
              <w:bottom w:w="100" w:type="dxa"/>
              <w:right w:w="80" w:type="dxa"/>
            </w:tcMar>
            <w:vAlign w:val="center"/>
          </w:tcPr>
          <w:p w14:paraId="633DDDD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9</w:t>
            </w:r>
          </w:p>
        </w:tc>
        <w:tc>
          <w:tcPr>
            <w:tcW w:w="974" w:type="dxa"/>
            <w:tcBorders>
              <w:top w:val="nil"/>
              <w:left w:val="nil"/>
              <w:bottom w:val="nil"/>
              <w:right w:val="nil"/>
            </w:tcBorders>
            <w:tcMar>
              <w:top w:w="100" w:type="dxa"/>
              <w:left w:w="80" w:type="dxa"/>
              <w:bottom w:w="100" w:type="dxa"/>
              <w:right w:w="80" w:type="dxa"/>
            </w:tcMar>
            <w:vAlign w:val="center"/>
          </w:tcPr>
          <w:p w14:paraId="5774C08C"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-19.2</w:t>
            </w:r>
          </w:p>
        </w:tc>
        <w:tc>
          <w:tcPr>
            <w:tcW w:w="854" w:type="dxa"/>
            <w:tcBorders>
              <w:top w:val="nil"/>
              <w:left w:val="nil"/>
              <w:bottom w:val="nil"/>
              <w:right w:val="nil"/>
            </w:tcBorders>
            <w:tcMar>
              <w:top w:w="100" w:type="dxa"/>
              <w:left w:w="80" w:type="dxa"/>
              <w:bottom w:w="100" w:type="dxa"/>
              <w:right w:w="80" w:type="dxa"/>
            </w:tcMar>
            <w:vAlign w:val="center"/>
          </w:tcPr>
          <w:p w14:paraId="350B983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-19.3</w:t>
            </w:r>
          </w:p>
        </w:tc>
        <w:tc>
          <w:tcPr>
            <w:tcW w:w="853" w:type="dxa"/>
            <w:tcBorders>
              <w:top w:val="nil"/>
              <w:left w:val="nil"/>
              <w:bottom w:val="nil"/>
              <w:right w:val="nil"/>
            </w:tcBorders>
            <w:tcMar>
              <w:top w:w="100" w:type="dxa"/>
              <w:left w:w="80" w:type="dxa"/>
              <w:bottom w:w="100" w:type="dxa"/>
              <w:right w:w="80" w:type="dxa"/>
            </w:tcMar>
            <w:vAlign w:val="center"/>
          </w:tcPr>
          <w:p w14:paraId="18DB82A0"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0.5</w:t>
            </w:r>
          </w:p>
        </w:tc>
        <w:tc>
          <w:tcPr>
            <w:tcW w:w="808" w:type="dxa"/>
            <w:tcBorders>
              <w:top w:val="nil"/>
              <w:left w:val="nil"/>
              <w:bottom w:val="nil"/>
              <w:right w:val="nil"/>
            </w:tcBorders>
            <w:tcMar>
              <w:top w:w="100" w:type="dxa"/>
              <w:left w:w="80" w:type="dxa"/>
              <w:bottom w:w="100" w:type="dxa"/>
              <w:right w:w="80" w:type="dxa"/>
            </w:tcMar>
            <w:vAlign w:val="center"/>
          </w:tcPr>
          <w:p w14:paraId="382EE547"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-19.9</w:t>
            </w:r>
          </w:p>
        </w:tc>
        <w:tc>
          <w:tcPr>
            <w:tcW w:w="808" w:type="dxa"/>
            <w:tcBorders>
              <w:top w:val="nil"/>
              <w:left w:val="nil"/>
              <w:bottom w:val="nil"/>
              <w:right w:val="nil"/>
            </w:tcBorders>
            <w:tcMar>
              <w:top w:w="100" w:type="dxa"/>
              <w:left w:w="80" w:type="dxa"/>
              <w:bottom w:w="100" w:type="dxa"/>
              <w:right w:w="80" w:type="dxa"/>
            </w:tcMar>
            <w:vAlign w:val="center"/>
          </w:tcPr>
          <w:p w14:paraId="7A1EB49F"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-18.3</w:t>
            </w:r>
          </w:p>
        </w:tc>
        <w:tc>
          <w:tcPr>
            <w:tcW w:w="928" w:type="dxa"/>
            <w:tcBorders>
              <w:top w:val="nil"/>
              <w:left w:val="nil"/>
              <w:bottom w:val="nil"/>
              <w:right w:val="nil"/>
            </w:tcBorders>
            <w:tcMar>
              <w:top w:w="100" w:type="dxa"/>
              <w:left w:w="80" w:type="dxa"/>
              <w:bottom w:w="100" w:type="dxa"/>
              <w:right w:w="80" w:type="dxa"/>
            </w:tcMar>
            <w:vAlign w:val="center"/>
          </w:tcPr>
          <w:p w14:paraId="0704442E"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10.1</w:t>
            </w:r>
          </w:p>
        </w:tc>
        <w:tc>
          <w:tcPr>
            <w:tcW w:w="928" w:type="dxa"/>
            <w:tcBorders>
              <w:top w:val="nil"/>
              <w:left w:val="nil"/>
              <w:bottom w:val="nil"/>
              <w:right w:val="nil"/>
            </w:tcBorders>
            <w:tcMar>
              <w:top w:w="100" w:type="dxa"/>
              <w:left w:w="80" w:type="dxa"/>
              <w:bottom w:w="100" w:type="dxa"/>
              <w:right w:w="80" w:type="dxa"/>
            </w:tcMar>
            <w:vAlign w:val="center"/>
          </w:tcPr>
          <w:p w14:paraId="49B85B7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10.2</w:t>
            </w:r>
          </w:p>
        </w:tc>
        <w:tc>
          <w:tcPr>
            <w:tcW w:w="928" w:type="dxa"/>
            <w:tcBorders>
              <w:top w:val="nil"/>
              <w:left w:val="nil"/>
              <w:bottom w:val="nil"/>
              <w:right w:val="nil"/>
            </w:tcBorders>
            <w:tcMar>
              <w:top w:w="100" w:type="dxa"/>
              <w:left w:w="80" w:type="dxa"/>
              <w:bottom w:w="100" w:type="dxa"/>
              <w:right w:w="80" w:type="dxa"/>
            </w:tcMar>
            <w:vAlign w:val="center"/>
          </w:tcPr>
          <w:p w14:paraId="409A04BA"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0.6</w:t>
            </w:r>
          </w:p>
        </w:tc>
        <w:tc>
          <w:tcPr>
            <w:tcW w:w="658" w:type="dxa"/>
            <w:tcBorders>
              <w:top w:val="nil"/>
              <w:left w:val="nil"/>
              <w:bottom w:val="nil"/>
              <w:right w:val="nil"/>
            </w:tcBorders>
            <w:tcMar>
              <w:top w:w="100" w:type="dxa"/>
              <w:left w:w="80" w:type="dxa"/>
              <w:bottom w:w="100" w:type="dxa"/>
              <w:right w:w="80" w:type="dxa"/>
            </w:tcMar>
            <w:vAlign w:val="center"/>
          </w:tcPr>
          <w:p w14:paraId="6FB43041"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8.8</w:t>
            </w:r>
          </w:p>
        </w:tc>
        <w:tc>
          <w:tcPr>
            <w:tcW w:w="733" w:type="dxa"/>
            <w:tcBorders>
              <w:top w:val="nil"/>
              <w:left w:val="nil"/>
              <w:bottom w:val="nil"/>
              <w:right w:val="nil"/>
            </w:tcBorders>
            <w:tcMar>
              <w:top w:w="100" w:type="dxa"/>
              <w:left w:w="80" w:type="dxa"/>
              <w:bottom w:w="100" w:type="dxa"/>
              <w:right w:w="80" w:type="dxa"/>
            </w:tcMar>
            <w:vAlign w:val="center"/>
          </w:tcPr>
          <w:p w14:paraId="6EAC21E6"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11.0</w:t>
            </w:r>
          </w:p>
        </w:tc>
      </w:tr>
      <w:tr w:rsidR="00F12285" w14:paraId="3C8A9AF7" w14:textId="77777777" w:rsidTr="00C552DC">
        <w:trPr>
          <w:trHeight w:val="340"/>
        </w:trPr>
        <w:tc>
          <w:tcPr>
            <w:tcW w:w="1019" w:type="dxa"/>
            <w:tcBorders>
              <w:top w:val="nil"/>
              <w:left w:val="nil"/>
              <w:bottom w:val="nil"/>
              <w:right w:val="nil"/>
            </w:tcBorders>
            <w:shd w:val="clear" w:color="auto" w:fill="auto"/>
            <w:tcMar>
              <w:top w:w="100" w:type="dxa"/>
              <w:left w:w="100" w:type="dxa"/>
              <w:bottom w:w="100" w:type="dxa"/>
              <w:right w:w="100" w:type="dxa"/>
            </w:tcMar>
            <w:vAlign w:val="center"/>
          </w:tcPr>
          <w:p w14:paraId="1F0B0E6F"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Cattle</w:t>
            </w:r>
          </w:p>
        </w:tc>
        <w:tc>
          <w:tcPr>
            <w:tcW w:w="974" w:type="dxa"/>
            <w:tcMar>
              <w:top w:w="100" w:type="dxa"/>
              <w:left w:w="100" w:type="dxa"/>
              <w:bottom w:w="100" w:type="dxa"/>
              <w:right w:w="100" w:type="dxa"/>
            </w:tcMar>
          </w:tcPr>
          <w:p w14:paraId="06357851"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8</w:t>
            </w:r>
          </w:p>
        </w:tc>
        <w:tc>
          <w:tcPr>
            <w:tcW w:w="974" w:type="dxa"/>
            <w:tcMar>
              <w:top w:w="100" w:type="dxa"/>
              <w:left w:w="100" w:type="dxa"/>
              <w:bottom w:w="100" w:type="dxa"/>
              <w:right w:w="100" w:type="dxa"/>
            </w:tcMar>
          </w:tcPr>
          <w:p w14:paraId="4C55738C"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-19.9</w:t>
            </w:r>
          </w:p>
        </w:tc>
        <w:tc>
          <w:tcPr>
            <w:tcW w:w="854" w:type="dxa"/>
            <w:tcMar>
              <w:top w:w="100" w:type="dxa"/>
              <w:left w:w="100" w:type="dxa"/>
              <w:bottom w:w="100" w:type="dxa"/>
              <w:right w:w="100" w:type="dxa"/>
            </w:tcMar>
          </w:tcPr>
          <w:p w14:paraId="053E9D93"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-19.6</w:t>
            </w:r>
          </w:p>
        </w:tc>
        <w:tc>
          <w:tcPr>
            <w:tcW w:w="853" w:type="dxa"/>
            <w:tcMar>
              <w:top w:w="100" w:type="dxa"/>
              <w:left w:w="100" w:type="dxa"/>
              <w:bottom w:w="100" w:type="dxa"/>
              <w:right w:w="100" w:type="dxa"/>
            </w:tcMar>
          </w:tcPr>
          <w:p w14:paraId="4E2FD077"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1.2</w:t>
            </w:r>
          </w:p>
        </w:tc>
        <w:tc>
          <w:tcPr>
            <w:tcW w:w="808" w:type="dxa"/>
            <w:tcBorders>
              <w:top w:val="nil"/>
              <w:left w:val="nil"/>
              <w:bottom w:val="nil"/>
              <w:right w:val="nil"/>
            </w:tcBorders>
            <w:tcMar>
              <w:top w:w="100" w:type="dxa"/>
              <w:left w:w="80" w:type="dxa"/>
              <w:bottom w:w="100" w:type="dxa"/>
              <w:right w:w="80" w:type="dxa"/>
            </w:tcMar>
            <w:vAlign w:val="center"/>
          </w:tcPr>
          <w:p w14:paraId="1B5D4AB0"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-22.0</w:t>
            </w:r>
          </w:p>
        </w:tc>
        <w:tc>
          <w:tcPr>
            <w:tcW w:w="808" w:type="dxa"/>
            <w:tcBorders>
              <w:top w:val="nil"/>
              <w:left w:val="nil"/>
              <w:bottom w:val="nil"/>
              <w:right w:val="nil"/>
            </w:tcBorders>
            <w:tcMar>
              <w:top w:w="100" w:type="dxa"/>
              <w:left w:w="80" w:type="dxa"/>
              <w:bottom w:w="100" w:type="dxa"/>
              <w:right w:w="80" w:type="dxa"/>
            </w:tcMar>
            <w:vAlign w:val="center"/>
          </w:tcPr>
          <w:p w14:paraId="6506F32A"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-18.2</w:t>
            </w:r>
          </w:p>
        </w:tc>
        <w:tc>
          <w:tcPr>
            <w:tcW w:w="928" w:type="dxa"/>
            <w:tcMar>
              <w:top w:w="100" w:type="dxa"/>
              <w:left w:w="100" w:type="dxa"/>
              <w:bottom w:w="100" w:type="dxa"/>
              <w:right w:w="100" w:type="dxa"/>
            </w:tcMar>
          </w:tcPr>
          <w:p w14:paraId="56AB790F"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7.1</w:t>
            </w:r>
          </w:p>
        </w:tc>
        <w:tc>
          <w:tcPr>
            <w:tcW w:w="928" w:type="dxa"/>
            <w:tcMar>
              <w:top w:w="100" w:type="dxa"/>
              <w:left w:w="100" w:type="dxa"/>
              <w:bottom w:w="100" w:type="dxa"/>
              <w:right w:w="100" w:type="dxa"/>
            </w:tcMar>
          </w:tcPr>
          <w:p w14:paraId="0B501662"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6.8</w:t>
            </w:r>
          </w:p>
        </w:tc>
        <w:tc>
          <w:tcPr>
            <w:tcW w:w="928" w:type="dxa"/>
            <w:tcMar>
              <w:top w:w="100" w:type="dxa"/>
              <w:left w:w="100" w:type="dxa"/>
              <w:bottom w:w="100" w:type="dxa"/>
              <w:right w:w="100" w:type="dxa"/>
            </w:tcMar>
          </w:tcPr>
          <w:p w14:paraId="1A777097"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1.5</w:t>
            </w:r>
          </w:p>
        </w:tc>
        <w:tc>
          <w:tcPr>
            <w:tcW w:w="658" w:type="dxa"/>
            <w:tcBorders>
              <w:top w:val="nil"/>
              <w:left w:val="nil"/>
              <w:bottom w:val="nil"/>
              <w:right w:val="nil"/>
            </w:tcBorders>
            <w:tcMar>
              <w:top w:w="100" w:type="dxa"/>
              <w:left w:w="80" w:type="dxa"/>
              <w:bottom w:w="100" w:type="dxa"/>
              <w:right w:w="80" w:type="dxa"/>
            </w:tcMar>
            <w:vAlign w:val="center"/>
          </w:tcPr>
          <w:p w14:paraId="7327132A"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4.6</w:t>
            </w:r>
          </w:p>
        </w:tc>
        <w:tc>
          <w:tcPr>
            <w:tcW w:w="733" w:type="dxa"/>
            <w:tcBorders>
              <w:top w:val="nil"/>
              <w:left w:val="nil"/>
              <w:bottom w:val="nil"/>
              <w:right w:val="nil"/>
            </w:tcBorders>
            <w:tcMar>
              <w:top w:w="100" w:type="dxa"/>
              <w:left w:w="80" w:type="dxa"/>
              <w:bottom w:w="100" w:type="dxa"/>
              <w:right w:w="80" w:type="dxa"/>
            </w:tcMar>
            <w:vAlign w:val="center"/>
          </w:tcPr>
          <w:p w14:paraId="3D1728F2"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9.0</w:t>
            </w:r>
          </w:p>
        </w:tc>
      </w:tr>
      <w:tr w:rsidR="00F12285" w14:paraId="7CE8D792" w14:textId="77777777" w:rsidTr="00C552DC">
        <w:trPr>
          <w:trHeight w:val="340"/>
        </w:trPr>
        <w:tc>
          <w:tcPr>
            <w:tcW w:w="1019" w:type="dxa"/>
            <w:tcBorders>
              <w:top w:val="nil"/>
              <w:left w:val="nil"/>
              <w:bottom w:val="nil"/>
              <w:right w:val="nil"/>
            </w:tcBorders>
            <w:shd w:val="clear" w:color="auto" w:fill="auto"/>
            <w:tcMar>
              <w:top w:w="100" w:type="dxa"/>
              <w:left w:w="100" w:type="dxa"/>
              <w:bottom w:w="100" w:type="dxa"/>
              <w:right w:w="100" w:type="dxa"/>
            </w:tcMar>
            <w:vAlign w:val="center"/>
          </w:tcPr>
          <w:p w14:paraId="2C67C169"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Goat</w:t>
            </w:r>
          </w:p>
        </w:tc>
        <w:tc>
          <w:tcPr>
            <w:tcW w:w="974" w:type="dxa"/>
            <w:tcMar>
              <w:top w:w="100" w:type="dxa"/>
              <w:left w:w="100" w:type="dxa"/>
              <w:bottom w:w="100" w:type="dxa"/>
              <w:right w:w="100" w:type="dxa"/>
            </w:tcMar>
          </w:tcPr>
          <w:p w14:paraId="23739E28"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7</w:t>
            </w:r>
          </w:p>
        </w:tc>
        <w:tc>
          <w:tcPr>
            <w:tcW w:w="974" w:type="dxa"/>
            <w:tcMar>
              <w:top w:w="100" w:type="dxa"/>
              <w:left w:w="100" w:type="dxa"/>
              <w:bottom w:w="100" w:type="dxa"/>
              <w:right w:w="100" w:type="dxa"/>
            </w:tcMar>
          </w:tcPr>
          <w:p w14:paraId="2587232C"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-19.8</w:t>
            </w:r>
          </w:p>
        </w:tc>
        <w:tc>
          <w:tcPr>
            <w:tcW w:w="854" w:type="dxa"/>
            <w:tcBorders>
              <w:top w:val="nil"/>
              <w:left w:val="nil"/>
              <w:bottom w:val="nil"/>
              <w:right w:val="nil"/>
            </w:tcBorders>
            <w:tcMar>
              <w:top w:w="100" w:type="dxa"/>
              <w:left w:w="80" w:type="dxa"/>
              <w:bottom w:w="100" w:type="dxa"/>
              <w:right w:w="80" w:type="dxa"/>
            </w:tcMar>
            <w:vAlign w:val="center"/>
          </w:tcPr>
          <w:p w14:paraId="4C5D2321"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-19.6</w:t>
            </w:r>
          </w:p>
        </w:tc>
        <w:tc>
          <w:tcPr>
            <w:tcW w:w="853" w:type="dxa"/>
            <w:tcBorders>
              <w:top w:val="nil"/>
              <w:left w:val="nil"/>
              <w:bottom w:val="nil"/>
              <w:right w:val="nil"/>
            </w:tcBorders>
            <w:tcMar>
              <w:top w:w="100" w:type="dxa"/>
              <w:left w:w="80" w:type="dxa"/>
              <w:bottom w:w="100" w:type="dxa"/>
              <w:right w:w="80" w:type="dxa"/>
            </w:tcMar>
            <w:vAlign w:val="center"/>
          </w:tcPr>
          <w:p w14:paraId="2C198228"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0.5</w:t>
            </w:r>
          </w:p>
        </w:tc>
        <w:tc>
          <w:tcPr>
            <w:tcW w:w="808" w:type="dxa"/>
            <w:tcBorders>
              <w:top w:val="nil"/>
              <w:left w:val="nil"/>
              <w:bottom w:val="nil"/>
              <w:right w:val="nil"/>
            </w:tcBorders>
            <w:tcMar>
              <w:top w:w="100" w:type="dxa"/>
              <w:left w:w="80" w:type="dxa"/>
              <w:bottom w:w="100" w:type="dxa"/>
              <w:right w:w="80" w:type="dxa"/>
            </w:tcMar>
            <w:vAlign w:val="center"/>
          </w:tcPr>
          <w:p w14:paraId="69A2F1D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-20.7</w:t>
            </w:r>
          </w:p>
        </w:tc>
        <w:tc>
          <w:tcPr>
            <w:tcW w:w="808" w:type="dxa"/>
            <w:tcBorders>
              <w:top w:val="nil"/>
              <w:left w:val="nil"/>
              <w:bottom w:val="nil"/>
              <w:right w:val="nil"/>
            </w:tcBorders>
            <w:tcMar>
              <w:top w:w="100" w:type="dxa"/>
              <w:left w:w="80" w:type="dxa"/>
              <w:bottom w:w="100" w:type="dxa"/>
              <w:right w:w="80" w:type="dxa"/>
            </w:tcMar>
            <w:vAlign w:val="center"/>
          </w:tcPr>
          <w:p w14:paraId="2B251050"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-19.3</w:t>
            </w:r>
          </w:p>
        </w:tc>
        <w:tc>
          <w:tcPr>
            <w:tcW w:w="928" w:type="dxa"/>
            <w:tcBorders>
              <w:top w:val="nil"/>
              <w:left w:val="nil"/>
              <w:bottom w:val="nil"/>
              <w:right w:val="nil"/>
            </w:tcBorders>
            <w:tcMar>
              <w:top w:w="100" w:type="dxa"/>
              <w:left w:w="80" w:type="dxa"/>
              <w:bottom w:w="100" w:type="dxa"/>
              <w:right w:w="80" w:type="dxa"/>
            </w:tcMar>
            <w:vAlign w:val="center"/>
          </w:tcPr>
          <w:p w14:paraId="47EF97EA"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5.7</w:t>
            </w:r>
          </w:p>
        </w:tc>
        <w:tc>
          <w:tcPr>
            <w:tcW w:w="928" w:type="dxa"/>
            <w:tcBorders>
              <w:top w:val="nil"/>
              <w:left w:val="nil"/>
              <w:bottom w:val="nil"/>
              <w:right w:val="nil"/>
            </w:tcBorders>
            <w:tcMar>
              <w:top w:w="100" w:type="dxa"/>
              <w:left w:w="80" w:type="dxa"/>
              <w:bottom w:w="100" w:type="dxa"/>
              <w:right w:w="80" w:type="dxa"/>
            </w:tcMar>
            <w:vAlign w:val="center"/>
          </w:tcPr>
          <w:p w14:paraId="4DA3D774"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5.8</w:t>
            </w:r>
          </w:p>
        </w:tc>
        <w:tc>
          <w:tcPr>
            <w:tcW w:w="928" w:type="dxa"/>
            <w:tcBorders>
              <w:top w:val="nil"/>
              <w:left w:val="nil"/>
              <w:bottom w:val="nil"/>
              <w:right w:val="nil"/>
            </w:tcBorders>
            <w:tcMar>
              <w:top w:w="100" w:type="dxa"/>
              <w:left w:w="80" w:type="dxa"/>
              <w:bottom w:w="100" w:type="dxa"/>
              <w:right w:w="80" w:type="dxa"/>
            </w:tcMar>
            <w:vAlign w:val="center"/>
          </w:tcPr>
          <w:p w14:paraId="218D691D"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1.1</w:t>
            </w:r>
          </w:p>
        </w:tc>
        <w:tc>
          <w:tcPr>
            <w:tcW w:w="658" w:type="dxa"/>
            <w:tcBorders>
              <w:top w:val="nil"/>
              <w:left w:val="nil"/>
              <w:bottom w:val="nil"/>
              <w:right w:val="nil"/>
            </w:tcBorders>
            <w:tcMar>
              <w:top w:w="100" w:type="dxa"/>
              <w:left w:w="80" w:type="dxa"/>
              <w:bottom w:w="100" w:type="dxa"/>
              <w:right w:w="80" w:type="dxa"/>
            </w:tcMar>
            <w:vAlign w:val="center"/>
          </w:tcPr>
          <w:p w14:paraId="49064D8F"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4.1</w:t>
            </w:r>
          </w:p>
        </w:tc>
        <w:tc>
          <w:tcPr>
            <w:tcW w:w="733" w:type="dxa"/>
            <w:tcBorders>
              <w:top w:val="nil"/>
              <w:left w:val="nil"/>
              <w:bottom w:val="nil"/>
              <w:right w:val="nil"/>
            </w:tcBorders>
            <w:tcMar>
              <w:top w:w="100" w:type="dxa"/>
              <w:left w:w="80" w:type="dxa"/>
              <w:bottom w:w="100" w:type="dxa"/>
              <w:right w:w="80" w:type="dxa"/>
            </w:tcMar>
            <w:vAlign w:val="center"/>
          </w:tcPr>
          <w:p w14:paraId="11DA407E"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6.9</w:t>
            </w:r>
          </w:p>
        </w:tc>
      </w:tr>
      <w:tr w:rsidR="00F12285" w14:paraId="3C575FAA" w14:textId="77777777" w:rsidTr="00C552DC">
        <w:trPr>
          <w:trHeight w:val="340"/>
        </w:trPr>
        <w:tc>
          <w:tcPr>
            <w:tcW w:w="1019" w:type="dxa"/>
            <w:tcBorders>
              <w:top w:val="nil"/>
              <w:left w:val="nil"/>
              <w:bottom w:val="nil"/>
              <w:right w:val="nil"/>
            </w:tcBorders>
            <w:shd w:val="clear" w:color="auto" w:fill="auto"/>
            <w:tcMar>
              <w:top w:w="100" w:type="dxa"/>
              <w:left w:w="100" w:type="dxa"/>
              <w:bottom w:w="100" w:type="dxa"/>
              <w:right w:w="100" w:type="dxa"/>
            </w:tcMar>
            <w:vAlign w:val="center"/>
          </w:tcPr>
          <w:p w14:paraId="0BA2E5EB"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Sheep</w:t>
            </w:r>
          </w:p>
        </w:tc>
        <w:tc>
          <w:tcPr>
            <w:tcW w:w="974" w:type="dxa"/>
            <w:tcBorders>
              <w:top w:val="nil"/>
              <w:left w:val="nil"/>
              <w:bottom w:val="nil"/>
              <w:right w:val="nil"/>
            </w:tcBorders>
            <w:tcMar>
              <w:top w:w="100" w:type="dxa"/>
              <w:left w:w="80" w:type="dxa"/>
              <w:bottom w:w="100" w:type="dxa"/>
              <w:right w:w="80" w:type="dxa"/>
            </w:tcMar>
            <w:vAlign w:val="center"/>
          </w:tcPr>
          <w:p w14:paraId="035B0ED0"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7</w:t>
            </w:r>
          </w:p>
        </w:tc>
        <w:tc>
          <w:tcPr>
            <w:tcW w:w="974" w:type="dxa"/>
            <w:tcBorders>
              <w:top w:val="nil"/>
              <w:left w:val="nil"/>
              <w:bottom w:val="nil"/>
              <w:right w:val="nil"/>
            </w:tcBorders>
            <w:tcMar>
              <w:top w:w="100" w:type="dxa"/>
              <w:left w:w="80" w:type="dxa"/>
              <w:bottom w:w="100" w:type="dxa"/>
              <w:right w:w="80" w:type="dxa"/>
            </w:tcMar>
            <w:vAlign w:val="center"/>
          </w:tcPr>
          <w:p w14:paraId="5753FC01"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-19.9</w:t>
            </w:r>
          </w:p>
        </w:tc>
        <w:tc>
          <w:tcPr>
            <w:tcW w:w="854" w:type="dxa"/>
            <w:tcBorders>
              <w:top w:val="nil"/>
              <w:left w:val="nil"/>
              <w:bottom w:val="nil"/>
              <w:right w:val="nil"/>
            </w:tcBorders>
            <w:tcMar>
              <w:top w:w="100" w:type="dxa"/>
              <w:left w:w="80" w:type="dxa"/>
              <w:bottom w:w="100" w:type="dxa"/>
              <w:right w:w="80" w:type="dxa"/>
            </w:tcMar>
            <w:vAlign w:val="center"/>
          </w:tcPr>
          <w:p w14:paraId="4BF7A647"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-19.7</w:t>
            </w:r>
          </w:p>
        </w:tc>
        <w:tc>
          <w:tcPr>
            <w:tcW w:w="853" w:type="dxa"/>
            <w:tcBorders>
              <w:top w:val="nil"/>
              <w:left w:val="nil"/>
              <w:bottom w:val="nil"/>
              <w:right w:val="nil"/>
            </w:tcBorders>
            <w:tcMar>
              <w:top w:w="100" w:type="dxa"/>
              <w:left w:w="80" w:type="dxa"/>
              <w:bottom w:w="100" w:type="dxa"/>
              <w:right w:w="80" w:type="dxa"/>
            </w:tcMar>
            <w:vAlign w:val="center"/>
          </w:tcPr>
          <w:p w14:paraId="76B2CB8E"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0.6</w:t>
            </w:r>
          </w:p>
        </w:tc>
        <w:tc>
          <w:tcPr>
            <w:tcW w:w="808" w:type="dxa"/>
            <w:tcBorders>
              <w:top w:val="nil"/>
              <w:left w:val="nil"/>
              <w:bottom w:val="nil"/>
              <w:right w:val="nil"/>
            </w:tcBorders>
            <w:tcMar>
              <w:top w:w="100" w:type="dxa"/>
              <w:left w:w="80" w:type="dxa"/>
              <w:bottom w:w="100" w:type="dxa"/>
              <w:right w:w="80" w:type="dxa"/>
            </w:tcMar>
            <w:vAlign w:val="center"/>
          </w:tcPr>
          <w:p w14:paraId="4437F7A7"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-20.7</w:t>
            </w:r>
          </w:p>
        </w:tc>
        <w:tc>
          <w:tcPr>
            <w:tcW w:w="808" w:type="dxa"/>
            <w:tcBorders>
              <w:top w:val="nil"/>
              <w:left w:val="nil"/>
              <w:bottom w:val="nil"/>
              <w:right w:val="nil"/>
            </w:tcBorders>
            <w:tcMar>
              <w:top w:w="100" w:type="dxa"/>
              <w:left w:w="80" w:type="dxa"/>
              <w:bottom w:w="100" w:type="dxa"/>
              <w:right w:w="80" w:type="dxa"/>
            </w:tcMar>
            <w:vAlign w:val="center"/>
          </w:tcPr>
          <w:p w14:paraId="32249F41"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-19.1</w:t>
            </w:r>
          </w:p>
        </w:tc>
        <w:tc>
          <w:tcPr>
            <w:tcW w:w="928" w:type="dxa"/>
            <w:tcBorders>
              <w:top w:val="nil"/>
              <w:left w:val="nil"/>
              <w:bottom w:val="nil"/>
              <w:right w:val="nil"/>
            </w:tcBorders>
            <w:tcMar>
              <w:top w:w="100" w:type="dxa"/>
              <w:left w:w="80" w:type="dxa"/>
              <w:bottom w:w="100" w:type="dxa"/>
              <w:right w:w="80" w:type="dxa"/>
            </w:tcMar>
            <w:vAlign w:val="center"/>
          </w:tcPr>
          <w:p w14:paraId="41FE556F"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6.8</w:t>
            </w:r>
          </w:p>
        </w:tc>
        <w:tc>
          <w:tcPr>
            <w:tcW w:w="928" w:type="dxa"/>
            <w:tcBorders>
              <w:top w:val="nil"/>
              <w:left w:val="nil"/>
              <w:bottom w:val="nil"/>
              <w:right w:val="nil"/>
            </w:tcBorders>
            <w:tcMar>
              <w:top w:w="100" w:type="dxa"/>
              <w:left w:w="80" w:type="dxa"/>
              <w:bottom w:w="100" w:type="dxa"/>
              <w:right w:w="80" w:type="dxa"/>
            </w:tcMar>
            <w:vAlign w:val="center"/>
          </w:tcPr>
          <w:p w14:paraId="55204E7A"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6.3</w:t>
            </w:r>
          </w:p>
        </w:tc>
        <w:tc>
          <w:tcPr>
            <w:tcW w:w="928" w:type="dxa"/>
            <w:tcBorders>
              <w:top w:val="nil"/>
              <w:left w:val="nil"/>
              <w:bottom w:val="nil"/>
              <w:right w:val="nil"/>
            </w:tcBorders>
            <w:tcMar>
              <w:top w:w="100" w:type="dxa"/>
              <w:left w:w="80" w:type="dxa"/>
              <w:bottom w:w="100" w:type="dxa"/>
              <w:right w:w="80" w:type="dxa"/>
            </w:tcMar>
            <w:vAlign w:val="center"/>
          </w:tcPr>
          <w:p w14:paraId="536F7F47"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1.2</w:t>
            </w:r>
          </w:p>
        </w:tc>
        <w:tc>
          <w:tcPr>
            <w:tcW w:w="658" w:type="dxa"/>
            <w:tcBorders>
              <w:top w:val="nil"/>
              <w:left w:val="nil"/>
              <w:bottom w:val="nil"/>
              <w:right w:val="nil"/>
            </w:tcBorders>
            <w:tcMar>
              <w:top w:w="100" w:type="dxa"/>
              <w:left w:w="80" w:type="dxa"/>
              <w:bottom w:w="100" w:type="dxa"/>
              <w:right w:w="80" w:type="dxa"/>
            </w:tcMar>
            <w:vAlign w:val="center"/>
          </w:tcPr>
          <w:p w14:paraId="7772A247"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5.3</w:t>
            </w:r>
          </w:p>
        </w:tc>
        <w:tc>
          <w:tcPr>
            <w:tcW w:w="733" w:type="dxa"/>
            <w:tcBorders>
              <w:top w:val="nil"/>
              <w:left w:val="nil"/>
              <w:bottom w:val="nil"/>
              <w:right w:val="nil"/>
            </w:tcBorders>
            <w:tcMar>
              <w:top w:w="100" w:type="dxa"/>
              <w:left w:w="80" w:type="dxa"/>
              <w:bottom w:w="100" w:type="dxa"/>
              <w:right w:w="80" w:type="dxa"/>
            </w:tcMar>
            <w:vAlign w:val="center"/>
          </w:tcPr>
          <w:p w14:paraId="03C875AF"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8.1</w:t>
            </w:r>
          </w:p>
        </w:tc>
      </w:tr>
      <w:tr w:rsidR="00F12285" w14:paraId="20EC096B" w14:textId="77777777" w:rsidTr="00C552DC">
        <w:trPr>
          <w:trHeight w:val="340"/>
        </w:trPr>
        <w:tc>
          <w:tcPr>
            <w:tcW w:w="1019" w:type="dxa"/>
            <w:tcBorders>
              <w:top w:val="nil"/>
              <w:left w:val="nil"/>
              <w:bottom w:val="nil"/>
              <w:right w:val="nil"/>
            </w:tcBorders>
            <w:shd w:val="clear" w:color="auto" w:fill="auto"/>
            <w:tcMar>
              <w:top w:w="100" w:type="dxa"/>
              <w:left w:w="100" w:type="dxa"/>
              <w:bottom w:w="100" w:type="dxa"/>
              <w:right w:w="100" w:type="dxa"/>
            </w:tcMar>
            <w:vAlign w:val="center"/>
          </w:tcPr>
          <w:p w14:paraId="7EFDD339"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Horse</w:t>
            </w:r>
          </w:p>
        </w:tc>
        <w:tc>
          <w:tcPr>
            <w:tcW w:w="974" w:type="dxa"/>
            <w:tcBorders>
              <w:top w:val="nil"/>
              <w:left w:val="nil"/>
              <w:bottom w:val="nil"/>
              <w:right w:val="nil"/>
            </w:tcBorders>
            <w:tcMar>
              <w:top w:w="100" w:type="dxa"/>
              <w:left w:w="80" w:type="dxa"/>
              <w:bottom w:w="100" w:type="dxa"/>
              <w:right w:w="80" w:type="dxa"/>
            </w:tcMar>
            <w:vAlign w:val="center"/>
          </w:tcPr>
          <w:p w14:paraId="6A9D2312"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5</w:t>
            </w:r>
          </w:p>
        </w:tc>
        <w:tc>
          <w:tcPr>
            <w:tcW w:w="974" w:type="dxa"/>
            <w:tcBorders>
              <w:top w:val="nil"/>
              <w:left w:val="nil"/>
              <w:bottom w:val="nil"/>
              <w:right w:val="nil"/>
            </w:tcBorders>
            <w:tcMar>
              <w:top w:w="100" w:type="dxa"/>
              <w:left w:w="80" w:type="dxa"/>
              <w:bottom w:w="100" w:type="dxa"/>
              <w:right w:w="80" w:type="dxa"/>
            </w:tcMar>
            <w:vAlign w:val="center"/>
          </w:tcPr>
          <w:p w14:paraId="29576300"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-21.2</w:t>
            </w:r>
          </w:p>
        </w:tc>
        <w:tc>
          <w:tcPr>
            <w:tcW w:w="854" w:type="dxa"/>
            <w:tcBorders>
              <w:top w:val="nil"/>
              <w:left w:val="nil"/>
              <w:bottom w:val="nil"/>
              <w:right w:val="nil"/>
            </w:tcBorders>
            <w:tcMar>
              <w:top w:w="100" w:type="dxa"/>
              <w:left w:w="80" w:type="dxa"/>
              <w:bottom w:w="100" w:type="dxa"/>
              <w:right w:w="80" w:type="dxa"/>
            </w:tcMar>
            <w:vAlign w:val="center"/>
          </w:tcPr>
          <w:p w14:paraId="187DBB56"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-21.4</w:t>
            </w:r>
          </w:p>
        </w:tc>
        <w:tc>
          <w:tcPr>
            <w:tcW w:w="853" w:type="dxa"/>
            <w:tcBorders>
              <w:top w:val="nil"/>
              <w:left w:val="nil"/>
              <w:bottom w:val="nil"/>
              <w:right w:val="nil"/>
            </w:tcBorders>
            <w:tcMar>
              <w:top w:w="100" w:type="dxa"/>
              <w:left w:w="80" w:type="dxa"/>
              <w:bottom w:w="100" w:type="dxa"/>
              <w:right w:w="80" w:type="dxa"/>
            </w:tcMar>
            <w:vAlign w:val="center"/>
          </w:tcPr>
          <w:p w14:paraId="2A889EE5"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0.6</w:t>
            </w:r>
          </w:p>
        </w:tc>
        <w:tc>
          <w:tcPr>
            <w:tcW w:w="808" w:type="dxa"/>
            <w:tcBorders>
              <w:top w:val="nil"/>
              <w:left w:val="nil"/>
              <w:bottom w:val="nil"/>
              <w:right w:val="nil"/>
            </w:tcBorders>
            <w:tcMar>
              <w:top w:w="100" w:type="dxa"/>
              <w:left w:w="80" w:type="dxa"/>
              <w:bottom w:w="100" w:type="dxa"/>
              <w:right w:w="80" w:type="dxa"/>
            </w:tcMar>
            <w:vAlign w:val="center"/>
          </w:tcPr>
          <w:p w14:paraId="56448A10"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-21.9</w:t>
            </w:r>
          </w:p>
        </w:tc>
        <w:tc>
          <w:tcPr>
            <w:tcW w:w="808" w:type="dxa"/>
            <w:tcBorders>
              <w:top w:val="nil"/>
              <w:left w:val="nil"/>
              <w:bottom w:val="nil"/>
              <w:right w:val="nil"/>
            </w:tcBorders>
            <w:tcMar>
              <w:top w:w="100" w:type="dxa"/>
              <w:left w:w="80" w:type="dxa"/>
              <w:bottom w:w="100" w:type="dxa"/>
              <w:right w:w="80" w:type="dxa"/>
            </w:tcMar>
            <w:vAlign w:val="center"/>
          </w:tcPr>
          <w:p w14:paraId="1E715D9C"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-20.4</w:t>
            </w:r>
          </w:p>
        </w:tc>
        <w:tc>
          <w:tcPr>
            <w:tcW w:w="928" w:type="dxa"/>
            <w:tcBorders>
              <w:top w:val="nil"/>
              <w:left w:val="nil"/>
              <w:bottom w:val="nil"/>
              <w:right w:val="nil"/>
            </w:tcBorders>
            <w:tcMar>
              <w:top w:w="100" w:type="dxa"/>
              <w:left w:w="80" w:type="dxa"/>
              <w:bottom w:w="100" w:type="dxa"/>
              <w:right w:w="80" w:type="dxa"/>
            </w:tcMar>
            <w:vAlign w:val="center"/>
          </w:tcPr>
          <w:p w14:paraId="7E20DC52"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3.9</w:t>
            </w:r>
          </w:p>
        </w:tc>
        <w:tc>
          <w:tcPr>
            <w:tcW w:w="928" w:type="dxa"/>
            <w:tcBorders>
              <w:top w:val="nil"/>
              <w:left w:val="nil"/>
              <w:bottom w:val="nil"/>
              <w:right w:val="nil"/>
            </w:tcBorders>
            <w:tcMar>
              <w:top w:w="100" w:type="dxa"/>
              <w:left w:w="80" w:type="dxa"/>
              <w:bottom w:w="100" w:type="dxa"/>
              <w:right w:w="80" w:type="dxa"/>
            </w:tcMar>
            <w:vAlign w:val="center"/>
          </w:tcPr>
          <w:p w14:paraId="4DB12DE6"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3.8</w:t>
            </w:r>
          </w:p>
        </w:tc>
        <w:tc>
          <w:tcPr>
            <w:tcW w:w="928" w:type="dxa"/>
            <w:tcBorders>
              <w:top w:val="nil"/>
              <w:left w:val="nil"/>
              <w:bottom w:val="nil"/>
              <w:right w:val="nil"/>
            </w:tcBorders>
            <w:tcMar>
              <w:top w:w="100" w:type="dxa"/>
              <w:left w:w="80" w:type="dxa"/>
              <w:bottom w:w="100" w:type="dxa"/>
              <w:right w:w="80" w:type="dxa"/>
            </w:tcMar>
            <w:vAlign w:val="center"/>
          </w:tcPr>
          <w:p w14:paraId="213AB0FD"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0.4</w:t>
            </w:r>
          </w:p>
        </w:tc>
        <w:tc>
          <w:tcPr>
            <w:tcW w:w="658" w:type="dxa"/>
            <w:tcBorders>
              <w:top w:val="nil"/>
              <w:left w:val="nil"/>
              <w:bottom w:val="nil"/>
              <w:right w:val="nil"/>
            </w:tcBorders>
            <w:tcMar>
              <w:top w:w="100" w:type="dxa"/>
              <w:left w:w="80" w:type="dxa"/>
              <w:bottom w:w="100" w:type="dxa"/>
              <w:right w:w="80" w:type="dxa"/>
            </w:tcMar>
            <w:vAlign w:val="center"/>
          </w:tcPr>
          <w:p w14:paraId="63A4AAFB"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3.5</w:t>
            </w:r>
          </w:p>
        </w:tc>
        <w:tc>
          <w:tcPr>
            <w:tcW w:w="733" w:type="dxa"/>
            <w:tcBorders>
              <w:top w:val="nil"/>
              <w:left w:val="nil"/>
              <w:bottom w:val="nil"/>
              <w:right w:val="nil"/>
            </w:tcBorders>
            <w:tcMar>
              <w:top w:w="100" w:type="dxa"/>
              <w:left w:w="80" w:type="dxa"/>
              <w:bottom w:w="100" w:type="dxa"/>
              <w:right w:w="80" w:type="dxa"/>
            </w:tcMar>
            <w:vAlign w:val="center"/>
          </w:tcPr>
          <w:p w14:paraId="3F404D8E"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4.5</w:t>
            </w:r>
          </w:p>
        </w:tc>
      </w:tr>
      <w:tr w:rsidR="00F12285" w14:paraId="1D5E7CA7" w14:textId="77777777" w:rsidTr="00C552DC">
        <w:trPr>
          <w:trHeight w:val="340"/>
        </w:trPr>
        <w:tc>
          <w:tcPr>
            <w:tcW w:w="1019" w:type="dxa"/>
            <w:tcBorders>
              <w:top w:val="nil"/>
              <w:left w:val="nil"/>
              <w:bottom w:val="single" w:sz="8" w:space="0" w:color="FFFFFF"/>
              <w:right w:val="nil"/>
            </w:tcBorders>
            <w:shd w:val="clear" w:color="auto" w:fill="auto"/>
            <w:tcMar>
              <w:top w:w="100" w:type="dxa"/>
              <w:left w:w="100" w:type="dxa"/>
              <w:bottom w:w="100" w:type="dxa"/>
              <w:right w:w="100" w:type="dxa"/>
            </w:tcMar>
            <w:vAlign w:val="center"/>
          </w:tcPr>
          <w:p w14:paraId="1A3216A1"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Red deer</w:t>
            </w:r>
          </w:p>
        </w:tc>
        <w:tc>
          <w:tcPr>
            <w:tcW w:w="974" w:type="dxa"/>
            <w:tcBorders>
              <w:top w:val="nil"/>
              <w:left w:val="nil"/>
              <w:bottom w:val="single" w:sz="8" w:space="0" w:color="FFFFFF"/>
              <w:right w:val="nil"/>
            </w:tcBorders>
            <w:tcMar>
              <w:top w:w="100" w:type="dxa"/>
              <w:left w:w="80" w:type="dxa"/>
              <w:bottom w:w="100" w:type="dxa"/>
              <w:right w:w="80" w:type="dxa"/>
            </w:tcMar>
            <w:vAlign w:val="center"/>
          </w:tcPr>
          <w:p w14:paraId="0E9AE047"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3</w:t>
            </w:r>
          </w:p>
        </w:tc>
        <w:tc>
          <w:tcPr>
            <w:tcW w:w="974" w:type="dxa"/>
            <w:tcBorders>
              <w:top w:val="nil"/>
              <w:left w:val="nil"/>
              <w:bottom w:val="single" w:sz="8" w:space="0" w:color="FFFFFF"/>
              <w:right w:val="nil"/>
            </w:tcBorders>
            <w:tcMar>
              <w:top w:w="100" w:type="dxa"/>
              <w:left w:w="80" w:type="dxa"/>
              <w:bottom w:w="100" w:type="dxa"/>
              <w:right w:w="80" w:type="dxa"/>
            </w:tcMar>
            <w:vAlign w:val="center"/>
          </w:tcPr>
          <w:p w14:paraId="669AC9B3"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-20.0</w:t>
            </w:r>
          </w:p>
        </w:tc>
        <w:tc>
          <w:tcPr>
            <w:tcW w:w="854" w:type="dxa"/>
            <w:tcBorders>
              <w:top w:val="nil"/>
              <w:left w:val="nil"/>
              <w:bottom w:val="single" w:sz="8" w:space="0" w:color="FFFFFF"/>
              <w:right w:val="nil"/>
            </w:tcBorders>
            <w:tcMar>
              <w:top w:w="100" w:type="dxa"/>
              <w:left w:w="80" w:type="dxa"/>
              <w:bottom w:w="100" w:type="dxa"/>
              <w:right w:w="80" w:type="dxa"/>
            </w:tcMar>
            <w:vAlign w:val="center"/>
          </w:tcPr>
          <w:p w14:paraId="5B38C3EC"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-20.0</w:t>
            </w:r>
          </w:p>
        </w:tc>
        <w:tc>
          <w:tcPr>
            <w:tcW w:w="853" w:type="dxa"/>
            <w:tcBorders>
              <w:top w:val="nil"/>
              <w:left w:val="nil"/>
              <w:bottom w:val="single" w:sz="8" w:space="0" w:color="FFFFFF"/>
              <w:right w:val="nil"/>
            </w:tcBorders>
            <w:tcMar>
              <w:top w:w="100" w:type="dxa"/>
              <w:left w:w="80" w:type="dxa"/>
              <w:bottom w:w="100" w:type="dxa"/>
              <w:right w:w="80" w:type="dxa"/>
            </w:tcMar>
            <w:vAlign w:val="center"/>
          </w:tcPr>
          <w:p w14:paraId="2BC12428"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0.3</w:t>
            </w:r>
          </w:p>
        </w:tc>
        <w:tc>
          <w:tcPr>
            <w:tcW w:w="808" w:type="dxa"/>
            <w:tcBorders>
              <w:top w:val="nil"/>
              <w:left w:val="nil"/>
              <w:bottom w:val="single" w:sz="8" w:space="0" w:color="FFFFFF"/>
              <w:right w:val="nil"/>
            </w:tcBorders>
            <w:tcMar>
              <w:top w:w="100" w:type="dxa"/>
              <w:left w:w="80" w:type="dxa"/>
              <w:bottom w:w="100" w:type="dxa"/>
              <w:right w:w="80" w:type="dxa"/>
            </w:tcMar>
            <w:vAlign w:val="center"/>
          </w:tcPr>
          <w:p w14:paraId="2B94C9D4"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-20.3</w:t>
            </w:r>
          </w:p>
        </w:tc>
        <w:tc>
          <w:tcPr>
            <w:tcW w:w="808" w:type="dxa"/>
            <w:tcBorders>
              <w:top w:val="nil"/>
              <w:left w:val="nil"/>
              <w:bottom w:val="single" w:sz="8" w:space="0" w:color="FFFFFF"/>
              <w:right w:val="nil"/>
            </w:tcBorders>
            <w:tcMar>
              <w:top w:w="100" w:type="dxa"/>
              <w:left w:w="80" w:type="dxa"/>
              <w:bottom w:w="100" w:type="dxa"/>
              <w:right w:w="80" w:type="dxa"/>
            </w:tcMar>
            <w:vAlign w:val="center"/>
          </w:tcPr>
          <w:p w14:paraId="060FA5CF"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-19.8</w:t>
            </w:r>
          </w:p>
        </w:tc>
        <w:tc>
          <w:tcPr>
            <w:tcW w:w="928" w:type="dxa"/>
            <w:tcBorders>
              <w:top w:val="nil"/>
              <w:left w:val="nil"/>
              <w:bottom w:val="single" w:sz="8" w:space="0" w:color="FFFFFF"/>
              <w:right w:val="nil"/>
            </w:tcBorders>
            <w:tcMar>
              <w:top w:w="100" w:type="dxa"/>
              <w:left w:w="80" w:type="dxa"/>
              <w:bottom w:w="100" w:type="dxa"/>
              <w:right w:w="80" w:type="dxa"/>
            </w:tcMar>
            <w:vAlign w:val="center"/>
          </w:tcPr>
          <w:p w14:paraId="215896DF"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3.8</w:t>
            </w:r>
          </w:p>
        </w:tc>
        <w:tc>
          <w:tcPr>
            <w:tcW w:w="928" w:type="dxa"/>
            <w:tcBorders>
              <w:top w:val="nil"/>
              <w:left w:val="nil"/>
              <w:bottom w:val="single" w:sz="8" w:space="0" w:color="FFFFFF"/>
              <w:right w:val="nil"/>
            </w:tcBorders>
            <w:tcMar>
              <w:top w:w="100" w:type="dxa"/>
              <w:left w:w="80" w:type="dxa"/>
              <w:bottom w:w="100" w:type="dxa"/>
              <w:right w:w="80" w:type="dxa"/>
            </w:tcMar>
            <w:vAlign w:val="center"/>
          </w:tcPr>
          <w:p w14:paraId="5EA0A3FB"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3.7</w:t>
            </w:r>
          </w:p>
        </w:tc>
        <w:tc>
          <w:tcPr>
            <w:tcW w:w="928" w:type="dxa"/>
            <w:tcBorders>
              <w:top w:val="nil"/>
              <w:left w:val="nil"/>
              <w:bottom w:val="single" w:sz="8" w:space="0" w:color="FFFFFF"/>
              <w:right w:val="nil"/>
            </w:tcBorders>
            <w:tcMar>
              <w:top w:w="100" w:type="dxa"/>
              <w:left w:w="80" w:type="dxa"/>
              <w:bottom w:w="100" w:type="dxa"/>
              <w:right w:w="80" w:type="dxa"/>
            </w:tcMar>
            <w:vAlign w:val="center"/>
          </w:tcPr>
          <w:p w14:paraId="53BFAC26"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0.3</w:t>
            </w:r>
          </w:p>
        </w:tc>
        <w:tc>
          <w:tcPr>
            <w:tcW w:w="658" w:type="dxa"/>
            <w:tcBorders>
              <w:top w:val="nil"/>
              <w:left w:val="nil"/>
              <w:bottom w:val="single" w:sz="8" w:space="0" w:color="FFFFFF"/>
              <w:right w:val="nil"/>
            </w:tcBorders>
            <w:tcMar>
              <w:top w:w="100" w:type="dxa"/>
              <w:left w:w="80" w:type="dxa"/>
              <w:bottom w:w="100" w:type="dxa"/>
              <w:right w:w="80" w:type="dxa"/>
            </w:tcMar>
            <w:vAlign w:val="center"/>
          </w:tcPr>
          <w:p w14:paraId="7B3C1115"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3.6</w:t>
            </w:r>
          </w:p>
        </w:tc>
        <w:tc>
          <w:tcPr>
            <w:tcW w:w="733" w:type="dxa"/>
            <w:tcBorders>
              <w:top w:val="nil"/>
              <w:left w:val="nil"/>
              <w:bottom w:val="single" w:sz="8" w:space="0" w:color="FFFFFF"/>
              <w:right w:val="nil"/>
            </w:tcBorders>
            <w:tcMar>
              <w:top w:w="100" w:type="dxa"/>
              <w:left w:w="80" w:type="dxa"/>
              <w:bottom w:w="100" w:type="dxa"/>
              <w:right w:w="80" w:type="dxa"/>
            </w:tcMar>
            <w:vAlign w:val="center"/>
          </w:tcPr>
          <w:p w14:paraId="4A684651"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4.2</w:t>
            </w:r>
          </w:p>
        </w:tc>
      </w:tr>
      <w:tr w:rsidR="00F12285" w14:paraId="0EE65385" w14:textId="77777777" w:rsidTr="00C552DC">
        <w:trPr>
          <w:trHeight w:val="340"/>
        </w:trPr>
        <w:tc>
          <w:tcPr>
            <w:tcW w:w="101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vAlign w:val="center"/>
          </w:tcPr>
          <w:p w14:paraId="4CE0C35F"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Pig</w:t>
            </w:r>
          </w:p>
        </w:tc>
        <w:tc>
          <w:tcPr>
            <w:tcW w:w="974"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65B3EFE5"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w:t>
            </w:r>
          </w:p>
        </w:tc>
        <w:tc>
          <w:tcPr>
            <w:tcW w:w="974" w:type="dxa"/>
            <w:tcBorders>
              <w:top w:val="nil"/>
              <w:left w:val="nil"/>
              <w:bottom w:val="nil"/>
              <w:right w:val="nil"/>
            </w:tcBorders>
            <w:tcMar>
              <w:top w:w="100" w:type="dxa"/>
              <w:left w:w="80" w:type="dxa"/>
              <w:bottom w:w="100" w:type="dxa"/>
              <w:right w:w="80" w:type="dxa"/>
            </w:tcMar>
          </w:tcPr>
          <w:p w14:paraId="430722F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-19.9</w:t>
            </w:r>
          </w:p>
        </w:tc>
        <w:tc>
          <w:tcPr>
            <w:tcW w:w="854" w:type="dxa"/>
            <w:tcBorders>
              <w:top w:val="nil"/>
              <w:left w:val="nil"/>
              <w:bottom w:val="nil"/>
              <w:right w:val="nil"/>
            </w:tcBorders>
            <w:tcMar>
              <w:top w:w="100" w:type="dxa"/>
              <w:left w:w="80" w:type="dxa"/>
              <w:bottom w:w="100" w:type="dxa"/>
              <w:right w:w="80" w:type="dxa"/>
            </w:tcMar>
          </w:tcPr>
          <w:p w14:paraId="03D56AD3"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w:t>
            </w:r>
          </w:p>
        </w:tc>
        <w:tc>
          <w:tcPr>
            <w:tcW w:w="853"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2D6FD541"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80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3654E5B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80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71FDAC24"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928" w:type="dxa"/>
            <w:tcBorders>
              <w:top w:val="nil"/>
              <w:left w:val="nil"/>
              <w:bottom w:val="nil"/>
              <w:right w:val="nil"/>
            </w:tcBorders>
            <w:tcMar>
              <w:top w:w="100" w:type="dxa"/>
              <w:left w:w="80" w:type="dxa"/>
              <w:bottom w:w="100" w:type="dxa"/>
              <w:right w:w="80" w:type="dxa"/>
            </w:tcMar>
          </w:tcPr>
          <w:p w14:paraId="2BC1DB4A"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6.3</w:t>
            </w:r>
          </w:p>
        </w:tc>
        <w:tc>
          <w:tcPr>
            <w:tcW w:w="92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47066340"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92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5B1A5F05"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65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1DBC3BAE"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733"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594A352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r>
      <w:tr w:rsidR="00F12285" w14:paraId="3D4BB604" w14:textId="77777777" w:rsidTr="00C552DC">
        <w:trPr>
          <w:trHeight w:val="340"/>
        </w:trPr>
        <w:tc>
          <w:tcPr>
            <w:tcW w:w="101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vAlign w:val="center"/>
          </w:tcPr>
          <w:p w14:paraId="351EBED4"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Canid</w:t>
            </w:r>
          </w:p>
        </w:tc>
        <w:tc>
          <w:tcPr>
            <w:tcW w:w="974"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778B969D"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w:t>
            </w:r>
          </w:p>
        </w:tc>
        <w:tc>
          <w:tcPr>
            <w:tcW w:w="974"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411E0FCD"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sz w:val="20"/>
                <w:szCs w:val="20"/>
                <w:highlight w:val="white"/>
              </w:rPr>
              <w:t>-18.8</w:t>
            </w:r>
          </w:p>
        </w:tc>
        <w:tc>
          <w:tcPr>
            <w:tcW w:w="854"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3951149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853"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7690055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80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0E2A2A63"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80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02A8BF9B"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92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1ECB5429"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sz w:val="20"/>
                <w:szCs w:val="20"/>
                <w:highlight w:val="white"/>
              </w:rPr>
              <w:t>9.2</w:t>
            </w:r>
          </w:p>
        </w:tc>
        <w:tc>
          <w:tcPr>
            <w:tcW w:w="92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79685ADF"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92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337313C6"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658"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60CA6905"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733" w:type="dxa"/>
            <w:tcBorders>
              <w:top w:val="single" w:sz="8" w:space="0" w:color="FFFFFF"/>
              <w:left w:val="nil"/>
              <w:bottom w:val="single" w:sz="8" w:space="0" w:color="FFFFFF"/>
              <w:right w:val="nil"/>
            </w:tcBorders>
            <w:tcMar>
              <w:top w:w="100" w:type="dxa"/>
              <w:left w:w="80" w:type="dxa"/>
              <w:bottom w:w="100" w:type="dxa"/>
              <w:right w:w="80" w:type="dxa"/>
            </w:tcMar>
            <w:vAlign w:val="center"/>
          </w:tcPr>
          <w:p w14:paraId="502BD9B4"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r>
      <w:tr w:rsidR="00F12285" w14:paraId="101C00F4" w14:textId="77777777" w:rsidTr="00C552DC">
        <w:trPr>
          <w:trHeight w:val="340"/>
        </w:trPr>
        <w:tc>
          <w:tcPr>
            <w:tcW w:w="1019" w:type="dxa"/>
            <w:tcBorders>
              <w:top w:val="single" w:sz="8" w:space="0" w:color="FFFFFF"/>
              <w:left w:val="nil"/>
              <w:bottom w:val="single" w:sz="4" w:space="0" w:color="000000"/>
              <w:right w:val="nil"/>
            </w:tcBorders>
            <w:shd w:val="clear" w:color="auto" w:fill="auto"/>
            <w:tcMar>
              <w:top w:w="100" w:type="dxa"/>
              <w:left w:w="100" w:type="dxa"/>
              <w:bottom w:w="100" w:type="dxa"/>
              <w:right w:w="100" w:type="dxa"/>
            </w:tcMar>
            <w:vAlign w:val="center"/>
          </w:tcPr>
          <w:p w14:paraId="1C929950" w14:textId="77777777" w:rsidR="00F12285" w:rsidRDefault="00F12285" w:rsidP="00C552DC">
            <w:pPr>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Felid</w:t>
            </w:r>
          </w:p>
        </w:tc>
        <w:tc>
          <w:tcPr>
            <w:tcW w:w="974" w:type="dxa"/>
            <w:tcBorders>
              <w:top w:val="single" w:sz="8" w:space="0" w:color="FFFFFF"/>
              <w:left w:val="nil"/>
              <w:bottom w:val="single" w:sz="4" w:space="0" w:color="000000"/>
              <w:right w:val="nil"/>
            </w:tcBorders>
            <w:tcMar>
              <w:top w:w="100" w:type="dxa"/>
              <w:left w:w="80" w:type="dxa"/>
              <w:bottom w:w="100" w:type="dxa"/>
              <w:right w:w="80" w:type="dxa"/>
            </w:tcMar>
            <w:vAlign w:val="center"/>
          </w:tcPr>
          <w:p w14:paraId="3F104E15"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1</w:t>
            </w:r>
          </w:p>
        </w:tc>
        <w:tc>
          <w:tcPr>
            <w:tcW w:w="974" w:type="dxa"/>
            <w:tcBorders>
              <w:top w:val="nil"/>
              <w:left w:val="nil"/>
              <w:bottom w:val="single" w:sz="4" w:space="0" w:color="000000"/>
              <w:right w:val="nil"/>
            </w:tcBorders>
            <w:tcMar>
              <w:top w:w="100" w:type="dxa"/>
              <w:left w:w="80" w:type="dxa"/>
              <w:bottom w:w="100" w:type="dxa"/>
              <w:right w:w="80" w:type="dxa"/>
            </w:tcMar>
          </w:tcPr>
          <w:p w14:paraId="6F90420F"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-19.7</w:t>
            </w:r>
          </w:p>
        </w:tc>
        <w:tc>
          <w:tcPr>
            <w:tcW w:w="854" w:type="dxa"/>
            <w:tcBorders>
              <w:top w:val="nil"/>
              <w:left w:val="nil"/>
              <w:bottom w:val="single" w:sz="4" w:space="0" w:color="000000"/>
              <w:right w:val="nil"/>
            </w:tcBorders>
            <w:tcMar>
              <w:top w:w="100" w:type="dxa"/>
              <w:left w:w="80" w:type="dxa"/>
              <w:bottom w:w="100" w:type="dxa"/>
              <w:right w:w="80" w:type="dxa"/>
            </w:tcMar>
          </w:tcPr>
          <w:p w14:paraId="0C432FC4"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w:t>
            </w:r>
          </w:p>
        </w:tc>
        <w:tc>
          <w:tcPr>
            <w:tcW w:w="853" w:type="dxa"/>
            <w:tcBorders>
              <w:top w:val="single" w:sz="8" w:space="0" w:color="FFFFFF"/>
              <w:left w:val="nil"/>
              <w:bottom w:val="single" w:sz="4" w:space="0" w:color="000000"/>
              <w:right w:val="nil"/>
            </w:tcBorders>
            <w:tcMar>
              <w:top w:w="100" w:type="dxa"/>
              <w:left w:w="80" w:type="dxa"/>
              <w:bottom w:w="100" w:type="dxa"/>
              <w:right w:w="80" w:type="dxa"/>
            </w:tcMar>
            <w:vAlign w:val="center"/>
          </w:tcPr>
          <w:p w14:paraId="088C1E7D"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808" w:type="dxa"/>
            <w:tcBorders>
              <w:top w:val="single" w:sz="8" w:space="0" w:color="FFFFFF"/>
              <w:left w:val="nil"/>
              <w:bottom w:val="single" w:sz="4" w:space="0" w:color="000000"/>
              <w:right w:val="nil"/>
            </w:tcBorders>
            <w:tcMar>
              <w:top w:w="100" w:type="dxa"/>
              <w:left w:w="80" w:type="dxa"/>
              <w:bottom w:w="100" w:type="dxa"/>
              <w:right w:w="80" w:type="dxa"/>
            </w:tcMar>
            <w:vAlign w:val="center"/>
          </w:tcPr>
          <w:p w14:paraId="027A624D"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808" w:type="dxa"/>
            <w:tcBorders>
              <w:top w:val="single" w:sz="8" w:space="0" w:color="FFFFFF"/>
              <w:left w:val="nil"/>
              <w:bottom w:val="single" w:sz="4" w:space="0" w:color="000000"/>
              <w:right w:val="nil"/>
            </w:tcBorders>
            <w:tcMar>
              <w:top w:w="100" w:type="dxa"/>
              <w:left w:w="80" w:type="dxa"/>
              <w:bottom w:w="100" w:type="dxa"/>
              <w:right w:w="80" w:type="dxa"/>
            </w:tcMar>
            <w:vAlign w:val="center"/>
          </w:tcPr>
          <w:p w14:paraId="2C19E2FD"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928" w:type="dxa"/>
            <w:tcBorders>
              <w:top w:val="nil"/>
              <w:left w:val="nil"/>
              <w:bottom w:val="single" w:sz="4" w:space="0" w:color="000000"/>
              <w:right w:val="nil"/>
            </w:tcBorders>
            <w:tcMar>
              <w:top w:w="100" w:type="dxa"/>
              <w:left w:w="80" w:type="dxa"/>
              <w:bottom w:w="100" w:type="dxa"/>
              <w:right w:w="80" w:type="dxa"/>
            </w:tcMar>
          </w:tcPr>
          <w:p w14:paraId="7825D488" w14:textId="77777777" w:rsidR="00F12285" w:rsidRDefault="00F12285" w:rsidP="00C552DC">
            <w:pPr>
              <w:jc w:val="both"/>
              <w:rPr>
                <w:rFonts w:ascii="Calibri" w:eastAsia="Calibri" w:hAnsi="Calibri" w:cs="Calibri"/>
                <w:sz w:val="20"/>
                <w:szCs w:val="20"/>
                <w:highlight w:val="white"/>
              </w:rPr>
            </w:pPr>
            <w:r>
              <w:rPr>
                <w:rFonts w:ascii="Calibri" w:eastAsia="Calibri" w:hAnsi="Calibri" w:cs="Calibri"/>
                <w:sz w:val="20"/>
                <w:szCs w:val="20"/>
                <w:highlight w:val="white"/>
              </w:rPr>
              <w:t>8.5</w:t>
            </w:r>
          </w:p>
        </w:tc>
        <w:tc>
          <w:tcPr>
            <w:tcW w:w="928" w:type="dxa"/>
            <w:tcBorders>
              <w:top w:val="single" w:sz="8" w:space="0" w:color="FFFFFF"/>
              <w:left w:val="nil"/>
              <w:bottom w:val="single" w:sz="4" w:space="0" w:color="000000"/>
              <w:right w:val="nil"/>
            </w:tcBorders>
            <w:tcMar>
              <w:top w:w="100" w:type="dxa"/>
              <w:left w:w="80" w:type="dxa"/>
              <w:bottom w:w="100" w:type="dxa"/>
              <w:right w:w="80" w:type="dxa"/>
            </w:tcMar>
            <w:vAlign w:val="center"/>
          </w:tcPr>
          <w:p w14:paraId="5E576755"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928" w:type="dxa"/>
            <w:tcBorders>
              <w:top w:val="single" w:sz="8" w:space="0" w:color="FFFFFF"/>
              <w:left w:val="nil"/>
              <w:bottom w:val="single" w:sz="4" w:space="0" w:color="000000"/>
              <w:right w:val="nil"/>
            </w:tcBorders>
            <w:tcMar>
              <w:top w:w="100" w:type="dxa"/>
              <w:left w:w="80" w:type="dxa"/>
              <w:bottom w:w="100" w:type="dxa"/>
              <w:right w:w="80" w:type="dxa"/>
            </w:tcMar>
            <w:vAlign w:val="center"/>
          </w:tcPr>
          <w:p w14:paraId="5A240085"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658" w:type="dxa"/>
            <w:tcBorders>
              <w:top w:val="single" w:sz="8" w:space="0" w:color="FFFFFF"/>
              <w:left w:val="nil"/>
              <w:bottom w:val="single" w:sz="4" w:space="0" w:color="000000"/>
              <w:right w:val="nil"/>
            </w:tcBorders>
            <w:tcMar>
              <w:top w:w="100" w:type="dxa"/>
              <w:left w:w="80" w:type="dxa"/>
              <w:bottom w:w="100" w:type="dxa"/>
              <w:right w:w="80" w:type="dxa"/>
            </w:tcMar>
            <w:vAlign w:val="center"/>
          </w:tcPr>
          <w:p w14:paraId="3234C396"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c>
          <w:tcPr>
            <w:tcW w:w="733" w:type="dxa"/>
            <w:tcBorders>
              <w:top w:val="single" w:sz="8" w:space="0" w:color="FFFFFF"/>
              <w:left w:val="nil"/>
              <w:bottom w:val="single" w:sz="4" w:space="0" w:color="000000"/>
              <w:right w:val="nil"/>
            </w:tcBorders>
            <w:tcMar>
              <w:top w:w="100" w:type="dxa"/>
              <w:left w:w="80" w:type="dxa"/>
              <w:bottom w:w="100" w:type="dxa"/>
              <w:right w:w="80" w:type="dxa"/>
            </w:tcMar>
            <w:vAlign w:val="center"/>
          </w:tcPr>
          <w:p w14:paraId="2D402018" w14:textId="77777777" w:rsidR="00F12285" w:rsidRDefault="00F12285" w:rsidP="00C552DC">
            <w:pPr>
              <w:rPr>
                <w:rFonts w:ascii="Calibri" w:eastAsia="Calibri" w:hAnsi="Calibri" w:cs="Calibri"/>
                <w:color w:val="010205"/>
                <w:sz w:val="20"/>
                <w:szCs w:val="20"/>
                <w:highlight w:val="white"/>
              </w:rPr>
            </w:pPr>
            <w:r>
              <w:rPr>
                <w:rFonts w:ascii="Calibri" w:eastAsia="Calibri" w:hAnsi="Calibri" w:cs="Calibri"/>
                <w:color w:val="010205"/>
                <w:sz w:val="20"/>
                <w:szCs w:val="20"/>
                <w:highlight w:val="white"/>
              </w:rPr>
              <w:t>-</w:t>
            </w:r>
          </w:p>
        </w:tc>
      </w:tr>
    </w:tbl>
    <w:p w14:paraId="1D5D4804" w14:textId="77777777" w:rsidR="00F12285" w:rsidRDefault="00F12285" w:rsidP="00F12285">
      <w:bookmarkStart w:id="18" w:name="_heading=h.z337ya" w:colFirst="0" w:colLast="0"/>
      <w:bookmarkEnd w:id="18"/>
    </w:p>
    <w:p w14:paraId="1EA07DD9" w14:textId="77777777" w:rsidR="00F12285" w:rsidRDefault="00F12285" w:rsidP="00F12285"/>
    <w:p w14:paraId="0E08B0BF" w14:textId="77777777" w:rsidR="00F12285" w:rsidRDefault="00F12285" w:rsidP="00F12285"/>
    <w:p w14:paraId="392840B8" w14:textId="77777777" w:rsidR="00F12285" w:rsidRPr="00F12285" w:rsidRDefault="00F12285" w:rsidP="00F12285">
      <w:pPr>
        <w:jc w:val="center"/>
        <w:rPr>
          <w:b/>
          <w:bCs/>
        </w:rPr>
      </w:pPr>
    </w:p>
    <w:sectPr w:rsidR="00F12285" w:rsidRPr="00F12285">
      <w:headerReference w:type="even" r:id="rId79"/>
      <w:headerReference w:type="default" r:id="rId80"/>
      <w:footerReference w:type="default" r:id="rId81"/>
      <w:headerReference w:type="first" r:id="rId82"/>
      <w:pgSz w:w="11906" w:h="16838"/>
      <w:pgMar w:top="1440" w:right="1080" w:bottom="144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05A49" w14:textId="77777777" w:rsidR="00307EB3" w:rsidRDefault="00307EB3">
      <w:pPr>
        <w:spacing w:line="240" w:lineRule="auto"/>
      </w:pPr>
      <w:r>
        <w:separator/>
      </w:r>
    </w:p>
  </w:endnote>
  <w:endnote w:type="continuationSeparator" w:id="0">
    <w:p w14:paraId="72549FD9" w14:textId="77777777" w:rsidR="00307EB3" w:rsidRDefault="00307E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9156" w14:textId="77777777" w:rsidR="00A23BE2" w:rsidRDefault="00307EB3">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A56D60">
      <w:rPr>
        <w:rFonts w:ascii="Calibri" w:eastAsia="Calibri" w:hAnsi="Calibri" w:cs="Calibri"/>
        <w:noProof/>
      </w:rPr>
      <w:t>1</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4BD6D" w14:textId="77777777" w:rsidR="00307EB3" w:rsidRDefault="00307EB3">
      <w:pPr>
        <w:spacing w:line="240" w:lineRule="auto"/>
      </w:pPr>
      <w:r>
        <w:separator/>
      </w:r>
    </w:p>
  </w:footnote>
  <w:footnote w:type="continuationSeparator" w:id="0">
    <w:p w14:paraId="60087B14" w14:textId="77777777" w:rsidR="00307EB3" w:rsidRDefault="00307E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565A" w14:textId="77777777" w:rsidR="00A56D60" w:rsidRDefault="00A56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917D" w14:textId="7177597E" w:rsidR="00A23BE2" w:rsidRDefault="00A23BE2">
    <w:pPr>
      <w:spacing w:before="240"/>
      <w:jc w:val="both"/>
    </w:pPr>
  </w:p>
  <w:p w14:paraId="0AB12A04" w14:textId="77777777" w:rsidR="00F12285" w:rsidRDefault="00F12285">
    <w:pPr>
      <w:spacing w:before="24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F091" w14:textId="77777777" w:rsidR="00A56D60" w:rsidRDefault="00A56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8E7"/>
    <w:multiLevelType w:val="multilevel"/>
    <w:tmpl w:val="9C1C7506"/>
    <w:lvl w:ilvl="0">
      <w:start w:val="1"/>
      <w:numFmt w:val="decimal"/>
      <w:lvlText w:val="%1."/>
      <w:lvlJc w:val="left"/>
      <w:pPr>
        <w:ind w:left="720" w:hanging="360"/>
      </w:pPr>
      <w:rPr>
        <w:b/>
        <w:color w:val="000000"/>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1124427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BE2"/>
    <w:rsid w:val="000E3538"/>
    <w:rsid w:val="00307EB3"/>
    <w:rsid w:val="00A23BE2"/>
    <w:rsid w:val="00A56D60"/>
    <w:rsid w:val="00F12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984E2"/>
  <w15:docId w15:val="{B89B4B91-3577-704D-B976-00413AC4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A02E0"/>
    <w:pPr>
      <w:tabs>
        <w:tab w:val="center" w:pos="4252"/>
        <w:tab w:val="right" w:pos="8504"/>
      </w:tabs>
      <w:spacing w:line="240" w:lineRule="auto"/>
    </w:pPr>
  </w:style>
  <w:style w:type="character" w:customStyle="1" w:styleId="HeaderChar">
    <w:name w:val="Header Char"/>
    <w:basedOn w:val="DefaultParagraphFont"/>
    <w:link w:val="Header"/>
    <w:uiPriority w:val="99"/>
    <w:rsid w:val="004A02E0"/>
  </w:style>
  <w:style w:type="paragraph" w:styleId="Footer">
    <w:name w:val="footer"/>
    <w:basedOn w:val="Normal"/>
    <w:link w:val="FooterChar"/>
    <w:uiPriority w:val="99"/>
    <w:unhideWhenUsed/>
    <w:rsid w:val="004A02E0"/>
    <w:pPr>
      <w:tabs>
        <w:tab w:val="center" w:pos="4252"/>
        <w:tab w:val="right" w:pos="8504"/>
      </w:tabs>
      <w:spacing w:line="240" w:lineRule="auto"/>
    </w:pPr>
  </w:style>
  <w:style w:type="character" w:customStyle="1" w:styleId="FooterChar">
    <w:name w:val="Footer Char"/>
    <w:basedOn w:val="DefaultParagraphFont"/>
    <w:link w:val="Footer"/>
    <w:uiPriority w:val="99"/>
    <w:rsid w:val="004A02E0"/>
  </w:style>
  <w:style w:type="character" w:styleId="LineNumber">
    <w:name w:val="line number"/>
    <w:basedOn w:val="DefaultParagraphFont"/>
    <w:uiPriority w:val="99"/>
    <w:semiHidden/>
    <w:unhideWhenUsed/>
    <w:rsid w:val="004A02E0"/>
  </w:style>
  <w:style w:type="paragraph" w:styleId="ListParagraph">
    <w:name w:val="List Paragraph"/>
    <w:basedOn w:val="Normal"/>
    <w:uiPriority w:val="34"/>
    <w:qFormat/>
    <w:rsid w:val="00ED1780"/>
    <w:pPr>
      <w:ind w:left="720"/>
      <w:contextualSpacing/>
    </w:p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1017/S0033822200044118" TargetMode="External"/><Relationship Id="rId21" Type="http://schemas.openxmlformats.org/officeDocument/2006/relationships/hyperlink" Target="https://doi.org/10.1038/sdata.2018.214" TargetMode="External"/><Relationship Id="rId42" Type="http://schemas.openxmlformats.org/officeDocument/2006/relationships/hyperlink" Target="https://doi.org/10.1016/j.jasrep.2020.102644" TargetMode="External"/><Relationship Id="rId47" Type="http://schemas.openxmlformats.org/officeDocument/2006/relationships/hyperlink" Target="https://doi.org/10.1002/rcm.2118" TargetMode="External"/><Relationship Id="rId63" Type="http://schemas.openxmlformats.org/officeDocument/2006/relationships/hyperlink" Target="https://doi.org/10.1080/00438243.1983.9979887" TargetMode="External"/><Relationship Id="rId68" Type="http://schemas.openxmlformats.org/officeDocument/2006/relationships/hyperlink" Target="https://doi.org/10.1016/j.jaa.2014.08.005" TargetMode="External"/><Relationship Id="rId84" Type="http://schemas.openxmlformats.org/officeDocument/2006/relationships/theme" Target="theme/theme1.xml"/><Relationship Id="rId16" Type="http://schemas.openxmlformats.org/officeDocument/2006/relationships/hyperlink" Target="https://doi.org/10.1029/2002GB001903" TargetMode="External"/><Relationship Id="rId11" Type="http://schemas.openxmlformats.org/officeDocument/2006/relationships/hyperlink" Target="https://www.isomemoapp.com" TargetMode="External"/><Relationship Id="rId32" Type="http://schemas.openxmlformats.org/officeDocument/2006/relationships/hyperlink" Target="https://doi.org/10.1016/0016-7037(81)90244-1" TargetMode="External"/><Relationship Id="rId37" Type="http://schemas.openxmlformats.org/officeDocument/2006/relationships/hyperlink" Target="https://doi.org/10.1002/oa.2659" TargetMode="External"/><Relationship Id="rId53" Type="http://schemas.openxmlformats.org/officeDocument/2006/relationships/hyperlink" Target="https://doi.org/10.1073/pnas.1918884117" TargetMode="External"/><Relationship Id="rId58" Type="http://schemas.openxmlformats.org/officeDocument/2006/relationships/hyperlink" Target="https://doi.org/10.1016/0031-9422(81)85134-5" TargetMode="External"/><Relationship Id="rId74" Type="http://schemas.openxmlformats.org/officeDocument/2006/relationships/image" Target="media/image2.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016/j.quaint.2017.05.049" TargetMode="External"/><Relationship Id="rId82" Type="http://schemas.openxmlformats.org/officeDocument/2006/relationships/header" Target="header3.xml"/><Relationship Id="rId19" Type="http://schemas.openxmlformats.org/officeDocument/2006/relationships/hyperlink" Target="https://doi.org/10.1006/jasc.2001.0725" TargetMode="External"/><Relationship Id="rId14" Type="http://schemas.openxmlformats.org/officeDocument/2006/relationships/hyperlink" Target="https://doi.org/10.1016/j.crpv.2017.01.004" TargetMode="External"/><Relationship Id="rId22" Type="http://schemas.openxmlformats.org/officeDocument/2006/relationships/hyperlink" Target="https://doi.org/10.1007/s10963-018-9113-3" TargetMode="External"/><Relationship Id="rId27" Type="http://schemas.openxmlformats.org/officeDocument/2006/relationships/hyperlink" Target="https://doi.org/10.1002/rcm.4316" TargetMode="External"/><Relationship Id="rId30" Type="http://schemas.openxmlformats.org/officeDocument/2006/relationships/hyperlink" Target="https://doi.org/10.1007/s10816-020-09492-5" TargetMode="External"/><Relationship Id="rId35" Type="http://schemas.openxmlformats.org/officeDocument/2006/relationships/hyperlink" Target="https://doi.org/10.1371/journal.pone.0177881" TargetMode="External"/><Relationship Id="rId43" Type="http://schemas.openxmlformats.org/officeDocument/2006/relationships/hyperlink" Target="https://doi.org/10.1080/00438240903429722" TargetMode="External"/><Relationship Id="rId48" Type="http://schemas.openxmlformats.org/officeDocument/2006/relationships/hyperlink" Target="https://doi.org/10.1002/ajpa.20598" TargetMode="External"/><Relationship Id="rId56" Type="http://schemas.openxmlformats.org/officeDocument/2006/relationships/hyperlink" Target="https://doi.org/10.1002/oa.2598" TargetMode="External"/><Relationship Id="rId64" Type="http://schemas.openxmlformats.org/officeDocument/2006/relationships/hyperlink" Target="https://doi.org/10.1104/pp.47.3.380" TargetMode="External"/><Relationship Id="rId69" Type="http://schemas.openxmlformats.org/officeDocument/2006/relationships/hyperlink" Target="https://doi.org/10.1016/j.quaint.2016.11.042" TargetMode="External"/><Relationship Id="rId77" Type="http://schemas.openxmlformats.org/officeDocument/2006/relationships/image" Target="media/image5.png"/><Relationship Id="rId8" Type="http://schemas.openxmlformats.org/officeDocument/2006/relationships/hyperlink" Target="https://www.isomemoapp.com/app/resources" TargetMode="External"/><Relationship Id="rId51" Type="http://schemas.openxmlformats.org/officeDocument/2006/relationships/hyperlink" Target="https://doi.org/10.1371/journal.pone.0229398" TargetMode="External"/><Relationship Id="rId72" Type="http://schemas.openxmlformats.org/officeDocument/2006/relationships/hyperlink" Target="https://doi.org/10.1111/arcm.12159"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1002/rcm.3501" TargetMode="External"/><Relationship Id="rId17" Type="http://schemas.openxmlformats.org/officeDocument/2006/relationships/hyperlink" Target="https://doi.org/10.21630/maa.2018.69.09" TargetMode="External"/><Relationship Id="rId25" Type="http://schemas.openxmlformats.org/officeDocument/2006/relationships/hyperlink" Target="https://doi.org/10.1073/pnas.1305918110" TargetMode="External"/><Relationship Id="rId33" Type="http://schemas.openxmlformats.org/officeDocument/2006/relationships/hyperlink" Target="https://doi.org/10.1016/j.palaeo.2008.03.020" TargetMode="External"/><Relationship Id="rId38" Type="http://schemas.openxmlformats.org/officeDocument/2006/relationships/hyperlink" Target="https://doi.org/10.1016/j.jasrep.2019.102037" TargetMode="External"/><Relationship Id="rId46" Type="http://schemas.openxmlformats.org/officeDocument/2006/relationships/hyperlink" Target="https://doi.org/10.1016/j.jas.2006.10.015" TargetMode="External"/><Relationship Id="rId59" Type="http://schemas.openxmlformats.org/officeDocument/2006/relationships/hyperlink" Target="https://doi.org/10.1007/s00704-019-02866-0" TargetMode="External"/><Relationship Id="rId67" Type="http://schemas.openxmlformats.org/officeDocument/2006/relationships/hyperlink" Target="https://doi.org/10.3389/fpls.2014.00288" TargetMode="External"/><Relationship Id="rId20" Type="http://schemas.openxmlformats.org/officeDocument/2006/relationships/hyperlink" Target="https://doi.org/10.1111/j.1475-4754.2012.00682.x" TargetMode="External"/><Relationship Id="rId41" Type="http://schemas.openxmlformats.org/officeDocument/2006/relationships/hyperlink" Target="https://doi.org/10.1002/oa.2968" TargetMode="External"/><Relationship Id="rId54" Type="http://schemas.openxmlformats.org/officeDocument/2006/relationships/hyperlink" Target="https://doi.org/10.1016/j.jas.2015.01.009" TargetMode="External"/><Relationship Id="rId62" Type="http://schemas.openxmlformats.org/officeDocument/2006/relationships/hyperlink" Target="https://doi.org/10.1016/0016-7037(84)90091-7" TargetMode="External"/><Relationship Id="rId70" Type="http://schemas.openxmlformats.org/officeDocument/2006/relationships/hyperlink" Target="https://doi.org/10.1006/jasc.1998.0385" TargetMode="External"/><Relationship Id="rId75" Type="http://schemas.openxmlformats.org/officeDocument/2006/relationships/image" Target="media/image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0305-4403(90)90007-R" TargetMode="External"/><Relationship Id="rId23" Type="http://schemas.openxmlformats.org/officeDocument/2006/relationships/hyperlink" Target="https://doi.org/10.1002/oa.662" TargetMode="External"/><Relationship Id="rId28" Type="http://schemas.openxmlformats.org/officeDocument/2006/relationships/hyperlink" Target="https://doi.org/10.1016/j.jas.2009.08.020" TargetMode="External"/><Relationship Id="rId36" Type="http://schemas.openxmlformats.org/officeDocument/2006/relationships/hyperlink" Target="https://doi.org/10.3989/tp.2016.12177" TargetMode="External"/><Relationship Id="rId49" Type="http://schemas.openxmlformats.org/officeDocument/2006/relationships/hyperlink" Target="https://doi.org/10.1093/bioinformatics/btaa181" TargetMode="External"/><Relationship Id="rId57" Type="http://schemas.openxmlformats.org/officeDocument/2006/relationships/hyperlink" Target="https://doi.org/10.1002/ajpa.22140" TargetMode="External"/><Relationship Id="rId10" Type="http://schemas.openxmlformats.org/officeDocument/2006/relationships/hyperlink" Target="https://www.sciencedirect.com/science/article/pii/S1040618220303281" TargetMode="External"/><Relationship Id="rId31" Type="http://schemas.openxmlformats.org/officeDocument/2006/relationships/hyperlink" Target="https://doi.org/10.1016/0016-7037(78)90199-0" TargetMode="External"/><Relationship Id="rId44" Type="http://schemas.openxmlformats.org/officeDocument/2006/relationships/hyperlink" Target="https://doi.org/10.1017/S0003598X00099300" TargetMode="External"/><Relationship Id="rId52" Type="http://schemas.openxmlformats.org/officeDocument/2006/relationships/hyperlink" Target="https://doi.org/10.1039/AN9941902161" TargetMode="External"/><Relationship Id="rId60" Type="http://schemas.openxmlformats.org/officeDocument/2006/relationships/hyperlink" Target="https://doi.org/10.1002/ajhb.22398" TargetMode="External"/><Relationship Id="rId65" Type="http://schemas.openxmlformats.org/officeDocument/2006/relationships/hyperlink" Target="https://doi.org/10.1016/j.palaeo.2014.05.049" TargetMode="External"/><Relationship Id="rId73" Type="http://schemas.openxmlformats.org/officeDocument/2006/relationships/image" Target="media/image1.png"/><Relationship Id="rId78" Type="http://schemas.openxmlformats.org/officeDocument/2006/relationships/image" Target="media/image6.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iencedirect.com/science/article/pii/S1040618220303281" TargetMode="External"/><Relationship Id="rId13" Type="http://schemas.openxmlformats.org/officeDocument/2006/relationships/hyperlink" Target="https://doi.org/10.1007/s10963-021-09153-9" TargetMode="External"/><Relationship Id="rId18" Type="http://schemas.openxmlformats.org/officeDocument/2006/relationships/hyperlink" Target="https://doi.org/10.1046/j.1365-2486.1997.00056.x" TargetMode="External"/><Relationship Id="rId39" Type="http://schemas.openxmlformats.org/officeDocument/2006/relationships/hyperlink" Target="https://doi.org/10.1016/j.jas.2021.105451" TargetMode="External"/><Relationship Id="rId34" Type="http://schemas.openxmlformats.org/officeDocument/2006/relationships/hyperlink" Target="https://doi.org/10.1002/ajpa.22788" TargetMode="External"/><Relationship Id="rId50" Type="http://schemas.openxmlformats.org/officeDocument/2006/relationships/hyperlink" Target="https://doi.org/10.1039/C3AN00925D" TargetMode="External"/><Relationship Id="rId55" Type="http://schemas.openxmlformats.org/officeDocument/2006/relationships/hyperlink" Target="https://doi.org/10.1111/ojoa.12164" TargetMode="External"/><Relationship Id="rId76"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s://doi.org/10.1016/j.quaint.2017.05.051" TargetMode="External"/><Relationship Id="rId2" Type="http://schemas.openxmlformats.org/officeDocument/2006/relationships/numbering" Target="numbering.xml"/><Relationship Id="rId29" Type="http://schemas.openxmlformats.org/officeDocument/2006/relationships/hyperlink" Target="https://doi.org/10.1016/j.jas.2013.08.021" TargetMode="External"/><Relationship Id="rId24" Type="http://schemas.openxmlformats.org/officeDocument/2006/relationships/hyperlink" Target="https://doi.org/10.1016/j.jas.2006.04.009" TargetMode="External"/><Relationship Id="rId40" Type="http://schemas.openxmlformats.org/officeDocument/2006/relationships/hyperlink" Target="https://doi.org/10.1016/j.jas.2011.06.024" TargetMode="External"/><Relationship Id="rId45" Type="http://schemas.openxmlformats.org/officeDocument/2006/relationships/hyperlink" Target="https://doi.org/10.1002/oa.660" TargetMode="External"/><Relationship Id="rId66" Type="http://schemas.openxmlformats.org/officeDocument/2006/relationships/hyperlink" Target="https://doi.org/10.1021/ac100818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5ds7wrVi+NthTnMaoiceD/NNVw==">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13888</Words>
  <Characters>79162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Alexander</cp:lastModifiedBy>
  <cp:revision>3</cp:revision>
  <dcterms:created xsi:type="dcterms:W3CDTF">2021-12-16T22:42:00Z</dcterms:created>
  <dcterms:modified xsi:type="dcterms:W3CDTF">2022-05-17T20:36:00Z</dcterms:modified>
</cp:coreProperties>
</file>